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8D3" w:rsidRDefault="00B2277D" w:rsidP="001D160F">
      <w:pPr>
        <w:spacing w:after="240" w:line="276" w:lineRule="auto"/>
        <w:rPr>
          <w:rFonts w:asciiTheme="minorHAnsi" w:hAnsiTheme="minorHAnsi"/>
          <w:b/>
          <w:sz w:val="32"/>
        </w:rPr>
      </w:pPr>
      <w:bookmarkStart w:id="0" w:name="_GoBack"/>
      <w:bookmarkEnd w:id="0"/>
      <w:r>
        <w:rPr>
          <w:noProof/>
          <w:lang w:eastAsia="en-AU"/>
        </w:rPr>
        <w:drawing>
          <wp:anchor distT="0" distB="0" distL="114300" distR="114300" simplePos="0" relativeHeight="251658239" behindDoc="1" locked="0" layoutInCell="1" allowOverlap="1" wp14:anchorId="04449E44" wp14:editId="57784F46">
            <wp:simplePos x="0" y="0"/>
            <wp:positionH relativeFrom="column">
              <wp:posOffset>-942976</wp:posOffset>
            </wp:positionH>
            <wp:positionV relativeFrom="paragraph">
              <wp:posOffset>-933450</wp:posOffset>
            </wp:positionV>
            <wp:extent cx="7648575" cy="10725150"/>
            <wp:effectExtent l="0" t="0" r="9525" b="0"/>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46523" cy="10722273"/>
                    </a:xfrm>
                    <a:prstGeom prst="rect">
                      <a:avLst/>
                    </a:prstGeom>
                  </pic:spPr>
                </pic:pic>
              </a:graphicData>
            </a:graphic>
            <wp14:sizeRelH relativeFrom="page">
              <wp14:pctWidth>0</wp14:pctWidth>
            </wp14:sizeRelH>
            <wp14:sizeRelV relativeFrom="page">
              <wp14:pctHeight>0</wp14:pctHeight>
            </wp14:sizeRelV>
          </wp:anchor>
        </w:drawing>
      </w:r>
    </w:p>
    <w:p w:rsidR="00F42067" w:rsidRDefault="00F42067" w:rsidP="001D160F">
      <w:pPr>
        <w:spacing w:after="240" w:line="276" w:lineRule="auto"/>
        <w:rPr>
          <w:rFonts w:asciiTheme="minorHAnsi" w:hAnsiTheme="minorHAnsi"/>
          <w:b/>
          <w:sz w:val="32"/>
        </w:rPr>
      </w:pPr>
    </w:p>
    <w:p w:rsidR="00975A97" w:rsidRDefault="00975A97" w:rsidP="001D160F">
      <w:pPr>
        <w:spacing w:after="240" w:line="276" w:lineRule="auto"/>
        <w:rPr>
          <w:rFonts w:asciiTheme="minorHAnsi" w:hAnsiTheme="minorHAnsi"/>
          <w:b/>
          <w:sz w:val="36"/>
        </w:rPr>
      </w:pPr>
    </w:p>
    <w:p w:rsidR="000108D3" w:rsidRPr="00975A97" w:rsidRDefault="000108D3" w:rsidP="001D160F">
      <w:pPr>
        <w:spacing w:after="240" w:line="276" w:lineRule="auto"/>
        <w:rPr>
          <w:rFonts w:asciiTheme="minorHAnsi" w:hAnsiTheme="minorHAnsi"/>
          <w:sz w:val="40"/>
        </w:rPr>
      </w:pPr>
      <w:r w:rsidRPr="00975A97">
        <w:rPr>
          <w:rFonts w:asciiTheme="minorHAnsi" w:hAnsiTheme="minorHAnsi"/>
          <w:sz w:val="40"/>
        </w:rPr>
        <w:t>Regulatory Impact Statement</w:t>
      </w:r>
    </w:p>
    <w:p w:rsidR="006326F6" w:rsidRDefault="006326F6" w:rsidP="001D160F">
      <w:pPr>
        <w:spacing w:after="240" w:line="276" w:lineRule="auto"/>
        <w:rPr>
          <w:rFonts w:asciiTheme="minorHAnsi" w:hAnsiTheme="minorHAnsi"/>
          <w:b/>
          <w:bCs/>
          <w:sz w:val="32"/>
        </w:rPr>
      </w:pPr>
    </w:p>
    <w:p w:rsidR="006326F6" w:rsidRPr="000108D3" w:rsidRDefault="006326F6" w:rsidP="001D160F">
      <w:pPr>
        <w:spacing w:after="240" w:line="276" w:lineRule="auto"/>
        <w:rPr>
          <w:rFonts w:asciiTheme="minorHAnsi" w:hAnsiTheme="minorHAnsi"/>
          <w:b/>
          <w:bCs/>
          <w:sz w:val="32"/>
        </w:rPr>
      </w:pPr>
    </w:p>
    <w:p w:rsidR="000108D3" w:rsidRPr="00975A97" w:rsidRDefault="000108D3" w:rsidP="001D160F">
      <w:pPr>
        <w:spacing w:after="240" w:line="276" w:lineRule="auto"/>
        <w:rPr>
          <w:rFonts w:asciiTheme="minorHAnsi" w:hAnsiTheme="minorHAnsi"/>
          <w:sz w:val="40"/>
        </w:rPr>
      </w:pPr>
      <w:r w:rsidRPr="00975A97">
        <w:rPr>
          <w:rFonts w:asciiTheme="minorHAnsi" w:hAnsiTheme="minorHAnsi"/>
          <w:b/>
          <w:sz w:val="40"/>
        </w:rPr>
        <w:t xml:space="preserve">Land Tax </w:t>
      </w:r>
      <w:r w:rsidR="00CC341E">
        <w:rPr>
          <w:rFonts w:asciiTheme="minorHAnsi" w:hAnsiTheme="minorHAnsi"/>
          <w:b/>
          <w:sz w:val="40"/>
        </w:rPr>
        <w:t>Regulations</w:t>
      </w:r>
      <w:r w:rsidRPr="00975A97">
        <w:rPr>
          <w:rFonts w:asciiTheme="minorHAnsi" w:hAnsiTheme="minorHAnsi"/>
          <w:b/>
          <w:sz w:val="40"/>
        </w:rPr>
        <w:t xml:space="preserve"> 2015 </w:t>
      </w:r>
    </w:p>
    <w:p w:rsidR="00975A97" w:rsidRDefault="00975A97" w:rsidP="001D160F">
      <w:pPr>
        <w:spacing w:after="240" w:line="276" w:lineRule="auto"/>
        <w:rPr>
          <w:rFonts w:asciiTheme="minorHAnsi" w:hAnsiTheme="minorHAnsi"/>
          <w:b/>
        </w:rPr>
      </w:pPr>
    </w:p>
    <w:p w:rsidR="00975A97" w:rsidRDefault="00975A97" w:rsidP="001D160F">
      <w:pPr>
        <w:spacing w:after="240" w:line="276" w:lineRule="auto"/>
        <w:rPr>
          <w:rFonts w:asciiTheme="minorHAnsi" w:hAnsiTheme="minorHAnsi"/>
          <w:b/>
        </w:rPr>
      </w:pPr>
    </w:p>
    <w:p w:rsidR="00B2277D" w:rsidRDefault="00B2277D" w:rsidP="001D160F">
      <w:pPr>
        <w:spacing w:after="240" w:line="276" w:lineRule="auto"/>
        <w:rPr>
          <w:rFonts w:asciiTheme="minorHAnsi" w:hAnsiTheme="minorHAnsi"/>
          <w:b/>
        </w:rPr>
      </w:pPr>
    </w:p>
    <w:p w:rsidR="00B2277D" w:rsidRDefault="00B2277D" w:rsidP="001D160F">
      <w:pPr>
        <w:spacing w:after="240" w:line="276" w:lineRule="auto"/>
        <w:rPr>
          <w:rFonts w:asciiTheme="minorHAnsi" w:hAnsiTheme="minorHAnsi"/>
          <w:b/>
        </w:rPr>
      </w:pPr>
    </w:p>
    <w:p w:rsidR="00B2277D" w:rsidRDefault="00B2277D" w:rsidP="001D160F">
      <w:pPr>
        <w:spacing w:after="240" w:line="276" w:lineRule="auto"/>
        <w:rPr>
          <w:rFonts w:asciiTheme="minorHAnsi" w:hAnsiTheme="minorHAnsi"/>
          <w:b/>
        </w:rPr>
      </w:pPr>
    </w:p>
    <w:p w:rsidR="00975A97" w:rsidRDefault="00975A97" w:rsidP="001D160F">
      <w:pPr>
        <w:spacing w:after="240" w:line="276" w:lineRule="auto"/>
        <w:rPr>
          <w:rFonts w:asciiTheme="minorHAnsi" w:hAnsiTheme="minorHAnsi"/>
          <w:b/>
        </w:rPr>
      </w:pPr>
    </w:p>
    <w:p w:rsidR="00975A97" w:rsidRDefault="00975A97" w:rsidP="001D160F">
      <w:pPr>
        <w:spacing w:after="240" w:line="276" w:lineRule="auto"/>
        <w:rPr>
          <w:rFonts w:asciiTheme="minorHAnsi" w:hAnsiTheme="minorHAnsi"/>
          <w:b/>
        </w:rPr>
      </w:pPr>
    </w:p>
    <w:p w:rsidR="00975A97" w:rsidRDefault="00975A97" w:rsidP="001D160F">
      <w:pPr>
        <w:spacing w:after="240" w:line="276" w:lineRule="auto"/>
        <w:rPr>
          <w:rFonts w:asciiTheme="minorHAnsi" w:hAnsiTheme="minorHAnsi"/>
          <w:b/>
        </w:rPr>
      </w:pPr>
    </w:p>
    <w:p w:rsidR="00975A97" w:rsidRDefault="00975A97" w:rsidP="001D160F">
      <w:pPr>
        <w:spacing w:after="240" w:line="276" w:lineRule="auto"/>
        <w:rPr>
          <w:rFonts w:asciiTheme="minorHAnsi" w:hAnsiTheme="minorHAnsi"/>
          <w:b/>
        </w:rPr>
      </w:pPr>
    </w:p>
    <w:p w:rsidR="00975A97" w:rsidRDefault="00975A97" w:rsidP="001D160F">
      <w:pPr>
        <w:spacing w:after="240" w:line="276" w:lineRule="auto"/>
        <w:rPr>
          <w:rFonts w:asciiTheme="minorHAnsi" w:hAnsiTheme="minorHAnsi"/>
          <w:b/>
        </w:rPr>
      </w:pPr>
    </w:p>
    <w:p w:rsidR="008B113F" w:rsidRDefault="008B113F" w:rsidP="001D160F">
      <w:pPr>
        <w:spacing w:after="240" w:line="276" w:lineRule="auto"/>
        <w:rPr>
          <w:rFonts w:asciiTheme="minorHAnsi" w:hAnsiTheme="minorHAnsi"/>
          <w:b/>
        </w:rPr>
      </w:pPr>
    </w:p>
    <w:p w:rsidR="000108D3" w:rsidRPr="000108D3" w:rsidRDefault="000108D3" w:rsidP="001D160F">
      <w:pPr>
        <w:spacing w:after="240" w:line="276" w:lineRule="auto"/>
        <w:rPr>
          <w:rFonts w:asciiTheme="minorHAnsi" w:hAnsiTheme="minorHAnsi"/>
          <w:b/>
          <w:bCs/>
          <w:sz w:val="32"/>
        </w:rPr>
      </w:pPr>
      <w:r w:rsidRPr="000108D3">
        <w:rPr>
          <w:rFonts w:asciiTheme="minorHAnsi" w:hAnsiTheme="minorHAnsi"/>
          <w:b/>
          <w:bCs/>
          <w:sz w:val="32"/>
        </w:rPr>
        <w:t xml:space="preserve">State Revenue Office of Victoria </w:t>
      </w:r>
    </w:p>
    <w:p w:rsidR="008B113F" w:rsidRDefault="008B113F" w:rsidP="001D160F">
      <w:pPr>
        <w:spacing w:after="240" w:line="276" w:lineRule="auto"/>
        <w:rPr>
          <w:rFonts w:asciiTheme="minorHAnsi" w:hAnsiTheme="minorHAnsi"/>
        </w:rPr>
      </w:pPr>
    </w:p>
    <w:p w:rsidR="000108D3" w:rsidRPr="000108D3" w:rsidRDefault="00DD3BE6" w:rsidP="001D160F">
      <w:pPr>
        <w:spacing w:after="240" w:line="276" w:lineRule="auto"/>
        <w:rPr>
          <w:rFonts w:asciiTheme="minorHAnsi" w:hAnsiTheme="minorHAnsi"/>
        </w:rPr>
      </w:pPr>
      <w:r>
        <w:rPr>
          <w:rFonts w:asciiTheme="minorHAnsi" w:hAnsiTheme="minorHAnsi"/>
        </w:rPr>
        <w:t>October</w:t>
      </w:r>
      <w:r w:rsidRPr="005A3D9A">
        <w:rPr>
          <w:rFonts w:asciiTheme="minorHAnsi" w:hAnsiTheme="minorHAnsi"/>
        </w:rPr>
        <w:t xml:space="preserve"> </w:t>
      </w:r>
      <w:r w:rsidR="000108D3" w:rsidRPr="005A3D9A">
        <w:rPr>
          <w:rFonts w:asciiTheme="minorHAnsi" w:hAnsiTheme="minorHAnsi"/>
        </w:rPr>
        <w:t>2015</w:t>
      </w:r>
    </w:p>
    <w:p w:rsidR="00F42067" w:rsidRDefault="00975A97" w:rsidP="001D160F">
      <w:pPr>
        <w:spacing w:after="240" w:line="276" w:lineRule="auto"/>
        <w:rPr>
          <w:rFonts w:asciiTheme="minorHAnsi" w:hAnsiTheme="minorHAnsi"/>
          <w:b/>
          <w:bCs/>
          <w:sz w:val="32"/>
        </w:rPr>
      </w:pPr>
      <w:r w:rsidRPr="00975A97">
        <w:rPr>
          <w:rFonts w:asciiTheme="minorHAnsi" w:hAnsiTheme="minorHAnsi"/>
        </w:rPr>
        <w:t>This Regulatory Impact Statement has been prepared in accordance with the</w:t>
      </w:r>
      <w:r>
        <w:rPr>
          <w:rFonts w:asciiTheme="minorHAnsi" w:hAnsiTheme="minorHAnsi"/>
        </w:rPr>
        <w:t xml:space="preserve"> </w:t>
      </w:r>
      <w:r w:rsidRPr="00975A97">
        <w:rPr>
          <w:rFonts w:asciiTheme="minorHAnsi" w:hAnsiTheme="minorHAnsi"/>
        </w:rPr>
        <w:t xml:space="preserve">requirements of the </w:t>
      </w:r>
      <w:r w:rsidRPr="00975A97">
        <w:rPr>
          <w:rFonts w:asciiTheme="minorHAnsi" w:hAnsiTheme="minorHAnsi"/>
          <w:i/>
        </w:rPr>
        <w:t>Subordinate Legislation Act 1994</w:t>
      </w:r>
      <w:r w:rsidRPr="00975A97">
        <w:rPr>
          <w:rFonts w:asciiTheme="minorHAnsi" w:hAnsiTheme="minorHAnsi"/>
        </w:rPr>
        <w:t xml:space="preserve"> and the </w:t>
      </w:r>
      <w:r w:rsidRPr="00975A97">
        <w:rPr>
          <w:rFonts w:asciiTheme="minorHAnsi" w:hAnsiTheme="minorHAnsi"/>
          <w:i/>
        </w:rPr>
        <w:t>Victorian Guide to</w:t>
      </w:r>
      <w:r>
        <w:rPr>
          <w:rFonts w:asciiTheme="minorHAnsi" w:hAnsiTheme="minorHAnsi"/>
          <w:i/>
        </w:rPr>
        <w:t xml:space="preserve"> </w:t>
      </w:r>
      <w:r w:rsidRPr="00975A97">
        <w:rPr>
          <w:rFonts w:asciiTheme="minorHAnsi" w:hAnsiTheme="minorHAnsi"/>
          <w:i/>
        </w:rPr>
        <w:t>Regulation</w:t>
      </w:r>
      <w:r w:rsidR="006326F6">
        <w:rPr>
          <w:rFonts w:asciiTheme="minorHAnsi" w:hAnsiTheme="minorHAnsi"/>
          <w:i/>
        </w:rPr>
        <w:t>.</w:t>
      </w:r>
      <w:r w:rsidR="00F42067">
        <w:rPr>
          <w:rFonts w:asciiTheme="minorHAnsi" w:hAnsiTheme="minorHAnsi"/>
          <w:b/>
          <w:bCs/>
          <w:sz w:val="32"/>
        </w:rPr>
        <w:br w:type="page"/>
      </w:r>
    </w:p>
    <w:p w:rsidR="00B9495D" w:rsidRDefault="00B9495D" w:rsidP="001D160F">
      <w:pPr>
        <w:spacing w:after="240" w:line="276" w:lineRule="auto"/>
        <w:rPr>
          <w:rFonts w:asciiTheme="minorHAnsi" w:hAnsiTheme="minorHAnsi"/>
          <w:b/>
          <w:sz w:val="28"/>
        </w:rPr>
      </w:pPr>
    </w:p>
    <w:p w:rsidR="00975A97" w:rsidRPr="00975A97" w:rsidRDefault="00975A97" w:rsidP="00A7768E">
      <w:pPr>
        <w:spacing w:after="240" w:line="276" w:lineRule="auto"/>
        <w:jc w:val="center"/>
        <w:rPr>
          <w:rFonts w:asciiTheme="minorHAnsi" w:hAnsiTheme="minorHAnsi"/>
          <w:sz w:val="28"/>
        </w:rPr>
      </w:pPr>
      <w:r w:rsidRPr="00975A97">
        <w:rPr>
          <w:rFonts w:asciiTheme="minorHAnsi" w:hAnsiTheme="minorHAnsi"/>
          <w:b/>
          <w:sz w:val="28"/>
        </w:rPr>
        <w:t xml:space="preserve">Land Tax </w:t>
      </w:r>
      <w:r w:rsidR="00CC341E">
        <w:rPr>
          <w:rFonts w:asciiTheme="minorHAnsi" w:hAnsiTheme="minorHAnsi"/>
          <w:b/>
          <w:sz w:val="28"/>
        </w:rPr>
        <w:t>Regulations</w:t>
      </w:r>
      <w:r w:rsidRPr="00975A97">
        <w:rPr>
          <w:rFonts w:asciiTheme="minorHAnsi" w:hAnsiTheme="minorHAnsi"/>
          <w:b/>
          <w:sz w:val="28"/>
        </w:rPr>
        <w:t xml:space="preserve"> 2015</w:t>
      </w:r>
    </w:p>
    <w:p w:rsidR="00975A97" w:rsidRPr="00975A97" w:rsidRDefault="00975A97" w:rsidP="00A7768E">
      <w:pPr>
        <w:autoSpaceDE w:val="0"/>
        <w:autoSpaceDN w:val="0"/>
        <w:adjustRightInd w:val="0"/>
        <w:spacing w:after="240" w:line="276" w:lineRule="auto"/>
        <w:jc w:val="center"/>
        <w:rPr>
          <w:rFonts w:ascii="Calibri" w:eastAsiaTheme="minorHAnsi" w:hAnsi="Calibri" w:cs="Arial"/>
          <w:b/>
          <w:bCs/>
          <w:sz w:val="28"/>
          <w:szCs w:val="28"/>
        </w:rPr>
      </w:pPr>
    </w:p>
    <w:p w:rsidR="00975A97" w:rsidRPr="00975A97" w:rsidRDefault="00975A97" w:rsidP="00A7768E">
      <w:pPr>
        <w:autoSpaceDE w:val="0"/>
        <w:autoSpaceDN w:val="0"/>
        <w:adjustRightInd w:val="0"/>
        <w:spacing w:after="240" w:line="276" w:lineRule="auto"/>
        <w:jc w:val="center"/>
        <w:rPr>
          <w:rFonts w:ascii="Calibri" w:eastAsiaTheme="minorHAnsi" w:hAnsi="Calibri" w:cs="Arial"/>
          <w:b/>
          <w:bCs/>
          <w:sz w:val="32"/>
        </w:rPr>
      </w:pPr>
      <w:r w:rsidRPr="00975A97">
        <w:rPr>
          <w:rFonts w:ascii="Calibri" w:eastAsiaTheme="minorHAnsi" w:hAnsi="Calibri" w:cs="Arial"/>
          <w:b/>
          <w:bCs/>
          <w:sz w:val="32"/>
        </w:rPr>
        <w:t>REGULATORY IMPACT STATEMENT</w:t>
      </w:r>
    </w:p>
    <w:p w:rsidR="00F42067" w:rsidRPr="00975A97" w:rsidRDefault="000638D1" w:rsidP="001D160F">
      <w:pPr>
        <w:autoSpaceDE w:val="0"/>
        <w:autoSpaceDN w:val="0"/>
        <w:adjustRightInd w:val="0"/>
        <w:spacing w:after="240" w:line="276" w:lineRule="auto"/>
        <w:rPr>
          <w:rFonts w:ascii="Calibri" w:hAnsi="Calibri"/>
          <w:b/>
          <w:bCs/>
        </w:rPr>
      </w:pPr>
      <w:r w:rsidRPr="008C7B4F">
        <w:rPr>
          <w:rFonts w:ascii="Calibri" w:hAnsi="Calibri"/>
          <w:b/>
          <w:bCs/>
          <w:noProof/>
          <w:lang w:eastAsia="en-AU"/>
        </w:rPr>
        <mc:AlternateContent>
          <mc:Choice Requires="wps">
            <w:drawing>
              <wp:anchor distT="0" distB="0" distL="114300" distR="114300" simplePos="0" relativeHeight="251659264" behindDoc="0" locked="0" layoutInCell="1" allowOverlap="1" wp14:anchorId="52C4F58A" wp14:editId="690C891F">
                <wp:simplePos x="0" y="0"/>
                <wp:positionH relativeFrom="column">
                  <wp:posOffset>300990</wp:posOffset>
                </wp:positionH>
                <wp:positionV relativeFrom="paragraph">
                  <wp:posOffset>432435</wp:posOffset>
                </wp:positionV>
                <wp:extent cx="4819014" cy="6287134"/>
                <wp:effectExtent l="0" t="0" r="2032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014" cy="6287134"/>
                        </a:xfrm>
                        <a:prstGeom prst="rect">
                          <a:avLst/>
                        </a:prstGeom>
                        <a:solidFill>
                          <a:srgbClr val="FFFFFF"/>
                        </a:solidFill>
                        <a:ln w="9525">
                          <a:solidFill>
                            <a:srgbClr val="000000"/>
                          </a:solidFill>
                          <a:miter lim="800000"/>
                          <a:headEnd/>
                          <a:tailEnd/>
                        </a:ln>
                      </wps:spPr>
                      <wps:txbx>
                        <w:txbxContent>
                          <w:p w:rsidR="000063DB" w:rsidRPr="000063DB" w:rsidRDefault="000063DB" w:rsidP="005A6A7E">
                            <w:pPr>
                              <w:autoSpaceDE w:val="0"/>
                              <w:autoSpaceDN w:val="0"/>
                              <w:adjustRightInd w:val="0"/>
                              <w:spacing w:before="240" w:after="120"/>
                              <w:ind w:left="284" w:right="299"/>
                              <w:jc w:val="both"/>
                              <w:rPr>
                                <w:rFonts w:ascii="Calibri" w:eastAsiaTheme="minorHAnsi" w:hAnsi="Calibri" w:cs="Arial"/>
                                <w:color w:val="000000"/>
                              </w:rPr>
                            </w:pPr>
                            <w:r w:rsidRPr="000063DB">
                              <w:rPr>
                                <w:rFonts w:ascii="Calibri" w:eastAsiaTheme="minorHAnsi" w:hAnsi="Calibri" w:cs="Arial"/>
                                <w:color w:val="000000"/>
                              </w:rPr>
                              <w:t xml:space="preserve">In accordance with the </w:t>
                            </w:r>
                            <w:r w:rsidRPr="000063DB">
                              <w:rPr>
                                <w:rFonts w:ascii="Calibri" w:eastAsiaTheme="minorHAnsi" w:hAnsi="Calibri" w:cs="Arial"/>
                                <w:i/>
                                <w:iCs/>
                                <w:color w:val="000000"/>
                              </w:rPr>
                              <w:t>Victorian Guide to Regulation</w:t>
                            </w:r>
                            <w:r w:rsidRPr="000063DB">
                              <w:rPr>
                                <w:rFonts w:ascii="Calibri" w:eastAsiaTheme="minorHAnsi" w:hAnsi="Calibri" w:cs="Arial"/>
                                <w:color w:val="000000"/>
                              </w:rPr>
                              <w:t>, the Victorian Government seeks to ensure that regulations are well targeted, effective and appropriate, and that they impose the lowest possible burden on Victorian businesses and the community.</w:t>
                            </w:r>
                          </w:p>
                          <w:p w:rsidR="000063DB" w:rsidRPr="000063DB" w:rsidRDefault="000063DB" w:rsidP="005A6A7E">
                            <w:pPr>
                              <w:autoSpaceDE w:val="0"/>
                              <w:autoSpaceDN w:val="0"/>
                              <w:adjustRightInd w:val="0"/>
                              <w:spacing w:before="240" w:after="120"/>
                              <w:ind w:left="284" w:right="299"/>
                              <w:jc w:val="both"/>
                              <w:rPr>
                                <w:rFonts w:ascii="Calibri" w:eastAsiaTheme="minorHAnsi" w:hAnsi="Calibri" w:cs="Arial"/>
                                <w:color w:val="000000"/>
                              </w:rPr>
                            </w:pPr>
                            <w:r w:rsidRPr="000063DB">
                              <w:rPr>
                                <w:rFonts w:ascii="Calibri" w:eastAsiaTheme="minorHAnsi" w:hAnsi="Calibri" w:cs="Arial"/>
                                <w:color w:val="000000"/>
                              </w:rPr>
                              <w:t>The RIS process involves an assessment of regulatory proposals and allows members of the community to comment on proposed regulations before they are finalised. Such public input provides valuable information and perspectives, and improves the overall quality of regulations.</w:t>
                            </w:r>
                          </w:p>
                          <w:p w:rsidR="000063DB" w:rsidRPr="000063DB" w:rsidRDefault="000063DB" w:rsidP="005A6A7E">
                            <w:pPr>
                              <w:autoSpaceDE w:val="0"/>
                              <w:autoSpaceDN w:val="0"/>
                              <w:adjustRightInd w:val="0"/>
                              <w:spacing w:before="240" w:after="120"/>
                              <w:ind w:left="284" w:right="299"/>
                              <w:jc w:val="both"/>
                              <w:rPr>
                                <w:rFonts w:ascii="Calibri" w:eastAsiaTheme="minorHAnsi" w:hAnsi="Calibri" w:cs="Arial"/>
                                <w:color w:val="000000"/>
                              </w:rPr>
                            </w:pPr>
                            <w:r w:rsidRPr="000063DB">
                              <w:rPr>
                                <w:rFonts w:ascii="Calibri" w:eastAsiaTheme="minorHAnsi" w:hAnsi="Calibri" w:cs="Arial"/>
                                <w:color w:val="000000"/>
                              </w:rPr>
                              <w:t>This RIS has been prepared to facilitate public consultation on the proposed Land Tax Regulations 2015 (the proposed Regulations). The proposed Regulations prescribe fees to recover costs incurred by the State Revenue Office with respect to providing land tax clearance certificates requested by land owners and purchasers, as well as their conveyancers. A copy of the proposed Regulations is attached to this RIS.</w:t>
                            </w:r>
                          </w:p>
                          <w:p w:rsidR="000063DB" w:rsidRPr="000063DB" w:rsidRDefault="000063DB" w:rsidP="005A6A7E">
                            <w:pPr>
                              <w:pStyle w:val="BodyText"/>
                              <w:spacing w:before="240" w:after="120"/>
                              <w:ind w:left="284" w:right="299"/>
                              <w:rPr>
                                <w:rFonts w:asciiTheme="minorHAnsi" w:hAnsiTheme="minorHAnsi"/>
                                <w:iCs/>
                              </w:rPr>
                            </w:pPr>
                            <w:r w:rsidRPr="000063DB">
                              <w:rPr>
                                <w:rFonts w:ascii="Calibri" w:eastAsiaTheme="minorHAnsi" w:hAnsi="Calibri" w:cs="Arial"/>
                                <w:color w:val="000000"/>
                              </w:rPr>
                              <w:t>Submissions are now invited on the proposed Regulations. All submissions will be treated as public documents.</w:t>
                            </w:r>
                            <w:r w:rsidRPr="000063DB">
                              <w:rPr>
                                <w:rFonts w:asciiTheme="minorHAnsi" w:hAnsiTheme="minorHAnsi"/>
                              </w:rPr>
                              <w:t xml:space="preserve"> Late submissions will not be accepted.</w:t>
                            </w:r>
                          </w:p>
                          <w:p w:rsidR="000063DB" w:rsidRPr="000063DB" w:rsidRDefault="000063DB" w:rsidP="005A6A7E">
                            <w:pPr>
                              <w:autoSpaceDE w:val="0"/>
                              <w:autoSpaceDN w:val="0"/>
                              <w:adjustRightInd w:val="0"/>
                              <w:spacing w:before="240" w:after="120"/>
                              <w:ind w:left="284" w:right="299"/>
                              <w:jc w:val="both"/>
                              <w:rPr>
                                <w:rFonts w:ascii="Calibri" w:eastAsiaTheme="minorHAnsi" w:hAnsi="Calibri" w:cs="Arial"/>
                                <w:color w:val="000000"/>
                              </w:rPr>
                            </w:pPr>
                            <w:r w:rsidRPr="000063DB">
                              <w:rPr>
                                <w:rFonts w:ascii="Calibri" w:eastAsiaTheme="minorHAnsi" w:hAnsi="Calibri" w:cs="Arial"/>
                                <w:color w:val="000000"/>
                              </w:rPr>
                              <w:t xml:space="preserve">Written comments and submissions should be forwarded by no later than </w:t>
                            </w:r>
                            <w:r w:rsidRPr="000063DB">
                              <w:rPr>
                                <w:rFonts w:ascii="Calibri" w:eastAsiaTheme="minorHAnsi" w:hAnsi="Calibri" w:cs="Arial"/>
                                <w:b/>
                                <w:bCs/>
                                <w:color w:val="000000"/>
                              </w:rPr>
                              <w:t xml:space="preserve">5:00pm </w:t>
                            </w:r>
                            <w:r w:rsidRPr="000063DB">
                              <w:rPr>
                                <w:rFonts w:ascii="Calibri" w:eastAsiaTheme="minorHAnsi" w:hAnsi="Calibri" w:cs="Arial"/>
                                <w:bCs/>
                                <w:color w:val="000000"/>
                              </w:rPr>
                              <w:t>on</w:t>
                            </w:r>
                            <w:r w:rsidRPr="000063DB">
                              <w:rPr>
                                <w:rFonts w:ascii="Calibri" w:eastAsiaTheme="minorHAnsi" w:hAnsi="Calibri" w:cs="Arial"/>
                                <w:b/>
                                <w:bCs/>
                                <w:color w:val="000000"/>
                              </w:rPr>
                              <w:t xml:space="preserve"> </w:t>
                            </w:r>
                            <w:r w:rsidR="008A16C8">
                              <w:rPr>
                                <w:rFonts w:ascii="Calibri" w:eastAsiaTheme="minorHAnsi" w:hAnsi="Calibri" w:cs="Arial"/>
                                <w:b/>
                                <w:bCs/>
                                <w:color w:val="000000"/>
                              </w:rPr>
                              <w:t xml:space="preserve">Friday 27 </w:t>
                            </w:r>
                            <w:r w:rsidR="008F2A5A">
                              <w:rPr>
                                <w:rFonts w:ascii="Calibri" w:eastAsiaTheme="minorHAnsi" w:hAnsi="Calibri" w:cs="Arial"/>
                                <w:b/>
                                <w:bCs/>
                                <w:color w:val="000000"/>
                              </w:rPr>
                              <w:t>November 2015</w:t>
                            </w:r>
                            <w:r w:rsidRPr="000063DB">
                              <w:rPr>
                                <w:rFonts w:ascii="Calibri" w:eastAsiaTheme="minorHAnsi" w:hAnsi="Calibri" w:cs="Arial"/>
                                <w:b/>
                                <w:bCs/>
                                <w:color w:val="000000"/>
                              </w:rPr>
                              <w:t xml:space="preserve"> </w:t>
                            </w:r>
                            <w:r w:rsidRPr="000063DB">
                              <w:rPr>
                                <w:rFonts w:ascii="Calibri" w:eastAsiaTheme="minorHAnsi" w:hAnsi="Calibri" w:cs="Arial"/>
                                <w:color w:val="000000"/>
                              </w:rPr>
                              <w:t>to:</w:t>
                            </w:r>
                          </w:p>
                          <w:p w:rsidR="000063DB" w:rsidRPr="000063DB" w:rsidRDefault="000063DB" w:rsidP="000638D1">
                            <w:pPr>
                              <w:pStyle w:val="BodyText"/>
                              <w:spacing w:before="240"/>
                              <w:ind w:left="284" w:right="299" w:firstLine="1276"/>
                              <w:jc w:val="left"/>
                              <w:rPr>
                                <w:rFonts w:asciiTheme="minorHAnsi" w:hAnsiTheme="minorHAnsi"/>
                                <w:iCs/>
                              </w:rPr>
                            </w:pPr>
                            <w:r w:rsidRPr="000063DB">
                              <w:rPr>
                                <w:rFonts w:asciiTheme="minorHAnsi" w:hAnsiTheme="minorHAnsi"/>
                                <w:iCs/>
                              </w:rPr>
                              <w:t>Branch Manager – Policy &amp; Legislation</w:t>
                            </w:r>
                          </w:p>
                          <w:p w:rsidR="000063DB" w:rsidRPr="000063DB" w:rsidRDefault="000063DB" w:rsidP="000638D1">
                            <w:pPr>
                              <w:pStyle w:val="BodyText"/>
                              <w:ind w:left="284" w:right="299" w:firstLine="1276"/>
                              <w:jc w:val="left"/>
                              <w:rPr>
                                <w:rFonts w:asciiTheme="minorHAnsi" w:hAnsiTheme="minorHAnsi"/>
                                <w:iCs/>
                              </w:rPr>
                            </w:pPr>
                            <w:r w:rsidRPr="000063DB">
                              <w:rPr>
                                <w:rFonts w:asciiTheme="minorHAnsi" w:hAnsiTheme="minorHAnsi"/>
                                <w:iCs/>
                              </w:rPr>
                              <w:t>State Revenue Office</w:t>
                            </w:r>
                          </w:p>
                          <w:p w:rsidR="000063DB" w:rsidRPr="000063DB" w:rsidRDefault="000063DB" w:rsidP="000638D1">
                            <w:pPr>
                              <w:pStyle w:val="BodyText"/>
                              <w:ind w:left="284" w:right="299" w:firstLine="1276"/>
                              <w:jc w:val="left"/>
                              <w:rPr>
                                <w:rFonts w:asciiTheme="minorHAnsi" w:hAnsiTheme="minorHAnsi"/>
                                <w:iCs/>
                              </w:rPr>
                            </w:pPr>
                            <w:r w:rsidRPr="000063DB">
                              <w:rPr>
                                <w:rFonts w:asciiTheme="minorHAnsi" w:hAnsiTheme="minorHAnsi"/>
                                <w:iCs/>
                              </w:rPr>
                              <w:t>GPO Box 1641</w:t>
                            </w:r>
                          </w:p>
                          <w:p w:rsidR="000063DB" w:rsidRPr="000063DB" w:rsidRDefault="000063DB" w:rsidP="000638D1">
                            <w:pPr>
                              <w:pStyle w:val="BodyText"/>
                              <w:spacing w:after="120"/>
                              <w:ind w:left="284" w:right="299" w:firstLine="1276"/>
                              <w:jc w:val="left"/>
                              <w:rPr>
                                <w:rFonts w:asciiTheme="minorHAnsi" w:hAnsiTheme="minorHAnsi"/>
                                <w:iCs/>
                              </w:rPr>
                            </w:pPr>
                            <w:r w:rsidRPr="000063DB">
                              <w:rPr>
                                <w:rFonts w:asciiTheme="minorHAnsi" w:hAnsiTheme="minorHAnsi"/>
                                <w:iCs/>
                              </w:rPr>
                              <w:t>MELBOURNE VIC 3001</w:t>
                            </w:r>
                          </w:p>
                          <w:p w:rsidR="000063DB" w:rsidRPr="000063DB" w:rsidRDefault="000063DB" w:rsidP="000638D1">
                            <w:pPr>
                              <w:pStyle w:val="BodyText"/>
                              <w:spacing w:after="120"/>
                              <w:ind w:left="284" w:right="299" w:firstLine="1276"/>
                              <w:jc w:val="left"/>
                              <w:rPr>
                                <w:rStyle w:val="Hyperlink"/>
                                <w:rFonts w:asciiTheme="minorHAnsi" w:hAnsiTheme="minorHAnsi"/>
                                <w:iCs/>
                              </w:rPr>
                            </w:pPr>
                            <w:r w:rsidRPr="000063DB">
                              <w:rPr>
                                <w:rFonts w:asciiTheme="minorHAnsi" w:hAnsiTheme="minorHAnsi"/>
                                <w:iCs/>
                              </w:rPr>
                              <w:t xml:space="preserve">Email: </w:t>
                            </w:r>
                            <w:hyperlink r:id="rId10" w:history="1">
                              <w:r w:rsidRPr="000063DB">
                                <w:rPr>
                                  <w:rStyle w:val="Hyperlink"/>
                                  <w:rFonts w:asciiTheme="minorHAnsi" w:hAnsiTheme="minorHAnsi"/>
                                  <w:iCs/>
                                </w:rPr>
                                <w:t>landtaxregulations@sro.vic.gov.au</w:t>
                              </w:r>
                            </w:hyperlink>
                          </w:p>
                          <w:p w:rsidR="000063DB" w:rsidRDefault="000063DB">
                            <w:pPr>
                              <w:spacing w:before="2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7pt;margin-top:34.05pt;width:379.45pt;height:49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">
                <v:textbox>
                  <w:txbxContent>
                    <w:p w:rsidR="000063DB" w:rsidRPr="000063DB" w:rsidRDefault="000063DB" w:rsidP="005A6A7E">
                      <w:pPr>
                        <w:autoSpaceDE w:val="0"/>
                        <w:autoSpaceDN w:val="0"/>
                        <w:adjustRightInd w:val="0"/>
                        <w:spacing w:before="240" w:after="120"/>
                        <w:ind w:left="284" w:right="299"/>
                        <w:jc w:val="both"/>
                        <w:rPr>
                          <w:rFonts w:ascii="Calibri" w:eastAsiaTheme="minorHAnsi" w:hAnsi="Calibri" w:cs="Arial"/>
                          <w:color w:val="000000"/>
                        </w:rPr>
                      </w:pPr>
                      <w:r w:rsidRPr="000063DB">
                        <w:rPr>
                          <w:rFonts w:ascii="Calibri" w:eastAsiaTheme="minorHAnsi" w:hAnsi="Calibri" w:cs="Arial"/>
                          <w:color w:val="000000"/>
                        </w:rPr>
                        <w:t xml:space="preserve">In accordance with the </w:t>
                      </w:r>
                      <w:r w:rsidRPr="000063DB">
                        <w:rPr>
                          <w:rFonts w:ascii="Calibri" w:eastAsiaTheme="minorHAnsi" w:hAnsi="Calibri" w:cs="Arial"/>
                          <w:i/>
                          <w:iCs/>
                          <w:color w:val="000000"/>
                        </w:rPr>
                        <w:t>Victorian Guide to Regulation</w:t>
                      </w:r>
                      <w:r w:rsidRPr="000063DB">
                        <w:rPr>
                          <w:rFonts w:ascii="Calibri" w:eastAsiaTheme="minorHAnsi" w:hAnsi="Calibri" w:cs="Arial"/>
                          <w:color w:val="000000"/>
                        </w:rPr>
                        <w:t>, the Victorian Government seeks to ensure that regulations are well targeted, effective and appropriate, and that they impose the lowest possible burden on Victorian businesses and the community.</w:t>
                      </w:r>
                    </w:p>
                    <w:p w:rsidR="000063DB" w:rsidRPr="000063DB" w:rsidRDefault="000063DB" w:rsidP="005A6A7E">
                      <w:pPr>
                        <w:autoSpaceDE w:val="0"/>
                        <w:autoSpaceDN w:val="0"/>
                        <w:adjustRightInd w:val="0"/>
                        <w:spacing w:before="240" w:after="120"/>
                        <w:ind w:left="284" w:right="299"/>
                        <w:jc w:val="both"/>
                        <w:rPr>
                          <w:rFonts w:ascii="Calibri" w:eastAsiaTheme="minorHAnsi" w:hAnsi="Calibri" w:cs="Arial"/>
                          <w:color w:val="000000"/>
                        </w:rPr>
                      </w:pPr>
                      <w:r w:rsidRPr="000063DB">
                        <w:rPr>
                          <w:rFonts w:ascii="Calibri" w:eastAsiaTheme="minorHAnsi" w:hAnsi="Calibri" w:cs="Arial"/>
                          <w:color w:val="000000"/>
                        </w:rPr>
                        <w:t>The RIS process involves an assessment of regulatory proposals and allows members of the community to comment on proposed regulations before they are finalised. Such public input provides valuable information and perspectives, and improves the overall quality of regulations.</w:t>
                      </w:r>
                    </w:p>
                    <w:p w:rsidR="000063DB" w:rsidRPr="000063DB" w:rsidRDefault="000063DB" w:rsidP="005A6A7E">
                      <w:pPr>
                        <w:autoSpaceDE w:val="0"/>
                        <w:autoSpaceDN w:val="0"/>
                        <w:adjustRightInd w:val="0"/>
                        <w:spacing w:before="240" w:after="120"/>
                        <w:ind w:left="284" w:right="299"/>
                        <w:jc w:val="both"/>
                        <w:rPr>
                          <w:rFonts w:ascii="Calibri" w:eastAsiaTheme="minorHAnsi" w:hAnsi="Calibri" w:cs="Arial"/>
                          <w:color w:val="000000"/>
                        </w:rPr>
                      </w:pPr>
                      <w:r w:rsidRPr="000063DB">
                        <w:rPr>
                          <w:rFonts w:ascii="Calibri" w:eastAsiaTheme="minorHAnsi" w:hAnsi="Calibri" w:cs="Arial"/>
                          <w:color w:val="000000"/>
                        </w:rPr>
                        <w:t>This RIS has been prepared to facilitate public consultation on the proposed Land Tax Regulations 2015 (the proposed Regulations). The proposed Regulations prescribe fees to recover costs incurred by the State Revenue Office with respect to providing land tax clearance certificates requested by land owners and purchasers, as well as their conveyancers. A copy of the proposed Regulations is attached to this RIS.</w:t>
                      </w:r>
                    </w:p>
                    <w:p w:rsidR="000063DB" w:rsidRPr="000063DB" w:rsidRDefault="000063DB" w:rsidP="005A6A7E">
                      <w:pPr>
                        <w:pStyle w:val="BodyText"/>
                        <w:spacing w:before="240" w:after="120"/>
                        <w:ind w:left="284" w:right="299"/>
                        <w:rPr>
                          <w:rFonts w:asciiTheme="minorHAnsi" w:hAnsiTheme="minorHAnsi"/>
                          <w:iCs/>
                        </w:rPr>
                      </w:pPr>
                      <w:r w:rsidRPr="000063DB">
                        <w:rPr>
                          <w:rFonts w:ascii="Calibri" w:eastAsiaTheme="minorHAnsi" w:hAnsi="Calibri" w:cs="Arial"/>
                          <w:color w:val="000000"/>
                        </w:rPr>
                        <w:t>Submissions are now invited on the proposed Regulations. All submissions will be treated as public documents.</w:t>
                      </w:r>
                      <w:r w:rsidRPr="000063DB">
                        <w:rPr>
                          <w:rFonts w:asciiTheme="minorHAnsi" w:hAnsiTheme="minorHAnsi"/>
                        </w:rPr>
                        <w:t xml:space="preserve"> Late submissions will not be accepted.</w:t>
                      </w:r>
                    </w:p>
                    <w:p w:rsidR="000063DB" w:rsidRPr="000063DB" w:rsidRDefault="000063DB" w:rsidP="005A6A7E">
                      <w:pPr>
                        <w:autoSpaceDE w:val="0"/>
                        <w:autoSpaceDN w:val="0"/>
                        <w:adjustRightInd w:val="0"/>
                        <w:spacing w:before="240" w:after="120"/>
                        <w:ind w:left="284" w:right="299"/>
                        <w:jc w:val="both"/>
                        <w:rPr>
                          <w:rFonts w:ascii="Calibri" w:eastAsiaTheme="minorHAnsi" w:hAnsi="Calibri" w:cs="Arial"/>
                          <w:color w:val="000000"/>
                        </w:rPr>
                      </w:pPr>
                      <w:r w:rsidRPr="000063DB">
                        <w:rPr>
                          <w:rFonts w:ascii="Calibri" w:eastAsiaTheme="minorHAnsi" w:hAnsi="Calibri" w:cs="Arial"/>
                          <w:color w:val="000000"/>
                        </w:rPr>
                        <w:t xml:space="preserve">Written comments and submissions should be forwarded by no later than </w:t>
                      </w:r>
                      <w:r w:rsidRPr="000063DB">
                        <w:rPr>
                          <w:rFonts w:ascii="Calibri" w:eastAsiaTheme="minorHAnsi" w:hAnsi="Calibri" w:cs="Arial"/>
                          <w:b/>
                          <w:bCs/>
                          <w:color w:val="000000"/>
                        </w:rPr>
                        <w:t xml:space="preserve">5:00pm </w:t>
                      </w:r>
                      <w:r w:rsidRPr="000063DB">
                        <w:rPr>
                          <w:rFonts w:ascii="Calibri" w:eastAsiaTheme="minorHAnsi" w:hAnsi="Calibri" w:cs="Arial"/>
                          <w:bCs/>
                          <w:color w:val="000000"/>
                        </w:rPr>
                        <w:t>on</w:t>
                      </w:r>
                      <w:r w:rsidRPr="000063DB">
                        <w:rPr>
                          <w:rFonts w:ascii="Calibri" w:eastAsiaTheme="minorHAnsi" w:hAnsi="Calibri" w:cs="Arial"/>
                          <w:b/>
                          <w:bCs/>
                          <w:color w:val="000000"/>
                        </w:rPr>
                        <w:t xml:space="preserve"> </w:t>
                      </w:r>
                      <w:r w:rsidR="008A16C8">
                        <w:rPr>
                          <w:rFonts w:ascii="Calibri" w:eastAsiaTheme="minorHAnsi" w:hAnsi="Calibri" w:cs="Arial"/>
                          <w:b/>
                          <w:bCs/>
                          <w:color w:val="000000"/>
                        </w:rPr>
                        <w:t xml:space="preserve">Friday 27 </w:t>
                      </w:r>
                      <w:r w:rsidR="008F2A5A">
                        <w:rPr>
                          <w:rFonts w:ascii="Calibri" w:eastAsiaTheme="minorHAnsi" w:hAnsi="Calibri" w:cs="Arial"/>
                          <w:b/>
                          <w:bCs/>
                          <w:color w:val="000000"/>
                        </w:rPr>
                        <w:t>November 2015</w:t>
                      </w:r>
                      <w:r w:rsidRPr="000063DB">
                        <w:rPr>
                          <w:rFonts w:ascii="Calibri" w:eastAsiaTheme="minorHAnsi" w:hAnsi="Calibri" w:cs="Arial"/>
                          <w:b/>
                          <w:bCs/>
                          <w:color w:val="000000"/>
                        </w:rPr>
                        <w:t xml:space="preserve"> </w:t>
                      </w:r>
                      <w:r w:rsidRPr="000063DB">
                        <w:rPr>
                          <w:rFonts w:ascii="Calibri" w:eastAsiaTheme="minorHAnsi" w:hAnsi="Calibri" w:cs="Arial"/>
                          <w:color w:val="000000"/>
                        </w:rPr>
                        <w:t>to:</w:t>
                      </w:r>
                    </w:p>
                    <w:p w:rsidR="000063DB" w:rsidRPr="000063DB" w:rsidRDefault="000063DB" w:rsidP="000638D1">
                      <w:pPr>
                        <w:pStyle w:val="BodyText"/>
                        <w:spacing w:before="240"/>
                        <w:ind w:left="284" w:right="299" w:firstLine="1276"/>
                        <w:jc w:val="left"/>
                        <w:rPr>
                          <w:rFonts w:asciiTheme="minorHAnsi" w:hAnsiTheme="minorHAnsi"/>
                          <w:iCs/>
                        </w:rPr>
                      </w:pPr>
                      <w:r w:rsidRPr="000063DB">
                        <w:rPr>
                          <w:rFonts w:asciiTheme="minorHAnsi" w:hAnsiTheme="minorHAnsi"/>
                          <w:iCs/>
                        </w:rPr>
                        <w:t>Branch Manager – Policy &amp; Legislation</w:t>
                      </w:r>
                    </w:p>
                    <w:p w:rsidR="000063DB" w:rsidRPr="000063DB" w:rsidRDefault="000063DB" w:rsidP="000638D1">
                      <w:pPr>
                        <w:pStyle w:val="BodyText"/>
                        <w:ind w:left="284" w:right="299" w:firstLine="1276"/>
                        <w:jc w:val="left"/>
                        <w:rPr>
                          <w:rFonts w:asciiTheme="minorHAnsi" w:hAnsiTheme="minorHAnsi"/>
                          <w:iCs/>
                        </w:rPr>
                      </w:pPr>
                      <w:r w:rsidRPr="000063DB">
                        <w:rPr>
                          <w:rFonts w:asciiTheme="minorHAnsi" w:hAnsiTheme="minorHAnsi"/>
                          <w:iCs/>
                        </w:rPr>
                        <w:t>State Revenue Office</w:t>
                      </w:r>
                    </w:p>
                    <w:p w:rsidR="000063DB" w:rsidRPr="000063DB" w:rsidRDefault="000063DB" w:rsidP="000638D1">
                      <w:pPr>
                        <w:pStyle w:val="BodyText"/>
                        <w:ind w:left="284" w:right="299" w:firstLine="1276"/>
                        <w:jc w:val="left"/>
                        <w:rPr>
                          <w:rFonts w:asciiTheme="minorHAnsi" w:hAnsiTheme="minorHAnsi"/>
                          <w:iCs/>
                        </w:rPr>
                      </w:pPr>
                      <w:r w:rsidRPr="000063DB">
                        <w:rPr>
                          <w:rFonts w:asciiTheme="minorHAnsi" w:hAnsiTheme="minorHAnsi"/>
                          <w:iCs/>
                        </w:rPr>
                        <w:t>GPO Box 1641</w:t>
                      </w:r>
                    </w:p>
                    <w:p w:rsidR="000063DB" w:rsidRPr="000063DB" w:rsidRDefault="000063DB" w:rsidP="000638D1">
                      <w:pPr>
                        <w:pStyle w:val="BodyText"/>
                        <w:spacing w:after="120"/>
                        <w:ind w:left="284" w:right="299" w:firstLine="1276"/>
                        <w:jc w:val="left"/>
                        <w:rPr>
                          <w:rFonts w:asciiTheme="minorHAnsi" w:hAnsiTheme="minorHAnsi"/>
                          <w:iCs/>
                        </w:rPr>
                      </w:pPr>
                      <w:r w:rsidRPr="000063DB">
                        <w:rPr>
                          <w:rFonts w:asciiTheme="minorHAnsi" w:hAnsiTheme="minorHAnsi"/>
                          <w:iCs/>
                        </w:rPr>
                        <w:t>MELBOURNE VIC 3001</w:t>
                      </w:r>
                    </w:p>
                    <w:p w:rsidR="000063DB" w:rsidRPr="000063DB" w:rsidRDefault="000063DB" w:rsidP="000638D1">
                      <w:pPr>
                        <w:pStyle w:val="BodyText"/>
                        <w:spacing w:after="120"/>
                        <w:ind w:left="284" w:right="299" w:firstLine="1276"/>
                        <w:jc w:val="left"/>
                        <w:rPr>
                          <w:rStyle w:val="Hyperlink"/>
                          <w:rFonts w:asciiTheme="minorHAnsi" w:hAnsiTheme="minorHAnsi"/>
                          <w:iCs/>
                        </w:rPr>
                      </w:pPr>
                      <w:r w:rsidRPr="000063DB">
                        <w:rPr>
                          <w:rFonts w:asciiTheme="minorHAnsi" w:hAnsiTheme="minorHAnsi"/>
                          <w:iCs/>
                        </w:rPr>
                        <w:t xml:space="preserve">Email: </w:t>
                      </w:r>
                      <w:hyperlink r:id="rId11" w:history="1">
                        <w:r w:rsidRPr="000063DB">
                          <w:rPr>
                            <w:rStyle w:val="Hyperlink"/>
                            <w:rFonts w:asciiTheme="minorHAnsi" w:hAnsiTheme="minorHAnsi"/>
                            <w:iCs/>
                          </w:rPr>
                          <w:t>landtaxregulations@sro.vic.gov.au</w:t>
                        </w:r>
                      </w:hyperlink>
                    </w:p>
                    <w:p w:rsidR="000063DB" w:rsidRDefault="000063DB">
                      <w:pPr>
                        <w:spacing w:before="240"/>
                      </w:pPr>
                    </w:p>
                  </w:txbxContent>
                </v:textbox>
                <w10:wrap type="topAndBottom"/>
              </v:shape>
            </w:pict>
          </mc:Fallback>
        </mc:AlternateContent>
      </w:r>
    </w:p>
    <w:p w:rsidR="000108D3" w:rsidRPr="000108D3" w:rsidRDefault="000108D3" w:rsidP="001D160F">
      <w:pPr>
        <w:spacing w:after="240" w:line="276" w:lineRule="auto"/>
        <w:rPr>
          <w:rFonts w:asciiTheme="minorHAnsi" w:hAnsiTheme="minorHAnsi"/>
          <w:b/>
          <w:sz w:val="28"/>
        </w:rPr>
      </w:pPr>
      <w:r w:rsidRPr="000108D3">
        <w:rPr>
          <w:rFonts w:asciiTheme="minorHAnsi" w:hAnsiTheme="minorHAnsi"/>
          <w:b/>
          <w:sz w:val="28"/>
        </w:rPr>
        <w:br w:type="page"/>
      </w:r>
    </w:p>
    <w:sdt>
      <w:sdtPr>
        <w:rPr>
          <w:rFonts w:ascii="Times New Roman" w:eastAsia="Times New Roman" w:hAnsi="Times New Roman" w:cs="Times New Roman"/>
          <w:b w:val="0"/>
          <w:bCs w:val="0"/>
          <w:color w:val="auto"/>
          <w:sz w:val="24"/>
          <w:szCs w:val="24"/>
          <w:lang w:val="en-AU" w:eastAsia="en-US"/>
        </w:rPr>
        <w:id w:val="1937477409"/>
        <w:docPartObj>
          <w:docPartGallery w:val="Table of Contents"/>
          <w:docPartUnique/>
        </w:docPartObj>
      </w:sdtPr>
      <w:sdtEndPr>
        <w:rPr>
          <w:noProof/>
          <w:sz w:val="22"/>
          <w:szCs w:val="22"/>
        </w:rPr>
      </w:sdtEndPr>
      <w:sdtContent>
        <w:p w:rsidR="005B17F2" w:rsidRPr="00B9495D" w:rsidRDefault="005B17F2" w:rsidP="000B5B0A">
          <w:pPr>
            <w:pStyle w:val="TOCHeading"/>
            <w:spacing w:before="0" w:after="120"/>
            <w:rPr>
              <w:rFonts w:asciiTheme="minorHAnsi" w:hAnsiTheme="minorHAnsi"/>
            </w:rPr>
          </w:pPr>
          <w:r w:rsidRPr="00B9495D">
            <w:rPr>
              <w:rFonts w:asciiTheme="minorHAnsi" w:hAnsiTheme="minorHAnsi"/>
            </w:rPr>
            <w:t>Table of Contents</w:t>
          </w:r>
        </w:p>
        <w:p w:rsidR="0055678A" w:rsidRPr="0055678A" w:rsidRDefault="005B17F2">
          <w:pPr>
            <w:pStyle w:val="TOC1"/>
            <w:tabs>
              <w:tab w:val="right" w:leader="dot" w:pos="9016"/>
            </w:tabs>
            <w:rPr>
              <w:noProof/>
              <w:lang w:val="en-AU" w:eastAsia="en-AU"/>
            </w:rPr>
          </w:pPr>
          <w:r w:rsidRPr="0055678A">
            <w:fldChar w:fldCharType="begin"/>
          </w:r>
          <w:r w:rsidRPr="0055678A">
            <w:instrText xml:space="preserve"> TOC \o "1-3" \h \z \u </w:instrText>
          </w:r>
          <w:r w:rsidRPr="0055678A">
            <w:fldChar w:fldCharType="separate"/>
          </w:r>
          <w:hyperlink w:anchor="_Toc432510172" w:history="1">
            <w:r w:rsidR="0055678A" w:rsidRPr="0055678A">
              <w:rPr>
                <w:rStyle w:val="Hyperlink"/>
                <w:noProof/>
              </w:rPr>
              <w:t>Executive Summary</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_Toc432510172 \h </w:instrText>
            </w:r>
            <w:r w:rsidR="0055678A" w:rsidRPr="0055678A">
              <w:rPr>
                <w:noProof/>
                <w:webHidden/>
              </w:rPr>
            </w:r>
            <w:r w:rsidR="0055678A" w:rsidRPr="0055678A">
              <w:rPr>
                <w:noProof/>
                <w:webHidden/>
              </w:rPr>
              <w:fldChar w:fldCharType="separate"/>
            </w:r>
            <w:r w:rsidR="0055678A" w:rsidRPr="0055678A">
              <w:rPr>
                <w:noProof/>
                <w:webHidden/>
              </w:rPr>
              <w:t>1</w:t>
            </w:r>
            <w:r w:rsidR="0055678A" w:rsidRPr="0055678A">
              <w:rPr>
                <w:noProof/>
                <w:webHidden/>
              </w:rPr>
              <w:fldChar w:fldCharType="end"/>
            </w:r>
          </w:hyperlink>
        </w:p>
        <w:p w:rsidR="0055678A" w:rsidRPr="0055678A" w:rsidRDefault="00F438A0">
          <w:pPr>
            <w:pStyle w:val="TOC1"/>
            <w:tabs>
              <w:tab w:val="left" w:pos="660"/>
              <w:tab w:val="right" w:leader="dot" w:pos="9016"/>
            </w:tabs>
            <w:rPr>
              <w:noProof/>
              <w:lang w:val="en-AU" w:eastAsia="en-AU"/>
            </w:rPr>
          </w:pPr>
          <w:hyperlink w:anchor="_Toc432510173" w:history="1">
            <w:r w:rsidR="0055678A" w:rsidRPr="0055678A">
              <w:rPr>
                <w:rStyle w:val="Hyperlink"/>
                <w:noProof/>
              </w:rPr>
              <w:t>1.</w:t>
            </w:r>
            <w:r w:rsidR="0055678A" w:rsidRPr="0055678A">
              <w:rPr>
                <w:noProof/>
                <w:lang w:val="en-AU" w:eastAsia="en-AU"/>
              </w:rPr>
              <w:tab/>
            </w:r>
            <w:r w:rsidR="0055678A" w:rsidRPr="0055678A">
              <w:rPr>
                <w:rStyle w:val="Hyperlink"/>
                <w:noProof/>
              </w:rPr>
              <w:t>Introduction</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_Toc432510173 \h </w:instrText>
            </w:r>
            <w:r w:rsidR="0055678A" w:rsidRPr="0055678A">
              <w:rPr>
                <w:noProof/>
                <w:webHidden/>
              </w:rPr>
            </w:r>
            <w:r w:rsidR="0055678A" w:rsidRPr="0055678A">
              <w:rPr>
                <w:noProof/>
                <w:webHidden/>
              </w:rPr>
              <w:fldChar w:fldCharType="separate"/>
            </w:r>
            <w:r w:rsidR="0055678A" w:rsidRPr="0055678A">
              <w:rPr>
                <w:noProof/>
                <w:webHidden/>
              </w:rPr>
              <w:t>3</w:t>
            </w:r>
            <w:r w:rsidR="0055678A" w:rsidRPr="0055678A">
              <w:rPr>
                <w:noProof/>
                <w:webHidden/>
              </w:rPr>
              <w:fldChar w:fldCharType="end"/>
            </w:r>
          </w:hyperlink>
        </w:p>
        <w:p w:rsidR="0055678A" w:rsidRPr="0055678A" w:rsidRDefault="00F438A0">
          <w:pPr>
            <w:pStyle w:val="TOC2"/>
            <w:tabs>
              <w:tab w:val="left" w:pos="880"/>
              <w:tab w:val="right" w:leader="dot" w:pos="9016"/>
            </w:tabs>
            <w:rPr>
              <w:noProof/>
              <w:lang w:val="en-AU" w:eastAsia="en-AU"/>
            </w:rPr>
          </w:pPr>
          <w:hyperlink w:anchor="_Toc432510174" w:history="1">
            <w:r w:rsidR="0055678A" w:rsidRPr="0055678A">
              <w:rPr>
                <w:rStyle w:val="Hyperlink"/>
                <w:rFonts w:eastAsia="Times New Roman" w:cs="Times New Roman"/>
                <w:noProof/>
              </w:rPr>
              <w:t xml:space="preserve">1.1. </w:t>
            </w:r>
            <w:r w:rsidR="0055678A" w:rsidRPr="0055678A">
              <w:rPr>
                <w:noProof/>
                <w:lang w:val="en-AU" w:eastAsia="en-AU"/>
              </w:rPr>
              <w:tab/>
            </w:r>
            <w:r w:rsidR="0055678A" w:rsidRPr="0055678A">
              <w:rPr>
                <w:rStyle w:val="Hyperlink"/>
                <w:rFonts w:eastAsia="Times New Roman" w:cs="Times New Roman"/>
                <w:noProof/>
              </w:rPr>
              <w:t>Notices of Acquisition</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_Toc432510174 \h </w:instrText>
            </w:r>
            <w:r w:rsidR="0055678A" w:rsidRPr="0055678A">
              <w:rPr>
                <w:noProof/>
                <w:webHidden/>
              </w:rPr>
            </w:r>
            <w:r w:rsidR="0055678A" w:rsidRPr="0055678A">
              <w:rPr>
                <w:noProof/>
                <w:webHidden/>
              </w:rPr>
              <w:fldChar w:fldCharType="separate"/>
            </w:r>
            <w:r w:rsidR="0055678A" w:rsidRPr="0055678A">
              <w:rPr>
                <w:noProof/>
                <w:webHidden/>
              </w:rPr>
              <w:t>3</w:t>
            </w:r>
            <w:r w:rsidR="0055678A" w:rsidRPr="0055678A">
              <w:rPr>
                <w:noProof/>
                <w:webHidden/>
              </w:rPr>
              <w:fldChar w:fldCharType="end"/>
            </w:r>
          </w:hyperlink>
        </w:p>
        <w:p w:rsidR="0055678A" w:rsidRPr="0055678A" w:rsidRDefault="00F438A0">
          <w:pPr>
            <w:pStyle w:val="TOC2"/>
            <w:tabs>
              <w:tab w:val="left" w:pos="880"/>
              <w:tab w:val="right" w:leader="dot" w:pos="9016"/>
            </w:tabs>
            <w:rPr>
              <w:noProof/>
              <w:lang w:val="en-AU" w:eastAsia="en-AU"/>
            </w:rPr>
          </w:pPr>
          <w:hyperlink w:anchor="_Toc432510175" w:history="1">
            <w:r w:rsidR="0055678A" w:rsidRPr="0055678A">
              <w:rPr>
                <w:rStyle w:val="Hyperlink"/>
                <w:rFonts w:eastAsia="Times New Roman" w:cs="Times New Roman"/>
                <w:noProof/>
              </w:rPr>
              <w:t xml:space="preserve">1.2. </w:t>
            </w:r>
            <w:r w:rsidR="0055678A" w:rsidRPr="0055678A">
              <w:rPr>
                <w:noProof/>
                <w:lang w:val="en-AU" w:eastAsia="en-AU"/>
              </w:rPr>
              <w:tab/>
            </w:r>
            <w:r w:rsidR="0055678A" w:rsidRPr="0055678A">
              <w:rPr>
                <w:rStyle w:val="Hyperlink"/>
                <w:rFonts w:eastAsia="Times New Roman" w:cs="Times New Roman"/>
                <w:noProof/>
              </w:rPr>
              <w:t>Land Tax Clearance Certificates</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_Toc432510175 \h </w:instrText>
            </w:r>
            <w:r w:rsidR="0055678A" w:rsidRPr="0055678A">
              <w:rPr>
                <w:noProof/>
                <w:webHidden/>
              </w:rPr>
            </w:r>
            <w:r w:rsidR="0055678A" w:rsidRPr="0055678A">
              <w:rPr>
                <w:noProof/>
                <w:webHidden/>
              </w:rPr>
              <w:fldChar w:fldCharType="separate"/>
            </w:r>
            <w:r w:rsidR="0055678A" w:rsidRPr="0055678A">
              <w:rPr>
                <w:noProof/>
                <w:webHidden/>
              </w:rPr>
              <w:t>4</w:t>
            </w:r>
            <w:r w:rsidR="0055678A" w:rsidRPr="0055678A">
              <w:rPr>
                <w:noProof/>
                <w:webHidden/>
              </w:rPr>
              <w:fldChar w:fldCharType="end"/>
            </w:r>
          </w:hyperlink>
        </w:p>
        <w:p w:rsidR="0055678A" w:rsidRPr="0055678A" w:rsidRDefault="00F438A0">
          <w:pPr>
            <w:pStyle w:val="TOC1"/>
            <w:tabs>
              <w:tab w:val="left" w:pos="660"/>
              <w:tab w:val="right" w:leader="dot" w:pos="9016"/>
            </w:tabs>
            <w:rPr>
              <w:noProof/>
              <w:lang w:val="en-AU" w:eastAsia="en-AU"/>
            </w:rPr>
          </w:pPr>
          <w:hyperlink w:anchor="_Toc432510176" w:history="1">
            <w:r w:rsidR="0055678A" w:rsidRPr="0055678A">
              <w:rPr>
                <w:rStyle w:val="Hyperlink"/>
                <w:noProof/>
              </w:rPr>
              <w:t xml:space="preserve">2. </w:t>
            </w:r>
            <w:r w:rsidR="0055678A" w:rsidRPr="0055678A">
              <w:rPr>
                <w:noProof/>
                <w:lang w:val="en-AU" w:eastAsia="en-AU"/>
              </w:rPr>
              <w:tab/>
            </w:r>
            <w:r w:rsidR="0055678A" w:rsidRPr="0055678A">
              <w:rPr>
                <w:rStyle w:val="Hyperlink"/>
                <w:noProof/>
              </w:rPr>
              <w:t>The Regulatory Proposal</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_Toc432510176 \h </w:instrText>
            </w:r>
            <w:r w:rsidR="0055678A" w:rsidRPr="0055678A">
              <w:rPr>
                <w:noProof/>
                <w:webHidden/>
              </w:rPr>
            </w:r>
            <w:r w:rsidR="0055678A" w:rsidRPr="0055678A">
              <w:rPr>
                <w:noProof/>
                <w:webHidden/>
              </w:rPr>
              <w:fldChar w:fldCharType="separate"/>
            </w:r>
            <w:r w:rsidR="0055678A" w:rsidRPr="0055678A">
              <w:rPr>
                <w:noProof/>
                <w:webHidden/>
              </w:rPr>
              <w:t>5</w:t>
            </w:r>
            <w:r w:rsidR="0055678A" w:rsidRPr="0055678A">
              <w:rPr>
                <w:noProof/>
                <w:webHidden/>
              </w:rPr>
              <w:fldChar w:fldCharType="end"/>
            </w:r>
          </w:hyperlink>
        </w:p>
        <w:p w:rsidR="0055678A" w:rsidRPr="0055678A" w:rsidRDefault="00F438A0">
          <w:pPr>
            <w:pStyle w:val="TOC1"/>
            <w:tabs>
              <w:tab w:val="left" w:pos="660"/>
              <w:tab w:val="right" w:leader="dot" w:pos="9016"/>
            </w:tabs>
            <w:rPr>
              <w:noProof/>
              <w:lang w:val="en-AU" w:eastAsia="en-AU"/>
            </w:rPr>
          </w:pPr>
          <w:hyperlink w:anchor="_Toc432510177" w:history="1">
            <w:r w:rsidR="0055678A" w:rsidRPr="0055678A">
              <w:rPr>
                <w:rStyle w:val="Hyperlink"/>
                <w:noProof/>
              </w:rPr>
              <w:t xml:space="preserve">3. </w:t>
            </w:r>
            <w:r w:rsidR="0055678A" w:rsidRPr="0055678A">
              <w:rPr>
                <w:noProof/>
                <w:lang w:val="en-AU" w:eastAsia="en-AU"/>
              </w:rPr>
              <w:tab/>
            </w:r>
            <w:r w:rsidR="0055678A" w:rsidRPr="0055678A">
              <w:rPr>
                <w:rStyle w:val="Hyperlink"/>
                <w:noProof/>
              </w:rPr>
              <w:t>Purpose of this Regulatory Impact Statement</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_Toc432510177 \h </w:instrText>
            </w:r>
            <w:r w:rsidR="0055678A" w:rsidRPr="0055678A">
              <w:rPr>
                <w:noProof/>
                <w:webHidden/>
              </w:rPr>
            </w:r>
            <w:r w:rsidR="0055678A" w:rsidRPr="0055678A">
              <w:rPr>
                <w:noProof/>
                <w:webHidden/>
              </w:rPr>
              <w:fldChar w:fldCharType="separate"/>
            </w:r>
            <w:r w:rsidR="0055678A" w:rsidRPr="0055678A">
              <w:rPr>
                <w:noProof/>
                <w:webHidden/>
              </w:rPr>
              <w:t>6</w:t>
            </w:r>
            <w:r w:rsidR="0055678A" w:rsidRPr="0055678A">
              <w:rPr>
                <w:noProof/>
                <w:webHidden/>
              </w:rPr>
              <w:fldChar w:fldCharType="end"/>
            </w:r>
          </w:hyperlink>
        </w:p>
        <w:p w:rsidR="0055678A" w:rsidRPr="0055678A" w:rsidRDefault="00F438A0">
          <w:pPr>
            <w:pStyle w:val="TOC1"/>
            <w:tabs>
              <w:tab w:val="left" w:pos="660"/>
              <w:tab w:val="right" w:leader="dot" w:pos="9016"/>
            </w:tabs>
            <w:rPr>
              <w:noProof/>
              <w:lang w:val="en-AU" w:eastAsia="en-AU"/>
            </w:rPr>
          </w:pPr>
          <w:hyperlink w:anchor="_Toc432510178" w:history="1">
            <w:r w:rsidR="0055678A" w:rsidRPr="0055678A">
              <w:rPr>
                <w:rStyle w:val="Hyperlink"/>
                <w:noProof/>
              </w:rPr>
              <w:t xml:space="preserve">4. </w:t>
            </w:r>
            <w:r w:rsidR="0055678A" w:rsidRPr="0055678A">
              <w:rPr>
                <w:noProof/>
                <w:lang w:val="en-AU" w:eastAsia="en-AU"/>
              </w:rPr>
              <w:tab/>
            </w:r>
            <w:r w:rsidR="0055678A" w:rsidRPr="0055678A">
              <w:rPr>
                <w:rStyle w:val="Hyperlink"/>
                <w:noProof/>
              </w:rPr>
              <w:t>Nature and extent of the problem</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_Toc432510178 \h </w:instrText>
            </w:r>
            <w:r w:rsidR="0055678A" w:rsidRPr="0055678A">
              <w:rPr>
                <w:noProof/>
                <w:webHidden/>
              </w:rPr>
            </w:r>
            <w:r w:rsidR="0055678A" w:rsidRPr="0055678A">
              <w:rPr>
                <w:noProof/>
                <w:webHidden/>
              </w:rPr>
              <w:fldChar w:fldCharType="separate"/>
            </w:r>
            <w:r w:rsidR="0055678A" w:rsidRPr="0055678A">
              <w:rPr>
                <w:noProof/>
                <w:webHidden/>
              </w:rPr>
              <w:t>7</w:t>
            </w:r>
            <w:r w:rsidR="0055678A" w:rsidRPr="0055678A">
              <w:rPr>
                <w:noProof/>
                <w:webHidden/>
              </w:rPr>
              <w:fldChar w:fldCharType="end"/>
            </w:r>
          </w:hyperlink>
        </w:p>
        <w:p w:rsidR="0055678A" w:rsidRPr="0055678A" w:rsidRDefault="00F438A0">
          <w:pPr>
            <w:pStyle w:val="TOC2"/>
            <w:tabs>
              <w:tab w:val="left" w:pos="880"/>
              <w:tab w:val="right" w:leader="dot" w:pos="9016"/>
            </w:tabs>
            <w:rPr>
              <w:noProof/>
              <w:lang w:val="en-AU" w:eastAsia="en-AU"/>
            </w:rPr>
          </w:pPr>
          <w:hyperlink w:anchor="_Toc432510179" w:history="1">
            <w:r w:rsidR="0055678A" w:rsidRPr="0055678A">
              <w:rPr>
                <w:rStyle w:val="Hyperlink"/>
                <w:rFonts w:eastAsia="Times New Roman" w:cs="Times New Roman"/>
                <w:noProof/>
              </w:rPr>
              <w:t xml:space="preserve">4.1. </w:t>
            </w:r>
            <w:r w:rsidR="0055678A" w:rsidRPr="0055678A">
              <w:rPr>
                <w:noProof/>
                <w:lang w:val="en-AU" w:eastAsia="en-AU"/>
              </w:rPr>
              <w:tab/>
            </w:r>
            <w:r w:rsidR="0055678A" w:rsidRPr="0055678A">
              <w:rPr>
                <w:rStyle w:val="Hyperlink"/>
                <w:rFonts w:eastAsia="Times New Roman" w:cs="Times New Roman"/>
                <w:noProof/>
              </w:rPr>
              <w:t>Background</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_Toc432510179 \h </w:instrText>
            </w:r>
            <w:r w:rsidR="0055678A" w:rsidRPr="0055678A">
              <w:rPr>
                <w:noProof/>
                <w:webHidden/>
              </w:rPr>
            </w:r>
            <w:r w:rsidR="0055678A" w:rsidRPr="0055678A">
              <w:rPr>
                <w:noProof/>
                <w:webHidden/>
              </w:rPr>
              <w:fldChar w:fldCharType="separate"/>
            </w:r>
            <w:r w:rsidR="0055678A" w:rsidRPr="0055678A">
              <w:rPr>
                <w:noProof/>
                <w:webHidden/>
              </w:rPr>
              <w:t>7</w:t>
            </w:r>
            <w:r w:rsidR="0055678A" w:rsidRPr="0055678A">
              <w:rPr>
                <w:noProof/>
                <w:webHidden/>
              </w:rPr>
              <w:fldChar w:fldCharType="end"/>
            </w:r>
          </w:hyperlink>
        </w:p>
        <w:p w:rsidR="0055678A" w:rsidRPr="0055678A" w:rsidRDefault="00F438A0">
          <w:pPr>
            <w:pStyle w:val="TOC2"/>
            <w:tabs>
              <w:tab w:val="left" w:pos="880"/>
              <w:tab w:val="right" w:leader="dot" w:pos="9016"/>
            </w:tabs>
            <w:rPr>
              <w:noProof/>
              <w:lang w:val="en-AU" w:eastAsia="en-AU"/>
            </w:rPr>
          </w:pPr>
          <w:hyperlink w:anchor="_Toc432510180" w:history="1">
            <w:r w:rsidR="0055678A" w:rsidRPr="0055678A">
              <w:rPr>
                <w:rStyle w:val="Hyperlink"/>
                <w:rFonts w:eastAsia="Times New Roman" w:cs="Times New Roman"/>
                <w:noProof/>
              </w:rPr>
              <w:t xml:space="preserve">4.2. </w:t>
            </w:r>
            <w:r w:rsidR="0055678A" w:rsidRPr="0055678A">
              <w:rPr>
                <w:noProof/>
                <w:lang w:val="en-AU" w:eastAsia="en-AU"/>
              </w:rPr>
              <w:tab/>
            </w:r>
            <w:r w:rsidR="0055678A" w:rsidRPr="0055678A">
              <w:rPr>
                <w:rStyle w:val="Hyperlink"/>
                <w:rFonts w:eastAsia="Times New Roman" w:cs="Times New Roman"/>
                <w:noProof/>
              </w:rPr>
              <w:t>Cost-recovery principles</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_Toc432510180 \h </w:instrText>
            </w:r>
            <w:r w:rsidR="0055678A" w:rsidRPr="0055678A">
              <w:rPr>
                <w:noProof/>
                <w:webHidden/>
              </w:rPr>
            </w:r>
            <w:r w:rsidR="0055678A" w:rsidRPr="0055678A">
              <w:rPr>
                <w:noProof/>
                <w:webHidden/>
              </w:rPr>
              <w:fldChar w:fldCharType="separate"/>
            </w:r>
            <w:r w:rsidR="0055678A" w:rsidRPr="0055678A">
              <w:rPr>
                <w:noProof/>
                <w:webHidden/>
              </w:rPr>
              <w:t>8</w:t>
            </w:r>
            <w:r w:rsidR="0055678A" w:rsidRPr="0055678A">
              <w:rPr>
                <w:noProof/>
                <w:webHidden/>
              </w:rPr>
              <w:fldChar w:fldCharType="end"/>
            </w:r>
          </w:hyperlink>
        </w:p>
        <w:p w:rsidR="0055678A" w:rsidRPr="0055678A" w:rsidRDefault="00F438A0">
          <w:pPr>
            <w:pStyle w:val="TOC1"/>
            <w:tabs>
              <w:tab w:val="left" w:pos="660"/>
              <w:tab w:val="right" w:leader="dot" w:pos="9016"/>
            </w:tabs>
            <w:rPr>
              <w:noProof/>
              <w:lang w:val="en-AU" w:eastAsia="en-AU"/>
            </w:rPr>
          </w:pPr>
          <w:hyperlink w:anchor="_Toc432510181" w:history="1">
            <w:r w:rsidR="0055678A" w:rsidRPr="0055678A">
              <w:rPr>
                <w:rStyle w:val="Hyperlink"/>
                <w:noProof/>
              </w:rPr>
              <w:t xml:space="preserve">5. </w:t>
            </w:r>
            <w:r w:rsidR="0055678A" w:rsidRPr="0055678A">
              <w:rPr>
                <w:noProof/>
                <w:lang w:val="en-AU" w:eastAsia="en-AU"/>
              </w:rPr>
              <w:tab/>
            </w:r>
            <w:r w:rsidR="0055678A" w:rsidRPr="0055678A">
              <w:rPr>
                <w:rStyle w:val="Hyperlink"/>
                <w:noProof/>
              </w:rPr>
              <w:t>Objectives of the proposed Regulations</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_Toc432510181 \h </w:instrText>
            </w:r>
            <w:r w:rsidR="0055678A" w:rsidRPr="0055678A">
              <w:rPr>
                <w:noProof/>
                <w:webHidden/>
              </w:rPr>
            </w:r>
            <w:r w:rsidR="0055678A" w:rsidRPr="0055678A">
              <w:rPr>
                <w:noProof/>
                <w:webHidden/>
              </w:rPr>
              <w:fldChar w:fldCharType="separate"/>
            </w:r>
            <w:r w:rsidR="0055678A" w:rsidRPr="0055678A">
              <w:rPr>
                <w:noProof/>
                <w:webHidden/>
              </w:rPr>
              <w:t>9</w:t>
            </w:r>
            <w:r w:rsidR="0055678A" w:rsidRPr="0055678A">
              <w:rPr>
                <w:noProof/>
                <w:webHidden/>
              </w:rPr>
              <w:fldChar w:fldCharType="end"/>
            </w:r>
          </w:hyperlink>
        </w:p>
        <w:p w:rsidR="0055678A" w:rsidRPr="0055678A" w:rsidRDefault="00F438A0">
          <w:pPr>
            <w:pStyle w:val="TOC1"/>
            <w:tabs>
              <w:tab w:val="left" w:pos="660"/>
              <w:tab w:val="right" w:leader="dot" w:pos="9016"/>
            </w:tabs>
            <w:rPr>
              <w:noProof/>
              <w:lang w:val="en-AU" w:eastAsia="en-AU"/>
            </w:rPr>
          </w:pPr>
          <w:hyperlink w:anchor="_Toc432510182" w:history="1">
            <w:r w:rsidR="0055678A" w:rsidRPr="0055678A">
              <w:rPr>
                <w:rStyle w:val="Hyperlink"/>
                <w:noProof/>
              </w:rPr>
              <w:t xml:space="preserve">6. </w:t>
            </w:r>
            <w:r w:rsidR="0055678A" w:rsidRPr="0055678A">
              <w:rPr>
                <w:noProof/>
                <w:lang w:val="en-AU" w:eastAsia="en-AU"/>
              </w:rPr>
              <w:tab/>
            </w:r>
            <w:r w:rsidR="0055678A" w:rsidRPr="0055678A">
              <w:rPr>
                <w:rStyle w:val="Hyperlink"/>
                <w:noProof/>
              </w:rPr>
              <w:t>The Proposed Fee</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_Toc432510182 \h </w:instrText>
            </w:r>
            <w:r w:rsidR="0055678A" w:rsidRPr="0055678A">
              <w:rPr>
                <w:noProof/>
                <w:webHidden/>
              </w:rPr>
            </w:r>
            <w:r w:rsidR="0055678A" w:rsidRPr="0055678A">
              <w:rPr>
                <w:noProof/>
                <w:webHidden/>
              </w:rPr>
              <w:fldChar w:fldCharType="separate"/>
            </w:r>
            <w:r w:rsidR="0055678A" w:rsidRPr="0055678A">
              <w:rPr>
                <w:noProof/>
                <w:webHidden/>
              </w:rPr>
              <w:t>10</w:t>
            </w:r>
            <w:r w:rsidR="0055678A" w:rsidRPr="0055678A">
              <w:rPr>
                <w:noProof/>
                <w:webHidden/>
              </w:rPr>
              <w:fldChar w:fldCharType="end"/>
            </w:r>
          </w:hyperlink>
        </w:p>
        <w:p w:rsidR="0055678A" w:rsidRPr="0055678A" w:rsidRDefault="00F438A0">
          <w:pPr>
            <w:pStyle w:val="TOC2"/>
            <w:tabs>
              <w:tab w:val="left" w:pos="880"/>
              <w:tab w:val="right" w:leader="dot" w:pos="9016"/>
            </w:tabs>
            <w:rPr>
              <w:noProof/>
              <w:lang w:val="en-AU" w:eastAsia="en-AU"/>
            </w:rPr>
          </w:pPr>
          <w:hyperlink w:anchor="_Toc432510183" w:history="1">
            <w:r w:rsidR="0055678A" w:rsidRPr="0055678A">
              <w:rPr>
                <w:rStyle w:val="Hyperlink"/>
                <w:rFonts w:eastAsia="Times New Roman" w:cs="Times New Roman"/>
                <w:noProof/>
              </w:rPr>
              <w:t xml:space="preserve">6.1. </w:t>
            </w:r>
            <w:r w:rsidR="0055678A" w:rsidRPr="0055678A">
              <w:rPr>
                <w:noProof/>
                <w:lang w:val="en-AU" w:eastAsia="en-AU"/>
              </w:rPr>
              <w:tab/>
            </w:r>
            <w:r w:rsidR="0055678A" w:rsidRPr="0055678A">
              <w:rPr>
                <w:rStyle w:val="Hyperlink"/>
                <w:rFonts w:eastAsia="Times New Roman" w:cs="Times New Roman"/>
                <w:noProof/>
              </w:rPr>
              <w:t>Process for providing land tax clearance certificates</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_Toc432510183 \h </w:instrText>
            </w:r>
            <w:r w:rsidR="0055678A" w:rsidRPr="0055678A">
              <w:rPr>
                <w:noProof/>
                <w:webHidden/>
              </w:rPr>
            </w:r>
            <w:r w:rsidR="0055678A" w:rsidRPr="0055678A">
              <w:rPr>
                <w:noProof/>
                <w:webHidden/>
              </w:rPr>
              <w:fldChar w:fldCharType="separate"/>
            </w:r>
            <w:r w:rsidR="0055678A" w:rsidRPr="0055678A">
              <w:rPr>
                <w:noProof/>
                <w:webHidden/>
              </w:rPr>
              <w:t>10</w:t>
            </w:r>
            <w:r w:rsidR="0055678A" w:rsidRPr="0055678A">
              <w:rPr>
                <w:noProof/>
                <w:webHidden/>
              </w:rPr>
              <w:fldChar w:fldCharType="end"/>
            </w:r>
          </w:hyperlink>
        </w:p>
        <w:p w:rsidR="0055678A" w:rsidRPr="0055678A" w:rsidRDefault="00F438A0">
          <w:pPr>
            <w:pStyle w:val="TOC2"/>
            <w:tabs>
              <w:tab w:val="left" w:pos="880"/>
              <w:tab w:val="right" w:leader="dot" w:pos="9016"/>
            </w:tabs>
            <w:rPr>
              <w:noProof/>
              <w:lang w:val="en-AU" w:eastAsia="en-AU"/>
            </w:rPr>
          </w:pPr>
          <w:hyperlink w:anchor="_Toc432510184" w:history="1">
            <w:r w:rsidR="0055678A" w:rsidRPr="0055678A">
              <w:rPr>
                <w:rStyle w:val="Hyperlink"/>
                <w:rFonts w:eastAsia="Times New Roman" w:cs="Times New Roman"/>
                <w:noProof/>
              </w:rPr>
              <w:t xml:space="preserve">6.2. </w:t>
            </w:r>
            <w:r w:rsidR="0055678A" w:rsidRPr="0055678A">
              <w:rPr>
                <w:noProof/>
                <w:lang w:val="en-AU" w:eastAsia="en-AU"/>
              </w:rPr>
              <w:tab/>
            </w:r>
            <w:r w:rsidR="0055678A" w:rsidRPr="0055678A">
              <w:rPr>
                <w:rStyle w:val="Hyperlink"/>
                <w:rFonts w:eastAsia="Times New Roman" w:cs="Times New Roman"/>
                <w:noProof/>
              </w:rPr>
              <w:t>Estimating the cost base</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_Toc432510184 \h </w:instrText>
            </w:r>
            <w:r w:rsidR="0055678A" w:rsidRPr="0055678A">
              <w:rPr>
                <w:noProof/>
                <w:webHidden/>
              </w:rPr>
            </w:r>
            <w:r w:rsidR="0055678A" w:rsidRPr="0055678A">
              <w:rPr>
                <w:noProof/>
                <w:webHidden/>
              </w:rPr>
              <w:fldChar w:fldCharType="separate"/>
            </w:r>
            <w:r w:rsidR="0055678A" w:rsidRPr="0055678A">
              <w:rPr>
                <w:noProof/>
                <w:webHidden/>
              </w:rPr>
              <w:t>13</w:t>
            </w:r>
            <w:r w:rsidR="0055678A" w:rsidRPr="0055678A">
              <w:rPr>
                <w:noProof/>
                <w:webHidden/>
              </w:rPr>
              <w:fldChar w:fldCharType="end"/>
            </w:r>
          </w:hyperlink>
        </w:p>
        <w:p w:rsidR="0055678A" w:rsidRPr="0055678A" w:rsidRDefault="00F438A0">
          <w:pPr>
            <w:pStyle w:val="TOC2"/>
            <w:tabs>
              <w:tab w:val="left" w:pos="880"/>
              <w:tab w:val="right" w:leader="dot" w:pos="9016"/>
            </w:tabs>
            <w:rPr>
              <w:noProof/>
              <w:lang w:val="en-AU" w:eastAsia="en-AU"/>
            </w:rPr>
          </w:pPr>
          <w:hyperlink w:anchor="_Toc432510185" w:history="1">
            <w:r w:rsidR="0055678A" w:rsidRPr="0055678A">
              <w:rPr>
                <w:rStyle w:val="Hyperlink"/>
                <w:rFonts w:eastAsia="Times New Roman" w:cs="Times New Roman"/>
                <w:noProof/>
              </w:rPr>
              <w:t xml:space="preserve">6.3. </w:t>
            </w:r>
            <w:r w:rsidR="0055678A" w:rsidRPr="0055678A">
              <w:rPr>
                <w:noProof/>
                <w:lang w:val="en-AU" w:eastAsia="en-AU"/>
              </w:rPr>
              <w:tab/>
            </w:r>
            <w:r w:rsidR="0055678A" w:rsidRPr="0055678A">
              <w:rPr>
                <w:rStyle w:val="Hyperlink"/>
                <w:rFonts w:eastAsia="Times New Roman" w:cs="Times New Roman"/>
                <w:noProof/>
              </w:rPr>
              <w:t>Setting the fee for a land tax clearance certificate</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_Toc432510185 \h </w:instrText>
            </w:r>
            <w:r w:rsidR="0055678A" w:rsidRPr="0055678A">
              <w:rPr>
                <w:noProof/>
                <w:webHidden/>
              </w:rPr>
            </w:r>
            <w:r w:rsidR="0055678A" w:rsidRPr="0055678A">
              <w:rPr>
                <w:noProof/>
                <w:webHidden/>
              </w:rPr>
              <w:fldChar w:fldCharType="separate"/>
            </w:r>
            <w:r w:rsidR="0055678A" w:rsidRPr="0055678A">
              <w:rPr>
                <w:noProof/>
                <w:webHidden/>
              </w:rPr>
              <w:t>16</w:t>
            </w:r>
            <w:r w:rsidR="0055678A" w:rsidRPr="0055678A">
              <w:rPr>
                <w:noProof/>
                <w:webHidden/>
              </w:rPr>
              <w:fldChar w:fldCharType="end"/>
            </w:r>
          </w:hyperlink>
        </w:p>
        <w:p w:rsidR="0055678A" w:rsidRPr="0055678A" w:rsidRDefault="0055678A" w:rsidP="0055678A">
          <w:pPr>
            <w:pStyle w:val="TOC2"/>
            <w:tabs>
              <w:tab w:val="left" w:pos="709"/>
              <w:tab w:val="right" w:leader="dot" w:pos="9016"/>
            </w:tabs>
            <w:rPr>
              <w:noProof/>
              <w:lang w:val="en-AU" w:eastAsia="en-AU"/>
            </w:rPr>
          </w:pPr>
          <w:r w:rsidRPr="00E07C67">
            <w:rPr>
              <w:rStyle w:val="Hyperlink"/>
              <w:noProof/>
              <w:u w:val="none"/>
            </w:rPr>
            <w:tab/>
          </w:r>
          <w:hyperlink w:anchor="_Toc432510186" w:history="1">
            <w:r w:rsidRPr="0055678A">
              <w:rPr>
                <w:rStyle w:val="Hyperlink"/>
                <w:rFonts w:eastAsia="Times New Roman" w:cs="Times New Roman"/>
                <w:noProof/>
              </w:rPr>
              <w:t>6.3.1. Options relating to the structure of the application fee</w:t>
            </w:r>
            <w:r w:rsidRPr="0055678A">
              <w:rPr>
                <w:noProof/>
                <w:webHidden/>
              </w:rPr>
              <w:tab/>
            </w:r>
            <w:r w:rsidRPr="0055678A">
              <w:rPr>
                <w:noProof/>
                <w:webHidden/>
              </w:rPr>
              <w:fldChar w:fldCharType="begin"/>
            </w:r>
            <w:r w:rsidRPr="0055678A">
              <w:rPr>
                <w:noProof/>
                <w:webHidden/>
              </w:rPr>
              <w:instrText xml:space="preserve"> PAGEREF _Toc432510186 \h </w:instrText>
            </w:r>
            <w:r w:rsidRPr="0055678A">
              <w:rPr>
                <w:noProof/>
                <w:webHidden/>
              </w:rPr>
            </w:r>
            <w:r w:rsidRPr="0055678A">
              <w:rPr>
                <w:noProof/>
                <w:webHidden/>
              </w:rPr>
              <w:fldChar w:fldCharType="separate"/>
            </w:r>
            <w:r w:rsidRPr="0055678A">
              <w:rPr>
                <w:noProof/>
                <w:webHidden/>
              </w:rPr>
              <w:t>17</w:t>
            </w:r>
            <w:r w:rsidRPr="0055678A">
              <w:rPr>
                <w:noProof/>
                <w:webHidden/>
              </w:rPr>
              <w:fldChar w:fldCharType="end"/>
            </w:r>
          </w:hyperlink>
        </w:p>
        <w:p w:rsidR="0055678A" w:rsidRPr="0055678A" w:rsidRDefault="0055678A" w:rsidP="0055678A">
          <w:pPr>
            <w:pStyle w:val="TOC2"/>
            <w:tabs>
              <w:tab w:val="left" w:pos="709"/>
              <w:tab w:val="right" w:leader="dot" w:pos="9016"/>
            </w:tabs>
            <w:rPr>
              <w:noProof/>
              <w:lang w:val="en-AU" w:eastAsia="en-AU"/>
            </w:rPr>
          </w:pPr>
          <w:r w:rsidRPr="00E07C67">
            <w:rPr>
              <w:rStyle w:val="Hyperlink"/>
              <w:noProof/>
              <w:u w:val="none"/>
            </w:rPr>
            <w:tab/>
          </w:r>
          <w:hyperlink w:anchor="_Toc432510187" w:history="1">
            <w:r w:rsidRPr="0055678A">
              <w:rPr>
                <w:rStyle w:val="Hyperlink"/>
                <w:rFonts w:eastAsia="Times New Roman" w:cs="Times New Roman"/>
                <w:noProof/>
              </w:rPr>
              <w:t>6.3.2. Consideration of feasible options</w:t>
            </w:r>
            <w:r w:rsidRPr="0055678A">
              <w:rPr>
                <w:noProof/>
                <w:webHidden/>
              </w:rPr>
              <w:tab/>
            </w:r>
            <w:r w:rsidRPr="0055678A">
              <w:rPr>
                <w:noProof/>
                <w:webHidden/>
              </w:rPr>
              <w:fldChar w:fldCharType="begin"/>
            </w:r>
            <w:r w:rsidRPr="0055678A">
              <w:rPr>
                <w:noProof/>
                <w:webHidden/>
              </w:rPr>
              <w:instrText xml:space="preserve"> PAGEREF _Toc432510187 \h </w:instrText>
            </w:r>
            <w:r w:rsidRPr="0055678A">
              <w:rPr>
                <w:noProof/>
                <w:webHidden/>
              </w:rPr>
            </w:r>
            <w:r w:rsidRPr="0055678A">
              <w:rPr>
                <w:noProof/>
                <w:webHidden/>
              </w:rPr>
              <w:fldChar w:fldCharType="separate"/>
            </w:r>
            <w:r w:rsidRPr="0055678A">
              <w:rPr>
                <w:noProof/>
                <w:webHidden/>
              </w:rPr>
              <w:t>21</w:t>
            </w:r>
            <w:r w:rsidRPr="0055678A">
              <w:rPr>
                <w:noProof/>
                <w:webHidden/>
              </w:rPr>
              <w:fldChar w:fldCharType="end"/>
            </w:r>
          </w:hyperlink>
        </w:p>
        <w:p w:rsidR="0055678A" w:rsidRPr="0055678A" w:rsidRDefault="00F438A0">
          <w:pPr>
            <w:pStyle w:val="TOC2"/>
            <w:tabs>
              <w:tab w:val="right" w:leader="dot" w:pos="9016"/>
            </w:tabs>
            <w:rPr>
              <w:noProof/>
              <w:lang w:val="en-AU" w:eastAsia="en-AU"/>
            </w:rPr>
          </w:pPr>
          <w:hyperlink w:anchor="_Toc432510188" w:history="1">
            <w:r w:rsidR="0055678A" w:rsidRPr="0055678A">
              <w:rPr>
                <w:rStyle w:val="Hyperlink"/>
                <w:rFonts w:eastAsia="Times New Roman" w:cs="Times New Roman"/>
                <w:noProof/>
              </w:rPr>
              <w:t>6.4. Proposed land tax clearance certificate fee</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_Toc432510188 \h </w:instrText>
            </w:r>
            <w:r w:rsidR="0055678A" w:rsidRPr="0055678A">
              <w:rPr>
                <w:noProof/>
                <w:webHidden/>
              </w:rPr>
            </w:r>
            <w:r w:rsidR="0055678A" w:rsidRPr="0055678A">
              <w:rPr>
                <w:noProof/>
                <w:webHidden/>
              </w:rPr>
              <w:fldChar w:fldCharType="separate"/>
            </w:r>
            <w:r w:rsidR="0055678A" w:rsidRPr="0055678A">
              <w:rPr>
                <w:noProof/>
                <w:webHidden/>
              </w:rPr>
              <w:t>24</w:t>
            </w:r>
            <w:r w:rsidR="0055678A" w:rsidRPr="0055678A">
              <w:rPr>
                <w:noProof/>
                <w:webHidden/>
              </w:rPr>
              <w:fldChar w:fldCharType="end"/>
            </w:r>
          </w:hyperlink>
        </w:p>
        <w:p w:rsidR="0055678A" w:rsidRPr="0055678A" w:rsidRDefault="00F438A0">
          <w:pPr>
            <w:pStyle w:val="TOC1"/>
            <w:tabs>
              <w:tab w:val="left" w:pos="660"/>
              <w:tab w:val="right" w:leader="dot" w:pos="9016"/>
            </w:tabs>
            <w:rPr>
              <w:noProof/>
              <w:lang w:val="en-AU" w:eastAsia="en-AU"/>
            </w:rPr>
          </w:pPr>
          <w:hyperlink w:anchor="_Toc432510189" w:history="1">
            <w:r w:rsidR="0055678A" w:rsidRPr="0055678A">
              <w:rPr>
                <w:rStyle w:val="Hyperlink"/>
                <w:noProof/>
              </w:rPr>
              <w:t xml:space="preserve">7. </w:t>
            </w:r>
            <w:r w:rsidR="0055678A" w:rsidRPr="0055678A">
              <w:rPr>
                <w:noProof/>
                <w:lang w:val="en-AU" w:eastAsia="en-AU"/>
              </w:rPr>
              <w:tab/>
            </w:r>
            <w:r w:rsidR="0055678A" w:rsidRPr="0055678A">
              <w:rPr>
                <w:rStyle w:val="Hyperlink"/>
                <w:noProof/>
              </w:rPr>
              <w:t>Fees and charges for similar services in Australian jurisdictions</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_Toc432510189 \h </w:instrText>
            </w:r>
            <w:r w:rsidR="0055678A" w:rsidRPr="0055678A">
              <w:rPr>
                <w:noProof/>
                <w:webHidden/>
              </w:rPr>
            </w:r>
            <w:r w:rsidR="0055678A" w:rsidRPr="0055678A">
              <w:rPr>
                <w:noProof/>
                <w:webHidden/>
              </w:rPr>
              <w:fldChar w:fldCharType="separate"/>
            </w:r>
            <w:r w:rsidR="0055678A" w:rsidRPr="0055678A">
              <w:rPr>
                <w:noProof/>
                <w:webHidden/>
              </w:rPr>
              <w:t>25</w:t>
            </w:r>
            <w:r w:rsidR="0055678A" w:rsidRPr="0055678A">
              <w:rPr>
                <w:noProof/>
                <w:webHidden/>
              </w:rPr>
              <w:fldChar w:fldCharType="end"/>
            </w:r>
          </w:hyperlink>
        </w:p>
        <w:p w:rsidR="0055678A" w:rsidRPr="0055678A" w:rsidRDefault="00F438A0">
          <w:pPr>
            <w:pStyle w:val="TOC1"/>
            <w:tabs>
              <w:tab w:val="left" w:pos="660"/>
              <w:tab w:val="right" w:leader="dot" w:pos="9016"/>
            </w:tabs>
            <w:rPr>
              <w:noProof/>
              <w:lang w:val="en-AU" w:eastAsia="en-AU"/>
            </w:rPr>
          </w:pPr>
          <w:hyperlink w:anchor="_Toc432510190" w:history="1">
            <w:r w:rsidR="0055678A" w:rsidRPr="0055678A">
              <w:rPr>
                <w:rStyle w:val="Hyperlink"/>
                <w:noProof/>
              </w:rPr>
              <w:t xml:space="preserve">8. </w:t>
            </w:r>
            <w:r w:rsidR="0055678A" w:rsidRPr="0055678A">
              <w:rPr>
                <w:noProof/>
                <w:lang w:val="en-AU" w:eastAsia="en-AU"/>
              </w:rPr>
              <w:tab/>
            </w:r>
            <w:r w:rsidR="0055678A" w:rsidRPr="0055678A">
              <w:rPr>
                <w:rStyle w:val="Hyperlink"/>
                <w:noProof/>
              </w:rPr>
              <w:t>Competition assessment</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_Toc432510190 \h </w:instrText>
            </w:r>
            <w:r w:rsidR="0055678A" w:rsidRPr="0055678A">
              <w:rPr>
                <w:noProof/>
                <w:webHidden/>
              </w:rPr>
            </w:r>
            <w:r w:rsidR="0055678A" w:rsidRPr="0055678A">
              <w:rPr>
                <w:noProof/>
                <w:webHidden/>
              </w:rPr>
              <w:fldChar w:fldCharType="separate"/>
            </w:r>
            <w:r w:rsidR="0055678A" w:rsidRPr="0055678A">
              <w:rPr>
                <w:noProof/>
                <w:webHidden/>
              </w:rPr>
              <w:t>26</w:t>
            </w:r>
            <w:r w:rsidR="0055678A" w:rsidRPr="0055678A">
              <w:rPr>
                <w:noProof/>
                <w:webHidden/>
              </w:rPr>
              <w:fldChar w:fldCharType="end"/>
            </w:r>
          </w:hyperlink>
        </w:p>
        <w:p w:rsidR="0055678A" w:rsidRPr="0055678A" w:rsidRDefault="00F438A0">
          <w:pPr>
            <w:pStyle w:val="TOC1"/>
            <w:tabs>
              <w:tab w:val="left" w:pos="660"/>
              <w:tab w:val="right" w:leader="dot" w:pos="9016"/>
            </w:tabs>
            <w:rPr>
              <w:noProof/>
              <w:lang w:val="en-AU" w:eastAsia="en-AU"/>
            </w:rPr>
          </w:pPr>
          <w:hyperlink w:anchor="_Toc432510191" w:history="1">
            <w:r w:rsidR="0055678A" w:rsidRPr="0055678A">
              <w:rPr>
                <w:rStyle w:val="Hyperlink"/>
                <w:noProof/>
              </w:rPr>
              <w:t xml:space="preserve">9. </w:t>
            </w:r>
            <w:r w:rsidR="0055678A" w:rsidRPr="0055678A">
              <w:rPr>
                <w:noProof/>
                <w:lang w:val="en-AU" w:eastAsia="en-AU"/>
              </w:rPr>
              <w:tab/>
            </w:r>
            <w:r w:rsidR="0055678A" w:rsidRPr="0055678A">
              <w:rPr>
                <w:rStyle w:val="Hyperlink"/>
                <w:noProof/>
              </w:rPr>
              <w:t>Conclusion and recommendation</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_Toc432510191 \h </w:instrText>
            </w:r>
            <w:r w:rsidR="0055678A" w:rsidRPr="0055678A">
              <w:rPr>
                <w:noProof/>
                <w:webHidden/>
              </w:rPr>
            </w:r>
            <w:r w:rsidR="0055678A" w:rsidRPr="0055678A">
              <w:rPr>
                <w:noProof/>
                <w:webHidden/>
              </w:rPr>
              <w:fldChar w:fldCharType="separate"/>
            </w:r>
            <w:r w:rsidR="0055678A" w:rsidRPr="0055678A">
              <w:rPr>
                <w:noProof/>
                <w:webHidden/>
              </w:rPr>
              <w:t>27</w:t>
            </w:r>
            <w:r w:rsidR="0055678A" w:rsidRPr="0055678A">
              <w:rPr>
                <w:noProof/>
                <w:webHidden/>
              </w:rPr>
              <w:fldChar w:fldCharType="end"/>
            </w:r>
          </w:hyperlink>
        </w:p>
        <w:p w:rsidR="0055678A" w:rsidRPr="0055678A" w:rsidRDefault="00F438A0">
          <w:pPr>
            <w:pStyle w:val="TOC1"/>
            <w:tabs>
              <w:tab w:val="left" w:pos="660"/>
              <w:tab w:val="right" w:leader="dot" w:pos="9016"/>
            </w:tabs>
            <w:rPr>
              <w:noProof/>
              <w:lang w:val="en-AU" w:eastAsia="en-AU"/>
            </w:rPr>
          </w:pPr>
          <w:hyperlink w:anchor="_Toc432510192" w:history="1">
            <w:r w:rsidR="0055678A" w:rsidRPr="0055678A">
              <w:rPr>
                <w:rStyle w:val="Hyperlink"/>
                <w:noProof/>
              </w:rPr>
              <w:t xml:space="preserve">10. </w:t>
            </w:r>
            <w:r w:rsidR="0055678A" w:rsidRPr="0055678A">
              <w:rPr>
                <w:noProof/>
                <w:lang w:val="en-AU" w:eastAsia="en-AU"/>
              </w:rPr>
              <w:tab/>
            </w:r>
            <w:r w:rsidR="0055678A" w:rsidRPr="0055678A">
              <w:rPr>
                <w:rStyle w:val="Hyperlink"/>
                <w:noProof/>
              </w:rPr>
              <w:t>Consultation</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_Toc432510192 \h </w:instrText>
            </w:r>
            <w:r w:rsidR="0055678A" w:rsidRPr="0055678A">
              <w:rPr>
                <w:noProof/>
                <w:webHidden/>
              </w:rPr>
            </w:r>
            <w:r w:rsidR="0055678A" w:rsidRPr="0055678A">
              <w:rPr>
                <w:noProof/>
                <w:webHidden/>
              </w:rPr>
              <w:fldChar w:fldCharType="separate"/>
            </w:r>
            <w:r w:rsidR="0055678A" w:rsidRPr="0055678A">
              <w:rPr>
                <w:noProof/>
                <w:webHidden/>
              </w:rPr>
              <w:t>28</w:t>
            </w:r>
            <w:r w:rsidR="0055678A" w:rsidRPr="0055678A">
              <w:rPr>
                <w:noProof/>
                <w:webHidden/>
              </w:rPr>
              <w:fldChar w:fldCharType="end"/>
            </w:r>
          </w:hyperlink>
        </w:p>
        <w:p w:rsidR="0055678A" w:rsidRPr="0055678A" w:rsidRDefault="00F438A0">
          <w:pPr>
            <w:pStyle w:val="TOC1"/>
            <w:tabs>
              <w:tab w:val="left" w:pos="660"/>
              <w:tab w:val="right" w:leader="dot" w:pos="9016"/>
            </w:tabs>
            <w:rPr>
              <w:noProof/>
              <w:lang w:val="en-AU" w:eastAsia="en-AU"/>
            </w:rPr>
          </w:pPr>
          <w:hyperlink w:anchor="_Toc432510193" w:history="1">
            <w:r w:rsidR="0055678A" w:rsidRPr="0055678A">
              <w:rPr>
                <w:rStyle w:val="Hyperlink"/>
                <w:noProof/>
              </w:rPr>
              <w:t xml:space="preserve">11. </w:t>
            </w:r>
            <w:r w:rsidR="0055678A" w:rsidRPr="0055678A">
              <w:rPr>
                <w:noProof/>
                <w:lang w:val="en-AU" w:eastAsia="en-AU"/>
              </w:rPr>
              <w:tab/>
            </w:r>
            <w:r w:rsidR="0055678A" w:rsidRPr="0055678A">
              <w:rPr>
                <w:rStyle w:val="Hyperlink"/>
                <w:noProof/>
              </w:rPr>
              <w:t>Evaluation strategy</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_Toc432510193 \h </w:instrText>
            </w:r>
            <w:r w:rsidR="0055678A" w:rsidRPr="0055678A">
              <w:rPr>
                <w:noProof/>
                <w:webHidden/>
              </w:rPr>
            </w:r>
            <w:r w:rsidR="0055678A" w:rsidRPr="0055678A">
              <w:rPr>
                <w:noProof/>
                <w:webHidden/>
              </w:rPr>
              <w:fldChar w:fldCharType="separate"/>
            </w:r>
            <w:r w:rsidR="0055678A" w:rsidRPr="0055678A">
              <w:rPr>
                <w:noProof/>
                <w:webHidden/>
              </w:rPr>
              <w:t>29</w:t>
            </w:r>
            <w:r w:rsidR="0055678A" w:rsidRPr="0055678A">
              <w:rPr>
                <w:noProof/>
                <w:webHidden/>
              </w:rPr>
              <w:fldChar w:fldCharType="end"/>
            </w:r>
          </w:hyperlink>
        </w:p>
        <w:p w:rsidR="0055678A" w:rsidRPr="0055678A" w:rsidRDefault="00F438A0">
          <w:pPr>
            <w:pStyle w:val="TOC1"/>
            <w:tabs>
              <w:tab w:val="left" w:pos="660"/>
              <w:tab w:val="right" w:leader="dot" w:pos="9016"/>
            </w:tabs>
            <w:rPr>
              <w:noProof/>
              <w:lang w:val="en-AU" w:eastAsia="en-AU"/>
            </w:rPr>
          </w:pPr>
          <w:hyperlink w:anchor="_Toc432510194" w:history="1">
            <w:r w:rsidR="0055678A" w:rsidRPr="0055678A">
              <w:rPr>
                <w:rStyle w:val="Hyperlink"/>
                <w:noProof/>
              </w:rPr>
              <w:t xml:space="preserve">12. </w:t>
            </w:r>
            <w:r w:rsidR="0055678A" w:rsidRPr="0055678A">
              <w:rPr>
                <w:noProof/>
                <w:lang w:val="en-AU" w:eastAsia="en-AU"/>
              </w:rPr>
              <w:tab/>
            </w:r>
            <w:r w:rsidR="0055678A" w:rsidRPr="0055678A">
              <w:rPr>
                <w:rStyle w:val="Hyperlink"/>
                <w:noProof/>
              </w:rPr>
              <w:t>Implementation and communication</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_Toc432510194 \h </w:instrText>
            </w:r>
            <w:r w:rsidR="0055678A" w:rsidRPr="0055678A">
              <w:rPr>
                <w:noProof/>
                <w:webHidden/>
              </w:rPr>
            </w:r>
            <w:r w:rsidR="0055678A" w:rsidRPr="0055678A">
              <w:rPr>
                <w:noProof/>
                <w:webHidden/>
              </w:rPr>
              <w:fldChar w:fldCharType="separate"/>
            </w:r>
            <w:r w:rsidR="0055678A" w:rsidRPr="0055678A">
              <w:rPr>
                <w:noProof/>
                <w:webHidden/>
              </w:rPr>
              <w:t>30</w:t>
            </w:r>
            <w:r w:rsidR="0055678A" w:rsidRPr="0055678A">
              <w:rPr>
                <w:noProof/>
                <w:webHidden/>
              </w:rPr>
              <w:fldChar w:fldCharType="end"/>
            </w:r>
          </w:hyperlink>
        </w:p>
        <w:p w:rsidR="0055678A" w:rsidRPr="0055678A" w:rsidRDefault="00F438A0">
          <w:pPr>
            <w:pStyle w:val="TOC1"/>
            <w:tabs>
              <w:tab w:val="right" w:leader="dot" w:pos="9016"/>
            </w:tabs>
            <w:rPr>
              <w:noProof/>
              <w:lang w:val="en-AU" w:eastAsia="en-AU"/>
            </w:rPr>
          </w:pPr>
          <w:hyperlink w:anchor="_Toc432510195" w:history="1">
            <w:r w:rsidR="0055678A" w:rsidRPr="0055678A">
              <w:rPr>
                <w:rStyle w:val="Hyperlink"/>
                <w:noProof/>
              </w:rPr>
              <w:t>Appendix 1 – Detailed Cost Base</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_Toc432510195 \h </w:instrText>
            </w:r>
            <w:r w:rsidR="0055678A" w:rsidRPr="0055678A">
              <w:rPr>
                <w:noProof/>
                <w:webHidden/>
              </w:rPr>
            </w:r>
            <w:r w:rsidR="0055678A" w:rsidRPr="0055678A">
              <w:rPr>
                <w:noProof/>
                <w:webHidden/>
              </w:rPr>
              <w:fldChar w:fldCharType="separate"/>
            </w:r>
            <w:r w:rsidR="0055678A" w:rsidRPr="0055678A">
              <w:rPr>
                <w:noProof/>
                <w:webHidden/>
              </w:rPr>
              <w:t>31</w:t>
            </w:r>
            <w:r w:rsidR="0055678A" w:rsidRPr="0055678A">
              <w:rPr>
                <w:noProof/>
                <w:webHidden/>
              </w:rPr>
              <w:fldChar w:fldCharType="end"/>
            </w:r>
          </w:hyperlink>
        </w:p>
        <w:p w:rsidR="0055678A" w:rsidRPr="0055678A" w:rsidRDefault="00F438A0">
          <w:pPr>
            <w:pStyle w:val="TOC1"/>
            <w:tabs>
              <w:tab w:val="right" w:leader="dot" w:pos="9016"/>
            </w:tabs>
            <w:rPr>
              <w:noProof/>
              <w:lang w:val="en-AU" w:eastAsia="en-AU"/>
            </w:rPr>
          </w:pPr>
          <w:hyperlink w:anchor="_Toc432510196" w:history="1">
            <w:r w:rsidR="0055678A" w:rsidRPr="0055678A">
              <w:rPr>
                <w:rStyle w:val="Hyperlink"/>
                <w:noProof/>
              </w:rPr>
              <w:t>Appendix 2 – Calculation of separate fees for online and paper applications</w:t>
            </w:r>
            <w:r w:rsidR="0055678A" w:rsidRPr="0055678A">
              <w:rPr>
                <w:noProof/>
                <w:webHidden/>
              </w:rPr>
              <w:tab/>
            </w:r>
            <w:r w:rsidR="0055678A" w:rsidRPr="0055678A">
              <w:rPr>
                <w:noProof/>
                <w:webHidden/>
              </w:rPr>
              <w:fldChar w:fldCharType="begin"/>
            </w:r>
            <w:r w:rsidR="0055678A" w:rsidRPr="0055678A">
              <w:rPr>
                <w:noProof/>
                <w:webHidden/>
              </w:rPr>
              <w:instrText xml:space="preserve"> PAGEREF _Toc432510196 \h </w:instrText>
            </w:r>
            <w:r w:rsidR="0055678A" w:rsidRPr="0055678A">
              <w:rPr>
                <w:noProof/>
                <w:webHidden/>
              </w:rPr>
            </w:r>
            <w:r w:rsidR="0055678A" w:rsidRPr="0055678A">
              <w:rPr>
                <w:noProof/>
                <w:webHidden/>
              </w:rPr>
              <w:fldChar w:fldCharType="separate"/>
            </w:r>
            <w:r w:rsidR="0055678A" w:rsidRPr="0055678A">
              <w:rPr>
                <w:noProof/>
                <w:webHidden/>
              </w:rPr>
              <w:t>32</w:t>
            </w:r>
            <w:r w:rsidR="0055678A" w:rsidRPr="0055678A">
              <w:rPr>
                <w:noProof/>
                <w:webHidden/>
              </w:rPr>
              <w:fldChar w:fldCharType="end"/>
            </w:r>
          </w:hyperlink>
        </w:p>
        <w:p w:rsidR="000108D3" w:rsidRPr="0055678A" w:rsidRDefault="005B17F2" w:rsidP="000B5B0A">
          <w:pPr>
            <w:spacing w:after="120" w:line="276" w:lineRule="auto"/>
            <w:rPr>
              <w:rFonts w:asciiTheme="minorHAnsi" w:hAnsiTheme="minorHAnsi"/>
              <w:sz w:val="22"/>
              <w:szCs w:val="22"/>
            </w:rPr>
          </w:pPr>
          <w:r w:rsidRPr="0055678A">
            <w:rPr>
              <w:rFonts w:asciiTheme="minorHAnsi" w:hAnsiTheme="minorHAnsi"/>
              <w:b/>
              <w:bCs/>
              <w:noProof/>
              <w:sz w:val="22"/>
              <w:szCs w:val="22"/>
            </w:rPr>
            <w:fldChar w:fldCharType="end"/>
          </w:r>
        </w:p>
      </w:sdtContent>
    </w:sdt>
    <w:p w:rsidR="0070128A" w:rsidRDefault="0070128A" w:rsidP="001D160F">
      <w:pPr>
        <w:spacing w:after="240" w:line="276" w:lineRule="auto"/>
        <w:rPr>
          <w:rFonts w:asciiTheme="minorHAnsi" w:hAnsiTheme="minorHAnsi"/>
          <w:sz w:val="28"/>
        </w:rPr>
        <w:sectPr w:rsidR="0070128A" w:rsidSect="003450EE">
          <w:pgSz w:w="11906" w:h="16838"/>
          <w:pgMar w:top="1440" w:right="1440" w:bottom="1440" w:left="1440" w:header="709" w:footer="544" w:gutter="0"/>
          <w:cols w:space="708"/>
          <w:titlePg/>
          <w:docGrid w:linePitch="360"/>
        </w:sectPr>
      </w:pPr>
    </w:p>
    <w:p w:rsidR="00E14845" w:rsidRPr="003949F7" w:rsidRDefault="0070128A" w:rsidP="001D160F">
      <w:pPr>
        <w:pStyle w:val="Heading1"/>
        <w:spacing w:after="240" w:line="276" w:lineRule="auto"/>
        <w:jc w:val="left"/>
        <w:rPr>
          <w:rFonts w:asciiTheme="minorHAnsi" w:hAnsiTheme="minorHAnsi"/>
          <w:sz w:val="32"/>
        </w:rPr>
      </w:pPr>
      <w:bookmarkStart w:id="1" w:name="_Toc432510172"/>
      <w:r w:rsidRPr="003949F7">
        <w:rPr>
          <w:rFonts w:asciiTheme="minorHAnsi" w:hAnsiTheme="minorHAnsi"/>
          <w:sz w:val="32"/>
        </w:rPr>
        <w:lastRenderedPageBreak/>
        <w:t>Executive Summary</w:t>
      </w:r>
      <w:bookmarkEnd w:id="1"/>
    </w:p>
    <w:p w:rsidR="002C3BB5" w:rsidRPr="002C3BB5" w:rsidRDefault="002C3BB5" w:rsidP="003949F7">
      <w:pPr>
        <w:pStyle w:val="Style14ptJustified"/>
        <w:keepLines/>
        <w:spacing w:after="240" w:line="276" w:lineRule="auto"/>
        <w:jc w:val="left"/>
        <w:rPr>
          <w:rFonts w:ascii="Calibri" w:hAnsi="Calibri"/>
          <w:b/>
          <w:sz w:val="24"/>
          <w:szCs w:val="24"/>
        </w:rPr>
      </w:pPr>
      <w:r w:rsidRPr="002C3BB5">
        <w:rPr>
          <w:rFonts w:ascii="Calibri" w:hAnsi="Calibri"/>
          <w:b/>
          <w:sz w:val="24"/>
          <w:szCs w:val="24"/>
        </w:rPr>
        <w:t>Context</w:t>
      </w:r>
    </w:p>
    <w:p w:rsidR="006B056E" w:rsidRDefault="003949F7" w:rsidP="003949F7">
      <w:pPr>
        <w:pStyle w:val="Style14ptJustified"/>
        <w:keepLines/>
        <w:spacing w:after="240" w:line="276" w:lineRule="auto"/>
        <w:jc w:val="left"/>
        <w:rPr>
          <w:rFonts w:ascii="Calibri" w:hAnsi="Calibri"/>
          <w:sz w:val="24"/>
          <w:szCs w:val="24"/>
        </w:rPr>
      </w:pPr>
      <w:r w:rsidRPr="00007EFD">
        <w:rPr>
          <w:rFonts w:ascii="Calibri" w:hAnsi="Calibri"/>
          <w:sz w:val="24"/>
          <w:szCs w:val="24"/>
        </w:rPr>
        <w:t xml:space="preserve">The State Revenue Office </w:t>
      </w:r>
      <w:r>
        <w:rPr>
          <w:rFonts w:ascii="Calibri" w:hAnsi="Calibri"/>
          <w:sz w:val="24"/>
          <w:szCs w:val="24"/>
        </w:rPr>
        <w:t>(SRO)</w:t>
      </w:r>
      <w:r w:rsidRPr="00007EFD">
        <w:rPr>
          <w:rFonts w:ascii="Calibri" w:hAnsi="Calibri"/>
          <w:sz w:val="24"/>
          <w:szCs w:val="24"/>
        </w:rPr>
        <w:t xml:space="preserve"> administers Victoria’s taxation legislation and is responsible for the collection of a number of taxes, duties and levies, as well as the administration of the first home owner grant scheme on behalf of the Federal Government. As part of this role, the </w:t>
      </w:r>
      <w:r>
        <w:rPr>
          <w:rFonts w:ascii="Calibri" w:hAnsi="Calibri"/>
          <w:sz w:val="24"/>
          <w:szCs w:val="24"/>
        </w:rPr>
        <w:t>SRO</w:t>
      </w:r>
      <w:r w:rsidRPr="00007EFD">
        <w:rPr>
          <w:rFonts w:ascii="Calibri" w:hAnsi="Calibri"/>
          <w:sz w:val="24"/>
          <w:szCs w:val="24"/>
        </w:rPr>
        <w:t xml:space="preserve"> is responsible for the administration and enforcement of the </w:t>
      </w:r>
      <w:r w:rsidRPr="0084480E">
        <w:rPr>
          <w:rFonts w:ascii="Calibri" w:hAnsi="Calibri"/>
          <w:i/>
          <w:sz w:val="24"/>
          <w:szCs w:val="24"/>
        </w:rPr>
        <w:t>Land Tax Act 2005</w:t>
      </w:r>
      <w:r>
        <w:rPr>
          <w:rFonts w:ascii="Calibri" w:hAnsi="Calibri"/>
          <w:sz w:val="24"/>
          <w:szCs w:val="24"/>
        </w:rPr>
        <w:t xml:space="preserve"> (the Act)</w:t>
      </w:r>
      <w:r w:rsidRPr="00007EFD">
        <w:rPr>
          <w:rFonts w:ascii="Calibri" w:hAnsi="Calibri"/>
          <w:sz w:val="24"/>
          <w:szCs w:val="24"/>
        </w:rPr>
        <w:t xml:space="preserve">.  </w:t>
      </w:r>
    </w:p>
    <w:p w:rsidR="008B57C4" w:rsidRDefault="008B57C4" w:rsidP="0057295C">
      <w:pPr>
        <w:pStyle w:val="Style14ptJustified"/>
        <w:keepLines/>
        <w:spacing w:after="240" w:line="276" w:lineRule="auto"/>
        <w:jc w:val="left"/>
        <w:rPr>
          <w:rFonts w:ascii="Calibri" w:hAnsi="Calibri"/>
          <w:sz w:val="24"/>
          <w:szCs w:val="24"/>
        </w:rPr>
      </w:pPr>
      <w:r w:rsidRPr="007B7358">
        <w:rPr>
          <w:rFonts w:ascii="Calibri" w:hAnsi="Calibri"/>
          <w:sz w:val="24"/>
          <w:szCs w:val="24"/>
        </w:rPr>
        <w:t xml:space="preserve">Section 103 of the </w:t>
      </w:r>
      <w:r>
        <w:rPr>
          <w:rFonts w:ascii="Calibri" w:hAnsi="Calibri"/>
          <w:sz w:val="24"/>
          <w:szCs w:val="24"/>
        </w:rPr>
        <w:t xml:space="preserve">Act </w:t>
      </w:r>
      <w:r w:rsidRPr="0084480E">
        <w:rPr>
          <w:rFonts w:ascii="Calibri" w:hAnsi="Calibri"/>
          <w:sz w:val="24"/>
          <w:szCs w:val="24"/>
        </w:rPr>
        <w:t xml:space="preserve">forms the basis for the administrative procedure </w:t>
      </w:r>
      <w:r>
        <w:rPr>
          <w:rFonts w:ascii="Calibri" w:hAnsi="Calibri"/>
          <w:sz w:val="24"/>
          <w:szCs w:val="24"/>
        </w:rPr>
        <w:t xml:space="preserve">in which the SRO determines </w:t>
      </w:r>
      <w:r w:rsidRPr="0084480E">
        <w:rPr>
          <w:rFonts w:ascii="Calibri" w:hAnsi="Calibri"/>
          <w:sz w:val="24"/>
          <w:szCs w:val="24"/>
        </w:rPr>
        <w:t>the land holdings of an owner</w:t>
      </w:r>
      <w:r>
        <w:rPr>
          <w:rFonts w:ascii="Calibri" w:hAnsi="Calibri"/>
          <w:sz w:val="24"/>
          <w:szCs w:val="24"/>
        </w:rPr>
        <w:t xml:space="preserve"> for the purposes of administering land tax</w:t>
      </w:r>
      <w:r w:rsidRPr="0084480E">
        <w:rPr>
          <w:rFonts w:ascii="Calibri" w:hAnsi="Calibri"/>
          <w:sz w:val="24"/>
          <w:szCs w:val="24"/>
        </w:rPr>
        <w:t>. Under this provision</w:t>
      </w:r>
      <w:r>
        <w:rPr>
          <w:rFonts w:ascii="Calibri" w:hAnsi="Calibri"/>
          <w:sz w:val="24"/>
          <w:szCs w:val="24"/>
        </w:rPr>
        <w:t xml:space="preserve">, </w:t>
      </w:r>
      <w:r w:rsidRPr="007B7358">
        <w:rPr>
          <w:rFonts w:ascii="Calibri" w:hAnsi="Calibri"/>
          <w:sz w:val="24"/>
          <w:szCs w:val="24"/>
        </w:rPr>
        <w:t xml:space="preserve">a person who acquires land in Victoria </w:t>
      </w:r>
      <w:r>
        <w:rPr>
          <w:rFonts w:ascii="Calibri" w:hAnsi="Calibri"/>
          <w:sz w:val="24"/>
          <w:szCs w:val="24"/>
        </w:rPr>
        <w:t>must</w:t>
      </w:r>
      <w:r w:rsidRPr="007B7358">
        <w:rPr>
          <w:rFonts w:ascii="Calibri" w:hAnsi="Calibri"/>
          <w:sz w:val="24"/>
          <w:szCs w:val="24"/>
        </w:rPr>
        <w:t xml:space="preserve"> give notice of the acquisition to </w:t>
      </w:r>
      <w:r w:rsidRPr="001D160F">
        <w:rPr>
          <w:rFonts w:ascii="Calibri" w:hAnsi="Calibri"/>
          <w:i/>
          <w:sz w:val="24"/>
          <w:szCs w:val="24"/>
        </w:rPr>
        <w:t>prescribed persons</w:t>
      </w:r>
      <w:r w:rsidRPr="007B7358">
        <w:rPr>
          <w:rFonts w:ascii="Calibri" w:hAnsi="Calibri"/>
          <w:sz w:val="24"/>
          <w:szCs w:val="24"/>
        </w:rPr>
        <w:t xml:space="preserve"> within a </w:t>
      </w:r>
      <w:r w:rsidRPr="001D160F">
        <w:rPr>
          <w:rFonts w:ascii="Calibri" w:hAnsi="Calibri"/>
          <w:i/>
          <w:sz w:val="24"/>
          <w:szCs w:val="24"/>
        </w:rPr>
        <w:t>prescribed period</w:t>
      </w:r>
      <w:r w:rsidRPr="007B7358">
        <w:rPr>
          <w:rFonts w:ascii="Calibri" w:hAnsi="Calibri"/>
          <w:sz w:val="24"/>
          <w:szCs w:val="24"/>
        </w:rPr>
        <w:t xml:space="preserve">. </w:t>
      </w:r>
      <w:r>
        <w:rPr>
          <w:rFonts w:ascii="Calibri" w:hAnsi="Calibri"/>
          <w:sz w:val="24"/>
          <w:szCs w:val="24"/>
        </w:rPr>
        <w:t>In addition, t</w:t>
      </w:r>
      <w:r w:rsidRPr="007B7358">
        <w:rPr>
          <w:rFonts w:ascii="Calibri" w:hAnsi="Calibri"/>
          <w:sz w:val="24"/>
          <w:szCs w:val="24"/>
        </w:rPr>
        <w:t xml:space="preserve">he notice must contain </w:t>
      </w:r>
      <w:r w:rsidRPr="001D160F">
        <w:rPr>
          <w:rFonts w:ascii="Calibri" w:hAnsi="Calibri"/>
          <w:i/>
          <w:sz w:val="24"/>
          <w:szCs w:val="24"/>
        </w:rPr>
        <w:t>prescribed information</w:t>
      </w:r>
      <w:r w:rsidRPr="007B7358">
        <w:rPr>
          <w:rFonts w:ascii="Calibri" w:hAnsi="Calibri"/>
          <w:sz w:val="24"/>
          <w:szCs w:val="24"/>
        </w:rPr>
        <w:t xml:space="preserve">, be in the </w:t>
      </w:r>
      <w:r w:rsidRPr="001D160F">
        <w:rPr>
          <w:rFonts w:ascii="Calibri" w:hAnsi="Calibri"/>
          <w:i/>
          <w:sz w:val="24"/>
          <w:szCs w:val="24"/>
        </w:rPr>
        <w:t>prescribed form</w:t>
      </w:r>
      <w:r w:rsidRPr="007B7358">
        <w:rPr>
          <w:rFonts w:ascii="Calibri" w:hAnsi="Calibri"/>
          <w:sz w:val="24"/>
          <w:szCs w:val="24"/>
        </w:rPr>
        <w:t xml:space="preserve"> and be given in the </w:t>
      </w:r>
      <w:r w:rsidRPr="001D160F">
        <w:rPr>
          <w:rFonts w:ascii="Calibri" w:hAnsi="Calibri"/>
          <w:i/>
          <w:sz w:val="24"/>
          <w:szCs w:val="24"/>
        </w:rPr>
        <w:t>prescribed manner</w:t>
      </w:r>
      <w:r w:rsidRPr="007B7358">
        <w:rPr>
          <w:rFonts w:ascii="Calibri" w:hAnsi="Calibri"/>
          <w:sz w:val="24"/>
          <w:szCs w:val="24"/>
        </w:rPr>
        <w:t xml:space="preserve">. </w:t>
      </w:r>
    </w:p>
    <w:p w:rsidR="003949F7" w:rsidRDefault="003949F7" w:rsidP="0057295C">
      <w:pPr>
        <w:pStyle w:val="Style14ptJustified"/>
        <w:keepLines/>
        <w:spacing w:after="240" w:line="276" w:lineRule="auto"/>
        <w:jc w:val="left"/>
        <w:rPr>
          <w:rFonts w:ascii="Calibri" w:hAnsi="Calibri"/>
          <w:sz w:val="24"/>
          <w:szCs w:val="24"/>
        </w:rPr>
      </w:pPr>
      <w:r w:rsidRPr="00832D4E">
        <w:rPr>
          <w:rFonts w:ascii="Calibri" w:hAnsi="Calibri"/>
          <w:sz w:val="24"/>
          <w:szCs w:val="24"/>
        </w:rPr>
        <w:t xml:space="preserve">Section 105 of the </w:t>
      </w:r>
      <w:r>
        <w:rPr>
          <w:rFonts w:ascii="Calibri" w:hAnsi="Calibri"/>
          <w:sz w:val="24"/>
          <w:szCs w:val="24"/>
        </w:rPr>
        <w:t>Act</w:t>
      </w:r>
      <w:r w:rsidRPr="00832D4E">
        <w:rPr>
          <w:rFonts w:ascii="Calibri" w:hAnsi="Calibri"/>
          <w:sz w:val="24"/>
          <w:szCs w:val="24"/>
        </w:rPr>
        <w:t xml:space="preserve"> requires the Commissioner, upon application and receipt of the prescribed fee, to issue a certificate showing any land tax due and </w:t>
      </w:r>
      <w:r>
        <w:rPr>
          <w:rFonts w:ascii="Calibri" w:hAnsi="Calibri"/>
          <w:sz w:val="24"/>
          <w:szCs w:val="24"/>
        </w:rPr>
        <w:t>unpaid on a particular land (a clearance certificate</w:t>
      </w:r>
      <w:r w:rsidRPr="00832D4E">
        <w:rPr>
          <w:rFonts w:ascii="Calibri" w:hAnsi="Calibri"/>
          <w:sz w:val="24"/>
          <w:szCs w:val="24"/>
        </w:rPr>
        <w:t xml:space="preserve">). </w:t>
      </w:r>
      <w:r w:rsidRPr="00CB1F39">
        <w:rPr>
          <w:rFonts w:ascii="Calibri" w:hAnsi="Calibri"/>
          <w:sz w:val="24"/>
          <w:szCs w:val="24"/>
        </w:rPr>
        <w:t xml:space="preserve">A clearance certificate is the means by which an applicant obtains information regarding any outstanding land tax liability on the land referred to in the application. The main benefit </w:t>
      </w:r>
      <w:r w:rsidR="006B056E">
        <w:rPr>
          <w:rFonts w:ascii="Calibri" w:hAnsi="Calibri"/>
          <w:sz w:val="24"/>
          <w:szCs w:val="24"/>
        </w:rPr>
        <w:t>being</w:t>
      </w:r>
      <w:r w:rsidRPr="00CB1F39">
        <w:rPr>
          <w:rFonts w:ascii="Calibri" w:hAnsi="Calibri"/>
          <w:sz w:val="24"/>
          <w:szCs w:val="24"/>
        </w:rPr>
        <w:t xml:space="preserve"> that it provides a definitive s</w:t>
      </w:r>
      <w:r>
        <w:rPr>
          <w:rFonts w:ascii="Calibri" w:hAnsi="Calibri"/>
          <w:sz w:val="24"/>
          <w:szCs w:val="24"/>
        </w:rPr>
        <w:t xml:space="preserve">tatement of outstanding land tax which </w:t>
      </w:r>
      <w:r w:rsidRPr="00CB1F39">
        <w:rPr>
          <w:rFonts w:ascii="Calibri" w:hAnsi="Calibri"/>
          <w:sz w:val="24"/>
          <w:szCs w:val="24"/>
        </w:rPr>
        <w:t>can</w:t>
      </w:r>
      <w:r w:rsidRPr="00446289">
        <w:rPr>
          <w:rFonts w:ascii="Calibri" w:hAnsi="Calibri"/>
          <w:sz w:val="24"/>
          <w:szCs w:val="24"/>
        </w:rPr>
        <w:t xml:space="preserve"> be used in real property settlements. </w:t>
      </w:r>
    </w:p>
    <w:p w:rsidR="002C3BB5" w:rsidRPr="002C3BB5" w:rsidRDefault="002C3BB5" w:rsidP="006B056E">
      <w:pPr>
        <w:spacing w:after="240" w:line="276" w:lineRule="auto"/>
        <w:rPr>
          <w:rFonts w:ascii="Calibri" w:hAnsi="Calibri"/>
          <w:b/>
        </w:rPr>
      </w:pPr>
      <w:r w:rsidRPr="002C3BB5">
        <w:rPr>
          <w:rFonts w:ascii="Calibri" w:hAnsi="Calibri"/>
          <w:b/>
        </w:rPr>
        <w:t>Objective</w:t>
      </w:r>
    </w:p>
    <w:p w:rsidR="002C3BB5" w:rsidRDefault="007E569D" w:rsidP="002C3BB5">
      <w:pPr>
        <w:spacing w:after="240" w:line="276" w:lineRule="auto"/>
        <w:rPr>
          <w:rFonts w:ascii="Calibri" w:hAnsi="Calibri"/>
        </w:rPr>
      </w:pPr>
      <w:r>
        <w:rPr>
          <w:rFonts w:ascii="Calibri" w:hAnsi="Calibri"/>
        </w:rPr>
        <w:t>This Regulatory Impact Statement</w:t>
      </w:r>
      <w:r w:rsidR="002C3BB5">
        <w:rPr>
          <w:rFonts w:ascii="Calibri" w:hAnsi="Calibri"/>
        </w:rPr>
        <w:t xml:space="preserve"> (RIS)</w:t>
      </w:r>
      <w:r>
        <w:rPr>
          <w:rFonts w:ascii="Calibri" w:hAnsi="Calibri"/>
        </w:rPr>
        <w:t xml:space="preserve"> has been prepared on the basis that the prescribed fee for a clearance certificate application </w:t>
      </w:r>
      <w:r w:rsidR="00D97A70">
        <w:rPr>
          <w:rFonts w:ascii="Calibri" w:hAnsi="Calibri"/>
        </w:rPr>
        <w:t xml:space="preserve">imposes costs in excess of $2 million a year on at least one sector of the public and therefore </w:t>
      </w:r>
      <w:r>
        <w:rPr>
          <w:rFonts w:ascii="Calibri" w:hAnsi="Calibri"/>
        </w:rPr>
        <w:t xml:space="preserve">constitutes a significant economic burden. </w:t>
      </w:r>
      <w:r w:rsidR="00D97A70">
        <w:rPr>
          <w:rFonts w:asciiTheme="minorHAnsi" w:hAnsiTheme="minorHAnsi"/>
        </w:rPr>
        <w:t xml:space="preserve">The </w:t>
      </w:r>
      <w:proofErr w:type="gramStart"/>
      <w:r w:rsidR="00D97A70">
        <w:rPr>
          <w:rFonts w:asciiTheme="minorHAnsi" w:hAnsiTheme="minorHAnsi"/>
        </w:rPr>
        <w:t>notice of acquisition matters prescribed in</w:t>
      </w:r>
      <w:r w:rsidR="00D97A70" w:rsidRPr="000638D1">
        <w:rPr>
          <w:rFonts w:asciiTheme="minorHAnsi" w:hAnsiTheme="minorHAnsi"/>
        </w:rPr>
        <w:t xml:space="preserve"> the proposed </w:t>
      </w:r>
      <w:r w:rsidR="002C3BB5">
        <w:rPr>
          <w:rFonts w:asciiTheme="minorHAnsi" w:hAnsiTheme="minorHAnsi"/>
        </w:rPr>
        <w:t>r</w:t>
      </w:r>
      <w:r w:rsidR="00D97A70">
        <w:rPr>
          <w:rFonts w:asciiTheme="minorHAnsi" w:hAnsiTheme="minorHAnsi"/>
        </w:rPr>
        <w:t>egulations are</w:t>
      </w:r>
      <w:proofErr w:type="gramEnd"/>
      <w:r w:rsidR="00D97A70">
        <w:rPr>
          <w:rFonts w:asciiTheme="minorHAnsi" w:hAnsiTheme="minorHAnsi"/>
        </w:rPr>
        <w:t xml:space="preserve"> </w:t>
      </w:r>
      <w:r w:rsidR="00D97A70" w:rsidRPr="00F63BB5">
        <w:rPr>
          <w:rFonts w:asciiTheme="minorHAnsi" w:hAnsiTheme="minorHAnsi"/>
        </w:rPr>
        <w:t>replicate</w:t>
      </w:r>
      <w:r w:rsidR="00D97A70">
        <w:rPr>
          <w:rFonts w:asciiTheme="minorHAnsi" w:hAnsiTheme="minorHAnsi"/>
        </w:rPr>
        <w:t>d</w:t>
      </w:r>
      <w:r w:rsidR="00D97A70" w:rsidRPr="00F63BB5">
        <w:rPr>
          <w:rFonts w:asciiTheme="minorHAnsi" w:hAnsiTheme="minorHAnsi"/>
        </w:rPr>
        <w:t xml:space="preserve"> </w:t>
      </w:r>
      <w:r w:rsidR="00D97A70">
        <w:rPr>
          <w:rFonts w:asciiTheme="minorHAnsi" w:hAnsiTheme="minorHAnsi"/>
        </w:rPr>
        <w:t xml:space="preserve">from </w:t>
      </w:r>
      <w:r w:rsidR="00D97A70" w:rsidRPr="00F63BB5">
        <w:rPr>
          <w:rFonts w:asciiTheme="minorHAnsi" w:hAnsiTheme="minorHAnsi"/>
        </w:rPr>
        <w:t xml:space="preserve">the 2005 Regulations </w:t>
      </w:r>
      <w:r w:rsidR="00D97A70">
        <w:rPr>
          <w:rFonts w:asciiTheme="minorHAnsi" w:hAnsiTheme="minorHAnsi"/>
        </w:rPr>
        <w:t xml:space="preserve">and are not considered to constitute </w:t>
      </w:r>
      <w:r w:rsidR="00D97A70" w:rsidRPr="000638D1">
        <w:rPr>
          <w:rFonts w:asciiTheme="minorHAnsi" w:hAnsiTheme="minorHAnsi"/>
        </w:rPr>
        <w:t xml:space="preserve">a </w:t>
      </w:r>
      <w:r w:rsidR="00D97A70">
        <w:rPr>
          <w:rFonts w:asciiTheme="minorHAnsi" w:hAnsiTheme="minorHAnsi"/>
        </w:rPr>
        <w:t xml:space="preserve">significant </w:t>
      </w:r>
      <w:r w:rsidR="00D97A70" w:rsidRPr="000638D1">
        <w:rPr>
          <w:rFonts w:asciiTheme="minorHAnsi" w:hAnsiTheme="minorHAnsi"/>
        </w:rPr>
        <w:t>economic or social b</w:t>
      </w:r>
      <w:r w:rsidR="00D97A70">
        <w:rPr>
          <w:rFonts w:asciiTheme="minorHAnsi" w:hAnsiTheme="minorHAnsi"/>
        </w:rPr>
        <w:t>urden on the public.</w:t>
      </w:r>
      <w:r w:rsidR="002C3BB5">
        <w:rPr>
          <w:rFonts w:asciiTheme="minorHAnsi" w:hAnsiTheme="minorHAnsi"/>
        </w:rPr>
        <w:t xml:space="preserve"> </w:t>
      </w:r>
    </w:p>
    <w:p w:rsidR="002E6EB2" w:rsidRPr="0057295C" w:rsidRDefault="002C3BB5" w:rsidP="002E6EB2">
      <w:pPr>
        <w:spacing w:after="240" w:line="276" w:lineRule="auto"/>
        <w:rPr>
          <w:rFonts w:ascii="Calibri" w:hAnsi="Calibri"/>
        </w:rPr>
      </w:pPr>
      <w:r w:rsidRPr="00B77856">
        <w:rPr>
          <w:rFonts w:ascii="Calibri" w:hAnsi="Calibri"/>
        </w:rPr>
        <w:t xml:space="preserve">The objective </w:t>
      </w:r>
      <w:r>
        <w:rPr>
          <w:rFonts w:ascii="Calibri" w:hAnsi="Calibri"/>
        </w:rPr>
        <w:t xml:space="preserve">of the </w:t>
      </w:r>
      <w:r w:rsidR="008A4BB6">
        <w:rPr>
          <w:rFonts w:ascii="Calibri" w:hAnsi="Calibri"/>
        </w:rPr>
        <w:t xml:space="preserve">proposed Regulation </w:t>
      </w:r>
      <w:r w:rsidRPr="00B77856">
        <w:rPr>
          <w:rFonts w:ascii="Calibri" w:hAnsi="Calibri"/>
        </w:rPr>
        <w:t>is to ensure that the costs associated with processing applications for land tax clearance certificates are fully recovered from applicants</w:t>
      </w:r>
      <w:r w:rsidRPr="00AE74B2">
        <w:rPr>
          <w:rFonts w:ascii="Calibri" w:hAnsi="Calibri"/>
        </w:rPr>
        <w:t>.</w:t>
      </w:r>
      <w:r w:rsidR="002E6EB2" w:rsidRPr="002E6EB2">
        <w:rPr>
          <w:rFonts w:ascii="Calibri" w:hAnsi="Calibri"/>
        </w:rPr>
        <w:t xml:space="preserve"> </w:t>
      </w:r>
      <w:r w:rsidR="002E6EB2" w:rsidRPr="0057295C">
        <w:rPr>
          <w:rFonts w:ascii="Calibri" w:hAnsi="Calibri"/>
        </w:rPr>
        <w:t xml:space="preserve">The current fees prescribed for the provision of land tax clearance certificates were established based on the cost of delivering the services at the time. As a result of increased take up in using the online system and incremental cost increases during this time, the cost to the SRO in providing this service has </w:t>
      </w:r>
      <w:r w:rsidR="008B113F">
        <w:rPr>
          <w:rFonts w:ascii="Calibri" w:hAnsi="Calibri"/>
        </w:rPr>
        <w:t xml:space="preserve">moderately </w:t>
      </w:r>
      <w:r w:rsidR="002E6EB2" w:rsidRPr="0057295C">
        <w:rPr>
          <w:rFonts w:ascii="Calibri" w:hAnsi="Calibri"/>
        </w:rPr>
        <w:t xml:space="preserve">increased above what is currently being recovered. </w:t>
      </w:r>
    </w:p>
    <w:p w:rsidR="004F607E" w:rsidRDefault="004F607E">
      <w:pPr>
        <w:spacing w:after="200" w:line="276" w:lineRule="auto"/>
        <w:rPr>
          <w:rFonts w:ascii="Calibri" w:hAnsi="Calibri"/>
          <w:b/>
        </w:rPr>
      </w:pPr>
      <w:r>
        <w:rPr>
          <w:rFonts w:ascii="Calibri" w:hAnsi="Calibri"/>
          <w:b/>
        </w:rPr>
        <w:br w:type="page"/>
      </w:r>
    </w:p>
    <w:p w:rsidR="002C3BB5" w:rsidRPr="002C3BB5" w:rsidRDefault="002C3BB5" w:rsidP="006B056E">
      <w:pPr>
        <w:spacing w:after="240" w:line="276" w:lineRule="auto"/>
        <w:rPr>
          <w:rFonts w:ascii="Calibri" w:hAnsi="Calibri"/>
          <w:b/>
        </w:rPr>
      </w:pPr>
      <w:r w:rsidRPr="002C3BB5">
        <w:rPr>
          <w:rFonts w:ascii="Calibri" w:hAnsi="Calibri"/>
          <w:b/>
        </w:rPr>
        <w:lastRenderedPageBreak/>
        <w:t>Proposed fee</w:t>
      </w:r>
    </w:p>
    <w:p w:rsidR="00A4069C" w:rsidRDefault="00D97A70" w:rsidP="0057295C">
      <w:pPr>
        <w:pStyle w:val="Style14ptJustified"/>
        <w:keepLines/>
        <w:spacing w:after="240" w:line="276" w:lineRule="auto"/>
        <w:jc w:val="left"/>
        <w:rPr>
          <w:rFonts w:asciiTheme="minorHAnsi" w:hAnsiTheme="minorHAnsi"/>
          <w:sz w:val="24"/>
          <w:szCs w:val="24"/>
        </w:rPr>
      </w:pPr>
      <w:r>
        <w:rPr>
          <w:rFonts w:ascii="Calibri" w:hAnsi="Calibri"/>
          <w:sz w:val="24"/>
          <w:szCs w:val="24"/>
        </w:rPr>
        <w:t>T</w:t>
      </w:r>
      <w:r w:rsidRPr="00BE265F">
        <w:rPr>
          <w:rFonts w:ascii="Calibri" w:hAnsi="Calibri"/>
          <w:sz w:val="24"/>
          <w:szCs w:val="24"/>
        </w:rPr>
        <w:t xml:space="preserve">he fee options </w:t>
      </w:r>
      <w:r>
        <w:rPr>
          <w:rFonts w:ascii="Calibri" w:hAnsi="Calibri"/>
          <w:sz w:val="24"/>
          <w:szCs w:val="24"/>
        </w:rPr>
        <w:t xml:space="preserve">considered </w:t>
      </w:r>
      <w:r w:rsidRPr="00BE265F">
        <w:rPr>
          <w:rFonts w:ascii="Calibri" w:hAnsi="Calibri"/>
          <w:sz w:val="24"/>
          <w:szCs w:val="24"/>
        </w:rPr>
        <w:t>for land tax clearance certificate</w:t>
      </w:r>
      <w:r>
        <w:rPr>
          <w:rFonts w:ascii="Calibri" w:hAnsi="Calibri"/>
          <w:sz w:val="24"/>
          <w:szCs w:val="24"/>
        </w:rPr>
        <w:t xml:space="preserve">s were in relation to </w:t>
      </w:r>
      <w:r w:rsidRPr="00BE265F">
        <w:rPr>
          <w:rFonts w:ascii="Calibri" w:hAnsi="Calibri"/>
          <w:sz w:val="24"/>
          <w:szCs w:val="24"/>
        </w:rPr>
        <w:t xml:space="preserve">the different types of fee structures available and levels of cost sharing.  </w:t>
      </w:r>
      <w:r>
        <w:rPr>
          <w:rFonts w:ascii="Calibri" w:hAnsi="Calibri"/>
          <w:sz w:val="24"/>
          <w:szCs w:val="24"/>
        </w:rPr>
        <w:t xml:space="preserve">Three </w:t>
      </w:r>
      <w:r w:rsidR="00A4069C">
        <w:rPr>
          <w:rFonts w:ascii="Calibri" w:hAnsi="Calibri"/>
          <w:sz w:val="24"/>
          <w:szCs w:val="24"/>
        </w:rPr>
        <w:t xml:space="preserve">feasible </w:t>
      </w:r>
      <w:r>
        <w:rPr>
          <w:rFonts w:ascii="Calibri" w:hAnsi="Calibri"/>
          <w:sz w:val="24"/>
          <w:szCs w:val="24"/>
        </w:rPr>
        <w:t xml:space="preserve">options </w:t>
      </w:r>
      <w:r w:rsidR="00A4069C">
        <w:rPr>
          <w:rFonts w:ascii="Calibri" w:hAnsi="Calibri"/>
          <w:sz w:val="24"/>
          <w:szCs w:val="24"/>
        </w:rPr>
        <w:t>were identified and considered in detail</w:t>
      </w:r>
      <w:r w:rsidR="00514E90">
        <w:rPr>
          <w:rFonts w:ascii="Calibri" w:hAnsi="Calibri"/>
          <w:sz w:val="24"/>
          <w:szCs w:val="24"/>
        </w:rPr>
        <w:t xml:space="preserve">, including having no fee, maintaining separate fees for paper and online applications or setting one fee for all applications. </w:t>
      </w:r>
      <w:r w:rsidR="0057295C">
        <w:rPr>
          <w:rFonts w:ascii="Calibri" w:hAnsi="Calibri"/>
          <w:sz w:val="24"/>
          <w:szCs w:val="24"/>
        </w:rPr>
        <w:t xml:space="preserve">The preferred option is to change the structure of the fees so that there is </w:t>
      </w:r>
      <w:r w:rsidR="00A4069C" w:rsidRPr="00A4069C">
        <w:rPr>
          <w:rFonts w:asciiTheme="minorHAnsi" w:hAnsiTheme="minorHAnsi"/>
          <w:sz w:val="24"/>
          <w:szCs w:val="24"/>
        </w:rPr>
        <w:t xml:space="preserve">one fee for all applications </w:t>
      </w:r>
      <w:r w:rsidR="0057295C">
        <w:rPr>
          <w:rFonts w:asciiTheme="minorHAnsi" w:hAnsiTheme="minorHAnsi"/>
          <w:sz w:val="24"/>
          <w:szCs w:val="24"/>
        </w:rPr>
        <w:t xml:space="preserve">that </w:t>
      </w:r>
      <w:r w:rsidR="00514E90">
        <w:rPr>
          <w:rFonts w:asciiTheme="minorHAnsi" w:hAnsiTheme="minorHAnsi"/>
          <w:sz w:val="24"/>
          <w:szCs w:val="24"/>
        </w:rPr>
        <w:t xml:space="preserve">is </w:t>
      </w:r>
      <w:r w:rsidR="0057295C">
        <w:rPr>
          <w:rFonts w:asciiTheme="minorHAnsi" w:hAnsiTheme="minorHAnsi"/>
          <w:sz w:val="24"/>
          <w:szCs w:val="24"/>
        </w:rPr>
        <w:t xml:space="preserve">specified in fee units which are updated annually to reflect changes in costs. </w:t>
      </w:r>
      <w:r w:rsidR="00322B96">
        <w:rPr>
          <w:rFonts w:asciiTheme="minorHAnsi" w:hAnsiTheme="minorHAnsi"/>
          <w:sz w:val="24"/>
          <w:szCs w:val="24"/>
        </w:rPr>
        <w:t xml:space="preserve">This is due to the small and declining number of paper applications received and the eventual phase out of paper applications. </w:t>
      </w:r>
    </w:p>
    <w:p w:rsidR="00F566B9" w:rsidRDefault="00842217" w:rsidP="00F566B9">
      <w:pPr>
        <w:spacing w:after="240" w:line="276" w:lineRule="auto"/>
        <w:rPr>
          <w:rFonts w:ascii="Calibri" w:hAnsi="Calibri"/>
        </w:rPr>
      </w:pPr>
      <w:r>
        <w:rPr>
          <w:rFonts w:ascii="Calibri" w:hAnsi="Calibri"/>
        </w:rPr>
        <w:t>T</w:t>
      </w:r>
      <w:r w:rsidR="00F566B9">
        <w:rPr>
          <w:rFonts w:ascii="Calibri" w:hAnsi="Calibri"/>
        </w:rPr>
        <w:t xml:space="preserve">he proposed Regulations </w:t>
      </w:r>
      <w:r w:rsidR="00F566B9" w:rsidRPr="00446289">
        <w:rPr>
          <w:rFonts w:ascii="Calibri" w:hAnsi="Calibri"/>
        </w:rPr>
        <w:t>establi</w:t>
      </w:r>
      <w:r w:rsidR="00F566B9">
        <w:rPr>
          <w:rFonts w:ascii="Calibri" w:hAnsi="Calibri"/>
        </w:rPr>
        <w:t xml:space="preserve">sh the prescribed fee as </w:t>
      </w:r>
      <w:r w:rsidR="00F566B9" w:rsidRPr="00446289">
        <w:rPr>
          <w:rFonts w:ascii="Calibri" w:hAnsi="Calibri"/>
        </w:rPr>
        <w:t>1.</w:t>
      </w:r>
      <w:r w:rsidR="00F566B9">
        <w:rPr>
          <w:rFonts w:ascii="Calibri" w:hAnsi="Calibri"/>
        </w:rPr>
        <w:t>1</w:t>
      </w:r>
      <w:r w:rsidR="00F566B9" w:rsidRPr="00446289">
        <w:rPr>
          <w:rFonts w:ascii="Calibri" w:hAnsi="Calibri"/>
        </w:rPr>
        <w:t xml:space="preserve">6 fee units to be paid in respect of </w:t>
      </w:r>
      <w:r w:rsidR="00F566B9">
        <w:rPr>
          <w:rFonts w:ascii="Calibri" w:hAnsi="Calibri"/>
        </w:rPr>
        <w:t>each</w:t>
      </w:r>
      <w:r w:rsidR="00F566B9" w:rsidRPr="00446289">
        <w:rPr>
          <w:rFonts w:ascii="Calibri" w:hAnsi="Calibri"/>
        </w:rPr>
        <w:t xml:space="preserve"> application for </w:t>
      </w:r>
      <w:r w:rsidR="00F566B9">
        <w:rPr>
          <w:rFonts w:ascii="Calibri" w:hAnsi="Calibri"/>
        </w:rPr>
        <w:t>a land tax clearance certificate</w:t>
      </w:r>
      <w:r w:rsidR="00F566B9" w:rsidRPr="00446289">
        <w:rPr>
          <w:rFonts w:ascii="Calibri" w:hAnsi="Calibri"/>
        </w:rPr>
        <w:t>.</w:t>
      </w:r>
      <w:r w:rsidR="008B57C4">
        <w:rPr>
          <w:rFonts w:ascii="Calibri" w:hAnsi="Calibri"/>
        </w:rPr>
        <w:t xml:space="preserve"> This equates to </w:t>
      </w:r>
      <w:r w:rsidR="008B57C4" w:rsidRPr="007A1929">
        <w:rPr>
          <w:rFonts w:asciiTheme="minorHAnsi" w:hAnsiTheme="minorHAnsi"/>
        </w:rPr>
        <w:t>$15.80</w:t>
      </w:r>
      <w:r w:rsidR="008B57C4">
        <w:rPr>
          <w:rFonts w:asciiTheme="minorHAnsi" w:hAnsiTheme="minorHAnsi"/>
        </w:rPr>
        <w:t xml:space="preserve"> in 2015</w:t>
      </w:r>
      <w:r>
        <w:rPr>
          <w:rFonts w:asciiTheme="minorHAnsi" w:hAnsiTheme="minorHAnsi"/>
        </w:rPr>
        <w:t>-</w:t>
      </w:r>
      <w:r w:rsidR="008B57C4">
        <w:rPr>
          <w:rFonts w:asciiTheme="minorHAnsi" w:hAnsiTheme="minorHAnsi"/>
        </w:rPr>
        <w:t xml:space="preserve">16, </w:t>
      </w:r>
      <w:r w:rsidR="00514E90">
        <w:rPr>
          <w:rFonts w:asciiTheme="minorHAnsi" w:hAnsiTheme="minorHAnsi"/>
        </w:rPr>
        <w:t xml:space="preserve">which is an </w:t>
      </w:r>
      <w:r w:rsidR="008B57C4">
        <w:rPr>
          <w:rFonts w:asciiTheme="minorHAnsi" w:hAnsiTheme="minorHAnsi"/>
        </w:rPr>
        <w:t>increase of 5.3 per cent</w:t>
      </w:r>
      <w:r w:rsidR="00543850">
        <w:rPr>
          <w:rFonts w:asciiTheme="minorHAnsi" w:hAnsiTheme="minorHAnsi"/>
        </w:rPr>
        <w:t xml:space="preserve"> (or 80 cents) for online applications and a decrease of </w:t>
      </w:r>
      <w:r w:rsidR="00543850" w:rsidRPr="00322B96">
        <w:rPr>
          <w:rFonts w:asciiTheme="minorHAnsi" w:hAnsiTheme="minorHAnsi"/>
        </w:rPr>
        <w:t>2</w:t>
      </w:r>
      <w:r w:rsidR="00322B96">
        <w:rPr>
          <w:rFonts w:asciiTheme="minorHAnsi" w:hAnsiTheme="minorHAnsi"/>
        </w:rPr>
        <w:t>1</w:t>
      </w:r>
      <w:r w:rsidR="00543850">
        <w:rPr>
          <w:rFonts w:asciiTheme="minorHAnsi" w:hAnsiTheme="minorHAnsi"/>
        </w:rPr>
        <w:t xml:space="preserve"> per cent (or $4.20) for paper applications</w:t>
      </w:r>
      <w:r w:rsidR="008B57C4">
        <w:rPr>
          <w:rFonts w:asciiTheme="minorHAnsi" w:hAnsiTheme="minorHAnsi"/>
        </w:rPr>
        <w:t>.</w:t>
      </w:r>
      <w:r w:rsidR="00543850">
        <w:rPr>
          <w:rFonts w:asciiTheme="minorHAnsi" w:hAnsiTheme="minorHAnsi"/>
        </w:rPr>
        <w:t xml:space="preserve"> </w:t>
      </w:r>
      <w:r w:rsidR="00D97C31">
        <w:rPr>
          <w:rFonts w:asciiTheme="minorHAnsi" w:hAnsiTheme="minorHAnsi"/>
        </w:rPr>
        <w:t xml:space="preserve">The proposed fee is estimated to </w:t>
      </w:r>
      <w:r w:rsidR="00322B96">
        <w:rPr>
          <w:rFonts w:asciiTheme="minorHAnsi" w:hAnsiTheme="minorHAnsi"/>
        </w:rPr>
        <w:t xml:space="preserve">generate revenue of approximately </w:t>
      </w:r>
      <w:r w:rsidR="00543850" w:rsidRPr="00FD2FAD">
        <w:rPr>
          <w:rFonts w:asciiTheme="minorHAnsi" w:hAnsiTheme="minorHAnsi"/>
        </w:rPr>
        <w:t>$21.79 million</w:t>
      </w:r>
      <w:r w:rsidR="00322B96">
        <w:rPr>
          <w:rFonts w:asciiTheme="minorHAnsi" w:hAnsiTheme="minorHAnsi"/>
        </w:rPr>
        <w:t xml:space="preserve"> over the life of the regulations. </w:t>
      </w:r>
    </w:p>
    <w:p w:rsidR="00842217" w:rsidRPr="002E6EB2" w:rsidRDefault="00842217" w:rsidP="003949F7">
      <w:pPr>
        <w:spacing w:after="240" w:line="276" w:lineRule="auto"/>
        <w:rPr>
          <w:rFonts w:ascii="Calibri" w:hAnsi="Calibri"/>
          <w:b/>
        </w:rPr>
      </w:pPr>
      <w:r w:rsidRPr="002E6EB2">
        <w:rPr>
          <w:rFonts w:ascii="Calibri" w:hAnsi="Calibri"/>
          <w:b/>
        </w:rPr>
        <w:t>Implementation and communication</w:t>
      </w:r>
    </w:p>
    <w:p w:rsidR="003A67E6" w:rsidRPr="009F0974" w:rsidRDefault="003A67E6" w:rsidP="003A67E6">
      <w:pPr>
        <w:pStyle w:val="Text"/>
        <w:spacing w:after="240" w:line="276" w:lineRule="auto"/>
        <w:rPr>
          <w:rFonts w:asciiTheme="minorHAnsi" w:hAnsiTheme="minorHAnsi"/>
          <w:color w:val="000000"/>
        </w:rPr>
      </w:pPr>
      <w:r>
        <w:rPr>
          <w:rFonts w:asciiTheme="minorHAnsi" w:hAnsiTheme="minorHAnsi"/>
          <w:color w:val="000000"/>
        </w:rPr>
        <w:t>The new fee</w:t>
      </w:r>
      <w:r w:rsidRPr="009F0974">
        <w:rPr>
          <w:rFonts w:asciiTheme="minorHAnsi" w:hAnsiTheme="minorHAnsi"/>
          <w:color w:val="000000"/>
        </w:rPr>
        <w:t xml:space="preserve"> will take effect </w:t>
      </w:r>
      <w:r>
        <w:rPr>
          <w:rFonts w:asciiTheme="minorHAnsi" w:hAnsiTheme="minorHAnsi"/>
          <w:color w:val="000000"/>
        </w:rPr>
        <w:t xml:space="preserve">upon commencement of </w:t>
      </w:r>
      <w:r w:rsidRPr="009F0974">
        <w:rPr>
          <w:rFonts w:asciiTheme="minorHAnsi" w:hAnsiTheme="minorHAnsi"/>
          <w:color w:val="000000"/>
        </w:rPr>
        <w:t xml:space="preserve">the </w:t>
      </w:r>
      <w:r>
        <w:rPr>
          <w:rFonts w:asciiTheme="minorHAnsi" w:hAnsiTheme="minorHAnsi"/>
          <w:color w:val="000000"/>
        </w:rPr>
        <w:t xml:space="preserve">Regulations, which </w:t>
      </w:r>
      <w:r w:rsidRPr="009F0974">
        <w:rPr>
          <w:rFonts w:asciiTheme="minorHAnsi" w:hAnsiTheme="minorHAnsi"/>
          <w:color w:val="000000"/>
        </w:rPr>
        <w:t xml:space="preserve">is </w:t>
      </w:r>
      <w:r>
        <w:rPr>
          <w:rFonts w:asciiTheme="minorHAnsi" w:hAnsiTheme="minorHAnsi"/>
          <w:color w:val="000000"/>
        </w:rPr>
        <w:t>expected</w:t>
      </w:r>
      <w:r w:rsidRPr="009F0974">
        <w:rPr>
          <w:rFonts w:asciiTheme="minorHAnsi" w:hAnsiTheme="minorHAnsi"/>
          <w:color w:val="000000"/>
        </w:rPr>
        <w:t xml:space="preserve"> </w:t>
      </w:r>
      <w:r>
        <w:rPr>
          <w:rFonts w:asciiTheme="minorHAnsi" w:hAnsiTheme="minorHAnsi"/>
          <w:color w:val="000000"/>
        </w:rPr>
        <w:t>to be</w:t>
      </w:r>
      <w:r w:rsidRPr="009F0974">
        <w:rPr>
          <w:rFonts w:asciiTheme="minorHAnsi" w:hAnsiTheme="minorHAnsi"/>
          <w:color w:val="000000"/>
        </w:rPr>
        <w:t xml:space="preserve"> </w:t>
      </w:r>
      <w:r>
        <w:rPr>
          <w:rFonts w:asciiTheme="minorHAnsi" w:hAnsiTheme="minorHAnsi"/>
          <w:color w:val="000000"/>
        </w:rPr>
        <w:t>on 19</w:t>
      </w:r>
      <w:r w:rsidRPr="009F0974">
        <w:rPr>
          <w:rFonts w:asciiTheme="minorHAnsi" w:hAnsiTheme="minorHAnsi"/>
          <w:color w:val="000000"/>
        </w:rPr>
        <w:t xml:space="preserve"> </w:t>
      </w:r>
      <w:r>
        <w:rPr>
          <w:rFonts w:asciiTheme="minorHAnsi" w:hAnsiTheme="minorHAnsi"/>
          <w:color w:val="000000"/>
        </w:rPr>
        <w:t>December 2015</w:t>
      </w:r>
      <w:r w:rsidRPr="009F0974">
        <w:rPr>
          <w:rFonts w:asciiTheme="minorHAnsi" w:hAnsiTheme="minorHAnsi"/>
          <w:color w:val="000000"/>
        </w:rPr>
        <w:t xml:space="preserve">. </w:t>
      </w:r>
    </w:p>
    <w:p w:rsidR="003A67E6" w:rsidRDefault="003A67E6" w:rsidP="003A67E6">
      <w:pPr>
        <w:pStyle w:val="Text"/>
        <w:spacing w:after="240" w:line="276" w:lineRule="auto"/>
        <w:rPr>
          <w:rFonts w:asciiTheme="minorHAnsi" w:hAnsiTheme="minorHAnsi"/>
          <w:color w:val="000000"/>
        </w:rPr>
      </w:pPr>
      <w:r w:rsidRPr="009F0974">
        <w:rPr>
          <w:rFonts w:asciiTheme="minorHAnsi" w:hAnsiTheme="minorHAnsi"/>
          <w:color w:val="000000"/>
        </w:rPr>
        <w:t xml:space="preserve">The SRO will use its website, subscriber </w:t>
      </w:r>
      <w:r>
        <w:rPr>
          <w:rFonts w:asciiTheme="minorHAnsi" w:hAnsiTheme="minorHAnsi"/>
          <w:color w:val="000000"/>
        </w:rPr>
        <w:t>mailing lists</w:t>
      </w:r>
      <w:r w:rsidRPr="009F0974">
        <w:rPr>
          <w:rFonts w:asciiTheme="minorHAnsi" w:hAnsiTheme="minorHAnsi"/>
          <w:color w:val="000000"/>
        </w:rPr>
        <w:t xml:space="preserve"> and consultative forums to update taxpayers</w:t>
      </w:r>
      <w:r>
        <w:rPr>
          <w:rFonts w:asciiTheme="minorHAnsi" w:hAnsiTheme="minorHAnsi"/>
          <w:color w:val="000000"/>
        </w:rPr>
        <w:t>, their representatives and industry peak bodies</w:t>
      </w:r>
      <w:r w:rsidRPr="009F0974">
        <w:rPr>
          <w:rFonts w:asciiTheme="minorHAnsi" w:hAnsiTheme="minorHAnsi"/>
          <w:color w:val="000000"/>
        </w:rPr>
        <w:t xml:space="preserve"> about the changes proposed </w:t>
      </w:r>
      <w:r>
        <w:rPr>
          <w:rFonts w:asciiTheme="minorHAnsi" w:hAnsiTheme="minorHAnsi"/>
          <w:color w:val="000000"/>
        </w:rPr>
        <w:t>by</w:t>
      </w:r>
      <w:r w:rsidRPr="009F0974">
        <w:rPr>
          <w:rFonts w:asciiTheme="minorHAnsi" w:hAnsiTheme="minorHAnsi"/>
          <w:color w:val="000000"/>
        </w:rPr>
        <w:t xml:space="preserve"> </w:t>
      </w:r>
      <w:r>
        <w:rPr>
          <w:rFonts w:asciiTheme="minorHAnsi" w:hAnsiTheme="minorHAnsi"/>
          <w:color w:val="000000"/>
        </w:rPr>
        <w:t>these Regulations</w:t>
      </w:r>
      <w:r w:rsidRPr="009F0974">
        <w:rPr>
          <w:rFonts w:asciiTheme="minorHAnsi" w:hAnsiTheme="minorHAnsi"/>
          <w:color w:val="000000"/>
        </w:rPr>
        <w:t>.</w:t>
      </w:r>
    </w:p>
    <w:p w:rsidR="0070128A" w:rsidRDefault="0070128A" w:rsidP="003949F7">
      <w:pPr>
        <w:spacing w:after="240" w:line="276" w:lineRule="auto"/>
        <w:rPr>
          <w:rFonts w:asciiTheme="minorHAnsi" w:hAnsiTheme="minorHAnsi"/>
          <w:sz w:val="28"/>
        </w:rPr>
      </w:pPr>
      <w:r>
        <w:rPr>
          <w:rFonts w:asciiTheme="minorHAnsi" w:hAnsiTheme="minorHAnsi"/>
          <w:sz w:val="28"/>
        </w:rPr>
        <w:br w:type="page"/>
      </w:r>
    </w:p>
    <w:p w:rsidR="0070128A" w:rsidRPr="006326F6" w:rsidRDefault="00CB3271" w:rsidP="001D160F">
      <w:pPr>
        <w:pStyle w:val="Heading1"/>
        <w:spacing w:after="240" w:line="276" w:lineRule="auto"/>
        <w:jc w:val="left"/>
        <w:rPr>
          <w:rFonts w:asciiTheme="minorHAnsi" w:hAnsiTheme="minorHAnsi"/>
          <w:sz w:val="32"/>
        </w:rPr>
      </w:pPr>
      <w:bookmarkStart w:id="2" w:name="_Toc432510173"/>
      <w:r w:rsidRPr="006326F6">
        <w:rPr>
          <w:rFonts w:asciiTheme="minorHAnsi" w:hAnsiTheme="minorHAnsi"/>
          <w:sz w:val="32"/>
        </w:rPr>
        <w:lastRenderedPageBreak/>
        <w:t>1.</w:t>
      </w:r>
      <w:r w:rsidRPr="006326F6">
        <w:rPr>
          <w:rFonts w:asciiTheme="minorHAnsi" w:hAnsiTheme="minorHAnsi"/>
          <w:sz w:val="32"/>
        </w:rPr>
        <w:tab/>
      </w:r>
      <w:r w:rsidR="00341235" w:rsidRPr="006326F6">
        <w:rPr>
          <w:rFonts w:asciiTheme="minorHAnsi" w:hAnsiTheme="minorHAnsi"/>
          <w:sz w:val="32"/>
        </w:rPr>
        <w:t>Introduction</w:t>
      </w:r>
      <w:bookmarkEnd w:id="2"/>
    </w:p>
    <w:p w:rsidR="00CC61CC" w:rsidRPr="00007EFD" w:rsidRDefault="00CC61CC" w:rsidP="001D160F">
      <w:pPr>
        <w:pStyle w:val="Style14ptJustified"/>
        <w:keepLines/>
        <w:spacing w:after="240" w:line="276" w:lineRule="auto"/>
        <w:jc w:val="left"/>
        <w:rPr>
          <w:rFonts w:ascii="Calibri" w:hAnsi="Calibri"/>
          <w:sz w:val="24"/>
          <w:szCs w:val="24"/>
        </w:rPr>
      </w:pPr>
      <w:r w:rsidRPr="00007EFD">
        <w:rPr>
          <w:rFonts w:ascii="Calibri" w:hAnsi="Calibri"/>
          <w:sz w:val="24"/>
          <w:szCs w:val="24"/>
        </w:rPr>
        <w:t xml:space="preserve">The State Revenue Office </w:t>
      </w:r>
      <w:r>
        <w:rPr>
          <w:rFonts w:ascii="Calibri" w:hAnsi="Calibri"/>
          <w:sz w:val="24"/>
          <w:szCs w:val="24"/>
        </w:rPr>
        <w:t>(SRO)</w:t>
      </w:r>
      <w:r w:rsidRPr="00007EFD">
        <w:rPr>
          <w:rFonts w:ascii="Calibri" w:hAnsi="Calibri"/>
          <w:sz w:val="24"/>
          <w:szCs w:val="24"/>
        </w:rPr>
        <w:t xml:space="preserve"> administers Victoria’s taxation legislation and is responsible for the collection of a number of </w:t>
      </w:r>
      <w:r w:rsidR="00883113">
        <w:rPr>
          <w:rFonts w:ascii="Calibri" w:hAnsi="Calibri"/>
          <w:sz w:val="24"/>
          <w:szCs w:val="24"/>
        </w:rPr>
        <w:t xml:space="preserve">state </w:t>
      </w:r>
      <w:r w:rsidRPr="00007EFD">
        <w:rPr>
          <w:rFonts w:ascii="Calibri" w:hAnsi="Calibri"/>
          <w:sz w:val="24"/>
          <w:szCs w:val="24"/>
        </w:rPr>
        <w:t xml:space="preserve">taxes, duties and levies, as well as the administration of the first home owner grant scheme. </w:t>
      </w:r>
    </w:p>
    <w:p w:rsidR="00CC61CC" w:rsidRDefault="00CC61CC" w:rsidP="001D160F">
      <w:pPr>
        <w:pStyle w:val="Style14ptJustified"/>
        <w:keepLines/>
        <w:spacing w:after="240" w:line="276" w:lineRule="auto"/>
        <w:jc w:val="left"/>
        <w:rPr>
          <w:rFonts w:ascii="Calibri" w:hAnsi="Calibri"/>
          <w:sz w:val="24"/>
          <w:szCs w:val="24"/>
        </w:rPr>
      </w:pPr>
      <w:r w:rsidRPr="00007EFD">
        <w:rPr>
          <w:rFonts w:ascii="Calibri" w:hAnsi="Calibri"/>
          <w:sz w:val="24"/>
          <w:szCs w:val="24"/>
        </w:rPr>
        <w:t xml:space="preserve">As part of this role, the </w:t>
      </w:r>
      <w:r>
        <w:rPr>
          <w:rFonts w:ascii="Calibri" w:hAnsi="Calibri"/>
          <w:sz w:val="24"/>
          <w:szCs w:val="24"/>
        </w:rPr>
        <w:t>SRO</w:t>
      </w:r>
      <w:r w:rsidRPr="00007EFD">
        <w:rPr>
          <w:rFonts w:ascii="Calibri" w:hAnsi="Calibri"/>
          <w:sz w:val="24"/>
          <w:szCs w:val="24"/>
        </w:rPr>
        <w:t xml:space="preserve"> is responsible for the administration and enforcement of the </w:t>
      </w:r>
      <w:r w:rsidRPr="0084480E">
        <w:rPr>
          <w:rFonts w:ascii="Calibri" w:hAnsi="Calibri"/>
          <w:i/>
          <w:sz w:val="24"/>
          <w:szCs w:val="24"/>
        </w:rPr>
        <w:t>Land Tax Act 2005</w:t>
      </w:r>
      <w:r>
        <w:rPr>
          <w:rFonts w:ascii="Calibri" w:hAnsi="Calibri"/>
          <w:sz w:val="24"/>
          <w:szCs w:val="24"/>
        </w:rPr>
        <w:t xml:space="preserve"> (the Act)</w:t>
      </w:r>
      <w:r w:rsidRPr="00007EFD">
        <w:rPr>
          <w:rFonts w:ascii="Calibri" w:hAnsi="Calibri"/>
          <w:sz w:val="24"/>
          <w:szCs w:val="24"/>
        </w:rPr>
        <w:t xml:space="preserve">.  </w:t>
      </w:r>
      <w:r>
        <w:rPr>
          <w:rFonts w:ascii="Calibri" w:hAnsi="Calibri"/>
          <w:sz w:val="24"/>
          <w:szCs w:val="24"/>
        </w:rPr>
        <w:t>Land tax is</w:t>
      </w:r>
      <w:r w:rsidRPr="00007EFD">
        <w:rPr>
          <w:rFonts w:ascii="Calibri" w:hAnsi="Calibri"/>
          <w:sz w:val="24"/>
          <w:szCs w:val="24"/>
        </w:rPr>
        <w:t xml:space="preserve"> an annual tax on the </w:t>
      </w:r>
      <w:r>
        <w:rPr>
          <w:rFonts w:ascii="Calibri" w:hAnsi="Calibri"/>
          <w:sz w:val="24"/>
          <w:szCs w:val="24"/>
        </w:rPr>
        <w:t>site</w:t>
      </w:r>
      <w:r w:rsidRPr="00007EFD">
        <w:rPr>
          <w:rFonts w:ascii="Calibri" w:hAnsi="Calibri"/>
          <w:sz w:val="24"/>
          <w:szCs w:val="24"/>
        </w:rPr>
        <w:t xml:space="preserve"> value of all land owned in Victoria at midnight on December 31 of the year before the assessing year. Each landowner is assessed for </w:t>
      </w:r>
      <w:r>
        <w:rPr>
          <w:rFonts w:ascii="Calibri" w:hAnsi="Calibri"/>
          <w:sz w:val="24"/>
          <w:szCs w:val="24"/>
        </w:rPr>
        <w:t xml:space="preserve">land </w:t>
      </w:r>
      <w:r w:rsidRPr="00007EFD">
        <w:rPr>
          <w:rFonts w:ascii="Calibri" w:hAnsi="Calibri"/>
          <w:sz w:val="24"/>
          <w:szCs w:val="24"/>
        </w:rPr>
        <w:t xml:space="preserve">tax on the aggregate </w:t>
      </w:r>
      <w:r>
        <w:rPr>
          <w:rFonts w:ascii="Calibri" w:hAnsi="Calibri"/>
          <w:sz w:val="24"/>
          <w:szCs w:val="24"/>
        </w:rPr>
        <w:t>taxable</w:t>
      </w:r>
      <w:r w:rsidRPr="00007EFD">
        <w:rPr>
          <w:rFonts w:ascii="Calibri" w:hAnsi="Calibri"/>
          <w:sz w:val="24"/>
          <w:szCs w:val="24"/>
        </w:rPr>
        <w:t xml:space="preserve"> value of all</w:t>
      </w:r>
      <w:r>
        <w:rPr>
          <w:rFonts w:ascii="Calibri" w:hAnsi="Calibri"/>
          <w:sz w:val="24"/>
          <w:szCs w:val="24"/>
        </w:rPr>
        <w:t xml:space="preserve"> taxable</w:t>
      </w:r>
      <w:r w:rsidRPr="00007EFD">
        <w:rPr>
          <w:rFonts w:ascii="Calibri" w:hAnsi="Calibri"/>
          <w:sz w:val="24"/>
          <w:szCs w:val="24"/>
        </w:rPr>
        <w:t xml:space="preserve"> land owned. </w:t>
      </w:r>
    </w:p>
    <w:p w:rsidR="00CC61CC" w:rsidRDefault="00CC61CC" w:rsidP="001D160F">
      <w:pPr>
        <w:pStyle w:val="Style14ptJustified"/>
        <w:keepLines/>
        <w:spacing w:after="240" w:line="276" w:lineRule="auto"/>
        <w:jc w:val="left"/>
        <w:rPr>
          <w:rFonts w:ascii="Calibri" w:hAnsi="Calibri"/>
          <w:sz w:val="24"/>
          <w:szCs w:val="24"/>
        </w:rPr>
      </w:pPr>
      <w:r>
        <w:rPr>
          <w:rFonts w:ascii="Calibri" w:hAnsi="Calibri"/>
          <w:sz w:val="24"/>
          <w:szCs w:val="24"/>
        </w:rPr>
        <w:t>Land tax applies unless the land is exempt or the total</w:t>
      </w:r>
      <w:r w:rsidRPr="00007EFD">
        <w:rPr>
          <w:rFonts w:ascii="Calibri" w:hAnsi="Calibri"/>
          <w:sz w:val="24"/>
          <w:szCs w:val="24"/>
        </w:rPr>
        <w:t xml:space="preserve"> </w:t>
      </w:r>
      <w:r>
        <w:rPr>
          <w:rFonts w:ascii="Calibri" w:hAnsi="Calibri"/>
          <w:sz w:val="24"/>
          <w:szCs w:val="24"/>
        </w:rPr>
        <w:t>taxable</w:t>
      </w:r>
      <w:r w:rsidRPr="00007EFD">
        <w:rPr>
          <w:rFonts w:ascii="Calibri" w:hAnsi="Calibri"/>
          <w:sz w:val="24"/>
          <w:szCs w:val="24"/>
        </w:rPr>
        <w:t xml:space="preserve"> value</w:t>
      </w:r>
      <w:r>
        <w:rPr>
          <w:rFonts w:ascii="Calibri" w:hAnsi="Calibri"/>
          <w:sz w:val="24"/>
          <w:szCs w:val="24"/>
        </w:rPr>
        <w:t xml:space="preserve"> of a taxpayer’s landholdings is below the relevant statutory threshold. T</w:t>
      </w:r>
      <w:r w:rsidRPr="00007EFD">
        <w:rPr>
          <w:rFonts w:ascii="Calibri" w:hAnsi="Calibri"/>
          <w:sz w:val="24"/>
          <w:szCs w:val="24"/>
        </w:rPr>
        <w:t xml:space="preserve">here are a range of land tax exemptions </w:t>
      </w:r>
      <w:r>
        <w:rPr>
          <w:rFonts w:ascii="Calibri" w:hAnsi="Calibri"/>
          <w:sz w:val="24"/>
          <w:szCs w:val="24"/>
        </w:rPr>
        <w:t>available. The most common exemptions include:</w:t>
      </w:r>
    </w:p>
    <w:p w:rsidR="00CC61CC" w:rsidRDefault="00CC61CC" w:rsidP="003A67E6">
      <w:pPr>
        <w:pStyle w:val="Style14ptJustified"/>
        <w:keepLines/>
        <w:numPr>
          <w:ilvl w:val="0"/>
          <w:numId w:val="3"/>
        </w:numPr>
        <w:spacing w:after="240" w:line="276" w:lineRule="auto"/>
        <w:jc w:val="left"/>
        <w:rPr>
          <w:rFonts w:ascii="Calibri" w:hAnsi="Calibri"/>
          <w:sz w:val="24"/>
          <w:szCs w:val="24"/>
        </w:rPr>
      </w:pPr>
      <w:r w:rsidRPr="00007EFD">
        <w:rPr>
          <w:rFonts w:ascii="Calibri" w:hAnsi="Calibri"/>
          <w:sz w:val="24"/>
          <w:szCs w:val="24"/>
        </w:rPr>
        <w:t xml:space="preserve">land used </w:t>
      </w:r>
      <w:r>
        <w:rPr>
          <w:rFonts w:ascii="Calibri" w:hAnsi="Calibri"/>
          <w:sz w:val="24"/>
          <w:szCs w:val="24"/>
        </w:rPr>
        <w:t>as a</w:t>
      </w:r>
      <w:r w:rsidRPr="00007EFD">
        <w:rPr>
          <w:rFonts w:ascii="Calibri" w:hAnsi="Calibri"/>
          <w:sz w:val="24"/>
          <w:szCs w:val="24"/>
        </w:rPr>
        <w:t xml:space="preserve"> principal place of residence</w:t>
      </w:r>
      <w:r>
        <w:rPr>
          <w:rFonts w:ascii="Calibri" w:hAnsi="Calibri"/>
          <w:sz w:val="24"/>
          <w:szCs w:val="24"/>
        </w:rPr>
        <w:t>;</w:t>
      </w:r>
      <w:r w:rsidRPr="00007EFD">
        <w:rPr>
          <w:rFonts w:ascii="Calibri" w:hAnsi="Calibri"/>
          <w:sz w:val="24"/>
          <w:szCs w:val="24"/>
        </w:rPr>
        <w:t xml:space="preserve"> </w:t>
      </w:r>
    </w:p>
    <w:p w:rsidR="00CC61CC" w:rsidRDefault="00CC61CC" w:rsidP="003A67E6">
      <w:pPr>
        <w:pStyle w:val="Style14ptJustified"/>
        <w:keepLines/>
        <w:numPr>
          <w:ilvl w:val="0"/>
          <w:numId w:val="3"/>
        </w:numPr>
        <w:spacing w:after="240" w:line="276" w:lineRule="auto"/>
        <w:jc w:val="left"/>
        <w:rPr>
          <w:rFonts w:ascii="Calibri" w:hAnsi="Calibri"/>
          <w:sz w:val="24"/>
          <w:szCs w:val="24"/>
        </w:rPr>
      </w:pPr>
      <w:r w:rsidRPr="00007EFD">
        <w:rPr>
          <w:rFonts w:ascii="Calibri" w:hAnsi="Calibri"/>
          <w:sz w:val="24"/>
          <w:szCs w:val="24"/>
        </w:rPr>
        <w:t>l</w:t>
      </w:r>
      <w:r>
        <w:rPr>
          <w:rFonts w:ascii="Calibri" w:hAnsi="Calibri"/>
          <w:sz w:val="24"/>
          <w:szCs w:val="24"/>
        </w:rPr>
        <w:t>and used for primary production;</w:t>
      </w:r>
    </w:p>
    <w:p w:rsidR="00CC61CC" w:rsidRDefault="000B5B0A" w:rsidP="003A67E6">
      <w:pPr>
        <w:pStyle w:val="Style14ptJustified"/>
        <w:keepLines/>
        <w:numPr>
          <w:ilvl w:val="0"/>
          <w:numId w:val="3"/>
        </w:numPr>
        <w:spacing w:after="240" w:line="276" w:lineRule="auto"/>
        <w:jc w:val="left"/>
        <w:rPr>
          <w:rFonts w:ascii="Calibri" w:hAnsi="Calibri"/>
          <w:sz w:val="24"/>
          <w:szCs w:val="24"/>
        </w:rPr>
      </w:pPr>
      <w:r w:rsidRPr="00007EFD">
        <w:rPr>
          <w:rFonts w:ascii="Calibri" w:hAnsi="Calibri"/>
          <w:sz w:val="24"/>
          <w:szCs w:val="24"/>
        </w:rPr>
        <w:t>l</w:t>
      </w:r>
      <w:r>
        <w:rPr>
          <w:rFonts w:ascii="Calibri" w:hAnsi="Calibri"/>
          <w:sz w:val="24"/>
          <w:szCs w:val="24"/>
        </w:rPr>
        <w:t xml:space="preserve">and used for </w:t>
      </w:r>
      <w:r w:rsidR="00CC61CC">
        <w:rPr>
          <w:rFonts w:ascii="Calibri" w:hAnsi="Calibri"/>
          <w:sz w:val="24"/>
          <w:szCs w:val="24"/>
        </w:rPr>
        <w:t>rooming houses, residential care facilities and retirement villages;</w:t>
      </w:r>
    </w:p>
    <w:p w:rsidR="00CC61CC" w:rsidRDefault="00CC61CC" w:rsidP="003A67E6">
      <w:pPr>
        <w:pStyle w:val="Style14ptJustified"/>
        <w:keepLines/>
        <w:numPr>
          <w:ilvl w:val="0"/>
          <w:numId w:val="3"/>
        </w:numPr>
        <w:spacing w:after="240" w:line="276" w:lineRule="auto"/>
        <w:jc w:val="left"/>
        <w:rPr>
          <w:rFonts w:ascii="Calibri" w:hAnsi="Calibri"/>
          <w:sz w:val="24"/>
          <w:szCs w:val="24"/>
        </w:rPr>
      </w:pPr>
      <w:proofErr w:type="gramStart"/>
      <w:r>
        <w:rPr>
          <w:rFonts w:ascii="Calibri" w:hAnsi="Calibri"/>
          <w:sz w:val="24"/>
          <w:szCs w:val="24"/>
        </w:rPr>
        <w:t>land</w:t>
      </w:r>
      <w:proofErr w:type="gramEnd"/>
      <w:r>
        <w:rPr>
          <w:rFonts w:ascii="Calibri" w:hAnsi="Calibri"/>
          <w:sz w:val="24"/>
          <w:szCs w:val="24"/>
        </w:rPr>
        <w:t xml:space="preserve"> that is used exclusively for charitable purposes.</w:t>
      </w:r>
    </w:p>
    <w:p w:rsidR="00CC61CC" w:rsidRDefault="00CC61CC" w:rsidP="001D160F">
      <w:pPr>
        <w:pStyle w:val="Style14ptJustified"/>
        <w:keepLines/>
        <w:spacing w:after="240" w:line="276" w:lineRule="auto"/>
        <w:jc w:val="left"/>
        <w:rPr>
          <w:rFonts w:ascii="Calibri" w:hAnsi="Calibri"/>
          <w:sz w:val="24"/>
          <w:szCs w:val="24"/>
        </w:rPr>
      </w:pPr>
      <w:r w:rsidRPr="00007EFD">
        <w:rPr>
          <w:rFonts w:ascii="Calibri" w:hAnsi="Calibri"/>
          <w:sz w:val="24"/>
          <w:szCs w:val="24"/>
        </w:rPr>
        <w:t xml:space="preserve">Revenue raised under the Act provides funds for Government programs such as education, health, law and order and other community services.  </w:t>
      </w:r>
    </w:p>
    <w:p w:rsidR="004905BB" w:rsidRPr="00007EFD" w:rsidRDefault="00CC61CC" w:rsidP="001D160F">
      <w:pPr>
        <w:pStyle w:val="Style14ptJustified"/>
        <w:keepLines/>
        <w:spacing w:after="240" w:line="276" w:lineRule="auto"/>
        <w:jc w:val="left"/>
        <w:rPr>
          <w:rFonts w:ascii="Calibri" w:hAnsi="Calibri"/>
          <w:sz w:val="24"/>
          <w:szCs w:val="24"/>
        </w:rPr>
      </w:pPr>
      <w:r w:rsidRPr="00CC61CC">
        <w:rPr>
          <w:rFonts w:ascii="Calibri" w:hAnsi="Calibri"/>
          <w:sz w:val="24"/>
          <w:szCs w:val="24"/>
        </w:rPr>
        <w:t>Certain areas of the Act permit requirements to be prescribed by subordinate legislation.  The current Land Tax Regulations 2005 (the 2005 Regulations), which came into force in January 2006, currently perform this function.</w:t>
      </w:r>
      <w:r w:rsidRPr="00007EFD">
        <w:rPr>
          <w:rFonts w:ascii="Calibri" w:hAnsi="Calibri"/>
          <w:sz w:val="24"/>
          <w:szCs w:val="24"/>
        </w:rPr>
        <w:t xml:space="preserve">  </w:t>
      </w:r>
    </w:p>
    <w:p w:rsidR="00CC61CC" w:rsidRPr="006326F6" w:rsidRDefault="00AC0F3E" w:rsidP="001D160F">
      <w:pPr>
        <w:pStyle w:val="Heading2"/>
        <w:spacing w:before="0" w:after="240" w:line="276" w:lineRule="auto"/>
        <w:rPr>
          <w:rFonts w:asciiTheme="minorHAnsi" w:eastAsia="Times New Roman" w:hAnsiTheme="minorHAnsi" w:cs="Times New Roman"/>
          <w:color w:val="auto"/>
          <w:sz w:val="28"/>
          <w:szCs w:val="22"/>
        </w:rPr>
      </w:pPr>
      <w:bookmarkStart w:id="3" w:name="_Toc432510174"/>
      <w:r w:rsidRPr="006326F6">
        <w:rPr>
          <w:rFonts w:asciiTheme="minorHAnsi" w:eastAsia="Times New Roman" w:hAnsiTheme="minorHAnsi" w:cs="Times New Roman"/>
          <w:color w:val="auto"/>
          <w:sz w:val="28"/>
          <w:szCs w:val="22"/>
        </w:rPr>
        <w:t xml:space="preserve">1.1. </w:t>
      </w:r>
      <w:r w:rsidR="00CB3271" w:rsidRPr="006326F6">
        <w:rPr>
          <w:rFonts w:asciiTheme="minorHAnsi" w:eastAsia="Times New Roman" w:hAnsiTheme="minorHAnsi" w:cs="Times New Roman"/>
          <w:color w:val="auto"/>
          <w:sz w:val="28"/>
          <w:szCs w:val="22"/>
        </w:rPr>
        <w:tab/>
      </w:r>
      <w:r w:rsidR="00CC61CC" w:rsidRPr="006326F6">
        <w:rPr>
          <w:rFonts w:asciiTheme="minorHAnsi" w:eastAsia="Times New Roman" w:hAnsiTheme="minorHAnsi" w:cs="Times New Roman"/>
          <w:color w:val="auto"/>
          <w:sz w:val="28"/>
          <w:szCs w:val="22"/>
        </w:rPr>
        <w:t>Notices of Acquisition</w:t>
      </w:r>
      <w:bookmarkEnd w:id="3"/>
    </w:p>
    <w:p w:rsidR="00CC61CC" w:rsidRDefault="00CC61CC" w:rsidP="001D160F">
      <w:pPr>
        <w:pStyle w:val="Style14ptJustified"/>
        <w:keepLines/>
        <w:spacing w:after="240" w:line="276" w:lineRule="auto"/>
        <w:jc w:val="left"/>
        <w:rPr>
          <w:rFonts w:ascii="Calibri" w:hAnsi="Calibri"/>
          <w:sz w:val="24"/>
          <w:szCs w:val="24"/>
        </w:rPr>
      </w:pPr>
      <w:r w:rsidRPr="007B7358">
        <w:rPr>
          <w:rFonts w:ascii="Calibri" w:hAnsi="Calibri"/>
          <w:sz w:val="24"/>
          <w:szCs w:val="24"/>
        </w:rPr>
        <w:t xml:space="preserve">Section 103 of the </w:t>
      </w:r>
      <w:r>
        <w:rPr>
          <w:rFonts w:ascii="Calibri" w:hAnsi="Calibri"/>
          <w:sz w:val="24"/>
          <w:szCs w:val="24"/>
        </w:rPr>
        <w:t xml:space="preserve">Act </w:t>
      </w:r>
      <w:r w:rsidRPr="0084480E">
        <w:rPr>
          <w:rFonts w:ascii="Calibri" w:hAnsi="Calibri"/>
          <w:sz w:val="24"/>
          <w:szCs w:val="24"/>
        </w:rPr>
        <w:t xml:space="preserve">forms the basis for the administrative procedure </w:t>
      </w:r>
      <w:r>
        <w:rPr>
          <w:rFonts w:ascii="Calibri" w:hAnsi="Calibri"/>
          <w:sz w:val="24"/>
          <w:szCs w:val="24"/>
        </w:rPr>
        <w:t xml:space="preserve">in which the SRO determines </w:t>
      </w:r>
      <w:r w:rsidRPr="0084480E">
        <w:rPr>
          <w:rFonts w:ascii="Calibri" w:hAnsi="Calibri"/>
          <w:sz w:val="24"/>
          <w:szCs w:val="24"/>
        </w:rPr>
        <w:t>the land holdings of an owner. Under this provision</w:t>
      </w:r>
      <w:r>
        <w:rPr>
          <w:rFonts w:ascii="Calibri" w:hAnsi="Calibri"/>
          <w:sz w:val="24"/>
          <w:szCs w:val="24"/>
        </w:rPr>
        <w:t xml:space="preserve">, </w:t>
      </w:r>
      <w:r w:rsidRPr="007B7358">
        <w:rPr>
          <w:rFonts w:ascii="Calibri" w:hAnsi="Calibri"/>
          <w:sz w:val="24"/>
          <w:szCs w:val="24"/>
        </w:rPr>
        <w:t xml:space="preserve">a person who acquires land in Victoria </w:t>
      </w:r>
      <w:r>
        <w:rPr>
          <w:rFonts w:ascii="Calibri" w:hAnsi="Calibri"/>
          <w:sz w:val="24"/>
          <w:szCs w:val="24"/>
        </w:rPr>
        <w:t>must</w:t>
      </w:r>
      <w:r w:rsidRPr="007B7358">
        <w:rPr>
          <w:rFonts w:ascii="Calibri" w:hAnsi="Calibri"/>
          <w:sz w:val="24"/>
          <w:szCs w:val="24"/>
        </w:rPr>
        <w:t xml:space="preserve"> give notice of the acquisition to </w:t>
      </w:r>
      <w:r w:rsidRPr="001D160F">
        <w:rPr>
          <w:rFonts w:ascii="Calibri" w:hAnsi="Calibri"/>
          <w:i/>
          <w:sz w:val="24"/>
          <w:szCs w:val="24"/>
        </w:rPr>
        <w:t>prescribed persons</w:t>
      </w:r>
      <w:r w:rsidRPr="007B7358">
        <w:rPr>
          <w:rFonts w:ascii="Calibri" w:hAnsi="Calibri"/>
          <w:sz w:val="24"/>
          <w:szCs w:val="24"/>
        </w:rPr>
        <w:t xml:space="preserve"> within a </w:t>
      </w:r>
      <w:r w:rsidRPr="001D160F">
        <w:rPr>
          <w:rFonts w:ascii="Calibri" w:hAnsi="Calibri"/>
          <w:i/>
          <w:sz w:val="24"/>
          <w:szCs w:val="24"/>
        </w:rPr>
        <w:t>prescribed period</w:t>
      </w:r>
      <w:r w:rsidRPr="007B7358">
        <w:rPr>
          <w:rFonts w:ascii="Calibri" w:hAnsi="Calibri"/>
          <w:sz w:val="24"/>
          <w:szCs w:val="24"/>
        </w:rPr>
        <w:t xml:space="preserve">. </w:t>
      </w:r>
      <w:r>
        <w:rPr>
          <w:rFonts w:ascii="Calibri" w:hAnsi="Calibri"/>
          <w:sz w:val="24"/>
          <w:szCs w:val="24"/>
        </w:rPr>
        <w:t>In addition, t</w:t>
      </w:r>
      <w:r w:rsidRPr="007B7358">
        <w:rPr>
          <w:rFonts w:ascii="Calibri" w:hAnsi="Calibri"/>
          <w:sz w:val="24"/>
          <w:szCs w:val="24"/>
        </w:rPr>
        <w:t xml:space="preserve">he notice must contain </w:t>
      </w:r>
      <w:r w:rsidRPr="001D160F">
        <w:rPr>
          <w:rFonts w:ascii="Calibri" w:hAnsi="Calibri"/>
          <w:i/>
          <w:sz w:val="24"/>
          <w:szCs w:val="24"/>
        </w:rPr>
        <w:t>prescribed information</w:t>
      </w:r>
      <w:r w:rsidRPr="007B7358">
        <w:rPr>
          <w:rFonts w:ascii="Calibri" w:hAnsi="Calibri"/>
          <w:sz w:val="24"/>
          <w:szCs w:val="24"/>
        </w:rPr>
        <w:t xml:space="preserve">, be in the </w:t>
      </w:r>
      <w:r w:rsidRPr="001D160F">
        <w:rPr>
          <w:rFonts w:ascii="Calibri" w:hAnsi="Calibri"/>
          <w:i/>
          <w:sz w:val="24"/>
          <w:szCs w:val="24"/>
        </w:rPr>
        <w:t>prescribed form</w:t>
      </w:r>
      <w:r w:rsidRPr="007B7358">
        <w:rPr>
          <w:rFonts w:ascii="Calibri" w:hAnsi="Calibri"/>
          <w:sz w:val="24"/>
          <w:szCs w:val="24"/>
        </w:rPr>
        <w:t xml:space="preserve"> and be given in the </w:t>
      </w:r>
      <w:r w:rsidRPr="001D160F">
        <w:rPr>
          <w:rFonts w:ascii="Calibri" w:hAnsi="Calibri"/>
          <w:i/>
          <w:sz w:val="24"/>
          <w:szCs w:val="24"/>
        </w:rPr>
        <w:t>prescribed manner</w:t>
      </w:r>
      <w:r w:rsidRPr="007B7358">
        <w:rPr>
          <w:rFonts w:ascii="Calibri" w:hAnsi="Calibri"/>
          <w:sz w:val="24"/>
          <w:szCs w:val="24"/>
        </w:rPr>
        <w:t xml:space="preserve">. </w:t>
      </w:r>
    </w:p>
    <w:p w:rsidR="00CC61CC" w:rsidRPr="0095690E" w:rsidRDefault="00CC61CC" w:rsidP="001D160F">
      <w:pPr>
        <w:pStyle w:val="Style14ptJustified"/>
        <w:keepLines/>
        <w:spacing w:after="120" w:line="276" w:lineRule="auto"/>
        <w:jc w:val="left"/>
        <w:rPr>
          <w:rFonts w:ascii="Calibri" w:hAnsi="Calibri"/>
          <w:sz w:val="24"/>
          <w:szCs w:val="24"/>
        </w:rPr>
      </w:pPr>
      <w:r w:rsidRPr="007B7358">
        <w:rPr>
          <w:rFonts w:ascii="Calibri" w:hAnsi="Calibri"/>
          <w:sz w:val="24"/>
          <w:szCs w:val="24"/>
        </w:rPr>
        <w:t>The</w:t>
      </w:r>
      <w:r>
        <w:rPr>
          <w:rFonts w:ascii="Calibri" w:hAnsi="Calibri"/>
          <w:sz w:val="24"/>
          <w:szCs w:val="24"/>
        </w:rPr>
        <w:t>se matters are currently prescribed in the</w:t>
      </w:r>
      <w:r w:rsidRPr="007B7358">
        <w:rPr>
          <w:rFonts w:ascii="Calibri" w:hAnsi="Calibri"/>
          <w:sz w:val="24"/>
          <w:szCs w:val="24"/>
        </w:rPr>
        <w:t xml:space="preserve"> </w:t>
      </w:r>
      <w:r>
        <w:rPr>
          <w:rFonts w:ascii="Calibri" w:hAnsi="Calibri"/>
          <w:sz w:val="24"/>
          <w:szCs w:val="24"/>
        </w:rPr>
        <w:t>2005</w:t>
      </w:r>
      <w:r w:rsidRPr="007B7358">
        <w:rPr>
          <w:rFonts w:ascii="Calibri" w:hAnsi="Calibri"/>
          <w:sz w:val="24"/>
          <w:szCs w:val="24"/>
        </w:rPr>
        <w:t xml:space="preserve"> Regulations</w:t>
      </w:r>
      <w:r>
        <w:rPr>
          <w:rFonts w:ascii="Calibri" w:hAnsi="Calibri"/>
          <w:sz w:val="24"/>
          <w:szCs w:val="24"/>
        </w:rPr>
        <w:t>,</w:t>
      </w:r>
      <w:r w:rsidRPr="007B7358">
        <w:rPr>
          <w:rFonts w:ascii="Calibri" w:hAnsi="Calibri"/>
          <w:sz w:val="24"/>
          <w:szCs w:val="24"/>
        </w:rPr>
        <w:t xml:space="preserve"> </w:t>
      </w:r>
      <w:r>
        <w:rPr>
          <w:rFonts w:ascii="Calibri" w:hAnsi="Calibri"/>
          <w:sz w:val="24"/>
          <w:szCs w:val="24"/>
        </w:rPr>
        <w:t xml:space="preserve">which </w:t>
      </w:r>
      <w:r w:rsidRPr="0095690E">
        <w:rPr>
          <w:rFonts w:ascii="Calibri" w:hAnsi="Calibri"/>
          <w:sz w:val="24"/>
          <w:szCs w:val="24"/>
        </w:rPr>
        <w:t>provide that—</w:t>
      </w:r>
    </w:p>
    <w:p w:rsidR="00CC61CC" w:rsidRPr="0095690E" w:rsidRDefault="00CC61CC" w:rsidP="003A67E6">
      <w:pPr>
        <w:pStyle w:val="Style14ptJustified"/>
        <w:keepLines/>
        <w:numPr>
          <w:ilvl w:val="0"/>
          <w:numId w:val="7"/>
        </w:numPr>
        <w:spacing w:after="120" w:line="276" w:lineRule="auto"/>
        <w:jc w:val="left"/>
        <w:rPr>
          <w:rFonts w:ascii="Calibri" w:hAnsi="Calibri"/>
          <w:sz w:val="24"/>
          <w:szCs w:val="24"/>
        </w:rPr>
      </w:pPr>
      <w:r w:rsidRPr="0095690E">
        <w:rPr>
          <w:rFonts w:ascii="Calibri" w:hAnsi="Calibri"/>
          <w:sz w:val="24"/>
          <w:szCs w:val="24"/>
        </w:rPr>
        <w:t>the person for the receipt of the notice is the Registrar of Titles;</w:t>
      </w:r>
    </w:p>
    <w:p w:rsidR="00CC61CC" w:rsidRPr="0095690E" w:rsidRDefault="00CC61CC" w:rsidP="003A67E6">
      <w:pPr>
        <w:pStyle w:val="Style14ptJustified"/>
        <w:keepLines/>
        <w:numPr>
          <w:ilvl w:val="0"/>
          <w:numId w:val="7"/>
        </w:numPr>
        <w:spacing w:after="120" w:line="276" w:lineRule="auto"/>
        <w:jc w:val="left"/>
        <w:rPr>
          <w:rFonts w:ascii="Calibri" w:hAnsi="Calibri"/>
          <w:sz w:val="24"/>
          <w:szCs w:val="24"/>
        </w:rPr>
      </w:pPr>
      <w:r w:rsidRPr="0095690E">
        <w:rPr>
          <w:rFonts w:ascii="Calibri" w:hAnsi="Calibri"/>
          <w:sz w:val="24"/>
          <w:szCs w:val="24"/>
        </w:rPr>
        <w:t xml:space="preserve">the period within which the notice </w:t>
      </w:r>
      <w:r>
        <w:rPr>
          <w:rFonts w:ascii="Calibri" w:hAnsi="Calibri"/>
          <w:sz w:val="24"/>
          <w:szCs w:val="24"/>
        </w:rPr>
        <w:t xml:space="preserve">of acquisition </w:t>
      </w:r>
      <w:r w:rsidRPr="0095690E">
        <w:rPr>
          <w:rFonts w:ascii="Calibri" w:hAnsi="Calibri"/>
          <w:sz w:val="24"/>
          <w:szCs w:val="24"/>
        </w:rPr>
        <w:t>must be given is one month after the acquisition of the land;</w:t>
      </w:r>
    </w:p>
    <w:p w:rsidR="00CC61CC" w:rsidRPr="0095690E" w:rsidRDefault="00CC61CC" w:rsidP="003A67E6">
      <w:pPr>
        <w:pStyle w:val="Style14ptJustified"/>
        <w:keepLines/>
        <w:numPr>
          <w:ilvl w:val="0"/>
          <w:numId w:val="7"/>
        </w:numPr>
        <w:spacing w:after="120" w:line="276" w:lineRule="auto"/>
        <w:jc w:val="left"/>
        <w:rPr>
          <w:rFonts w:ascii="Calibri" w:hAnsi="Calibri"/>
          <w:sz w:val="24"/>
          <w:szCs w:val="24"/>
        </w:rPr>
      </w:pPr>
      <w:r w:rsidRPr="00C922CE">
        <w:rPr>
          <w:rFonts w:ascii="Calibri" w:hAnsi="Calibri"/>
          <w:sz w:val="24"/>
          <w:szCs w:val="24"/>
        </w:rPr>
        <w:lastRenderedPageBreak/>
        <w:t>the information that must be contained in the notice is the particulars that would be set out in regulation 15(2) of the Local Government (General) Regulations 2004</w:t>
      </w:r>
      <w:r>
        <w:rPr>
          <w:rStyle w:val="FootnoteReference"/>
          <w:rFonts w:ascii="Calibri" w:hAnsi="Calibri"/>
          <w:sz w:val="24"/>
          <w:szCs w:val="24"/>
        </w:rPr>
        <w:footnoteReference w:id="1"/>
      </w:r>
      <w:r w:rsidRPr="00C922CE">
        <w:rPr>
          <w:rFonts w:ascii="Calibri" w:hAnsi="Calibri"/>
          <w:sz w:val="24"/>
          <w:szCs w:val="24"/>
        </w:rPr>
        <w:t xml:space="preserve"> if in paragraph (a)(vii) of that regulation for "(for the purpose of preparing voters rolls)" there were substituted "(for State Revenue Office data matching purposes)"; </w:t>
      </w:r>
      <w:r>
        <w:rPr>
          <w:rFonts w:ascii="Calibri" w:hAnsi="Calibri"/>
          <w:sz w:val="24"/>
          <w:szCs w:val="24"/>
        </w:rPr>
        <w:t xml:space="preserve">and </w:t>
      </w:r>
    </w:p>
    <w:p w:rsidR="00CC61CC" w:rsidRPr="0095690E" w:rsidRDefault="00CC61CC" w:rsidP="003A67E6">
      <w:pPr>
        <w:pStyle w:val="Style14ptJustified"/>
        <w:keepLines/>
        <w:numPr>
          <w:ilvl w:val="0"/>
          <w:numId w:val="7"/>
        </w:numPr>
        <w:spacing w:after="240" w:line="276" w:lineRule="auto"/>
        <w:jc w:val="left"/>
        <w:rPr>
          <w:rFonts w:ascii="Calibri" w:hAnsi="Calibri"/>
          <w:sz w:val="24"/>
          <w:szCs w:val="24"/>
        </w:rPr>
      </w:pPr>
      <w:proofErr w:type="gramStart"/>
      <w:r w:rsidRPr="0095690E">
        <w:rPr>
          <w:rFonts w:ascii="Calibri" w:hAnsi="Calibri"/>
          <w:sz w:val="24"/>
          <w:szCs w:val="24"/>
        </w:rPr>
        <w:t>the</w:t>
      </w:r>
      <w:proofErr w:type="gramEnd"/>
      <w:r w:rsidRPr="0095690E">
        <w:rPr>
          <w:rFonts w:ascii="Calibri" w:hAnsi="Calibri"/>
          <w:sz w:val="24"/>
          <w:szCs w:val="24"/>
        </w:rPr>
        <w:t xml:space="preserve"> manner for giving the notice is in writing.</w:t>
      </w:r>
    </w:p>
    <w:p w:rsidR="00ED3FA2" w:rsidRDefault="00C103E1" w:rsidP="001D160F">
      <w:pPr>
        <w:pStyle w:val="Style14ptJustified"/>
        <w:keepLines/>
        <w:spacing w:after="240" w:line="276" w:lineRule="auto"/>
        <w:jc w:val="left"/>
        <w:rPr>
          <w:rFonts w:ascii="Calibri" w:hAnsi="Calibri"/>
          <w:sz w:val="24"/>
          <w:szCs w:val="24"/>
        </w:rPr>
      </w:pPr>
      <w:r>
        <w:rPr>
          <w:rFonts w:ascii="Calibri" w:hAnsi="Calibri"/>
          <w:sz w:val="24"/>
          <w:szCs w:val="24"/>
        </w:rPr>
        <w:t>The Act further provides that where the land transfer is conducted using an electronic lodgement network, a person is not required to give notice of the acquisition in writing to the Registrar of Titles. This is because f</w:t>
      </w:r>
      <w:r w:rsidR="00ED3FA2">
        <w:rPr>
          <w:rFonts w:ascii="Calibri" w:hAnsi="Calibri"/>
          <w:sz w:val="24"/>
          <w:szCs w:val="24"/>
        </w:rPr>
        <w:t xml:space="preserve">ollowing the introduction of the national electronic lodgement network for land transfers in Victoria in 2014, the SRO </w:t>
      </w:r>
      <w:r>
        <w:rPr>
          <w:rFonts w:ascii="Calibri" w:hAnsi="Calibri"/>
          <w:sz w:val="24"/>
          <w:szCs w:val="24"/>
        </w:rPr>
        <w:t>now has</w:t>
      </w:r>
      <w:r w:rsidR="00ED3FA2">
        <w:rPr>
          <w:rFonts w:ascii="Calibri" w:hAnsi="Calibri"/>
          <w:sz w:val="24"/>
          <w:szCs w:val="24"/>
        </w:rPr>
        <w:t xml:space="preserve"> access to this information electronically via the electronic lodgement network.</w:t>
      </w:r>
      <w:r>
        <w:rPr>
          <w:rFonts w:ascii="Calibri" w:hAnsi="Calibri"/>
          <w:sz w:val="24"/>
          <w:szCs w:val="24"/>
        </w:rPr>
        <w:t xml:space="preserve"> </w:t>
      </w:r>
      <w:r w:rsidRPr="00AE3E01">
        <w:rPr>
          <w:rFonts w:ascii="Calibri" w:hAnsi="Calibri"/>
          <w:sz w:val="24"/>
          <w:szCs w:val="24"/>
        </w:rPr>
        <w:t xml:space="preserve">The requirement to lodge a notice of acquisition in writing to the Registrar </w:t>
      </w:r>
      <w:r w:rsidR="00AE3E01">
        <w:rPr>
          <w:rFonts w:ascii="Calibri" w:hAnsi="Calibri"/>
          <w:sz w:val="24"/>
          <w:szCs w:val="24"/>
        </w:rPr>
        <w:t>is</w:t>
      </w:r>
      <w:r w:rsidRPr="00AE3E01">
        <w:rPr>
          <w:rFonts w:ascii="Calibri" w:hAnsi="Calibri"/>
          <w:sz w:val="24"/>
          <w:szCs w:val="24"/>
        </w:rPr>
        <w:t xml:space="preserve"> retained </w:t>
      </w:r>
      <w:r w:rsidR="00AE3E01">
        <w:rPr>
          <w:rFonts w:ascii="Calibri" w:hAnsi="Calibri"/>
          <w:sz w:val="24"/>
          <w:szCs w:val="24"/>
        </w:rPr>
        <w:t>for</w:t>
      </w:r>
      <w:r w:rsidRPr="00AE3E01">
        <w:rPr>
          <w:rFonts w:ascii="Calibri" w:hAnsi="Calibri"/>
          <w:sz w:val="24"/>
          <w:szCs w:val="24"/>
        </w:rPr>
        <w:t xml:space="preserve"> </w:t>
      </w:r>
      <w:r>
        <w:rPr>
          <w:rFonts w:ascii="Calibri" w:hAnsi="Calibri"/>
          <w:sz w:val="24"/>
          <w:szCs w:val="24"/>
        </w:rPr>
        <w:t xml:space="preserve">those </w:t>
      </w:r>
      <w:r w:rsidRPr="00AE3E01">
        <w:rPr>
          <w:rFonts w:ascii="Calibri" w:hAnsi="Calibri"/>
          <w:sz w:val="24"/>
          <w:szCs w:val="24"/>
        </w:rPr>
        <w:t xml:space="preserve">transfers </w:t>
      </w:r>
      <w:r w:rsidR="00F55D5A">
        <w:rPr>
          <w:rFonts w:ascii="Calibri" w:hAnsi="Calibri"/>
          <w:sz w:val="24"/>
          <w:szCs w:val="24"/>
        </w:rPr>
        <w:t>that</w:t>
      </w:r>
      <w:r w:rsidRPr="00AE3E01">
        <w:rPr>
          <w:rFonts w:ascii="Calibri" w:hAnsi="Calibri"/>
          <w:sz w:val="24"/>
          <w:szCs w:val="24"/>
        </w:rPr>
        <w:t xml:space="preserve"> are not lodged through the electronic network.</w:t>
      </w:r>
    </w:p>
    <w:p w:rsidR="00CC61CC" w:rsidRDefault="00CC61CC" w:rsidP="001D160F">
      <w:pPr>
        <w:pStyle w:val="Style14ptJustified"/>
        <w:keepLines/>
        <w:spacing w:after="240" w:line="276" w:lineRule="auto"/>
        <w:jc w:val="left"/>
        <w:rPr>
          <w:rFonts w:ascii="Calibri" w:hAnsi="Calibri"/>
          <w:sz w:val="24"/>
          <w:szCs w:val="24"/>
        </w:rPr>
      </w:pPr>
      <w:r w:rsidRPr="0084480E">
        <w:rPr>
          <w:rFonts w:ascii="Calibri" w:hAnsi="Calibri"/>
          <w:sz w:val="24"/>
          <w:szCs w:val="24"/>
        </w:rPr>
        <w:t xml:space="preserve">Obtaining information about land ownership in this form is essential </w:t>
      </w:r>
      <w:r>
        <w:rPr>
          <w:rFonts w:ascii="Calibri" w:hAnsi="Calibri"/>
          <w:sz w:val="24"/>
          <w:szCs w:val="24"/>
        </w:rPr>
        <w:t xml:space="preserve">in determining </w:t>
      </w:r>
      <w:r w:rsidRPr="0084480E">
        <w:rPr>
          <w:rFonts w:ascii="Calibri" w:hAnsi="Calibri"/>
          <w:sz w:val="24"/>
          <w:szCs w:val="24"/>
        </w:rPr>
        <w:t>the land holdings of an owner</w:t>
      </w:r>
      <w:r w:rsidR="00C103E1">
        <w:rPr>
          <w:rFonts w:ascii="Calibri" w:hAnsi="Calibri"/>
          <w:sz w:val="24"/>
          <w:szCs w:val="24"/>
        </w:rPr>
        <w:t xml:space="preserve"> in order to administer land tax</w:t>
      </w:r>
      <w:r w:rsidRPr="0084480E">
        <w:rPr>
          <w:rFonts w:ascii="Calibri" w:hAnsi="Calibri"/>
          <w:sz w:val="24"/>
          <w:szCs w:val="24"/>
        </w:rPr>
        <w:t>.</w:t>
      </w:r>
      <w:r>
        <w:rPr>
          <w:rFonts w:ascii="Calibri" w:hAnsi="Calibri"/>
          <w:sz w:val="24"/>
          <w:szCs w:val="24"/>
        </w:rPr>
        <w:t xml:space="preserve"> </w:t>
      </w:r>
      <w:r w:rsidRPr="0084480E">
        <w:rPr>
          <w:rFonts w:ascii="Calibri" w:hAnsi="Calibri"/>
          <w:sz w:val="24"/>
          <w:szCs w:val="24"/>
        </w:rPr>
        <w:t xml:space="preserve">  </w:t>
      </w:r>
    </w:p>
    <w:p w:rsidR="00CB75B5" w:rsidRDefault="00CC61CC" w:rsidP="001D160F">
      <w:pPr>
        <w:pStyle w:val="Style14ptJustified"/>
        <w:keepLines/>
        <w:spacing w:after="240" w:line="276" w:lineRule="auto"/>
        <w:jc w:val="left"/>
        <w:rPr>
          <w:rFonts w:ascii="Calibri" w:hAnsi="Calibri"/>
          <w:sz w:val="24"/>
          <w:szCs w:val="24"/>
        </w:rPr>
      </w:pPr>
      <w:r>
        <w:rPr>
          <w:rFonts w:ascii="Calibri" w:hAnsi="Calibri"/>
          <w:sz w:val="24"/>
          <w:szCs w:val="24"/>
        </w:rPr>
        <w:t xml:space="preserve">To minimise regulatory burden on purchasers, the requirements prescribed in the 2005 Regulations largely mirror the notice of acquisition requirements for Council </w:t>
      </w:r>
      <w:r w:rsidR="00CB75B5">
        <w:rPr>
          <w:rFonts w:ascii="Calibri" w:hAnsi="Calibri"/>
          <w:sz w:val="24"/>
          <w:szCs w:val="24"/>
        </w:rPr>
        <w:t xml:space="preserve">purposes as prescribed in the </w:t>
      </w:r>
      <w:r w:rsidR="00CB75B5" w:rsidRPr="00C922CE">
        <w:rPr>
          <w:rFonts w:ascii="Calibri" w:hAnsi="Calibri"/>
          <w:sz w:val="24"/>
          <w:szCs w:val="24"/>
        </w:rPr>
        <w:t>Local Government (General) Regulations 2004</w:t>
      </w:r>
      <w:r>
        <w:rPr>
          <w:rFonts w:ascii="Calibri" w:hAnsi="Calibri"/>
          <w:sz w:val="24"/>
          <w:szCs w:val="24"/>
        </w:rPr>
        <w:t xml:space="preserve">. </w:t>
      </w:r>
    </w:p>
    <w:p w:rsidR="00CC61CC" w:rsidRPr="006326F6" w:rsidRDefault="00AC0F3E" w:rsidP="001D160F">
      <w:pPr>
        <w:pStyle w:val="Heading2"/>
        <w:spacing w:before="0" w:after="240" w:line="276" w:lineRule="auto"/>
        <w:rPr>
          <w:rFonts w:asciiTheme="minorHAnsi" w:eastAsia="Times New Roman" w:hAnsiTheme="minorHAnsi" w:cs="Times New Roman"/>
          <w:color w:val="auto"/>
          <w:sz w:val="28"/>
          <w:szCs w:val="22"/>
        </w:rPr>
      </w:pPr>
      <w:bookmarkStart w:id="4" w:name="_Toc432510175"/>
      <w:r w:rsidRPr="006326F6">
        <w:rPr>
          <w:rFonts w:asciiTheme="minorHAnsi" w:eastAsia="Times New Roman" w:hAnsiTheme="minorHAnsi" w:cs="Times New Roman"/>
          <w:color w:val="auto"/>
          <w:sz w:val="28"/>
          <w:szCs w:val="22"/>
        </w:rPr>
        <w:t xml:space="preserve">1.2. </w:t>
      </w:r>
      <w:r w:rsidR="00CB3271" w:rsidRPr="006326F6">
        <w:rPr>
          <w:rFonts w:asciiTheme="minorHAnsi" w:eastAsia="Times New Roman" w:hAnsiTheme="minorHAnsi" w:cs="Times New Roman"/>
          <w:color w:val="auto"/>
          <w:sz w:val="28"/>
          <w:szCs w:val="22"/>
        </w:rPr>
        <w:tab/>
      </w:r>
      <w:r w:rsidR="00CC61CC" w:rsidRPr="006326F6">
        <w:rPr>
          <w:rFonts w:asciiTheme="minorHAnsi" w:eastAsia="Times New Roman" w:hAnsiTheme="minorHAnsi" w:cs="Times New Roman"/>
          <w:color w:val="auto"/>
          <w:sz w:val="28"/>
          <w:szCs w:val="22"/>
        </w:rPr>
        <w:t>Land Tax Clearance Certificates</w:t>
      </w:r>
      <w:bookmarkEnd w:id="4"/>
    </w:p>
    <w:p w:rsidR="00261ADB" w:rsidRDefault="00261ADB" w:rsidP="00261ADB">
      <w:pPr>
        <w:pStyle w:val="Style14ptJustified"/>
        <w:keepLines/>
        <w:spacing w:after="240" w:line="276" w:lineRule="auto"/>
        <w:jc w:val="left"/>
        <w:rPr>
          <w:rFonts w:ascii="Calibri" w:hAnsi="Calibri"/>
          <w:sz w:val="24"/>
          <w:szCs w:val="24"/>
        </w:rPr>
      </w:pPr>
      <w:r w:rsidRPr="00832D4E">
        <w:rPr>
          <w:rFonts w:ascii="Calibri" w:hAnsi="Calibri"/>
          <w:sz w:val="24"/>
          <w:szCs w:val="24"/>
        </w:rPr>
        <w:t xml:space="preserve">Section 105 of the </w:t>
      </w:r>
      <w:r>
        <w:rPr>
          <w:rFonts w:ascii="Calibri" w:hAnsi="Calibri"/>
          <w:sz w:val="24"/>
          <w:szCs w:val="24"/>
        </w:rPr>
        <w:t>Act</w:t>
      </w:r>
      <w:r w:rsidRPr="00832D4E">
        <w:rPr>
          <w:rFonts w:ascii="Calibri" w:hAnsi="Calibri"/>
          <w:sz w:val="24"/>
          <w:szCs w:val="24"/>
        </w:rPr>
        <w:t xml:space="preserve"> requires the Commissioner, upon application</w:t>
      </w:r>
      <w:r w:rsidR="000B6A9E">
        <w:rPr>
          <w:rFonts w:ascii="Calibri" w:hAnsi="Calibri"/>
          <w:sz w:val="24"/>
          <w:szCs w:val="24"/>
        </w:rPr>
        <w:t xml:space="preserve"> from an owner, purchaser or mortgagee</w:t>
      </w:r>
      <w:r w:rsidRPr="00832D4E">
        <w:rPr>
          <w:rFonts w:ascii="Calibri" w:hAnsi="Calibri"/>
          <w:sz w:val="24"/>
          <w:szCs w:val="24"/>
        </w:rPr>
        <w:t xml:space="preserve"> and receipt of the prescribed fee, to issue a certificate showing any land tax due and </w:t>
      </w:r>
      <w:r>
        <w:rPr>
          <w:rFonts w:ascii="Calibri" w:hAnsi="Calibri"/>
          <w:sz w:val="24"/>
          <w:szCs w:val="24"/>
        </w:rPr>
        <w:t>unpaid on a particular land (clearance certificate</w:t>
      </w:r>
      <w:r w:rsidRPr="00832D4E">
        <w:rPr>
          <w:rFonts w:ascii="Calibri" w:hAnsi="Calibri"/>
          <w:sz w:val="24"/>
          <w:szCs w:val="24"/>
        </w:rPr>
        <w:t xml:space="preserve">). </w:t>
      </w:r>
    </w:p>
    <w:p w:rsidR="00CC61CC" w:rsidRDefault="00CC61CC" w:rsidP="001D160F">
      <w:pPr>
        <w:pStyle w:val="Style14ptJustified"/>
        <w:keepLines/>
        <w:spacing w:after="240" w:line="276" w:lineRule="auto"/>
        <w:jc w:val="left"/>
        <w:rPr>
          <w:rFonts w:ascii="Calibri" w:hAnsi="Calibri"/>
          <w:sz w:val="24"/>
          <w:szCs w:val="24"/>
        </w:rPr>
      </w:pPr>
      <w:r w:rsidRPr="00446289">
        <w:rPr>
          <w:rFonts w:ascii="Calibri" w:hAnsi="Calibri"/>
          <w:sz w:val="24"/>
          <w:szCs w:val="24"/>
        </w:rPr>
        <w:t xml:space="preserve">A </w:t>
      </w:r>
      <w:r w:rsidR="00261ADB">
        <w:rPr>
          <w:rFonts w:ascii="Calibri" w:hAnsi="Calibri"/>
          <w:sz w:val="24"/>
          <w:szCs w:val="24"/>
        </w:rPr>
        <w:t>land tax clearance certificate</w:t>
      </w:r>
      <w:r w:rsidRPr="00446289">
        <w:rPr>
          <w:rFonts w:ascii="Calibri" w:hAnsi="Calibri"/>
          <w:sz w:val="24"/>
          <w:szCs w:val="24"/>
        </w:rPr>
        <w:t xml:space="preserve"> is the means by which an applicant obtains information regarding any outstanding </w:t>
      </w:r>
      <w:r w:rsidR="00261ADB">
        <w:rPr>
          <w:rFonts w:ascii="Calibri" w:hAnsi="Calibri"/>
          <w:sz w:val="24"/>
          <w:szCs w:val="24"/>
        </w:rPr>
        <w:t xml:space="preserve">land </w:t>
      </w:r>
      <w:r w:rsidRPr="00446289">
        <w:rPr>
          <w:rFonts w:ascii="Calibri" w:hAnsi="Calibri"/>
          <w:sz w:val="24"/>
          <w:szCs w:val="24"/>
        </w:rPr>
        <w:t xml:space="preserve">tax liability on the land referred to in the application.  The applicant is usually the owner or purchaser of the property.  </w:t>
      </w:r>
    </w:p>
    <w:p w:rsidR="004B0C8F" w:rsidRDefault="004B0C8F" w:rsidP="001D160F">
      <w:pPr>
        <w:pStyle w:val="Style14ptJustified"/>
        <w:keepLines/>
        <w:spacing w:after="240" w:line="276" w:lineRule="auto"/>
        <w:jc w:val="left"/>
        <w:rPr>
          <w:rFonts w:ascii="Calibri" w:hAnsi="Calibri"/>
          <w:sz w:val="24"/>
          <w:szCs w:val="24"/>
        </w:rPr>
      </w:pPr>
      <w:r w:rsidRPr="00446289">
        <w:rPr>
          <w:rFonts w:ascii="Calibri" w:hAnsi="Calibri"/>
          <w:sz w:val="24"/>
          <w:szCs w:val="24"/>
        </w:rPr>
        <w:t xml:space="preserve">The primary benefit of the </w:t>
      </w:r>
      <w:r>
        <w:rPr>
          <w:rFonts w:ascii="Calibri" w:hAnsi="Calibri"/>
          <w:sz w:val="24"/>
          <w:szCs w:val="24"/>
        </w:rPr>
        <w:t>clearance certificate</w:t>
      </w:r>
      <w:r w:rsidRPr="00446289">
        <w:rPr>
          <w:rFonts w:ascii="Calibri" w:hAnsi="Calibri"/>
          <w:sz w:val="24"/>
          <w:szCs w:val="24"/>
        </w:rPr>
        <w:t xml:space="preserve"> to the applicant is that it provides a definitive statement of outstanding land tax which can be used in real property settlements to make accurate adjustments between vendor and purchaser. </w:t>
      </w:r>
    </w:p>
    <w:p w:rsidR="003966EB" w:rsidRPr="003966EB" w:rsidRDefault="003966EB" w:rsidP="00C94598">
      <w:pPr>
        <w:pStyle w:val="Style14ptJustified"/>
        <w:keepLines/>
        <w:spacing w:after="120" w:line="276" w:lineRule="auto"/>
        <w:jc w:val="left"/>
        <w:rPr>
          <w:rFonts w:ascii="Calibri" w:hAnsi="Calibri"/>
          <w:sz w:val="24"/>
          <w:szCs w:val="24"/>
        </w:rPr>
      </w:pPr>
      <w:r w:rsidRPr="00832D4E">
        <w:rPr>
          <w:rFonts w:ascii="Calibri" w:hAnsi="Calibri"/>
          <w:sz w:val="24"/>
          <w:szCs w:val="24"/>
        </w:rPr>
        <w:t>The fee</w:t>
      </w:r>
      <w:r>
        <w:rPr>
          <w:rFonts w:ascii="Calibri" w:hAnsi="Calibri"/>
          <w:sz w:val="24"/>
          <w:szCs w:val="24"/>
        </w:rPr>
        <w:t>s</w:t>
      </w:r>
      <w:r w:rsidR="00883113">
        <w:rPr>
          <w:rFonts w:ascii="Calibri" w:hAnsi="Calibri"/>
          <w:sz w:val="24"/>
          <w:szCs w:val="24"/>
        </w:rPr>
        <w:t xml:space="preserve"> currently</w:t>
      </w:r>
      <w:r w:rsidRPr="003966EB">
        <w:rPr>
          <w:rFonts w:ascii="Calibri" w:hAnsi="Calibri"/>
          <w:sz w:val="24"/>
          <w:szCs w:val="24"/>
        </w:rPr>
        <w:t xml:space="preserve"> payable are </w:t>
      </w:r>
      <w:r w:rsidRPr="00832D4E">
        <w:rPr>
          <w:rFonts w:ascii="Calibri" w:hAnsi="Calibri"/>
          <w:sz w:val="24"/>
          <w:szCs w:val="24"/>
        </w:rPr>
        <w:t>pres</w:t>
      </w:r>
      <w:r>
        <w:rPr>
          <w:rFonts w:ascii="Calibri" w:hAnsi="Calibri"/>
          <w:sz w:val="24"/>
          <w:szCs w:val="24"/>
        </w:rPr>
        <w:t>cribed in the 2005 Regulations</w:t>
      </w:r>
      <w:r w:rsidRPr="003966EB">
        <w:rPr>
          <w:rFonts w:ascii="Calibri" w:hAnsi="Calibri"/>
          <w:sz w:val="24"/>
          <w:szCs w:val="24"/>
        </w:rPr>
        <w:t xml:space="preserve"> as—</w:t>
      </w:r>
    </w:p>
    <w:p w:rsidR="003966EB" w:rsidRPr="003966EB" w:rsidRDefault="003966EB" w:rsidP="003A67E6">
      <w:pPr>
        <w:pStyle w:val="Style14ptJustified"/>
        <w:keepLines/>
        <w:numPr>
          <w:ilvl w:val="0"/>
          <w:numId w:val="8"/>
        </w:numPr>
        <w:spacing w:after="120" w:line="276" w:lineRule="auto"/>
        <w:jc w:val="left"/>
        <w:rPr>
          <w:rFonts w:ascii="Calibri" w:hAnsi="Calibri"/>
          <w:sz w:val="24"/>
          <w:szCs w:val="24"/>
        </w:rPr>
      </w:pPr>
      <w:r w:rsidRPr="003966EB">
        <w:rPr>
          <w:rFonts w:ascii="Calibri" w:hAnsi="Calibri"/>
          <w:sz w:val="24"/>
          <w:szCs w:val="24"/>
        </w:rPr>
        <w:t xml:space="preserve">$20; or </w:t>
      </w:r>
    </w:p>
    <w:p w:rsidR="00E848D7" w:rsidRPr="003966EB" w:rsidRDefault="003966EB" w:rsidP="003A67E6">
      <w:pPr>
        <w:pStyle w:val="Style14ptJustified"/>
        <w:keepLines/>
        <w:numPr>
          <w:ilvl w:val="0"/>
          <w:numId w:val="8"/>
        </w:numPr>
        <w:spacing w:after="240" w:line="276" w:lineRule="auto"/>
        <w:jc w:val="left"/>
        <w:rPr>
          <w:rFonts w:ascii="Calibri" w:hAnsi="Calibri"/>
          <w:sz w:val="24"/>
          <w:szCs w:val="24"/>
        </w:rPr>
      </w:pPr>
      <w:r w:rsidRPr="003966EB">
        <w:rPr>
          <w:rFonts w:ascii="Calibri" w:hAnsi="Calibri"/>
          <w:sz w:val="24"/>
          <w:szCs w:val="24"/>
        </w:rPr>
        <w:t>$15, if the application for the certificate is made using the Land Tax Clea</w:t>
      </w:r>
      <w:r w:rsidR="00C94598">
        <w:rPr>
          <w:rFonts w:ascii="Calibri" w:hAnsi="Calibri"/>
          <w:sz w:val="24"/>
          <w:szCs w:val="24"/>
        </w:rPr>
        <w:t xml:space="preserve">rance certificate </w:t>
      </w:r>
      <w:r w:rsidR="00883113">
        <w:rPr>
          <w:rFonts w:ascii="Calibri" w:hAnsi="Calibri"/>
          <w:sz w:val="24"/>
          <w:szCs w:val="24"/>
        </w:rPr>
        <w:t>online</w:t>
      </w:r>
      <w:r w:rsidR="00C94598">
        <w:rPr>
          <w:rFonts w:ascii="Calibri" w:hAnsi="Calibri"/>
          <w:sz w:val="24"/>
          <w:szCs w:val="24"/>
        </w:rPr>
        <w:t xml:space="preserve"> system.</w:t>
      </w:r>
      <w:r w:rsidR="00E848D7" w:rsidRPr="003966EB">
        <w:rPr>
          <w:rFonts w:ascii="Calibri" w:hAnsi="Calibri"/>
          <w:sz w:val="24"/>
          <w:szCs w:val="24"/>
        </w:rPr>
        <w:br w:type="page"/>
      </w:r>
    </w:p>
    <w:p w:rsidR="0034545C" w:rsidRPr="006326F6" w:rsidRDefault="00AC0F3E" w:rsidP="001D160F">
      <w:pPr>
        <w:pStyle w:val="Heading1"/>
        <w:spacing w:after="240" w:line="276" w:lineRule="auto"/>
        <w:jc w:val="left"/>
        <w:rPr>
          <w:rFonts w:asciiTheme="minorHAnsi" w:hAnsiTheme="minorHAnsi"/>
          <w:sz w:val="32"/>
        </w:rPr>
      </w:pPr>
      <w:bookmarkStart w:id="5" w:name="_Toc432510176"/>
      <w:r w:rsidRPr="006326F6">
        <w:rPr>
          <w:rFonts w:asciiTheme="minorHAnsi" w:hAnsiTheme="minorHAnsi"/>
          <w:sz w:val="32"/>
        </w:rPr>
        <w:lastRenderedPageBreak/>
        <w:t xml:space="preserve">2. </w:t>
      </w:r>
      <w:r w:rsidR="00CB3271" w:rsidRPr="006326F6">
        <w:rPr>
          <w:rFonts w:asciiTheme="minorHAnsi" w:hAnsiTheme="minorHAnsi"/>
          <w:sz w:val="32"/>
        </w:rPr>
        <w:tab/>
      </w:r>
      <w:r w:rsidR="0034545C" w:rsidRPr="006326F6">
        <w:rPr>
          <w:rFonts w:asciiTheme="minorHAnsi" w:hAnsiTheme="minorHAnsi"/>
          <w:sz w:val="32"/>
        </w:rPr>
        <w:t>The Regulatory Proposal</w:t>
      </w:r>
      <w:bookmarkEnd w:id="5"/>
    </w:p>
    <w:p w:rsidR="0034545C" w:rsidRDefault="0034545C" w:rsidP="001D160F">
      <w:pPr>
        <w:spacing w:after="240" w:line="276" w:lineRule="auto"/>
        <w:rPr>
          <w:rFonts w:asciiTheme="minorHAnsi" w:hAnsiTheme="minorHAnsi"/>
        </w:rPr>
      </w:pPr>
      <w:r w:rsidRPr="00800320">
        <w:rPr>
          <w:rFonts w:asciiTheme="minorHAnsi" w:hAnsiTheme="minorHAnsi"/>
        </w:rPr>
        <w:t xml:space="preserve">The proposed </w:t>
      </w:r>
      <w:r w:rsidR="00EA081D">
        <w:rPr>
          <w:rFonts w:asciiTheme="minorHAnsi" w:hAnsiTheme="minorHAnsi"/>
        </w:rPr>
        <w:t>R</w:t>
      </w:r>
      <w:r w:rsidRPr="00800320">
        <w:rPr>
          <w:rFonts w:asciiTheme="minorHAnsi" w:hAnsiTheme="minorHAnsi"/>
        </w:rPr>
        <w:t xml:space="preserve">egulations are intended to replace the </w:t>
      </w:r>
      <w:r>
        <w:rPr>
          <w:rFonts w:asciiTheme="minorHAnsi" w:hAnsiTheme="minorHAnsi"/>
        </w:rPr>
        <w:t>2005 R</w:t>
      </w:r>
      <w:r w:rsidRPr="00800320">
        <w:rPr>
          <w:rFonts w:asciiTheme="minorHAnsi" w:hAnsiTheme="minorHAnsi"/>
        </w:rPr>
        <w:t xml:space="preserve">egulations which </w:t>
      </w:r>
      <w:r w:rsidR="008A4BB6">
        <w:rPr>
          <w:rFonts w:asciiTheme="minorHAnsi" w:hAnsiTheme="minorHAnsi"/>
        </w:rPr>
        <w:t>will</w:t>
      </w:r>
      <w:r w:rsidRPr="00800320">
        <w:rPr>
          <w:rFonts w:asciiTheme="minorHAnsi" w:hAnsiTheme="minorHAnsi"/>
        </w:rPr>
        <w:t xml:space="preserve"> sunset on </w:t>
      </w:r>
      <w:r>
        <w:rPr>
          <w:rFonts w:asciiTheme="minorHAnsi" w:hAnsiTheme="minorHAnsi"/>
        </w:rPr>
        <w:t>20</w:t>
      </w:r>
      <w:r w:rsidRPr="00800320">
        <w:rPr>
          <w:rFonts w:asciiTheme="minorHAnsi" w:hAnsiTheme="minorHAnsi"/>
        </w:rPr>
        <w:t xml:space="preserve"> December 2015. </w:t>
      </w:r>
    </w:p>
    <w:p w:rsidR="0034545C" w:rsidRDefault="00CC341E" w:rsidP="001D160F">
      <w:pPr>
        <w:pStyle w:val="Style14ptJustified"/>
        <w:keepLines/>
        <w:spacing w:after="240" w:line="276" w:lineRule="auto"/>
        <w:jc w:val="left"/>
        <w:rPr>
          <w:rFonts w:ascii="Calibri" w:hAnsi="Calibri"/>
          <w:sz w:val="24"/>
          <w:szCs w:val="24"/>
        </w:rPr>
      </w:pPr>
      <w:r>
        <w:rPr>
          <w:rFonts w:ascii="Calibri" w:hAnsi="Calibri"/>
          <w:sz w:val="24"/>
          <w:szCs w:val="24"/>
        </w:rPr>
        <w:t>A copy of the proposed R</w:t>
      </w:r>
      <w:r w:rsidR="0034545C" w:rsidRPr="00446289">
        <w:rPr>
          <w:rFonts w:ascii="Calibri" w:hAnsi="Calibri"/>
          <w:sz w:val="24"/>
          <w:szCs w:val="24"/>
        </w:rPr>
        <w:t xml:space="preserve">egulations is attached to this RIS as </w:t>
      </w:r>
      <w:r w:rsidR="00E02571">
        <w:rPr>
          <w:rFonts w:ascii="Calibri" w:hAnsi="Calibri"/>
          <w:sz w:val="24"/>
          <w:szCs w:val="24"/>
        </w:rPr>
        <w:t>Attachment</w:t>
      </w:r>
      <w:r w:rsidR="00E02571" w:rsidRPr="00446289">
        <w:rPr>
          <w:rFonts w:ascii="Calibri" w:hAnsi="Calibri"/>
          <w:sz w:val="24"/>
          <w:szCs w:val="24"/>
        </w:rPr>
        <w:t xml:space="preserve"> </w:t>
      </w:r>
      <w:r w:rsidR="0034545C" w:rsidRPr="00446289">
        <w:rPr>
          <w:rFonts w:ascii="Calibri" w:hAnsi="Calibri"/>
          <w:sz w:val="24"/>
          <w:szCs w:val="24"/>
        </w:rPr>
        <w:t xml:space="preserve">1. These </w:t>
      </w:r>
      <w:r>
        <w:rPr>
          <w:rFonts w:ascii="Calibri" w:hAnsi="Calibri"/>
          <w:sz w:val="24"/>
          <w:szCs w:val="24"/>
        </w:rPr>
        <w:t>Regulations</w:t>
      </w:r>
      <w:r w:rsidR="0034545C" w:rsidRPr="00523714">
        <w:rPr>
          <w:rFonts w:ascii="Calibri" w:hAnsi="Calibri"/>
          <w:sz w:val="24"/>
          <w:szCs w:val="24"/>
        </w:rPr>
        <w:t xml:space="preserve"> </w:t>
      </w:r>
      <w:r w:rsidR="0034545C">
        <w:rPr>
          <w:rFonts w:ascii="Calibri" w:hAnsi="Calibri"/>
          <w:sz w:val="24"/>
          <w:szCs w:val="24"/>
        </w:rPr>
        <w:t>prescribe matters which are necessary to give effect to the Act.</w:t>
      </w:r>
      <w:r w:rsidR="0034545C" w:rsidRPr="00446289">
        <w:rPr>
          <w:rFonts w:ascii="Calibri" w:hAnsi="Calibri"/>
          <w:sz w:val="24"/>
          <w:szCs w:val="24"/>
        </w:rPr>
        <w:t xml:space="preserve"> The substantive provisions of the proposed </w:t>
      </w:r>
      <w:r>
        <w:rPr>
          <w:rFonts w:ascii="Calibri" w:hAnsi="Calibri"/>
          <w:sz w:val="24"/>
          <w:szCs w:val="24"/>
        </w:rPr>
        <w:t>Regulations</w:t>
      </w:r>
      <w:r w:rsidR="0034545C" w:rsidRPr="00446289">
        <w:rPr>
          <w:rFonts w:ascii="Calibri" w:hAnsi="Calibri"/>
          <w:sz w:val="24"/>
          <w:szCs w:val="24"/>
        </w:rPr>
        <w:t xml:space="preserve"> are contained in </w:t>
      </w:r>
      <w:r>
        <w:rPr>
          <w:rFonts w:ascii="Calibri" w:hAnsi="Calibri"/>
          <w:sz w:val="24"/>
          <w:szCs w:val="24"/>
        </w:rPr>
        <w:t>Regulations</w:t>
      </w:r>
      <w:r w:rsidR="0034545C" w:rsidRPr="00446289">
        <w:rPr>
          <w:rFonts w:ascii="Calibri" w:hAnsi="Calibri"/>
          <w:sz w:val="24"/>
          <w:szCs w:val="24"/>
        </w:rPr>
        <w:t xml:space="preserve"> </w:t>
      </w:r>
      <w:r w:rsidR="0034545C">
        <w:rPr>
          <w:rFonts w:ascii="Calibri" w:hAnsi="Calibri"/>
          <w:sz w:val="24"/>
          <w:szCs w:val="24"/>
        </w:rPr>
        <w:t>6 and 7</w:t>
      </w:r>
      <w:r w:rsidR="0034545C" w:rsidRPr="00446289">
        <w:rPr>
          <w:rFonts w:ascii="Calibri" w:hAnsi="Calibri"/>
          <w:sz w:val="24"/>
          <w:szCs w:val="24"/>
        </w:rPr>
        <w:t xml:space="preserve">. </w:t>
      </w:r>
    </w:p>
    <w:p w:rsidR="0034545C" w:rsidRPr="006326F6" w:rsidRDefault="0034545C" w:rsidP="001D160F">
      <w:pPr>
        <w:pStyle w:val="Style14ptJustified"/>
        <w:keepLines/>
        <w:spacing w:before="240" w:after="240" w:line="276" w:lineRule="auto"/>
        <w:jc w:val="left"/>
        <w:rPr>
          <w:rFonts w:ascii="Calibri" w:hAnsi="Calibri"/>
          <w:sz w:val="24"/>
          <w:szCs w:val="24"/>
          <w:u w:val="single"/>
        </w:rPr>
      </w:pPr>
      <w:r w:rsidRPr="006326F6">
        <w:rPr>
          <w:rFonts w:ascii="Calibri" w:hAnsi="Calibri"/>
          <w:sz w:val="24"/>
          <w:szCs w:val="24"/>
          <w:u w:val="single"/>
        </w:rPr>
        <w:t xml:space="preserve">Regulation 6: Notice of Acquisition </w:t>
      </w:r>
    </w:p>
    <w:p w:rsidR="0034545C" w:rsidRPr="0095690E" w:rsidRDefault="0034545C" w:rsidP="001D160F">
      <w:pPr>
        <w:pStyle w:val="Style14ptJustified"/>
        <w:keepLines/>
        <w:spacing w:after="120" w:line="276" w:lineRule="auto"/>
        <w:jc w:val="left"/>
        <w:rPr>
          <w:rFonts w:ascii="Calibri" w:hAnsi="Calibri"/>
          <w:sz w:val="24"/>
          <w:szCs w:val="24"/>
        </w:rPr>
      </w:pPr>
      <w:r w:rsidRPr="0095690E">
        <w:rPr>
          <w:rFonts w:ascii="Calibri" w:hAnsi="Calibri"/>
          <w:sz w:val="24"/>
          <w:szCs w:val="24"/>
        </w:rPr>
        <w:t xml:space="preserve">The proposed </w:t>
      </w:r>
      <w:r w:rsidR="00CC341E">
        <w:rPr>
          <w:rFonts w:ascii="Calibri" w:hAnsi="Calibri"/>
          <w:sz w:val="24"/>
          <w:szCs w:val="24"/>
        </w:rPr>
        <w:t>Regulations</w:t>
      </w:r>
      <w:r w:rsidRPr="0095690E">
        <w:rPr>
          <w:rFonts w:ascii="Calibri" w:hAnsi="Calibri"/>
          <w:sz w:val="24"/>
          <w:szCs w:val="24"/>
        </w:rPr>
        <w:t xml:space="preserve"> provide that, for the purposes of section 103 of the Act—</w:t>
      </w:r>
    </w:p>
    <w:p w:rsidR="0034545C" w:rsidRPr="0095690E" w:rsidRDefault="0034545C" w:rsidP="003A67E6">
      <w:pPr>
        <w:pStyle w:val="Style14ptJustified"/>
        <w:keepLines/>
        <w:numPr>
          <w:ilvl w:val="0"/>
          <w:numId w:val="5"/>
        </w:numPr>
        <w:spacing w:after="120" w:line="276" w:lineRule="auto"/>
        <w:jc w:val="left"/>
        <w:rPr>
          <w:rFonts w:ascii="Calibri" w:hAnsi="Calibri"/>
          <w:sz w:val="24"/>
          <w:szCs w:val="24"/>
        </w:rPr>
      </w:pPr>
      <w:r w:rsidRPr="0095690E">
        <w:rPr>
          <w:rFonts w:ascii="Calibri" w:hAnsi="Calibri"/>
          <w:sz w:val="24"/>
          <w:szCs w:val="24"/>
        </w:rPr>
        <w:t>the prescribed person for the receipt of the notice is the Registrar of Titles;</w:t>
      </w:r>
    </w:p>
    <w:p w:rsidR="0034545C" w:rsidRPr="0095690E" w:rsidRDefault="0034545C" w:rsidP="003A67E6">
      <w:pPr>
        <w:pStyle w:val="Style14ptJustified"/>
        <w:keepLines/>
        <w:numPr>
          <w:ilvl w:val="0"/>
          <w:numId w:val="5"/>
        </w:numPr>
        <w:spacing w:after="120" w:line="276" w:lineRule="auto"/>
        <w:jc w:val="left"/>
        <w:rPr>
          <w:rFonts w:ascii="Calibri" w:hAnsi="Calibri"/>
          <w:sz w:val="24"/>
          <w:szCs w:val="24"/>
        </w:rPr>
      </w:pPr>
      <w:r w:rsidRPr="0095690E">
        <w:rPr>
          <w:rFonts w:ascii="Calibri" w:hAnsi="Calibri"/>
          <w:sz w:val="24"/>
          <w:szCs w:val="24"/>
        </w:rPr>
        <w:t xml:space="preserve">the prescribed period within which the notice </w:t>
      </w:r>
      <w:r>
        <w:rPr>
          <w:rFonts w:ascii="Calibri" w:hAnsi="Calibri"/>
          <w:sz w:val="24"/>
          <w:szCs w:val="24"/>
        </w:rPr>
        <w:t xml:space="preserve">of acquisition </w:t>
      </w:r>
      <w:r w:rsidRPr="0095690E">
        <w:rPr>
          <w:rFonts w:ascii="Calibri" w:hAnsi="Calibri"/>
          <w:sz w:val="24"/>
          <w:szCs w:val="24"/>
        </w:rPr>
        <w:t>must be given is one month after the acquisition of the land;</w:t>
      </w:r>
    </w:p>
    <w:p w:rsidR="0034545C" w:rsidRPr="0095690E" w:rsidRDefault="0034545C" w:rsidP="003A67E6">
      <w:pPr>
        <w:pStyle w:val="Style14ptJustified"/>
        <w:keepLines/>
        <w:numPr>
          <w:ilvl w:val="0"/>
          <w:numId w:val="5"/>
        </w:numPr>
        <w:spacing w:after="120" w:line="276" w:lineRule="auto"/>
        <w:jc w:val="left"/>
        <w:rPr>
          <w:rFonts w:ascii="Calibri" w:hAnsi="Calibri"/>
          <w:sz w:val="24"/>
          <w:szCs w:val="24"/>
        </w:rPr>
      </w:pPr>
      <w:r w:rsidRPr="0095690E">
        <w:rPr>
          <w:rFonts w:ascii="Calibri" w:hAnsi="Calibri"/>
          <w:sz w:val="24"/>
          <w:szCs w:val="24"/>
        </w:rPr>
        <w:t xml:space="preserve">the prescribed information that must be contained in the notice is the particulars that would be set out in </w:t>
      </w:r>
      <w:r w:rsidRPr="00EE5BC1">
        <w:rPr>
          <w:rFonts w:ascii="Calibri" w:hAnsi="Calibri"/>
          <w:sz w:val="24"/>
          <w:szCs w:val="24"/>
        </w:rPr>
        <w:t xml:space="preserve">regulation 15(2) of the Local Government (General) </w:t>
      </w:r>
      <w:r w:rsidR="00CC341E" w:rsidRPr="00EE5BC1">
        <w:rPr>
          <w:rFonts w:ascii="Calibri" w:hAnsi="Calibri"/>
          <w:sz w:val="24"/>
          <w:szCs w:val="24"/>
        </w:rPr>
        <w:t>Regulations</w:t>
      </w:r>
      <w:r w:rsidRPr="00EE5BC1">
        <w:rPr>
          <w:rFonts w:ascii="Calibri" w:hAnsi="Calibri"/>
          <w:sz w:val="24"/>
          <w:szCs w:val="24"/>
        </w:rPr>
        <w:t xml:space="preserve"> 2015</w:t>
      </w:r>
      <w:r w:rsidRPr="00EE5BC1">
        <w:rPr>
          <w:rStyle w:val="FootnoteReference"/>
          <w:rFonts w:ascii="Calibri" w:hAnsi="Calibri"/>
          <w:sz w:val="24"/>
          <w:szCs w:val="24"/>
        </w:rPr>
        <w:footnoteReference w:id="2"/>
      </w:r>
      <w:r w:rsidRPr="00EE5BC1">
        <w:rPr>
          <w:rFonts w:ascii="Calibri" w:hAnsi="Calibri"/>
          <w:sz w:val="24"/>
          <w:szCs w:val="24"/>
        </w:rPr>
        <w:t xml:space="preserve"> if in paragraphs (a)(vi) and (a)(viii) of that regulation for "(for the purpose of preparing voters’ rolls)" there were substituted "(for State Revenue Office data matching purposes)";</w:t>
      </w:r>
      <w:r>
        <w:rPr>
          <w:rFonts w:ascii="Calibri" w:hAnsi="Calibri"/>
          <w:sz w:val="24"/>
          <w:szCs w:val="24"/>
        </w:rPr>
        <w:t xml:space="preserve"> and </w:t>
      </w:r>
    </w:p>
    <w:p w:rsidR="0034545C" w:rsidRPr="0095690E" w:rsidRDefault="0034545C" w:rsidP="003A67E6">
      <w:pPr>
        <w:pStyle w:val="Style14ptJustified"/>
        <w:keepLines/>
        <w:numPr>
          <w:ilvl w:val="0"/>
          <w:numId w:val="5"/>
        </w:numPr>
        <w:spacing w:after="240" w:line="276" w:lineRule="auto"/>
        <w:jc w:val="left"/>
        <w:rPr>
          <w:rFonts w:ascii="Calibri" w:hAnsi="Calibri"/>
          <w:sz w:val="24"/>
          <w:szCs w:val="24"/>
        </w:rPr>
      </w:pPr>
      <w:proofErr w:type="gramStart"/>
      <w:r w:rsidRPr="0095690E">
        <w:rPr>
          <w:rFonts w:ascii="Calibri" w:hAnsi="Calibri"/>
          <w:sz w:val="24"/>
          <w:szCs w:val="24"/>
        </w:rPr>
        <w:t>the</w:t>
      </w:r>
      <w:proofErr w:type="gramEnd"/>
      <w:r w:rsidRPr="0095690E">
        <w:rPr>
          <w:rFonts w:ascii="Calibri" w:hAnsi="Calibri"/>
          <w:sz w:val="24"/>
          <w:szCs w:val="24"/>
        </w:rPr>
        <w:t xml:space="preserve"> prescribed manner for giving the notice is in writing.</w:t>
      </w:r>
    </w:p>
    <w:p w:rsidR="0034545C" w:rsidRPr="00233934" w:rsidRDefault="0034545C" w:rsidP="001D160F">
      <w:pPr>
        <w:pStyle w:val="Style14ptJustified"/>
        <w:keepLines/>
        <w:spacing w:before="240" w:after="240" w:line="276" w:lineRule="auto"/>
        <w:jc w:val="left"/>
        <w:rPr>
          <w:rFonts w:ascii="Calibri" w:hAnsi="Calibri"/>
          <w:sz w:val="24"/>
          <w:szCs w:val="24"/>
          <w:u w:val="single"/>
        </w:rPr>
      </w:pPr>
      <w:r w:rsidRPr="00233934">
        <w:rPr>
          <w:rFonts w:ascii="Calibri" w:hAnsi="Calibri"/>
          <w:sz w:val="24"/>
          <w:szCs w:val="24"/>
          <w:u w:val="single"/>
        </w:rPr>
        <w:t xml:space="preserve">Regulation 7: Certificate as to land tax due </w:t>
      </w:r>
    </w:p>
    <w:p w:rsidR="0034545C" w:rsidRDefault="0034545C" w:rsidP="001D160F">
      <w:pPr>
        <w:pStyle w:val="Style14ptJustified"/>
        <w:keepLines/>
        <w:spacing w:after="240" w:line="276" w:lineRule="auto"/>
        <w:jc w:val="left"/>
        <w:rPr>
          <w:rFonts w:ascii="Calibri" w:hAnsi="Calibri"/>
          <w:sz w:val="24"/>
          <w:szCs w:val="24"/>
        </w:rPr>
      </w:pPr>
      <w:r>
        <w:rPr>
          <w:rFonts w:ascii="Calibri" w:hAnsi="Calibri"/>
          <w:sz w:val="24"/>
          <w:szCs w:val="24"/>
        </w:rPr>
        <w:t xml:space="preserve">The proposed </w:t>
      </w:r>
      <w:r w:rsidR="00CC341E">
        <w:rPr>
          <w:rFonts w:ascii="Calibri" w:hAnsi="Calibri"/>
          <w:sz w:val="24"/>
          <w:szCs w:val="24"/>
        </w:rPr>
        <w:t>Regulations</w:t>
      </w:r>
      <w:r>
        <w:rPr>
          <w:rFonts w:ascii="Calibri" w:hAnsi="Calibri"/>
          <w:sz w:val="24"/>
          <w:szCs w:val="24"/>
        </w:rPr>
        <w:t xml:space="preserve"> </w:t>
      </w:r>
      <w:r w:rsidRPr="00446289">
        <w:rPr>
          <w:rFonts w:ascii="Calibri" w:hAnsi="Calibri"/>
          <w:sz w:val="24"/>
          <w:szCs w:val="24"/>
        </w:rPr>
        <w:t>establi</w:t>
      </w:r>
      <w:r>
        <w:rPr>
          <w:rFonts w:ascii="Calibri" w:hAnsi="Calibri"/>
          <w:sz w:val="24"/>
          <w:szCs w:val="24"/>
        </w:rPr>
        <w:t xml:space="preserve">sh the </w:t>
      </w:r>
      <w:r w:rsidR="00233934">
        <w:rPr>
          <w:rFonts w:ascii="Calibri" w:hAnsi="Calibri"/>
          <w:sz w:val="24"/>
          <w:szCs w:val="24"/>
        </w:rPr>
        <w:t>prescribed</w:t>
      </w:r>
      <w:r>
        <w:rPr>
          <w:rFonts w:ascii="Calibri" w:hAnsi="Calibri"/>
          <w:sz w:val="24"/>
          <w:szCs w:val="24"/>
        </w:rPr>
        <w:t xml:space="preserve"> fee as </w:t>
      </w:r>
      <w:r w:rsidRPr="00446289">
        <w:rPr>
          <w:rFonts w:ascii="Calibri" w:hAnsi="Calibri"/>
          <w:sz w:val="24"/>
          <w:szCs w:val="24"/>
        </w:rPr>
        <w:t>1.</w:t>
      </w:r>
      <w:r>
        <w:rPr>
          <w:rFonts w:ascii="Calibri" w:hAnsi="Calibri"/>
          <w:sz w:val="24"/>
          <w:szCs w:val="24"/>
        </w:rPr>
        <w:t>1</w:t>
      </w:r>
      <w:r w:rsidRPr="00446289">
        <w:rPr>
          <w:rFonts w:ascii="Calibri" w:hAnsi="Calibri"/>
          <w:sz w:val="24"/>
          <w:szCs w:val="24"/>
        </w:rPr>
        <w:t xml:space="preserve">6 fee units to be paid in respect of </w:t>
      </w:r>
      <w:r>
        <w:rPr>
          <w:rFonts w:ascii="Calibri" w:hAnsi="Calibri"/>
          <w:sz w:val="24"/>
          <w:szCs w:val="24"/>
        </w:rPr>
        <w:t>each</w:t>
      </w:r>
      <w:r w:rsidRPr="00446289">
        <w:rPr>
          <w:rFonts w:ascii="Calibri" w:hAnsi="Calibri"/>
          <w:sz w:val="24"/>
          <w:szCs w:val="24"/>
        </w:rPr>
        <w:t xml:space="preserve"> application for </w:t>
      </w:r>
      <w:r>
        <w:rPr>
          <w:rFonts w:ascii="Calibri" w:hAnsi="Calibri"/>
          <w:sz w:val="24"/>
          <w:szCs w:val="24"/>
        </w:rPr>
        <w:t>a land tax clearance certificate</w:t>
      </w:r>
      <w:r w:rsidRPr="00446289">
        <w:rPr>
          <w:rFonts w:ascii="Calibri" w:hAnsi="Calibri"/>
          <w:sz w:val="24"/>
          <w:szCs w:val="24"/>
        </w:rPr>
        <w:t>.</w:t>
      </w:r>
      <w:r>
        <w:rPr>
          <w:rFonts w:ascii="Calibri" w:hAnsi="Calibri"/>
          <w:sz w:val="24"/>
          <w:szCs w:val="24"/>
        </w:rPr>
        <w:t xml:space="preserve"> </w:t>
      </w:r>
    </w:p>
    <w:p w:rsidR="0034545C" w:rsidRPr="00B77856" w:rsidRDefault="0034545C" w:rsidP="001D160F">
      <w:pPr>
        <w:pStyle w:val="Style14ptJustified"/>
        <w:keepLines/>
        <w:spacing w:after="240" w:line="276" w:lineRule="auto"/>
        <w:jc w:val="left"/>
        <w:rPr>
          <w:rFonts w:ascii="Calibri" w:hAnsi="Calibri"/>
          <w:sz w:val="24"/>
          <w:szCs w:val="24"/>
        </w:rPr>
      </w:pPr>
    </w:p>
    <w:p w:rsidR="0034545C" w:rsidRDefault="0034545C" w:rsidP="001D160F">
      <w:pPr>
        <w:pStyle w:val="Heading1"/>
        <w:spacing w:after="240" w:line="276" w:lineRule="auto"/>
        <w:jc w:val="left"/>
        <w:rPr>
          <w:rFonts w:asciiTheme="minorHAnsi" w:hAnsiTheme="minorHAnsi"/>
          <w:sz w:val="28"/>
        </w:rPr>
      </w:pPr>
    </w:p>
    <w:p w:rsidR="0034545C" w:rsidRDefault="0034545C" w:rsidP="001D160F">
      <w:pPr>
        <w:spacing w:after="240" w:line="276" w:lineRule="auto"/>
        <w:rPr>
          <w:rFonts w:asciiTheme="minorHAnsi" w:hAnsiTheme="minorHAnsi"/>
          <w:b/>
          <w:bCs/>
          <w:sz w:val="28"/>
        </w:rPr>
      </w:pPr>
      <w:r>
        <w:rPr>
          <w:rFonts w:asciiTheme="minorHAnsi" w:hAnsiTheme="minorHAnsi"/>
          <w:sz w:val="28"/>
        </w:rPr>
        <w:br w:type="page"/>
      </w:r>
    </w:p>
    <w:p w:rsidR="00CB75B5" w:rsidRPr="006326F6" w:rsidRDefault="00AC0F3E" w:rsidP="001D160F">
      <w:pPr>
        <w:pStyle w:val="Heading1"/>
        <w:spacing w:after="240" w:line="276" w:lineRule="auto"/>
        <w:jc w:val="left"/>
        <w:rPr>
          <w:rFonts w:asciiTheme="minorHAnsi" w:hAnsiTheme="minorHAnsi"/>
          <w:sz w:val="32"/>
        </w:rPr>
      </w:pPr>
      <w:bookmarkStart w:id="6" w:name="_Toc432510177"/>
      <w:r w:rsidRPr="006326F6">
        <w:rPr>
          <w:rFonts w:asciiTheme="minorHAnsi" w:hAnsiTheme="minorHAnsi"/>
          <w:sz w:val="32"/>
        </w:rPr>
        <w:lastRenderedPageBreak/>
        <w:t xml:space="preserve">3. </w:t>
      </w:r>
      <w:r w:rsidR="00CB3271" w:rsidRPr="006326F6">
        <w:rPr>
          <w:rFonts w:asciiTheme="minorHAnsi" w:hAnsiTheme="minorHAnsi"/>
          <w:sz w:val="32"/>
        </w:rPr>
        <w:tab/>
      </w:r>
      <w:r w:rsidR="00CB75B5" w:rsidRPr="006326F6">
        <w:rPr>
          <w:rFonts w:asciiTheme="minorHAnsi" w:hAnsiTheme="minorHAnsi"/>
          <w:sz w:val="32"/>
        </w:rPr>
        <w:t>Purpose of this Regulatory Impact Statement</w:t>
      </w:r>
      <w:bookmarkEnd w:id="6"/>
    </w:p>
    <w:p w:rsidR="00CB75B5" w:rsidRPr="000638D1" w:rsidRDefault="00CB75B5" w:rsidP="001D160F">
      <w:pPr>
        <w:spacing w:after="240" w:line="276" w:lineRule="auto"/>
        <w:rPr>
          <w:rFonts w:asciiTheme="minorHAnsi" w:hAnsiTheme="minorHAnsi"/>
        </w:rPr>
      </w:pPr>
      <w:r w:rsidRPr="000638D1">
        <w:rPr>
          <w:rFonts w:asciiTheme="minorHAnsi" w:hAnsiTheme="minorHAnsi"/>
        </w:rPr>
        <w:t xml:space="preserve">Section 10 of the </w:t>
      </w:r>
      <w:r w:rsidRPr="000638D1">
        <w:rPr>
          <w:rFonts w:asciiTheme="minorHAnsi" w:hAnsiTheme="minorHAnsi"/>
          <w:i/>
        </w:rPr>
        <w:t xml:space="preserve">Subordinate Legislation Act 1994 </w:t>
      </w:r>
      <w:r w:rsidRPr="000638D1">
        <w:rPr>
          <w:rFonts w:asciiTheme="minorHAnsi" w:hAnsiTheme="minorHAnsi"/>
        </w:rPr>
        <w:t xml:space="preserve">requires that a Regulatory Impact Statement (RIS) be prepared in respect of a proposed statutory rule or amendment. Exemptions to this requirement can be sought if it can be shown that the proposed rule is not likely to impose ‘a </w:t>
      </w:r>
      <w:r w:rsidR="00AE25A8">
        <w:rPr>
          <w:rFonts w:asciiTheme="minorHAnsi" w:hAnsiTheme="minorHAnsi"/>
        </w:rPr>
        <w:t xml:space="preserve">significant </w:t>
      </w:r>
      <w:r w:rsidRPr="000638D1">
        <w:rPr>
          <w:rFonts w:asciiTheme="minorHAnsi" w:hAnsiTheme="minorHAnsi"/>
        </w:rPr>
        <w:t xml:space="preserve">economic or social burden on a sector of the public’. </w:t>
      </w:r>
      <w:r w:rsidR="002104CB">
        <w:rPr>
          <w:rFonts w:asciiTheme="minorHAnsi" w:hAnsiTheme="minorHAnsi"/>
        </w:rPr>
        <w:t>Under t</w:t>
      </w:r>
      <w:r w:rsidR="000967AA">
        <w:rPr>
          <w:rFonts w:asciiTheme="minorHAnsi" w:hAnsiTheme="minorHAnsi"/>
        </w:rPr>
        <w:t xml:space="preserve">he </w:t>
      </w:r>
      <w:r w:rsidR="00AE25A8" w:rsidRPr="00AE3E01">
        <w:rPr>
          <w:rFonts w:asciiTheme="minorHAnsi" w:hAnsiTheme="minorHAnsi"/>
          <w:i/>
        </w:rPr>
        <w:t>Victorian Guide to Regulation</w:t>
      </w:r>
      <w:r w:rsidR="002104CB">
        <w:rPr>
          <w:rFonts w:asciiTheme="minorHAnsi" w:hAnsiTheme="minorHAnsi"/>
          <w:i/>
        </w:rPr>
        <w:t xml:space="preserve">, </w:t>
      </w:r>
      <w:r w:rsidR="000967AA" w:rsidRPr="00AE3E01">
        <w:rPr>
          <w:rFonts w:asciiTheme="minorHAnsi" w:hAnsiTheme="minorHAnsi"/>
        </w:rPr>
        <w:t xml:space="preserve">proposals that impose gross costs of $2 million or more a year on any sector of the public will generally be considered to </w:t>
      </w:r>
      <w:r w:rsidR="002104CB">
        <w:rPr>
          <w:rFonts w:asciiTheme="minorHAnsi" w:hAnsiTheme="minorHAnsi"/>
        </w:rPr>
        <w:t>impose a significant burden and therefore require a RIS</w:t>
      </w:r>
      <w:r w:rsidR="000967AA" w:rsidRPr="00AE3E01">
        <w:rPr>
          <w:rFonts w:asciiTheme="minorHAnsi" w:hAnsiTheme="minorHAnsi"/>
        </w:rPr>
        <w:t>.</w:t>
      </w:r>
    </w:p>
    <w:p w:rsidR="00EB765D" w:rsidRPr="00AE3E01" w:rsidRDefault="00140E28" w:rsidP="00AE3E01">
      <w:pPr>
        <w:spacing w:after="240" w:line="276" w:lineRule="auto"/>
        <w:rPr>
          <w:rFonts w:asciiTheme="minorHAnsi" w:hAnsiTheme="minorHAnsi"/>
        </w:rPr>
      </w:pPr>
      <w:r>
        <w:rPr>
          <w:rFonts w:asciiTheme="minorHAnsi" w:hAnsiTheme="minorHAnsi"/>
        </w:rPr>
        <w:t>In relation to Notices of Acquisition, t</w:t>
      </w:r>
      <w:r w:rsidR="008E60D5">
        <w:rPr>
          <w:rFonts w:asciiTheme="minorHAnsi" w:hAnsiTheme="minorHAnsi"/>
        </w:rPr>
        <w:t xml:space="preserve">he matters prescribed </w:t>
      </w:r>
      <w:r w:rsidR="008E60D5" w:rsidRPr="000638D1">
        <w:rPr>
          <w:rFonts w:asciiTheme="minorHAnsi" w:hAnsiTheme="minorHAnsi"/>
        </w:rPr>
        <w:t xml:space="preserve">by the proposed </w:t>
      </w:r>
      <w:r w:rsidR="00CC341E">
        <w:rPr>
          <w:rFonts w:asciiTheme="minorHAnsi" w:hAnsiTheme="minorHAnsi"/>
        </w:rPr>
        <w:t>Regulations</w:t>
      </w:r>
      <w:r w:rsidR="008E60D5">
        <w:rPr>
          <w:rFonts w:asciiTheme="minorHAnsi" w:hAnsiTheme="minorHAnsi"/>
        </w:rPr>
        <w:t xml:space="preserve"> </w:t>
      </w:r>
      <w:r w:rsidR="00F63BB5">
        <w:rPr>
          <w:rFonts w:asciiTheme="minorHAnsi" w:hAnsiTheme="minorHAnsi"/>
        </w:rPr>
        <w:t xml:space="preserve">are </w:t>
      </w:r>
      <w:r w:rsidR="00F63BB5" w:rsidRPr="00F63BB5">
        <w:rPr>
          <w:rFonts w:asciiTheme="minorHAnsi" w:hAnsiTheme="minorHAnsi"/>
        </w:rPr>
        <w:t>replicate</w:t>
      </w:r>
      <w:r w:rsidR="00F63BB5">
        <w:rPr>
          <w:rFonts w:asciiTheme="minorHAnsi" w:hAnsiTheme="minorHAnsi"/>
        </w:rPr>
        <w:t>d</w:t>
      </w:r>
      <w:r w:rsidR="00F63BB5" w:rsidRPr="00F63BB5">
        <w:rPr>
          <w:rFonts w:asciiTheme="minorHAnsi" w:hAnsiTheme="minorHAnsi"/>
        </w:rPr>
        <w:t xml:space="preserve"> </w:t>
      </w:r>
      <w:r w:rsidR="00F63BB5">
        <w:rPr>
          <w:rFonts w:asciiTheme="minorHAnsi" w:hAnsiTheme="minorHAnsi"/>
        </w:rPr>
        <w:t xml:space="preserve">from </w:t>
      </w:r>
      <w:r w:rsidR="00F63BB5" w:rsidRPr="00F63BB5">
        <w:rPr>
          <w:rFonts w:asciiTheme="minorHAnsi" w:hAnsiTheme="minorHAnsi"/>
        </w:rPr>
        <w:t xml:space="preserve">the 2005 Regulations </w:t>
      </w:r>
      <w:r w:rsidR="00F63BB5">
        <w:rPr>
          <w:rFonts w:asciiTheme="minorHAnsi" w:hAnsiTheme="minorHAnsi"/>
        </w:rPr>
        <w:t xml:space="preserve">and </w:t>
      </w:r>
      <w:r w:rsidR="008E60D5">
        <w:rPr>
          <w:rFonts w:asciiTheme="minorHAnsi" w:hAnsiTheme="minorHAnsi"/>
        </w:rPr>
        <w:t xml:space="preserve">are not considered to constitute </w:t>
      </w:r>
      <w:r w:rsidR="00AE25A8" w:rsidRPr="000638D1">
        <w:rPr>
          <w:rFonts w:asciiTheme="minorHAnsi" w:hAnsiTheme="minorHAnsi"/>
        </w:rPr>
        <w:t xml:space="preserve">a </w:t>
      </w:r>
      <w:r w:rsidR="00AE25A8">
        <w:rPr>
          <w:rFonts w:asciiTheme="minorHAnsi" w:hAnsiTheme="minorHAnsi"/>
        </w:rPr>
        <w:t xml:space="preserve">significant </w:t>
      </w:r>
      <w:r w:rsidR="008E60D5" w:rsidRPr="000638D1">
        <w:rPr>
          <w:rFonts w:asciiTheme="minorHAnsi" w:hAnsiTheme="minorHAnsi"/>
        </w:rPr>
        <w:t>economic or social b</w:t>
      </w:r>
      <w:r w:rsidR="008E60D5">
        <w:rPr>
          <w:rFonts w:asciiTheme="minorHAnsi" w:hAnsiTheme="minorHAnsi"/>
        </w:rPr>
        <w:t xml:space="preserve">urden on the public. This is because purchasers of land in Victoria are already required to provide this information to their local council within month of acquiring the property. Similarly, the proposed </w:t>
      </w:r>
      <w:r w:rsidR="00CC341E">
        <w:rPr>
          <w:rFonts w:asciiTheme="minorHAnsi" w:hAnsiTheme="minorHAnsi"/>
        </w:rPr>
        <w:t>Regulations</w:t>
      </w:r>
      <w:r w:rsidR="008E60D5">
        <w:rPr>
          <w:rFonts w:asciiTheme="minorHAnsi" w:hAnsiTheme="minorHAnsi"/>
        </w:rPr>
        <w:t xml:space="preserve"> prescribe the person who shall receive the notice of acquisition as the Registrar of Titles</w:t>
      </w:r>
      <w:r w:rsidR="00870D62">
        <w:rPr>
          <w:rFonts w:asciiTheme="minorHAnsi" w:hAnsiTheme="minorHAnsi"/>
        </w:rPr>
        <w:t>,</w:t>
      </w:r>
      <w:r w:rsidR="00A43F86">
        <w:rPr>
          <w:rFonts w:asciiTheme="minorHAnsi" w:hAnsiTheme="minorHAnsi"/>
        </w:rPr>
        <w:t xml:space="preserve"> rather than the SRO. This is</w:t>
      </w:r>
      <w:r w:rsidR="00870D62">
        <w:rPr>
          <w:rFonts w:asciiTheme="minorHAnsi" w:hAnsiTheme="minorHAnsi"/>
        </w:rPr>
        <w:t xml:space="preserve"> to simplify the conveyanc</w:t>
      </w:r>
      <w:r w:rsidR="000B6A9E">
        <w:rPr>
          <w:rFonts w:asciiTheme="minorHAnsi" w:hAnsiTheme="minorHAnsi"/>
        </w:rPr>
        <w:t>ing</w:t>
      </w:r>
      <w:r w:rsidR="00870D62">
        <w:rPr>
          <w:rFonts w:asciiTheme="minorHAnsi" w:hAnsiTheme="minorHAnsi"/>
        </w:rPr>
        <w:t xml:space="preserve"> process by minimising the number of Government Departments</w:t>
      </w:r>
      <w:r w:rsidR="00F63BB5">
        <w:rPr>
          <w:rFonts w:asciiTheme="minorHAnsi" w:hAnsiTheme="minorHAnsi"/>
        </w:rPr>
        <w:t xml:space="preserve"> and</w:t>
      </w:r>
      <w:r>
        <w:rPr>
          <w:rFonts w:asciiTheme="minorHAnsi" w:hAnsiTheme="minorHAnsi"/>
        </w:rPr>
        <w:t>/or</w:t>
      </w:r>
      <w:r w:rsidR="00F63BB5">
        <w:rPr>
          <w:rFonts w:asciiTheme="minorHAnsi" w:hAnsiTheme="minorHAnsi"/>
        </w:rPr>
        <w:t xml:space="preserve"> </w:t>
      </w:r>
      <w:r w:rsidR="00870D62">
        <w:rPr>
          <w:rFonts w:asciiTheme="minorHAnsi" w:hAnsiTheme="minorHAnsi"/>
        </w:rPr>
        <w:t xml:space="preserve">Agencies that </w:t>
      </w:r>
      <w:r>
        <w:rPr>
          <w:rFonts w:asciiTheme="minorHAnsi" w:hAnsiTheme="minorHAnsi"/>
        </w:rPr>
        <w:t xml:space="preserve">a </w:t>
      </w:r>
      <w:r w:rsidR="00870D62">
        <w:rPr>
          <w:rFonts w:asciiTheme="minorHAnsi" w:hAnsiTheme="minorHAnsi"/>
        </w:rPr>
        <w:t xml:space="preserve">purchaser </w:t>
      </w:r>
      <w:r>
        <w:rPr>
          <w:rFonts w:asciiTheme="minorHAnsi" w:hAnsiTheme="minorHAnsi"/>
        </w:rPr>
        <w:t>or their representative</w:t>
      </w:r>
      <w:r w:rsidR="00870D62">
        <w:rPr>
          <w:rFonts w:asciiTheme="minorHAnsi" w:hAnsiTheme="minorHAnsi"/>
        </w:rPr>
        <w:t xml:space="preserve"> must deal with</w:t>
      </w:r>
      <w:r w:rsidR="00F63BB5">
        <w:rPr>
          <w:rFonts w:asciiTheme="minorHAnsi" w:hAnsiTheme="minorHAnsi"/>
        </w:rPr>
        <w:t xml:space="preserve"> (</w:t>
      </w:r>
      <w:r w:rsidR="00A43F86">
        <w:rPr>
          <w:rFonts w:asciiTheme="minorHAnsi" w:hAnsiTheme="minorHAnsi"/>
        </w:rPr>
        <w:t>p</w:t>
      </w:r>
      <w:r w:rsidR="00870D62">
        <w:rPr>
          <w:rFonts w:asciiTheme="minorHAnsi" w:hAnsiTheme="minorHAnsi"/>
        </w:rPr>
        <w:t xml:space="preserve">urchasers </w:t>
      </w:r>
      <w:r w:rsidR="00A43F86">
        <w:rPr>
          <w:rFonts w:asciiTheme="minorHAnsi" w:hAnsiTheme="minorHAnsi"/>
        </w:rPr>
        <w:t>are required to</w:t>
      </w:r>
      <w:r w:rsidR="00870D62">
        <w:rPr>
          <w:rFonts w:asciiTheme="minorHAnsi" w:hAnsiTheme="minorHAnsi"/>
        </w:rPr>
        <w:t xml:space="preserve"> lodge a Transfer of Land form with the Registrar of Titles</w:t>
      </w:r>
      <w:r>
        <w:rPr>
          <w:rFonts w:asciiTheme="minorHAnsi" w:hAnsiTheme="minorHAnsi"/>
        </w:rPr>
        <w:t xml:space="preserve"> upon the acquisition of land</w:t>
      </w:r>
      <w:r w:rsidR="00F63BB5">
        <w:rPr>
          <w:rFonts w:asciiTheme="minorHAnsi" w:hAnsiTheme="minorHAnsi"/>
        </w:rPr>
        <w:t>)</w:t>
      </w:r>
      <w:r w:rsidR="00A43F86">
        <w:rPr>
          <w:rFonts w:asciiTheme="minorHAnsi" w:hAnsiTheme="minorHAnsi"/>
        </w:rPr>
        <w:t>.</w:t>
      </w:r>
      <w:r w:rsidR="00AE3C65">
        <w:rPr>
          <w:rFonts w:asciiTheme="minorHAnsi" w:hAnsiTheme="minorHAnsi"/>
        </w:rPr>
        <w:t xml:space="preserve"> </w:t>
      </w:r>
    </w:p>
    <w:p w:rsidR="00CB75B5" w:rsidRPr="000638D1" w:rsidRDefault="00140E28" w:rsidP="001D160F">
      <w:pPr>
        <w:spacing w:after="240" w:line="276" w:lineRule="auto"/>
        <w:rPr>
          <w:rFonts w:asciiTheme="minorHAnsi" w:hAnsiTheme="minorHAnsi"/>
        </w:rPr>
      </w:pPr>
      <w:r>
        <w:rPr>
          <w:rFonts w:asciiTheme="minorHAnsi" w:hAnsiTheme="minorHAnsi"/>
        </w:rPr>
        <w:t>In contrast, t</w:t>
      </w:r>
      <w:r w:rsidR="00CB75B5" w:rsidRPr="000638D1">
        <w:rPr>
          <w:rFonts w:asciiTheme="minorHAnsi" w:hAnsiTheme="minorHAnsi"/>
        </w:rPr>
        <w:t xml:space="preserve">he </w:t>
      </w:r>
      <w:r w:rsidR="00776286">
        <w:rPr>
          <w:rFonts w:ascii="Calibri" w:hAnsi="Calibri"/>
        </w:rPr>
        <w:t>clearance certificate</w:t>
      </w:r>
      <w:r w:rsidR="00A43F86" w:rsidRPr="00446289">
        <w:rPr>
          <w:rFonts w:ascii="Calibri" w:hAnsi="Calibri"/>
        </w:rPr>
        <w:t xml:space="preserve"> application </w:t>
      </w:r>
      <w:r w:rsidR="00CB75B5" w:rsidRPr="000638D1">
        <w:rPr>
          <w:rFonts w:asciiTheme="minorHAnsi" w:hAnsiTheme="minorHAnsi"/>
        </w:rPr>
        <w:t xml:space="preserve">fee prescribed by the proposed </w:t>
      </w:r>
      <w:r w:rsidR="00CC341E">
        <w:rPr>
          <w:rFonts w:asciiTheme="minorHAnsi" w:hAnsiTheme="minorHAnsi"/>
        </w:rPr>
        <w:t>Regulations</w:t>
      </w:r>
      <w:r>
        <w:rPr>
          <w:rFonts w:asciiTheme="minorHAnsi" w:hAnsiTheme="minorHAnsi"/>
        </w:rPr>
        <w:t xml:space="preserve"> </w:t>
      </w:r>
      <w:r w:rsidR="00CB75B5">
        <w:rPr>
          <w:rFonts w:asciiTheme="minorHAnsi" w:hAnsiTheme="minorHAnsi"/>
        </w:rPr>
        <w:t>is</w:t>
      </w:r>
      <w:r>
        <w:rPr>
          <w:rFonts w:asciiTheme="minorHAnsi" w:hAnsiTheme="minorHAnsi"/>
        </w:rPr>
        <w:t xml:space="preserve"> </w:t>
      </w:r>
      <w:r w:rsidR="00CB75B5" w:rsidRPr="000638D1">
        <w:rPr>
          <w:rFonts w:asciiTheme="minorHAnsi" w:hAnsiTheme="minorHAnsi"/>
        </w:rPr>
        <w:t xml:space="preserve">considered to constitute </w:t>
      </w:r>
      <w:r w:rsidR="00AE25A8" w:rsidRPr="000638D1">
        <w:rPr>
          <w:rFonts w:asciiTheme="minorHAnsi" w:hAnsiTheme="minorHAnsi"/>
        </w:rPr>
        <w:t xml:space="preserve">a </w:t>
      </w:r>
      <w:r w:rsidR="00AE25A8">
        <w:rPr>
          <w:rFonts w:asciiTheme="minorHAnsi" w:hAnsiTheme="minorHAnsi"/>
        </w:rPr>
        <w:t xml:space="preserve">significant </w:t>
      </w:r>
      <w:r w:rsidR="00CB75B5" w:rsidRPr="000638D1">
        <w:rPr>
          <w:rFonts w:asciiTheme="minorHAnsi" w:hAnsiTheme="minorHAnsi"/>
        </w:rPr>
        <w:t>economic burden on at least one sector of the public — those individuals and entities intending to obtain a land tax clearance certificate — and therefore require</w:t>
      </w:r>
      <w:r w:rsidR="00CB75B5">
        <w:rPr>
          <w:rFonts w:asciiTheme="minorHAnsi" w:hAnsiTheme="minorHAnsi"/>
        </w:rPr>
        <w:t>s</w:t>
      </w:r>
      <w:r w:rsidR="00CB75B5" w:rsidRPr="000638D1">
        <w:rPr>
          <w:rFonts w:asciiTheme="minorHAnsi" w:hAnsiTheme="minorHAnsi"/>
        </w:rPr>
        <w:t xml:space="preserve"> the preparation of a RIS. </w:t>
      </w:r>
    </w:p>
    <w:p w:rsidR="00CB75B5" w:rsidRPr="00736413" w:rsidRDefault="00CB75B5" w:rsidP="001D160F">
      <w:pPr>
        <w:spacing w:after="240" w:line="276" w:lineRule="auto"/>
        <w:rPr>
          <w:rFonts w:asciiTheme="minorHAnsi" w:hAnsiTheme="minorHAnsi"/>
        </w:rPr>
      </w:pPr>
      <w:r w:rsidRPr="00736413">
        <w:rPr>
          <w:rFonts w:asciiTheme="minorHAnsi" w:hAnsiTheme="minorHAnsi"/>
        </w:rPr>
        <w:t xml:space="preserve">This RIS applies the Victorian Government’s Cost Recovery Guidelines to determine </w:t>
      </w:r>
      <w:r w:rsidR="0052406E">
        <w:rPr>
          <w:rFonts w:asciiTheme="minorHAnsi" w:hAnsiTheme="minorHAnsi"/>
        </w:rPr>
        <w:t xml:space="preserve">the </w:t>
      </w:r>
      <w:r w:rsidRPr="00736413">
        <w:rPr>
          <w:rFonts w:asciiTheme="minorHAnsi" w:hAnsiTheme="minorHAnsi"/>
        </w:rPr>
        <w:t xml:space="preserve">appropriate fee for the provision of </w:t>
      </w:r>
      <w:r>
        <w:rPr>
          <w:rFonts w:asciiTheme="minorHAnsi" w:hAnsiTheme="minorHAnsi"/>
        </w:rPr>
        <w:t>land tax clearance certificates by the SRO</w:t>
      </w:r>
      <w:r w:rsidRPr="00736413">
        <w:rPr>
          <w:rFonts w:asciiTheme="minorHAnsi" w:hAnsiTheme="minorHAnsi"/>
        </w:rPr>
        <w:t xml:space="preserve">. This is done in reference to requirements in the </w:t>
      </w:r>
      <w:r w:rsidRPr="001578D0">
        <w:rPr>
          <w:rFonts w:asciiTheme="minorHAnsi" w:hAnsiTheme="minorHAnsi"/>
          <w:i/>
        </w:rPr>
        <w:t>Subordinate Legislation Act 1994</w:t>
      </w:r>
      <w:r w:rsidRPr="00736413">
        <w:rPr>
          <w:rFonts w:asciiTheme="minorHAnsi" w:hAnsiTheme="minorHAnsi"/>
        </w:rPr>
        <w:t xml:space="preserve"> and the </w:t>
      </w:r>
      <w:r w:rsidRPr="001578D0">
        <w:rPr>
          <w:rFonts w:asciiTheme="minorHAnsi" w:hAnsiTheme="minorHAnsi"/>
          <w:i/>
        </w:rPr>
        <w:t>Victorian Guide to Regulation</w:t>
      </w:r>
      <w:r w:rsidRPr="00736413">
        <w:rPr>
          <w:rFonts w:asciiTheme="minorHAnsi" w:hAnsiTheme="minorHAnsi"/>
        </w:rPr>
        <w:t>.</w:t>
      </w:r>
    </w:p>
    <w:p w:rsidR="00CB75B5" w:rsidRPr="00736413" w:rsidRDefault="00CB75B5" w:rsidP="001D160F">
      <w:pPr>
        <w:spacing w:line="276" w:lineRule="auto"/>
        <w:rPr>
          <w:rFonts w:asciiTheme="minorHAnsi" w:hAnsiTheme="minorHAnsi"/>
        </w:rPr>
      </w:pPr>
      <w:r w:rsidRPr="00736413">
        <w:rPr>
          <w:rFonts w:asciiTheme="minorHAnsi" w:hAnsiTheme="minorHAnsi"/>
        </w:rPr>
        <w:t>The assessment framework of this RIS:</w:t>
      </w:r>
    </w:p>
    <w:p w:rsidR="00CB75B5" w:rsidRPr="00736413" w:rsidRDefault="00CB75B5" w:rsidP="003A67E6">
      <w:pPr>
        <w:pStyle w:val="ListParagraph"/>
        <w:numPr>
          <w:ilvl w:val="0"/>
          <w:numId w:val="2"/>
        </w:numPr>
        <w:spacing w:after="240" w:line="276" w:lineRule="auto"/>
        <w:rPr>
          <w:rFonts w:asciiTheme="minorHAnsi" w:hAnsiTheme="minorHAnsi"/>
        </w:rPr>
      </w:pPr>
      <w:r w:rsidRPr="00736413">
        <w:rPr>
          <w:rFonts w:asciiTheme="minorHAnsi" w:hAnsiTheme="minorHAnsi"/>
        </w:rPr>
        <w:t>examines the nature and extent of the rationale for regulation</w:t>
      </w:r>
      <w:r w:rsidR="0052406E">
        <w:rPr>
          <w:rFonts w:asciiTheme="minorHAnsi" w:hAnsiTheme="minorHAnsi"/>
        </w:rPr>
        <w:t>,</w:t>
      </w:r>
    </w:p>
    <w:p w:rsidR="00CB75B5" w:rsidRPr="00736413" w:rsidRDefault="00CB75B5" w:rsidP="003A67E6">
      <w:pPr>
        <w:pStyle w:val="ListParagraph"/>
        <w:numPr>
          <w:ilvl w:val="0"/>
          <w:numId w:val="2"/>
        </w:numPr>
        <w:spacing w:after="240" w:line="276" w:lineRule="auto"/>
        <w:rPr>
          <w:rFonts w:asciiTheme="minorHAnsi" w:hAnsiTheme="minorHAnsi"/>
        </w:rPr>
      </w:pPr>
      <w:r w:rsidRPr="00736413">
        <w:rPr>
          <w:rFonts w:asciiTheme="minorHAnsi" w:hAnsiTheme="minorHAnsi"/>
        </w:rPr>
        <w:t xml:space="preserve">outlines the objectives of the proposed </w:t>
      </w:r>
      <w:r w:rsidR="00CC341E">
        <w:rPr>
          <w:rFonts w:asciiTheme="minorHAnsi" w:hAnsiTheme="minorHAnsi"/>
        </w:rPr>
        <w:t>Regulations</w:t>
      </w:r>
      <w:r w:rsidR="0052406E">
        <w:rPr>
          <w:rFonts w:asciiTheme="minorHAnsi" w:hAnsiTheme="minorHAnsi"/>
        </w:rPr>
        <w:t>, and</w:t>
      </w:r>
    </w:p>
    <w:p w:rsidR="00CB75B5" w:rsidRPr="00736413" w:rsidRDefault="00CB75B5" w:rsidP="003A67E6">
      <w:pPr>
        <w:pStyle w:val="ListParagraph"/>
        <w:numPr>
          <w:ilvl w:val="0"/>
          <w:numId w:val="2"/>
        </w:numPr>
        <w:spacing w:after="240" w:line="276" w:lineRule="auto"/>
        <w:rPr>
          <w:rFonts w:asciiTheme="minorHAnsi" w:hAnsiTheme="minorHAnsi"/>
        </w:rPr>
      </w:pPr>
      <w:proofErr w:type="gramStart"/>
      <w:r w:rsidRPr="00736413">
        <w:rPr>
          <w:rFonts w:asciiTheme="minorHAnsi" w:hAnsiTheme="minorHAnsi"/>
        </w:rPr>
        <w:t>explains</w:t>
      </w:r>
      <w:proofErr w:type="gramEnd"/>
      <w:r w:rsidRPr="00736413">
        <w:rPr>
          <w:rFonts w:asciiTheme="minorHAnsi" w:hAnsiTheme="minorHAnsi"/>
        </w:rPr>
        <w:t xml:space="preserve"> the effects of the proposed </w:t>
      </w:r>
      <w:r w:rsidR="00CC341E">
        <w:rPr>
          <w:rFonts w:asciiTheme="minorHAnsi" w:hAnsiTheme="minorHAnsi"/>
        </w:rPr>
        <w:t>Regulations</w:t>
      </w:r>
      <w:r w:rsidR="0052406E">
        <w:rPr>
          <w:rFonts w:asciiTheme="minorHAnsi" w:hAnsiTheme="minorHAnsi"/>
        </w:rPr>
        <w:t>.</w:t>
      </w:r>
    </w:p>
    <w:p w:rsidR="00CB75B5" w:rsidRPr="00736413" w:rsidRDefault="00CB75B5" w:rsidP="001D160F">
      <w:pPr>
        <w:spacing w:after="240" w:line="276" w:lineRule="auto"/>
        <w:rPr>
          <w:rFonts w:asciiTheme="minorHAnsi" w:hAnsiTheme="minorHAnsi"/>
        </w:rPr>
      </w:pPr>
      <w:r w:rsidRPr="00736413">
        <w:rPr>
          <w:rFonts w:asciiTheme="minorHAnsi" w:hAnsiTheme="minorHAnsi"/>
        </w:rPr>
        <w:t xml:space="preserve">Feasible alternatives to the proposed </w:t>
      </w:r>
      <w:r w:rsidR="00CC341E">
        <w:rPr>
          <w:rFonts w:asciiTheme="minorHAnsi" w:hAnsiTheme="minorHAnsi"/>
        </w:rPr>
        <w:t>Regulations</w:t>
      </w:r>
      <w:r w:rsidRPr="00736413">
        <w:rPr>
          <w:rFonts w:asciiTheme="minorHAnsi" w:hAnsiTheme="minorHAnsi"/>
        </w:rPr>
        <w:t xml:space="preserve"> are considered and assessed. </w:t>
      </w:r>
      <w:r w:rsidRPr="00C555B5">
        <w:rPr>
          <w:rFonts w:asciiTheme="minorHAnsi" w:hAnsiTheme="minorHAnsi"/>
        </w:rPr>
        <w:t xml:space="preserve">The RIS also examines potential impacts on competition and outlines the proposed </w:t>
      </w:r>
      <w:r w:rsidR="00C555B5" w:rsidRPr="00C555B5">
        <w:rPr>
          <w:rFonts w:asciiTheme="minorHAnsi" w:hAnsiTheme="minorHAnsi"/>
        </w:rPr>
        <w:t>implementation and communication</w:t>
      </w:r>
      <w:r w:rsidRPr="00C555B5">
        <w:rPr>
          <w:rFonts w:asciiTheme="minorHAnsi" w:hAnsiTheme="minorHAnsi"/>
        </w:rPr>
        <w:t xml:space="preserve"> strategy.</w:t>
      </w:r>
    </w:p>
    <w:p w:rsidR="00CB75B5" w:rsidRPr="00CB75B5" w:rsidRDefault="00CB75B5" w:rsidP="001D160F">
      <w:pPr>
        <w:spacing w:after="240" w:line="276" w:lineRule="auto"/>
      </w:pPr>
      <w:r w:rsidRPr="000638D1">
        <w:rPr>
          <w:rFonts w:asciiTheme="minorHAnsi" w:hAnsiTheme="minorHAnsi"/>
        </w:rPr>
        <w:t xml:space="preserve">The process followed in the development of this RIS has been determined after discussions with the </w:t>
      </w:r>
      <w:r w:rsidR="005B6E05">
        <w:rPr>
          <w:rFonts w:asciiTheme="minorHAnsi" w:hAnsiTheme="minorHAnsi"/>
        </w:rPr>
        <w:t>Commissioner for Better Regulation</w:t>
      </w:r>
      <w:r w:rsidRPr="000638D1">
        <w:rPr>
          <w:rFonts w:asciiTheme="minorHAnsi" w:hAnsiTheme="minorHAnsi"/>
        </w:rPr>
        <w:t>.</w:t>
      </w:r>
    </w:p>
    <w:p w:rsidR="008C1C84" w:rsidRDefault="008C1C84" w:rsidP="001D160F">
      <w:pPr>
        <w:spacing w:after="240" w:line="276" w:lineRule="auto"/>
        <w:rPr>
          <w:rFonts w:asciiTheme="minorHAnsi" w:hAnsiTheme="minorHAnsi"/>
          <w:b/>
          <w:bCs/>
          <w:szCs w:val="22"/>
        </w:rPr>
      </w:pPr>
      <w:r>
        <w:rPr>
          <w:rFonts w:asciiTheme="minorHAnsi" w:hAnsiTheme="minorHAnsi"/>
          <w:szCs w:val="22"/>
        </w:rPr>
        <w:br w:type="page"/>
      </w:r>
    </w:p>
    <w:p w:rsidR="00655D0A" w:rsidRPr="006326F6" w:rsidRDefault="00AC0F3E" w:rsidP="001D160F">
      <w:pPr>
        <w:pStyle w:val="Heading1"/>
        <w:spacing w:after="240" w:line="276" w:lineRule="auto"/>
        <w:jc w:val="left"/>
        <w:rPr>
          <w:rFonts w:asciiTheme="minorHAnsi" w:hAnsiTheme="minorHAnsi"/>
          <w:sz w:val="32"/>
        </w:rPr>
      </w:pPr>
      <w:bookmarkStart w:id="7" w:name="_Toc432510178"/>
      <w:r w:rsidRPr="006326F6">
        <w:rPr>
          <w:rFonts w:asciiTheme="minorHAnsi" w:hAnsiTheme="minorHAnsi"/>
          <w:sz w:val="32"/>
        </w:rPr>
        <w:lastRenderedPageBreak/>
        <w:t xml:space="preserve">4. </w:t>
      </w:r>
      <w:r w:rsidR="00CB3271" w:rsidRPr="006326F6">
        <w:rPr>
          <w:rFonts w:asciiTheme="minorHAnsi" w:hAnsiTheme="minorHAnsi"/>
          <w:sz w:val="32"/>
        </w:rPr>
        <w:tab/>
      </w:r>
      <w:r w:rsidR="00655D0A" w:rsidRPr="006326F6">
        <w:rPr>
          <w:rFonts w:asciiTheme="minorHAnsi" w:hAnsiTheme="minorHAnsi"/>
          <w:sz w:val="32"/>
        </w:rPr>
        <w:t>Nature and extent of the problem</w:t>
      </w:r>
      <w:bookmarkEnd w:id="7"/>
      <w:r w:rsidR="00655D0A" w:rsidRPr="006326F6">
        <w:rPr>
          <w:rFonts w:asciiTheme="minorHAnsi" w:hAnsiTheme="minorHAnsi"/>
          <w:sz w:val="32"/>
        </w:rPr>
        <w:t xml:space="preserve"> </w:t>
      </w:r>
    </w:p>
    <w:p w:rsidR="00341235" w:rsidRPr="006326F6" w:rsidRDefault="00AC0F3E" w:rsidP="001D160F">
      <w:pPr>
        <w:pStyle w:val="Heading2"/>
        <w:spacing w:after="240" w:line="276" w:lineRule="auto"/>
        <w:rPr>
          <w:rFonts w:asciiTheme="minorHAnsi" w:eastAsia="Times New Roman" w:hAnsiTheme="minorHAnsi" w:cs="Times New Roman"/>
          <w:color w:val="auto"/>
          <w:sz w:val="28"/>
          <w:szCs w:val="22"/>
        </w:rPr>
      </w:pPr>
      <w:bookmarkStart w:id="8" w:name="_Toc432510179"/>
      <w:r w:rsidRPr="006326F6">
        <w:rPr>
          <w:rFonts w:asciiTheme="minorHAnsi" w:eastAsia="Times New Roman" w:hAnsiTheme="minorHAnsi" w:cs="Times New Roman"/>
          <w:color w:val="auto"/>
          <w:sz w:val="28"/>
          <w:szCs w:val="22"/>
        </w:rPr>
        <w:t xml:space="preserve">4.1. </w:t>
      </w:r>
      <w:r w:rsidR="00CB3271" w:rsidRPr="006326F6">
        <w:rPr>
          <w:rFonts w:asciiTheme="minorHAnsi" w:eastAsia="Times New Roman" w:hAnsiTheme="minorHAnsi" w:cs="Times New Roman"/>
          <w:color w:val="auto"/>
          <w:sz w:val="28"/>
          <w:szCs w:val="22"/>
        </w:rPr>
        <w:tab/>
      </w:r>
      <w:r w:rsidR="00446289" w:rsidRPr="006326F6">
        <w:rPr>
          <w:rFonts w:asciiTheme="minorHAnsi" w:eastAsia="Times New Roman" w:hAnsiTheme="minorHAnsi" w:cs="Times New Roman"/>
          <w:color w:val="auto"/>
          <w:sz w:val="28"/>
          <w:szCs w:val="22"/>
        </w:rPr>
        <w:t>Background</w:t>
      </w:r>
      <w:bookmarkEnd w:id="8"/>
      <w:r w:rsidR="00860F2D" w:rsidRPr="006326F6">
        <w:rPr>
          <w:rFonts w:asciiTheme="minorHAnsi" w:eastAsia="Times New Roman" w:hAnsiTheme="minorHAnsi" w:cs="Times New Roman"/>
          <w:color w:val="auto"/>
          <w:sz w:val="28"/>
          <w:szCs w:val="22"/>
        </w:rPr>
        <w:t xml:space="preserve"> </w:t>
      </w:r>
    </w:p>
    <w:p w:rsidR="00735805" w:rsidRDefault="007E1736" w:rsidP="001D160F">
      <w:pPr>
        <w:pStyle w:val="Style14ptJustified"/>
        <w:keepLines/>
        <w:spacing w:after="240" w:line="276" w:lineRule="auto"/>
        <w:jc w:val="left"/>
        <w:rPr>
          <w:rFonts w:ascii="Calibri" w:hAnsi="Calibri"/>
          <w:sz w:val="24"/>
          <w:szCs w:val="24"/>
        </w:rPr>
      </w:pPr>
      <w:r w:rsidRPr="00446289">
        <w:rPr>
          <w:rFonts w:ascii="Calibri" w:hAnsi="Calibri"/>
          <w:sz w:val="24"/>
          <w:szCs w:val="24"/>
        </w:rPr>
        <w:t xml:space="preserve">Land tax is charged annually on land holdings which are not exempt and which exceed the </w:t>
      </w:r>
      <w:r w:rsidR="00A46888">
        <w:rPr>
          <w:rFonts w:ascii="Calibri" w:hAnsi="Calibri"/>
          <w:sz w:val="24"/>
          <w:szCs w:val="24"/>
        </w:rPr>
        <w:t xml:space="preserve">statutory </w:t>
      </w:r>
      <w:r w:rsidRPr="00446289">
        <w:rPr>
          <w:rFonts w:ascii="Calibri" w:hAnsi="Calibri"/>
          <w:sz w:val="24"/>
          <w:szCs w:val="24"/>
        </w:rPr>
        <w:t xml:space="preserve">threshold. </w:t>
      </w:r>
      <w:r w:rsidR="00735805">
        <w:rPr>
          <w:rFonts w:ascii="Calibri" w:hAnsi="Calibri"/>
          <w:sz w:val="24"/>
          <w:szCs w:val="24"/>
        </w:rPr>
        <w:t>T</w:t>
      </w:r>
      <w:r w:rsidR="00735805" w:rsidRPr="00832D4E">
        <w:rPr>
          <w:rFonts w:ascii="Calibri" w:hAnsi="Calibri"/>
          <w:sz w:val="24"/>
          <w:szCs w:val="24"/>
        </w:rPr>
        <w:t xml:space="preserve">he </w:t>
      </w:r>
      <w:r w:rsidR="00735805">
        <w:rPr>
          <w:rFonts w:ascii="Calibri" w:hAnsi="Calibri"/>
          <w:sz w:val="24"/>
          <w:szCs w:val="24"/>
        </w:rPr>
        <w:t>Act</w:t>
      </w:r>
      <w:r w:rsidR="00735805" w:rsidRPr="00832D4E">
        <w:rPr>
          <w:rFonts w:ascii="Calibri" w:hAnsi="Calibri"/>
          <w:sz w:val="24"/>
          <w:szCs w:val="24"/>
        </w:rPr>
        <w:t xml:space="preserve"> requires the Commissioner, upon application </w:t>
      </w:r>
      <w:r w:rsidR="00177D09">
        <w:rPr>
          <w:rFonts w:ascii="Calibri" w:hAnsi="Calibri"/>
          <w:sz w:val="24"/>
          <w:szCs w:val="24"/>
        </w:rPr>
        <w:t>from an owner, purchaser or mortgagee</w:t>
      </w:r>
      <w:r w:rsidR="00177D09" w:rsidRPr="00832D4E">
        <w:rPr>
          <w:rFonts w:ascii="Calibri" w:hAnsi="Calibri"/>
          <w:sz w:val="24"/>
          <w:szCs w:val="24"/>
        </w:rPr>
        <w:t xml:space="preserve"> </w:t>
      </w:r>
      <w:r w:rsidR="00735805" w:rsidRPr="00832D4E">
        <w:rPr>
          <w:rFonts w:ascii="Calibri" w:hAnsi="Calibri"/>
          <w:sz w:val="24"/>
          <w:szCs w:val="24"/>
        </w:rPr>
        <w:t xml:space="preserve">and receipt of the prescribed fee, to issue a </w:t>
      </w:r>
      <w:r w:rsidR="00735805">
        <w:rPr>
          <w:rFonts w:ascii="Calibri" w:hAnsi="Calibri"/>
          <w:sz w:val="24"/>
          <w:szCs w:val="24"/>
        </w:rPr>
        <w:t xml:space="preserve">clearance </w:t>
      </w:r>
      <w:r w:rsidR="00735805" w:rsidRPr="00832D4E">
        <w:rPr>
          <w:rFonts w:ascii="Calibri" w:hAnsi="Calibri"/>
          <w:sz w:val="24"/>
          <w:szCs w:val="24"/>
        </w:rPr>
        <w:t xml:space="preserve">certificate showing </w:t>
      </w:r>
      <w:r w:rsidR="00735805">
        <w:rPr>
          <w:rFonts w:ascii="Calibri" w:hAnsi="Calibri"/>
          <w:sz w:val="24"/>
          <w:szCs w:val="24"/>
        </w:rPr>
        <w:t>the</w:t>
      </w:r>
      <w:r w:rsidR="00735805" w:rsidRPr="00832D4E">
        <w:rPr>
          <w:rFonts w:ascii="Calibri" w:hAnsi="Calibri"/>
          <w:sz w:val="24"/>
          <w:szCs w:val="24"/>
        </w:rPr>
        <w:t xml:space="preserve"> land tax due an</w:t>
      </w:r>
      <w:r w:rsidR="00735805">
        <w:rPr>
          <w:rFonts w:ascii="Calibri" w:hAnsi="Calibri"/>
          <w:sz w:val="24"/>
          <w:szCs w:val="24"/>
        </w:rPr>
        <w:t>d unpaid on the particular land</w:t>
      </w:r>
      <w:r w:rsidR="00735805" w:rsidRPr="00832D4E">
        <w:rPr>
          <w:rFonts w:ascii="Calibri" w:hAnsi="Calibri"/>
          <w:sz w:val="24"/>
          <w:szCs w:val="24"/>
        </w:rPr>
        <w:t xml:space="preserve">. </w:t>
      </w:r>
    </w:p>
    <w:p w:rsidR="005B7485" w:rsidRPr="00446289" w:rsidRDefault="005B7485" w:rsidP="001D160F">
      <w:pPr>
        <w:pStyle w:val="Style14ptJustified"/>
        <w:keepLines/>
        <w:spacing w:after="240" w:line="276" w:lineRule="auto"/>
        <w:jc w:val="left"/>
        <w:rPr>
          <w:rFonts w:ascii="Calibri" w:hAnsi="Calibri"/>
          <w:sz w:val="24"/>
          <w:szCs w:val="24"/>
        </w:rPr>
      </w:pPr>
      <w:r w:rsidRPr="00CB1F39">
        <w:rPr>
          <w:rFonts w:ascii="Calibri" w:hAnsi="Calibri"/>
          <w:sz w:val="24"/>
          <w:szCs w:val="24"/>
        </w:rPr>
        <w:t>A clearance certificate is the means by which an applicant obtains information regarding any outstanding land tax liability on the land referred to in the application. The main benefit of obtaining a clearance certificate is that it provides a definitive s</w:t>
      </w:r>
      <w:r>
        <w:rPr>
          <w:rFonts w:ascii="Calibri" w:hAnsi="Calibri"/>
          <w:sz w:val="24"/>
          <w:szCs w:val="24"/>
        </w:rPr>
        <w:t>tatement of outstanding land ta</w:t>
      </w:r>
      <w:r w:rsidR="003966EB">
        <w:rPr>
          <w:rFonts w:ascii="Calibri" w:hAnsi="Calibri"/>
          <w:sz w:val="24"/>
          <w:szCs w:val="24"/>
        </w:rPr>
        <w:t>x</w:t>
      </w:r>
      <w:r>
        <w:rPr>
          <w:rFonts w:ascii="Calibri" w:hAnsi="Calibri"/>
          <w:sz w:val="24"/>
          <w:szCs w:val="24"/>
        </w:rPr>
        <w:t xml:space="preserve">, which </w:t>
      </w:r>
      <w:r w:rsidRPr="00CB1F39">
        <w:rPr>
          <w:rFonts w:ascii="Calibri" w:hAnsi="Calibri"/>
          <w:sz w:val="24"/>
          <w:szCs w:val="24"/>
        </w:rPr>
        <w:t>can</w:t>
      </w:r>
      <w:r w:rsidRPr="00446289">
        <w:rPr>
          <w:rFonts w:ascii="Calibri" w:hAnsi="Calibri"/>
          <w:sz w:val="24"/>
          <w:szCs w:val="24"/>
        </w:rPr>
        <w:t xml:space="preserve"> be used in real property settlements to make accurate adjustments between </w:t>
      </w:r>
      <w:r>
        <w:rPr>
          <w:rFonts w:ascii="Calibri" w:hAnsi="Calibri"/>
          <w:sz w:val="24"/>
          <w:szCs w:val="24"/>
        </w:rPr>
        <w:t xml:space="preserve">a </w:t>
      </w:r>
      <w:r w:rsidRPr="00446289">
        <w:rPr>
          <w:rFonts w:ascii="Calibri" w:hAnsi="Calibri"/>
          <w:sz w:val="24"/>
          <w:szCs w:val="24"/>
        </w:rPr>
        <w:t xml:space="preserve">vendor and purchaser. </w:t>
      </w:r>
    </w:p>
    <w:p w:rsidR="005B7485" w:rsidRPr="00CB1F39" w:rsidRDefault="005B7485" w:rsidP="001D160F">
      <w:pPr>
        <w:pStyle w:val="Style14ptJustified"/>
        <w:keepLines/>
        <w:spacing w:after="240" w:line="276" w:lineRule="auto"/>
        <w:jc w:val="left"/>
        <w:rPr>
          <w:rFonts w:ascii="Calibri" w:hAnsi="Calibri"/>
          <w:sz w:val="24"/>
          <w:szCs w:val="24"/>
        </w:rPr>
      </w:pPr>
      <w:r w:rsidRPr="00CB1F39">
        <w:rPr>
          <w:rFonts w:ascii="Calibri" w:hAnsi="Calibri"/>
          <w:sz w:val="24"/>
          <w:szCs w:val="24"/>
        </w:rPr>
        <w:t>In most cases, the vendor will apply for a certificate early in the conveyancing process and attach it to the ‘Vendor’s Statement’ (</w:t>
      </w:r>
      <w:proofErr w:type="spellStart"/>
      <w:r w:rsidRPr="00CB1F39">
        <w:rPr>
          <w:rFonts w:ascii="Calibri" w:hAnsi="Calibri"/>
          <w:sz w:val="24"/>
          <w:szCs w:val="24"/>
        </w:rPr>
        <w:t>ie</w:t>
      </w:r>
      <w:proofErr w:type="spellEnd"/>
      <w:r w:rsidRPr="00CB1F39">
        <w:rPr>
          <w:rFonts w:ascii="Calibri" w:hAnsi="Calibri"/>
          <w:sz w:val="24"/>
          <w:szCs w:val="24"/>
        </w:rPr>
        <w:t>. the s</w:t>
      </w:r>
      <w:r>
        <w:rPr>
          <w:rFonts w:ascii="Calibri" w:hAnsi="Calibri"/>
          <w:sz w:val="24"/>
          <w:szCs w:val="24"/>
        </w:rPr>
        <w:t xml:space="preserve">ection </w:t>
      </w:r>
      <w:r w:rsidRPr="00CB1F39">
        <w:rPr>
          <w:rFonts w:ascii="Calibri" w:hAnsi="Calibri"/>
          <w:sz w:val="24"/>
          <w:szCs w:val="24"/>
        </w:rPr>
        <w:t xml:space="preserve">32 statement) so that prospective </w:t>
      </w:r>
      <w:r w:rsidR="00776286">
        <w:rPr>
          <w:rFonts w:ascii="Calibri" w:hAnsi="Calibri"/>
          <w:sz w:val="24"/>
          <w:szCs w:val="24"/>
        </w:rPr>
        <w:t>purchasers</w:t>
      </w:r>
      <w:r w:rsidR="00776286" w:rsidRPr="00CB1F39">
        <w:rPr>
          <w:rFonts w:ascii="Calibri" w:hAnsi="Calibri"/>
          <w:sz w:val="24"/>
          <w:szCs w:val="24"/>
        </w:rPr>
        <w:t xml:space="preserve"> </w:t>
      </w:r>
      <w:r w:rsidRPr="00CB1F39">
        <w:rPr>
          <w:rFonts w:ascii="Calibri" w:hAnsi="Calibri"/>
          <w:sz w:val="24"/>
          <w:szCs w:val="24"/>
        </w:rPr>
        <w:t xml:space="preserve">are aware of any land tax liabilities owing. It is also quite common for the vendor to apply for an updated certificate during the conveyancing process. This is generally encouraged by the SRO, as evidenced by the SRO’s practice of issuing updated certificates free of charge provided the application is received within 90 days of the original certificate issuing and the request is within the same calendar year. </w:t>
      </w:r>
    </w:p>
    <w:p w:rsidR="005B7485" w:rsidRPr="00446289" w:rsidRDefault="00295934" w:rsidP="001D160F">
      <w:pPr>
        <w:pStyle w:val="Style14ptJustified"/>
        <w:keepLines/>
        <w:spacing w:after="240" w:line="276" w:lineRule="auto"/>
        <w:jc w:val="left"/>
        <w:rPr>
          <w:rFonts w:ascii="Calibri" w:hAnsi="Calibri"/>
          <w:sz w:val="24"/>
          <w:szCs w:val="24"/>
        </w:rPr>
      </w:pPr>
      <w:r w:rsidRPr="00446289">
        <w:rPr>
          <w:rFonts w:ascii="Calibri" w:hAnsi="Calibri"/>
          <w:sz w:val="24"/>
          <w:szCs w:val="24"/>
        </w:rPr>
        <w:t xml:space="preserve">The Act </w:t>
      </w:r>
      <w:r>
        <w:rPr>
          <w:rFonts w:ascii="Calibri" w:hAnsi="Calibri"/>
          <w:sz w:val="24"/>
          <w:szCs w:val="24"/>
        </w:rPr>
        <w:t xml:space="preserve">also </w:t>
      </w:r>
      <w:r w:rsidRPr="00446289">
        <w:rPr>
          <w:rFonts w:ascii="Calibri" w:hAnsi="Calibri"/>
          <w:sz w:val="24"/>
          <w:szCs w:val="24"/>
        </w:rPr>
        <w:t xml:space="preserve">provides that </w:t>
      </w:r>
      <w:r>
        <w:rPr>
          <w:rFonts w:ascii="Calibri" w:hAnsi="Calibri"/>
          <w:sz w:val="24"/>
          <w:szCs w:val="24"/>
        </w:rPr>
        <w:t>land</w:t>
      </w:r>
      <w:r w:rsidRPr="00446289">
        <w:rPr>
          <w:rFonts w:ascii="Calibri" w:hAnsi="Calibri"/>
          <w:sz w:val="24"/>
          <w:szCs w:val="24"/>
        </w:rPr>
        <w:t xml:space="preserve"> tax shall be a first charge on the land and, notwithstanding any disposition of the </w:t>
      </w:r>
      <w:proofErr w:type="gramStart"/>
      <w:r w:rsidRPr="00446289">
        <w:rPr>
          <w:rFonts w:ascii="Calibri" w:hAnsi="Calibri"/>
          <w:sz w:val="24"/>
          <w:szCs w:val="24"/>
        </w:rPr>
        <w:t>land,</w:t>
      </w:r>
      <w:proofErr w:type="gramEnd"/>
      <w:r w:rsidRPr="00446289">
        <w:rPr>
          <w:rFonts w:ascii="Calibri" w:hAnsi="Calibri"/>
          <w:sz w:val="24"/>
          <w:szCs w:val="24"/>
        </w:rPr>
        <w:t xml:space="preserve"> any purchaser or holder thereof will be liable for payment of that tax so long as it remains unpaid.  </w:t>
      </w:r>
      <w:r>
        <w:rPr>
          <w:rFonts w:ascii="Calibri" w:hAnsi="Calibri"/>
          <w:sz w:val="24"/>
          <w:szCs w:val="24"/>
        </w:rPr>
        <w:t>However, the</w:t>
      </w:r>
      <w:r w:rsidR="005B7485" w:rsidRPr="00CB1F39">
        <w:rPr>
          <w:rFonts w:ascii="Calibri" w:hAnsi="Calibri"/>
          <w:sz w:val="24"/>
          <w:szCs w:val="24"/>
        </w:rPr>
        <w:t xml:space="preserve"> clearance certificate </w:t>
      </w:r>
      <w:r w:rsidR="005B7485" w:rsidRPr="00446289">
        <w:rPr>
          <w:rFonts w:ascii="Calibri" w:hAnsi="Calibri"/>
          <w:sz w:val="24"/>
          <w:szCs w:val="24"/>
        </w:rPr>
        <w:t xml:space="preserve">indemnifies </w:t>
      </w:r>
      <w:r>
        <w:rPr>
          <w:rFonts w:ascii="Calibri" w:hAnsi="Calibri"/>
          <w:sz w:val="24"/>
          <w:szCs w:val="24"/>
        </w:rPr>
        <w:t>the</w:t>
      </w:r>
      <w:r w:rsidR="005B7485" w:rsidRPr="00446289">
        <w:rPr>
          <w:rFonts w:ascii="Calibri" w:hAnsi="Calibri"/>
          <w:sz w:val="24"/>
          <w:szCs w:val="24"/>
        </w:rPr>
        <w:t xml:space="preserve"> purchaser from incurring any tax liability not stated in the certificate</w:t>
      </w:r>
      <w:r w:rsidR="008C1C84">
        <w:rPr>
          <w:rFonts w:ascii="Calibri" w:hAnsi="Calibri"/>
          <w:sz w:val="24"/>
          <w:szCs w:val="24"/>
        </w:rPr>
        <w:t xml:space="preserve">, provided the purchaser obtains a </w:t>
      </w:r>
      <w:r w:rsidR="008C1C84" w:rsidRPr="00CB1F39">
        <w:rPr>
          <w:rFonts w:ascii="Calibri" w:hAnsi="Calibri"/>
          <w:sz w:val="24"/>
          <w:szCs w:val="24"/>
        </w:rPr>
        <w:t>clearance certificate</w:t>
      </w:r>
      <w:r w:rsidR="008C1C84">
        <w:rPr>
          <w:rFonts w:ascii="Calibri" w:hAnsi="Calibri"/>
          <w:sz w:val="24"/>
          <w:szCs w:val="24"/>
        </w:rPr>
        <w:t xml:space="preserve"> of their own</w:t>
      </w:r>
      <w:r w:rsidR="005B7485" w:rsidRPr="00446289">
        <w:rPr>
          <w:rFonts w:ascii="Calibri" w:hAnsi="Calibri"/>
          <w:sz w:val="24"/>
          <w:szCs w:val="24"/>
        </w:rPr>
        <w:t xml:space="preserve">. </w:t>
      </w:r>
      <w:r w:rsidR="008C1C84">
        <w:rPr>
          <w:rFonts w:ascii="Calibri" w:hAnsi="Calibri"/>
          <w:sz w:val="24"/>
          <w:szCs w:val="24"/>
        </w:rPr>
        <w:t xml:space="preserve">In the absence of </w:t>
      </w:r>
      <w:r>
        <w:rPr>
          <w:rFonts w:ascii="Calibri" w:hAnsi="Calibri"/>
          <w:sz w:val="24"/>
          <w:szCs w:val="24"/>
        </w:rPr>
        <w:t xml:space="preserve">the SRO providing </w:t>
      </w:r>
      <w:r w:rsidR="008C1C84">
        <w:rPr>
          <w:rFonts w:ascii="Calibri" w:hAnsi="Calibri"/>
          <w:sz w:val="24"/>
          <w:szCs w:val="24"/>
        </w:rPr>
        <w:t xml:space="preserve">a </w:t>
      </w:r>
      <w:r w:rsidR="008C1C84" w:rsidRPr="00CB1F39">
        <w:rPr>
          <w:rFonts w:ascii="Calibri" w:hAnsi="Calibri"/>
          <w:sz w:val="24"/>
          <w:szCs w:val="24"/>
        </w:rPr>
        <w:t>clearance certificate</w:t>
      </w:r>
      <w:r w:rsidR="008C1C84">
        <w:rPr>
          <w:rFonts w:ascii="Calibri" w:hAnsi="Calibri"/>
          <w:sz w:val="24"/>
          <w:szCs w:val="24"/>
        </w:rPr>
        <w:t xml:space="preserve">, a purchaser </w:t>
      </w:r>
      <w:r>
        <w:rPr>
          <w:rFonts w:ascii="Calibri" w:hAnsi="Calibri"/>
          <w:sz w:val="24"/>
          <w:szCs w:val="24"/>
        </w:rPr>
        <w:t>could be</w:t>
      </w:r>
      <w:r w:rsidR="008C1C84">
        <w:rPr>
          <w:rFonts w:ascii="Calibri" w:hAnsi="Calibri"/>
          <w:sz w:val="24"/>
          <w:szCs w:val="24"/>
        </w:rPr>
        <w:t xml:space="preserve"> held liable for </w:t>
      </w:r>
      <w:r w:rsidR="00731700">
        <w:rPr>
          <w:rFonts w:ascii="Calibri" w:hAnsi="Calibri"/>
          <w:sz w:val="24"/>
          <w:szCs w:val="24"/>
        </w:rPr>
        <w:t xml:space="preserve">prior year </w:t>
      </w:r>
      <w:r w:rsidR="008C1C84">
        <w:rPr>
          <w:rFonts w:ascii="Calibri" w:hAnsi="Calibri"/>
          <w:sz w:val="24"/>
          <w:szCs w:val="24"/>
        </w:rPr>
        <w:t xml:space="preserve">land tax liabilities which are yet to be assessed. </w:t>
      </w:r>
      <w:r w:rsidR="005B7485" w:rsidRPr="00446289">
        <w:rPr>
          <w:rFonts w:ascii="Calibri" w:hAnsi="Calibri"/>
          <w:sz w:val="24"/>
          <w:szCs w:val="24"/>
        </w:rPr>
        <w:t xml:space="preserve">There is no other avenue available to a potential purchaser to </w:t>
      </w:r>
      <w:r w:rsidR="00D121BE">
        <w:rPr>
          <w:rFonts w:ascii="Calibri" w:hAnsi="Calibri"/>
          <w:sz w:val="24"/>
          <w:szCs w:val="24"/>
        </w:rPr>
        <w:t xml:space="preserve">independently </w:t>
      </w:r>
      <w:r w:rsidR="005B7485" w:rsidRPr="00446289">
        <w:rPr>
          <w:rFonts w:ascii="Calibri" w:hAnsi="Calibri"/>
          <w:sz w:val="24"/>
          <w:szCs w:val="24"/>
        </w:rPr>
        <w:t xml:space="preserve">obtain this information and </w:t>
      </w:r>
      <w:r w:rsidR="008C1C84">
        <w:rPr>
          <w:rFonts w:ascii="Calibri" w:hAnsi="Calibri"/>
          <w:sz w:val="24"/>
          <w:szCs w:val="24"/>
        </w:rPr>
        <w:t xml:space="preserve">level of </w:t>
      </w:r>
      <w:r w:rsidR="005B7485" w:rsidRPr="00446289">
        <w:rPr>
          <w:rFonts w:ascii="Calibri" w:hAnsi="Calibri"/>
          <w:sz w:val="24"/>
          <w:szCs w:val="24"/>
        </w:rPr>
        <w:t>protection.</w:t>
      </w:r>
      <w:r w:rsidR="008C1C84">
        <w:rPr>
          <w:rFonts w:ascii="Calibri" w:hAnsi="Calibri"/>
          <w:sz w:val="24"/>
          <w:szCs w:val="24"/>
        </w:rPr>
        <w:t xml:space="preserve"> </w:t>
      </w:r>
    </w:p>
    <w:p w:rsidR="002D2CF1" w:rsidRDefault="00FC019D" w:rsidP="001D160F">
      <w:pPr>
        <w:pStyle w:val="Style14ptJustified"/>
        <w:keepLines/>
        <w:spacing w:after="240" w:line="276" w:lineRule="auto"/>
        <w:jc w:val="left"/>
        <w:rPr>
          <w:rFonts w:ascii="Calibri" w:hAnsi="Calibri"/>
          <w:sz w:val="24"/>
          <w:szCs w:val="24"/>
        </w:rPr>
      </w:pPr>
      <w:r w:rsidRPr="00FC019D">
        <w:rPr>
          <w:rFonts w:ascii="Calibri" w:hAnsi="Calibri"/>
          <w:sz w:val="24"/>
          <w:szCs w:val="24"/>
        </w:rPr>
        <w:t xml:space="preserve">The </w:t>
      </w:r>
      <w:r w:rsidR="00D121BE">
        <w:rPr>
          <w:rFonts w:ascii="Calibri" w:hAnsi="Calibri"/>
          <w:sz w:val="24"/>
          <w:szCs w:val="24"/>
        </w:rPr>
        <w:t xml:space="preserve">current </w:t>
      </w:r>
      <w:r w:rsidRPr="00FC019D">
        <w:rPr>
          <w:rFonts w:ascii="Calibri" w:hAnsi="Calibri"/>
          <w:sz w:val="24"/>
          <w:szCs w:val="24"/>
        </w:rPr>
        <w:t xml:space="preserve">fees for the provision of </w:t>
      </w:r>
      <w:r>
        <w:rPr>
          <w:rFonts w:ascii="Calibri" w:hAnsi="Calibri"/>
          <w:sz w:val="24"/>
          <w:szCs w:val="24"/>
        </w:rPr>
        <w:t>land tax clearance certificates</w:t>
      </w:r>
      <w:r w:rsidRPr="00FC019D">
        <w:rPr>
          <w:rFonts w:ascii="Calibri" w:hAnsi="Calibri"/>
          <w:sz w:val="24"/>
          <w:szCs w:val="24"/>
        </w:rPr>
        <w:t xml:space="preserve">, as outlined in the </w:t>
      </w:r>
      <w:r>
        <w:rPr>
          <w:rFonts w:ascii="Calibri" w:hAnsi="Calibri"/>
          <w:sz w:val="24"/>
          <w:szCs w:val="24"/>
        </w:rPr>
        <w:t xml:space="preserve">2005 </w:t>
      </w:r>
      <w:r w:rsidR="00CC341E">
        <w:rPr>
          <w:rFonts w:ascii="Calibri" w:hAnsi="Calibri"/>
          <w:sz w:val="24"/>
          <w:szCs w:val="24"/>
        </w:rPr>
        <w:t>Regulations</w:t>
      </w:r>
      <w:r w:rsidRPr="00FC019D">
        <w:rPr>
          <w:rFonts w:ascii="Calibri" w:hAnsi="Calibri"/>
          <w:sz w:val="24"/>
          <w:szCs w:val="24"/>
        </w:rPr>
        <w:t xml:space="preserve">, were established based on the cost of delivering the services at </w:t>
      </w:r>
      <w:r w:rsidR="000B5B0A">
        <w:rPr>
          <w:rFonts w:ascii="Calibri" w:hAnsi="Calibri"/>
          <w:sz w:val="24"/>
          <w:szCs w:val="24"/>
        </w:rPr>
        <w:t>the</w:t>
      </w:r>
      <w:r w:rsidRPr="00FC019D">
        <w:rPr>
          <w:rFonts w:ascii="Calibri" w:hAnsi="Calibri"/>
          <w:sz w:val="24"/>
          <w:szCs w:val="24"/>
        </w:rPr>
        <w:t xml:space="preserve"> time.</w:t>
      </w:r>
      <w:r w:rsidR="00735805">
        <w:rPr>
          <w:rFonts w:ascii="Calibri" w:hAnsi="Calibri"/>
          <w:sz w:val="24"/>
          <w:szCs w:val="24"/>
        </w:rPr>
        <w:t xml:space="preserve"> </w:t>
      </w:r>
      <w:r w:rsidR="00800320" w:rsidRPr="00832D4E">
        <w:rPr>
          <w:rFonts w:ascii="Calibri" w:hAnsi="Calibri"/>
          <w:sz w:val="24"/>
          <w:szCs w:val="24"/>
        </w:rPr>
        <w:t>The fee</w:t>
      </w:r>
      <w:r>
        <w:rPr>
          <w:rFonts w:ascii="Calibri" w:hAnsi="Calibri"/>
          <w:sz w:val="24"/>
          <w:szCs w:val="24"/>
        </w:rPr>
        <w:t>s</w:t>
      </w:r>
      <w:r w:rsidR="00D121BE">
        <w:rPr>
          <w:rFonts w:ascii="Calibri" w:hAnsi="Calibri"/>
          <w:sz w:val="24"/>
          <w:szCs w:val="24"/>
        </w:rPr>
        <w:t xml:space="preserve"> </w:t>
      </w:r>
      <w:r w:rsidR="00800320" w:rsidRPr="00832D4E">
        <w:rPr>
          <w:rFonts w:ascii="Calibri" w:hAnsi="Calibri"/>
          <w:sz w:val="24"/>
          <w:szCs w:val="24"/>
        </w:rPr>
        <w:t>pres</w:t>
      </w:r>
      <w:r>
        <w:rPr>
          <w:rFonts w:ascii="Calibri" w:hAnsi="Calibri"/>
          <w:sz w:val="24"/>
          <w:szCs w:val="24"/>
        </w:rPr>
        <w:t xml:space="preserve">cribed in the 2005 </w:t>
      </w:r>
      <w:r w:rsidR="00CC341E">
        <w:rPr>
          <w:rFonts w:ascii="Calibri" w:hAnsi="Calibri"/>
          <w:sz w:val="24"/>
          <w:szCs w:val="24"/>
        </w:rPr>
        <w:t>Regulations</w:t>
      </w:r>
      <w:r>
        <w:rPr>
          <w:rFonts w:ascii="Calibri" w:hAnsi="Calibri"/>
          <w:sz w:val="24"/>
          <w:szCs w:val="24"/>
        </w:rPr>
        <w:t xml:space="preserve"> a</w:t>
      </w:r>
      <w:r w:rsidR="00735805">
        <w:rPr>
          <w:rFonts w:ascii="Calibri" w:hAnsi="Calibri"/>
          <w:sz w:val="24"/>
          <w:szCs w:val="24"/>
        </w:rPr>
        <w:t>re</w:t>
      </w:r>
      <w:r w:rsidR="00800320" w:rsidRPr="00832D4E">
        <w:rPr>
          <w:rFonts w:ascii="Calibri" w:hAnsi="Calibri"/>
          <w:sz w:val="24"/>
          <w:szCs w:val="24"/>
        </w:rPr>
        <w:t xml:space="preserve"> $20 for paper applications or $15 for applications made using the </w:t>
      </w:r>
      <w:r w:rsidR="00D121BE">
        <w:rPr>
          <w:rFonts w:ascii="Calibri" w:hAnsi="Calibri"/>
          <w:sz w:val="24"/>
          <w:szCs w:val="24"/>
        </w:rPr>
        <w:t xml:space="preserve">SRO’s </w:t>
      </w:r>
      <w:r w:rsidR="00800320" w:rsidRPr="00832D4E">
        <w:rPr>
          <w:rFonts w:ascii="Calibri" w:hAnsi="Calibri"/>
          <w:sz w:val="24"/>
          <w:szCs w:val="24"/>
        </w:rPr>
        <w:t>Land Tax Clearance Certificate online system.</w:t>
      </w:r>
      <w:r>
        <w:rPr>
          <w:rFonts w:ascii="Calibri" w:hAnsi="Calibri"/>
          <w:sz w:val="24"/>
          <w:szCs w:val="24"/>
        </w:rPr>
        <w:t xml:space="preserve"> </w:t>
      </w:r>
    </w:p>
    <w:p w:rsidR="002D2CF1" w:rsidRDefault="00735805" w:rsidP="001D160F">
      <w:pPr>
        <w:pStyle w:val="Style14ptJustified"/>
        <w:keepLines/>
        <w:spacing w:after="240" w:line="276" w:lineRule="auto"/>
        <w:jc w:val="left"/>
        <w:rPr>
          <w:rFonts w:ascii="Calibri" w:hAnsi="Calibri"/>
          <w:sz w:val="24"/>
          <w:szCs w:val="24"/>
        </w:rPr>
      </w:pPr>
      <w:r w:rsidRPr="00832D4E">
        <w:rPr>
          <w:rFonts w:ascii="Calibri" w:hAnsi="Calibri"/>
          <w:sz w:val="24"/>
          <w:szCs w:val="24"/>
        </w:rPr>
        <w:t>The</w:t>
      </w:r>
      <w:r>
        <w:rPr>
          <w:rFonts w:ascii="Calibri" w:hAnsi="Calibri"/>
          <w:sz w:val="24"/>
          <w:szCs w:val="24"/>
        </w:rPr>
        <w:t>se</w:t>
      </w:r>
      <w:r w:rsidRPr="00832D4E">
        <w:rPr>
          <w:rFonts w:ascii="Calibri" w:hAnsi="Calibri"/>
          <w:sz w:val="24"/>
          <w:szCs w:val="24"/>
        </w:rPr>
        <w:t xml:space="preserve"> fee</w:t>
      </w:r>
      <w:r>
        <w:rPr>
          <w:rFonts w:ascii="Calibri" w:hAnsi="Calibri"/>
          <w:sz w:val="24"/>
          <w:szCs w:val="24"/>
        </w:rPr>
        <w:t>s</w:t>
      </w:r>
      <w:r w:rsidRPr="00832D4E">
        <w:rPr>
          <w:rFonts w:ascii="Calibri" w:hAnsi="Calibri"/>
          <w:sz w:val="24"/>
          <w:szCs w:val="24"/>
        </w:rPr>
        <w:t xml:space="preserve"> </w:t>
      </w:r>
      <w:r w:rsidRPr="00FC019D">
        <w:rPr>
          <w:rFonts w:ascii="Calibri" w:hAnsi="Calibri"/>
          <w:sz w:val="24"/>
          <w:szCs w:val="24"/>
        </w:rPr>
        <w:t xml:space="preserve">were set </w:t>
      </w:r>
      <w:r>
        <w:rPr>
          <w:rFonts w:ascii="Calibri" w:hAnsi="Calibri"/>
          <w:sz w:val="24"/>
          <w:szCs w:val="24"/>
        </w:rPr>
        <w:t>over 10 years ago</w:t>
      </w:r>
      <w:r w:rsidR="00CE139F">
        <w:rPr>
          <w:rFonts w:ascii="Calibri" w:hAnsi="Calibri"/>
          <w:sz w:val="24"/>
          <w:szCs w:val="24"/>
        </w:rPr>
        <w:t xml:space="preserve"> and at a time when the </w:t>
      </w:r>
      <w:r>
        <w:rPr>
          <w:rFonts w:ascii="Calibri" w:hAnsi="Calibri"/>
          <w:sz w:val="24"/>
          <w:szCs w:val="24"/>
        </w:rPr>
        <w:t>SRO</w:t>
      </w:r>
      <w:r w:rsidR="00CE139F">
        <w:rPr>
          <w:rFonts w:ascii="Calibri" w:hAnsi="Calibri"/>
          <w:sz w:val="24"/>
          <w:szCs w:val="24"/>
        </w:rPr>
        <w:t xml:space="preserve"> had just </w:t>
      </w:r>
      <w:r>
        <w:rPr>
          <w:rFonts w:ascii="Calibri" w:hAnsi="Calibri"/>
          <w:sz w:val="24"/>
          <w:szCs w:val="24"/>
        </w:rPr>
        <w:t>introduc</w:t>
      </w:r>
      <w:r w:rsidR="00CE139F">
        <w:rPr>
          <w:rFonts w:ascii="Calibri" w:hAnsi="Calibri"/>
          <w:sz w:val="24"/>
          <w:szCs w:val="24"/>
        </w:rPr>
        <w:t>ed</w:t>
      </w:r>
      <w:r>
        <w:rPr>
          <w:rFonts w:ascii="Calibri" w:hAnsi="Calibri"/>
          <w:sz w:val="24"/>
          <w:szCs w:val="24"/>
        </w:rPr>
        <w:t xml:space="preserve"> </w:t>
      </w:r>
      <w:r w:rsidR="002D2CF1" w:rsidRPr="00832D4E">
        <w:rPr>
          <w:rFonts w:ascii="Calibri" w:hAnsi="Calibri"/>
          <w:sz w:val="24"/>
          <w:szCs w:val="24"/>
        </w:rPr>
        <w:t>the Land Tax Clearance Certificate online system</w:t>
      </w:r>
      <w:r>
        <w:rPr>
          <w:rFonts w:ascii="Calibri" w:hAnsi="Calibri"/>
          <w:sz w:val="24"/>
          <w:szCs w:val="24"/>
        </w:rPr>
        <w:t xml:space="preserve">. </w:t>
      </w:r>
      <w:r w:rsidR="002D2CF1" w:rsidRPr="00FC019D">
        <w:rPr>
          <w:rFonts w:ascii="Calibri" w:hAnsi="Calibri"/>
          <w:sz w:val="24"/>
          <w:szCs w:val="24"/>
        </w:rPr>
        <w:t>As a result</w:t>
      </w:r>
      <w:r w:rsidR="002D2CF1">
        <w:rPr>
          <w:rFonts w:ascii="Calibri" w:hAnsi="Calibri"/>
          <w:sz w:val="24"/>
          <w:szCs w:val="24"/>
        </w:rPr>
        <w:t xml:space="preserve"> of </w:t>
      </w:r>
      <w:r w:rsidR="00162550">
        <w:rPr>
          <w:rFonts w:ascii="Calibri" w:hAnsi="Calibri"/>
          <w:sz w:val="24"/>
          <w:szCs w:val="24"/>
        </w:rPr>
        <w:t xml:space="preserve">increased take up of the online system and </w:t>
      </w:r>
      <w:r w:rsidR="002D2CF1">
        <w:rPr>
          <w:rFonts w:ascii="Calibri" w:hAnsi="Calibri"/>
          <w:sz w:val="24"/>
          <w:szCs w:val="24"/>
        </w:rPr>
        <w:t>incremental cost</w:t>
      </w:r>
      <w:r w:rsidR="002D2CF1" w:rsidRPr="002D2CF1">
        <w:rPr>
          <w:rFonts w:ascii="Calibri" w:hAnsi="Calibri"/>
          <w:sz w:val="24"/>
          <w:szCs w:val="24"/>
        </w:rPr>
        <w:t xml:space="preserve"> </w:t>
      </w:r>
      <w:r w:rsidR="002D2CF1">
        <w:rPr>
          <w:rFonts w:ascii="Calibri" w:hAnsi="Calibri"/>
          <w:sz w:val="24"/>
          <w:szCs w:val="24"/>
        </w:rPr>
        <w:t>increases during this time</w:t>
      </w:r>
      <w:r w:rsidR="002D2CF1" w:rsidRPr="00FC019D">
        <w:rPr>
          <w:rFonts w:ascii="Calibri" w:hAnsi="Calibri"/>
          <w:sz w:val="24"/>
          <w:szCs w:val="24"/>
        </w:rPr>
        <w:t>, the cost</w:t>
      </w:r>
      <w:r w:rsidR="002D2CF1">
        <w:rPr>
          <w:rFonts w:ascii="Calibri" w:hAnsi="Calibri"/>
          <w:sz w:val="24"/>
          <w:szCs w:val="24"/>
        </w:rPr>
        <w:t xml:space="preserve"> </w:t>
      </w:r>
      <w:r w:rsidR="002D2CF1" w:rsidRPr="00FC019D">
        <w:rPr>
          <w:rFonts w:ascii="Calibri" w:hAnsi="Calibri"/>
          <w:sz w:val="24"/>
          <w:szCs w:val="24"/>
        </w:rPr>
        <w:t xml:space="preserve">to </w:t>
      </w:r>
      <w:r w:rsidR="002D2CF1">
        <w:rPr>
          <w:rFonts w:ascii="Calibri" w:hAnsi="Calibri"/>
          <w:sz w:val="24"/>
          <w:szCs w:val="24"/>
        </w:rPr>
        <w:t>the SRO</w:t>
      </w:r>
      <w:r w:rsidR="002D2CF1" w:rsidRPr="00FC019D">
        <w:rPr>
          <w:rFonts w:ascii="Calibri" w:hAnsi="Calibri"/>
          <w:sz w:val="24"/>
          <w:szCs w:val="24"/>
        </w:rPr>
        <w:t xml:space="preserve"> </w:t>
      </w:r>
      <w:r w:rsidR="002D2CF1">
        <w:rPr>
          <w:rFonts w:ascii="Calibri" w:hAnsi="Calibri"/>
          <w:sz w:val="24"/>
          <w:szCs w:val="24"/>
        </w:rPr>
        <w:t>in</w:t>
      </w:r>
      <w:r w:rsidR="002D2CF1" w:rsidRPr="00FC019D">
        <w:rPr>
          <w:rFonts w:ascii="Calibri" w:hAnsi="Calibri"/>
          <w:sz w:val="24"/>
          <w:szCs w:val="24"/>
        </w:rPr>
        <w:t xml:space="preserve"> providing </w:t>
      </w:r>
      <w:r w:rsidR="002D2CF1">
        <w:rPr>
          <w:rFonts w:ascii="Calibri" w:hAnsi="Calibri"/>
          <w:sz w:val="24"/>
          <w:szCs w:val="24"/>
        </w:rPr>
        <w:t>this</w:t>
      </w:r>
      <w:r w:rsidR="002D2CF1" w:rsidRPr="00FC019D">
        <w:rPr>
          <w:rFonts w:ascii="Calibri" w:hAnsi="Calibri"/>
          <w:sz w:val="24"/>
          <w:szCs w:val="24"/>
        </w:rPr>
        <w:t xml:space="preserve"> service </w:t>
      </w:r>
      <w:r w:rsidR="002D2CF1">
        <w:rPr>
          <w:rFonts w:ascii="Calibri" w:hAnsi="Calibri"/>
          <w:sz w:val="24"/>
          <w:szCs w:val="24"/>
        </w:rPr>
        <w:t>has moderately increased</w:t>
      </w:r>
      <w:r w:rsidR="002D2CF1" w:rsidRPr="00FC019D">
        <w:rPr>
          <w:rFonts w:ascii="Calibri" w:hAnsi="Calibri"/>
          <w:sz w:val="24"/>
          <w:szCs w:val="24"/>
        </w:rPr>
        <w:t xml:space="preserve"> above what is currently </w:t>
      </w:r>
      <w:r w:rsidR="002D2CF1">
        <w:rPr>
          <w:rFonts w:ascii="Calibri" w:hAnsi="Calibri"/>
          <w:sz w:val="24"/>
          <w:szCs w:val="24"/>
        </w:rPr>
        <w:t xml:space="preserve">being </w:t>
      </w:r>
      <w:r w:rsidR="002D2CF1" w:rsidRPr="00FC019D">
        <w:rPr>
          <w:rFonts w:ascii="Calibri" w:hAnsi="Calibri"/>
          <w:sz w:val="24"/>
          <w:szCs w:val="24"/>
        </w:rPr>
        <w:t>recovered.</w:t>
      </w:r>
      <w:r w:rsidR="002D2CF1">
        <w:rPr>
          <w:rFonts w:ascii="Calibri" w:hAnsi="Calibri"/>
          <w:sz w:val="24"/>
          <w:szCs w:val="24"/>
        </w:rPr>
        <w:t xml:space="preserve"> </w:t>
      </w:r>
    </w:p>
    <w:p w:rsidR="00C50096" w:rsidRDefault="00C50096" w:rsidP="001D160F">
      <w:pPr>
        <w:pStyle w:val="Style14ptJustified"/>
        <w:keepLines/>
        <w:spacing w:after="240" w:line="276" w:lineRule="auto"/>
        <w:jc w:val="left"/>
        <w:rPr>
          <w:rFonts w:ascii="Calibri" w:hAnsi="Calibri"/>
          <w:sz w:val="24"/>
          <w:szCs w:val="24"/>
        </w:rPr>
      </w:pPr>
    </w:p>
    <w:p w:rsidR="002F1E74" w:rsidRPr="006326F6" w:rsidRDefault="00AC0F3E" w:rsidP="001D160F">
      <w:pPr>
        <w:pStyle w:val="Heading2"/>
        <w:spacing w:after="240" w:line="276" w:lineRule="auto"/>
        <w:rPr>
          <w:rFonts w:asciiTheme="minorHAnsi" w:eastAsia="Times New Roman" w:hAnsiTheme="minorHAnsi" w:cs="Times New Roman"/>
          <w:color w:val="auto"/>
          <w:sz w:val="28"/>
          <w:szCs w:val="22"/>
        </w:rPr>
      </w:pPr>
      <w:bookmarkStart w:id="9" w:name="_Toc432510180"/>
      <w:r w:rsidRPr="006326F6">
        <w:rPr>
          <w:rFonts w:asciiTheme="minorHAnsi" w:eastAsia="Times New Roman" w:hAnsiTheme="minorHAnsi" w:cs="Times New Roman"/>
          <w:color w:val="auto"/>
          <w:sz w:val="28"/>
          <w:szCs w:val="22"/>
        </w:rPr>
        <w:lastRenderedPageBreak/>
        <w:t xml:space="preserve">4.2. </w:t>
      </w:r>
      <w:r w:rsidR="00CB3271" w:rsidRPr="006326F6">
        <w:rPr>
          <w:rFonts w:asciiTheme="minorHAnsi" w:eastAsia="Times New Roman" w:hAnsiTheme="minorHAnsi" w:cs="Times New Roman"/>
          <w:color w:val="auto"/>
          <w:sz w:val="28"/>
          <w:szCs w:val="22"/>
        </w:rPr>
        <w:tab/>
      </w:r>
      <w:r w:rsidR="002F1E74" w:rsidRPr="006326F6">
        <w:rPr>
          <w:rFonts w:asciiTheme="minorHAnsi" w:eastAsia="Times New Roman" w:hAnsiTheme="minorHAnsi" w:cs="Times New Roman"/>
          <w:color w:val="auto"/>
          <w:sz w:val="28"/>
          <w:szCs w:val="22"/>
        </w:rPr>
        <w:t>Cost-recovery principl</w:t>
      </w:r>
      <w:r w:rsidR="00DB2AE9" w:rsidRPr="006326F6">
        <w:rPr>
          <w:rFonts w:asciiTheme="minorHAnsi" w:eastAsia="Times New Roman" w:hAnsiTheme="minorHAnsi" w:cs="Times New Roman"/>
          <w:color w:val="auto"/>
          <w:sz w:val="28"/>
          <w:szCs w:val="22"/>
        </w:rPr>
        <w:t>e</w:t>
      </w:r>
      <w:r w:rsidR="002F1E74" w:rsidRPr="006326F6">
        <w:rPr>
          <w:rFonts w:asciiTheme="minorHAnsi" w:eastAsia="Times New Roman" w:hAnsiTheme="minorHAnsi" w:cs="Times New Roman"/>
          <w:color w:val="auto"/>
          <w:sz w:val="28"/>
          <w:szCs w:val="22"/>
        </w:rPr>
        <w:t>s</w:t>
      </w:r>
      <w:bookmarkEnd w:id="9"/>
    </w:p>
    <w:p w:rsidR="00350B52" w:rsidRPr="00350B52" w:rsidRDefault="00350B52" w:rsidP="001D160F">
      <w:pPr>
        <w:pStyle w:val="Style14ptJustified"/>
        <w:keepLines/>
        <w:spacing w:after="240" w:line="276" w:lineRule="auto"/>
        <w:jc w:val="left"/>
        <w:rPr>
          <w:rFonts w:ascii="Calibri" w:hAnsi="Calibri"/>
          <w:sz w:val="24"/>
          <w:szCs w:val="24"/>
        </w:rPr>
      </w:pPr>
      <w:r w:rsidRPr="00350B52">
        <w:rPr>
          <w:rFonts w:ascii="Calibri" w:hAnsi="Calibri"/>
          <w:sz w:val="24"/>
          <w:szCs w:val="24"/>
        </w:rPr>
        <w:t>Cost</w:t>
      </w:r>
      <w:r w:rsidR="00001337">
        <w:rPr>
          <w:rFonts w:ascii="Calibri" w:hAnsi="Calibri"/>
          <w:sz w:val="24"/>
          <w:szCs w:val="24"/>
        </w:rPr>
        <w:t xml:space="preserve"> </w:t>
      </w:r>
      <w:r w:rsidRPr="00350B52">
        <w:rPr>
          <w:rFonts w:ascii="Calibri" w:hAnsi="Calibri"/>
          <w:sz w:val="24"/>
          <w:szCs w:val="24"/>
        </w:rPr>
        <w:t>recovery is the recuperation of the costs of government</w:t>
      </w:r>
      <w:r w:rsidR="003E5B08">
        <w:rPr>
          <w:rFonts w:ascii="Calibri" w:hAnsi="Calibri"/>
          <w:sz w:val="24"/>
          <w:szCs w:val="24"/>
        </w:rPr>
        <w:t xml:space="preserve"> </w:t>
      </w:r>
      <w:r w:rsidRPr="00350B52">
        <w:rPr>
          <w:rFonts w:ascii="Calibri" w:hAnsi="Calibri"/>
          <w:sz w:val="24"/>
          <w:szCs w:val="24"/>
        </w:rPr>
        <w:t>provided or funded</w:t>
      </w:r>
      <w:r>
        <w:rPr>
          <w:rFonts w:ascii="Calibri" w:hAnsi="Calibri"/>
          <w:sz w:val="24"/>
          <w:szCs w:val="24"/>
        </w:rPr>
        <w:t xml:space="preserve"> </w:t>
      </w:r>
      <w:r w:rsidRPr="00350B52">
        <w:rPr>
          <w:rFonts w:ascii="Calibri" w:hAnsi="Calibri"/>
          <w:sz w:val="24"/>
          <w:szCs w:val="24"/>
        </w:rPr>
        <w:t>products, services or activities that</w:t>
      </w:r>
      <w:r w:rsidR="003E5B08">
        <w:rPr>
          <w:rFonts w:ascii="Calibri" w:hAnsi="Calibri"/>
          <w:sz w:val="24"/>
          <w:szCs w:val="24"/>
        </w:rPr>
        <w:t xml:space="preserve"> </w:t>
      </w:r>
      <w:r w:rsidRPr="00350B52">
        <w:rPr>
          <w:rFonts w:ascii="Calibri" w:hAnsi="Calibri"/>
          <w:sz w:val="24"/>
          <w:szCs w:val="24"/>
        </w:rPr>
        <w:t>provide</w:t>
      </w:r>
      <w:r w:rsidR="003E5B08" w:rsidRPr="00350B52">
        <w:rPr>
          <w:rFonts w:ascii="Calibri" w:hAnsi="Calibri"/>
          <w:sz w:val="24"/>
          <w:szCs w:val="24"/>
        </w:rPr>
        <w:t xml:space="preserve">, at least in part, </w:t>
      </w:r>
      <w:r w:rsidRPr="00350B52">
        <w:rPr>
          <w:rFonts w:ascii="Calibri" w:hAnsi="Calibri"/>
          <w:sz w:val="24"/>
          <w:szCs w:val="24"/>
        </w:rPr>
        <w:t>private benefits to</w:t>
      </w:r>
      <w:r>
        <w:rPr>
          <w:rFonts w:ascii="Calibri" w:hAnsi="Calibri"/>
          <w:sz w:val="24"/>
          <w:szCs w:val="24"/>
        </w:rPr>
        <w:t xml:space="preserve"> </w:t>
      </w:r>
      <w:r w:rsidR="003E5B08">
        <w:rPr>
          <w:rFonts w:ascii="Calibri" w:hAnsi="Calibri"/>
          <w:sz w:val="24"/>
          <w:szCs w:val="24"/>
        </w:rPr>
        <w:t>individuals, entities or groups</w:t>
      </w:r>
      <w:r w:rsidRPr="00350B52">
        <w:rPr>
          <w:rFonts w:ascii="Calibri" w:hAnsi="Calibri"/>
          <w:sz w:val="24"/>
          <w:szCs w:val="24"/>
        </w:rPr>
        <w:t>. Cost</w:t>
      </w:r>
      <w:r>
        <w:rPr>
          <w:rFonts w:ascii="Calibri" w:hAnsi="Calibri"/>
          <w:sz w:val="24"/>
          <w:szCs w:val="24"/>
        </w:rPr>
        <w:t xml:space="preserve"> </w:t>
      </w:r>
      <w:r w:rsidRPr="00350B52">
        <w:rPr>
          <w:rFonts w:ascii="Calibri" w:hAnsi="Calibri"/>
          <w:sz w:val="24"/>
          <w:szCs w:val="24"/>
        </w:rPr>
        <w:t xml:space="preserve">recovery is a method of recovering all or </w:t>
      </w:r>
      <w:r w:rsidR="00890EFC">
        <w:rPr>
          <w:rFonts w:ascii="Calibri" w:hAnsi="Calibri"/>
          <w:sz w:val="24"/>
          <w:szCs w:val="24"/>
        </w:rPr>
        <w:t>part</w:t>
      </w:r>
      <w:r w:rsidRPr="00350B52">
        <w:rPr>
          <w:rFonts w:ascii="Calibri" w:hAnsi="Calibri"/>
          <w:sz w:val="24"/>
          <w:szCs w:val="24"/>
        </w:rPr>
        <w:t xml:space="preserve"> of the cost of particular activities</w:t>
      </w:r>
      <w:r>
        <w:rPr>
          <w:rFonts w:ascii="Calibri" w:hAnsi="Calibri"/>
          <w:sz w:val="24"/>
          <w:szCs w:val="24"/>
        </w:rPr>
        <w:t xml:space="preserve"> </w:t>
      </w:r>
      <w:r w:rsidRPr="00350B52">
        <w:rPr>
          <w:rFonts w:ascii="Calibri" w:hAnsi="Calibri"/>
          <w:sz w:val="24"/>
          <w:szCs w:val="24"/>
        </w:rPr>
        <w:t>undertaken by government agencies from individuals or businesses, based on the</w:t>
      </w:r>
      <w:r>
        <w:rPr>
          <w:rFonts w:ascii="Calibri" w:hAnsi="Calibri"/>
          <w:sz w:val="24"/>
          <w:szCs w:val="24"/>
        </w:rPr>
        <w:t xml:space="preserve"> </w:t>
      </w:r>
      <w:r w:rsidR="003E5B08">
        <w:rPr>
          <w:rFonts w:ascii="Calibri" w:hAnsi="Calibri"/>
          <w:sz w:val="24"/>
          <w:szCs w:val="24"/>
        </w:rPr>
        <w:t>user</w:t>
      </w:r>
      <w:r w:rsidRPr="00350B52">
        <w:rPr>
          <w:rFonts w:ascii="Calibri" w:hAnsi="Calibri"/>
          <w:sz w:val="24"/>
          <w:szCs w:val="24"/>
        </w:rPr>
        <w:t xml:space="preserve"> pays principle. </w:t>
      </w:r>
    </w:p>
    <w:p w:rsidR="00350B52" w:rsidRPr="00350B52" w:rsidRDefault="00350B52" w:rsidP="001D160F">
      <w:pPr>
        <w:pStyle w:val="Style14ptJustified"/>
        <w:keepLines/>
        <w:spacing w:after="240" w:line="276" w:lineRule="auto"/>
        <w:jc w:val="left"/>
        <w:rPr>
          <w:rFonts w:ascii="Calibri" w:hAnsi="Calibri"/>
          <w:sz w:val="24"/>
          <w:szCs w:val="24"/>
        </w:rPr>
      </w:pPr>
      <w:r w:rsidRPr="00350B52">
        <w:rPr>
          <w:rFonts w:ascii="Calibri" w:hAnsi="Calibri"/>
          <w:sz w:val="24"/>
          <w:szCs w:val="24"/>
        </w:rPr>
        <w:t>The task of setting cost recovery fees involves determining whether to</w:t>
      </w:r>
      <w:r>
        <w:rPr>
          <w:rFonts w:ascii="Calibri" w:hAnsi="Calibri"/>
          <w:sz w:val="24"/>
          <w:szCs w:val="24"/>
        </w:rPr>
        <w:t xml:space="preserve"> </w:t>
      </w:r>
      <w:r w:rsidRPr="00350B52">
        <w:rPr>
          <w:rFonts w:ascii="Calibri" w:hAnsi="Calibri"/>
          <w:sz w:val="24"/>
          <w:szCs w:val="24"/>
        </w:rPr>
        <w:t>recover costs from users or others who benefit; those whose actions give rise to it; or</w:t>
      </w:r>
      <w:r>
        <w:rPr>
          <w:rFonts w:ascii="Calibri" w:hAnsi="Calibri"/>
          <w:sz w:val="24"/>
          <w:szCs w:val="24"/>
        </w:rPr>
        <w:t xml:space="preserve"> </w:t>
      </w:r>
      <w:r w:rsidRPr="00350B52">
        <w:rPr>
          <w:rFonts w:ascii="Calibri" w:hAnsi="Calibri"/>
          <w:sz w:val="24"/>
          <w:szCs w:val="24"/>
        </w:rPr>
        <w:t>taxpayers more generally. Whether costs should be user pays or more generally</w:t>
      </w:r>
      <w:r>
        <w:rPr>
          <w:rFonts w:ascii="Calibri" w:hAnsi="Calibri"/>
          <w:sz w:val="24"/>
          <w:szCs w:val="24"/>
        </w:rPr>
        <w:t xml:space="preserve"> </w:t>
      </w:r>
      <w:r w:rsidRPr="00350B52">
        <w:rPr>
          <w:rFonts w:ascii="Calibri" w:hAnsi="Calibri"/>
          <w:sz w:val="24"/>
          <w:szCs w:val="24"/>
        </w:rPr>
        <w:t>funded by taxpayers depend</w:t>
      </w:r>
      <w:r w:rsidR="00890EFC">
        <w:rPr>
          <w:rFonts w:ascii="Calibri" w:hAnsi="Calibri"/>
          <w:sz w:val="24"/>
          <w:szCs w:val="24"/>
        </w:rPr>
        <w:t>s</w:t>
      </w:r>
      <w:r w:rsidRPr="00350B52">
        <w:rPr>
          <w:rFonts w:ascii="Calibri" w:hAnsi="Calibri"/>
          <w:sz w:val="24"/>
          <w:szCs w:val="24"/>
        </w:rPr>
        <w:t xml:space="preserve"> on the type of activity and the existence of any</w:t>
      </w:r>
      <w:r>
        <w:rPr>
          <w:rFonts w:ascii="Calibri" w:hAnsi="Calibri"/>
          <w:sz w:val="24"/>
          <w:szCs w:val="24"/>
        </w:rPr>
        <w:t xml:space="preserve"> </w:t>
      </w:r>
      <w:r w:rsidRPr="00350B52">
        <w:rPr>
          <w:rFonts w:ascii="Calibri" w:hAnsi="Calibri"/>
          <w:sz w:val="24"/>
          <w:szCs w:val="24"/>
        </w:rPr>
        <w:t>public benefits.</w:t>
      </w:r>
    </w:p>
    <w:p w:rsidR="00776286" w:rsidRDefault="00776286" w:rsidP="00776286">
      <w:pPr>
        <w:pStyle w:val="Style14ptJustified"/>
        <w:keepLines/>
        <w:spacing w:after="240" w:line="276" w:lineRule="auto"/>
        <w:jc w:val="left"/>
        <w:rPr>
          <w:rFonts w:ascii="Calibri" w:hAnsi="Calibri"/>
          <w:sz w:val="24"/>
          <w:szCs w:val="24"/>
        </w:rPr>
      </w:pPr>
      <w:r w:rsidRPr="00490CBC">
        <w:rPr>
          <w:rFonts w:ascii="Calibri" w:hAnsi="Calibri"/>
          <w:sz w:val="24"/>
          <w:szCs w:val="24"/>
        </w:rPr>
        <w:t>Th</w:t>
      </w:r>
      <w:r>
        <w:rPr>
          <w:rFonts w:ascii="Calibri" w:hAnsi="Calibri"/>
          <w:sz w:val="24"/>
          <w:szCs w:val="24"/>
        </w:rPr>
        <w:t>e SRO’s provision of clearance certificates</w:t>
      </w:r>
      <w:r w:rsidRPr="00490CBC">
        <w:rPr>
          <w:rFonts w:ascii="Calibri" w:hAnsi="Calibri"/>
          <w:sz w:val="24"/>
          <w:szCs w:val="24"/>
        </w:rPr>
        <w:t xml:space="preserve"> gives rise to a cost to government (through the </w:t>
      </w:r>
      <w:r>
        <w:rPr>
          <w:rFonts w:ascii="Calibri" w:hAnsi="Calibri"/>
          <w:sz w:val="24"/>
          <w:szCs w:val="24"/>
        </w:rPr>
        <w:t>SRO</w:t>
      </w:r>
      <w:r w:rsidRPr="00490CBC">
        <w:rPr>
          <w:rFonts w:ascii="Calibri" w:hAnsi="Calibri"/>
          <w:sz w:val="24"/>
          <w:szCs w:val="24"/>
        </w:rPr>
        <w:t>) in processing</w:t>
      </w:r>
      <w:r>
        <w:rPr>
          <w:rFonts w:ascii="Calibri" w:hAnsi="Calibri"/>
          <w:sz w:val="24"/>
          <w:szCs w:val="24"/>
        </w:rPr>
        <w:t xml:space="preserve"> the section 105 applications and subsequent issuing of the clearance certificate</w:t>
      </w:r>
      <w:r w:rsidRPr="00490CBC">
        <w:rPr>
          <w:rFonts w:ascii="Calibri" w:hAnsi="Calibri"/>
          <w:sz w:val="24"/>
          <w:szCs w:val="24"/>
        </w:rPr>
        <w:t>.</w:t>
      </w:r>
      <w:r>
        <w:rPr>
          <w:rFonts w:ascii="Calibri" w:hAnsi="Calibri"/>
          <w:sz w:val="24"/>
          <w:szCs w:val="24"/>
        </w:rPr>
        <w:t xml:space="preserve"> T</w:t>
      </w:r>
      <w:r w:rsidRPr="00490CBC">
        <w:rPr>
          <w:rFonts w:ascii="Calibri" w:hAnsi="Calibri"/>
          <w:sz w:val="24"/>
          <w:szCs w:val="24"/>
        </w:rPr>
        <w:t xml:space="preserve">hese activities are </w:t>
      </w:r>
      <w:r>
        <w:rPr>
          <w:rFonts w:ascii="Calibri" w:hAnsi="Calibri"/>
          <w:sz w:val="24"/>
          <w:szCs w:val="24"/>
        </w:rPr>
        <w:t xml:space="preserve">therefore </w:t>
      </w:r>
      <w:r w:rsidRPr="00490CBC">
        <w:rPr>
          <w:rFonts w:ascii="Calibri" w:hAnsi="Calibri"/>
          <w:sz w:val="24"/>
          <w:szCs w:val="24"/>
        </w:rPr>
        <w:t>subject to cost recovery consideration.</w:t>
      </w:r>
    </w:p>
    <w:p w:rsidR="00350B52" w:rsidRPr="00350B52" w:rsidRDefault="00350B52" w:rsidP="001D160F">
      <w:pPr>
        <w:pStyle w:val="Style14ptJustified"/>
        <w:keepLines/>
        <w:spacing w:after="240" w:line="276" w:lineRule="auto"/>
        <w:jc w:val="left"/>
        <w:rPr>
          <w:rFonts w:ascii="Calibri" w:hAnsi="Calibri"/>
          <w:sz w:val="24"/>
          <w:szCs w:val="24"/>
        </w:rPr>
      </w:pPr>
      <w:r w:rsidRPr="00350B52">
        <w:rPr>
          <w:rFonts w:ascii="Calibri" w:hAnsi="Calibri"/>
          <w:sz w:val="24"/>
          <w:szCs w:val="24"/>
        </w:rPr>
        <w:t>The Cost Recovery Guidelines apply to cost</w:t>
      </w:r>
      <w:r w:rsidR="000B5B0A">
        <w:rPr>
          <w:rFonts w:ascii="Calibri" w:hAnsi="Calibri"/>
          <w:sz w:val="24"/>
          <w:szCs w:val="24"/>
        </w:rPr>
        <w:t xml:space="preserve"> </w:t>
      </w:r>
      <w:r w:rsidRPr="00350B52">
        <w:rPr>
          <w:rFonts w:ascii="Calibri" w:hAnsi="Calibri"/>
          <w:sz w:val="24"/>
          <w:szCs w:val="24"/>
        </w:rPr>
        <w:t>recovery arrangements of government</w:t>
      </w:r>
      <w:r>
        <w:rPr>
          <w:rFonts w:ascii="Calibri" w:hAnsi="Calibri"/>
          <w:sz w:val="24"/>
          <w:szCs w:val="24"/>
        </w:rPr>
        <w:t xml:space="preserve"> </w:t>
      </w:r>
      <w:r w:rsidRPr="00350B52">
        <w:rPr>
          <w:rFonts w:ascii="Calibri" w:hAnsi="Calibri"/>
          <w:sz w:val="24"/>
          <w:szCs w:val="24"/>
        </w:rPr>
        <w:t>departments and agencies, and include the recovery of the costs incurred by the</w:t>
      </w:r>
      <w:r>
        <w:rPr>
          <w:rFonts w:ascii="Calibri" w:hAnsi="Calibri"/>
          <w:sz w:val="24"/>
          <w:szCs w:val="24"/>
        </w:rPr>
        <w:t xml:space="preserve"> </w:t>
      </w:r>
      <w:r w:rsidRPr="00350B52">
        <w:rPr>
          <w:rFonts w:ascii="Calibri" w:hAnsi="Calibri"/>
          <w:sz w:val="24"/>
          <w:szCs w:val="24"/>
        </w:rPr>
        <w:t>Government in providing goods and services.</w:t>
      </w:r>
    </w:p>
    <w:p w:rsidR="00864C37" w:rsidRDefault="00350B52" w:rsidP="001D160F">
      <w:pPr>
        <w:pStyle w:val="Style14ptJustified"/>
        <w:keepLines/>
        <w:spacing w:after="240" w:line="276" w:lineRule="auto"/>
        <w:jc w:val="left"/>
        <w:rPr>
          <w:rFonts w:ascii="Calibri" w:hAnsi="Calibri"/>
          <w:sz w:val="24"/>
          <w:szCs w:val="24"/>
        </w:rPr>
      </w:pPr>
      <w:r w:rsidRPr="00350B52">
        <w:rPr>
          <w:rFonts w:ascii="Calibri" w:hAnsi="Calibri"/>
          <w:sz w:val="24"/>
          <w:szCs w:val="24"/>
        </w:rPr>
        <w:t>Victorian Government policy is that</w:t>
      </w:r>
      <w:r>
        <w:rPr>
          <w:rFonts w:ascii="Calibri" w:hAnsi="Calibri"/>
          <w:sz w:val="24"/>
          <w:szCs w:val="24"/>
        </w:rPr>
        <w:t xml:space="preserve"> </w:t>
      </w:r>
      <w:r w:rsidRPr="00350B52">
        <w:rPr>
          <w:rFonts w:ascii="Calibri" w:hAnsi="Calibri"/>
          <w:sz w:val="24"/>
          <w:szCs w:val="24"/>
        </w:rPr>
        <w:t>regulatory fees and user charges should generally be set on a full cost</w:t>
      </w:r>
      <w:r w:rsidR="000B5B0A">
        <w:rPr>
          <w:rFonts w:ascii="Calibri" w:hAnsi="Calibri"/>
          <w:sz w:val="24"/>
          <w:szCs w:val="24"/>
        </w:rPr>
        <w:t xml:space="preserve"> </w:t>
      </w:r>
      <w:r w:rsidRPr="00350B52">
        <w:rPr>
          <w:rFonts w:ascii="Calibri" w:hAnsi="Calibri"/>
          <w:sz w:val="24"/>
          <w:szCs w:val="24"/>
        </w:rPr>
        <w:t>recovery</w:t>
      </w:r>
      <w:r>
        <w:rPr>
          <w:rFonts w:ascii="Calibri" w:hAnsi="Calibri"/>
          <w:sz w:val="24"/>
          <w:szCs w:val="24"/>
        </w:rPr>
        <w:t xml:space="preserve"> </w:t>
      </w:r>
      <w:r w:rsidR="00890EFC">
        <w:rPr>
          <w:rFonts w:ascii="Calibri" w:hAnsi="Calibri"/>
          <w:sz w:val="24"/>
          <w:szCs w:val="24"/>
        </w:rPr>
        <w:t>basis.</w:t>
      </w:r>
      <w:r w:rsidRPr="00350B52">
        <w:rPr>
          <w:rFonts w:ascii="Calibri" w:hAnsi="Calibri"/>
          <w:sz w:val="24"/>
          <w:szCs w:val="24"/>
        </w:rPr>
        <w:t xml:space="preserve"> However, if it is determined that full cost</w:t>
      </w:r>
      <w:r w:rsidR="000B5B0A">
        <w:rPr>
          <w:rFonts w:ascii="Calibri" w:hAnsi="Calibri"/>
          <w:sz w:val="24"/>
          <w:szCs w:val="24"/>
        </w:rPr>
        <w:t xml:space="preserve"> </w:t>
      </w:r>
      <w:r w:rsidRPr="00350B52">
        <w:rPr>
          <w:rFonts w:ascii="Calibri" w:hAnsi="Calibri"/>
          <w:sz w:val="24"/>
          <w:szCs w:val="24"/>
        </w:rPr>
        <w:t>recovery is not consistent with other</w:t>
      </w:r>
      <w:r>
        <w:rPr>
          <w:rFonts w:ascii="Calibri" w:hAnsi="Calibri"/>
          <w:sz w:val="24"/>
          <w:szCs w:val="24"/>
        </w:rPr>
        <w:t xml:space="preserve"> </w:t>
      </w:r>
      <w:r w:rsidRPr="00350B52">
        <w:rPr>
          <w:rFonts w:ascii="Calibri" w:hAnsi="Calibri"/>
          <w:sz w:val="24"/>
          <w:szCs w:val="24"/>
        </w:rPr>
        <w:t xml:space="preserve">policy objectives of the </w:t>
      </w:r>
      <w:r w:rsidR="00A46888" w:rsidRPr="00350B52">
        <w:rPr>
          <w:rFonts w:ascii="Calibri" w:hAnsi="Calibri"/>
          <w:sz w:val="24"/>
          <w:szCs w:val="24"/>
        </w:rPr>
        <w:t>government</w:t>
      </w:r>
      <w:r w:rsidR="00776286">
        <w:rPr>
          <w:rFonts w:ascii="Calibri" w:hAnsi="Calibri"/>
          <w:sz w:val="24"/>
          <w:szCs w:val="24"/>
        </w:rPr>
        <w:t>,</w:t>
      </w:r>
      <w:r w:rsidRPr="00350B52">
        <w:rPr>
          <w:rFonts w:ascii="Calibri" w:hAnsi="Calibri"/>
          <w:sz w:val="24"/>
          <w:szCs w:val="24"/>
        </w:rPr>
        <w:t xml:space="preserve"> it may not be </w:t>
      </w:r>
      <w:r w:rsidR="00A46888">
        <w:rPr>
          <w:rFonts w:ascii="Calibri" w:hAnsi="Calibri"/>
          <w:sz w:val="24"/>
          <w:szCs w:val="24"/>
        </w:rPr>
        <w:t xml:space="preserve">considered </w:t>
      </w:r>
      <w:r w:rsidRPr="00350B52">
        <w:rPr>
          <w:rFonts w:ascii="Calibri" w:hAnsi="Calibri"/>
          <w:sz w:val="24"/>
          <w:szCs w:val="24"/>
        </w:rPr>
        <w:t>appropriate to introduce a full cost</w:t>
      </w:r>
      <w:r w:rsidR="000B5B0A">
        <w:rPr>
          <w:rFonts w:ascii="Calibri" w:hAnsi="Calibri"/>
          <w:sz w:val="24"/>
          <w:szCs w:val="24"/>
        </w:rPr>
        <w:t xml:space="preserve"> </w:t>
      </w:r>
      <w:r w:rsidRPr="00350B52">
        <w:rPr>
          <w:rFonts w:ascii="Calibri" w:hAnsi="Calibri"/>
          <w:sz w:val="24"/>
          <w:szCs w:val="24"/>
        </w:rPr>
        <w:t>recovery</w:t>
      </w:r>
      <w:r>
        <w:rPr>
          <w:rFonts w:ascii="Calibri" w:hAnsi="Calibri"/>
          <w:sz w:val="24"/>
          <w:szCs w:val="24"/>
        </w:rPr>
        <w:t xml:space="preserve"> </w:t>
      </w:r>
      <w:r w:rsidRPr="00350B52">
        <w:rPr>
          <w:rFonts w:ascii="Calibri" w:hAnsi="Calibri"/>
          <w:sz w:val="24"/>
          <w:szCs w:val="24"/>
        </w:rPr>
        <w:t xml:space="preserve">regime. </w:t>
      </w:r>
    </w:p>
    <w:p w:rsidR="00350B52" w:rsidRPr="00350B52" w:rsidRDefault="00350B52" w:rsidP="001D160F">
      <w:pPr>
        <w:pStyle w:val="Style14ptJustified"/>
        <w:keepLines/>
        <w:spacing w:after="240" w:line="276" w:lineRule="auto"/>
        <w:jc w:val="left"/>
        <w:rPr>
          <w:rFonts w:ascii="Calibri" w:hAnsi="Calibri"/>
          <w:sz w:val="24"/>
          <w:szCs w:val="24"/>
        </w:rPr>
      </w:pPr>
      <w:r w:rsidRPr="00350B52">
        <w:rPr>
          <w:rFonts w:ascii="Calibri" w:hAnsi="Calibri"/>
          <w:sz w:val="24"/>
          <w:szCs w:val="24"/>
        </w:rPr>
        <w:t>Consideration may be gi</w:t>
      </w:r>
      <w:r w:rsidR="000B5B0A">
        <w:rPr>
          <w:rFonts w:ascii="Calibri" w:hAnsi="Calibri"/>
          <w:sz w:val="24"/>
          <w:szCs w:val="24"/>
        </w:rPr>
        <w:t xml:space="preserve">ven to a regime of partial cost </w:t>
      </w:r>
      <w:r w:rsidRPr="00350B52">
        <w:rPr>
          <w:rFonts w:ascii="Calibri" w:hAnsi="Calibri"/>
          <w:sz w:val="24"/>
          <w:szCs w:val="24"/>
        </w:rPr>
        <w:t>recovery (if it</w:t>
      </w:r>
      <w:r>
        <w:rPr>
          <w:rFonts w:ascii="Calibri" w:hAnsi="Calibri"/>
          <w:sz w:val="24"/>
          <w:szCs w:val="24"/>
        </w:rPr>
        <w:t xml:space="preserve"> </w:t>
      </w:r>
      <w:r w:rsidRPr="00350B52">
        <w:rPr>
          <w:rFonts w:ascii="Calibri" w:hAnsi="Calibri"/>
          <w:sz w:val="24"/>
          <w:szCs w:val="24"/>
        </w:rPr>
        <w:t>can be demonstrated that a lower than full cost</w:t>
      </w:r>
      <w:r w:rsidR="000B5B0A">
        <w:rPr>
          <w:rFonts w:ascii="Calibri" w:hAnsi="Calibri"/>
          <w:sz w:val="24"/>
          <w:szCs w:val="24"/>
        </w:rPr>
        <w:t xml:space="preserve"> </w:t>
      </w:r>
      <w:r w:rsidRPr="00350B52">
        <w:rPr>
          <w:rFonts w:ascii="Calibri" w:hAnsi="Calibri"/>
          <w:sz w:val="24"/>
          <w:szCs w:val="24"/>
        </w:rPr>
        <w:t>recovery does not jeopardise other</w:t>
      </w:r>
      <w:r>
        <w:rPr>
          <w:rFonts w:ascii="Calibri" w:hAnsi="Calibri"/>
          <w:sz w:val="24"/>
          <w:szCs w:val="24"/>
        </w:rPr>
        <w:t xml:space="preserve"> </w:t>
      </w:r>
      <w:r w:rsidRPr="00350B52">
        <w:rPr>
          <w:rFonts w:ascii="Calibri" w:hAnsi="Calibri"/>
          <w:sz w:val="24"/>
          <w:szCs w:val="24"/>
        </w:rPr>
        <w:t>objectives) and/or to rely on other funding sources (</w:t>
      </w:r>
      <w:r w:rsidR="00A46888">
        <w:rPr>
          <w:rFonts w:ascii="Calibri" w:hAnsi="Calibri"/>
          <w:sz w:val="24"/>
          <w:szCs w:val="24"/>
        </w:rPr>
        <w:t>such as</w:t>
      </w:r>
      <w:r w:rsidRPr="00350B52">
        <w:rPr>
          <w:rFonts w:ascii="Calibri" w:hAnsi="Calibri"/>
          <w:sz w:val="24"/>
          <w:szCs w:val="24"/>
        </w:rPr>
        <w:t xml:space="preserve"> general taxation) to finance</w:t>
      </w:r>
      <w:r>
        <w:rPr>
          <w:rFonts w:ascii="Calibri" w:hAnsi="Calibri"/>
          <w:sz w:val="24"/>
          <w:szCs w:val="24"/>
        </w:rPr>
        <w:t xml:space="preserve"> </w:t>
      </w:r>
      <w:r w:rsidRPr="00350B52">
        <w:rPr>
          <w:rFonts w:ascii="Calibri" w:hAnsi="Calibri"/>
          <w:sz w:val="24"/>
          <w:szCs w:val="24"/>
        </w:rPr>
        <w:t>the activity.</w:t>
      </w:r>
    </w:p>
    <w:p w:rsidR="002F1E74" w:rsidRDefault="00350B52" w:rsidP="001D160F">
      <w:pPr>
        <w:pStyle w:val="Style14ptJustified"/>
        <w:keepLines/>
        <w:spacing w:after="240" w:line="276" w:lineRule="auto"/>
        <w:jc w:val="left"/>
        <w:rPr>
          <w:rFonts w:ascii="Calibri" w:hAnsi="Calibri"/>
          <w:sz w:val="24"/>
          <w:szCs w:val="24"/>
        </w:rPr>
      </w:pPr>
      <w:r w:rsidRPr="00350B52">
        <w:rPr>
          <w:rFonts w:ascii="Calibri" w:hAnsi="Calibri"/>
          <w:sz w:val="24"/>
          <w:szCs w:val="24"/>
        </w:rPr>
        <w:t>When designed and implemented appropriately, the adoption of cost</w:t>
      </w:r>
      <w:r w:rsidR="000B5B0A">
        <w:rPr>
          <w:rFonts w:ascii="Calibri" w:hAnsi="Calibri"/>
          <w:sz w:val="24"/>
          <w:szCs w:val="24"/>
        </w:rPr>
        <w:t xml:space="preserve"> </w:t>
      </w:r>
      <w:r w:rsidRPr="00350B52">
        <w:rPr>
          <w:rFonts w:ascii="Calibri" w:hAnsi="Calibri"/>
          <w:sz w:val="24"/>
          <w:szCs w:val="24"/>
        </w:rPr>
        <w:t>recovery has</w:t>
      </w:r>
      <w:r>
        <w:rPr>
          <w:rFonts w:ascii="Calibri" w:hAnsi="Calibri"/>
          <w:sz w:val="24"/>
          <w:szCs w:val="24"/>
        </w:rPr>
        <w:t xml:space="preserve"> </w:t>
      </w:r>
      <w:r w:rsidRPr="00350B52">
        <w:rPr>
          <w:rFonts w:ascii="Calibri" w:hAnsi="Calibri"/>
          <w:sz w:val="24"/>
          <w:szCs w:val="24"/>
        </w:rPr>
        <w:t xml:space="preserve">the potential to advance efficiency and equity objectives. However, the </w:t>
      </w:r>
      <w:r w:rsidR="00890EFC" w:rsidRPr="00350B52">
        <w:rPr>
          <w:rFonts w:ascii="Calibri" w:hAnsi="Calibri"/>
          <w:sz w:val="24"/>
          <w:szCs w:val="24"/>
        </w:rPr>
        <w:t xml:space="preserve">Cost Recovery Guidelines </w:t>
      </w:r>
      <w:r w:rsidRPr="00350B52">
        <w:rPr>
          <w:rFonts w:ascii="Calibri" w:hAnsi="Calibri"/>
          <w:sz w:val="24"/>
          <w:szCs w:val="24"/>
        </w:rPr>
        <w:t xml:space="preserve">note that </w:t>
      </w:r>
      <w:r w:rsidR="000B5B0A">
        <w:rPr>
          <w:rFonts w:ascii="Calibri" w:hAnsi="Calibri"/>
          <w:sz w:val="24"/>
          <w:szCs w:val="24"/>
        </w:rPr>
        <w:t>‘</w:t>
      </w:r>
      <w:r w:rsidRPr="00350B52">
        <w:rPr>
          <w:rFonts w:ascii="Calibri" w:hAnsi="Calibri"/>
          <w:sz w:val="24"/>
          <w:szCs w:val="24"/>
        </w:rPr>
        <w:t>efficiency and equity considerations may need to be balanced against</w:t>
      </w:r>
      <w:r>
        <w:rPr>
          <w:rFonts w:ascii="Calibri" w:hAnsi="Calibri"/>
          <w:sz w:val="24"/>
          <w:szCs w:val="24"/>
        </w:rPr>
        <w:t xml:space="preserve"> </w:t>
      </w:r>
      <w:r w:rsidRPr="00350B52">
        <w:rPr>
          <w:rFonts w:ascii="Calibri" w:hAnsi="Calibri"/>
          <w:sz w:val="24"/>
          <w:szCs w:val="24"/>
        </w:rPr>
        <w:t>each other in determining the appropriate form of cost</w:t>
      </w:r>
      <w:r w:rsidR="000B5B0A">
        <w:rPr>
          <w:rFonts w:ascii="Calibri" w:hAnsi="Calibri"/>
          <w:sz w:val="24"/>
          <w:szCs w:val="24"/>
        </w:rPr>
        <w:t xml:space="preserve"> </w:t>
      </w:r>
      <w:r w:rsidRPr="00350B52">
        <w:rPr>
          <w:rFonts w:ascii="Calibri" w:hAnsi="Calibri"/>
          <w:sz w:val="24"/>
          <w:szCs w:val="24"/>
        </w:rPr>
        <w:t>recovery</w:t>
      </w:r>
      <w:r w:rsidR="000B5B0A">
        <w:rPr>
          <w:rFonts w:ascii="Calibri" w:hAnsi="Calibri"/>
          <w:sz w:val="24"/>
          <w:szCs w:val="24"/>
        </w:rPr>
        <w:t>’</w:t>
      </w:r>
      <w:r w:rsidRPr="00350B52">
        <w:rPr>
          <w:rFonts w:ascii="Calibri" w:hAnsi="Calibri"/>
          <w:sz w:val="24"/>
          <w:szCs w:val="24"/>
        </w:rPr>
        <w:t>.</w:t>
      </w:r>
    </w:p>
    <w:p w:rsidR="00F42067" w:rsidRPr="00350B52" w:rsidRDefault="00F42067" w:rsidP="001D160F">
      <w:pPr>
        <w:pStyle w:val="Style14ptJustified"/>
        <w:keepLines/>
        <w:spacing w:after="240" w:line="276" w:lineRule="auto"/>
        <w:jc w:val="left"/>
        <w:rPr>
          <w:rFonts w:ascii="Calibri" w:hAnsi="Calibri"/>
          <w:sz w:val="24"/>
          <w:szCs w:val="24"/>
        </w:rPr>
      </w:pPr>
    </w:p>
    <w:p w:rsidR="002E49D7" w:rsidRDefault="002E49D7" w:rsidP="001D160F">
      <w:pPr>
        <w:spacing w:after="240" w:line="276" w:lineRule="auto"/>
        <w:rPr>
          <w:rFonts w:asciiTheme="minorHAnsi" w:hAnsiTheme="minorHAnsi"/>
          <w:b/>
          <w:bCs/>
          <w:sz w:val="28"/>
        </w:rPr>
      </w:pPr>
      <w:r>
        <w:rPr>
          <w:rFonts w:asciiTheme="minorHAnsi" w:hAnsiTheme="minorHAnsi"/>
          <w:sz w:val="28"/>
        </w:rPr>
        <w:br w:type="page"/>
      </w:r>
    </w:p>
    <w:p w:rsidR="007F479E" w:rsidRPr="006326F6" w:rsidRDefault="00AC0F3E" w:rsidP="001D160F">
      <w:pPr>
        <w:pStyle w:val="Heading1"/>
        <w:spacing w:after="240" w:line="276" w:lineRule="auto"/>
        <w:jc w:val="left"/>
        <w:rPr>
          <w:rFonts w:asciiTheme="minorHAnsi" w:hAnsiTheme="minorHAnsi"/>
          <w:sz w:val="32"/>
        </w:rPr>
      </w:pPr>
      <w:bookmarkStart w:id="10" w:name="_Toc432510181"/>
      <w:r w:rsidRPr="006326F6">
        <w:rPr>
          <w:rFonts w:asciiTheme="minorHAnsi" w:hAnsiTheme="minorHAnsi"/>
          <w:sz w:val="32"/>
        </w:rPr>
        <w:lastRenderedPageBreak/>
        <w:t xml:space="preserve">5. </w:t>
      </w:r>
      <w:r w:rsidR="00CB3271" w:rsidRPr="006326F6">
        <w:rPr>
          <w:rFonts w:asciiTheme="minorHAnsi" w:hAnsiTheme="minorHAnsi"/>
          <w:sz w:val="32"/>
        </w:rPr>
        <w:tab/>
      </w:r>
      <w:r w:rsidR="007F479E" w:rsidRPr="006326F6">
        <w:rPr>
          <w:rFonts w:asciiTheme="minorHAnsi" w:hAnsiTheme="minorHAnsi"/>
          <w:sz w:val="32"/>
        </w:rPr>
        <w:t xml:space="preserve">Objective of the proposed </w:t>
      </w:r>
      <w:r w:rsidR="00CC341E" w:rsidRPr="006326F6">
        <w:rPr>
          <w:rFonts w:asciiTheme="minorHAnsi" w:hAnsiTheme="minorHAnsi"/>
          <w:sz w:val="32"/>
        </w:rPr>
        <w:t>Regulation</w:t>
      </w:r>
      <w:bookmarkEnd w:id="10"/>
    </w:p>
    <w:p w:rsidR="00763556" w:rsidRPr="00B77856" w:rsidRDefault="007F479E" w:rsidP="001D160F">
      <w:pPr>
        <w:pStyle w:val="Style14ptJustified"/>
        <w:keepLines/>
        <w:spacing w:after="240" w:line="276" w:lineRule="auto"/>
        <w:jc w:val="left"/>
        <w:rPr>
          <w:rFonts w:ascii="Calibri" w:hAnsi="Calibri"/>
          <w:sz w:val="24"/>
          <w:szCs w:val="24"/>
        </w:rPr>
      </w:pPr>
      <w:r w:rsidRPr="00B77856">
        <w:rPr>
          <w:rFonts w:ascii="Calibri" w:hAnsi="Calibri"/>
          <w:sz w:val="24"/>
          <w:szCs w:val="24"/>
        </w:rPr>
        <w:t xml:space="preserve">The objective of the proposed </w:t>
      </w:r>
      <w:r w:rsidR="00CC341E">
        <w:rPr>
          <w:rFonts w:ascii="Calibri" w:hAnsi="Calibri"/>
          <w:sz w:val="24"/>
          <w:szCs w:val="24"/>
        </w:rPr>
        <w:t>Regulation</w:t>
      </w:r>
      <w:r w:rsidRPr="00B77856">
        <w:rPr>
          <w:rFonts w:ascii="Calibri" w:hAnsi="Calibri"/>
          <w:sz w:val="24"/>
          <w:szCs w:val="24"/>
        </w:rPr>
        <w:t xml:space="preserve"> is to ensure that the costs associated with processing applications for </w:t>
      </w:r>
      <w:r w:rsidR="002444DB" w:rsidRPr="00B77856">
        <w:rPr>
          <w:rFonts w:ascii="Calibri" w:hAnsi="Calibri"/>
          <w:sz w:val="24"/>
          <w:szCs w:val="24"/>
        </w:rPr>
        <w:t>land tax clearance certificates</w:t>
      </w:r>
      <w:r w:rsidRPr="00B77856">
        <w:rPr>
          <w:rFonts w:ascii="Calibri" w:hAnsi="Calibri"/>
          <w:sz w:val="24"/>
          <w:szCs w:val="24"/>
        </w:rPr>
        <w:t xml:space="preserve"> are fully recovered from applicants, consistent with the Cost Recovery Guidelines.</w:t>
      </w:r>
    </w:p>
    <w:p w:rsidR="00162550" w:rsidRPr="00B77856" w:rsidRDefault="00162550" w:rsidP="001D160F">
      <w:pPr>
        <w:pStyle w:val="Style14ptJustified"/>
        <w:keepLines/>
        <w:spacing w:after="240" w:line="276" w:lineRule="auto"/>
        <w:jc w:val="left"/>
        <w:rPr>
          <w:rFonts w:ascii="Calibri" w:hAnsi="Calibri"/>
          <w:sz w:val="24"/>
          <w:szCs w:val="24"/>
        </w:rPr>
      </w:pPr>
    </w:p>
    <w:p w:rsidR="008B2EB8" w:rsidRPr="00B77856" w:rsidRDefault="008B2EB8" w:rsidP="001D160F">
      <w:pPr>
        <w:pStyle w:val="Style14ptJustified"/>
        <w:keepLines/>
        <w:spacing w:after="240" w:line="276" w:lineRule="auto"/>
        <w:jc w:val="left"/>
        <w:rPr>
          <w:rFonts w:ascii="Calibri" w:hAnsi="Calibri"/>
          <w:sz w:val="24"/>
          <w:szCs w:val="24"/>
        </w:rPr>
      </w:pPr>
    </w:p>
    <w:p w:rsidR="008B2EB8" w:rsidRDefault="008B2EB8" w:rsidP="001D160F">
      <w:pPr>
        <w:spacing w:after="240" w:line="276" w:lineRule="auto"/>
        <w:rPr>
          <w:rFonts w:asciiTheme="minorHAnsi" w:hAnsiTheme="minorHAnsi"/>
          <w:sz w:val="22"/>
          <w:szCs w:val="22"/>
        </w:rPr>
      </w:pPr>
    </w:p>
    <w:p w:rsidR="007E1736" w:rsidRDefault="007E1736" w:rsidP="001D160F">
      <w:pPr>
        <w:spacing w:after="240" w:line="276" w:lineRule="auto"/>
        <w:rPr>
          <w:rFonts w:asciiTheme="minorHAnsi" w:hAnsiTheme="minorHAnsi"/>
          <w:b/>
          <w:bCs/>
          <w:sz w:val="28"/>
        </w:rPr>
      </w:pPr>
      <w:r>
        <w:rPr>
          <w:rFonts w:asciiTheme="minorHAnsi" w:hAnsiTheme="minorHAnsi"/>
          <w:sz w:val="28"/>
        </w:rPr>
        <w:br w:type="page"/>
      </w:r>
    </w:p>
    <w:p w:rsidR="001D3507" w:rsidRPr="006326F6" w:rsidRDefault="00AC0F3E" w:rsidP="001D160F">
      <w:pPr>
        <w:pStyle w:val="Heading1"/>
        <w:spacing w:after="240" w:line="276" w:lineRule="auto"/>
        <w:jc w:val="left"/>
        <w:rPr>
          <w:rFonts w:asciiTheme="minorHAnsi" w:hAnsiTheme="minorHAnsi"/>
          <w:sz w:val="32"/>
        </w:rPr>
      </w:pPr>
      <w:bookmarkStart w:id="11" w:name="_Toc432510182"/>
      <w:r w:rsidRPr="006326F6">
        <w:rPr>
          <w:rFonts w:asciiTheme="minorHAnsi" w:hAnsiTheme="minorHAnsi"/>
          <w:sz w:val="32"/>
        </w:rPr>
        <w:lastRenderedPageBreak/>
        <w:t xml:space="preserve">6. </w:t>
      </w:r>
      <w:r w:rsidR="00CB3271" w:rsidRPr="006326F6">
        <w:rPr>
          <w:rFonts w:asciiTheme="minorHAnsi" w:hAnsiTheme="minorHAnsi"/>
          <w:sz w:val="32"/>
        </w:rPr>
        <w:tab/>
      </w:r>
      <w:r w:rsidR="001D3507" w:rsidRPr="006326F6">
        <w:rPr>
          <w:rFonts w:asciiTheme="minorHAnsi" w:hAnsiTheme="minorHAnsi"/>
          <w:sz w:val="32"/>
        </w:rPr>
        <w:t>The Proposed Fee</w:t>
      </w:r>
      <w:bookmarkEnd w:id="11"/>
    </w:p>
    <w:p w:rsidR="006A653D" w:rsidRDefault="006A653D" w:rsidP="001D160F">
      <w:pPr>
        <w:pStyle w:val="Style14ptJustified"/>
        <w:keepLines/>
        <w:spacing w:after="240" w:line="276" w:lineRule="auto"/>
        <w:jc w:val="left"/>
        <w:rPr>
          <w:rFonts w:ascii="Calibri" w:hAnsi="Calibri"/>
          <w:sz w:val="24"/>
          <w:szCs w:val="24"/>
        </w:rPr>
      </w:pPr>
      <w:r>
        <w:rPr>
          <w:rFonts w:ascii="Calibri" w:hAnsi="Calibri"/>
          <w:sz w:val="24"/>
          <w:szCs w:val="24"/>
        </w:rPr>
        <w:t>C</w:t>
      </w:r>
      <w:r w:rsidRPr="00B22DBD">
        <w:rPr>
          <w:rFonts w:ascii="Calibri" w:hAnsi="Calibri"/>
          <w:sz w:val="24"/>
          <w:szCs w:val="24"/>
        </w:rPr>
        <w:t>ost recovery provide</w:t>
      </w:r>
      <w:r>
        <w:rPr>
          <w:rFonts w:ascii="Calibri" w:hAnsi="Calibri"/>
          <w:sz w:val="24"/>
          <w:szCs w:val="24"/>
        </w:rPr>
        <w:t>s</w:t>
      </w:r>
      <w:r w:rsidRPr="00B22DBD">
        <w:rPr>
          <w:rFonts w:ascii="Calibri" w:hAnsi="Calibri"/>
          <w:sz w:val="24"/>
          <w:szCs w:val="24"/>
        </w:rPr>
        <w:t xml:space="preserve"> a transparent way for government agencies and regulators to identify and fund the cost of undertaking </w:t>
      </w:r>
      <w:r>
        <w:rPr>
          <w:rFonts w:ascii="Calibri" w:hAnsi="Calibri"/>
          <w:sz w:val="24"/>
          <w:szCs w:val="24"/>
        </w:rPr>
        <w:t>certain</w:t>
      </w:r>
      <w:r w:rsidRPr="00B22DBD">
        <w:rPr>
          <w:rFonts w:ascii="Calibri" w:hAnsi="Calibri"/>
          <w:sz w:val="24"/>
          <w:szCs w:val="24"/>
        </w:rPr>
        <w:t xml:space="preserve"> activities without the need to rely solely on revenue secured through the budget </w:t>
      </w:r>
      <w:r w:rsidR="00304F8D">
        <w:rPr>
          <w:rFonts w:ascii="Calibri" w:hAnsi="Calibri"/>
          <w:sz w:val="24"/>
          <w:szCs w:val="24"/>
        </w:rPr>
        <w:t xml:space="preserve">appropriation </w:t>
      </w:r>
      <w:r w:rsidRPr="00B22DBD">
        <w:rPr>
          <w:rFonts w:ascii="Calibri" w:hAnsi="Calibri"/>
          <w:sz w:val="24"/>
          <w:szCs w:val="24"/>
        </w:rPr>
        <w:t xml:space="preserve">process.  </w:t>
      </w:r>
    </w:p>
    <w:p w:rsidR="00304F8D" w:rsidRPr="00490CBC" w:rsidRDefault="00304F8D" w:rsidP="00D121BE">
      <w:pPr>
        <w:pStyle w:val="Style14ptJustified"/>
        <w:keepLines/>
        <w:spacing w:after="120" w:line="276" w:lineRule="auto"/>
        <w:jc w:val="left"/>
        <w:rPr>
          <w:rFonts w:ascii="Calibri" w:hAnsi="Calibri"/>
          <w:sz w:val="24"/>
          <w:szCs w:val="24"/>
        </w:rPr>
      </w:pPr>
      <w:r w:rsidRPr="00490CBC">
        <w:rPr>
          <w:rFonts w:ascii="Calibri" w:hAnsi="Calibri"/>
          <w:sz w:val="24"/>
          <w:szCs w:val="24"/>
        </w:rPr>
        <w:t xml:space="preserve">The </w:t>
      </w:r>
      <w:r w:rsidRPr="001D3507">
        <w:rPr>
          <w:rFonts w:ascii="Calibri" w:hAnsi="Calibri"/>
          <w:sz w:val="24"/>
          <w:szCs w:val="24"/>
        </w:rPr>
        <w:t xml:space="preserve">Cost Recovery Guidelines </w:t>
      </w:r>
      <w:r>
        <w:rPr>
          <w:rFonts w:ascii="Calibri" w:hAnsi="Calibri"/>
          <w:sz w:val="24"/>
          <w:szCs w:val="24"/>
        </w:rPr>
        <w:t xml:space="preserve">apply when fees or </w:t>
      </w:r>
      <w:r w:rsidRPr="00490CBC">
        <w:rPr>
          <w:rFonts w:ascii="Calibri" w:hAnsi="Calibri"/>
          <w:sz w:val="24"/>
          <w:szCs w:val="24"/>
        </w:rPr>
        <w:t xml:space="preserve">charges are proposed for the following </w:t>
      </w:r>
      <w:r>
        <w:rPr>
          <w:rFonts w:ascii="Calibri" w:hAnsi="Calibri"/>
          <w:sz w:val="24"/>
          <w:szCs w:val="24"/>
        </w:rPr>
        <w:t xml:space="preserve">types of </w:t>
      </w:r>
      <w:r w:rsidRPr="00490CBC">
        <w:rPr>
          <w:rFonts w:ascii="Calibri" w:hAnsi="Calibri"/>
          <w:sz w:val="24"/>
          <w:szCs w:val="24"/>
        </w:rPr>
        <w:t>activities:</w:t>
      </w:r>
    </w:p>
    <w:p w:rsidR="00304F8D" w:rsidRPr="00490CBC" w:rsidRDefault="00304F8D" w:rsidP="003A67E6">
      <w:pPr>
        <w:pStyle w:val="Style14ptJustified"/>
        <w:keepLines/>
        <w:numPr>
          <w:ilvl w:val="0"/>
          <w:numId w:val="4"/>
        </w:numPr>
        <w:spacing w:after="120" w:line="276" w:lineRule="auto"/>
        <w:jc w:val="left"/>
        <w:rPr>
          <w:rFonts w:ascii="Calibri" w:hAnsi="Calibri"/>
          <w:sz w:val="24"/>
          <w:szCs w:val="24"/>
        </w:rPr>
      </w:pPr>
      <w:r w:rsidRPr="00490CBC">
        <w:rPr>
          <w:rFonts w:ascii="Calibri" w:hAnsi="Calibri"/>
          <w:sz w:val="24"/>
          <w:szCs w:val="24"/>
        </w:rPr>
        <w:t>government provision of a good or service</w:t>
      </w:r>
      <w:r>
        <w:rPr>
          <w:rFonts w:ascii="Calibri" w:hAnsi="Calibri"/>
          <w:sz w:val="24"/>
          <w:szCs w:val="24"/>
        </w:rPr>
        <w:t xml:space="preserve">, such as the </w:t>
      </w:r>
      <w:r w:rsidRPr="00490CBC">
        <w:rPr>
          <w:rFonts w:ascii="Calibri" w:hAnsi="Calibri"/>
          <w:sz w:val="24"/>
          <w:szCs w:val="24"/>
        </w:rPr>
        <w:t xml:space="preserve">issuing </w:t>
      </w:r>
      <w:r>
        <w:rPr>
          <w:rFonts w:ascii="Calibri" w:hAnsi="Calibri"/>
          <w:sz w:val="24"/>
          <w:szCs w:val="24"/>
        </w:rPr>
        <w:t xml:space="preserve">of </w:t>
      </w:r>
      <w:r w:rsidRPr="00490CBC">
        <w:rPr>
          <w:rFonts w:ascii="Calibri" w:hAnsi="Calibri"/>
          <w:sz w:val="24"/>
          <w:szCs w:val="24"/>
        </w:rPr>
        <w:t>a</w:t>
      </w:r>
      <w:r>
        <w:rPr>
          <w:rFonts w:ascii="Calibri" w:hAnsi="Calibri"/>
          <w:sz w:val="24"/>
          <w:szCs w:val="24"/>
        </w:rPr>
        <w:t xml:space="preserve"> </w:t>
      </w:r>
      <w:r w:rsidRPr="00490CBC">
        <w:rPr>
          <w:rFonts w:ascii="Calibri" w:hAnsi="Calibri"/>
          <w:sz w:val="24"/>
          <w:szCs w:val="24"/>
        </w:rPr>
        <w:t>certificate of title o</w:t>
      </w:r>
      <w:r>
        <w:rPr>
          <w:rFonts w:ascii="Calibri" w:hAnsi="Calibri"/>
          <w:sz w:val="24"/>
          <w:szCs w:val="24"/>
        </w:rPr>
        <w:t>r a working with children check</w:t>
      </w:r>
      <w:r w:rsidRPr="00490CBC">
        <w:rPr>
          <w:rFonts w:ascii="Calibri" w:hAnsi="Calibri"/>
          <w:sz w:val="24"/>
          <w:szCs w:val="24"/>
        </w:rPr>
        <w:t xml:space="preserve"> or </w:t>
      </w:r>
      <w:r>
        <w:rPr>
          <w:rFonts w:ascii="Calibri" w:hAnsi="Calibri"/>
          <w:sz w:val="24"/>
          <w:szCs w:val="24"/>
        </w:rPr>
        <w:t xml:space="preserve">by </w:t>
      </w:r>
      <w:r w:rsidRPr="00490CBC">
        <w:rPr>
          <w:rFonts w:ascii="Calibri" w:hAnsi="Calibri"/>
          <w:sz w:val="24"/>
          <w:szCs w:val="24"/>
        </w:rPr>
        <w:t>providing access to land</w:t>
      </w:r>
      <w:r>
        <w:rPr>
          <w:rFonts w:ascii="Calibri" w:hAnsi="Calibri"/>
          <w:sz w:val="24"/>
          <w:szCs w:val="24"/>
        </w:rPr>
        <w:t xml:space="preserve"> </w:t>
      </w:r>
      <w:r w:rsidRPr="00490CBC">
        <w:rPr>
          <w:rFonts w:ascii="Calibri" w:hAnsi="Calibri"/>
          <w:sz w:val="24"/>
          <w:szCs w:val="24"/>
        </w:rPr>
        <w:t>valuation data</w:t>
      </w:r>
      <w:r>
        <w:rPr>
          <w:rFonts w:ascii="Calibri" w:hAnsi="Calibri"/>
          <w:sz w:val="24"/>
          <w:szCs w:val="24"/>
        </w:rPr>
        <w:t>.</w:t>
      </w:r>
    </w:p>
    <w:p w:rsidR="00304F8D" w:rsidRDefault="00304F8D" w:rsidP="003A67E6">
      <w:pPr>
        <w:pStyle w:val="Style14ptJustified"/>
        <w:keepLines/>
        <w:numPr>
          <w:ilvl w:val="0"/>
          <w:numId w:val="4"/>
        </w:numPr>
        <w:spacing w:after="240" w:line="276" w:lineRule="auto"/>
        <w:jc w:val="left"/>
        <w:rPr>
          <w:rFonts w:ascii="Calibri" w:hAnsi="Calibri"/>
          <w:sz w:val="24"/>
          <w:szCs w:val="24"/>
        </w:rPr>
      </w:pPr>
      <w:proofErr w:type="gramStart"/>
      <w:r w:rsidRPr="00490CBC">
        <w:rPr>
          <w:rFonts w:ascii="Calibri" w:hAnsi="Calibri"/>
          <w:sz w:val="24"/>
          <w:szCs w:val="24"/>
        </w:rPr>
        <w:t>regulatory</w:t>
      </w:r>
      <w:proofErr w:type="gramEnd"/>
      <w:r w:rsidRPr="00490CBC">
        <w:rPr>
          <w:rFonts w:ascii="Calibri" w:hAnsi="Calibri"/>
          <w:sz w:val="24"/>
          <w:szCs w:val="24"/>
        </w:rPr>
        <w:t xml:space="preserve"> activities</w:t>
      </w:r>
      <w:r>
        <w:rPr>
          <w:rFonts w:ascii="Calibri" w:hAnsi="Calibri"/>
          <w:sz w:val="24"/>
          <w:szCs w:val="24"/>
        </w:rPr>
        <w:t>, such as</w:t>
      </w:r>
      <w:r w:rsidRPr="00490CBC">
        <w:rPr>
          <w:rFonts w:ascii="Calibri" w:hAnsi="Calibri"/>
          <w:sz w:val="24"/>
          <w:szCs w:val="24"/>
        </w:rPr>
        <w:t xml:space="preserve"> registration</w:t>
      </w:r>
      <w:r>
        <w:rPr>
          <w:rFonts w:ascii="Calibri" w:hAnsi="Calibri"/>
          <w:sz w:val="24"/>
          <w:szCs w:val="24"/>
        </w:rPr>
        <w:t>s</w:t>
      </w:r>
      <w:r w:rsidRPr="00490CBC">
        <w:rPr>
          <w:rFonts w:ascii="Calibri" w:hAnsi="Calibri"/>
          <w:sz w:val="24"/>
          <w:szCs w:val="24"/>
        </w:rPr>
        <w:t>, licensing, issuing of permits, and</w:t>
      </w:r>
      <w:r>
        <w:rPr>
          <w:rFonts w:ascii="Calibri" w:hAnsi="Calibri"/>
          <w:sz w:val="24"/>
          <w:szCs w:val="24"/>
        </w:rPr>
        <w:t xml:space="preserve"> </w:t>
      </w:r>
      <w:r w:rsidRPr="00490CBC">
        <w:rPr>
          <w:rFonts w:ascii="Calibri" w:hAnsi="Calibri"/>
          <w:sz w:val="24"/>
          <w:szCs w:val="24"/>
        </w:rPr>
        <w:t>compliance and enforcement.</w:t>
      </w:r>
    </w:p>
    <w:p w:rsidR="001D3507" w:rsidRPr="001D3507" w:rsidRDefault="001D3507" w:rsidP="00D121BE">
      <w:pPr>
        <w:pStyle w:val="Style14ptJustified"/>
        <w:keepLines/>
        <w:spacing w:after="120" w:line="276" w:lineRule="auto"/>
        <w:jc w:val="left"/>
        <w:rPr>
          <w:rFonts w:ascii="Calibri" w:hAnsi="Calibri"/>
          <w:sz w:val="24"/>
          <w:szCs w:val="24"/>
        </w:rPr>
      </w:pPr>
      <w:r w:rsidRPr="001D3507">
        <w:rPr>
          <w:rFonts w:ascii="Calibri" w:hAnsi="Calibri"/>
          <w:sz w:val="24"/>
          <w:szCs w:val="24"/>
        </w:rPr>
        <w:t xml:space="preserve">This RIS applies the Cost Recovery Guidelines to determine </w:t>
      </w:r>
      <w:r w:rsidR="00EA55A4">
        <w:rPr>
          <w:rFonts w:ascii="Calibri" w:hAnsi="Calibri"/>
          <w:sz w:val="24"/>
          <w:szCs w:val="24"/>
        </w:rPr>
        <w:t>the appropriate fee which should be attributed to the provision of a land tax clearance certificate</w:t>
      </w:r>
      <w:r w:rsidRPr="001D3507">
        <w:rPr>
          <w:rFonts w:ascii="Calibri" w:hAnsi="Calibri"/>
          <w:sz w:val="24"/>
          <w:szCs w:val="24"/>
        </w:rPr>
        <w:t xml:space="preserve">. </w:t>
      </w:r>
      <w:r w:rsidR="00304F8D">
        <w:rPr>
          <w:rFonts w:ascii="Calibri" w:hAnsi="Calibri"/>
          <w:sz w:val="24"/>
          <w:szCs w:val="24"/>
        </w:rPr>
        <w:t xml:space="preserve">It </w:t>
      </w:r>
      <w:r w:rsidRPr="001D3507">
        <w:rPr>
          <w:rFonts w:ascii="Calibri" w:hAnsi="Calibri"/>
          <w:sz w:val="24"/>
          <w:szCs w:val="24"/>
        </w:rPr>
        <w:t>draws on</w:t>
      </w:r>
      <w:r>
        <w:rPr>
          <w:rFonts w:ascii="Calibri" w:hAnsi="Calibri"/>
          <w:sz w:val="24"/>
          <w:szCs w:val="24"/>
        </w:rPr>
        <w:t xml:space="preserve"> </w:t>
      </w:r>
      <w:r w:rsidRPr="001D3507">
        <w:rPr>
          <w:rFonts w:ascii="Calibri" w:hAnsi="Calibri"/>
          <w:sz w:val="24"/>
          <w:szCs w:val="24"/>
        </w:rPr>
        <w:t xml:space="preserve">relevant guidance provided in the </w:t>
      </w:r>
      <w:r w:rsidRPr="00CC341E">
        <w:rPr>
          <w:rFonts w:ascii="Calibri" w:hAnsi="Calibri"/>
          <w:i/>
          <w:sz w:val="24"/>
          <w:szCs w:val="24"/>
        </w:rPr>
        <w:t>Victorian Guide to Regulation</w:t>
      </w:r>
      <w:r w:rsidR="00A904FE">
        <w:rPr>
          <w:rFonts w:ascii="Calibri" w:hAnsi="Calibri"/>
          <w:sz w:val="24"/>
          <w:szCs w:val="24"/>
        </w:rPr>
        <w:t xml:space="preserve"> and</w:t>
      </w:r>
      <w:r w:rsidRPr="001D3507">
        <w:rPr>
          <w:rFonts w:ascii="Calibri" w:hAnsi="Calibri"/>
          <w:sz w:val="24"/>
          <w:szCs w:val="24"/>
        </w:rPr>
        <w:t xml:space="preserve"> covers the following issues:</w:t>
      </w:r>
    </w:p>
    <w:p w:rsidR="001D3507" w:rsidRPr="001D3507" w:rsidRDefault="00EA55A4" w:rsidP="003A67E6">
      <w:pPr>
        <w:pStyle w:val="Style14ptJustified"/>
        <w:keepLines/>
        <w:numPr>
          <w:ilvl w:val="0"/>
          <w:numId w:val="4"/>
        </w:numPr>
        <w:spacing w:after="120" w:line="276" w:lineRule="auto"/>
        <w:jc w:val="left"/>
        <w:rPr>
          <w:rFonts w:ascii="Calibri" w:hAnsi="Calibri"/>
          <w:sz w:val="24"/>
          <w:szCs w:val="24"/>
        </w:rPr>
      </w:pPr>
      <w:r>
        <w:rPr>
          <w:rFonts w:ascii="Calibri" w:hAnsi="Calibri"/>
          <w:sz w:val="24"/>
          <w:szCs w:val="24"/>
        </w:rPr>
        <w:t>Process</w:t>
      </w:r>
      <w:r w:rsidR="00490CBC">
        <w:rPr>
          <w:rFonts w:ascii="Calibri" w:hAnsi="Calibri"/>
          <w:sz w:val="24"/>
          <w:szCs w:val="24"/>
        </w:rPr>
        <w:t xml:space="preserve"> for providing land tax </w:t>
      </w:r>
      <w:r>
        <w:rPr>
          <w:rFonts w:ascii="Calibri" w:hAnsi="Calibri"/>
          <w:sz w:val="24"/>
          <w:szCs w:val="24"/>
        </w:rPr>
        <w:t>clearance certificate</w:t>
      </w:r>
      <w:r w:rsidR="00490CBC">
        <w:rPr>
          <w:rFonts w:ascii="Calibri" w:hAnsi="Calibri"/>
          <w:sz w:val="24"/>
          <w:szCs w:val="24"/>
        </w:rPr>
        <w:t>s</w:t>
      </w:r>
    </w:p>
    <w:p w:rsidR="001D3507" w:rsidRPr="001D3507" w:rsidRDefault="001D3507" w:rsidP="003A67E6">
      <w:pPr>
        <w:pStyle w:val="Style14ptJustified"/>
        <w:keepLines/>
        <w:numPr>
          <w:ilvl w:val="0"/>
          <w:numId w:val="4"/>
        </w:numPr>
        <w:spacing w:after="120" w:line="276" w:lineRule="auto"/>
        <w:jc w:val="left"/>
        <w:rPr>
          <w:rFonts w:ascii="Calibri" w:hAnsi="Calibri"/>
          <w:sz w:val="24"/>
          <w:szCs w:val="24"/>
        </w:rPr>
      </w:pPr>
      <w:r w:rsidRPr="001D3507">
        <w:rPr>
          <w:rFonts w:ascii="Calibri" w:hAnsi="Calibri"/>
          <w:sz w:val="24"/>
          <w:szCs w:val="24"/>
        </w:rPr>
        <w:t>Estimating the cost base</w:t>
      </w:r>
    </w:p>
    <w:p w:rsidR="00C50096" w:rsidRPr="006326F6" w:rsidRDefault="00F14F02" w:rsidP="003A67E6">
      <w:pPr>
        <w:pStyle w:val="Style14ptJustified"/>
        <w:keepLines/>
        <w:numPr>
          <w:ilvl w:val="0"/>
          <w:numId w:val="4"/>
        </w:numPr>
        <w:spacing w:after="240" w:line="276" w:lineRule="auto"/>
        <w:jc w:val="left"/>
        <w:rPr>
          <w:rFonts w:ascii="Calibri" w:hAnsi="Calibri"/>
          <w:sz w:val="24"/>
          <w:szCs w:val="24"/>
        </w:rPr>
      </w:pPr>
      <w:r>
        <w:rPr>
          <w:rFonts w:ascii="Calibri" w:hAnsi="Calibri"/>
          <w:sz w:val="24"/>
          <w:szCs w:val="24"/>
        </w:rPr>
        <w:t>Setting the fee</w:t>
      </w:r>
    </w:p>
    <w:p w:rsidR="00490CBC" w:rsidRPr="006326F6" w:rsidRDefault="00AC0F3E" w:rsidP="001D160F">
      <w:pPr>
        <w:pStyle w:val="Heading2"/>
        <w:spacing w:before="0" w:after="240" w:line="276" w:lineRule="auto"/>
        <w:rPr>
          <w:rFonts w:asciiTheme="minorHAnsi" w:eastAsia="Times New Roman" w:hAnsiTheme="minorHAnsi" w:cs="Times New Roman"/>
          <w:color w:val="auto"/>
          <w:sz w:val="28"/>
          <w:szCs w:val="22"/>
        </w:rPr>
      </w:pPr>
      <w:bookmarkStart w:id="12" w:name="_Toc432510183"/>
      <w:r w:rsidRPr="006326F6">
        <w:rPr>
          <w:rFonts w:asciiTheme="minorHAnsi" w:eastAsia="Times New Roman" w:hAnsiTheme="minorHAnsi" w:cs="Times New Roman"/>
          <w:color w:val="auto"/>
          <w:sz w:val="28"/>
          <w:szCs w:val="22"/>
        </w:rPr>
        <w:t xml:space="preserve">6.1. </w:t>
      </w:r>
      <w:r w:rsidR="00CB3271" w:rsidRPr="006326F6">
        <w:rPr>
          <w:rFonts w:asciiTheme="minorHAnsi" w:eastAsia="Times New Roman" w:hAnsiTheme="minorHAnsi" w:cs="Times New Roman"/>
          <w:color w:val="auto"/>
          <w:sz w:val="28"/>
          <w:szCs w:val="22"/>
        </w:rPr>
        <w:tab/>
      </w:r>
      <w:r w:rsidR="00490CBC" w:rsidRPr="006326F6">
        <w:rPr>
          <w:rFonts w:asciiTheme="minorHAnsi" w:eastAsia="Times New Roman" w:hAnsiTheme="minorHAnsi" w:cs="Times New Roman"/>
          <w:color w:val="auto"/>
          <w:sz w:val="28"/>
          <w:szCs w:val="22"/>
        </w:rPr>
        <w:t>Process for providing land tax clearance certificates</w:t>
      </w:r>
      <w:bookmarkEnd w:id="12"/>
    </w:p>
    <w:p w:rsidR="00E55519" w:rsidRDefault="00574819" w:rsidP="001D160F">
      <w:pPr>
        <w:pStyle w:val="Style14ptJustified"/>
        <w:keepLines/>
        <w:spacing w:after="240" w:line="276" w:lineRule="auto"/>
        <w:jc w:val="left"/>
        <w:rPr>
          <w:rFonts w:ascii="Calibri" w:hAnsi="Calibri"/>
          <w:sz w:val="24"/>
          <w:szCs w:val="24"/>
        </w:rPr>
      </w:pPr>
      <w:r>
        <w:rPr>
          <w:rFonts w:ascii="Calibri" w:hAnsi="Calibri"/>
          <w:sz w:val="24"/>
          <w:szCs w:val="24"/>
        </w:rPr>
        <w:t>A</w:t>
      </w:r>
      <w:r w:rsidR="00E55519" w:rsidRPr="00007EFD">
        <w:rPr>
          <w:rFonts w:ascii="Calibri" w:hAnsi="Calibri"/>
          <w:sz w:val="24"/>
          <w:szCs w:val="24"/>
        </w:rPr>
        <w:t xml:space="preserve">pplications for </w:t>
      </w:r>
      <w:r w:rsidR="00FC019D">
        <w:rPr>
          <w:rFonts w:ascii="Calibri" w:hAnsi="Calibri"/>
          <w:sz w:val="24"/>
          <w:szCs w:val="24"/>
        </w:rPr>
        <w:t>clearance</w:t>
      </w:r>
      <w:r w:rsidR="00E55519" w:rsidRPr="00007EFD">
        <w:rPr>
          <w:rFonts w:ascii="Calibri" w:hAnsi="Calibri"/>
          <w:sz w:val="24"/>
          <w:szCs w:val="24"/>
        </w:rPr>
        <w:t xml:space="preserve"> certificates can be made online via the </w:t>
      </w:r>
      <w:r w:rsidR="003654A1">
        <w:rPr>
          <w:rFonts w:ascii="Calibri" w:hAnsi="Calibri"/>
          <w:sz w:val="24"/>
          <w:szCs w:val="24"/>
        </w:rPr>
        <w:t>SRO’s land tax clearance certificate onl</w:t>
      </w:r>
      <w:r w:rsidR="003654A1" w:rsidRPr="00007EFD">
        <w:rPr>
          <w:rFonts w:ascii="Calibri" w:hAnsi="Calibri"/>
          <w:sz w:val="24"/>
          <w:szCs w:val="24"/>
        </w:rPr>
        <w:t xml:space="preserve">ine </w:t>
      </w:r>
      <w:r w:rsidR="00E55519" w:rsidRPr="00007EFD">
        <w:rPr>
          <w:rFonts w:ascii="Calibri" w:hAnsi="Calibri"/>
          <w:sz w:val="24"/>
          <w:szCs w:val="24"/>
        </w:rPr>
        <w:t xml:space="preserve">service or by </w:t>
      </w:r>
      <w:r w:rsidR="00B804D6">
        <w:rPr>
          <w:rFonts w:ascii="Calibri" w:hAnsi="Calibri"/>
          <w:sz w:val="24"/>
          <w:szCs w:val="24"/>
        </w:rPr>
        <w:t>completing a Property Inquiry Application Form and mailing to the SRO</w:t>
      </w:r>
      <w:r w:rsidR="003654A1">
        <w:rPr>
          <w:rFonts w:ascii="Calibri" w:hAnsi="Calibri"/>
          <w:sz w:val="24"/>
          <w:szCs w:val="24"/>
        </w:rPr>
        <w:t xml:space="preserve"> (paper application)</w:t>
      </w:r>
      <w:r w:rsidR="00E55519" w:rsidRPr="00007EFD">
        <w:rPr>
          <w:rFonts w:ascii="Calibri" w:hAnsi="Calibri"/>
          <w:sz w:val="24"/>
          <w:szCs w:val="24"/>
        </w:rPr>
        <w:t xml:space="preserve">.   </w:t>
      </w:r>
    </w:p>
    <w:p w:rsidR="00423801" w:rsidRPr="005F56F6" w:rsidRDefault="00423801" w:rsidP="001D160F">
      <w:pPr>
        <w:pStyle w:val="Style14ptJustified"/>
        <w:keepLines/>
        <w:spacing w:after="240" w:line="276" w:lineRule="auto"/>
        <w:jc w:val="left"/>
        <w:rPr>
          <w:rFonts w:ascii="Calibri" w:hAnsi="Calibri"/>
          <w:b/>
          <w:sz w:val="24"/>
          <w:szCs w:val="24"/>
        </w:rPr>
      </w:pPr>
      <w:r w:rsidRPr="005F56F6">
        <w:rPr>
          <w:rFonts w:ascii="Calibri" w:hAnsi="Calibri"/>
          <w:b/>
          <w:sz w:val="24"/>
          <w:szCs w:val="24"/>
        </w:rPr>
        <w:t xml:space="preserve">Automated online applications </w:t>
      </w:r>
    </w:p>
    <w:p w:rsidR="00DC5191" w:rsidRDefault="00312050" w:rsidP="001D160F">
      <w:pPr>
        <w:pStyle w:val="Style14ptJustified"/>
        <w:keepLines/>
        <w:spacing w:after="240" w:line="276" w:lineRule="auto"/>
        <w:jc w:val="left"/>
        <w:rPr>
          <w:rFonts w:ascii="Calibri" w:hAnsi="Calibri"/>
          <w:sz w:val="24"/>
          <w:szCs w:val="24"/>
        </w:rPr>
      </w:pPr>
      <w:r w:rsidRPr="00423801">
        <w:rPr>
          <w:rFonts w:ascii="Calibri" w:hAnsi="Calibri"/>
          <w:sz w:val="24"/>
          <w:szCs w:val="24"/>
        </w:rPr>
        <w:t>Online applications</w:t>
      </w:r>
      <w:r>
        <w:rPr>
          <w:rFonts w:ascii="Calibri" w:hAnsi="Calibri"/>
          <w:sz w:val="24"/>
          <w:szCs w:val="24"/>
        </w:rPr>
        <w:t xml:space="preserve"> can </w:t>
      </w:r>
      <w:r w:rsidRPr="00011FEE">
        <w:rPr>
          <w:rFonts w:ascii="Calibri" w:hAnsi="Calibri"/>
          <w:sz w:val="24"/>
          <w:szCs w:val="24"/>
        </w:rPr>
        <w:t xml:space="preserve">be </w:t>
      </w:r>
      <w:r>
        <w:rPr>
          <w:rFonts w:ascii="Calibri" w:hAnsi="Calibri"/>
          <w:sz w:val="24"/>
          <w:szCs w:val="24"/>
        </w:rPr>
        <w:t xml:space="preserve">fully </w:t>
      </w:r>
      <w:r w:rsidRPr="00011FEE">
        <w:rPr>
          <w:rFonts w:ascii="Calibri" w:hAnsi="Calibri"/>
          <w:sz w:val="24"/>
          <w:szCs w:val="24"/>
        </w:rPr>
        <w:t xml:space="preserve">automated and </w:t>
      </w:r>
      <w:r w:rsidR="002449F2">
        <w:rPr>
          <w:rFonts w:ascii="Calibri" w:hAnsi="Calibri"/>
          <w:sz w:val="24"/>
          <w:szCs w:val="24"/>
        </w:rPr>
        <w:t xml:space="preserve">certificates </w:t>
      </w:r>
      <w:r w:rsidRPr="00011FEE">
        <w:rPr>
          <w:rFonts w:ascii="Calibri" w:hAnsi="Calibri"/>
          <w:sz w:val="24"/>
          <w:szCs w:val="24"/>
        </w:rPr>
        <w:t xml:space="preserve">delivered back to the applicant within 24 hrs </w:t>
      </w:r>
      <w:r>
        <w:rPr>
          <w:rFonts w:ascii="Calibri" w:hAnsi="Calibri"/>
          <w:sz w:val="24"/>
          <w:szCs w:val="24"/>
        </w:rPr>
        <w:t xml:space="preserve">provided </w:t>
      </w:r>
      <w:r w:rsidRPr="00011FEE">
        <w:rPr>
          <w:rFonts w:ascii="Calibri" w:hAnsi="Calibri"/>
          <w:sz w:val="24"/>
          <w:szCs w:val="24"/>
        </w:rPr>
        <w:t xml:space="preserve">the information </w:t>
      </w:r>
      <w:r w:rsidR="002449F2">
        <w:rPr>
          <w:rFonts w:ascii="Calibri" w:hAnsi="Calibri"/>
          <w:sz w:val="24"/>
          <w:szCs w:val="24"/>
        </w:rPr>
        <w:t xml:space="preserve">contained in the application </w:t>
      </w:r>
      <w:r w:rsidRPr="00011FEE">
        <w:rPr>
          <w:rFonts w:ascii="Calibri" w:hAnsi="Calibri"/>
          <w:sz w:val="24"/>
          <w:szCs w:val="24"/>
        </w:rPr>
        <w:t xml:space="preserve">matches </w:t>
      </w:r>
      <w:r>
        <w:rPr>
          <w:rFonts w:ascii="Calibri" w:hAnsi="Calibri"/>
          <w:sz w:val="24"/>
          <w:szCs w:val="24"/>
        </w:rPr>
        <w:t>SRO</w:t>
      </w:r>
      <w:r w:rsidRPr="00011FEE">
        <w:rPr>
          <w:rFonts w:ascii="Calibri" w:hAnsi="Calibri"/>
          <w:sz w:val="24"/>
          <w:szCs w:val="24"/>
        </w:rPr>
        <w:t xml:space="preserve"> records and there </w:t>
      </w:r>
      <w:r w:rsidR="002449F2">
        <w:rPr>
          <w:rFonts w:ascii="Calibri" w:hAnsi="Calibri"/>
          <w:sz w:val="24"/>
          <w:szCs w:val="24"/>
        </w:rPr>
        <w:t>are</w:t>
      </w:r>
      <w:r w:rsidRPr="00011FEE">
        <w:rPr>
          <w:rFonts w:ascii="Calibri" w:hAnsi="Calibri"/>
          <w:sz w:val="24"/>
          <w:szCs w:val="24"/>
        </w:rPr>
        <w:t xml:space="preserve"> </w:t>
      </w:r>
      <w:r>
        <w:rPr>
          <w:rFonts w:ascii="Calibri" w:hAnsi="Calibri"/>
          <w:sz w:val="24"/>
          <w:szCs w:val="24"/>
        </w:rPr>
        <w:t>no other matters on hand which may affect the liability</w:t>
      </w:r>
      <w:r w:rsidR="002449F2">
        <w:rPr>
          <w:rFonts w:ascii="Calibri" w:hAnsi="Calibri"/>
          <w:sz w:val="24"/>
          <w:szCs w:val="24"/>
        </w:rPr>
        <w:t xml:space="preserve">. For example, </w:t>
      </w:r>
      <w:r>
        <w:rPr>
          <w:rFonts w:ascii="Calibri" w:hAnsi="Calibri"/>
          <w:sz w:val="24"/>
          <w:szCs w:val="24"/>
        </w:rPr>
        <w:t>unallocated payment</w:t>
      </w:r>
      <w:r w:rsidR="002449F2">
        <w:rPr>
          <w:rFonts w:ascii="Calibri" w:hAnsi="Calibri"/>
          <w:sz w:val="24"/>
          <w:szCs w:val="24"/>
        </w:rPr>
        <w:t>s</w:t>
      </w:r>
      <w:r w:rsidRPr="00011FEE">
        <w:rPr>
          <w:rFonts w:ascii="Calibri" w:hAnsi="Calibri"/>
          <w:sz w:val="24"/>
          <w:szCs w:val="24"/>
        </w:rPr>
        <w:t xml:space="preserve">, </w:t>
      </w:r>
      <w:r>
        <w:rPr>
          <w:rFonts w:ascii="Calibri" w:hAnsi="Calibri"/>
          <w:sz w:val="24"/>
          <w:szCs w:val="24"/>
        </w:rPr>
        <w:t xml:space="preserve">an objection </w:t>
      </w:r>
      <w:r w:rsidR="002449F2">
        <w:rPr>
          <w:rFonts w:ascii="Calibri" w:hAnsi="Calibri"/>
          <w:sz w:val="24"/>
          <w:szCs w:val="24"/>
        </w:rPr>
        <w:t xml:space="preserve">on foot </w:t>
      </w:r>
      <w:r>
        <w:rPr>
          <w:rFonts w:ascii="Calibri" w:hAnsi="Calibri"/>
          <w:sz w:val="24"/>
          <w:szCs w:val="24"/>
        </w:rPr>
        <w:t>or a</w:t>
      </w:r>
      <w:r w:rsidR="002449F2">
        <w:rPr>
          <w:rFonts w:ascii="Calibri" w:hAnsi="Calibri"/>
          <w:sz w:val="24"/>
          <w:szCs w:val="24"/>
        </w:rPr>
        <w:t xml:space="preserve"> pending</w:t>
      </w:r>
      <w:r>
        <w:rPr>
          <w:rFonts w:ascii="Calibri" w:hAnsi="Calibri"/>
          <w:sz w:val="24"/>
          <w:szCs w:val="24"/>
        </w:rPr>
        <w:t xml:space="preserve"> amendment request. </w:t>
      </w:r>
    </w:p>
    <w:p w:rsidR="005C38C0" w:rsidRDefault="00312050" w:rsidP="001D160F">
      <w:pPr>
        <w:pStyle w:val="Style14ptJustified"/>
        <w:keepLines/>
        <w:spacing w:after="240" w:line="276" w:lineRule="auto"/>
        <w:jc w:val="left"/>
        <w:rPr>
          <w:rFonts w:ascii="Calibri" w:hAnsi="Calibri"/>
          <w:sz w:val="24"/>
          <w:szCs w:val="24"/>
        </w:rPr>
      </w:pPr>
      <w:r>
        <w:rPr>
          <w:rFonts w:ascii="Calibri" w:hAnsi="Calibri"/>
          <w:sz w:val="24"/>
          <w:szCs w:val="24"/>
        </w:rPr>
        <w:t xml:space="preserve">The SRO estimates that </w:t>
      </w:r>
      <w:r w:rsidR="002449F2">
        <w:rPr>
          <w:rFonts w:ascii="Calibri" w:hAnsi="Calibri"/>
          <w:sz w:val="24"/>
          <w:szCs w:val="24"/>
        </w:rPr>
        <w:t>around</w:t>
      </w:r>
      <w:r>
        <w:rPr>
          <w:rFonts w:ascii="Calibri" w:hAnsi="Calibri"/>
          <w:sz w:val="24"/>
          <w:szCs w:val="24"/>
        </w:rPr>
        <w:t xml:space="preserve"> 70</w:t>
      </w:r>
      <w:r w:rsidR="00B06E15">
        <w:rPr>
          <w:rFonts w:ascii="Calibri" w:hAnsi="Calibri"/>
          <w:sz w:val="24"/>
          <w:szCs w:val="24"/>
        </w:rPr>
        <w:t xml:space="preserve"> per cent </w:t>
      </w:r>
      <w:r>
        <w:rPr>
          <w:rFonts w:ascii="Calibri" w:hAnsi="Calibri"/>
          <w:sz w:val="24"/>
          <w:szCs w:val="24"/>
        </w:rPr>
        <w:t xml:space="preserve">of online applications </w:t>
      </w:r>
      <w:r w:rsidR="002449F2">
        <w:rPr>
          <w:rFonts w:ascii="Calibri" w:hAnsi="Calibri"/>
          <w:sz w:val="24"/>
          <w:szCs w:val="24"/>
        </w:rPr>
        <w:t xml:space="preserve">are fully automated through the online system. On occasion, these </w:t>
      </w:r>
      <w:r w:rsidR="006B6813">
        <w:rPr>
          <w:rFonts w:ascii="Calibri" w:hAnsi="Calibri"/>
          <w:sz w:val="24"/>
          <w:szCs w:val="24"/>
        </w:rPr>
        <w:t xml:space="preserve">automated </w:t>
      </w:r>
      <w:r w:rsidR="002449F2">
        <w:rPr>
          <w:rFonts w:ascii="Calibri" w:hAnsi="Calibri"/>
          <w:sz w:val="24"/>
          <w:szCs w:val="24"/>
        </w:rPr>
        <w:t xml:space="preserve">certificates will require amendment </w:t>
      </w:r>
      <w:r w:rsidR="006B6813">
        <w:rPr>
          <w:rFonts w:ascii="Calibri" w:hAnsi="Calibri"/>
          <w:sz w:val="24"/>
          <w:szCs w:val="24"/>
        </w:rPr>
        <w:t xml:space="preserve">and be reissued by staff. </w:t>
      </w:r>
      <w:r w:rsidR="00396221">
        <w:rPr>
          <w:rFonts w:ascii="Calibri" w:hAnsi="Calibri"/>
          <w:sz w:val="24"/>
          <w:szCs w:val="24"/>
        </w:rPr>
        <w:t>For example, if the applicant advises that the property should be exempt</w:t>
      </w:r>
      <w:r w:rsidR="00F95EBE">
        <w:rPr>
          <w:rFonts w:ascii="Calibri" w:hAnsi="Calibri"/>
          <w:sz w:val="24"/>
          <w:szCs w:val="24"/>
        </w:rPr>
        <w:t xml:space="preserve"> or that payment has been made</w:t>
      </w:r>
      <w:r w:rsidR="00396221">
        <w:rPr>
          <w:rFonts w:ascii="Calibri" w:hAnsi="Calibri"/>
          <w:sz w:val="24"/>
          <w:szCs w:val="24"/>
        </w:rPr>
        <w:t>.</w:t>
      </w:r>
    </w:p>
    <w:p w:rsidR="004F607E" w:rsidRDefault="004F607E">
      <w:pPr>
        <w:spacing w:after="200" w:line="276" w:lineRule="auto"/>
        <w:rPr>
          <w:rFonts w:ascii="Calibri" w:hAnsi="Calibri"/>
          <w:b/>
        </w:rPr>
      </w:pPr>
      <w:r>
        <w:rPr>
          <w:rFonts w:ascii="Calibri" w:hAnsi="Calibri"/>
          <w:b/>
        </w:rPr>
        <w:br w:type="page"/>
      </w:r>
    </w:p>
    <w:p w:rsidR="006B6813" w:rsidRPr="005F56F6" w:rsidRDefault="00423801" w:rsidP="001D160F">
      <w:pPr>
        <w:pStyle w:val="Style14ptJustified"/>
        <w:keepLines/>
        <w:spacing w:after="240" w:line="276" w:lineRule="auto"/>
        <w:jc w:val="left"/>
        <w:rPr>
          <w:rFonts w:ascii="Calibri" w:hAnsi="Calibri"/>
          <w:b/>
          <w:sz w:val="24"/>
          <w:szCs w:val="24"/>
        </w:rPr>
      </w:pPr>
      <w:r w:rsidRPr="005F56F6">
        <w:rPr>
          <w:rFonts w:ascii="Calibri" w:hAnsi="Calibri"/>
          <w:b/>
          <w:sz w:val="24"/>
          <w:szCs w:val="24"/>
        </w:rPr>
        <w:lastRenderedPageBreak/>
        <w:t xml:space="preserve">Online applications which cannot be automated </w:t>
      </w:r>
    </w:p>
    <w:p w:rsidR="00F95EBE" w:rsidRDefault="00423801" w:rsidP="001D160F">
      <w:pPr>
        <w:pStyle w:val="Style14ptJustified"/>
        <w:keepLines/>
        <w:spacing w:after="240" w:line="276" w:lineRule="auto"/>
        <w:jc w:val="left"/>
        <w:rPr>
          <w:rFonts w:ascii="Calibri" w:hAnsi="Calibri"/>
          <w:sz w:val="24"/>
          <w:szCs w:val="24"/>
        </w:rPr>
      </w:pPr>
      <w:r w:rsidRPr="00423801">
        <w:rPr>
          <w:rFonts w:ascii="Calibri" w:hAnsi="Calibri"/>
          <w:sz w:val="24"/>
          <w:szCs w:val="24"/>
        </w:rPr>
        <w:t>Online applications</w:t>
      </w:r>
      <w:r>
        <w:rPr>
          <w:rFonts w:ascii="Calibri" w:hAnsi="Calibri"/>
          <w:sz w:val="24"/>
          <w:szCs w:val="24"/>
        </w:rPr>
        <w:t xml:space="preserve"> which cannot b</w:t>
      </w:r>
      <w:r w:rsidRPr="00011FEE">
        <w:rPr>
          <w:rFonts w:ascii="Calibri" w:hAnsi="Calibri"/>
          <w:sz w:val="24"/>
          <w:szCs w:val="24"/>
        </w:rPr>
        <w:t xml:space="preserve">e </w:t>
      </w:r>
      <w:r>
        <w:rPr>
          <w:rFonts w:ascii="Calibri" w:hAnsi="Calibri"/>
          <w:sz w:val="24"/>
          <w:szCs w:val="24"/>
        </w:rPr>
        <w:t xml:space="preserve">fully </w:t>
      </w:r>
      <w:r w:rsidRPr="00011FEE">
        <w:rPr>
          <w:rFonts w:ascii="Calibri" w:hAnsi="Calibri"/>
          <w:sz w:val="24"/>
          <w:szCs w:val="24"/>
        </w:rPr>
        <w:t>automated</w:t>
      </w:r>
      <w:r>
        <w:rPr>
          <w:rFonts w:ascii="Calibri" w:hAnsi="Calibri"/>
          <w:sz w:val="24"/>
          <w:szCs w:val="24"/>
        </w:rPr>
        <w:t xml:space="preserve"> </w:t>
      </w:r>
      <w:r w:rsidR="0085221B">
        <w:rPr>
          <w:rFonts w:ascii="Calibri" w:hAnsi="Calibri"/>
          <w:sz w:val="24"/>
          <w:szCs w:val="24"/>
        </w:rPr>
        <w:t xml:space="preserve">are referred to SRO staff for rectification and completion. </w:t>
      </w:r>
      <w:r w:rsidR="00822A59">
        <w:rPr>
          <w:rFonts w:ascii="Calibri" w:hAnsi="Calibri"/>
          <w:sz w:val="24"/>
          <w:szCs w:val="24"/>
        </w:rPr>
        <w:t xml:space="preserve">There are a number of reasons why </w:t>
      </w:r>
      <w:r w:rsidR="00DB3210">
        <w:rPr>
          <w:rFonts w:ascii="Calibri" w:hAnsi="Calibri"/>
          <w:sz w:val="24"/>
          <w:szCs w:val="24"/>
        </w:rPr>
        <w:t>an application may</w:t>
      </w:r>
      <w:r w:rsidR="00822A59">
        <w:rPr>
          <w:rFonts w:ascii="Calibri" w:hAnsi="Calibri"/>
          <w:sz w:val="24"/>
          <w:szCs w:val="24"/>
        </w:rPr>
        <w:t xml:space="preserve"> require manual intervention</w:t>
      </w:r>
      <w:r w:rsidR="00DB3210">
        <w:rPr>
          <w:rFonts w:ascii="Calibri" w:hAnsi="Calibri"/>
          <w:sz w:val="24"/>
          <w:szCs w:val="24"/>
        </w:rPr>
        <w:t xml:space="preserve"> by the SRO, including the following</w:t>
      </w:r>
      <w:r w:rsidR="00F95EBE">
        <w:rPr>
          <w:rFonts w:ascii="Calibri" w:hAnsi="Calibri"/>
          <w:sz w:val="24"/>
          <w:szCs w:val="24"/>
        </w:rPr>
        <w:t>:</w:t>
      </w:r>
    </w:p>
    <w:p w:rsidR="00822A59" w:rsidRPr="00822A59" w:rsidRDefault="00822A59" w:rsidP="003A67E6">
      <w:pPr>
        <w:pStyle w:val="Style14ptJustified"/>
        <w:keepLines/>
        <w:numPr>
          <w:ilvl w:val="0"/>
          <w:numId w:val="11"/>
        </w:numPr>
        <w:spacing w:after="240" w:line="276" w:lineRule="auto"/>
        <w:jc w:val="left"/>
        <w:rPr>
          <w:rFonts w:ascii="Calibri" w:hAnsi="Calibri"/>
          <w:sz w:val="24"/>
          <w:szCs w:val="24"/>
        </w:rPr>
      </w:pPr>
      <w:r w:rsidRPr="005F56F6">
        <w:rPr>
          <w:rFonts w:ascii="Calibri" w:hAnsi="Calibri"/>
          <w:i/>
          <w:sz w:val="24"/>
          <w:szCs w:val="24"/>
        </w:rPr>
        <w:t>Data discrepancies</w:t>
      </w:r>
      <w:r w:rsidRPr="00822A59">
        <w:rPr>
          <w:rFonts w:ascii="Calibri" w:hAnsi="Calibri"/>
          <w:sz w:val="24"/>
          <w:szCs w:val="24"/>
        </w:rPr>
        <w:t xml:space="preserve"> – discrepancies between </w:t>
      </w:r>
      <w:r w:rsidR="00F01579">
        <w:rPr>
          <w:rFonts w:ascii="Calibri" w:hAnsi="Calibri"/>
          <w:sz w:val="24"/>
          <w:szCs w:val="24"/>
        </w:rPr>
        <w:t xml:space="preserve">the </w:t>
      </w:r>
      <w:r w:rsidRPr="00822A59">
        <w:rPr>
          <w:rFonts w:ascii="Calibri" w:hAnsi="Calibri"/>
          <w:sz w:val="24"/>
          <w:szCs w:val="24"/>
        </w:rPr>
        <w:t xml:space="preserve">data </w:t>
      </w:r>
      <w:r w:rsidR="00F01579">
        <w:rPr>
          <w:rFonts w:ascii="Calibri" w:hAnsi="Calibri"/>
          <w:sz w:val="24"/>
          <w:szCs w:val="24"/>
        </w:rPr>
        <w:t xml:space="preserve">provided </w:t>
      </w:r>
      <w:r w:rsidRPr="00822A59">
        <w:rPr>
          <w:rFonts w:ascii="Calibri" w:hAnsi="Calibri"/>
          <w:sz w:val="24"/>
          <w:szCs w:val="24"/>
        </w:rPr>
        <w:t xml:space="preserve">in </w:t>
      </w:r>
      <w:r w:rsidR="00F01579">
        <w:rPr>
          <w:rFonts w:ascii="Calibri" w:hAnsi="Calibri"/>
          <w:sz w:val="24"/>
          <w:szCs w:val="24"/>
        </w:rPr>
        <w:t xml:space="preserve">an </w:t>
      </w:r>
      <w:r w:rsidRPr="00822A59">
        <w:rPr>
          <w:rFonts w:ascii="Calibri" w:hAnsi="Calibri"/>
          <w:sz w:val="24"/>
          <w:szCs w:val="24"/>
        </w:rPr>
        <w:t xml:space="preserve">application and </w:t>
      </w:r>
      <w:r w:rsidR="00F01579">
        <w:rPr>
          <w:rFonts w:ascii="Calibri" w:hAnsi="Calibri"/>
          <w:sz w:val="24"/>
          <w:szCs w:val="24"/>
        </w:rPr>
        <w:t xml:space="preserve">the </w:t>
      </w:r>
      <w:r w:rsidRPr="00822A59">
        <w:rPr>
          <w:rFonts w:ascii="Calibri" w:hAnsi="Calibri"/>
          <w:sz w:val="24"/>
          <w:szCs w:val="24"/>
        </w:rPr>
        <w:t>data recorded by the SRO, such as property and vendor details</w:t>
      </w:r>
      <w:r w:rsidR="001935A2">
        <w:rPr>
          <w:rFonts w:ascii="Calibri" w:hAnsi="Calibri"/>
          <w:sz w:val="24"/>
          <w:szCs w:val="24"/>
        </w:rPr>
        <w:t xml:space="preserve">. This </w:t>
      </w:r>
      <w:r w:rsidR="00142D66">
        <w:rPr>
          <w:rFonts w:ascii="Calibri" w:hAnsi="Calibri"/>
          <w:sz w:val="24"/>
          <w:szCs w:val="24"/>
        </w:rPr>
        <w:t xml:space="preserve">requires </w:t>
      </w:r>
      <w:r w:rsidR="001935A2">
        <w:rPr>
          <w:rFonts w:ascii="Calibri" w:hAnsi="Calibri"/>
          <w:sz w:val="24"/>
          <w:szCs w:val="24"/>
        </w:rPr>
        <w:t>the SRO</w:t>
      </w:r>
      <w:r w:rsidRPr="00822A59">
        <w:rPr>
          <w:rFonts w:ascii="Calibri" w:hAnsi="Calibri"/>
          <w:sz w:val="24"/>
          <w:szCs w:val="24"/>
        </w:rPr>
        <w:t xml:space="preserve"> to undertake further research and analysis to determine correct information and update as applicable. </w:t>
      </w:r>
      <w:r w:rsidR="00DB3210">
        <w:rPr>
          <w:rFonts w:ascii="Calibri" w:hAnsi="Calibri"/>
          <w:sz w:val="24"/>
          <w:szCs w:val="24"/>
        </w:rPr>
        <w:t>This often requires the SRO to request additional information from the applicant including—</w:t>
      </w:r>
    </w:p>
    <w:p w:rsidR="00F95EBE" w:rsidRPr="00822A59" w:rsidRDefault="00F95EBE" w:rsidP="003A67E6">
      <w:pPr>
        <w:pStyle w:val="Style14ptJustified"/>
        <w:keepLines/>
        <w:numPr>
          <w:ilvl w:val="1"/>
          <w:numId w:val="11"/>
        </w:numPr>
        <w:spacing w:after="240" w:line="276" w:lineRule="auto"/>
        <w:jc w:val="left"/>
        <w:rPr>
          <w:rFonts w:ascii="Calibri" w:hAnsi="Calibri"/>
          <w:sz w:val="24"/>
          <w:szCs w:val="24"/>
        </w:rPr>
      </w:pPr>
      <w:r w:rsidRPr="005F56F6">
        <w:rPr>
          <w:rFonts w:ascii="Calibri" w:hAnsi="Calibri"/>
          <w:sz w:val="24"/>
          <w:szCs w:val="24"/>
          <w:u w:val="single"/>
        </w:rPr>
        <w:t>Requests for Vendor Clarification</w:t>
      </w:r>
      <w:r w:rsidRPr="00822A59">
        <w:rPr>
          <w:rFonts w:ascii="Calibri" w:hAnsi="Calibri"/>
          <w:sz w:val="24"/>
          <w:szCs w:val="24"/>
        </w:rPr>
        <w:t xml:space="preserve"> – </w:t>
      </w:r>
      <w:r w:rsidR="00DB3210">
        <w:rPr>
          <w:rFonts w:ascii="Calibri" w:hAnsi="Calibri"/>
          <w:sz w:val="24"/>
          <w:szCs w:val="24"/>
        </w:rPr>
        <w:t xml:space="preserve">if the vendor listed in the application is not the same as the owner registered on title with the SRO and the Registrar of Titles, then </w:t>
      </w:r>
      <w:r w:rsidR="00285A7F">
        <w:rPr>
          <w:rFonts w:ascii="Calibri" w:hAnsi="Calibri"/>
          <w:sz w:val="24"/>
          <w:szCs w:val="24"/>
        </w:rPr>
        <w:t xml:space="preserve">further </w:t>
      </w:r>
      <w:r w:rsidRPr="00822A59">
        <w:rPr>
          <w:rFonts w:ascii="Calibri" w:hAnsi="Calibri"/>
          <w:sz w:val="24"/>
          <w:szCs w:val="24"/>
        </w:rPr>
        <w:t>clarification</w:t>
      </w:r>
      <w:r w:rsidR="00285A7F">
        <w:rPr>
          <w:rFonts w:ascii="Calibri" w:hAnsi="Calibri"/>
          <w:sz w:val="24"/>
          <w:szCs w:val="24"/>
        </w:rPr>
        <w:t xml:space="preserve"> is requested from the applicant</w:t>
      </w:r>
      <w:r w:rsidRPr="00822A59">
        <w:rPr>
          <w:rFonts w:ascii="Calibri" w:hAnsi="Calibri"/>
          <w:sz w:val="24"/>
          <w:szCs w:val="24"/>
        </w:rPr>
        <w:t xml:space="preserve">. If the response is </w:t>
      </w:r>
      <w:r w:rsidR="00DB3210">
        <w:rPr>
          <w:rFonts w:ascii="Calibri" w:hAnsi="Calibri"/>
          <w:sz w:val="24"/>
          <w:szCs w:val="24"/>
        </w:rPr>
        <w:t xml:space="preserve">that the person is </w:t>
      </w:r>
      <w:r w:rsidRPr="00822A59">
        <w:rPr>
          <w:rFonts w:ascii="Calibri" w:hAnsi="Calibri"/>
          <w:sz w:val="24"/>
          <w:szCs w:val="24"/>
        </w:rPr>
        <w:t>not a vendor, executor</w:t>
      </w:r>
      <w:r w:rsidR="00765284">
        <w:rPr>
          <w:rFonts w:ascii="Calibri" w:hAnsi="Calibri"/>
          <w:sz w:val="24"/>
          <w:szCs w:val="24"/>
        </w:rPr>
        <w:t xml:space="preserve"> or</w:t>
      </w:r>
      <w:r w:rsidRPr="00822A59">
        <w:rPr>
          <w:rFonts w:ascii="Calibri" w:hAnsi="Calibri"/>
          <w:sz w:val="24"/>
          <w:szCs w:val="24"/>
        </w:rPr>
        <w:t xml:space="preserve"> </w:t>
      </w:r>
      <w:proofErr w:type="spellStart"/>
      <w:r w:rsidRPr="00822A59">
        <w:rPr>
          <w:rFonts w:ascii="Calibri" w:hAnsi="Calibri"/>
          <w:sz w:val="24"/>
          <w:szCs w:val="24"/>
        </w:rPr>
        <w:t>mortagee</w:t>
      </w:r>
      <w:proofErr w:type="spellEnd"/>
      <w:r w:rsidRPr="00822A59">
        <w:rPr>
          <w:rFonts w:ascii="Calibri" w:hAnsi="Calibri"/>
          <w:sz w:val="24"/>
          <w:szCs w:val="24"/>
        </w:rPr>
        <w:t xml:space="preserve"> then the application is cancelled.</w:t>
      </w:r>
    </w:p>
    <w:p w:rsidR="00F95EBE" w:rsidRPr="00822A59" w:rsidRDefault="00F95EBE" w:rsidP="003A67E6">
      <w:pPr>
        <w:pStyle w:val="Style14ptJustified"/>
        <w:keepLines/>
        <w:numPr>
          <w:ilvl w:val="1"/>
          <w:numId w:val="11"/>
        </w:numPr>
        <w:spacing w:after="240" w:line="276" w:lineRule="auto"/>
        <w:jc w:val="left"/>
        <w:rPr>
          <w:rFonts w:ascii="Calibri" w:hAnsi="Calibri"/>
          <w:sz w:val="24"/>
          <w:szCs w:val="24"/>
        </w:rPr>
      </w:pPr>
      <w:r w:rsidRPr="005F56F6">
        <w:rPr>
          <w:rFonts w:ascii="Calibri" w:hAnsi="Calibri"/>
          <w:sz w:val="24"/>
          <w:szCs w:val="24"/>
          <w:u w:val="single"/>
        </w:rPr>
        <w:t>Requests for Copy of Plan / Rates Notice</w:t>
      </w:r>
      <w:r w:rsidRPr="00822A59">
        <w:rPr>
          <w:rFonts w:ascii="Calibri" w:hAnsi="Calibri"/>
          <w:sz w:val="24"/>
          <w:szCs w:val="24"/>
        </w:rPr>
        <w:t xml:space="preserve"> </w:t>
      </w:r>
      <w:r w:rsidR="00DB3210">
        <w:rPr>
          <w:rFonts w:ascii="Calibri" w:hAnsi="Calibri"/>
          <w:sz w:val="24"/>
          <w:szCs w:val="24"/>
        </w:rPr>
        <w:t xml:space="preserve">– </w:t>
      </w:r>
      <w:r w:rsidRPr="00822A59">
        <w:rPr>
          <w:rFonts w:ascii="Calibri" w:hAnsi="Calibri"/>
          <w:sz w:val="24"/>
          <w:szCs w:val="24"/>
        </w:rPr>
        <w:t xml:space="preserve">if the </w:t>
      </w:r>
      <w:r w:rsidR="00285A7F">
        <w:rPr>
          <w:rFonts w:ascii="Calibri" w:hAnsi="Calibri"/>
          <w:sz w:val="24"/>
          <w:szCs w:val="24"/>
        </w:rPr>
        <w:t xml:space="preserve">property </w:t>
      </w:r>
      <w:r w:rsidRPr="00822A59">
        <w:rPr>
          <w:rFonts w:ascii="Calibri" w:hAnsi="Calibri"/>
          <w:sz w:val="24"/>
          <w:szCs w:val="24"/>
        </w:rPr>
        <w:t xml:space="preserve">information provided </w:t>
      </w:r>
      <w:r w:rsidR="00DB3210">
        <w:rPr>
          <w:rFonts w:ascii="Calibri" w:hAnsi="Calibri"/>
          <w:sz w:val="24"/>
          <w:szCs w:val="24"/>
        </w:rPr>
        <w:t>i</w:t>
      </w:r>
      <w:r w:rsidRPr="00822A59">
        <w:rPr>
          <w:rFonts w:ascii="Calibri" w:hAnsi="Calibri"/>
          <w:sz w:val="24"/>
          <w:szCs w:val="24"/>
        </w:rPr>
        <w:t xml:space="preserve">n the application is not </w:t>
      </w:r>
      <w:r w:rsidR="00DB3210" w:rsidRPr="00822A59">
        <w:rPr>
          <w:rFonts w:ascii="Calibri" w:hAnsi="Calibri"/>
          <w:sz w:val="24"/>
          <w:szCs w:val="24"/>
        </w:rPr>
        <w:t>sufficient</w:t>
      </w:r>
      <w:r w:rsidRPr="00822A59">
        <w:rPr>
          <w:rFonts w:ascii="Calibri" w:hAnsi="Calibri"/>
          <w:sz w:val="24"/>
          <w:szCs w:val="24"/>
        </w:rPr>
        <w:t xml:space="preserve"> to process the request or identify the land</w:t>
      </w:r>
      <w:r w:rsidR="00DB3210">
        <w:rPr>
          <w:rFonts w:ascii="Calibri" w:hAnsi="Calibri"/>
          <w:sz w:val="24"/>
          <w:szCs w:val="24"/>
        </w:rPr>
        <w:t xml:space="preserve">, then a copy of a rates notice, plan or certificate of title is </w:t>
      </w:r>
      <w:r w:rsidR="00574819">
        <w:rPr>
          <w:rFonts w:ascii="Calibri" w:hAnsi="Calibri"/>
          <w:sz w:val="24"/>
          <w:szCs w:val="24"/>
        </w:rPr>
        <w:t xml:space="preserve">requested from </w:t>
      </w:r>
      <w:r w:rsidR="00765284">
        <w:rPr>
          <w:rFonts w:ascii="Calibri" w:hAnsi="Calibri"/>
          <w:sz w:val="24"/>
          <w:szCs w:val="24"/>
        </w:rPr>
        <w:t>the applicant</w:t>
      </w:r>
      <w:r w:rsidR="00DB3210">
        <w:rPr>
          <w:rFonts w:ascii="Calibri" w:hAnsi="Calibri"/>
          <w:sz w:val="24"/>
          <w:szCs w:val="24"/>
        </w:rPr>
        <w:t xml:space="preserve">. </w:t>
      </w:r>
      <w:r w:rsidR="00AB4FF1">
        <w:rPr>
          <w:rFonts w:ascii="Calibri" w:hAnsi="Calibri"/>
          <w:sz w:val="24"/>
          <w:szCs w:val="24"/>
        </w:rPr>
        <w:t>This often occurs where a property has been newly created following a subdivision of the land.</w:t>
      </w:r>
      <w:r w:rsidR="00DB3210">
        <w:rPr>
          <w:rFonts w:ascii="Calibri" w:hAnsi="Calibri"/>
          <w:sz w:val="24"/>
          <w:szCs w:val="24"/>
        </w:rPr>
        <w:t xml:space="preserve"> </w:t>
      </w:r>
    </w:p>
    <w:p w:rsidR="00F95EBE" w:rsidRPr="00822A59" w:rsidRDefault="00765284" w:rsidP="003A67E6">
      <w:pPr>
        <w:pStyle w:val="Style14ptJustified"/>
        <w:keepLines/>
        <w:numPr>
          <w:ilvl w:val="1"/>
          <w:numId w:val="11"/>
        </w:numPr>
        <w:spacing w:after="240" w:line="276" w:lineRule="auto"/>
        <w:jc w:val="left"/>
        <w:rPr>
          <w:rFonts w:ascii="Calibri" w:hAnsi="Calibri"/>
          <w:sz w:val="24"/>
          <w:szCs w:val="24"/>
        </w:rPr>
      </w:pPr>
      <w:r w:rsidRPr="005F56F6">
        <w:rPr>
          <w:rFonts w:ascii="Calibri" w:hAnsi="Calibri"/>
          <w:sz w:val="24"/>
          <w:szCs w:val="24"/>
          <w:u w:val="single"/>
        </w:rPr>
        <w:t>Deceased Estates</w:t>
      </w:r>
      <w:r w:rsidR="00F95EBE" w:rsidRPr="00822A59">
        <w:rPr>
          <w:rFonts w:ascii="Calibri" w:hAnsi="Calibri"/>
          <w:sz w:val="24"/>
          <w:szCs w:val="24"/>
        </w:rPr>
        <w:t xml:space="preserve"> – </w:t>
      </w:r>
      <w:r>
        <w:rPr>
          <w:rFonts w:ascii="Calibri" w:hAnsi="Calibri"/>
          <w:sz w:val="24"/>
          <w:szCs w:val="24"/>
        </w:rPr>
        <w:t>if the</w:t>
      </w:r>
      <w:r w:rsidR="00F95EBE" w:rsidRPr="00822A59">
        <w:rPr>
          <w:rFonts w:ascii="Calibri" w:hAnsi="Calibri"/>
          <w:sz w:val="24"/>
          <w:szCs w:val="24"/>
        </w:rPr>
        <w:t xml:space="preserve"> </w:t>
      </w:r>
      <w:r>
        <w:rPr>
          <w:rFonts w:ascii="Calibri" w:hAnsi="Calibri"/>
          <w:sz w:val="24"/>
          <w:szCs w:val="24"/>
        </w:rPr>
        <w:t>vendor</w:t>
      </w:r>
      <w:r w:rsidR="00F95EBE" w:rsidRPr="00822A59">
        <w:rPr>
          <w:rFonts w:ascii="Calibri" w:hAnsi="Calibri"/>
          <w:sz w:val="24"/>
          <w:szCs w:val="24"/>
        </w:rPr>
        <w:t xml:space="preserve"> listed on the application is an executor and the SRO has not been notified of the Estate</w:t>
      </w:r>
      <w:r>
        <w:rPr>
          <w:rFonts w:ascii="Calibri" w:hAnsi="Calibri"/>
          <w:sz w:val="24"/>
          <w:szCs w:val="24"/>
        </w:rPr>
        <w:t xml:space="preserve">, </w:t>
      </w:r>
      <w:r w:rsidR="00285A7F">
        <w:rPr>
          <w:rFonts w:ascii="Calibri" w:hAnsi="Calibri"/>
          <w:sz w:val="24"/>
          <w:szCs w:val="24"/>
        </w:rPr>
        <w:t>further information (</w:t>
      </w:r>
      <w:proofErr w:type="spellStart"/>
      <w:r w:rsidR="00285A7F">
        <w:rPr>
          <w:rFonts w:ascii="Calibri" w:hAnsi="Calibri"/>
          <w:sz w:val="24"/>
          <w:szCs w:val="24"/>
        </w:rPr>
        <w:t>ie</w:t>
      </w:r>
      <w:proofErr w:type="spellEnd"/>
      <w:r w:rsidR="00285A7F">
        <w:rPr>
          <w:rFonts w:ascii="Calibri" w:hAnsi="Calibri"/>
          <w:sz w:val="24"/>
          <w:szCs w:val="24"/>
        </w:rPr>
        <w:t xml:space="preserve">. </w:t>
      </w:r>
      <w:r w:rsidR="00F95EBE" w:rsidRPr="00822A59">
        <w:rPr>
          <w:rFonts w:ascii="Calibri" w:hAnsi="Calibri"/>
          <w:sz w:val="24"/>
          <w:szCs w:val="24"/>
        </w:rPr>
        <w:t xml:space="preserve">the </w:t>
      </w:r>
      <w:r w:rsidRPr="00822A59">
        <w:rPr>
          <w:rFonts w:ascii="Calibri" w:hAnsi="Calibri"/>
          <w:sz w:val="24"/>
          <w:szCs w:val="24"/>
        </w:rPr>
        <w:t xml:space="preserve">name and address </w:t>
      </w:r>
      <w:r>
        <w:rPr>
          <w:rFonts w:ascii="Calibri" w:hAnsi="Calibri"/>
          <w:sz w:val="24"/>
          <w:szCs w:val="24"/>
        </w:rPr>
        <w:t xml:space="preserve">of the </w:t>
      </w:r>
      <w:r w:rsidRPr="00822A59">
        <w:rPr>
          <w:rFonts w:ascii="Calibri" w:hAnsi="Calibri"/>
          <w:sz w:val="24"/>
          <w:szCs w:val="24"/>
        </w:rPr>
        <w:t>Executor</w:t>
      </w:r>
      <w:r>
        <w:rPr>
          <w:rFonts w:ascii="Calibri" w:hAnsi="Calibri"/>
          <w:sz w:val="24"/>
          <w:szCs w:val="24"/>
        </w:rPr>
        <w:t xml:space="preserve"> and the</w:t>
      </w:r>
      <w:r w:rsidRPr="00822A59">
        <w:rPr>
          <w:rFonts w:ascii="Calibri" w:hAnsi="Calibri"/>
          <w:sz w:val="24"/>
          <w:szCs w:val="24"/>
        </w:rPr>
        <w:t xml:space="preserve"> d</w:t>
      </w:r>
      <w:r>
        <w:rPr>
          <w:rFonts w:ascii="Calibri" w:hAnsi="Calibri"/>
          <w:sz w:val="24"/>
          <w:szCs w:val="24"/>
        </w:rPr>
        <w:t>ate of death</w:t>
      </w:r>
      <w:r w:rsidR="00285A7F">
        <w:rPr>
          <w:rFonts w:ascii="Calibri" w:hAnsi="Calibri"/>
          <w:sz w:val="24"/>
          <w:szCs w:val="24"/>
        </w:rPr>
        <w:t>) is requested from the applicant</w:t>
      </w:r>
      <w:r w:rsidR="00285A7F" w:rsidRPr="00822A59">
        <w:rPr>
          <w:rFonts w:ascii="Calibri" w:hAnsi="Calibri"/>
          <w:sz w:val="24"/>
          <w:szCs w:val="24"/>
        </w:rPr>
        <w:t xml:space="preserve"> </w:t>
      </w:r>
      <w:r w:rsidR="00F95EBE" w:rsidRPr="00822A59">
        <w:rPr>
          <w:rFonts w:ascii="Calibri" w:hAnsi="Calibri"/>
          <w:sz w:val="24"/>
          <w:szCs w:val="24"/>
        </w:rPr>
        <w:t xml:space="preserve">so the </w:t>
      </w:r>
      <w:r w:rsidR="00285A7F">
        <w:rPr>
          <w:rFonts w:ascii="Calibri" w:hAnsi="Calibri"/>
          <w:sz w:val="24"/>
          <w:szCs w:val="24"/>
        </w:rPr>
        <w:t xml:space="preserve">correct land tax </w:t>
      </w:r>
      <w:r w:rsidR="00F95EBE" w:rsidRPr="00822A59">
        <w:rPr>
          <w:rFonts w:ascii="Calibri" w:hAnsi="Calibri"/>
          <w:sz w:val="24"/>
          <w:szCs w:val="24"/>
        </w:rPr>
        <w:t xml:space="preserve">liability can be </w:t>
      </w:r>
      <w:r w:rsidR="00285A7F">
        <w:rPr>
          <w:rFonts w:ascii="Calibri" w:hAnsi="Calibri"/>
          <w:sz w:val="24"/>
          <w:szCs w:val="24"/>
        </w:rPr>
        <w:t xml:space="preserve">determined and the clearance certificate </w:t>
      </w:r>
      <w:r w:rsidR="00F95EBE" w:rsidRPr="00822A59">
        <w:rPr>
          <w:rFonts w:ascii="Calibri" w:hAnsi="Calibri"/>
          <w:sz w:val="24"/>
          <w:szCs w:val="24"/>
        </w:rPr>
        <w:t>issued correctly.</w:t>
      </w:r>
    </w:p>
    <w:p w:rsidR="00F95EBE" w:rsidRPr="00765284" w:rsidRDefault="00F95EBE" w:rsidP="003A67E6">
      <w:pPr>
        <w:pStyle w:val="Style14ptJustified"/>
        <w:keepLines/>
        <w:numPr>
          <w:ilvl w:val="0"/>
          <w:numId w:val="11"/>
        </w:numPr>
        <w:spacing w:after="240" w:line="276" w:lineRule="auto"/>
        <w:jc w:val="left"/>
        <w:rPr>
          <w:rFonts w:ascii="Calibri" w:hAnsi="Calibri"/>
          <w:sz w:val="24"/>
          <w:szCs w:val="24"/>
        </w:rPr>
      </w:pPr>
      <w:r w:rsidRPr="005F56F6">
        <w:rPr>
          <w:rFonts w:ascii="Calibri" w:hAnsi="Calibri"/>
          <w:i/>
          <w:sz w:val="24"/>
          <w:szCs w:val="24"/>
        </w:rPr>
        <w:t>Future Year Applications</w:t>
      </w:r>
      <w:r w:rsidRPr="00765284">
        <w:rPr>
          <w:rFonts w:ascii="Calibri" w:hAnsi="Calibri"/>
          <w:sz w:val="24"/>
          <w:szCs w:val="24"/>
        </w:rPr>
        <w:t xml:space="preserve"> – Each year </w:t>
      </w:r>
      <w:r w:rsidR="00765284">
        <w:rPr>
          <w:rFonts w:ascii="Calibri" w:hAnsi="Calibri"/>
          <w:sz w:val="24"/>
          <w:szCs w:val="24"/>
        </w:rPr>
        <w:t>the SRO</w:t>
      </w:r>
      <w:r w:rsidRPr="00765284">
        <w:rPr>
          <w:rFonts w:ascii="Calibri" w:hAnsi="Calibri"/>
          <w:sz w:val="24"/>
          <w:szCs w:val="24"/>
        </w:rPr>
        <w:t xml:space="preserve"> receive</w:t>
      </w:r>
      <w:r w:rsidR="00765284">
        <w:rPr>
          <w:rFonts w:ascii="Calibri" w:hAnsi="Calibri"/>
          <w:sz w:val="24"/>
          <w:szCs w:val="24"/>
        </w:rPr>
        <w:t>s</w:t>
      </w:r>
      <w:r w:rsidRPr="00765284">
        <w:rPr>
          <w:rFonts w:ascii="Calibri" w:hAnsi="Calibri"/>
          <w:sz w:val="24"/>
          <w:szCs w:val="24"/>
        </w:rPr>
        <w:t xml:space="preserve"> </w:t>
      </w:r>
      <w:r w:rsidR="00574819">
        <w:rPr>
          <w:rFonts w:ascii="Calibri" w:hAnsi="Calibri"/>
          <w:sz w:val="24"/>
          <w:szCs w:val="24"/>
        </w:rPr>
        <w:t>clearance certificate</w:t>
      </w:r>
      <w:r w:rsidRPr="00765284">
        <w:rPr>
          <w:rFonts w:ascii="Calibri" w:hAnsi="Calibri"/>
          <w:sz w:val="24"/>
          <w:szCs w:val="24"/>
        </w:rPr>
        <w:t xml:space="preserve"> applications </w:t>
      </w:r>
      <w:r w:rsidR="00765284">
        <w:rPr>
          <w:rFonts w:ascii="Calibri" w:hAnsi="Calibri"/>
          <w:sz w:val="24"/>
          <w:szCs w:val="24"/>
        </w:rPr>
        <w:t xml:space="preserve">late in the year </w:t>
      </w:r>
      <w:r w:rsidRPr="00765284">
        <w:rPr>
          <w:rFonts w:ascii="Calibri" w:hAnsi="Calibri"/>
          <w:sz w:val="24"/>
          <w:szCs w:val="24"/>
        </w:rPr>
        <w:t xml:space="preserve">where the settlement date is in the next </w:t>
      </w:r>
      <w:r w:rsidR="00765284" w:rsidRPr="00765284">
        <w:rPr>
          <w:rFonts w:ascii="Calibri" w:hAnsi="Calibri"/>
          <w:sz w:val="24"/>
          <w:szCs w:val="24"/>
        </w:rPr>
        <w:t>calendar</w:t>
      </w:r>
      <w:r w:rsidRPr="00765284">
        <w:rPr>
          <w:rFonts w:ascii="Calibri" w:hAnsi="Calibri"/>
          <w:sz w:val="24"/>
          <w:szCs w:val="24"/>
        </w:rPr>
        <w:t xml:space="preserve"> year. </w:t>
      </w:r>
      <w:r w:rsidR="00765284">
        <w:rPr>
          <w:rFonts w:ascii="Calibri" w:hAnsi="Calibri"/>
          <w:sz w:val="24"/>
          <w:szCs w:val="24"/>
        </w:rPr>
        <w:t xml:space="preserve">In these instances, the </w:t>
      </w:r>
      <w:r w:rsidR="00765284" w:rsidRPr="00765284">
        <w:rPr>
          <w:rFonts w:ascii="Calibri" w:hAnsi="Calibri"/>
          <w:sz w:val="24"/>
          <w:szCs w:val="24"/>
        </w:rPr>
        <w:t>SRO</w:t>
      </w:r>
      <w:r w:rsidRPr="00765284">
        <w:rPr>
          <w:rFonts w:ascii="Calibri" w:hAnsi="Calibri"/>
          <w:sz w:val="24"/>
          <w:szCs w:val="24"/>
        </w:rPr>
        <w:t xml:space="preserve"> </w:t>
      </w:r>
      <w:r w:rsidR="00765284">
        <w:rPr>
          <w:rFonts w:ascii="Calibri" w:hAnsi="Calibri"/>
          <w:sz w:val="24"/>
          <w:szCs w:val="24"/>
        </w:rPr>
        <w:t xml:space="preserve">generally </w:t>
      </w:r>
      <w:r w:rsidRPr="00765284">
        <w:rPr>
          <w:rFonts w:ascii="Calibri" w:hAnsi="Calibri"/>
          <w:sz w:val="24"/>
          <w:szCs w:val="24"/>
        </w:rPr>
        <w:t xml:space="preserve">will not </w:t>
      </w:r>
      <w:r w:rsidR="00765284">
        <w:rPr>
          <w:rFonts w:ascii="Calibri" w:hAnsi="Calibri"/>
          <w:sz w:val="24"/>
          <w:szCs w:val="24"/>
        </w:rPr>
        <w:t>issue a clearance certificate until after 1 January, once the n</w:t>
      </w:r>
      <w:r w:rsidRPr="00765284">
        <w:rPr>
          <w:rFonts w:ascii="Calibri" w:hAnsi="Calibri"/>
          <w:sz w:val="24"/>
          <w:szCs w:val="24"/>
        </w:rPr>
        <w:t>ew tax year liability is created.</w:t>
      </w:r>
      <w:r w:rsidR="00765284">
        <w:rPr>
          <w:rFonts w:ascii="Calibri" w:hAnsi="Calibri"/>
          <w:sz w:val="24"/>
          <w:szCs w:val="24"/>
        </w:rPr>
        <w:t xml:space="preserve"> This is to ensure that the most up to date information on land tax liabilities </w:t>
      </w:r>
      <w:r w:rsidR="00574819">
        <w:rPr>
          <w:rFonts w:ascii="Calibri" w:hAnsi="Calibri"/>
          <w:sz w:val="24"/>
          <w:szCs w:val="24"/>
        </w:rPr>
        <w:t>are included in the clearance certificate to</w:t>
      </w:r>
      <w:r w:rsidR="00765284">
        <w:rPr>
          <w:rFonts w:ascii="Calibri" w:hAnsi="Calibri"/>
          <w:sz w:val="24"/>
          <w:szCs w:val="24"/>
        </w:rPr>
        <w:t xml:space="preserve"> be used at settlement.</w:t>
      </w:r>
    </w:p>
    <w:p w:rsidR="00B2248E" w:rsidRDefault="00142D66" w:rsidP="001D160F">
      <w:pPr>
        <w:pStyle w:val="Style14ptJustified"/>
        <w:keepLines/>
        <w:spacing w:after="240" w:line="276" w:lineRule="auto"/>
        <w:jc w:val="left"/>
        <w:rPr>
          <w:rFonts w:ascii="Calibri" w:hAnsi="Calibri"/>
          <w:sz w:val="24"/>
          <w:szCs w:val="24"/>
        </w:rPr>
      </w:pPr>
      <w:r>
        <w:rPr>
          <w:rFonts w:ascii="Calibri" w:hAnsi="Calibri"/>
          <w:sz w:val="24"/>
          <w:szCs w:val="24"/>
        </w:rPr>
        <w:t>It is</w:t>
      </w:r>
      <w:r w:rsidR="00DC5191">
        <w:rPr>
          <w:rFonts w:ascii="Calibri" w:hAnsi="Calibri"/>
          <w:sz w:val="24"/>
          <w:szCs w:val="24"/>
        </w:rPr>
        <w:t xml:space="preserve"> estimate</w:t>
      </w:r>
      <w:r>
        <w:rPr>
          <w:rFonts w:ascii="Calibri" w:hAnsi="Calibri"/>
          <w:sz w:val="24"/>
          <w:szCs w:val="24"/>
        </w:rPr>
        <w:t>d</w:t>
      </w:r>
      <w:r w:rsidR="00DC5191">
        <w:rPr>
          <w:rFonts w:ascii="Calibri" w:hAnsi="Calibri"/>
          <w:sz w:val="24"/>
          <w:szCs w:val="24"/>
        </w:rPr>
        <w:t xml:space="preserve"> that around 30</w:t>
      </w:r>
      <w:r w:rsidR="00B06E15">
        <w:rPr>
          <w:rFonts w:ascii="Calibri" w:hAnsi="Calibri"/>
          <w:sz w:val="24"/>
          <w:szCs w:val="24"/>
        </w:rPr>
        <w:t xml:space="preserve"> per cent </w:t>
      </w:r>
      <w:r w:rsidR="00DC5191">
        <w:rPr>
          <w:rFonts w:ascii="Calibri" w:hAnsi="Calibri"/>
          <w:sz w:val="24"/>
          <w:szCs w:val="24"/>
        </w:rPr>
        <w:t xml:space="preserve">of online applications require manual intervention by SRO staff. </w:t>
      </w:r>
      <w:r w:rsidR="00993F51">
        <w:rPr>
          <w:rFonts w:ascii="Calibri" w:hAnsi="Calibri"/>
          <w:sz w:val="24"/>
          <w:szCs w:val="24"/>
        </w:rPr>
        <w:t>O</w:t>
      </w:r>
      <w:r w:rsidR="00DC5191">
        <w:rPr>
          <w:rFonts w:ascii="Calibri" w:hAnsi="Calibri"/>
          <w:sz w:val="24"/>
          <w:szCs w:val="24"/>
        </w:rPr>
        <w:t xml:space="preserve">nline applications are generally referred to staff at the VPS 2 and </w:t>
      </w:r>
      <w:r w:rsidR="00993F51">
        <w:rPr>
          <w:rFonts w:ascii="Calibri" w:hAnsi="Calibri"/>
          <w:sz w:val="24"/>
          <w:szCs w:val="24"/>
        </w:rPr>
        <w:t xml:space="preserve">VPS </w:t>
      </w:r>
      <w:r w:rsidR="00DC5191">
        <w:rPr>
          <w:rFonts w:ascii="Calibri" w:hAnsi="Calibri"/>
          <w:sz w:val="24"/>
          <w:szCs w:val="24"/>
        </w:rPr>
        <w:t>3 level in the first instance.</w:t>
      </w:r>
      <w:r w:rsidR="00993F51">
        <w:rPr>
          <w:rFonts w:ascii="Calibri" w:hAnsi="Calibri"/>
          <w:sz w:val="24"/>
          <w:szCs w:val="24"/>
        </w:rPr>
        <w:t xml:space="preserve"> </w:t>
      </w:r>
      <w:r w:rsidR="00B2248E">
        <w:rPr>
          <w:rFonts w:ascii="Calibri" w:hAnsi="Calibri"/>
          <w:sz w:val="24"/>
          <w:szCs w:val="24"/>
        </w:rPr>
        <w:t>The time required to rectify these issues ranges from a couple of minutes (</w:t>
      </w:r>
      <w:proofErr w:type="spellStart"/>
      <w:r w:rsidR="00B2248E">
        <w:rPr>
          <w:rFonts w:ascii="Calibri" w:hAnsi="Calibri"/>
          <w:sz w:val="24"/>
          <w:szCs w:val="24"/>
        </w:rPr>
        <w:t>ie</w:t>
      </w:r>
      <w:proofErr w:type="spellEnd"/>
      <w:r w:rsidR="00B2248E">
        <w:rPr>
          <w:rFonts w:ascii="Calibri" w:hAnsi="Calibri"/>
          <w:sz w:val="24"/>
          <w:szCs w:val="24"/>
        </w:rPr>
        <w:t xml:space="preserve">. minor discrepancies in vendor name or property address which can be easily rectified) </w:t>
      </w:r>
      <w:r w:rsidR="005B5476">
        <w:rPr>
          <w:rFonts w:ascii="Calibri" w:hAnsi="Calibri"/>
          <w:sz w:val="24"/>
          <w:szCs w:val="24"/>
        </w:rPr>
        <w:t xml:space="preserve">up </w:t>
      </w:r>
      <w:r w:rsidR="00B2248E">
        <w:rPr>
          <w:rFonts w:ascii="Calibri" w:hAnsi="Calibri"/>
          <w:sz w:val="24"/>
          <w:szCs w:val="24"/>
        </w:rPr>
        <w:t xml:space="preserve">to several days </w:t>
      </w:r>
      <w:r w:rsidR="005B5476">
        <w:rPr>
          <w:rFonts w:ascii="Calibri" w:hAnsi="Calibri"/>
          <w:sz w:val="24"/>
          <w:szCs w:val="24"/>
        </w:rPr>
        <w:t>if</w:t>
      </w:r>
      <w:r w:rsidR="00B2248E">
        <w:rPr>
          <w:rFonts w:ascii="Calibri" w:hAnsi="Calibri"/>
          <w:sz w:val="24"/>
          <w:szCs w:val="24"/>
        </w:rPr>
        <w:t xml:space="preserve"> further data is required to verify </w:t>
      </w:r>
      <w:r w:rsidR="00AB4FF1">
        <w:rPr>
          <w:rFonts w:ascii="Calibri" w:hAnsi="Calibri"/>
          <w:sz w:val="24"/>
          <w:szCs w:val="24"/>
        </w:rPr>
        <w:t>an</w:t>
      </w:r>
      <w:r w:rsidR="00B2248E">
        <w:rPr>
          <w:rFonts w:ascii="Calibri" w:hAnsi="Calibri"/>
          <w:sz w:val="24"/>
          <w:szCs w:val="24"/>
        </w:rPr>
        <w:t xml:space="preserve"> application (</w:t>
      </w:r>
      <w:proofErr w:type="spellStart"/>
      <w:r w:rsidR="00B2248E">
        <w:rPr>
          <w:rFonts w:ascii="Calibri" w:hAnsi="Calibri"/>
          <w:sz w:val="24"/>
          <w:szCs w:val="24"/>
        </w:rPr>
        <w:t>ie</w:t>
      </w:r>
      <w:proofErr w:type="spellEnd"/>
      <w:r w:rsidR="00B2248E">
        <w:rPr>
          <w:rFonts w:ascii="Calibri" w:hAnsi="Calibri"/>
          <w:sz w:val="24"/>
          <w:szCs w:val="24"/>
        </w:rPr>
        <w:t xml:space="preserve">. deceased estates, </w:t>
      </w:r>
      <w:r w:rsidR="00AB4FF1">
        <w:rPr>
          <w:rFonts w:ascii="Calibri" w:hAnsi="Calibri"/>
          <w:sz w:val="24"/>
          <w:szCs w:val="24"/>
        </w:rPr>
        <w:t xml:space="preserve">newly created properties). The SRO estimates that these applications, on average, take approximately 5 minutes to </w:t>
      </w:r>
      <w:r w:rsidR="00855436">
        <w:rPr>
          <w:rFonts w:ascii="Calibri" w:hAnsi="Calibri"/>
          <w:sz w:val="24"/>
          <w:szCs w:val="24"/>
        </w:rPr>
        <w:t>resolve</w:t>
      </w:r>
      <w:r w:rsidR="00AB4FF1">
        <w:rPr>
          <w:rFonts w:ascii="Calibri" w:hAnsi="Calibri"/>
          <w:sz w:val="24"/>
          <w:szCs w:val="24"/>
        </w:rPr>
        <w:t xml:space="preserve">. </w:t>
      </w:r>
    </w:p>
    <w:p w:rsidR="00DC5191" w:rsidRDefault="00993F51" w:rsidP="001D160F">
      <w:pPr>
        <w:pStyle w:val="Style14ptJustified"/>
        <w:keepLines/>
        <w:spacing w:after="240" w:line="276" w:lineRule="auto"/>
        <w:jc w:val="left"/>
        <w:rPr>
          <w:rFonts w:ascii="Calibri" w:hAnsi="Calibri"/>
          <w:sz w:val="24"/>
          <w:szCs w:val="24"/>
        </w:rPr>
      </w:pPr>
      <w:r>
        <w:rPr>
          <w:rFonts w:ascii="Calibri" w:hAnsi="Calibri"/>
          <w:sz w:val="24"/>
          <w:szCs w:val="24"/>
        </w:rPr>
        <w:lastRenderedPageBreak/>
        <w:t xml:space="preserve">Depending on the issues preventing the issuing of the certificate, </w:t>
      </w:r>
      <w:r w:rsidR="00AB4FF1">
        <w:rPr>
          <w:rFonts w:ascii="Calibri" w:hAnsi="Calibri"/>
          <w:sz w:val="24"/>
          <w:szCs w:val="24"/>
        </w:rPr>
        <w:t xml:space="preserve">some applications </w:t>
      </w:r>
      <w:r>
        <w:rPr>
          <w:rFonts w:ascii="Calibri" w:hAnsi="Calibri"/>
          <w:sz w:val="24"/>
          <w:szCs w:val="24"/>
        </w:rPr>
        <w:t xml:space="preserve">may be </w:t>
      </w:r>
      <w:r w:rsidR="00B2248E">
        <w:rPr>
          <w:rFonts w:ascii="Calibri" w:hAnsi="Calibri"/>
          <w:sz w:val="24"/>
          <w:szCs w:val="24"/>
        </w:rPr>
        <w:t xml:space="preserve">escalated </w:t>
      </w:r>
      <w:r w:rsidR="00824C8F">
        <w:rPr>
          <w:rFonts w:ascii="Calibri" w:hAnsi="Calibri"/>
          <w:sz w:val="24"/>
          <w:szCs w:val="24"/>
        </w:rPr>
        <w:t>to staff at the VPS 4 level</w:t>
      </w:r>
      <w:r w:rsidR="00AB4FF1">
        <w:rPr>
          <w:rFonts w:ascii="Calibri" w:hAnsi="Calibri"/>
          <w:sz w:val="24"/>
          <w:szCs w:val="24"/>
        </w:rPr>
        <w:t xml:space="preserve"> for resolution.</w:t>
      </w:r>
      <w:r w:rsidR="00824C8F">
        <w:rPr>
          <w:rFonts w:ascii="Calibri" w:hAnsi="Calibri"/>
          <w:sz w:val="24"/>
          <w:szCs w:val="24"/>
        </w:rPr>
        <w:t xml:space="preserve"> For example, </w:t>
      </w:r>
      <w:r w:rsidR="00B2248E">
        <w:rPr>
          <w:rFonts w:ascii="Calibri" w:hAnsi="Calibri"/>
          <w:sz w:val="24"/>
          <w:szCs w:val="24"/>
        </w:rPr>
        <w:t xml:space="preserve">deceased estate matters, </w:t>
      </w:r>
      <w:r w:rsidR="00AB4FF1">
        <w:rPr>
          <w:rFonts w:ascii="Calibri" w:hAnsi="Calibri"/>
          <w:sz w:val="24"/>
          <w:szCs w:val="24"/>
        </w:rPr>
        <w:t xml:space="preserve">requests which require </w:t>
      </w:r>
      <w:r w:rsidR="00824C8F">
        <w:rPr>
          <w:rFonts w:ascii="Calibri" w:hAnsi="Calibri"/>
          <w:sz w:val="24"/>
          <w:szCs w:val="24"/>
        </w:rPr>
        <w:t>a manual certificate to be generated</w:t>
      </w:r>
      <w:r w:rsidR="00AB4FF1">
        <w:rPr>
          <w:rFonts w:ascii="Calibri" w:hAnsi="Calibri"/>
          <w:sz w:val="24"/>
          <w:szCs w:val="24"/>
        </w:rPr>
        <w:t xml:space="preserve"> (special taxpayers and large land holders)</w:t>
      </w:r>
      <w:r w:rsidR="00396221">
        <w:rPr>
          <w:rFonts w:ascii="Calibri" w:hAnsi="Calibri"/>
          <w:sz w:val="24"/>
          <w:szCs w:val="24"/>
        </w:rPr>
        <w:t xml:space="preserve"> or </w:t>
      </w:r>
      <w:r w:rsidR="00B2248E">
        <w:rPr>
          <w:rFonts w:ascii="Calibri" w:hAnsi="Calibri"/>
          <w:sz w:val="24"/>
          <w:szCs w:val="24"/>
        </w:rPr>
        <w:t xml:space="preserve">where </w:t>
      </w:r>
      <w:r w:rsidR="00396221">
        <w:rPr>
          <w:rFonts w:ascii="Calibri" w:hAnsi="Calibri"/>
          <w:sz w:val="24"/>
          <w:szCs w:val="24"/>
        </w:rPr>
        <w:t>there is an objection on hand which may affect the land tax liability</w:t>
      </w:r>
      <w:r w:rsidR="00824C8F">
        <w:rPr>
          <w:rFonts w:ascii="Calibri" w:hAnsi="Calibri"/>
          <w:sz w:val="24"/>
          <w:szCs w:val="24"/>
        </w:rPr>
        <w:t xml:space="preserve">. </w:t>
      </w:r>
      <w:r w:rsidR="00B33676">
        <w:rPr>
          <w:rFonts w:ascii="Calibri" w:hAnsi="Calibri"/>
          <w:sz w:val="24"/>
          <w:szCs w:val="24"/>
        </w:rPr>
        <w:t>It is estimated that up to 10</w:t>
      </w:r>
      <w:r w:rsidR="00B06E15">
        <w:rPr>
          <w:rFonts w:ascii="Calibri" w:hAnsi="Calibri"/>
          <w:sz w:val="24"/>
          <w:szCs w:val="24"/>
        </w:rPr>
        <w:t xml:space="preserve"> per cent </w:t>
      </w:r>
      <w:r w:rsidR="00B33676">
        <w:rPr>
          <w:rFonts w:ascii="Calibri" w:hAnsi="Calibri"/>
          <w:sz w:val="24"/>
          <w:szCs w:val="24"/>
        </w:rPr>
        <w:t xml:space="preserve">of applications requiring manual intervention are escalated to staff at VPS 4 </w:t>
      </w:r>
      <w:r w:rsidR="00855436">
        <w:rPr>
          <w:rFonts w:ascii="Calibri" w:hAnsi="Calibri"/>
          <w:sz w:val="24"/>
          <w:szCs w:val="24"/>
        </w:rPr>
        <w:t xml:space="preserve">level </w:t>
      </w:r>
      <w:r w:rsidR="00B33676">
        <w:rPr>
          <w:rFonts w:ascii="Calibri" w:hAnsi="Calibri"/>
          <w:sz w:val="24"/>
          <w:szCs w:val="24"/>
        </w:rPr>
        <w:t>a</w:t>
      </w:r>
      <w:r w:rsidRPr="00DC5191">
        <w:rPr>
          <w:rFonts w:ascii="Calibri" w:hAnsi="Calibri"/>
          <w:sz w:val="24"/>
          <w:szCs w:val="24"/>
        </w:rPr>
        <w:t xml:space="preserve">nd </w:t>
      </w:r>
      <w:r w:rsidR="00855436">
        <w:rPr>
          <w:rFonts w:ascii="Calibri" w:hAnsi="Calibri"/>
          <w:sz w:val="24"/>
          <w:szCs w:val="24"/>
        </w:rPr>
        <w:t xml:space="preserve">in some instances </w:t>
      </w:r>
      <w:r w:rsidRPr="00DC5191">
        <w:rPr>
          <w:rFonts w:ascii="Calibri" w:hAnsi="Calibri"/>
          <w:sz w:val="24"/>
          <w:szCs w:val="24"/>
        </w:rPr>
        <w:t xml:space="preserve">may </w:t>
      </w:r>
      <w:r>
        <w:rPr>
          <w:rFonts w:ascii="Calibri" w:hAnsi="Calibri"/>
          <w:sz w:val="24"/>
          <w:szCs w:val="24"/>
        </w:rPr>
        <w:t xml:space="preserve">require </w:t>
      </w:r>
      <w:r w:rsidR="00B33676">
        <w:rPr>
          <w:rFonts w:ascii="Calibri" w:hAnsi="Calibri"/>
          <w:sz w:val="24"/>
          <w:szCs w:val="24"/>
        </w:rPr>
        <w:t xml:space="preserve">additional </w:t>
      </w:r>
      <w:r>
        <w:rPr>
          <w:rFonts w:ascii="Calibri" w:hAnsi="Calibri"/>
          <w:sz w:val="24"/>
          <w:szCs w:val="24"/>
        </w:rPr>
        <w:t xml:space="preserve">involvement from </w:t>
      </w:r>
      <w:r w:rsidR="00DC5191" w:rsidRPr="00DC5191">
        <w:rPr>
          <w:rFonts w:ascii="Calibri" w:hAnsi="Calibri"/>
          <w:sz w:val="24"/>
          <w:szCs w:val="24"/>
        </w:rPr>
        <w:t>staff at different levels, includ</w:t>
      </w:r>
      <w:r>
        <w:rPr>
          <w:rFonts w:ascii="Calibri" w:hAnsi="Calibri"/>
          <w:sz w:val="24"/>
          <w:szCs w:val="24"/>
        </w:rPr>
        <w:t>ing</w:t>
      </w:r>
      <w:r w:rsidR="00DC5191" w:rsidRPr="00DC5191">
        <w:rPr>
          <w:rFonts w:ascii="Calibri" w:hAnsi="Calibri"/>
          <w:sz w:val="24"/>
          <w:szCs w:val="24"/>
        </w:rPr>
        <w:t xml:space="preserve"> direct involvement by the </w:t>
      </w:r>
      <w:r w:rsidR="00396221">
        <w:rPr>
          <w:rFonts w:ascii="Calibri" w:hAnsi="Calibri"/>
          <w:sz w:val="24"/>
          <w:szCs w:val="24"/>
        </w:rPr>
        <w:t xml:space="preserve">Team Leader or </w:t>
      </w:r>
      <w:r w:rsidR="00DC5191" w:rsidRPr="00DC5191">
        <w:rPr>
          <w:rFonts w:ascii="Calibri" w:hAnsi="Calibri"/>
          <w:sz w:val="24"/>
          <w:szCs w:val="24"/>
        </w:rPr>
        <w:t>Branch Manager.</w:t>
      </w:r>
      <w:r w:rsidR="00396221">
        <w:rPr>
          <w:rFonts w:ascii="Calibri" w:hAnsi="Calibri"/>
          <w:sz w:val="24"/>
          <w:szCs w:val="24"/>
        </w:rPr>
        <w:t xml:space="preserve"> </w:t>
      </w:r>
    </w:p>
    <w:p w:rsidR="001E228F" w:rsidRDefault="00396221" w:rsidP="001D160F">
      <w:pPr>
        <w:pStyle w:val="Style14ptJustified"/>
        <w:keepLines/>
        <w:spacing w:after="240" w:line="276" w:lineRule="auto"/>
        <w:jc w:val="left"/>
        <w:rPr>
          <w:rFonts w:ascii="Calibri" w:hAnsi="Calibri"/>
          <w:sz w:val="24"/>
          <w:szCs w:val="24"/>
        </w:rPr>
      </w:pPr>
      <w:r>
        <w:rPr>
          <w:rFonts w:ascii="Calibri" w:hAnsi="Calibri"/>
          <w:sz w:val="24"/>
          <w:szCs w:val="24"/>
        </w:rPr>
        <w:t>The turnaround time for non-automated online</w:t>
      </w:r>
      <w:r w:rsidR="001E228F" w:rsidRPr="00011FEE">
        <w:rPr>
          <w:rFonts w:ascii="Calibri" w:hAnsi="Calibri"/>
          <w:sz w:val="24"/>
          <w:szCs w:val="24"/>
        </w:rPr>
        <w:t xml:space="preserve"> </w:t>
      </w:r>
      <w:r w:rsidR="001E228F">
        <w:rPr>
          <w:rFonts w:ascii="Calibri" w:hAnsi="Calibri"/>
          <w:sz w:val="24"/>
          <w:szCs w:val="24"/>
        </w:rPr>
        <w:t>clearance</w:t>
      </w:r>
      <w:r w:rsidR="001E228F" w:rsidRPr="00011FEE">
        <w:rPr>
          <w:rFonts w:ascii="Calibri" w:hAnsi="Calibri"/>
          <w:sz w:val="24"/>
          <w:szCs w:val="24"/>
        </w:rPr>
        <w:t xml:space="preserve"> </w:t>
      </w:r>
      <w:r w:rsidR="001E228F">
        <w:rPr>
          <w:rFonts w:ascii="Calibri" w:hAnsi="Calibri"/>
          <w:sz w:val="24"/>
          <w:szCs w:val="24"/>
        </w:rPr>
        <w:t>c</w:t>
      </w:r>
      <w:r w:rsidR="001E228F" w:rsidRPr="00011FEE">
        <w:rPr>
          <w:rFonts w:ascii="Calibri" w:hAnsi="Calibri"/>
          <w:sz w:val="24"/>
          <w:szCs w:val="24"/>
        </w:rPr>
        <w:t>ertificate</w:t>
      </w:r>
      <w:r>
        <w:rPr>
          <w:rFonts w:ascii="Calibri" w:hAnsi="Calibri"/>
          <w:sz w:val="24"/>
          <w:szCs w:val="24"/>
        </w:rPr>
        <w:t>s</w:t>
      </w:r>
      <w:r w:rsidR="001E228F" w:rsidRPr="00011FEE">
        <w:rPr>
          <w:rFonts w:ascii="Calibri" w:hAnsi="Calibri"/>
          <w:sz w:val="24"/>
          <w:szCs w:val="24"/>
        </w:rPr>
        <w:t xml:space="preserve"> is </w:t>
      </w:r>
      <w:r w:rsidR="002F77C7">
        <w:rPr>
          <w:rFonts w:ascii="Calibri" w:hAnsi="Calibri"/>
          <w:sz w:val="24"/>
          <w:szCs w:val="24"/>
        </w:rPr>
        <w:t>up to</w:t>
      </w:r>
      <w:r w:rsidR="001E228F">
        <w:rPr>
          <w:rFonts w:ascii="Calibri" w:hAnsi="Calibri"/>
          <w:sz w:val="24"/>
          <w:szCs w:val="24"/>
        </w:rPr>
        <w:t xml:space="preserve"> </w:t>
      </w:r>
      <w:r w:rsidR="001E228F" w:rsidRPr="00011FEE">
        <w:rPr>
          <w:rFonts w:ascii="Calibri" w:hAnsi="Calibri"/>
          <w:sz w:val="24"/>
          <w:szCs w:val="24"/>
        </w:rPr>
        <w:t>10 working days from the day the application is received</w:t>
      </w:r>
      <w:r w:rsidR="001E228F">
        <w:rPr>
          <w:rFonts w:ascii="Calibri" w:hAnsi="Calibri"/>
          <w:sz w:val="24"/>
          <w:szCs w:val="24"/>
        </w:rPr>
        <w:t xml:space="preserve"> by the SRO</w:t>
      </w:r>
      <w:r w:rsidR="001E228F" w:rsidRPr="00011FEE">
        <w:rPr>
          <w:rFonts w:ascii="Calibri" w:hAnsi="Calibri"/>
          <w:sz w:val="24"/>
          <w:szCs w:val="24"/>
        </w:rPr>
        <w:t xml:space="preserve">. </w:t>
      </w:r>
    </w:p>
    <w:p w:rsidR="006B6813" w:rsidRPr="005F56F6" w:rsidRDefault="002F77C7" w:rsidP="001D160F">
      <w:pPr>
        <w:pStyle w:val="Style14ptJustified"/>
        <w:keepLines/>
        <w:spacing w:after="240" w:line="276" w:lineRule="auto"/>
        <w:jc w:val="left"/>
        <w:rPr>
          <w:rFonts w:ascii="Calibri" w:hAnsi="Calibri"/>
          <w:b/>
          <w:sz w:val="24"/>
          <w:szCs w:val="24"/>
        </w:rPr>
      </w:pPr>
      <w:r w:rsidRPr="005F56F6">
        <w:rPr>
          <w:rFonts w:ascii="Calibri" w:hAnsi="Calibri"/>
          <w:b/>
          <w:sz w:val="24"/>
          <w:szCs w:val="24"/>
        </w:rPr>
        <w:t>P</w:t>
      </w:r>
      <w:r w:rsidR="00336AB3" w:rsidRPr="005F56F6">
        <w:rPr>
          <w:rFonts w:ascii="Calibri" w:hAnsi="Calibri"/>
          <w:b/>
          <w:sz w:val="24"/>
          <w:szCs w:val="24"/>
        </w:rPr>
        <w:t>aper applications</w:t>
      </w:r>
    </w:p>
    <w:p w:rsidR="00E10DB8" w:rsidRDefault="00E10DB8" w:rsidP="001D160F">
      <w:pPr>
        <w:pStyle w:val="Style14ptJustified"/>
        <w:keepLines/>
        <w:spacing w:after="240" w:line="276" w:lineRule="auto"/>
        <w:jc w:val="left"/>
        <w:rPr>
          <w:rFonts w:ascii="Calibri" w:hAnsi="Calibri"/>
          <w:sz w:val="24"/>
          <w:szCs w:val="24"/>
        </w:rPr>
      </w:pPr>
      <w:r>
        <w:rPr>
          <w:rFonts w:ascii="Calibri" w:hAnsi="Calibri"/>
          <w:sz w:val="24"/>
          <w:szCs w:val="24"/>
        </w:rPr>
        <w:t xml:space="preserve">Due to significant improvements to the </w:t>
      </w:r>
      <w:r w:rsidRPr="00832D4E">
        <w:rPr>
          <w:rFonts w:ascii="Calibri" w:hAnsi="Calibri"/>
          <w:sz w:val="24"/>
          <w:szCs w:val="24"/>
        </w:rPr>
        <w:t>land tax clearance certificate online system</w:t>
      </w:r>
      <w:r>
        <w:rPr>
          <w:rFonts w:ascii="Calibri" w:hAnsi="Calibri"/>
          <w:sz w:val="24"/>
          <w:szCs w:val="24"/>
        </w:rPr>
        <w:t xml:space="preserve"> since the 2005 </w:t>
      </w:r>
      <w:r w:rsidR="00CC341E">
        <w:rPr>
          <w:rFonts w:ascii="Calibri" w:hAnsi="Calibri"/>
          <w:sz w:val="24"/>
          <w:szCs w:val="24"/>
        </w:rPr>
        <w:t>Regulations</w:t>
      </w:r>
      <w:r>
        <w:rPr>
          <w:rFonts w:ascii="Calibri" w:hAnsi="Calibri"/>
          <w:sz w:val="24"/>
          <w:szCs w:val="24"/>
        </w:rPr>
        <w:t xml:space="preserve"> were made, </w:t>
      </w:r>
      <w:r w:rsidRPr="00414345">
        <w:rPr>
          <w:rFonts w:ascii="Calibri" w:hAnsi="Calibri"/>
          <w:sz w:val="24"/>
          <w:szCs w:val="24"/>
        </w:rPr>
        <w:t xml:space="preserve">the number of paper applications </w:t>
      </w:r>
      <w:r w:rsidR="003D5EE9">
        <w:rPr>
          <w:rFonts w:ascii="Calibri" w:hAnsi="Calibri"/>
          <w:sz w:val="24"/>
          <w:szCs w:val="24"/>
        </w:rPr>
        <w:t xml:space="preserve">has </w:t>
      </w:r>
      <w:r w:rsidRPr="00414345">
        <w:rPr>
          <w:rFonts w:ascii="Calibri" w:hAnsi="Calibri"/>
          <w:sz w:val="24"/>
          <w:szCs w:val="24"/>
        </w:rPr>
        <w:t>considerably reduc</w:t>
      </w:r>
      <w:r>
        <w:rPr>
          <w:rFonts w:ascii="Calibri" w:hAnsi="Calibri"/>
          <w:sz w:val="24"/>
          <w:szCs w:val="24"/>
        </w:rPr>
        <w:t xml:space="preserve">ed to less than </w:t>
      </w:r>
      <w:r w:rsidR="00690E81">
        <w:rPr>
          <w:rFonts w:ascii="Calibri" w:hAnsi="Calibri"/>
          <w:sz w:val="24"/>
          <w:szCs w:val="24"/>
        </w:rPr>
        <w:t>0.5</w:t>
      </w:r>
      <w:r w:rsidR="003D5EE9">
        <w:rPr>
          <w:rFonts w:ascii="Calibri" w:hAnsi="Calibri"/>
          <w:sz w:val="24"/>
          <w:szCs w:val="24"/>
        </w:rPr>
        <w:t xml:space="preserve"> per cent </w:t>
      </w:r>
      <w:r>
        <w:rPr>
          <w:rFonts w:ascii="Calibri" w:hAnsi="Calibri"/>
          <w:sz w:val="24"/>
          <w:szCs w:val="24"/>
        </w:rPr>
        <w:t>of all applications received</w:t>
      </w:r>
      <w:r w:rsidRPr="00414345">
        <w:rPr>
          <w:rFonts w:ascii="Calibri" w:hAnsi="Calibri"/>
          <w:sz w:val="24"/>
          <w:szCs w:val="24"/>
        </w:rPr>
        <w:t xml:space="preserve">. </w:t>
      </w:r>
      <w:r w:rsidR="00AE7D9F">
        <w:rPr>
          <w:rFonts w:ascii="Calibri" w:hAnsi="Calibri"/>
          <w:sz w:val="24"/>
          <w:szCs w:val="24"/>
        </w:rPr>
        <w:t xml:space="preserve">In 2014-15, </w:t>
      </w:r>
      <w:r w:rsidR="005A007C">
        <w:rPr>
          <w:rFonts w:ascii="Calibri" w:hAnsi="Calibri"/>
          <w:sz w:val="24"/>
          <w:szCs w:val="24"/>
        </w:rPr>
        <w:t>fewer than</w:t>
      </w:r>
      <w:r w:rsidR="00AE7D9F">
        <w:rPr>
          <w:rFonts w:ascii="Calibri" w:hAnsi="Calibri"/>
          <w:sz w:val="24"/>
          <w:szCs w:val="24"/>
        </w:rPr>
        <w:t xml:space="preserve"> 570 paper applications were submitted to the SRO. </w:t>
      </w:r>
    </w:p>
    <w:p w:rsidR="00AE7D9F" w:rsidRDefault="002F77C7" w:rsidP="001D160F">
      <w:pPr>
        <w:pStyle w:val="Style14ptJustified"/>
        <w:keepLines/>
        <w:spacing w:after="240" w:line="276" w:lineRule="auto"/>
        <w:jc w:val="left"/>
        <w:rPr>
          <w:rFonts w:ascii="Calibri" w:hAnsi="Calibri"/>
          <w:sz w:val="24"/>
          <w:szCs w:val="24"/>
        </w:rPr>
      </w:pPr>
      <w:r>
        <w:rPr>
          <w:rFonts w:ascii="Calibri" w:hAnsi="Calibri"/>
          <w:sz w:val="24"/>
          <w:szCs w:val="24"/>
        </w:rPr>
        <w:t xml:space="preserve">Paper applications are generally processed by staff at the VPS 2 level. The process requires the staff member to review the information provided in the application form to determine whether the application can be entered into the </w:t>
      </w:r>
      <w:r w:rsidR="00AE7D9F">
        <w:rPr>
          <w:rFonts w:ascii="Calibri" w:hAnsi="Calibri"/>
          <w:sz w:val="24"/>
          <w:szCs w:val="24"/>
        </w:rPr>
        <w:t>SRO’s database</w:t>
      </w:r>
      <w:r>
        <w:rPr>
          <w:rFonts w:ascii="Calibri" w:hAnsi="Calibri"/>
          <w:sz w:val="24"/>
          <w:szCs w:val="24"/>
        </w:rPr>
        <w:t xml:space="preserve"> for cross checking and generation of the clearance certificate. </w:t>
      </w:r>
      <w:r w:rsidR="00E10DB8">
        <w:rPr>
          <w:rFonts w:ascii="Calibri" w:hAnsi="Calibri"/>
          <w:sz w:val="24"/>
          <w:szCs w:val="24"/>
        </w:rPr>
        <w:t>If a manual certificate is required to be generated, the application is referred to staff at the VPS 4 level for processing.</w:t>
      </w:r>
      <w:r w:rsidR="00E10DB8" w:rsidRPr="00E10DB8">
        <w:rPr>
          <w:rFonts w:ascii="Calibri" w:hAnsi="Calibri"/>
          <w:sz w:val="24"/>
          <w:szCs w:val="24"/>
        </w:rPr>
        <w:t xml:space="preserve"> </w:t>
      </w:r>
      <w:r w:rsidR="00AE7D9F">
        <w:rPr>
          <w:rFonts w:ascii="Calibri" w:hAnsi="Calibri"/>
          <w:sz w:val="24"/>
          <w:szCs w:val="24"/>
        </w:rPr>
        <w:t xml:space="preserve">The SRO estimates that paper applications take, on average, approximately 10 minutes to input the information and process the certificate. </w:t>
      </w:r>
    </w:p>
    <w:p w:rsidR="00E10DB8" w:rsidRDefault="00E10DB8" w:rsidP="001D160F">
      <w:pPr>
        <w:pStyle w:val="Style14ptJustified"/>
        <w:keepLines/>
        <w:spacing w:after="240" w:line="276" w:lineRule="auto"/>
        <w:jc w:val="left"/>
        <w:rPr>
          <w:rFonts w:ascii="Calibri" w:hAnsi="Calibri"/>
          <w:sz w:val="24"/>
          <w:szCs w:val="24"/>
        </w:rPr>
      </w:pPr>
      <w:r>
        <w:rPr>
          <w:rFonts w:ascii="Calibri" w:hAnsi="Calibri"/>
          <w:sz w:val="24"/>
          <w:szCs w:val="24"/>
        </w:rPr>
        <w:t>The turnaround time for paper applications</w:t>
      </w:r>
      <w:r w:rsidRPr="00011FEE">
        <w:rPr>
          <w:rFonts w:ascii="Calibri" w:hAnsi="Calibri"/>
          <w:sz w:val="24"/>
          <w:szCs w:val="24"/>
        </w:rPr>
        <w:t xml:space="preserve"> is </w:t>
      </w:r>
      <w:r w:rsidR="00AE7D9F">
        <w:rPr>
          <w:rFonts w:ascii="Calibri" w:hAnsi="Calibri"/>
          <w:sz w:val="24"/>
          <w:szCs w:val="24"/>
        </w:rPr>
        <w:t xml:space="preserve">up to </w:t>
      </w:r>
      <w:r w:rsidRPr="00011FEE">
        <w:rPr>
          <w:rFonts w:ascii="Calibri" w:hAnsi="Calibri"/>
          <w:sz w:val="24"/>
          <w:szCs w:val="24"/>
        </w:rPr>
        <w:t>10 working days from the day the application is received</w:t>
      </w:r>
      <w:r>
        <w:rPr>
          <w:rFonts w:ascii="Calibri" w:hAnsi="Calibri"/>
          <w:sz w:val="24"/>
          <w:szCs w:val="24"/>
        </w:rPr>
        <w:t xml:space="preserve"> by the SRO</w:t>
      </w:r>
      <w:r w:rsidRPr="00011FEE">
        <w:rPr>
          <w:rFonts w:ascii="Calibri" w:hAnsi="Calibri"/>
          <w:sz w:val="24"/>
          <w:szCs w:val="24"/>
        </w:rPr>
        <w:t xml:space="preserve">. </w:t>
      </w:r>
    </w:p>
    <w:p w:rsidR="00B52A87" w:rsidRPr="005F56F6" w:rsidRDefault="00B52A87" w:rsidP="00B52A87">
      <w:pPr>
        <w:pStyle w:val="Style14ptJustified"/>
        <w:keepLines/>
        <w:spacing w:after="240" w:line="276" w:lineRule="auto"/>
        <w:jc w:val="left"/>
        <w:rPr>
          <w:rFonts w:ascii="Calibri" w:hAnsi="Calibri"/>
          <w:b/>
          <w:sz w:val="24"/>
          <w:szCs w:val="24"/>
        </w:rPr>
      </w:pPr>
      <w:r w:rsidRPr="005F56F6">
        <w:rPr>
          <w:rFonts w:ascii="Calibri" w:hAnsi="Calibri"/>
          <w:b/>
          <w:sz w:val="24"/>
          <w:szCs w:val="24"/>
        </w:rPr>
        <w:t>Other activities associated with the clearance certificate process</w:t>
      </w:r>
    </w:p>
    <w:p w:rsidR="00CA69C1" w:rsidRDefault="00B52A87" w:rsidP="001D160F">
      <w:pPr>
        <w:pStyle w:val="Style14ptJustified"/>
        <w:keepLines/>
        <w:spacing w:after="240" w:line="276" w:lineRule="auto"/>
        <w:jc w:val="left"/>
        <w:rPr>
          <w:rFonts w:ascii="Calibri" w:hAnsi="Calibri"/>
          <w:sz w:val="24"/>
          <w:szCs w:val="24"/>
        </w:rPr>
      </w:pPr>
      <w:r>
        <w:rPr>
          <w:rFonts w:ascii="Calibri" w:hAnsi="Calibri"/>
          <w:sz w:val="24"/>
          <w:szCs w:val="24"/>
        </w:rPr>
        <w:t xml:space="preserve">There are a number of other activities directly associated with the land tax clearance certificate </w:t>
      </w:r>
      <w:r w:rsidR="000335CB">
        <w:rPr>
          <w:rFonts w:ascii="Calibri" w:hAnsi="Calibri"/>
          <w:sz w:val="24"/>
          <w:szCs w:val="24"/>
        </w:rPr>
        <w:t xml:space="preserve">service </w:t>
      </w:r>
      <w:r w:rsidR="001935A2">
        <w:rPr>
          <w:rFonts w:ascii="Calibri" w:hAnsi="Calibri"/>
          <w:sz w:val="24"/>
          <w:szCs w:val="24"/>
        </w:rPr>
        <w:t>which</w:t>
      </w:r>
      <w:r>
        <w:rPr>
          <w:rFonts w:ascii="Calibri" w:hAnsi="Calibri"/>
          <w:sz w:val="24"/>
          <w:szCs w:val="24"/>
        </w:rPr>
        <w:t xml:space="preserve"> require significant staff </w:t>
      </w:r>
      <w:r w:rsidR="00CA69C1">
        <w:rPr>
          <w:rFonts w:ascii="Calibri" w:hAnsi="Calibri"/>
          <w:sz w:val="24"/>
          <w:szCs w:val="24"/>
        </w:rPr>
        <w:t>time</w:t>
      </w:r>
      <w:r w:rsidR="000335CB">
        <w:rPr>
          <w:rFonts w:ascii="Calibri" w:hAnsi="Calibri"/>
          <w:sz w:val="24"/>
          <w:szCs w:val="24"/>
        </w:rPr>
        <w:t xml:space="preserve"> but are not necessarily specific to a particular application type</w:t>
      </w:r>
      <w:r w:rsidR="00CA69C1">
        <w:rPr>
          <w:rFonts w:ascii="Calibri" w:hAnsi="Calibri"/>
          <w:sz w:val="24"/>
          <w:szCs w:val="24"/>
        </w:rPr>
        <w:t xml:space="preserve">. </w:t>
      </w:r>
      <w:r w:rsidR="00FF5FB8">
        <w:rPr>
          <w:rFonts w:ascii="Calibri" w:hAnsi="Calibri"/>
          <w:sz w:val="24"/>
          <w:szCs w:val="24"/>
        </w:rPr>
        <w:t>Examples of these associated activities include</w:t>
      </w:r>
      <w:r w:rsidR="00CA69C1">
        <w:rPr>
          <w:rFonts w:ascii="Calibri" w:hAnsi="Calibri"/>
          <w:sz w:val="24"/>
          <w:szCs w:val="24"/>
        </w:rPr>
        <w:t>:</w:t>
      </w:r>
    </w:p>
    <w:p w:rsidR="00CA69C1" w:rsidRPr="00CA69C1" w:rsidRDefault="00CA69C1" w:rsidP="003A67E6">
      <w:pPr>
        <w:pStyle w:val="Style14ptJustified"/>
        <w:keepLines/>
        <w:numPr>
          <w:ilvl w:val="0"/>
          <w:numId w:val="14"/>
        </w:numPr>
        <w:spacing w:after="120" w:line="276" w:lineRule="auto"/>
        <w:ind w:hanging="357"/>
        <w:jc w:val="left"/>
        <w:rPr>
          <w:rFonts w:ascii="Calibri" w:hAnsi="Calibri"/>
          <w:sz w:val="24"/>
          <w:szCs w:val="24"/>
        </w:rPr>
      </w:pPr>
      <w:r w:rsidRPr="005F56F6">
        <w:rPr>
          <w:rFonts w:ascii="Calibri" w:hAnsi="Calibri"/>
          <w:i/>
          <w:sz w:val="24"/>
          <w:szCs w:val="24"/>
        </w:rPr>
        <w:t>Answering and responding to customer enquiries</w:t>
      </w:r>
      <w:r>
        <w:rPr>
          <w:rFonts w:ascii="Calibri" w:hAnsi="Calibri"/>
          <w:sz w:val="24"/>
          <w:szCs w:val="24"/>
        </w:rPr>
        <w:t xml:space="preserve"> – </w:t>
      </w:r>
      <w:r w:rsidR="003122AA">
        <w:rPr>
          <w:rFonts w:ascii="Calibri" w:hAnsi="Calibri"/>
          <w:sz w:val="24"/>
          <w:szCs w:val="24"/>
        </w:rPr>
        <w:t>O</w:t>
      </w:r>
      <w:r>
        <w:rPr>
          <w:rFonts w:ascii="Calibri" w:hAnsi="Calibri"/>
          <w:sz w:val="24"/>
          <w:szCs w:val="24"/>
        </w:rPr>
        <w:t xml:space="preserve">n average, the SRO receives 13,000 phone calls and 3,000 emails, letters and faxes each year regarding the clearance certificate service. </w:t>
      </w:r>
      <w:r w:rsidRPr="00CA69C1">
        <w:rPr>
          <w:rFonts w:ascii="Calibri" w:hAnsi="Calibri"/>
          <w:sz w:val="24"/>
          <w:szCs w:val="24"/>
        </w:rPr>
        <w:t>These cover a variety of reasons such as:</w:t>
      </w:r>
    </w:p>
    <w:p w:rsidR="00CA69C1" w:rsidRPr="00CA69C1" w:rsidRDefault="00FF5FB8" w:rsidP="003A67E6">
      <w:pPr>
        <w:pStyle w:val="Style14ptJustified"/>
        <w:keepLines/>
        <w:numPr>
          <w:ilvl w:val="1"/>
          <w:numId w:val="14"/>
        </w:numPr>
        <w:spacing w:after="120" w:line="276" w:lineRule="auto"/>
        <w:ind w:hanging="357"/>
        <w:jc w:val="left"/>
        <w:rPr>
          <w:rFonts w:ascii="Calibri" w:hAnsi="Calibri"/>
          <w:sz w:val="24"/>
          <w:szCs w:val="24"/>
        </w:rPr>
      </w:pPr>
      <w:r>
        <w:rPr>
          <w:rFonts w:ascii="Calibri" w:hAnsi="Calibri"/>
          <w:sz w:val="24"/>
          <w:szCs w:val="24"/>
        </w:rPr>
        <w:t>requests for updated certificates</w:t>
      </w:r>
      <w:r w:rsidR="00CA69C1" w:rsidRPr="00CA69C1">
        <w:rPr>
          <w:rFonts w:ascii="Calibri" w:hAnsi="Calibri"/>
          <w:sz w:val="24"/>
          <w:szCs w:val="24"/>
        </w:rPr>
        <w:t xml:space="preserve">, </w:t>
      </w:r>
    </w:p>
    <w:p w:rsidR="00CA69C1" w:rsidRPr="00CA69C1" w:rsidRDefault="00CA69C1" w:rsidP="003A67E6">
      <w:pPr>
        <w:pStyle w:val="Style14ptJustified"/>
        <w:keepLines/>
        <w:numPr>
          <w:ilvl w:val="1"/>
          <w:numId w:val="14"/>
        </w:numPr>
        <w:spacing w:after="120" w:line="276" w:lineRule="auto"/>
        <w:ind w:hanging="357"/>
        <w:jc w:val="left"/>
        <w:rPr>
          <w:rFonts w:ascii="Calibri" w:hAnsi="Calibri"/>
          <w:sz w:val="24"/>
          <w:szCs w:val="24"/>
        </w:rPr>
      </w:pPr>
      <w:r w:rsidRPr="00CA69C1">
        <w:rPr>
          <w:rFonts w:ascii="Calibri" w:hAnsi="Calibri"/>
          <w:sz w:val="24"/>
          <w:szCs w:val="24"/>
        </w:rPr>
        <w:t>request</w:t>
      </w:r>
      <w:r w:rsidR="00F77ED8">
        <w:rPr>
          <w:rFonts w:ascii="Calibri" w:hAnsi="Calibri"/>
          <w:sz w:val="24"/>
          <w:szCs w:val="24"/>
        </w:rPr>
        <w:t>s</w:t>
      </w:r>
      <w:r w:rsidRPr="00CA69C1">
        <w:rPr>
          <w:rFonts w:ascii="Calibri" w:hAnsi="Calibri"/>
          <w:sz w:val="24"/>
          <w:szCs w:val="24"/>
        </w:rPr>
        <w:t xml:space="preserve"> for </w:t>
      </w:r>
      <w:r w:rsidR="00F77ED8">
        <w:rPr>
          <w:rFonts w:ascii="Calibri" w:hAnsi="Calibri"/>
          <w:sz w:val="24"/>
          <w:szCs w:val="24"/>
        </w:rPr>
        <w:t>amendments to exempt land status which may affect the land tax liability,</w:t>
      </w:r>
    </w:p>
    <w:p w:rsidR="00CA69C1" w:rsidRPr="00CA69C1" w:rsidRDefault="00CA69C1" w:rsidP="003A67E6">
      <w:pPr>
        <w:pStyle w:val="Style14ptJustified"/>
        <w:keepLines/>
        <w:numPr>
          <w:ilvl w:val="1"/>
          <w:numId w:val="14"/>
        </w:numPr>
        <w:spacing w:after="120" w:line="276" w:lineRule="auto"/>
        <w:ind w:hanging="357"/>
        <w:jc w:val="left"/>
        <w:rPr>
          <w:rFonts w:ascii="Calibri" w:hAnsi="Calibri"/>
          <w:sz w:val="24"/>
          <w:szCs w:val="24"/>
        </w:rPr>
      </w:pPr>
      <w:r w:rsidRPr="00CA69C1">
        <w:rPr>
          <w:rFonts w:ascii="Calibri" w:hAnsi="Calibri"/>
          <w:sz w:val="24"/>
          <w:szCs w:val="24"/>
        </w:rPr>
        <w:t xml:space="preserve">requests for refund of payments made </w:t>
      </w:r>
      <w:r w:rsidR="00F77ED8">
        <w:rPr>
          <w:rFonts w:ascii="Calibri" w:hAnsi="Calibri"/>
          <w:sz w:val="24"/>
          <w:szCs w:val="24"/>
        </w:rPr>
        <w:t>in respect of the outstanding</w:t>
      </w:r>
      <w:r w:rsidR="00F77ED8" w:rsidRPr="00F77ED8">
        <w:rPr>
          <w:rFonts w:ascii="Calibri" w:hAnsi="Calibri"/>
          <w:sz w:val="24"/>
          <w:szCs w:val="24"/>
        </w:rPr>
        <w:t xml:space="preserve"> </w:t>
      </w:r>
      <w:r w:rsidR="00F77ED8">
        <w:rPr>
          <w:rFonts w:ascii="Calibri" w:hAnsi="Calibri"/>
          <w:sz w:val="24"/>
          <w:szCs w:val="24"/>
        </w:rPr>
        <w:t xml:space="preserve">land tax liability stated in the </w:t>
      </w:r>
      <w:r w:rsidRPr="00CA69C1">
        <w:rPr>
          <w:rFonts w:ascii="Calibri" w:hAnsi="Calibri"/>
          <w:sz w:val="24"/>
          <w:szCs w:val="24"/>
        </w:rPr>
        <w:t>certificate</w:t>
      </w:r>
      <w:r w:rsidR="00F77ED8">
        <w:rPr>
          <w:rFonts w:ascii="Calibri" w:hAnsi="Calibri"/>
          <w:sz w:val="24"/>
          <w:szCs w:val="24"/>
        </w:rPr>
        <w:t>,</w:t>
      </w:r>
    </w:p>
    <w:p w:rsidR="00CA69C1" w:rsidRPr="00CA69C1" w:rsidRDefault="00CA69C1" w:rsidP="003A67E6">
      <w:pPr>
        <w:pStyle w:val="Style14ptJustified"/>
        <w:keepLines/>
        <w:numPr>
          <w:ilvl w:val="1"/>
          <w:numId w:val="14"/>
        </w:numPr>
        <w:spacing w:after="120" w:line="276" w:lineRule="auto"/>
        <w:ind w:hanging="357"/>
        <w:jc w:val="left"/>
        <w:rPr>
          <w:rFonts w:ascii="Calibri" w:hAnsi="Calibri"/>
          <w:sz w:val="24"/>
          <w:szCs w:val="24"/>
        </w:rPr>
      </w:pPr>
      <w:r w:rsidRPr="00CA69C1">
        <w:rPr>
          <w:rFonts w:ascii="Calibri" w:hAnsi="Calibri"/>
          <w:sz w:val="24"/>
          <w:szCs w:val="24"/>
        </w:rPr>
        <w:lastRenderedPageBreak/>
        <w:t xml:space="preserve">disputes </w:t>
      </w:r>
      <w:r w:rsidR="00F77ED8">
        <w:rPr>
          <w:rFonts w:ascii="Calibri" w:hAnsi="Calibri"/>
          <w:sz w:val="24"/>
          <w:szCs w:val="24"/>
        </w:rPr>
        <w:t>relating to the land tax liabilities stated in the certificate,</w:t>
      </w:r>
    </w:p>
    <w:p w:rsidR="00CA69C1" w:rsidRPr="00CA69C1" w:rsidRDefault="00CA69C1" w:rsidP="003A67E6">
      <w:pPr>
        <w:pStyle w:val="Style14ptJustified"/>
        <w:keepLines/>
        <w:numPr>
          <w:ilvl w:val="1"/>
          <w:numId w:val="14"/>
        </w:numPr>
        <w:spacing w:after="240" w:line="276" w:lineRule="auto"/>
        <w:jc w:val="left"/>
        <w:rPr>
          <w:rFonts w:ascii="Calibri" w:hAnsi="Calibri"/>
          <w:sz w:val="24"/>
          <w:szCs w:val="24"/>
        </w:rPr>
      </w:pPr>
      <w:proofErr w:type="gramStart"/>
      <w:r w:rsidRPr="00CA69C1">
        <w:rPr>
          <w:rFonts w:ascii="Calibri" w:hAnsi="Calibri"/>
          <w:sz w:val="24"/>
          <w:szCs w:val="24"/>
        </w:rPr>
        <w:t>notification</w:t>
      </w:r>
      <w:proofErr w:type="gramEnd"/>
      <w:r w:rsidRPr="00CA69C1">
        <w:rPr>
          <w:rFonts w:ascii="Calibri" w:hAnsi="Calibri"/>
          <w:sz w:val="24"/>
          <w:szCs w:val="24"/>
        </w:rPr>
        <w:t xml:space="preserve"> of </w:t>
      </w:r>
      <w:r w:rsidR="00F77ED8">
        <w:rPr>
          <w:rFonts w:ascii="Calibri" w:hAnsi="Calibri"/>
          <w:sz w:val="24"/>
          <w:szCs w:val="24"/>
        </w:rPr>
        <w:t xml:space="preserve">deceased </w:t>
      </w:r>
      <w:r w:rsidRPr="00CA69C1">
        <w:rPr>
          <w:rFonts w:ascii="Calibri" w:hAnsi="Calibri"/>
          <w:sz w:val="24"/>
          <w:szCs w:val="24"/>
        </w:rPr>
        <w:t>estat</w:t>
      </w:r>
      <w:r w:rsidR="00F77ED8">
        <w:rPr>
          <w:rFonts w:ascii="Calibri" w:hAnsi="Calibri"/>
          <w:sz w:val="24"/>
          <w:szCs w:val="24"/>
        </w:rPr>
        <w:t xml:space="preserve">es that would affect a liability. </w:t>
      </w:r>
    </w:p>
    <w:p w:rsidR="00FF5FB8" w:rsidRPr="00FF5FB8" w:rsidRDefault="00F77ED8" w:rsidP="00F77ED8">
      <w:pPr>
        <w:pStyle w:val="Style14ptJustified"/>
        <w:keepLines/>
        <w:spacing w:after="240" w:line="276" w:lineRule="auto"/>
        <w:ind w:left="720"/>
        <w:jc w:val="left"/>
        <w:rPr>
          <w:rFonts w:ascii="Calibri" w:hAnsi="Calibri"/>
          <w:sz w:val="24"/>
          <w:szCs w:val="24"/>
        </w:rPr>
      </w:pPr>
      <w:r>
        <w:rPr>
          <w:rFonts w:ascii="Calibri" w:hAnsi="Calibri"/>
          <w:sz w:val="24"/>
          <w:szCs w:val="24"/>
        </w:rPr>
        <w:t xml:space="preserve">Customer enquiries are primarily actioned by staff at the VPS 3 and VPS 4 levels. On occasion, customer enquiries </w:t>
      </w:r>
      <w:r w:rsidR="008B113F">
        <w:rPr>
          <w:rFonts w:ascii="Calibri" w:hAnsi="Calibri"/>
          <w:sz w:val="24"/>
          <w:szCs w:val="24"/>
        </w:rPr>
        <w:t xml:space="preserve">and other matters </w:t>
      </w:r>
      <w:r>
        <w:rPr>
          <w:rFonts w:ascii="Calibri" w:hAnsi="Calibri"/>
          <w:sz w:val="24"/>
          <w:szCs w:val="24"/>
        </w:rPr>
        <w:t>may be escalated to the Team Leader or Branch Manager</w:t>
      </w:r>
      <w:r w:rsidR="00E72895">
        <w:rPr>
          <w:rFonts w:ascii="Calibri" w:hAnsi="Calibri"/>
          <w:sz w:val="24"/>
          <w:szCs w:val="24"/>
        </w:rPr>
        <w:t xml:space="preserve"> for action</w:t>
      </w:r>
      <w:r>
        <w:rPr>
          <w:rFonts w:ascii="Calibri" w:hAnsi="Calibri"/>
          <w:sz w:val="24"/>
          <w:szCs w:val="24"/>
        </w:rPr>
        <w:t xml:space="preserve">. For example, </w:t>
      </w:r>
      <w:r w:rsidR="008B113F">
        <w:rPr>
          <w:rFonts w:ascii="Calibri" w:hAnsi="Calibri"/>
          <w:sz w:val="24"/>
          <w:szCs w:val="24"/>
        </w:rPr>
        <w:t xml:space="preserve">where fraudulent activity is suspected in relation to an application, </w:t>
      </w:r>
      <w:r w:rsidR="00E72895">
        <w:rPr>
          <w:rFonts w:ascii="Calibri" w:hAnsi="Calibri"/>
          <w:sz w:val="24"/>
          <w:szCs w:val="24"/>
        </w:rPr>
        <w:t xml:space="preserve">a customer raises issues </w:t>
      </w:r>
      <w:r w:rsidR="00722202">
        <w:rPr>
          <w:rFonts w:ascii="Calibri" w:hAnsi="Calibri"/>
          <w:sz w:val="24"/>
          <w:szCs w:val="24"/>
        </w:rPr>
        <w:t>around</w:t>
      </w:r>
      <w:r w:rsidR="003122AA">
        <w:rPr>
          <w:rFonts w:ascii="Calibri" w:hAnsi="Calibri"/>
          <w:sz w:val="24"/>
          <w:szCs w:val="24"/>
        </w:rPr>
        <w:t xml:space="preserve"> </w:t>
      </w:r>
      <w:r w:rsidR="00722202">
        <w:rPr>
          <w:rFonts w:ascii="Calibri" w:hAnsi="Calibri"/>
          <w:sz w:val="24"/>
          <w:szCs w:val="24"/>
        </w:rPr>
        <w:t xml:space="preserve">customer service, </w:t>
      </w:r>
      <w:r w:rsidR="00E72895">
        <w:rPr>
          <w:rFonts w:ascii="Calibri" w:hAnsi="Calibri"/>
          <w:sz w:val="24"/>
          <w:szCs w:val="24"/>
        </w:rPr>
        <w:t xml:space="preserve">or </w:t>
      </w:r>
      <w:r w:rsidR="00322B96">
        <w:rPr>
          <w:rFonts w:ascii="Calibri" w:hAnsi="Calibri"/>
          <w:sz w:val="24"/>
          <w:szCs w:val="24"/>
        </w:rPr>
        <w:t xml:space="preserve">an </w:t>
      </w:r>
      <w:r w:rsidR="00722202">
        <w:rPr>
          <w:rFonts w:ascii="Calibri" w:hAnsi="Calibri"/>
          <w:sz w:val="24"/>
          <w:szCs w:val="24"/>
        </w:rPr>
        <w:t>application raises privacy questions</w:t>
      </w:r>
      <w:r w:rsidR="00E72895">
        <w:rPr>
          <w:rFonts w:ascii="Calibri" w:hAnsi="Calibri"/>
          <w:sz w:val="24"/>
          <w:szCs w:val="24"/>
        </w:rPr>
        <w:t xml:space="preserve">, these will generally be referred to the Team Leader or Branch Manager for resolution. </w:t>
      </w:r>
      <w:r>
        <w:rPr>
          <w:rFonts w:ascii="Calibri" w:hAnsi="Calibri"/>
          <w:sz w:val="24"/>
          <w:szCs w:val="24"/>
        </w:rPr>
        <w:t xml:space="preserve">  </w:t>
      </w:r>
    </w:p>
    <w:p w:rsidR="00FF5FB8" w:rsidRDefault="00FF5FB8" w:rsidP="003A67E6">
      <w:pPr>
        <w:pStyle w:val="Style14ptJustified"/>
        <w:keepLines/>
        <w:numPr>
          <w:ilvl w:val="0"/>
          <w:numId w:val="14"/>
        </w:numPr>
        <w:spacing w:after="240" w:line="276" w:lineRule="auto"/>
        <w:jc w:val="left"/>
        <w:rPr>
          <w:rFonts w:ascii="Calibri" w:hAnsi="Calibri"/>
          <w:sz w:val="24"/>
          <w:szCs w:val="24"/>
        </w:rPr>
      </w:pPr>
      <w:r w:rsidRPr="005F56F6">
        <w:rPr>
          <w:rFonts w:ascii="Calibri" w:hAnsi="Calibri"/>
          <w:i/>
          <w:sz w:val="24"/>
          <w:szCs w:val="24"/>
        </w:rPr>
        <w:t>Creating &amp; maintaining online registered user accounts</w:t>
      </w:r>
      <w:r w:rsidRPr="00992D36">
        <w:rPr>
          <w:rFonts w:ascii="Calibri" w:hAnsi="Calibri"/>
          <w:sz w:val="24"/>
          <w:szCs w:val="24"/>
        </w:rPr>
        <w:t xml:space="preserve"> –</w:t>
      </w:r>
      <w:r w:rsidR="003122AA">
        <w:rPr>
          <w:rFonts w:ascii="Calibri" w:hAnsi="Calibri"/>
          <w:sz w:val="24"/>
          <w:szCs w:val="24"/>
        </w:rPr>
        <w:t xml:space="preserve"> </w:t>
      </w:r>
      <w:r w:rsidR="00992D36" w:rsidRPr="00992D36">
        <w:rPr>
          <w:rFonts w:ascii="Calibri" w:hAnsi="Calibri"/>
          <w:sz w:val="24"/>
          <w:szCs w:val="24"/>
        </w:rPr>
        <w:t>Where o</w:t>
      </w:r>
      <w:r w:rsidR="00E72895" w:rsidRPr="00992D36">
        <w:rPr>
          <w:rFonts w:ascii="Calibri" w:hAnsi="Calibri"/>
          <w:sz w:val="24"/>
          <w:szCs w:val="24"/>
        </w:rPr>
        <w:t xml:space="preserve">rganisations </w:t>
      </w:r>
      <w:r w:rsidR="00992D36" w:rsidRPr="00992D36">
        <w:rPr>
          <w:rFonts w:ascii="Calibri" w:hAnsi="Calibri"/>
          <w:sz w:val="24"/>
          <w:szCs w:val="24"/>
        </w:rPr>
        <w:t xml:space="preserve">or individuals </w:t>
      </w:r>
      <w:r w:rsidR="00E72895" w:rsidRPr="00992D36">
        <w:rPr>
          <w:rFonts w:ascii="Calibri" w:hAnsi="Calibri"/>
          <w:sz w:val="24"/>
          <w:szCs w:val="24"/>
        </w:rPr>
        <w:t>frequently apply for land tax clearance certificates (</w:t>
      </w:r>
      <w:proofErr w:type="spellStart"/>
      <w:r w:rsidR="00E72895" w:rsidRPr="00992D36">
        <w:rPr>
          <w:rFonts w:ascii="Calibri" w:hAnsi="Calibri"/>
          <w:sz w:val="24"/>
          <w:szCs w:val="24"/>
        </w:rPr>
        <w:t>ie</w:t>
      </w:r>
      <w:proofErr w:type="spellEnd"/>
      <w:r w:rsidR="00E72895" w:rsidRPr="00992D36">
        <w:rPr>
          <w:rFonts w:ascii="Calibri" w:hAnsi="Calibri"/>
          <w:sz w:val="24"/>
          <w:szCs w:val="24"/>
        </w:rPr>
        <w:t>. conveyancers and solicitors)</w:t>
      </w:r>
      <w:r w:rsidR="00992D36" w:rsidRPr="00992D36">
        <w:rPr>
          <w:rFonts w:ascii="Calibri" w:hAnsi="Calibri"/>
          <w:sz w:val="24"/>
          <w:szCs w:val="24"/>
        </w:rPr>
        <w:t xml:space="preserve">, they can lodge a request with the SRO to become a registered user of the online system. </w:t>
      </w:r>
      <w:r w:rsidR="00992D36">
        <w:rPr>
          <w:rFonts w:ascii="Calibri" w:hAnsi="Calibri"/>
          <w:sz w:val="24"/>
          <w:szCs w:val="24"/>
        </w:rPr>
        <w:t>The benefit of becoming a r</w:t>
      </w:r>
      <w:r w:rsidRPr="00992D36">
        <w:rPr>
          <w:rFonts w:ascii="Calibri" w:hAnsi="Calibri"/>
          <w:sz w:val="24"/>
          <w:szCs w:val="24"/>
        </w:rPr>
        <w:t>egistered user</w:t>
      </w:r>
      <w:r w:rsidR="00992D36">
        <w:rPr>
          <w:rFonts w:ascii="Calibri" w:hAnsi="Calibri"/>
          <w:sz w:val="24"/>
          <w:szCs w:val="24"/>
        </w:rPr>
        <w:t xml:space="preserve"> is that users</w:t>
      </w:r>
      <w:r w:rsidRPr="00992D36">
        <w:rPr>
          <w:rFonts w:ascii="Calibri" w:hAnsi="Calibri"/>
          <w:sz w:val="24"/>
          <w:szCs w:val="24"/>
        </w:rPr>
        <w:t xml:space="preserve"> can easily create, save and manage multiple certificate applications and update requests with secure encrypted payment available by Visa, MasterCard or monthly direct debit.</w:t>
      </w:r>
    </w:p>
    <w:p w:rsidR="00A2797F" w:rsidRDefault="00992D36" w:rsidP="00A2797F">
      <w:pPr>
        <w:pStyle w:val="Style14ptJustified"/>
        <w:keepLines/>
        <w:spacing w:after="240" w:line="276" w:lineRule="auto"/>
        <w:ind w:left="720"/>
        <w:jc w:val="left"/>
        <w:rPr>
          <w:rFonts w:ascii="Calibri" w:hAnsi="Calibri"/>
          <w:sz w:val="24"/>
          <w:szCs w:val="24"/>
        </w:rPr>
      </w:pPr>
      <w:r>
        <w:rPr>
          <w:rFonts w:ascii="Calibri" w:hAnsi="Calibri"/>
          <w:sz w:val="24"/>
          <w:szCs w:val="24"/>
        </w:rPr>
        <w:t>Requests to become a registered user are processed by staff at the VPS 3 level</w:t>
      </w:r>
      <w:r w:rsidR="007C448C">
        <w:rPr>
          <w:rFonts w:ascii="Calibri" w:hAnsi="Calibri"/>
          <w:sz w:val="24"/>
          <w:szCs w:val="24"/>
        </w:rPr>
        <w:t>. A</w:t>
      </w:r>
      <w:r w:rsidR="003122AA">
        <w:rPr>
          <w:rFonts w:ascii="Calibri" w:hAnsi="Calibri"/>
          <w:sz w:val="24"/>
          <w:szCs w:val="24"/>
        </w:rPr>
        <w:t xml:space="preserve">n email will be sent to the user </w:t>
      </w:r>
      <w:r w:rsidR="003122AA" w:rsidRPr="00FF5FB8">
        <w:rPr>
          <w:rFonts w:ascii="Calibri" w:hAnsi="Calibri"/>
          <w:sz w:val="24"/>
          <w:szCs w:val="24"/>
        </w:rPr>
        <w:t>with the username and a temporary password</w:t>
      </w:r>
      <w:r w:rsidR="007C448C">
        <w:rPr>
          <w:rFonts w:ascii="Calibri" w:hAnsi="Calibri"/>
          <w:sz w:val="24"/>
          <w:szCs w:val="24"/>
        </w:rPr>
        <w:t xml:space="preserve"> upon registration</w:t>
      </w:r>
      <w:r w:rsidR="003122AA" w:rsidRPr="00FF5FB8">
        <w:rPr>
          <w:rFonts w:ascii="Calibri" w:hAnsi="Calibri"/>
          <w:sz w:val="24"/>
          <w:szCs w:val="24"/>
        </w:rPr>
        <w:t xml:space="preserve">. </w:t>
      </w:r>
      <w:r>
        <w:rPr>
          <w:rFonts w:ascii="Calibri" w:hAnsi="Calibri"/>
          <w:sz w:val="24"/>
          <w:szCs w:val="24"/>
        </w:rPr>
        <w:t>The initial set up and account creation takes on average 30 minutes</w:t>
      </w:r>
      <w:r w:rsidR="003122AA">
        <w:rPr>
          <w:rFonts w:ascii="Calibri" w:hAnsi="Calibri"/>
          <w:sz w:val="24"/>
          <w:szCs w:val="24"/>
        </w:rPr>
        <w:t xml:space="preserve">. </w:t>
      </w:r>
      <w:r w:rsidR="004B38CE">
        <w:rPr>
          <w:rFonts w:ascii="Calibri" w:hAnsi="Calibri"/>
          <w:sz w:val="24"/>
          <w:szCs w:val="24"/>
        </w:rPr>
        <w:t>After</w:t>
      </w:r>
      <w:r w:rsidR="003122AA">
        <w:rPr>
          <w:rFonts w:ascii="Calibri" w:hAnsi="Calibri"/>
          <w:sz w:val="24"/>
          <w:szCs w:val="24"/>
        </w:rPr>
        <w:t xml:space="preserve"> the account is created, </w:t>
      </w:r>
      <w:proofErr w:type="gramStart"/>
      <w:r w:rsidR="003122AA">
        <w:rPr>
          <w:rFonts w:ascii="Calibri" w:hAnsi="Calibri"/>
          <w:sz w:val="24"/>
          <w:szCs w:val="24"/>
        </w:rPr>
        <w:t>staff at the VPS 3 level</w:t>
      </w:r>
      <w:r w:rsidR="003122AA" w:rsidRPr="003122AA">
        <w:rPr>
          <w:rFonts w:ascii="Calibri" w:hAnsi="Calibri"/>
          <w:sz w:val="24"/>
          <w:szCs w:val="24"/>
        </w:rPr>
        <w:t xml:space="preserve"> </w:t>
      </w:r>
      <w:r w:rsidR="003122AA">
        <w:rPr>
          <w:rFonts w:ascii="Calibri" w:hAnsi="Calibri"/>
          <w:sz w:val="24"/>
          <w:szCs w:val="24"/>
        </w:rPr>
        <w:t>provide</w:t>
      </w:r>
      <w:proofErr w:type="gramEnd"/>
      <w:r w:rsidR="003122AA">
        <w:rPr>
          <w:rFonts w:ascii="Calibri" w:hAnsi="Calibri"/>
          <w:sz w:val="24"/>
          <w:szCs w:val="24"/>
        </w:rPr>
        <w:t xml:space="preserve"> assistance </w:t>
      </w:r>
      <w:r w:rsidR="003122AA" w:rsidRPr="00FF5FB8">
        <w:rPr>
          <w:rFonts w:ascii="Calibri" w:hAnsi="Calibri"/>
          <w:sz w:val="24"/>
          <w:szCs w:val="24"/>
        </w:rPr>
        <w:t xml:space="preserve">to registered users </w:t>
      </w:r>
      <w:r w:rsidR="003122AA">
        <w:rPr>
          <w:rFonts w:ascii="Calibri" w:hAnsi="Calibri"/>
          <w:sz w:val="24"/>
          <w:szCs w:val="24"/>
        </w:rPr>
        <w:t xml:space="preserve">as required, such as </w:t>
      </w:r>
      <w:r w:rsidR="00FF5FB8" w:rsidRPr="00FF5FB8">
        <w:rPr>
          <w:rFonts w:ascii="Calibri" w:hAnsi="Calibri"/>
          <w:sz w:val="24"/>
          <w:szCs w:val="24"/>
        </w:rPr>
        <w:t xml:space="preserve">when they have forgotten their password or user name. </w:t>
      </w:r>
      <w:r w:rsidR="00573F2F" w:rsidRPr="004F607E">
        <w:rPr>
          <w:rFonts w:ascii="Calibri" w:hAnsi="Calibri"/>
          <w:sz w:val="24"/>
          <w:szCs w:val="24"/>
        </w:rPr>
        <w:t>Rather tha</w:t>
      </w:r>
      <w:r w:rsidR="00DB1ACF" w:rsidRPr="004F607E">
        <w:rPr>
          <w:rFonts w:ascii="Calibri" w:hAnsi="Calibri"/>
          <w:sz w:val="24"/>
          <w:szCs w:val="24"/>
        </w:rPr>
        <w:t>n impose a separate fee for the creation of online registered user accounts</w:t>
      </w:r>
      <w:r w:rsidR="00573F2F" w:rsidRPr="004F607E">
        <w:rPr>
          <w:rFonts w:ascii="Calibri" w:hAnsi="Calibri"/>
          <w:sz w:val="24"/>
          <w:szCs w:val="24"/>
        </w:rPr>
        <w:t xml:space="preserve">, the cost of this activity has been absorbed into the </w:t>
      </w:r>
      <w:r w:rsidR="004F607E" w:rsidRPr="004F607E">
        <w:rPr>
          <w:rFonts w:ascii="Calibri" w:hAnsi="Calibri"/>
          <w:sz w:val="24"/>
          <w:szCs w:val="24"/>
        </w:rPr>
        <w:t xml:space="preserve">overall </w:t>
      </w:r>
      <w:r w:rsidR="00573F2F" w:rsidRPr="004F607E">
        <w:rPr>
          <w:rFonts w:ascii="Calibri" w:hAnsi="Calibri"/>
          <w:sz w:val="24"/>
          <w:szCs w:val="24"/>
        </w:rPr>
        <w:t>cost of the clear</w:t>
      </w:r>
      <w:r w:rsidR="008051BF" w:rsidRPr="004F607E">
        <w:rPr>
          <w:rFonts w:ascii="Calibri" w:hAnsi="Calibri"/>
          <w:sz w:val="24"/>
          <w:szCs w:val="24"/>
        </w:rPr>
        <w:t xml:space="preserve">ance certificate </w:t>
      </w:r>
      <w:r w:rsidR="00DB1ACF" w:rsidRPr="004F607E">
        <w:rPr>
          <w:rFonts w:ascii="Calibri" w:hAnsi="Calibri"/>
          <w:sz w:val="24"/>
          <w:szCs w:val="24"/>
        </w:rPr>
        <w:t>s</w:t>
      </w:r>
      <w:r w:rsidR="004F607E" w:rsidRPr="004F607E">
        <w:rPr>
          <w:rFonts w:ascii="Calibri" w:hAnsi="Calibri"/>
          <w:sz w:val="24"/>
          <w:szCs w:val="24"/>
        </w:rPr>
        <w:t xml:space="preserve">ervice as registered users are responsible for around 97 per cent of all online applications.  </w:t>
      </w:r>
    </w:p>
    <w:p w:rsidR="00FF5FB8" w:rsidRPr="003122AA" w:rsidRDefault="00FF5FB8" w:rsidP="003A67E6">
      <w:pPr>
        <w:pStyle w:val="Style14ptJustified"/>
        <w:keepLines/>
        <w:numPr>
          <w:ilvl w:val="0"/>
          <w:numId w:val="14"/>
        </w:numPr>
        <w:spacing w:after="240" w:line="276" w:lineRule="auto"/>
        <w:jc w:val="left"/>
        <w:rPr>
          <w:rFonts w:ascii="Calibri" w:hAnsi="Calibri"/>
          <w:sz w:val="24"/>
          <w:szCs w:val="24"/>
        </w:rPr>
      </w:pPr>
      <w:r w:rsidRPr="005F56F6">
        <w:rPr>
          <w:rFonts w:ascii="Calibri" w:hAnsi="Calibri"/>
          <w:i/>
          <w:sz w:val="24"/>
          <w:szCs w:val="24"/>
        </w:rPr>
        <w:t>Stakeholder management</w:t>
      </w:r>
      <w:r w:rsidRPr="003122AA">
        <w:rPr>
          <w:rFonts w:ascii="Calibri" w:hAnsi="Calibri"/>
          <w:b/>
          <w:sz w:val="24"/>
          <w:szCs w:val="24"/>
        </w:rPr>
        <w:t xml:space="preserve"> </w:t>
      </w:r>
      <w:r w:rsidRPr="003122AA">
        <w:rPr>
          <w:rFonts w:ascii="Calibri" w:hAnsi="Calibri"/>
          <w:sz w:val="24"/>
          <w:szCs w:val="24"/>
        </w:rPr>
        <w:t>–</w:t>
      </w:r>
      <w:r w:rsidR="00566D03">
        <w:rPr>
          <w:rFonts w:ascii="Calibri" w:hAnsi="Calibri"/>
          <w:sz w:val="24"/>
          <w:szCs w:val="24"/>
        </w:rPr>
        <w:t xml:space="preserve"> </w:t>
      </w:r>
      <w:r w:rsidR="009E7C79">
        <w:rPr>
          <w:rFonts w:ascii="Calibri" w:hAnsi="Calibri"/>
          <w:sz w:val="24"/>
          <w:szCs w:val="24"/>
        </w:rPr>
        <w:t>T</w:t>
      </w:r>
      <w:r w:rsidR="00566D03">
        <w:rPr>
          <w:rFonts w:ascii="Calibri" w:hAnsi="Calibri"/>
          <w:sz w:val="24"/>
          <w:szCs w:val="24"/>
        </w:rPr>
        <w:t xml:space="preserve">he Team leader, Branch Manager and staff at VPS level 4 </w:t>
      </w:r>
      <w:r w:rsidR="009E7C79">
        <w:rPr>
          <w:rFonts w:ascii="Calibri" w:hAnsi="Calibri"/>
          <w:sz w:val="24"/>
          <w:szCs w:val="24"/>
        </w:rPr>
        <w:t xml:space="preserve">are also required to </w:t>
      </w:r>
      <w:r w:rsidR="00035273">
        <w:rPr>
          <w:rFonts w:ascii="Calibri" w:hAnsi="Calibri"/>
          <w:sz w:val="24"/>
          <w:szCs w:val="24"/>
        </w:rPr>
        <w:t xml:space="preserve">develop and maintain internal and external stakeholder relationships </w:t>
      </w:r>
      <w:r w:rsidR="00285A7F">
        <w:rPr>
          <w:rFonts w:ascii="Calibri" w:hAnsi="Calibri"/>
          <w:sz w:val="24"/>
          <w:szCs w:val="24"/>
        </w:rPr>
        <w:t>(</w:t>
      </w:r>
      <w:proofErr w:type="spellStart"/>
      <w:r w:rsidR="00285A7F">
        <w:rPr>
          <w:rFonts w:ascii="Calibri" w:hAnsi="Calibri"/>
          <w:sz w:val="24"/>
          <w:szCs w:val="24"/>
        </w:rPr>
        <w:t>ie</w:t>
      </w:r>
      <w:proofErr w:type="spellEnd"/>
      <w:r w:rsidR="00285A7F">
        <w:rPr>
          <w:rFonts w:ascii="Calibri" w:hAnsi="Calibri"/>
          <w:sz w:val="24"/>
          <w:szCs w:val="24"/>
        </w:rPr>
        <w:t xml:space="preserve">. </w:t>
      </w:r>
      <w:proofErr w:type="spellStart"/>
      <w:r w:rsidR="00285A7F" w:rsidRPr="003122AA">
        <w:rPr>
          <w:rFonts w:ascii="Calibri" w:hAnsi="Calibri"/>
          <w:sz w:val="24"/>
          <w:szCs w:val="24"/>
        </w:rPr>
        <w:t>Landata</w:t>
      </w:r>
      <w:proofErr w:type="spellEnd"/>
      <w:r w:rsidR="00285A7F" w:rsidRPr="003122AA">
        <w:rPr>
          <w:rFonts w:ascii="Calibri" w:hAnsi="Calibri"/>
          <w:sz w:val="24"/>
          <w:szCs w:val="24"/>
        </w:rPr>
        <w:t>, SAI Global</w:t>
      </w:r>
      <w:r w:rsidR="00285A7F">
        <w:rPr>
          <w:rFonts w:ascii="Calibri" w:hAnsi="Calibri"/>
          <w:sz w:val="24"/>
          <w:szCs w:val="24"/>
        </w:rPr>
        <w:t xml:space="preserve"> and</w:t>
      </w:r>
      <w:r w:rsidR="00285A7F" w:rsidRPr="003122AA">
        <w:rPr>
          <w:rFonts w:ascii="Calibri" w:hAnsi="Calibri"/>
          <w:sz w:val="24"/>
          <w:szCs w:val="24"/>
        </w:rPr>
        <w:t xml:space="preserve"> </w:t>
      </w:r>
      <w:r w:rsidR="00285A7F">
        <w:rPr>
          <w:rFonts w:ascii="Calibri" w:hAnsi="Calibri"/>
          <w:sz w:val="24"/>
          <w:szCs w:val="24"/>
        </w:rPr>
        <w:t xml:space="preserve">other high volume </w:t>
      </w:r>
      <w:r w:rsidR="00285A7F" w:rsidRPr="003122AA">
        <w:rPr>
          <w:rFonts w:ascii="Calibri" w:hAnsi="Calibri"/>
          <w:sz w:val="24"/>
          <w:szCs w:val="24"/>
        </w:rPr>
        <w:t>online registered users</w:t>
      </w:r>
      <w:r w:rsidR="00285A7F">
        <w:rPr>
          <w:rFonts w:ascii="Calibri" w:hAnsi="Calibri"/>
          <w:sz w:val="24"/>
          <w:szCs w:val="24"/>
        </w:rPr>
        <w:t>)</w:t>
      </w:r>
      <w:r w:rsidR="00566D03">
        <w:rPr>
          <w:rFonts w:ascii="Calibri" w:hAnsi="Calibri"/>
          <w:sz w:val="24"/>
          <w:szCs w:val="24"/>
        </w:rPr>
        <w:t>, identify and implement process improvements and identify the training or information needs of stakeholders</w:t>
      </w:r>
      <w:r w:rsidR="009E7C79" w:rsidRPr="009E7C79">
        <w:rPr>
          <w:rFonts w:ascii="Calibri" w:hAnsi="Calibri"/>
          <w:sz w:val="24"/>
          <w:szCs w:val="24"/>
        </w:rPr>
        <w:t xml:space="preserve"> </w:t>
      </w:r>
      <w:r w:rsidR="009E7C79">
        <w:rPr>
          <w:rFonts w:ascii="Calibri" w:hAnsi="Calibri"/>
          <w:sz w:val="24"/>
          <w:szCs w:val="24"/>
        </w:rPr>
        <w:t>to ensure the efficient processing of applications for land tax clearance certificates</w:t>
      </w:r>
      <w:r w:rsidR="00035273">
        <w:rPr>
          <w:rFonts w:ascii="Calibri" w:hAnsi="Calibri"/>
          <w:sz w:val="24"/>
          <w:szCs w:val="24"/>
        </w:rPr>
        <w:t xml:space="preserve">. </w:t>
      </w:r>
      <w:r w:rsidRPr="003122AA">
        <w:rPr>
          <w:rFonts w:ascii="Calibri" w:hAnsi="Calibri"/>
          <w:sz w:val="24"/>
          <w:szCs w:val="24"/>
        </w:rPr>
        <w:t xml:space="preserve"> </w:t>
      </w:r>
    </w:p>
    <w:p w:rsidR="008A05B7" w:rsidRPr="006326F6" w:rsidRDefault="00AC0F3E" w:rsidP="001D160F">
      <w:pPr>
        <w:pStyle w:val="Heading2"/>
        <w:spacing w:before="0" w:after="240" w:line="276" w:lineRule="auto"/>
        <w:rPr>
          <w:rFonts w:asciiTheme="minorHAnsi" w:eastAsia="Times New Roman" w:hAnsiTheme="minorHAnsi" w:cs="Times New Roman"/>
          <w:color w:val="auto"/>
          <w:sz w:val="28"/>
          <w:szCs w:val="22"/>
        </w:rPr>
      </w:pPr>
      <w:bookmarkStart w:id="13" w:name="_Toc432510184"/>
      <w:r w:rsidRPr="006326F6">
        <w:rPr>
          <w:rFonts w:asciiTheme="minorHAnsi" w:eastAsia="Times New Roman" w:hAnsiTheme="minorHAnsi" w:cs="Times New Roman"/>
          <w:color w:val="auto"/>
          <w:sz w:val="28"/>
          <w:szCs w:val="22"/>
        </w:rPr>
        <w:t xml:space="preserve">6.2. </w:t>
      </w:r>
      <w:r w:rsidR="00CB3271" w:rsidRPr="006326F6">
        <w:rPr>
          <w:rFonts w:asciiTheme="minorHAnsi" w:eastAsia="Times New Roman" w:hAnsiTheme="minorHAnsi" w:cs="Times New Roman"/>
          <w:color w:val="auto"/>
          <w:sz w:val="28"/>
          <w:szCs w:val="22"/>
        </w:rPr>
        <w:tab/>
      </w:r>
      <w:r w:rsidR="008A05B7" w:rsidRPr="006326F6">
        <w:rPr>
          <w:rFonts w:asciiTheme="minorHAnsi" w:eastAsia="Times New Roman" w:hAnsiTheme="minorHAnsi" w:cs="Times New Roman"/>
          <w:color w:val="auto"/>
          <w:sz w:val="28"/>
          <w:szCs w:val="22"/>
        </w:rPr>
        <w:t>Estimating the cost base</w:t>
      </w:r>
      <w:bookmarkEnd w:id="13"/>
    </w:p>
    <w:p w:rsidR="009C759B" w:rsidRDefault="00343F65" w:rsidP="009C759B">
      <w:pPr>
        <w:pStyle w:val="Style14ptJustified"/>
        <w:keepLines/>
        <w:spacing w:after="240" w:line="276" w:lineRule="auto"/>
        <w:jc w:val="left"/>
        <w:rPr>
          <w:rFonts w:ascii="Calibri" w:hAnsi="Calibri"/>
          <w:sz w:val="24"/>
          <w:szCs w:val="24"/>
        </w:rPr>
      </w:pPr>
      <w:r w:rsidRPr="00343F65">
        <w:rPr>
          <w:rFonts w:ascii="Calibri" w:hAnsi="Calibri"/>
          <w:sz w:val="24"/>
          <w:szCs w:val="24"/>
        </w:rPr>
        <w:t xml:space="preserve">The </w:t>
      </w:r>
      <w:r w:rsidR="00B22DBD" w:rsidRPr="001D3507">
        <w:rPr>
          <w:rFonts w:ascii="Calibri" w:hAnsi="Calibri"/>
          <w:sz w:val="24"/>
          <w:szCs w:val="24"/>
        </w:rPr>
        <w:t xml:space="preserve">Cost Recovery Guidelines </w:t>
      </w:r>
      <w:r w:rsidRPr="00343F65">
        <w:rPr>
          <w:rFonts w:ascii="Calibri" w:hAnsi="Calibri"/>
          <w:sz w:val="24"/>
          <w:szCs w:val="24"/>
        </w:rPr>
        <w:t xml:space="preserve">state that cost recovery charges should be set according to an ‘efficient’ cost base. This means that costs should be the minimum necessary to deliver the service </w:t>
      </w:r>
      <w:r>
        <w:rPr>
          <w:rFonts w:ascii="Calibri" w:hAnsi="Calibri"/>
          <w:sz w:val="24"/>
          <w:szCs w:val="24"/>
        </w:rPr>
        <w:t xml:space="preserve">whilst </w:t>
      </w:r>
      <w:r w:rsidRPr="00343F65">
        <w:rPr>
          <w:rFonts w:ascii="Calibri" w:hAnsi="Calibri"/>
          <w:sz w:val="24"/>
          <w:szCs w:val="24"/>
        </w:rPr>
        <w:t>achiev</w:t>
      </w:r>
      <w:r>
        <w:rPr>
          <w:rFonts w:ascii="Calibri" w:hAnsi="Calibri"/>
          <w:sz w:val="24"/>
          <w:szCs w:val="24"/>
        </w:rPr>
        <w:t>ing</w:t>
      </w:r>
      <w:r w:rsidRPr="00343F65">
        <w:rPr>
          <w:rFonts w:ascii="Calibri" w:hAnsi="Calibri"/>
          <w:sz w:val="24"/>
          <w:szCs w:val="24"/>
        </w:rPr>
        <w:t xml:space="preserve"> the required quality.</w:t>
      </w:r>
      <w:r w:rsidR="0040607B">
        <w:rPr>
          <w:rFonts w:ascii="Calibri" w:hAnsi="Calibri"/>
          <w:sz w:val="24"/>
          <w:szCs w:val="24"/>
        </w:rPr>
        <w:t xml:space="preserve"> </w:t>
      </w:r>
    </w:p>
    <w:p w:rsidR="00A62BEE" w:rsidRDefault="00A62BEE" w:rsidP="00A62BEE">
      <w:pPr>
        <w:pStyle w:val="Style14ptJustified"/>
        <w:keepLines/>
        <w:spacing w:after="240" w:line="276" w:lineRule="auto"/>
        <w:jc w:val="left"/>
        <w:rPr>
          <w:rFonts w:ascii="Calibri" w:hAnsi="Calibri"/>
          <w:sz w:val="24"/>
          <w:szCs w:val="24"/>
        </w:rPr>
      </w:pPr>
      <w:r>
        <w:rPr>
          <w:rFonts w:ascii="Calibri" w:hAnsi="Calibri"/>
          <w:sz w:val="24"/>
          <w:szCs w:val="24"/>
        </w:rPr>
        <w:t>Demonstrating ‘efficiency’ can be quite difficult, however in calculating the estimated cost base for the land tax clearance certificate service, the SRO has employed a number of techniques to ensure that the costs are based on the minimum cost recovery necessary to deliver the clearance certificate service whilst maintaining high quality service. This included—</w:t>
      </w:r>
    </w:p>
    <w:p w:rsidR="00A62BEE" w:rsidRDefault="00A62BEE" w:rsidP="003A67E6">
      <w:pPr>
        <w:pStyle w:val="Style14ptJustified"/>
        <w:keepLines/>
        <w:numPr>
          <w:ilvl w:val="0"/>
          <w:numId w:val="15"/>
        </w:numPr>
        <w:spacing w:after="240" w:line="276" w:lineRule="auto"/>
        <w:jc w:val="left"/>
        <w:rPr>
          <w:rFonts w:ascii="Calibri" w:hAnsi="Calibri"/>
          <w:sz w:val="24"/>
          <w:szCs w:val="24"/>
        </w:rPr>
      </w:pPr>
      <w:r>
        <w:rPr>
          <w:rFonts w:ascii="Calibri" w:hAnsi="Calibri"/>
          <w:sz w:val="24"/>
          <w:szCs w:val="24"/>
        </w:rPr>
        <w:lastRenderedPageBreak/>
        <w:t xml:space="preserve">Identifying all of the relevant input activities and associated costs involved in the provision of land tax clearance certificates. This process highlighted that: </w:t>
      </w:r>
    </w:p>
    <w:p w:rsidR="00A62BEE" w:rsidRDefault="00A62BEE" w:rsidP="003A67E6">
      <w:pPr>
        <w:pStyle w:val="Style14ptJustified"/>
        <w:keepLines/>
        <w:numPr>
          <w:ilvl w:val="1"/>
          <w:numId w:val="15"/>
        </w:numPr>
        <w:spacing w:after="240" w:line="276" w:lineRule="auto"/>
        <w:jc w:val="left"/>
        <w:rPr>
          <w:rFonts w:ascii="Calibri" w:hAnsi="Calibri"/>
          <w:sz w:val="24"/>
          <w:szCs w:val="24"/>
        </w:rPr>
      </w:pPr>
      <w:proofErr w:type="gramStart"/>
      <w:r>
        <w:rPr>
          <w:rFonts w:ascii="Calibri" w:hAnsi="Calibri"/>
          <w:sz w:val="24"/>
          <w:szCs w:val="24"/>
        </w:rPr>
        <w:t>there</w:t>
      </w:r>
      <w:proofErr w:type="gramEnd"/>
      <w:r>
        <w:rPr>
          <w:rFonts w:ascii="Calibri" w:hAnsi="Calibri"/>
          <w:sz w:val="24"/>
          <w:szCs w:val="24"/>
        </w:rPr>
        <w:t xml:space="preserve"> had been a reduction in the number of paper applications lodged, which in turn has reduced the number of staff required to process clearance certificate applications.</w:t>
      </w:r>
    </w:p>
    <w:p w:rsidR="00A62BEE" w:rsidRDefault="00A62BEE" w:rsidP="003A67E6">
      <w:pPr>
        <w:pStyle w:val="Style14ptJustified"/>
        <w:keepLines/>
        <w:numPr>
          <w:ilvl w:val="1"/>
          <w:numId w:val="15"/>
        </w:numPr>
        <w:spacing w:after="240" w:line="276" w:lineRule="auto"/>
        <w:jc w:val="left"/>
        <w:rPr>
          <w:rFonts w:ascii="Calibri" w:hAnsi="Calibri"/>
          <w:sz w:val="24"/>
          <w:szCs w:val="24"/>
        </w:rPr>
      </w:pPr>
      <w:proofErr w:type="gramStart"/>
      <w:r>
        <w:rPr>
          <w:rFonts w:ascii="Calibri" w:hAnsi="Calibri"/>
          <w:sz w:val="24"/>
          <w:szCs w:val="24"/>
        </w:rPr>
        <w:t>improvements</w:t>
      </w:r>
      <w:proofErr w:type="gramEnd"/>
      <w:r>
        <w:rPr>
          <w:rFonts w:ascii="Calibri" w:hAnsi="Calibri"/>
          <w:sz w:val="24"/>
          <w:szCs w:val="24"/>
        </w:rPr>
        <w:t xml:space="preserve"> to the </w:t>
      </w:r>
      <w:r w:rsidRPr="003966EB">
        <w:rPr>
          <w:rFonts w:ascii="Calibri" w:hAnsi="Calibri"/>
          <w:sz w:val="24"/>
          <w:szCs w:val="24"/>
        </w:rPr>
        <w:t>Land Tax Clea</w:t>
      </w:r>
      <w:r>
        <w:rPr>
          <w:rFonts w:ascii="Calibri" w:hAnsi="Calibri"/>
          <w:sz w:val="24"/>
          <w:szCs w:val="24"/>
        </w:rPr>
        <w:t>rance certificate online system ha</w:t>
      </w:r>
      <w:r w:rsidR="00722202">
        <w:rPr>
          <w:rFonts w:ascii="Calibri" w:hAnsi="Calibri"/>
          <w:sz w:val="24"/>
          <w:szCs w:val="24"/>
        </w:rPr>
        <w:t>ve</w:t>
      </w:r>
      <w:r>
        <w:rPr>
          <w:rFonts w:ascii="Calibri" w:hAnsi="Calibri"/>
          <w:sz w:val="24"/>
          <w:szCs w:val="24"/>
        </w:rPr>
        <w:t xml:space="preserve"> resulted in a reduction in the level of complexity and time required to resolve data discrepancies, thereby minimising the involvement of  staff at higher VPS classifications.</w:t>
      </w:r>
    </w:p>
    <w:p w:rsidR="0034079D" w:rsidRPr="0034079D" w:rsidRDefault="0034079D" w:rsidP="003A67E6">
      <w:pPr>
        <w:pStyle w:val="Style14ptJustified"/>
        <w:keepLines/>
        <w:numPr>
          <w:ilvl w:val="1"/>
          <w:numId w:val="15"/>
        </w:numPr>
        <w:spacing w:after="240" w:line="276" w:lineRule="auto"/>
        <w:jc w:val="left"/>
        <w:rPr>
          <w:rFonts w:ascii="Calibri" w:hAnsi="Calibri"/>
          <w:sz w:val="24"/>
          <w:szCs w:val="24"/>
        </w:rPr>
      </w:pPr>
      <w:proofErr w:type="gramStart"/>
      <w:r w:rsidRPr="0034079D">
        <w:rPr>
          <w:rFonts w:ascii="Calibri" w:hAnsi="Calibri"/>
          <w:sz w:val="24"/>
          <w:szCs w:val="24"/>
        </w:rPr>
        <w:t>there</w:t>
      </w:r>
      <w:proofErr w:type="gramEnd"/>
      <w:r w:rsidRPr="0034079D">
        <w:rPr>
          <w:rFonts w:ascii="Calibri" w:hAnsi="Calibri"/>
          <w:sz w:val="24"/>
          <w:szCs w:val="24"/>
        </w:rPr>
        <w:t xml:space="preserve"> is </w:t>
      </w:r>
      <w:r w:rsidR="00722202">
        <w:rPr>
          <w:rFonts w:ascii="Calibri" w:hAnsi="Calibri"/>
          <w:sz w:val="24"/>
          <w:szCs w:val="24"/>
        </w:rPr>
        <w:t xml:space="preserve">some </w:t>
      </w:r>
      <w:r w:rsidRPr="0034079D">
        <w:rPr>
          <w:rFonts w:ascii="Calibri" w:hAnsi="Calibri"/>
          <w:sz w:val="24"/>
          <w:szCs w:val="24"/>
        </w:rPr>
        <w:t>scope to further reduce the number of applications requiring manual intervention</w:t>
      </w:r>
      <w:r w:rsidR="00133B89" w:rsidRPr="00133B89">
        <w:rPr>
          <w:rFonts w:ascii="Calibri" w:hAnsi="Calibri"/>
          <w:sz w:val="24"/>
          <w:szCs w:val="24"/>
        </w:rPr>
        <w:t xml:space="preserve"> </w:t>
      </w:r>
      <w:r w:rsidR="00133B89">
        <w:rPr>
          <w:rFonts w:ascii="Calibri" w:hAnsi="Calibri"/>
          <w:sz w:val="24"/>
          <w:szCs w:val="24"/>
        </w:rPr>
        <w:t>over time</w:t>
      </w:r>
      <w:r w:rsidR="00722202">
        <w:rPr>
          <w:rFonts w:ascii="Calibri" w:hAnsi="Calibri"/>
          <w:sz w:val="24"/>
          <w:szCs w:val="24"/>
        </w:rPr>
        <w:t>. This</w:t>
      </w:r>
      <w:r w:rsidRPr="0034079D">
        <w:rPr>
          <w:rFonts w:ascii="Calibri" w:hAnsi="Calibri"/>
          <w:sz w:val="24"/>
          <w:szCs w:val="24"/>
        </w:rPr>
        <w:t xml:space="preserve"> </w:t>
      </w:r>
      <w:r w:rsidR="00722202">
        <w:rPr>
          <w:rFonts w:ascii="Calibri" w:hAnsi="Calibri"/>
          <w:sz w:val="24"/>
          <w:szCs w:val="24"/>
        </w:rPr>
        <w:t xml:space="preserve">could be achieved </w:t>
      </w:r>
      <w:r w:rsidRPr="0034079D">
        <w:rPr>
          <w:rFonts w:ascii="Calibri" w:hAnsi="Calibri"/>
          <w:sz w:val="24"/>
          <w:szCs w:val="24"/>
        </w:rPr>
        <w:t>by improving the accuracy and reliability of the SRO’s land tax database as well as providing targeted training sessions and educational materials for registered online users to ensure accurate information is provided in applications.</w:t>
      </w:r>
      <w:r w:rsidR="00ED0BE8">
        <w:rPr>
          <w:rFonts w:ascii="Calibri" w:hAnsi="Calibri"/>
          <w:sz w:val="24"/>
          <w:szCs w:val="24"/>
        </w:rPr>
        <w:t xml:space="preserve"> </w:t>
      </w:r>
      <w:r w:rsidR="00B72EB5">
        <w:rPr>
          <w:rFonts w:ascii="Calibri" w:hAnsi="Calibri"/>
          <w:sz w:val="24"/>
          <w:szCs w:val="24"/>
        </w:rPr>
        <w:t>It is not anticipated that t</w:t>
      </w:r>
      <w:r w:rsidR="00ED0BE8">
        <w:rPr>
          <w:rFonts w:ascii="Calibri" w:hAnsi="Calibri"/>
          <w:sz w:val="24"/>
          <w:szCs w:val="24"/>
        </w:rPr>
        <w:t xml:space="preserve">hese </w:t>
      </w:r>
      <w:r w:rsidR="00133B89">
        <w:rPr>
          <w:rFonts w:ascii="Calibri" w:hAnsi="Calibri"/>
          <w:sz w:val="24"/>
          <w:szCs w:val="24"/>
        </w:rPr>
        <w:t>improvements</w:t>
      </w:r>
      <w:r w:rsidR="00ED0BE8">
        <w:rPr>
          <w:rFonts w:ascii="Calibri" w:hAnsi="Calibri"/>
          <w:sz w:val="24"/>
          <w:szCs w:val="24"/>
        </w:rPr>
        <w:t xml:space="preserve"> </w:t>
      </w:r>
      <w:r w:rsidR="00B72EB5">
        <w:rPr>
          <w:rFonts w:ascii="Calibri" w:hAnsi="Calibri"/>
          <w:sz w:val="24"/>
          <w:szCs w:val="24"/>
        </w:rPr>
        <w:t>will have much impact on the overall</w:t>
      </w:r>
      <w:r w:rsidR="00ED0BE8">
        <w:rPr>
          <w:rFonts w:ascii="Calibri" w:hAnsi="Calibri"/>
          <w:sz w:val="24"/>
          <w:szCs w:val="24"/>
        </w:rPr>
        <w:t xml:space="preserve"> costs associated with the clearance certificate service in the short </w:t>
      </w:r>
      <w:r w:rsidR="00B72EB5">
        <w:rPr>
          <w:rFonts w:ascii="Calibri" w:hAnsi="Calibri"/>
          <w:sz w:val="24"/>
          <w:szCs w:val="24"/>
        </w:rPr>
        <w:t xml:space="preserve">term. However, the SRO will continue to monitor these numbers and review the process to ensure that the fee continues to reflect the </w:t>
      </w:r>
      <w:r w:rsidR="00DB1ACF">
        <w:rPr>
          <w:rFonts w:ascii="Calibri" w:hAnsi="Calibri"/>
          <w:sz w:val="24"/>
          <w:szCs w:val="24"/>
        </w:rPr>
        <w:t xml:space="preserve">actual </w:t>
      </w:r>
      <w:r w:rsidR="00B72EB5">
        <w:rPr>
          <w:rFonts w:ascii="Calibri" w:hAnsi="Calibri"/>
          <w:sz w:val="24"/>
          <w:szCs w:val="24"/>
        </w:rPr>
        <w:t>cost</w:t>
      </w:r>
      <w:r w:rsidR="00DB1ACF">
        <w:rPr>
          <w:rFonts w:ascii="Calibri" w:hAnsi="Calibri"/>
          <w:sz w:val="24"/>
          <w:szCs w:val="24"/>
        </w:rPr>
        <w:t xml:space="preserve"> of the clearance certificate service</w:t>
      </w:r>
      <w:r w:rsidR="00B72EB5">
        <w:rPr>
          <w:rFonts w:ascii="Calibri" w:hAnsi="Calibri"/>
          <w:sz w:val="24"/>
          <w:szCs w:val="24"/>
        </w:rPr>
        <w:t>.</w:t>
      </w:r>
    </w:p>
    <w:p w:rsidR="00A62BEE" w:rsidRDefault="00B72EB5" w:rsidP="003A67E6">
      <w:pPr>
        <w:pStyle w:val="Style14ptJustified"/>
        <w:keepLines/>
        <w:numPr>
          <w:ilvl w:val="0"/>
          <w:numId w:val="15"/>
        </w:numPr>
        <w:spacing w:after="240" w:line="276" w:lineRule="auto"/>
        <w:jc w:val="left"/>
        <w:rPr>
          <w:rFonts w:ascii="Calibri" w:hAnsi="Calibri"/>
          <w:sz w:val="24"/>
          <w:szCs w:val="24"/>
        </w:rPr>
      </w:pPr>
      <w:r>
        <w:rPr>
          <w:rFonts w:ascii="Calibri" w:hAnsi="Calibri"/>
          <w:sz w:val="24"/>
          <w:szCs w:val="24"/>
        </w:rPr>
        <w:t xml:space="preserve">Ongoing </w:t>
      </w:r>
      <w:r w:rsidR="00A62BEE">
        <w:rPr>
          <w:rFonts w:ascii="Calibri" w:hAnsi="Calibri"/>
          <w:sz w:val="24"/>
          <w:szCs w:val="24"/>
        </w:rPr>
        <w:t xml:space="preserve">consultation with industry </w:t>
      </w:r>
      <w:r w:rsidR="000732E3">
        <w:rPr>
          <w:rFonts w:ascii="Calibri" w:hAnsi="Calibri"/>
          <w:sz w:val="24"/>
          <w:szCs w:val="24"/>
        </w:rPr>
        <w:t xml:space="preserve">and registered users </w:t>
      </w:r>
      <w:r w:rsidR="00A62BEE">
        <w:rPr>
          <w:rFonts w:ascii="Calibri" w:hAnsi="Calibri"/>
          <w:sz w:val="24"/>
          <w:szCs w:val="24"/>
        </w:rPr>
        <w:t xml:space="preserve">regarding the level of service provided and whether the fee imposed matches the service provided. Stakeholders and registered users are encouraged to provide feedback and comments on how the </w:t>
      </w:r>
      <w:r w:rsidR="00A62BEE" w:rsidRPr="003966EB">
        <w:rPr>
          <w:rFonts w:ascii="Calibri" w:hAnsi="Calibri"/>
          <w:sz w:val="24"/>
          <w:szCs w:val="24"/>
        </w:rPr>
        <w:t>Land Tax Clea</w:t>
      </w:r>
      <w:r w:rsidR="00A62BEE">
        <w:rPr>
          <w:rFonts w:ascii="Calibri" w:hAnsi="Calibri"/>
          <w:sz w:val="24"/>
          <w:szCs w:val="24"/>
        </w:rPr>
        <w:t xml:space="preserve">rance certificate online system is operating. The SRO uses this feedback to make appropriate adjustments and improvements to the online system to ensure the process is efficient and effective. </w:t>
      </w:r>
    </w:p>
    <w:p w:rsidR="00A62BEE" w:rsidRDefault="00A62BEE" w:rsidP="003A67E6">
      <w:pPr>
        <w:pStyle w:val="Style14ptJustified"/>
        <w:keepLines/>
        <w:numPr>
          <w:ilvl w:val="0"/>
          <w:numId w:val="15"/>
        </w:numPr>
        <w:spacing w:after="240" w:line="276" w:lineRule="auto"/>
        <w:jc w:val="left"/>
        <w:rPr>
          <w:rFonts w:ascii="Calibri" w:hAnsi="Calibri"/>
          <w:sz w:val="24"/>
          <w:szCs w:val="24"/>
        </w:rPr>
      </w:pPr>
      <w:r>
        <w:rPr>
          <w:rFonts w:ascii="Calibri" w:hAnsi="Calibri"/>
          <w:sz w:val="24"/>
          <w:szCs w:val="24"/>
        </w:rPr>
        <w:t xml:space="preserve">Comparing the fees against those charged in other jurisdictions </w:t>
      </w:r>
      <w:r w:rsidR="004D36C1">
        <w:rPr>
          <w:rFonts w:ascii="Calibri" w:hAnsi="Calibri"/>
          <w:sz w:val="24"/>
          <w:szCs w:val="24"/>
        </w:rPr>
        <w:t>that</w:t>
      </w:r>
      <w:r>
        <w:rPr>
          <w:rFonts w:ascii="Calibri" w:hAnsi="Calibri"/>
          <w:sz w:val="24"/>
          <w:szCs w:val="24"/>
        </w:rPr>
        <w:t xml:space="preserve"> provide similar land certificate services</w:t>
      </w:r>
      <w:r w:rsidR="001B237F">
        <w:rPr>
          <w:rFonts w:ascii="Calibri" w:hAnsi="Calibri"/>
          <w:sz w:val="24"/>
          <w:szCs w:val="24"/>
        </w:rPr>
        <w:t>. This includes</w:t>
      </w:r>
      <w:r>
        <w:rPr>
          <w:rFonts w:ascii="Calibri" w:hAnsi="Calibri"/>
          <w:sz w:val="24"/>
          <w:szCs w:val="24"/>
        </w:rPr>
        <w:t xml:space="preserve"> the fees imposed by other Revenue Offices for the provision of land tax certificates as well as the fees imposed by Victorian councils for the provision of land information certificates which involves a similar process. </w:t>
      </w:r>
    </w:p>
    <w:p w:rsidR="00F7444A" w:rsidRPr="004D36C1" w:rsidRDefault="004D36C1" w:rsidP="00F7444A">
      <w:pPr>
        <w:pStyle w:val="Style14ptJustified"/>
        <w:keepLines/>
        <w:spacing w:after="240" w:line="276" w:lineRule="auto"/>
        <w:jc w:val="left"/>
        <w:rPr>
          <w:rFonts w:ascii="Calibri" w:hAnsi="Calibri"/>
          <w:b/>
          <w:sz w:val="24"/>
          <w:szCs w:val="24"/>
        </w:rPr>
      </w:pPr>
      <w:r w:rsidRPr="004D36C1">
        <w:rPr>
          <w:rFonts w:ascii="Calibri" w:hAnsi="Calibri"/>
          <w:b/>
          <w:sz w:val="24"/>
          <w:szCs w:val="24"/>
        </w:rPr>
        <w:t>Costing methodology</w:t>
      </w:r>
      <w:r w:rsidR="00F7444A">
        <w:rPr>
          <w:rFonts w:ascii="Calibri" w:hAnsi="Calibri"/>
          <w:b/>
          <w:sz w:val="24"/>
          <w:szCs w:val="24"/>
        </w:rPr>
        <w:t>,</w:t>
      </w:r>
      <w:r w:rsidR="00F7444A" w:rsidRPr="00F7444A">
        <w:rPr>
          <w:rFonts w:ascii="Calibri" w:hAnsi="Calibri"/>
          <w:b/>
          <w:sz w:val="24"/>
          <w:szCs w:val="24"/>
        </w:rPr>
        <w:t xml:space="preserve"> </w:t>
      </w:r>
      <w:r w:rsidR="00F7444A">
        <w:rPr>
          <w:rFonts w:ascii="Calibri" w:hAnsi="Calibri"/>
          <w:b/>
          <w:sz w:val="24"/>
          <w:szCs w:val="24"/>
        </w:rPr>
        <w:t>assumptions and calculations</w:t>
      </w:r>
    </w:p>
    <w:p w:rsidR="009A2865" w:rsidRDefault="009C759B" w:rsidP="009C759B">
      <w:pPr>
        <w:pStyle w:val="Style14ptJustified"/>
        <w:keepLines/>
        <w:spacing w:after="240" w:line="276" w:lineRule="auto"/>
        <w:jc w:val="left"/>
        <w:rPr>
          <w:rFonts w:ascii="Calibri" w:hAnsi="Calibri"/>
          <w:sz w:val="24"/>
          <w:szCs w:val="24"/>
        </w:rPr>
      </w:pPr>
      <w:r w:rsidRPr="00E01441">
        <w:rPr>
          <w:rFonts w:ascii="Calibri" w:hAnsi="Calibri"/>
          <w:sz w:val="24"/>
          <w:szCs w:val="24"/>
        </w:rPr>
        <w:t xml:space="preserve">Estimating the efficient cost base requires an identification of all relevant operating and overhead costs to be recovered. These must be integral or directly related to the activity. Costs that are not integral or directly related to the activity should be excluded. In particular, costs of the broad development of policy/regulation and general parliamentary servicing roles of government </w:t>
      </w:r>
      <w:r>
        <w:rPr>
          <w:rFonts w:ascii="Calibri" w:hAnsi="Calibri"/>
          <w:sz w:val="24"/>
          <w:szCs w:val="24"/>
        </w:rPr>
        <w:t>have been</w:t>
      </w:r>
      <w:r w:rsidRPr="00E01441">
        <w:rPr>
          <w:rFonts w:ascii="Calibri" w:hAnsi="Calibri"/>
          <w:sz w:val="24"/>
          <w:szCs w:val="24"/>
        </w:rPr>
        <w:t xml:space="preserve"> excluded from the cost base</w:t>
      </w:r>
      <w:r w:rsidR="009F12F5">
        <w:rPr>
          <w:rFonts w:ascii="Calibri" w:hAnsi="Calibri"/>
          <w:sz w:val="24"/>
          <w:szCs w:val="24"/>
        </w:rPr>
        <w:t>, consistent with Cost Recovery Guidelines</w:t>
      </w:r>
      <w:r w:rsidRPr="00E01441">
        <w:rPr>
          <w:rFonts w:ascii="Calibri" w:hAnsi="Calibri"/>
          <w:sz w:val="24"/>
          <w:szCs w:val="24"/>
        </w:rPr>
        <w:t>.</w:t>
      </w:r>
      <w:r w:rsidR="009A2865">
        <w:rPr>
          <w:rFonts w:ascii="Calibri" w:hAnsi="Calibri"/>
          <w:sz w:val="24"/>
          <w:szCs w:val="24"/>
        </w:rPr>
        <w:t xml:space="preserve"> </w:t>
      </w:r>
    </w:p>
    <w:p w:rsidR="00BD3675" w:rsidRDefault="009A2865" w:rsidP="009C759B">
      <w:pPr>
        <w:pStyle w:val="Style14ptJustified"/>
        <w:keepLines/>
        <w:spacing w:after="240" w:line="276" w:lineRule="auto"/>
        <w:jc w:val="left"/>
        <w:rPr>
          <w:rFonts w:ascii="Calibri" w:hAnsi="Calibri"/>
          <w:sz w:val="24"/>
          <w:szCs w:val="24"/>
        </w:rPr>
      </w:pPr>
      <w:r>
        <w:rPr>
          <w:rFonts w:ascii="Calibri" w:hAnsi="Calibri"/>
          <w:sz w:val="24"/>
          <w:szCs w:val="24"/>
        </w:rPr>
        <w:lastRenderedPageBreak/>
        <w:t>The main costs associated with the clearance certificate service provided by the SRO are the labour costs involved in processing applications</w:t>
      </w:r>
      <w:r w:rsidR="00F7444A">
        <w:rPr>
          <w:rFonts w:ascii="Calibri" w:hAnsi="Calibri"/>
          <w:sz w:val="24"/>
          <w:szCs w:val="24"/>
        </w:rPr>
        <w:t>,</w:t>
      </w:r>
      <w:r>
        <w:rPr>
          <w:rFonts w:ascii="Calibri" w:hAnsi="Calibri"/>
          <w:sz w:val="24"/>
          <w:szCs w:val="24"/>
        </w:rPr>
        <w:t xml:space="preserve"> the IT </w:t>
      </w:r>
      <w:r w:rsidR="00F7444A">
        <w:rPr>
          <w:rFonts w:ascii="Calibri" w:hAnsi="Calibri"/>
          <w:sz w:val="24"/>
          <w:szCs w:val="24"/>
        </w:rPr>
        <w:t xml:space="preserve">costs associated with maintaining and improving the land tax clearance certificate online system </w:t>
      </w:r>
      <w:r>
        <w:rPr>
          <w:rFonts w:ascii="Calibri" w:hAnsi="Calibri"/>
          <w:sz w:val="24"/>
          <w:szCs w:val="24"/>
        </w:rPr>
        <w:t>and costs</w:t>
      </w:r>
      <w:r w:rsidR="00F7444A">
        <w:rPr>
          <w:rFonts w:ascii="Calibri" w:hAnsi="Calibri"/>
          <w:sz w:val="24"/>
          <w:szCs w:val="24"/>
        </w:rPr>
        <w:t xml:space="preserve"> associated with valuations</w:t>
      </w:r>
      <w:r>
        <w:rPr>
          <w:rFonts w:ascii="Calibri" w:hAnsi="Calibri"/>
          <w:sz w:val="24"/>
          <w:szCs w:val="24"/>
        </w:rPr>
        <w:t xml:space="preserve">. </w:t>
      </w:r>
    </w:p>
    <w:p w:rsidR="00D41A09" w:rsidRPr="004F0791" w:rsidRDefault="00D41A09" w:rsidP="009C759B">
      <w:pPr>
        <w:pStyle w:val="Style14ptJustified"/>
        <w:keepLines/>
        <w:spacing w:after="240" w:line="276" w:lineRule="auto"/>
        <w:jc w:val="left"/>
        <w:rPr>
          <w:rFonts w:ascii="Calibri" w:hAnsi="Calibri"/>
          <w:b/>
          <w:sz w:val="24"/>
          <w:szCs w:val="24"/>
        </w:rPr>
      </w:pPr>
      <w:r w:rsidRPr="004F0791">
        <w:rPr>
          <w:rFonts w:ascii="Calibri" w:hAnsi="Calibri"/>
          <w:b/>
          <w:sz w:val="24"/>
          <w:szCs w:val="24"/>
        </w:rPr>
        <w:t>Table 1</w:t>
      </w:r>
      <w:r w:rsidR="004F0791" w:rsidRPr="004F0791">
        <w:rPr>
          <w:rFonts w:ascii="Calibri" w:hAnsi="Calibri"/>
          <w:b/>
          <w:sz w:val="24"/>
          <w:szCs w:val="24"/>
        </w:rPr>
        <w:t>:</w:t>
      </w:r>
      <w:r w:rsidRPr="004F0791">
        <w:rPr>
          <w:rFonts w:ascii="Calibri" w:hAnsi="Calibri"/>
          <w:b/>
          <w:sz w:val="24"/>
          <w:szCs w:val="24"/>
        </w:rPr>
        <w:t xml:space="preserve"> Summary of Costs</w:t>
      </w:r>
      <w:r w:rsidR="004F0791">
        <w:rPr>
          <w:rStyle w:val="FootnoteReference"/>
          <w:rFonts w:ascii="Calibri" w:hAnsi="Calibri"/>
          <w:b/>
          <w:sz w:val="24"/>
          <w:szCs w:val="24"/>
        </w:rPr>
        <w:footnoteReference w:id="3"/>
      </w:r>
    </w:p>
    <w:tbl>
      <w:tblPr>
        <w:tblW w:w="9149" w:type="dxa"/>
        <w:tblInd w:w="93" w:type="dxa"/>
        <w:tblLook w:val="04A0" w:firstRow="1" w:lastRow="0" w:firstColumn="1" w:lastColumn="0" w:noHBand="0" w:noVBand="1"/>
      </w:tblPr>
      <w:tblGrid>
        <w:gridCol w:w="4551"/>
        <w:gridCol w:w="1222"/>
        <w:gridCol w:w="1755"/>
        <w:gridCol w:w="1621"/>
      </w:tblGrid>
      <w:tr w:rsidR="00D41A09" w:rsidRPr="00BF02C7" w:rsidTr="006578CC">
        <w:trPr>
          <w:trHeight w:val="398"/>
        </w:trPr>
        <w:tc>
          <w:tcPr>
            <w:tcW w:w="9149" w:type="dxa"/>
            <w:gridSpan w:val="4"/>
            <w:tcBorders>
              <w:top w:val="single" w:sz="4" w:space="0" w:color="auto"/>
              <w:left w:val="single" w:sz="4" w:space="0" w:color="auto"/>
              <w:right w:val="single" w:sz="4" w:space="0" w:color="auto"/>
            </w:tcBorders>
            <w:vAlign w:val="center"/>
          </w:tcPr>
          <w:p w:rsidR="00D41A09" w:rsidRPr="00BF02C7" w:rsidRDefault="00D41A09" w:rsidP="006578CC">
            <w:pPr>
              <w:spacing w:line="276" w:lineRule="auto"/>
              <w:ind w:left="191"/>
              <w:rPr>
                <w:rFonts w:asciiTheme="minorHAnsi" w:hAnsiTheme="minorHAnsi"/>
                <w:color w:val="000000"/>
                <w:sz w:val="22"/>
                <w:szCs w:val="22"/>
                <w:u w:val="single"/>
                <w:lang w:eastAsia="en-AU"/>
              </w:rPr>
            </w:pPr>
            <w:r>
              <w:rPr>
                <w:rFonts w:asciiTheme="minorHAnsi" w:hAnsiTheme="minorHAnsi"/>
                <w:b/>
                <w:bCs/>
                <w:color w:val="000000"/>
                <w:sz w:val="22"/>
                <w:szCs w:val="22"/>
                <w:u w:val="single"/>
                <w:lang w:eastAsia="en-AU"/>
              </w:rPr>
              <w:t>Cost Summary</w:t>
            </w:r>
          </w:p>
        </w:tc>
      </w:tr>
      <w:tr w:rsidR="00D41A09" w:rsidRPr="00BF02C7" w:rsidTr="00D41A09">
        <w:trPr>
          <w:trHeight w:val="389"/>
        </w:trPr>
        <w:tc>
          <w:tcPr>
            <w:tcW w:w="4551" w:type="dxa"/>
            <w:tcBorders>
              <w:left w:val="single" w:sz="4" w:space="0" w:color="auto"/>
            </w:tcBorders>
            <w:shd w:val="clear" w:color="auto" w:fill="auto"/>
            <w:noWrap/>
            <w:vAlign w:val="center"/>
            <w:hideMark/>
          </w:tcPr>
          <w:p w:rsidR="00D41A09" w:rsidRPr="00D41A09" w:rsidRDefault="00D41A09" w:rsidP="00D41A09">
            <w:pPr>
              <w:spacing w:line="276" w:lineRule="auto"/>
              <w:ind w:left="191" w:right="95"/>
              <w:rPr>
                <w:rFonts w:asciiTheme="minorHAnsi" w:hAnsiTheme="minorHAnsi"/>
                <w:bCs/>
                <w:color w:val="000000"/>
                <w:sz w:val="22"/>
                <w:szCs w:val="22"/>
                <w:lang w:eastAsia="en-AU"/>
              </w:rPr>
            </w:pPr>
            <w:r w:rsidRPr="00D41A09">
              <w:rPr>
                <w:rFonts w:asciiTheme="minorHAnsi" w:hAnsiTheme="minorHAnsi"/>
                <w:bCs/>
                <w:color w:val="000000"/>
                <w:sz w:val="22"/>
                <w:szCs w:val="22"/>
                <w:lang w:eastAsia="en-AU"/>
              </w:rPr>
              <w:t xml:space="preserve">Salaries  </w:t>
            </w:r>
          </w:p>
        </w:tc>
        <w:tc>
          <w:tcPr>
            <w:tcW w:w="1222" w:type="dxa"/>
            <w:shd w:val="clear" w:color="auto" w:fill="auto"/>
            <w:noWrap/>
            <w:vAlign w:val="center"/>
          </w:tcPr>
          <w:p w:rsidR="00D41A09" w:rsidRPr="00D41A09" w:rsidRDefault="00D41A09" w:rsidP="00D41A09">
            <w:pPr>
              <w:spacing w:line="276" w:lineRule="auto"/>
              <w:ind w:right="95"/>
              <w:jc w:val="right"/>
              <w:rPr>
                <w:rFonts w:asciiTheme="minorHAnsi" w:hAnsiTheme="minorHAnsi"/>
                <w:bCs/>
                <w:color w:val="000000"/>
                <w:sz w:val="22"/>
                <w:szCs w:val="22"/>
                <w:lang w:eastAsia="en-AU"/>
              </w:rPr>
            </w:pPr>
          </w:p>
        </w:tc>
        <w:tc>
          <w:tcPr>
            <w:tcW w:w="1755" w:type="dxa"/>
            <w:vAlign w:val="center"/>
          </w:tcPr>
          <w:p w:rsidR="00D41A09" w:rsidRPr="00D41A09" w:rsidRDefault="00D41A09" w:rsidP="00D41A09">
            <w:pPr>
              <w:spacing w:line="276" w:lineRule="auto"/>
              <w:ind w:right="95"/>
              <w:jc w:val="right"/>
              <w:rPr>
                <w:rFonts w:asciiTheme="minorHAnsi" w:hAnsiTheme="minorHAnsi"/>
                <w:bCs/>
                <w:color w:val="000000"/>
                <w:sz w:val="22"/>
                <w:szCs w:val="22"/>
                <w:lang w:eastAsia="en-AU"/>
              </w:rPr>
            </w:pPr>
          </w:p>
        </w:tc>
        <w:tc>
          <w:tcPr>
            <w:tcW w:w="1621" w:type="dxa"/>
            <w:tcBorders>
              <w:right w:val="single" w:sz="4" w:space="0" w:color="auto"/>
            </w:tcBorders>
            <w:shd w:val="clear" w:color="auto" w:fill="auto"/>
            <w:noWrap/>
            <w:vAlign w:val="center"/>
            <w:hideMark/>
          </w:tcPr>
          <w:p w:rsidR="00D41A09" w:rsidRPr="00D41A09" w:rsidRDefault="00D41A09" w:rsidP="00CF1275">
            <w:pPr>
              <w:spacing w:line="276" w:lineRule="auto"/>
              <w:ind w:right="95"/>
              <w:jc w:val="right"/>
              <w:rPr>
                <w:rFonts w:asciiTheme="minorHAnsi" w:hAnsiTheme="minorHAnsi"/>
                <w:bCs/>
                <w:color w:val="000000"/>
                <w:sz w:val="22"/>
                <w:szCs w:val="22"/>
                <w:lang w:eastAsia="en-AU"/>
              </w:rPr>
            </w:pPr>
            <w:r w:rsidRPr="00D41A09">
              <w:rPr>
                <w:rFonts w:asciiTheme="minorHAnsi" w:hAnsiTheme="minorHAnsi"/>
                <w:bCs/>
                <w:color w:val="000000"/>
                <w:sz w:val="22"/>
                <w:szCs w:val="22"/>
                <w:lang w:eastAsia="en-AU"/>
              </w:rPr>
              <w:t>480,36</w:t>
            </w:r>
            <w:r w:rsidR="00CF1275">
              <w:rPr>
                <w:rFonts w:asciiTheme="minorHAnsi" w:hAnsiTheme="minorHAnsi"/>
                <w:bCs/>
                <w:color w:val="000000"/>
                <w:sz w:val="22"/>
                <w:szCs w:val="22"/>
                <w:lang w:eastAsia="en-AU"/>
              </w:rPr>
              <w:t>6</w:t>
            </w:r>
            <w:r w:rsidRPr="00D41A09">
              <w:rPr>
                <w:rFonts w:asciiTheme="minorHAnsi" w:hAnsiTheme="minorHAnsi"/>
                <w:bCs/>
                <w:color w:val="000000"/>
                <w:sz w:val="22"/>
                <w:szCs w:val="22"/>
                <w:lang w:eastAsia="en-AU"/>
              </w:rPr>
              <w:t xml:space="preserve"> </w:t>
            </w:r>
          </w:p>
        </w:tc>
      </w:tr>
      <w:tr w:rsidR="00D41A09" w:rsidRPr="00BF02C7" w:rsidTr="00D41A09">
        <w:trPr>
          <w:trHeight w:val="389"/>
        </w:trPr>
        <w:tc>
          <w:tcPr>
            <w:tcW w:w="4551" w:type="dxa"/>
            <w:tcBorders>
              <w:left w:val="single" w:sz="4" w:space="0" w:color="auto"/>
            </w:tcBorders>
            <w:shd w:val="clear" w:color="auto" w:fill="auto"/>
            <w:noWrap/>
            <w:vAlign w:val="center"/>
            <w:hideMark/>
          </w:tcPr>
          <w:p w:rsidR="00D41A09" w:rsidRPr="00D41A09" w:rsidRDefault="00D41A09" w:rsidP="00D41A09">
            <w:pPr>
              <w:spacing w:line="276" w:lineRule="auto"/>
              <w:ind w:left="191" w:right="95"/>
              <w:rPr>
                <w:rFonts w:asciiTheme="minorHAnsi" w:hAnsiTheme="minorHAnsi"/>
                <w:bCs/>
                <w:color w:val="000000"/>
                <w:sz w:val="22"/>
                <w:szCs w:val="22"/>
                <w:lang w:eastAsia="en-AU"/>
              </w:rPr>
            </w:pPr>
            <w:r w:rsidRPr="00D41A09">
              <w:rPr>
                <w:rFonts w:asciiTheme="minorHAnsi" w:hAnsiTheme="minorHAnsi"/>
                <w:bCs/>
                <w:color w:val="000000"/>
                <w:sz w:val="22"/>
                <w:szCs w:val="22"/>
                <w:lang w:eastAsia="en-AU"/>
              </w:rPr>
              <w:t>On costs @ 20%</w:t>
            </w:r>
          </w:p>
        </w:tc>
        <w:tc>
          <w:tcPr>
            <w:tcW w:w="1222" w:type="dxa"/>
            <w:shd w:val="clear" w:color="auto" w:fill="auto"/>
            <w:noWrap/>
            <w:vAlign w:val="center"/>
          </w:tcPr>
          <w:p w:rsidR="00D41A09" w:rsidRPr="00D41A09" w:rsidRDefault="00D41A09" w:rsidP="00D41A09">
            <w:pPr>
              <w:spacing w:line="276" w:lineRule="auto"/>
              <w:ind w:right="95"/>
              <w:jc w:val="right"/>
              <w:rPr>
                <w:rFonts w:asciiTheme="minorHAnsi" w:hAnsiTheme="minorHAnsi"/>
                <w:bCs/>
                <w:color w:val="000000"/>
                <w:sz w:val="22"/>
                <w:szCs w:val="22"/>
                <w:lang w:eastAsia="en-AU"/>
              </w:rPr>
            </w:pPr>
          </w:p>
        </w:tc>
        <w:tc>
          <w:tcPr>
            <w:tcW w:w="1755" w:type="dxa"/>
            <w:vAlign w:val="center"/>
          </w:tcPr>
          <w:p w:rsidR="00D41A09" w:rsidRPr="00D41A09" w:rsidRDefault="00D41A09" w:rsidP="00D41A09">
            <w:pPr>
              <w:spacing w:line="276" w:lineRule="auto"/>
              <w:ind w:right="95"/>
              <w:jc w:val="right"/>
              <w:rPr>
                <w:rFonts w:asciiTheme="minorHAnsi" w:hAnsiTheme="minorHAnsi"/>
                <w:bCs/>
                <w:color w:val="000000"/>
                <w:sz w:val="22"/>
                <w:szCs w:val="22"/>
                <w:lang w:eastAsia="en-AU"/>
              </w:rPr>
            </w:pPr>
          </w:p>
        </w:tc>
        <w:tc>
          <w:tcPr>
            <w:tcW w:w="1621" w:type="dxa"/>
            <w:tcBorders>
              <w:right w:val="single" w:sz="4" w:space="0" w:color="auto"/>
            </w:tcBorders>
            <w:shd w:val="clear" w:color="auto" w:fill="auto"/>
            <w:noWrap/>
            <w:vAlign w:val="center"/>
            <w:hideMark/>
          </w:tcPr>
          <w:p w:rsidR="00D41A09" w:rsidRPr="00BF02C7" w:rsidRDefault="00D41A09" w:rsidP="00D41A09">
            <w:pPr>
              <w:spacing w:line="276" w:lineRule="auto"/>
              <w:ind w:right="95"/>
              <w:jc w:val="right"/>
              <w:rPr>
                <w:rFonts w:asciiTheme="minorHAnsi" w:hAnsiTheme="minorHAnsi"/>
                <w:bCs/>
                <w:color w:val="000000"/>
                <w:sz w:val="22"/>
                <w:szCs w:val="22"/>
                <w:lang w:eastAsia="en-AU"/>
              </w:rPr>
            </w:pPr>
            <w:r w:rsidRPr="00BF02C7">
              <w:rPr>
                <w:rFonts w:asciiTheme="minorHAnsi" w:hAnsiTheme="minorHAnsi"/>
                <w:bCs/>
                <w:color w:val="000000"/>
                <w:sz w:val="22"/>
                <w:szCs w:val="22"/>
                <w:lang w:eastAsia="en-AU"/>
              </w:rPr>
              <w:t xml:space="preserve">96,073 </w:t>
            </w:r>
          </w:p>
        </w:tc>
      </w:tr>
      <w:tr w:rsidR="00D41A09" w:rsidRPr="00BF02C7" w:rsidTr="00D41A09">
        <w:trPr>
          <w:trHeight w:val="389"/>
        </w:trPr>
        <w:tc>
          <w:tcPr>
            <w:tcW w:w="4551" w:type="dxa"/>
            <w:tcBorders>
              <w:left w:val="single" w:sz="4" w:space="0" w:color="auto"/>
            </w:tcBorders>
            <w:shd w:val="clear" w:color="auto" w:fill="auto"/>
            <w:noWrap/>
            <w:vAlign w:val="center"/>
          </w:tcPr>
          <w:p w:rsidR="00D41A09" w:rsidRPr="00D41A09" w:rsidRDefault="00D41A09" w:rsidP="00D41A09">
            <w:pPr>
              <w:spacing w:line="276" w:lineRule="auto"/>
              <w:ind w:left="191" w:right="95"/>
              <w:rPr>
                <w:rFonts w:asciiTheme="minorHAnsi" w:hAnsiTheme="minorHAnsi"/>
                <w:bCs/>
                <w:color w:val="000000"/>
                <w:sz w:val="22"/>
                <w:szCs w:val="22"/>
                <w:lang w:eastAsia="en-AU"/>
              </w:rPr>
            </w:pPr>
            <w:r w:rsidRPr="00D41A09">
              <w:rPr>
                <w:rFonts w:asciiTheme="minorHAnsi" w:hAnsiTheme="minorHAnsi"/>
                <w:bCs/>
                <w:color w:val="000000"/>
                <w:sz w:val="22"/>
                <w:szCs w:val="22"/>
                <w:lang w:eastAsia="en-AU"/>
              </w:rPr>
              <w:t>Administration costs and overheads</w:t>
            </w:r>
          </w:p>
        </w:tc>
        <w:tc>
          <w:tcPr>
            <w:tcW w:w="1222" w:type="dxa"/>
            <w:shd w:val="clear" w:color="auto" w:fill="auto"/>
            <w:noWrap/>
            <w:vAlign w:val="center"/>
          </w:tcPr>
          <w:p w:rsidR="00D41A09" w:rsidRPr="00D41A09" w:rsidRDefault="00D41A09" w:rsidP="00D41A09">
            <w:pPr>
              <w:spacing w:line="276" w:lineRule="auto"/>
              <w:ind w:right="95"/>
              <w:jc w:val="right"/>
              <w:rPr>
                <w:rFonts w:asciiTheme="minorHAnsi" w:hAnsiTheme="minorHAnsi"/>
                <w:bCs/>
                <w:color w:val="000000"/>
                <w:sz w:val="22"/>
                <w:szCs w:val="22"/>
                <w:lang w:eastAsia="en-AU"/>
              </w:rPr>
            </w:pPr>
          </w:p>
        </w:tc>
        <w:tc>
          <w:tcPr>
            <w:tcW w:w="1755" w:type="dxa"/>
            <w:vAlign w:val="center"/>
          </w:tcPr>
          <w:p w:rsidR="00D41A09" w:rsidRPr="00D41A09" w:rsidRDefault="00D41A09" w:rsidP="00D41A09">
            <w:pPr>
              <w:spacing w:line="276" w:lineRule="auto"/>
              <w:ind w:right="95"/>
              <w:jc w:val="right"/>
              <w:rPr>
                <w:rFonts w:asciiTheme="minorHAnsi" w:hAnsiTheme="minorHAnsi"/>
                <w:bCs/>
                <w:color w:val="000000"/>
                <w:sz w:val="22"/>
                <w:szCs w:val="22"/>
                <w:lang w:eastAsia="en-AU"/>
              </w:rPr>
            </w:pPr>
          </w:p>
        </w:tc>
        <w:tc>
          <w:tcPr>
            <w:tcW w:w="1621" w:type="dxa"/>
            <w:tcBorders>
              <w:right w:val="single" w:sz="4" w:space="0" w:color="auto"/>
            </w:tcBorders>
            <w:shd w:val="clear" w:color="auto" w:fill="auto"/>
            <w:noWrap/>
            <w:vAlign w:val="center"/>
          </w:tcPr>
          <w:p w:rsidR="00D41A09" w:rsidRPr="00D22C1D" w:rsidRDefault="00D41A09" w:rsidP="00D41A09">
            <w:pPr>
              <w:spacing w:line="276" w:lineRule="auto"/>
              <w:ind w:right="95"/>
              <w:jc w:val="right"/>
              <w:rPr>
                <w:rFonts w:asciiTheme="minorHAnsi" w:hAnsiTheme="minorHAnsi"/>
                <w:bCs/>
                <w:color w:val="000000"/>
                <w:sz w:val="22"/>
                <w:szCs w:val="22"/>
                <w:lang w:eastAsia="en-AU"/>
              </w:rPr>
            </w:pPr>
            <w:r>
              <w:rPr>
                <w:rFonts w:asciiTheme="minorHAnsi" w:hAnsiTheme="minorHAnsi"/>
                <w:bCs/>
                <w:color w:val="000000"/>
                <w:sz w:val="22"/>
                <w:szCs w:val="22"/>
                <w:lang w:eastAsia="en-AU"/>
              </w:rPr>
              <w:t>207,919</w:t>
            </w:r>
          </w:p>
        </w:tc>
      </w:tr>
      <w:tr w:rsidR="00D41A09" w:rsidRPr="00BF02C7" w:rsidTr="00D41A09">
        <w:trPr>
          <w:trHeight w:val="389"/>
        </w:trPr>
        <w:tc>
          <w:tcPr>
            <w:tcW w:w="4551" w:type="dxa"/>
            <w:tcBorders>
              <w:left w:val="single" w:sz="4" w:space="0" w:color="auto"/>
            </w:tcBorders>
            <w:shd w:val="clear" w:color="auto" w:fill="auto"/>
            <w:noWrap/>
            <w:vAlign w:val="center"/>
          </w:tcPr>
          <w:p w:rsidR="00D41A09" w:rsidRPr="00D41A09" w:rsidRDefault="00F9620C" w:rsidP="00D41A09">
            <w:pPr>
              <w:spacing w:line="276" w:lineRule="auto"/>
              <w:ind w:left="191" w:right="95"/>
              <w:rPr>
                <w:rFonts w:asciiTheme="minorHAnsi" w:hAnsiTheme="minorHAnsi"/>
                <w:bCs/>
                <w:color w:val="000000"/>
                <w:sz w:val="22"/>
                <w:szCs w:val="22"/>
                <w:lang w:eastAsia="en-AU"/>
              </w:rPr>
            </w:pPr>
            <w:r>
              <w:rPr>
                <w:rFonts w:asciiTheme="minorHAnsi" w:hAnsiTheme="minorHAnsi"/>
                <w:bCs/>
                <w:color w:val="000000"/>
                <w:sz w:val="22"/>
                <w:szCs w:val="22"/>
                <w:lang w:eastAsia="en-AU"/>
              </w:rPr>
              <w:t>Indirect</w:t>
            </w:r>
            <w:r w:rsidR="00D41A09" w:rsidRPr="00D41A09">
              <w:rPr>
                <w:rFonts w:asciiTheme="minorHAnsi" w:hAnsiTheme="minorHAnsi"/>
                <w:bCs/>
                <w:color w:val="000000"/>
                <w:sz w:val="22"/>
                <w:szCs w:val="22"/>
                <w:lang w:eastAsia="en-AU"/>
              </w:rPr>
              <w:t xml:space="preserve"> Costs </w:t>
            </w:r>
          </w:p>
        </w:tc>
        <w:tc>
          <w:tcPr>
            <w:tcW w:w="1222" w:type="dxa"/>
            <w:shd w:val="clear" w:color="auto" w:fill="auto"/>
            <w:noWrap/>
            <w:vAlign w:val="center"/>
          </w:tcPr>
          <w:p w:rsidR="00D41A09" w:rsidRPr="00D41A09" w:rsidRDefault="00D41A09" w:rsidP="00D41A09">
            <w:pPr>
              <w:spacing w:line="276" w:lineRule="auto"/>
              <w:ind w:right="95"/>
              <w:jc w:val="right"/>
              <w:rPr>
                <w:rFonts w:asciiTheme="minorHAnsi" w:hAnsiTheme="minorHAnsi"/>
                <w:bCs/>
                <w:color w:val="000000"/>
                <w:sz w:val="22"/>
                <w:szCs w:val="22"/>
                <w:lang w:eastAsia="en-AU"/>
              </w:rPr>
            </w:pPr>
          </w:p>
        </w:tc>
        <w:tc>
          <w:tcPr>
            <w:tcW w:w="1755" w:type="dxa"/>
            <w:vAlign w:val="center"/>
          </w:tcPr>
          <w:p w:rsidR="00D41A09" w:rsidRPr="00D41A09" w:rsidRDefault="00D41A09" w:rsidP="00D41A09">
            <w:pPr>
              <w:spacing w:line="276" w:lineRule="auto"/>
              <w:ind w:right="95"/>
              <w:jc w:val="right"/>
              <w:rPr>
                <w:rFonts w:asciiTheme="minorHAnsi" w:hAnsiTheme="minorHAnsi"/>
                <w:bCs/>
                <w:color w:val="000000"/>
                <w:sz w:val="22"/>
                <w:szCs w:val="22"/>
                <w:lang w:eastAsia="en-AU"/>
              </w:rPr>
            </w:pPr>
          </w:p>
        </w:tc>
        <w:tc>
          <w:tcPr>
            <w:tcW w:w="1621" w:type="dxa"/>
            <w:tcBorders>
              <w:right w:val="single" w:sz="4" w:space="0" w:color="auto"/>
            </w:tcBorders>
            <w:shd w:val="clear" w:color="auto" w:fill="auto"/>
            <w:noWrap/>
            <w:vAlign w:val="center"/>
          </w:tcPr>
          <w:p w:rsidR="00D41A09" w:rsidRPr="00D41A09" w:rsidRDefault="00D41A09" w:rsidP="00D41A09">
            <w:pPr>
              <w:spacing w:line="276" w:lineRule="auto"/>
              <w:ind w:right="95"/>
              <w:jc w:val="right"/>
              <w:rPr>
                <w:rFonts w:asciiTheme="minorHAnsi" w:hAnsiTheme="minorHAnsi"/>
                <w:bCs/>
                <w:color w:val="000000"/>
                <w:sz w:val="22"/>
                <w:szCs w:val="22"/>
                <w:u w:val="single"/>
                <w:lang w:eastAsia="en-AU"/>
              </w:rPr>
            </w:pPr>
            <w:r w:rsidRPr="00D41A09">
              <w:rPr>
                <w:rFonts w:asciiTheme="minorHAnsi" w:hAnsiTheme="minorHAnsi"/>
                <w:bCs/>
                <w:color w:val="000000"/>
                <w:sz w:val="22"/>
                <w:szCs w:val="22"/>
                <w:u w:val="single"/>
                <w:lang w:eastAsia="en-AU"/>
              </w:rPr>
              <w:t>1,902,369</w:t>
            </w:r>
          </w:p>
        </w:tc>
      </w:tr>
      <w:tr w:rsidR="00D41A09" w:rsidRPr="00BF02C7" w:rsidTr="006578CC">
        <w:trPr>
          <w:trHeight w:val="584"/>
        </w:trPr>
        <w:tc>
          <w:tcPr>
            <w:tcW w:w="4551" w:type="dxa"/>
            <w:tcBorders>
              <w:left w:val="single" w:sz="4" w:space="0" w:color="auto"/>
            </w:tcBorders>
            <w:shd w:val="clear" w:color="auto" w:fill="auto"/>
            <w:noWrap/>
            <w:vAlign w:val="center"/>
          </w:tcPr>
          <w:p w:rsidR="00D41A09" w:rsidRPr="00BD3675" w:rsidRDefault="00D41A09" w:rsidP="006578CC">
            <w:pPr>
              <w:spacing w:line="276" w:lineRule="auto"/>
              <w:ind w:left="191"/>
              <w:rPr>
                <w:rFonts w:asciiTheme="minorHAnsi" w:hAnsiTheme="minorHAnsi"/>
                <w:b/>
                <w:color w:val="000000"/>
                <w:sz w:val="22"/>
                <w:szCs w:val="22"/>
                <w:lang w:eastAsia="en-AU"/>
              </w:rPr>
            </w:pPr>
            <w:r w:rsidRPr="00BD3675">
              <w:rPr>
                <w:rFonts w:asciiTheme="minorHAnsi" w:hAnsiTheme="minorHAnsi"/>
                <w:b/>
                <w:color w:val="000000"/>
                <w:sz w:val="22"/>
                <w:szCs w:val="22"/>
                <w:lang w:eastAsia="en-AU"/>
              </w:rPr>
              <w:t xml:space="preserve">Total Cost </w:t>
            </w:r>
          </w:p>
        </w:tc>
        <w:tc>
          <w:tcPr>
            <w:tcW w:w="1222" w:type="dxa"/>
            <w:shd w:val="clear" w:color="auto" w:fill="auto"/>
            <w:noWrap/>
            <w:vAlign w:val="center"/>
          </w:tcPr>
          <w:p w:rsidR="00D41A09" w:rsidRPr="0019396A" w:rsidRDefault="00D41A09" w:rsidP="006578CC">
            <w:pPr>
              <w:spacing w:line="276" w:lineRule="auto"/>
              <w:rPr>
                <w:rFonts w:asciiTheme="minorHAnsi" w:hAnsiTheme="minorHAnsi"/>
                <w:b/>
                <w:bCs/>
                <w:color w:val="000000"/>
                <w:sz w:val="22"/>
                <w:szCs w:val="22"/>
                <w:u w:val="single"/>
                <w:lang w:eastAsia="en-AU"/>
              </w:rPr>
            </w:pPr>
          </w:p>
        </w:tc>
        <w:tc>
          <w:tcPr>
            <w:tcW w:w="1755" w:type="dxa"/>
            <w:vAlign w:val="center"/>
          </w:tcPr>
          <w:p w:rsidR="00D41A09" w:rsidRPr="004E2AF8" w:rsidRDefault="00D41A09" w:rsidP="006578CC">
            <w:pPr>
              <w:spacing w:line="276" w:lineRule="auto"/>
              <w:jc w:val="right"/>
              <w:rPr>
                <w:rFonts w:asciiTheme="minorHAnsi" w:hAnsiTheme="minorHAnsi"/>
                <w:b/>
                <w:bCs/>
                <w:color w:val="000000"/>
                <w:sz w:val="22"/>
                <w:szCs w:val="22"/>
                <w:lang w:eastAsia="en-AU"/>
              </w:rPr>
            </w:pPr>
          </w:p>
        </w:tc>
        <w:tc>
          <w:tcPr>
            <w:tcW w:w="1621" w:type="dxa"/>
            <w:tcBorders>
              <w:right w:val="single" w:sz="4" w:space="0" w:color="auto"/>
            </w:tcBorders>
            <w:shd w:val="clear" w:color="auto" w:fill="auto"/>
            <w:noWrap/>
            <w:vAlign w:val="center"/>
          </w:tcPr>
          <w:p w:rsidR="00D41A09" w:rsidRPr="0019396A" w:rsidRDefault="00D41A09" w:rsidP="00CF1275">
            <w:pPr>
              <w:spacing w:line="276" w:lineRule="auto"/>
              <w:ind w:right="95"/>
              <w:jc w:val="right"/>
              <w:rPr>
                <w:rFonts w:asciiTheme="minorHAnsi" w:hAnsiTheme="minorHAnsi"/>
                <w:b/>
                <w:bCs/>
                <w:color w:val="000000"/>
                <w:sz w:val="22"/>
                <w:szCs w:val="22"/>
                <w:u w:val="single"/>
                <w:lang w:eastAsia="en-AU"/>
              </w:rPr>
            </w:pPr>
            <w:r w:rsidRPr="001C17AC">
              <w:rPr>
                <w:rFonts w:asciiTheme="minorHAnsi" w:hAnsiTheme="minorHAnsi"/>
                <w:b/>
                <w:bCs/>
                <w:color w:val="000000"/>
                <w:sz w:val="22"/>
                <w:szCs w:val="22"/>
                <w:u w:val="double"/>
                <w:lang w:eastAsia="en-AU"/>
              </w:rPr>
              <w:t>$2,686,72</w:t>
            </w:r>
            <w:r w:rsidR="00CF1275">
              <w:rPr>
                <w:rFonts w:asciiTheme="minorHAnsi" w:hAnsiTheme="minorHAnsi"/>
                <w:b/>
                <w:bCs/>
                <w:color w:val="000000"/>
                <w:sz w:val="22"/>
                <w:szCs w:val="22"/>
                <w:u w:val="double"/>
                <w:lang w:eastAsia="en-AU"/>
              </w:rPr>
              <w:t>7</w:t>
            </w:r>
          </w:p>
        </w:tc>
      </w:tr>
      <w:tr w:rsidR="00D41A09" w:rsidRPr="00BF02C7" w:rsidTr="006578CC">
        <w:trPr>
          <w:trHeight w:val="584"/>
        </w:trPr>
        <w:tc>
          <w:tcPr>
            <w:tcW w:w="7528" w:type="dxa"/>
            <w:gridSpan w:val="3"/>
            <w:tcBorders>
              <w:left w:val="single" w:sz="4" w:space="0" w:color="auto"/>
              <w:bottom w:val="single" w:sz="4" w:space="0" w:color="auto"/>
            </w:tcBorders>
            <w:shd w:val="clear" w:color="auto" w:fill="auto"/>
            <w:noWrap/>
            <w:vAlign w:val="center"/>
          </w:tcPr>
          <w:p w:rsidR="00D41A09" w:rsidRPr="004E2AF8" w:rsidRDefault="00D41A09" w:rsidP="006536A4">
            <w:pPr>
              <w:spacing w:line="276" w:lineRule="auto"/>
              <w:ind w:left="191"/>
              <w:rPr>
                <w:rFonts w:asciiTheme="minorHAnsi" w:hAnsiTheme="minorHAnsi"/>
                <w:b/>
                <w:bCs/>
                <w:color w:val="000000"/>
                <w:sz w:val="22"/>
                <w:szCs w:val="22"/>
                <w:lang w:eastAsia="en-AU"/>
              </w:rPr>
            </w:pPr>
            <w:r w:rsidRPr="004E2AF8">
              <w:rPr>
                <w:rFonts w:asciiTheme="minorHAnsi" w:hAnsiTheme="minorHAnsi"/>
                <w:i/>
                <w:color w:val="000000"/>
                <w:sz w:val="22"/>
                <w:szCs w:val="22"/>
                <w:lang w:eastAsia="en-AU"/>
              </w:rPr>
              <w:t xml:space="preserve">Cost per </w:t>
            </w:r>
            <w:r w:rsidR="006536A4">
              <w:rPr>
                <w:rFonts w:asciiTheme="minorHAnsi" w:hAnsiTheme="minorHAnsi"/>
                <w:i/>
                <w:color w:val="000000"/>
                <w:sz w:val="22"/>
                <w:szCs w:val="22"/>
                <w:lang w:eastAsia="en-AU"/>
              </w:rPr>
              <w:t>application</w:t>
            </w:r>
            <w:r w:rsidR="006536A4" w:rsidRPr="004E2AF8">
              <w:rPr>
                <w:rFonts w:asciiTheme="minorHAnsi" w:hAnsiTheme="minorHAnsi"/>
                <w:color w:val="000000"/>
                <w:sz w:val="22"/>
                <w:szCs w:val="22"/>
                <w:lang w:eastAsia="en-AU"/>
              </w:rPr>
              <w:t xml:space="preserve"> </w:t>
            </w:r>
            <w:r w:rsidRPr="004E2AF8">
              <w:rPr>
                <w:rFonts w:asciiTheme="minorHAnsi" w:hAnsiTheme="minorHAnsi"/>
                <w:color w:val="000000"/>
                <w:sz w:val="22"/>
                <w:szCs w:val="22"/>
                <w:lang w:eastAsia="en-AU"/>
              </w:rPr>
              <w:t xml:space="preserve">(based on average 170,000 </w:t>
            </w:r>
            <w:r w:rsidR="006536A4">
              <w:rPr>
                <w:rFonts w:asciiTheme="minorHAnsi" w:hAnsiTheme="minorHAnsi"/>
                <w:color w:val="000000"/>
                <w:sz w:val="22"/>
                <w:szCs w:val="22"/>
                <w:lang w:eastAsia="en-AU"/>
              </w:rPr>
              <w:t>applications</w:t>
            </w:r>
            <w:r w:rsidR="006536A4">
              <w:rPr>
                <w:rStyle w:val="FootnoteReference"/>
                <w:rFonts w:asciiTheme="minorHAnsi" w:hAnsiTheme="minorHAnsi"/>
                <w:color w:val="000000"/>
                <w:sz w:val="22"/>
                <w:szCs w:val="22"/>
                <w:lang w:eastAsia="en-AU"/>
              </w:rPr>
              <w:footnoteReference w:id="4"/>
            </w:r>
            <w:r w:rsidRPr="004E2AF8">
              <w:rPr>
                <w:rFonts w:asciiTheme="minorHAnsi" w:hAnsiTheme="minorHAnsi"/>
                <w:color w:val="000000"/>
                <w:sz w:val="22"/>
                <w:szCs w:val="22"/>
                <w:lang w:eastAsia="en-AU"/>
              </w:rPr>
              <w:t>)</w:t>
            </w:r>
          </w:p>
        </w:tc>
        <w:tc>
          <w:tcPr>
            <w:tcW w:w="1621" w:type="dxa"/>
            <w:tcBorders>
              <w:bottom w:val="single" w:sz="4" w:space="0" w:color="auto"/>
              <w:right w:val="single" w:sz="4" w:space="0" w:color="auto"/>
            </w:tcBorders>
            <w:shd w:val="clear" w:color="auto" w:fill="auto"/>
            <w:noWrap/>
            <w:vAlign w:val="center"/>
          </w:tcPr>
          <w:p w:rsidR="00D41A09" w:rsidRPr="0019396A" w:rsidRDefault="00D41A09" w:rsidP="006578CC">
            <w:pPr>
              <w:spacing w:line="276" w:lineRule="auto"/>
              <w:ind w:right="95"/>
              <w:jc w:val="right"/>
              <w:rPr>
                <w:rFonts w:asciiTheme="minorHAnsi" w:hAnsiTheme="minorHAnsi"/>
                <w:b/>
                <w:bCs/>
                <w:color w:val="000000"/>
                <w:sz w:val="22"/>
                <w:szCs w:val="22"/>
                <w:u w:val="single"/>
                <w:lang w:eastAsia="en-AU"/>
              </w:rPr>
            </w:pPr>
            <w:r w:rsidRPr="004E2AF8">
              <w:rPr>
                <w:rFonts w:asciiTheme="minorHAnsi" w:hAnsiTheme="minorHAnsi"/>
                <w:bCs/>
                <w:i/>
                <w:color w:val="000000"/>
                <w:sz w:val="22"/>
                <w:szCs w:val="22"/>
                <w:lang w:eastAsia="en-AU"/>
              </w:rPr>
              <w:t>$15.80</w:t>
            </w:r>
          </w:p>
        </w:tc>
      </w:tr>
    </w:tbl>
    <w:p w:rsidR="00F9620C" w:rsidRDefault="00F9620C" w:rsidP="006536A4">
      <w:pPr>
        <w:pStyle w:val="Style14ptJustified"/>
        <w:keepLines/>
        <w:spacing w:before="240" w:after="240" w:line="276" w:lineRule="auto"/>
        <w:jc w:val="left"/>
        <w:rPr>
          <w:rFonts w:ascii="Calibri" w:hAnsi="Calibri"/>
          <w:sz w:val="24"/>
          <w:szCs w:val="24"/>
        </w:rPr>
      </w:pPr>
      <w:r w:rsidRPr="005F56F6">
        <w:rPr>
          <w:rFonts w:ascii="Calibri" w:hAnsi="Calibri"/>
          <w:i/>
          <w:sz w:val="24"/>
          <w:szCs w:val="24"/>
        </w:rPr>
        <w:t>Salary costs</w:t>
      </w:r>
      <w:r>
        <w:rPr>
          <w:rFonts w:ascii="Calibri" w:hAnsi="Calibri"/>
          <w:sz w:val="24"/>
          <w:szCs w:val="24"/>
        </w:rPr>
        <w:t xml:space="preserve"> </w:t>
      </w:r>
    </w:p>
    <w:p w:rsidR="009A2865" w:rsidRDefault="00F7444A" w:rsidP="001D160F">
      <w:pPr>
        <w:pStyle w:val="Style14ptJustified"/>
        <w:keepLines/>
        <w:spacing w:after="240" w:line="276" w:lineRule="auto"/>
        <w:jc w:val="left"/>
        <w:rPr>
          <w:rFonts w:ascii="Calibri" w:hAnsi="Calibri"/>
          <w:sz w:val="24"/>
          <w:szCs w:val="24"/>
        </w:rPr>
      </w:pPr>
      <w:r>
        <w:rPr>
          <w:rFonts w:ascii="Calibri" w:hAnsi="Calibri"/>
          <w:sz w:val="24"/>
          <w:szCs w:val="24"/>
        </w:rPr>
        <w:t xml:space="preserve">In determining </w:t>
      </w:r>
      <w:r w:rsidR="00743721">
        <w:rPr>
          <w:rFonts w:ascii="Calibri" w:hAnsi="Calibri"/>
          <w:sz w:val="24"/>
          <w:szCs w:val="24"/>
        </w:rPr>
        <w:t xml:space="preserve">the </w:t>
      </w:r>
      <w:r w:rsidR="00D41A09" w:rsidRPr="005F56F6">
        <w:rPr>
          <w:rFonts w:ascii="Calibri" w:hAnsi="Calibri"/>
          <w:i/>
          <w:sz w:val="24"/>
          <w:szCs w:val="24"/>
        </w:rPr>
        <w:t>salary</w:t>
      </w:r>
      <w:r w:rsidR="00743721" w:rsidRPr="005F56F6">
        <w:rPr>
          <w:rFonts w:ascii="Calibri" w:hAnsi="Calibri"/>
          <w:i/>
          <w:sz w:val="24"/>
          <w:szCs w:val="24"/>
        </w:rPr>
        <w:t xml:space="preserve"> costs</w:t>
      </w:r>
      <w:r w:rsidR="00743721">
        <w:rPr>
          <w:rFonts w:ascii="Calibri" w:hAnsi="Calibri"/>
          <w:sz w:val="24"/>
          <w:szCs w:val="24"/>
        </w:rPr>
        <w:t xml:space="preserve"> involved, an analysis of the existing clearance certificate process was undertaken to identify the relevant input activities and associated costs involved in the provision of land tax clearance certificates. </w:t>
      </w:r>
      <w:r w:rsidR="00322D9C">
        <w:rPr>
          <w:rFonts w:ascii="Calibri" w:hAnsi="Calibri"/>
          <w:sz w:val="24"/>
          <w:szCs w:val="24"/>
        </w:rPr>
        <w:t>Where possible, reasonable estimates were made regarding the average time required to complete individual activities</w:t>
      </w:r>
      <w:r w:rsidR="00BE77BA">
        <w:rPr>
          <w:rFonts w:ascii="Calibri" w:hAnsi="Calibri"/>
          <w:sz w:val="24"/>
          <w:szCs w:val="24"/>
        </w:rPr>
        <w:t xml:space="preserve"> (</w:t>
      </w:r>
      <w:proofErr w:type="spellStart"/>
      <w:r w:rsidR="00BE77BA">
        <w:rPr>
          <w:rFonts w:ascii="Calibri" w:hAnsi="Calibri"/>
          <w:sz w:val="24"/>
          <w:szCs w:val="24"/>
        </w:rPr>
        <w:t>ie</w:t>
      </w:r>
      <w:proofErr w:type="spellEnd"/>
      <w:r w:rsidR="00BE77BA">
        <w:rPr>
          <w:rFonts w:ascii="Calibri" w:hAnsi="Calibri"/>
          <w:sz w:val="24"/>
          <w:szCs w:val="24"/>
        </w:rPr>
        <w:t>. processing of the different types of applications)</w:t>
      </w:r>
      <w:r w:rsidR="00376346">
        <w:rPr>
          <w:rFonts w:ascii="Calibri" w:hAnsi="Calibri"/>
          <w:sz w:val="24"/>
          <w:szCs w:val="24"/>
        </w:rPr>
        <w:t xml:space="preserve">. These estimates were based on </w:t>
      </w:r>
      <w:r w:rsidR="00322D9C">
        <w:rPr>
          <w:rFonts w:ascii="Calibri" w:hAnsi="Calibri"/>
          <w:sz w:val="24"/>
          <w:szCs w:val="24"/>
        </w:rPr>
        <w:t xml:space="preserve">internal KPI’s </w:t>
      </w:r>
      <w:r w:rsidR="00E12449">
        <w:rPr>
          <w:rFonts w:ascii="Calibri" w:hAnsi="Calibri"/>
          <w:sz w:val="24"/>
          <w:szCs w:val="24"/>
        </w:rPr>
        <w:t>attached</w:t>
      </w:r>
      <w:r w:rsidR="00322D9C">
        <w:rPr>
          <w:rFonts w:ascii="Calibri" w:hAnsi="Calibri"/>
          <w:sz w:val="24"/>
          <w:szCs w:val="24"/>
        </w:rPr>
        <w:t xml:space="preserve"> to these activities</w:t>
      </w:r>
      <w:r w:rsidR="00376346">
        <w:rPr>
          <w:rFonts w:ascii="Calibri" w:hAnsi="Calibri"/>
          <w:sz w:val="24"/>
          <w:szCs w:val="24"/>
        </w:rPr>
        <w:t xml:space="preserve"> and using data on the number and types of applications received in preceding years and the </w:t>
      </w:r>
      <w:r w:rsidR="00F9620C">
        <w:rPr>
          <w:rFonts w:ascii="Calibri" w:hAnsi="Calibri"/>
          <w:sz w:val="24"/>
          <w:szCs w:val="24"/>
        </w:rPr>
        <w:t xml:space="preserve">time and level of </w:t>
      </w:r>
      <w:r w:rsidR="00376346">
        <w:rPr>
          <w:rFonts w:ascii="Calibri" w:hAnsi="Calibri"/>
          <w:sz w:val="24"/>
          <w:szCs w:val="24"/>
        </w:rPr>
        <w:t>staff required to process those applications.</w:t>
      </w:r>
      <w:r w:rsidR="000335CB">
        <w:rPr>
          <w:rStyle w:val="FootnoteReference"/>
          <w:rFonts w:ascii="Calibri" w:hAnsi="Calibri"/>
          <w:sz w:val="24"/>
          <w:szCs w:val="24"/>
        </w:rPr>
        <w:footnoteReference w:id="5"/>
      </w:r>
      <w:r w:rsidR="00376346">
        <w:rPr>
          <w:rFonts w:ascii="Calibri" w:hAnsi="Calibri"/>
          <w:sz w:val="24"/>
          <w:szCs w:val="24"/>
        </w:rPr>
        <w:t xml:space="preserve"> </w:t>
      </w:r>
      <w:r w:rsidR="00BE77BA">
        <w:rPr>
          <w:rFonts w:ascii="Calibri" w:hAnsi="Calibri"/>
          <w:sz w:val="24"/>
          <w:szCs w:val="24"/>
        </w:rPr>
        <w:t>T</w:t>
      </w:r>
      <w:r w:rsidR="00322D9C">
        <w:rPr>
          <w:rFonts w:ascii="Calibri" w:hAnsi="Calibri"/>
          <w:sz w:val="24"/>
          <w:szCs w:val="24"/>
        </w:rPr>
        <w:t>his was not possible</w:t>
      </w:r>
      <w:r w:rsidR="00BE77BA">
        <w:rPr>
          <w:rFonts w:ascii="Calibri" w:hAnsi="Calibri"/>
          <w:sz w:val="24"/>
          <w:szCs w:val="24"/>
        </w:rPr>
        <w:t xml:space="preserve"> for some of the activities </w:t>
      </w:r>
      <w:r w:rsidR="009179C7">
        <w:rPr>
          <w:rFonts w:ascii="Calibri" w:hAnsi="Calibri"/>
          <w:sz w:val="24"/>
          <w:szCs w:val="24"/>
        </w:rPr>
        <w:t>identified</w:t>
      </w:r>
      <w:r w:rsidR="00BE77BA">
        <w:rPr>
          <w:rFonts w:ascii="Calibri" w:hAnsi="Calibri"/>
          <w:sz w:val="24"/>
          <w:szCs w:val="24"/>
        </w:rPr>
        <w:t xml:space="preserve"> (</w:t>
      </w:r>
      <w:r w:rsidR="009179C7">
        <w:rPr>
          <w:rFonts w:ascii="Calibri" w:hAnsi="Calibri"/>
          <w:sz w:val="24"/>
          <w:szCs w:val="24"/>
        </w:rPr>
        <w:t xml:space="preserve">for example, </w:t>
      </w:r>
      <w:r w:rsidR="00BE77BA">
        <w:rPr>
          <w:rFonts w:ascii="Calibri" w:hAnsi="Calibri"/>
          <w:sz w:val="24"/>
          <w:szCs w:val="24"/>
        </w:rPr>
        <w:t>customer enquiries</w:t>
      </w:r>
      <w:r w:rsidR="009179C7">
        <w:rPr>
          <w:rFonts w:ascii="Calibri" w:hAnsi="Calibri"/>
          <w:sz w:val="24"/>
          <w:szCs w:val="24"/>
        </w:rPr>
        <w:t xml:space="preserve">) </w:t>
      </w:r>
      <w:r w:rsidR="00BE77BA">
        <w:rPr>
          <w:rFonts w:ascii="Calibri" w:hAnsi="Calibri"/>
          <w:sz w:val="24"/>
          <w:szCs w:val="24"/>
        </w:rPr>
        <w:t xml:space="preserve">as </w:t>
      </w:r>
      <w:r w:rsidR="009179C7">
        <w:rPr>
          <w:rFonts w:ascii="Calibri" w:hAnsi="Calibri"/>
          <w:sz w:val="24"/>
          <w:szCs w:val="24"/>
        </w:rPr>
        <w:t>the</w:t>
      </w:r>
      <w:r w:rsidR="009A4FCD">
        <w:rPr>
          <w:rFonts w:ascii="Calibri" w:hAnsi="Calibri"/>
          <w:sz w:val="24"/>
          <w:szCs w:val="24"/>
        </w:rPr>
        <w:t xml:space="preserve"> activity</w:t>
      </w:r>
      <w:r w:rsidR="009179C7">
        <w:rPr>
          <w:rFonts w:ascii="Calibri" w:hAnsi="Calibri"/>
          <w:sz w:val="24"/>
          <w:szCs w:val="24"/>
        </w:rPr>
        <w:t xml:space="preserve"> can</w:t>
      </w:r>
      <w:r w:rsidR="00BE77BA">
        <w:rPr>
          <w:rFonts w:ascii="Calibri" w:hAnsi="Calibri"/>
          <w:sz w:val="24"/>
          <w:szCs w:val="24"/>
        </w:rPr>
        <w:t xml:space="preserve">not </w:t>
      </w:r>
      <w:r w:rsidR="009179C7">
        <w:rPr>
          <w:rFonts w:ascii="Calibri" w:hAnsi="Calibri"/>
          <w:sz w:val="24"/>
          <w:szCs w:val="24"/>
        </w:rPr>
        <w:t>always be directly attributed to a particular application</w:t>
      </w:r>
      <w:r w:rsidR="00322D9C">
        <w:rPr>
          <w:rFonts w:ascii="Calibri" w:hAnsi="Calibri"/>
          <w:sz w:val="24"/>
          <w:szCs w:val="24"/>
        </w:rPr>
        <w:t xml:space="preserve">, </w:t>
      </w:r>
      <w:r w:rsidR="009179C7">
        <w:rPr>
          <w:rFonts w:ascii="Calibri" w:hAnsi="Calibri"/>
          <w:sz w:val="24"/>
          <w:szCs w:val="24"/>
        </w:rPr>
        <w:t xml:space="preserve">therefore </w:t>
      </w:r>
      <w:r w:rsidR="00322D9C">
        <w:rPr>
          <w:rFonts w:ascii="Calibri" w:hAnsi="Calibri"/>
          <w:sz w:val="24"/>
          <w:szCs w:val="24"/>
        </w:rPr>
        <w:t>the</w:t>
      </w:r>
      <w:r w:rsidR="009179C7">
        <w:rPr>
          <w:rFonts w:ascii="Calibri" w:hAnsi="Calibri"/>
          <w:sz w:val="24"/>
          <w:szCs w:val="24"/>
        </w:rPr>
        <w:t>se</w:t>
      </w:r>
      <w:r w:rsidR="00322D9C">
        <w:rPr>
          <w:rFonts w:ascii="Calibri" w:hAnsi="Calibri"/>
          <w:sz w:val="24"/>
          <w:szCs w:val="24"/>
        </w:rPr>
        <w:t xml:space="preserve"> activities were grouped together and allocated a</w:t>
      </w:r>
      <w:r w:rsidR="009A4FCD">
        <w:rPr>
          <w:rFonts w:ascii="Calibri" w:hAnsi="Calibri"/>
          <w:sz w:val="24"/>
          <w:szCs w:val="24"/>
        </w:rPr>
        <w:t>n overall</w:t>
      </w:r>
      <w:r w:rsidR="00322D9C">
        <w:rPr>
          <w:rFonts w:ascii="Calibri" w:hAnsi="Calibri"/>
          <w:sz w:val="24"/>
          <w:szCs w:val="24"/>
        </w:rPr>
        <w:t xml:space="preserve"> time cost</w:t>
      </w:r>
      <w:r w:rsidR="009179C7" w:rsidRPr="009179C7">
        <w:rPr>
          <w:rFonts w:ascii="Calibri" w:hAnsi="Calibri"/>
          <w:sz w:val="24"/>
          <w:szCs w:val="24"/>
        </w:rPr>
        <w:t xml:space="preserve"> </w:t>
      </w:r>
      <w:r w:rsidR="009179C7">
        <w:rPr>
          <w:rFonts w:ascii="Calibri" w:hAnsi="Calibri"/>
          <w:sz w:val="24"/>
          <w:szCs w:val="24"/>
        </w:rPr>
        <w:t xml:space="preserve">using data obtained </w:t>
      </w:r>
      <w:r w:rsidR="00F9620C">
        <w:rPr>
          <w:rFonts w:ascii="Calibri" w:hAnsi="Calibri"/>
          <w:sz w:val="24"/>
          <w:szCs w:val="24"/>
        </w:rPr>
        <w:t xml:space="preserve">in preceding years </w:t>
      </w:r>
      <w:r w:rsidR="009179C7">
        <w:rPr>
          <w:rFonts w:ascii="Calibri" w:hAnsi="Calibri"/>
          <w:sz w:val="24"/>
          <w:szCs w:val="24"/>
        </w:rPr>
        <w:t>on level of activity</w:t>
      </w:r>
      <w:r w:rsidR="009A4FCD">
        <w:rPr>
          <w:rFonts w:ascii="Calibri" w:hAnsi="Calibri"/>
          <w:sz w:val="24"/>
          <w:szCs w:val="24"/>
        </w:rPr>
        <w:t xml:space="preserve"> (</w:t>
      </w:r>
      <w:proofErr w:type="spellStart"/>
      <w:r w:rsidR="009A4FCD">
        <w:rPr>
          <w:rFonts w:ascii="Calibri" w:hAnsi="Calibri"/>
          <w:sz w:val="24"/>
          <w:szCs w:val="24"/>
        </w:rPr>
        <w:t>ie</w:t>
      </w:r>
      <w:proofErr w:type="spellEnd"/>
      <w:r w:rsidR="009A4FCD">
        <w:rPr>
          <w:rFonts w:ascii="Calibri" w:hAnsi="Calibri"/>
          <w:sz w:val="24"/>
          <w:szCs w:val="24"/>
        </w:rPr>
        <w:t>. number of calls)</w:t>
      </w:r>
      <w:r w:rsidR="009179C7">
        <w:rPr>
          <w:rFonts w:ascii="Calibri" w:hAnsi="Calibri"/>
          <w:sz w:val="24"/>
          <w:szCs w:val="24"/>
        </w:rPr>
        <w:t xml:space="preserve"> and </w:t>
      </w:r>
      <w:r w:rsidR="00E93C81">
        <w:rPr>
          <w:rFonts w:ascii="Calibri" w:hAnsi="Calibri"/>
          <w:sz w:val="24"/>
          <w:szCs w:val="24"/>
        </w:rPr>
        <w:t>staffing requirements</w:t>
      </w:r>
      <w:r w:rsidR="00322D9C">
        <w:rPr>
          <w:rFonts w:ascii="Calibri" w:hAnsi="Calibri"/>
          <w:sz w:val="24"/>
          <w:szCs w:val="24"/>
        </w:rPr>
        <w:t>.</w:t>
      </w:r>
      <w:r w:rsidR="000335CB">
        <w:rPr>
          <w:rStyle w:val="FootnoteReference"/>
          <w:rFonts w:ascii="Calibri" w:hAnsi="Calibri"/>
          <w:sz w:val="24"/>
          <w:szCs w:val="24"/>
        </w:rPr>
        <w:footnoteReference w:id="6"/>
      </w:r>
      <w:r w:rsidR="00322D9C">
        <w:rPr>
          <w:rFonts w:ascii="Calibri" w:hAnsi="Calibri"/>
          <w:sz w:val="24"/>
          <w:szCs w:val="24"/>
        </w:rPr>
        <w:t xml:space="preserve"> </w:t>
      </w:r>
    </w:p>
    <w:p w:rsidR="005F56F6" w:rsidRDefault="00E01441" w:rsidP="001D160F">
      <w:pPr>
        <w:pStyle w:val="Style14ptJustified"/>
        <w:keepLines/>
        <w:spacing w:after="240" w:line="276" w:lineRule="auto"/>
        <w:jc w:val="left"/>
        <w:rPr>
          <w:rFonts w:ascii="Calibri" w:hAnsi="Calibri"/>
          <w:sz w:val="24"/>
          <w:szCs w:val="24"/>
        </w:rPr>
      </w:pPr>
      <w:r w:rsidRPr="00272406">
        <w:rPr>
          <w:rFonts w:ascii="Calibri" w:hAnsi="Calibri"/>
          <w:sz w:val="24"/>
          <w:szCs w:val="24"/>
        </w:rPr>
        <w:t>Direct wage costs</w:t>
      </w:r>
      <w:r w:rsidRPr="00E01441">
        <w:rPr>
          <w:rFonts w:ascii="Calibri" w:hAnsi="Calibri"/>
          <w:sz w:val="24"/>
          <w:szCs w:val="24"/>
        </w:rPr>
        <w:t xml:space="preserve"> for each officer involved in the </w:t>
      </w:r>
      <w:r>
        <w:rPr>
          <w:rFonts w:ascii="Calibri" w:hAnsi="Calibri"/>
          <w:sz w:val="24"/>
          <w:szCs w:val="24"/>
        </w:rPr>
        <w:t xml:space="preserve">clearance certificate </w:t>
      </w:r>
      <w:r w:rsidRPr="00E01441">
        <w:rPr>
          <w:rFonts w:ascii="Calibri" w:hAnsi="Calibri"/>
          <w:sz w:val="24"/>
          <w:szCs w:val="24"/>
        </w:rPr>
        <w:t xml:space="preserve">process </w:t>
      </w:r>
      <w:r w:rsidR="00E12449">
        <w:rPr>
          <w:rFonts w:ascii="Calibri" w:hAnsi="Calibri"/>
          <w:sz w:val="24"/>
          <w:szCs w:val="24"/>
        </w:rPr>
        <w:t>were</w:t>
      </w:r>
      <w:r>
        <w:rPr>
          <w:rFonts w:ascii="Calibri" w:hAnsi="Calibri"/>
          <w:sz w:val="24"/>
          <w:szCs w:val="24"/>
        </w:rPr>
        <w:t xml:space="preserve"> </w:t>
      </w:r>
      <w:r w:rsidRPr="00E01441">
        <w:rPr>
          <w:rFonts w:ascii="Calibri" w:hAnsi="Calibri"/>
          <w:sz w:val="24"/>
          <w:szCs w:val="24"/>
        </w:rPr>
        <w:t xml:space="preserve">estimated by using the midpoint of each position classification, rather than </w:t>
      </w:r>
      <w:r>
        <w:rPr>
          <w:rFonts w:ascii="Calibri" w:hAnsi="Calibri"/>
          <w:sz w:val="24"/>
          <w:szCs w:val="24"/>
        </w:rPr>
        <w:t xml:space="preserve">actual salaries. </w:t>
      </w:r>
      <w:r w:rsidR="00BC75D6" w:rsidRPr="008D0952">
        <w:rPr>
          <w:rFonts w:ascii="Calibri" w:hAnsi="Calibri"/>
          <w:sz w:val="24"/>
          <w:szCs w:val="24"/>
        </w:rPr>
        <w:t>VPS salaries are taken from the VPS Workplace Determination 2012.</w:t>
      </w:r>
      <w:r w:rsidR="004627D3">
        <w:rPr>
          <w:rFonts w:ascii="Calibri" w:hAnsi="Calibri"/>
          <w:sz w:val="24"/>
          <w:szCs w:val="24"/>
        </w:rPr>
        <w:t xml:space="preserve"> </w:t>
      </w:r>
      <w:r w:rsidR="00225B9C" w:rsidRPr="00225B9C">
        <w:rPr>
          <w:rFonts w:ascii="Calibri" w:hAnsi="Calibri"/>
          <w:sz w:val="24"/>
          <w:szCs w:val="24"/>
        </w:rPr>
        <w:t xml:space="preserve">Costs of staff time involved in other activities, such as policy development, </w:t>
      </w:r>
      <w:r w:rsidR="00F9620C">
        <w:rPr>
          <w:rFonts w:ascii="Calibri" w:hAnsi="Calibri"/>
          <w:sz w:val="24"/>
          <w:szCs w:val="24"/>
        </w:rPr>
        <w:t>technical</w:t>
      </w:r>
      <w:r w:rsidR="00F9620C" w:rsidRPr="00225B9C">
        <w:rPr>
          <w:rFonts w:ascii="Calibri" w:hAnsi="Calibri"/>
          <w:sz w:val="24"/>
          <w:szCs w:val="24"/>
        </w:rPr>
        <w:t xml:space="preserve"> </w:t>
      </w:r>
      <w:r w:rsidR="00225B9C" w:rsidRPr="00225B9C">
        <w:rPr>
          <w:rFonts w:ascii="Calibri" w:hAnsi="Calibri"/>
          <w:sz w:val="24"/>
          <w:szCs w:val="24"/>
        </w:rPr>
        <w:t xml:space="preserve">advice and supporting data analysis </w:t>
      </w:r>
      <w:r w:rsidR="00F9620C">
        <w:rPr>
          <w:rFonts w:ascii="Calibri" w:hAnsi="Calibri"/>
          <w:sz w:val="24"/>
          <w:szCs w:val="24"/>
        </w:rPr>
        <w:t xml:space="preserve">have not been included and </w:t>
      </w:r>
      <w:r w:rsidR="00225B9C" w:rsidRPr="00225B9C">
        <w:rPr>
          <w:rFonts w:ascii="Calibri" w:hAnsi="Calibri"/>
          <w:sz w:val="24"/>
          <w:szCs w:val="24"/>
        </w:rPr>
        <w:t>will not be recovered through the fees.</w:t>
      </w:r>
      <w:r w:rsidR="005F56F6" w:rsidRPr="005F56F6">
        <w:rPr>
          <w:rFonts w:ascii="Calibri" w:hAnsi="Calibri"/>
          <w:sz w:val="24"/>
          <w:szCs w:val="24"/>
        </w:rPr>
        <w:t xml:space="preserve"> </w:t>
      </w:r>
    </w:p>
    <w:p w:rsidR="00225B9C" w:rsidRDefault="005F56F6" w:rsidP="001D160F">
      <w:pPr>
        <w:pStyle w:val="Style14ptJustified"/>
        <w:keepLines/>
        <w:spacing w:after="240" w:line="276" w:lineRule="auto"/>
        <w:jc w:val="left"/>
        <w:rPr>
          <w:rFonts w:ascii="Calibri" w:hAnsi="Calibri"/>
          <w:sz w:val="24"/>
          <w:szCs w:val="24"/>
        </w:rPr>
      </w:pPr>
      <w:r>
        <w:rPr>
          <w:rFonts w:ascii="Calibri" w:hAnsi="Calibri"/>
          <w:sz w:val="24"/>
          <w:szCs w:val="24"/>
        </w:rPr>
        <w:lastRenderedPageBreak/>
        <w:t xml:space="preserve">An additional </w:t>
      </w:r>
      <w:r w:rsidRPr="00E01441">
        <w:rPr>
          <w:rFonts w:ascii="Calibri" w:hAnsi="Calibri"/>
          <w:sz w:val="24"/>
          <w:szCs w:val="24"/>
        </w:rPr>
        <w:t>2</w:t>
      </w:r>
      <w:r>
        <w:rPr>
          <w:rFonts w:ascii="Calibri" w:hAnsi="Calibri"/>
          <w:sz w:val="24"/>
          <w:szCs w:val="24"/>
        </w:rPr>
        <w:t>0</w:t>
      </w:r>
      <w:r w:rsidRPr="00E01441">
        <w:rPr>
          <w:rFonts w:ascii="Calibri" w:hAnsi="Calibri"/>
          <w:sz w:val="24"/>
          <w:szCs w:val="24"/>
        </w:rPr>
        <w:t xml:space="preserve"> per cent of sa</w:t>
      </w:r>
      <w:r>
        <w:rPr>
          <w:rFonts w:ascii="Calibri" w:hAnsi="Calibri"/>
          <w:sz w:val="24"/>
          <w:szCs w:val="24"/>
        </w:rPr>
        <w:t xml:space="preserve">lary has been added to provide for </w:t>
      </w:r>
      <w:r w:rsidRPr="005F56F6">
        <w:rPr>
          <w:rFonts w:ascii="Calibri" w:hAnsi="Calibri"/>
          <w:i/>
          <w:sz w:val="24"/>
          <w:szCs w:val="24"/>
        </w:rPr>
        <w:t>on costs</w:t>
      </w:r>
      <w:r w:rsidRPr="00E01441">
        <w:rPr>
          <w:rFonts w:ascii="Calibri" w:hAnsi="Calibri"/>
          <w:sz w:val="24"/>
          <w:szCs w:val="24"/>
        </w:rPr>
        <w:t xml:space="preserve"> </w:t>
      </w:r>
      <w:r>
        <w:rPr>
          <w:rFonts w:ascii="Calibri" w:hAnsi="Calibri"/>
          <w:sz w:val="24"/>
          <w:szCs w:val="24"/>
        </w:rPr>
        <w:t>such as</w:t>
      </w:r>
      <w:r w:rsidRPr="00E01441">
        <w:rPr>
          <w:rFonts w:ascii="Calibri" w:hAnsi="Calibri"/>
          <w:sz w:val="24"/>
          <w:szCs w:val="24"/>
        </w:rPr>
        <w:t xml:space="preserve"> </w:t>
      </w:r>
      <w:r>
        <w:rPr>
          <w:rFonts w:ascii="Calibri" w:hAnsi="Calibri"/>
          <w:sz w:val="24"/>
          <w:szCs w:val="24"/>
        </w:rPr>
        <w:t>leave entitlements,</w:t>
      </w:r>
      <w:r w:rsidRPr="00E01441">
        <w:rPr>
          <w:rFonts w:ascii="Calibri" w:hAnsi="Calibri"/>
          <w:sz w:val="24"/>
          <w:szCs w:val="24"/>
        </w:rPr>
        <w:t xml:space="preserve"> Wor</w:t>
      </w:r>
      <w:r>
        <w:rPr>
          <w:rFonts w:ascii="Calibri" w:hAnsi="Calibri"/>
          <w:sz w:val="24"/>
          <w:szCs w:val="24"/>
        </w:rPr>
        <w:t>kCover, superannuation and payroll</w:t>
      </w:r>
      <w:r w:rsidRPr="008D0952">
        <w:rPr>
          <w:rFonts w:ascii="Calibri" w:hAnsi="Calibri"/>
          <w:sz w:val="24"/>
          <w:szCs w:val="24"/>
        </w:rPr>
        <w:t xml:space="preserve"> </w:t>
      </w:r>
      <w:r>
        <w:rPr>
          <w:rFonts w:ascii="Calibri" w:hAnsi="Calibri"/>
          <w:sz w:val="24"/>
          <w:szCs w:val="24"/>
        </w:rPr>
        <w:t>tax</w:t>
      </w:r>
      <w:r w:rsidRPr="00E01441">
        <w:rPr>
          <w:rFonts w:ascii="Calibri" w:hAnsi="Calibri"/>
          <w:sz w:val="24"/>
          <w:szCs w:val="24"/>
        </w:rPr>
        <w:t>.</w:t>
      </w:r>
      <w:r>
        <w:rPr>
          <w:rFonts w:ascii="Calibri" w:hAnsi="Calibri"/>
          <w:sz w:val="24"/>
          <w:szCs w:val="24"/>
        </w:rPr>
        <w:t xml:space="preserve"> This figure of 20 per cent was determined </w:t>
      </w:r>
      <w:r w:rsidRPr="008D0952">
        <w:rPr>
          <w:rFonts w:ascii="Calibri" w:hAnsi="Calibri"/>
          <w:sz w:val="24"/>
          <w:szCs w:val="24"/>
        </w:rPr>
        <w:t xml:space="preserve">based on the </w:t>
      </w:r>
      <w:r>
        <w:rPr>
          <w:rFonts w:ascii="Calibri" w:hAnsi="Calibri"/>
          <w:sz w:val="24"/>
          <w:szCs w:val="24"/>
        </w:rPr>
        <w:t xml:space="preserve">specific salary </w:t>
      </w:r>
      <w:r w:rsidRPr="008D0952">
        <w:rPr>
          <w:rFonts w:ascii="Calibri" w:hAnsi="Calibri"/>
          <w:sz w:val="24"/>
          <w:szCs w:val="24"/>
        </w:rPr>
        <w:t>on</w:t>
      </w:r>
      <w:r>
        <w:rPr>
          <w:rFonts w:ascii="Calibri" w:hAnsi="Calibri"/>
          <w:sz w:val="24"/>
          <w:szCs w:val="24"/>
        </w:rPr>
        <w:t xml:space="preserve"> </w:t>
      </w:r>
      <w:r w:rsidRPr="008D0952">
        <w:rPr>
          <w:rFonts w:ascii="Calibri" w:hAnsi="Calibri"/>
          <w:sz w:val="24"/>
          <w:szCs w:val="24"/>
        </w:rPr>
        <w:t>costs for the</w:t>
      </w:r>
      <w:r>
        <w:rPr>
          <w:rFonts w:ascii="Calibri" w:hAnsi="Calibri"/>
          <w:sz w:val="24"/>
          <w:szCs w:val="24"/>
        </w:rPr>
        <w:t xml:space="preserve"> State Revenue Office</w:t>
      </w:r>
      <w:r w:rsidRPr="00E01441">
        <w:rPr>
          <w:rFonts w:ascii="Calibri" w:hAnsi="Calibri"/>
          <w:sz w:val="24"/>
          <w:szCs w:val="24"/>
        </w:rPr>
        <w:t>.</w:t>
      </w:r>
    </w:p>
    <w:p w:rsidR="00E12449" w:rsidRDefault="00A426D2" w:rsidP="00E12449">
      <w:pPr>
        <w:pStyle w:val="Style14ptJustified"/>
        <w:keepLines/>
        <w:spacing w:after="240" w:line="276" w:lineRule="auto"/>
        <w:jc w:val="left"/>
        <w:rPr>
          <w:rFonts w:ascii="Calibri" w:hAnsi="Calibri"/>
          <w:sz w:val="24"/>
          <w:szCs w:val="24"/>
        </w:rPr>
      </w:pPr>
      <w:r>
        <w:rPr>
          <w:rFonts w:ascii="Calibri" w:hAnsi="Calibri"/>
          <w:sz w:val="24"/>
          <w:szCs w:val="24"/>
        </w:rPr>
        <w:t xml:space="preserve">The </w:t>
      </w:r>
      <w:r w:rsidR="00E87A89">
        <w:rPr>
          <w:rFonts w:ascii="Calibri" w:hAnsi="Calibri"/>
          <w:i/>
          <w:sz w:val="24"/>
          <w:szCs w:val="24"/>
        </w:rPr>
        <w:t xml:space="preserve">administration costs and overheads </w:t>
      </w:r>
      <w:r w:rsidR="006F44AA" w:rsidRPr="006F44AA">
        <w:rPr>
          <w:rFonts w:ascii="Calibri" w:hAnsi="Calibri"/>
          <w:sz w:val="24"/>
          <w:szCs w:val="24"/>
        </w:rPr>
        <w:t>have been</w:t>
      </w:r>
      <w:r w:rsidR="006F44AA">
        <w:rPr>
          <w:rFonts w:ascii="Calibri" w:hAnsi="Calibri"/>
          <w:i/>
          <w:sz w:val="24"/>
          <w:szCs w:val="24"/>
        </w:rPr>
        <w:t xml:space="preserve"> </w:t>
      </w:r>
      <w:r w:rsidR="006F44AA">
        <w:rPr>
          <w:rFonts w:ascii="Calibri" w:hAnsi="Calibri"/>
          <w:sz w:val="24"/>
          <w:szCs w:val="24"/>
        </w:rPr>
        <w:t xml:space="preserve">determined using a pro-rata approach based on budget allocation as a percentage of the total budget. </w:t>
      </w:r>
      <w:r w:rsidR="00E87A89" w:rsidRPr="00E87A89">
        <w:rPr>
          <w:rFonts w:ascii="Calibri" w:hAnsi="Calibri"/>
          <w:sz w:val="24"/>
          <w:szCs w:val="24"/>
        </w:rPr>
        <w:t>Administration costs and overheads</w:t>
      </w:r>
      <w:r w:rsidR="00E87A89" w:rsidRPr="00187520">
        <w:rPr>
          <w:rFonts w:ascii="Calibri" w:hAnsi="Calibri"/>
          <w:i/>
          <w:sz w:val="24"/>
          <w:szCs w:val="24"/>
        </w:rPr>
        <w:t xml:space="preserve"> </w:t>
      </w:r>
      <w:r w:rsidR="00E12449" w:rsidRPr="00187520">
        <w:rPr>
          <w:rFonts w:ascii="Calibri" w:hAnsi="Calibri"/>
          <w:sz w:val="24"/>
          <w:szCs w:val="24"/>
        </w:rPr>
        <w:t xml:space="preserve">include </w:t>
      </w:r>
      <w:r w:rsidR="00E87A89" w:rsidRPr="008D0952">
        <w:rPr>
          <w:rFonts w:ascii="Calibri" w:hAnsi="Calibri"/>
          <w:sz w:val="24"/>
          <w:szCs w:val="24"/>
        </w:rPr>
        <w:t>operating costs</w:t>
      </w:r>
      <w:r w:rsidR="00E87A89">
        <w:rPr>
          <w:rFonts w:ascii="Calibri" w:hAnsi="Calibri"/>
          <w:sz w:val="24"/>
          <w:szCs w:val="24"/>
        </w:rPr>
        <w:t>, corporate</w:t>
      </w:r>
      <w:r w:rsidR="00E87A89" w:rsidRPr="008D0952">
        <w:rPr>
          <w:rFonts w:ascii="Calibri" w:hAnsi="Calibri"/>
          <w:sz w:val="24"/>
          <w:szCs w:val="24"/>
        </w:rPr>
        <w:t xml:space="preserve"> overheads</w:t>
      </w:r>
      <w:r w:rsidR="00E87A89">
        <w:rPr>
          <w:rFonts w:ascii="Calibri" w:hAnsi="Calibri"/>
          <w:sz w:val="24"/>
          <w:szCs w:val="24"/>
        </w:rPr>
        <w:t xml:space="preserve">, </w:t>
      </w:r>
      <w:r w:rsidR="00E12449" w:rsidRPr="00187520">
        <w:rPr>
          <w:rFonts w:ascii="Calibri" w:hAnsi="Calibri"/>
          <w:sz w:val="24"/>
          <w:szCs w:val="24"/>
        </w:rPr>
        <w:t>accommodation costs, supplies (</w:t>
      </w:r>
      <w:proofErr w:type="spellStart"/>
      <w:r w:rsidR="00E12449">
        <w:rPr>
          <w:rFonts w:ascii="Calibri" w:hAnsi="Calibri"/>
          <w:sz w:val="24"/>
          <w:szCs w:val="24"/>
        </w:rPr>
        <w:t>ie</w:t>
      </w:r>
      <w:proofErr w:type="spellEnd"/>
      <w:r w:rsidR="00E12449">
        <w:rPr>
          <w:rFonts w:ascii="Calibri" w:hAnsi="Calibri"/>
          <w:sz w:val="24"/>
          <w:szCs w:val="24"/>
        </w:rPr>
        <w:t>.</w:t>
      </w:r>
      <w:r w:rsidR="00E12449" w:rsidRPr="00187520">
        <w:rPr>
          <w:rFonts w:ascii="Calibri" w:hAnsi="Calibri"/>
          <w:sz w:val="24"/>
          <w:szCs w:val="24"/>
        </w:rPr>
        <w:t xml:space="preserve"> station</w:t>
      </w:r>
      <w:r w:rsidR="00E12449">
        <w:rPr>
          <w:rFonts w:ascii="Calibri" w:hAnsi="Calibri"/>
          <w:sz w:val="24"/>
          <w:szCs w:val="24"/>
        </w:rPr>
        <w:t>e</w:t>
      </w:r>
      <w:r w:rsidR="00E12449" w:rsidRPr="00187520">
        <w:rPr>
          <w:rFonts w:ascii="Calibri" w:hAnsi="Calibri"/>
          <w:sz w:val="24"/>
          <w:szCs w:val="24"/>
        </w:rPr>
        <w:t>ry) and services (</w:t>
      </w:r>
      <w:proofErr w:type="spellStart"/>
      <w:r w:rsidR="00E12449">
        <w:rPr>
          <w:rFonts w:ascii="Calibri" w:hAnsi="Calibri"/>
          <w:sz w:val="24"/>
          <w:szCs w:val="24"/>
        </w:rPr>
        <w:t>ie</w:t>
      </w:r>
      <w:proofErr w:type="spellEnd"/>
      <w:r w:rsidR="00E12449">
        <w:rPr>
          <w:rFonts w:ascii="Calibri" w:hAnsi="Calibri"/>
          <w:sz w:val="24"/>
          <w:szCs w:val="24"/>
        </w:rPr>
        <w:t>.</w:t>
      </w:r>
      <w:r w:rsidR="00E12449" w:rsidRPr="00187520">
        <w:rPr>
          <w:rFonts w:ascii="Calibri" w:hAnsi="Calibri"/>
          <w:sz w:val="24"/>
          <w:szCs w:val="24"/>
        </w:rPr>
        <w:t xml:space="preserve"> telephones).</w:t>
      </w:r>
      <w:r w:rsidR="00E87A89">
        <w:rPr>
          <w:rFonts w:ascii="Calibri" w:hAnsi="Calibri"/>
          <w:sz w:val="24"/>
          <w:szCs w:val="24"/>
        </w:rPr>
        <w:t xml:space="preserve"> </w:t>
      </w:r>
    </w:p>
    <w:p w:rsidR="00F9620C" w:rsidRDefault="00F9620C" w:rsidP="00F9620C">
      <w:pPr>
        <w:pStyle w:val="Style14ptJustified"/>
        <w:keepLines/>
        <w:spacing w:after="240" w:line="276" w:lineRule="auto"/>
        <w:jc w:val="left"/>
        <w:rPr>
          <w:rFonts w:ascii="Calibri" w:hAnsi="Calibri"/>
          <w:sz w:val="24"/>
          <w:szCs w:val="24"/>
        </w:rPr>
      </w:pPr>
      <w:r>
        <w:rPr>
          <w:rFonts w:ascii="Calibri" w:hAnsi="Calibri"/>
          <w:i/>
          <w:sz w:val="24"/>
          <w:szCs w:val="24"/>
        </w:rPr>
        <w:t>Indirect</w:t>
      </w:r>
      <w:r w:rsidRPr="005F56F6">
        <w:rPr>
          <w:rFonts w:ascii="Calibri" w:hAnsi="Calibri"/>
          <w:i/>
          <w:sz w:val="24"/>
          <w:szCs w:val="24"/>
        </w:rPr>
        <w:t xml:space="preserve"> costs</w:t>
      </w:r>
    </w:p>
    <w:p w:rsidR="00560E20" w:rsidRDefault="006F44AA" w:rsidP="005A6062">
      <w:pPr>
        <w:pStyle w:val="Style14ptJustified"/>
        <w:keepLines/>
        <w:spacing w:after="0" w:line="276" w:lineRule="auto"/>
        <w:jc w:val="left"/>
        <w:rPr>
          <w:rFonts w:ascii="Calibri" w:hAnsi="Calibri"/>
          <w:sz w:val="24"/>
          <w:szCs w:val="24"/>
        </w:rPr>
      </w:pPr>
      <w:r w:rsidRPr="006F44AA">
        <w:rPr>
          <w:rFonts w:ascii="Calibri" w:hAnsi="Calibri"/>
          <w:sz w:val="24"/>
          <w:szCs w:val="24"/>
        </w:rPr>
        <w:t>The</w:t>
      </w:r>
      <w:r>
        <w:rPr>
          <w:rFonts w:ascii="Calibri" w:hAnsi="Calibri"/>
          <w:i/>
          <w:sz w:val="24"/>
          <w:szCs w:val="24"/>
        </w:rPr>
        <w:t xml:space="preserve"> </w:t>
      </w:r>
      <w:r w:rsidR="00CE0A40">
        <w:rPr>
          <w:rFonts w:ascii="Calibri" w:hAnsi="Calibri"/>
          <w:i/>
          <w:sz w:val="24"/>
          <w:szCs w:val="24"/>
        </w:rPr>
        <w:t>indirect</w:t>
      </w:r>
      <w:r w:rsidRPr="00187520">
        <w:rPr>
          <w:rFonts w:ascii="Calibri" w:hAnsi="Calibri"/>
          <w:i/>
          <w:sz w:val="24"/>
          <w:szCs w:val="24"/>
        </w:rPr>
        <w:t xml:space="preserve"> costs</w:t>
      </w:r>
      <w:r w:rsidRPr="00187520">
        <w:rPr>
          <w:rFonts w:ascii="Calibri" w:hAnsi="Calibri"/>
          <w:sz w:val="24"/>
          <w:szCs w:val="24"/>
        </w:rPr>
        <w:t xml:space="preserve"> are calculated inclusive of</w:t>
      </w:r>
      <w:r w:rsidR="00560E20">
        <w:rPr>
          <w:rFonts w:ascii="Calibri" w:hAnsi="Calibri"/>
          <w:sz w:val="24"/>
          <w:szCs w:val="24"/>
        </w:rPr>
        <w:t>:</w:t>
      </w:r>
      <w:r w:rsidRPr="00187520">
        <w:rPr>
          <w:rFonts w:ascii="Calibri" w:hAnsi="Calibri"/>
          <w:sz w:val="24"/>
          <w:szCs w:val="24"/>
        </w:rPr>
        <w:t xml:space="preserve"> </w:t>
      </w:r>
    </w:p>
    <w:p w:rsidR="00560E20" w:rsidRDefault="006F44AA" w:rsidP="005A6062">
      <w:pPr>
        <w:pStyle w:val="Style14ptJustified"/>
        <w:keepLines/>
        <w:numPr>
          <w:ilvl w:val="0"/>
          <w:numId w:val="12"/>
        </w:numPr>
        <w:spacing w:after="0" w:line="276" w:lineRule="auto"/>
        <w:jc w:val="left"/>
        <w:rPr>
          <w:rFonts w:ascii="Calibri" w:hAnsi="Calibri"/>
          <w:sz w:val="24"/>
          <w:szCs w:val="24"/>
        </w:rPr>
      </w:pPr>
      <w:r w:rsidRPr="00187520">
        <w:rPr>
          <w:rFonts w:ascii="Calibri" w:hAnsi="Calibri"/>
          <w:sz w:val="24"/>
          <w:szCs w:val="24"/>
        </w:rPr>
        <w:t>software and hardware support</w:t>
      </w:r>
      <w:r w:rsidR="00560E20">
        <w:rPr>
          <w:rFonts w:ascii="Calibri" w:hAnsi="Calibri"/>
          <w:sz w:val="24"/>
          <w:szCs w:val="24"/>
        </w:rPr>
        <w:t>;</w:t>
      </w:r>
      <w:r w:rsidRPr="00187520">
        <w:rPr>
          <w:rFonts w:ascii="Calibri" w:hAnsi="Calibri"/>
          <w:sz w:val="24"/>
          <w:szCs w:val="24"/>
        </w:rPr>
        <w:t xml:space="preserve"> </w:t>
      </w:r>
    </w:p>
    <w:p w:rsidR="00560E20" w:rsidRDefault="006F44AA" w:rsidP="005A6062">
      <w:pPr>
        <w:pStyle w:val="Style14ptJustified"/>
        <w:keepLines/>
        <w:numPr>
          <w:ilvl w:val="0"/>
          <w:numId w:val="12"/>
        </w:numPr>
        <w:spacing w:after="0" w:line="276" w:lineRule="auto"/>
        <w:jc w:val="left"/>
        <w:rPr>
          <w:rFonts w:ascii="Calibri" w:hAnsi="Calibri"/>
          <w:sz w:val="24"/>
          <w:szCs w:val="24"/>
        </w:rPr>
      </w:pPr>
      <w:r w:rsidRPr="00187520">
        <w:rPr>
          <w:rFonts w:ascii="Calibri" w:hAnsi="Calibri"/>
          <w:sz w:val="24"/>
          <w:szCs w:val="24"/>
        </w:rPr>
        <w:t>maintenance costs</w:t>
      </w:r>
      <w:r w:rsidR="00560E20">
        <w:rPr>
          <w:rFonts w:ascii="Calibri" w:hAnsi="Calibri"/>
          <w:sz w:val="24"/>
          <w:szCs w:val="24"/>
        </w:rPr>
        <w:t>;</w:t>
      </w:r>
    </w:p>
    <w:p w:rsidR="00560E20" w:rsidRDefault="006F44AA" w:rsidP="005A6062">
      <w:pPr>
        <w:pStyle w:val="Style14ptJustified"/>
        <w:keepLines/>
        <w:numPr>
          <w:ilvl w:val="0"/>
          <w:numId w:val="12"/>
        </w:numPr>
        <w:spacing w:after="0" w:line="276" w:lineRule="auto"/>
        <w:jc w:val="left"/>
        <w:rPr>
          <w:rFonts w:ascii="Calibri" w:hAnsi="Calibri"/>
          <w:sz w:val="24"/>
          <w:szCs w:val="24"/>
        </w:rPr>
      </w:pPr>
      <w:r w:rsidRPr="00187520">
        <w:rPr>
          <w:rFonts w:ascii="Calibri" w:hAnsi="Calibri"/>
          <w:sz w:val="24"/>
          <w:szCs w:val="24"/>
        </w:rPr>
        <w:t>software licences</w:t>
      </w:r>
      <w:r w:rsidR="00560E20">
        <w:rPr>
          <w:rFonts w:ascii="Calibri" w:hAnsi="Calibri"/>
          <w:sz w:val="24"/>
          <w:szCs w:val="24"/>
        </w:rPr>
        <w:t>;</w:t>
      </w:r>
    </w:p>
    <w:p w:rsidR="00560E20" w:rsidRDefault="006F44AA" w:rsidP="005A6062">
      <w:pPr>
        <w:pStyle w:val="Style14ptJustified"/>
        <w:keepLines/>
        <w:numPr>
          <w:ilvl w:val="0"/>
          <w:numId w:val="12"/>
        </w:numPr>
        <w:spacing w:after="0" w:line="276" w:lineRule="auto"/>
        <w:jc w:val="left"/>
        <w:rPr>
          <w:rFonts w:ascii="Calibri" w:hAnsi="Calibri"/>
          <w:sz w:val="24"/>
          <w:szCs w:val="24"/>
        </w:rPr>
      </w:pPr>
      <w:r w:rsidRPr="00187520">
        <w:rPr>
          <w:rFonts w:ascii="Calibri" w:hAnsi="Calibri"/>
          <w:sz w:val="24"/>
          <w:szCs w:val="24"/>
        </w:rPr>
        <w:t>IT equipment</w:t>
      </w:r>
      <w:r w:rsidR="00560E20">
        <w:rPr>
          <w:rFonts w:ascii="Calibri" w:hAnsi="Calibri"/>
          <w:sz w:val="24"/>
          <w:szCs w:val="24"/>
        </w:rPr>
        <w:t>;</w:t>
      </w:r>
    </w:p>
    <w:p w:rsidR="00560E20" w:rsidRDefault="006F44AA" w:rsidP="005A6062">
      <w:pPr>
        <w:pStyle w:val="Style14ptJustified"/>
        <w:keepLines/>
        <w:numPr>
          <w:ilvl w:val="0"/>
          <w:numId w:val="12"/>
        </w:numPr>
        <w:spacing w:after="0" w:line="276" w:lineRule="auto"/>
        <w:jc w:val="left"/>
        <w:rPr>
          <w:rFonts w:ascii="Calibri" w:hAnsi="Calibri"/>
          <w:sz w:val="24"/>
          <w:szCs w:val="24"/>
        </w:rPr>
      </w:pPr>
      <w:r w:rsidRPr="00187520">
        <w:rPr>
          <w:rFonts w:ascii="Calibri" w:hAnsi="Calibri"/>
          <w:sz w:val="24"/>
          <w:szCs w:val="24"/>
        </w:rPr>
        <w:t>valuation costs</w:t>
      </w:r>
      <w:r w:rsidR="00560E20">
        <w:rPr>
          <w:rFonts w:ascii="Calibri" w:hAnsi="Calibri"/>
          <w:sz w:val="24"/>
          <w:szCs w:val="24"/>
        </w:rPr>
        <w:t>;</w:t>
      </w:r>
      <w:r w:rsidRPr="00187520">
        <w:rPr>
          <w:rFonts w:ascii="Calibri" w:hAnsi="Calibri"/>
          <w:sz w:val="24"/>
          <w:szCs w:val="24"/>
        </w:rPr>
        <w:t xml:space="preserve"> and </w:t>
      </w:r>
    </w:p>
    <w:p w:rsidR="00560E20" w:rsidRDefault="006F44AA" w:rsidP="00560E20">
      <w:pPr>
        <w:pStyle w:val="Style14ptJustified"/>
        <w:keepLines/>
        <w:numPr>
          <w:ilvl w:val="0"/>
          <w:numId w:val="16"/>
        </w:numPr>
        <w:spacing w:after="240" w:line="276" w:lineRule="auto"/>
        <w:jc w:val="left"/>
        <w:rPr>
          <w:rFonts w:ascii="Calibri" w:hAnsi="Calibri"/>
          <w:sz w:val="24"/>
          <w:szCs w:val="24"/>
        </w:rPr>
      </w:pPr>
      <w:proofErr w:type="gramStart"/>
      <w:r w:rsidRPr="00187520">
        <w:rPr>
          <w:rFonts w:ascii="Calibri" w:hAnsi="Calibri"/>
          <w:sz w:val="24"/>
          <w:szCs w:val="24"/>
        </w:rPr>
        <w:t>maintenance</w:t>
      </w:r>
      <w:proofErr w:type="gramEnd"/>
      <w:r w:rsidRPr="00187520">
        <w:rPr>
          <w:rFonts w:ascii="Calibri" w:hAnsi="Calibri"/>
          <w:sz w:val="24"/>
          <w:szCs w:val="24"/>
        </w:rPr>
        <w:t xml:space="preserve">, development and </w:t>
      </w:r>
      <w:r w:rsidR="00560E20">
        <w:rPr>
          <w:rFonts w:ascii="Calibri" w:hAnsi="Calibri"/>
          <w:sz w:val="24"/>
          <w:szCs w:val="24"/>
        </w:rPr>
        <w:t>amortisation</w:t>
      </w:r>
      <w:r w:rsidR="00560E20" w:rsidRPr="00187520">
        <w:rPr>
          <w:rFonts w:ascii="Calibri" w:hAnsi="Calibri"/>
          <w:sz w:val="24"/>
          <w:szCs w:val="24"/>
        </w:rPr>
        <w:t xml:space="preserve"> </w:t>
      </w:r>
      <w:r w:rsidRPr="00187520">
        <w:rPr>
          <w:rFonts w:ascii="Calibri" w:hAnsi="Calibri"/>
          <w:sz w:val="24"/>
          <w:szCs w:val="24"/>
        </w:rPr>
        <w:t>of the land tax database</w:t>
      </w:r>
      <w:r w:rsidRPr="005C38C0">
        <w:rPr>
          <w:rFonts w:ascii="Calibri" w:hAnsi="Calibri"/>
          <w:sz w:val="24"/>
          <w:szCs w:val="24"/>
        </w:rPr>
        <w:t xml:space="preserve"> and clearance certificate online system</w:t>
      </w:r>
      <w:r w:rsidRPr="00187520">
        <w:rPr>
          <w:rFonts w:ascii="Calibri" w:hAnsi="Calibri"/>
          <w:sz w:val="24"/>
          <w:szCs w:val="24"/>
        </w:rPr>
        <w:t>.</w:t>
      </w:r>
      <w:r w:rsidR="00D23B96">
        <w:rPr>
          <w:rFonts w:ascii="Calibri" w:hAnsi="Calibri"/>
          <w:sz w:val="24"/>
          <w:szCs w:val="24"/>
        </w:rPr>
        <w:t xml:space="preserve"> </w:t>
      </w:r>
    </w:p>
    <w:p w:rsidR="000062C0" w:rsidRDefault="002E67B0" w:rsidP="006F44AA">
      <w:pPr>
        <w:pStyle w:val="Style14ptJustified"/>
        <w:keepLines/>
        <w:spacing w:after="240" w:line="276" w:lineRule="auto"/>
        <w:jc w:val="left"/>
        <w:rPr>
          <w:rFonts w:ascii="Calibri" w:hAnsi="Calibri"/>
          <w:sz w:val="24"/>
          <w:szCs w:val="24"/>
        </w:rPr>
      </w:pPr>
      <w:r>
        <w:rPr>
          <w:rFonts w:ascii="Calibri" w:hAnsi="Calibri"/>
          <w:sz w:val="24"/>
          <w:szCs w:val="24"/>
        </w:rPr>
        <w:t>The</w:t>
      </w:r>
      <w:r w:rsidR="00D23B96" w:rsidRPr="00815E7D">
        <w:rPr>
          <w:rFonts w:ascii="Calibri" w:hAnsi="Calibri"/>
          <w:sz w:val="24"/>
          <w:szCs w:val="24"/>
        </w:rPr>
        <w:t xml:space="preserve"> costs</w:t>
      </w:r>
      <w:r w:rsidR="00CE0A40">
        <w:rPr>
          <w:rFonts w:ascii="Calibri" w:hAnsi="Calibri"/>
          <w:sz w:val="24"/>
          <w:szCs w:val="24"/>
        </w:rPr>
        <w:t xml:space="preserve"> associated with IT activities (</w:t>
      </w:r>
      <w:proofErr w:type="spellStart"/>
      <w:r w:rsidR="00CE0A40">
        <w:rPr>
          <w:rFonts w:ascii="Calibri" w:hAnsi="Calibri"/>
          <w:sz w:val="24"/>
          <w:szCs w:val="24"/>
        </w:rPr>
        <w:t>ie</w:t>
      </w:r>
      <w:proofErr w:type="spellEnd"/>
      <w:r w:rsidR="00CE0A40">
        <w:rPr>
          <w:rFonts w:ascii="Calibri" w:hAnsi="Calibri"/>
          <w:sz w:val="24"/>
          <w:szCs w:val="24"/>
        </w:rPr>
        <w:t xml:space="preserve">. </w:t>
      </w:r>
      <w:r w:rsidR="00561FB4">
        <w:rPr>
          <w:rFonts w:ascii="Calibri" w:hAnsi="Calibri"/>
          <w:sz w:val="24"/>
          <w:szCs w:val="24"/>
        </w:rPr>
        <w:t xml:space="preserve">excluding </w:t>
      </w:r>
      <w:r>
        <w:rPr>
          <w:rFonts w:ascii="Calibri" w:hAnsi="Calibri"/>
          <w:sz w:val="24"/>
          <w:szCs w:val="24"/>
        </w:rPr>
        <w:t>valuation costs</w:t>
      </w:r>
      <w:r w:rsidR="00CE0A40">
        <w:rPr>
          <w:rFonts w:ascii="Calibri" w:hAnsi="Calibri"/>
          <w:sz w:val="24"/>
          <w:szCs w:val="24"/>
        </w:rPr>
        <w:t>)</w:t>
      </w:r>
      <w:r w:rsidR="00815E7D">
        <w:rPr>
          <w:rFonts w:ascii="Calibri" w:hAnsi="Calibri"/>
          <w:sz w:val="24"/>
          <w:szCs w:val="24"/>
        </w:rPr>
        <w:t xml:space="preserve">, </w:t>
      </w:r>
      <w:r w:rsidR="00D23B96">
        <w:rPr>
          <w:rFonts w:ascii="Calibri" w:hAnsi="Calibri"/>
          <w:sz w:val="24"/>
          <w:szCs w:val="24"/>
        </w:rPr>
        <w:t xml:space="preserve">have been determined using a pro-rata approach based on the </w:t>
      </w:r>
      <w:r w:rsidR="00560E20">
        <w:rPr>
          <w:rFonts w:ascii="Calibri" w:hAnsi="Calibri"/>
          <w:sz w:val="24"/>
          <w:szCs w:val="24"/>
        </w:rPr>
        <w:t xml:space="preserve">estimated </w:t>
      </w:r>
      <w:r w:rsidR="00D23B96">
        <w:rPr>
          <w:rFonts w:ascii="Calibri" w:hAnsi="Calibri"/>
          <w:sz w:val="24"/>
          <w:szCs w:val="24"/>
        </w:rPr>
        <w:t>IT costs incurred for the activity as a percentage of total IT costs</w:t>
      </w:r>
      <w:r w:rsidR="00815E7D">
        <w:rPr>
          <w:rFonts w:ascii="Calibri" w:hAnsi="Calibri"/>
          <w:sz w:val="24"/>
          <w:szCs w:val="24"/>
        </w:rPr>
        <w:t xml:space="preserve">. </w:t>
      </w:r>
    </w:p>
    <w:p w:rsidR="00406887" w:rsidRDefault="00406887" w:rsidP="006F44AA">
      <w:pPr>
        <w:pStyle w:val="Style14ptJustified"/>
        <w:keepLines/>
        <w:spacing w:after="240" w:line="276" w:lineRule="auto"/>
        <w:jc w:val="left"/>
        <w:rPr>
          <w:rFonts w:ascii="Calibri" w:hAnsi="Calibri"/>
          <w:sz w:val="24"/>
          <w:szCs w:val="24"/>
        </w:rPr>
      </w:pPr>
      <w:r>
        <w:rPr>
          <w:rFonts w:ascii="Calibri" w:hAnsi="Calibri"/>
          <w:sz w:val="24"/>
          <w:szCs w:val="24"/>
        </w:rPr>
        <w:t>The valuation costs have been determined using a pro-rata approach</w:t>
      </w:r>
      <w:r w:rsidR="006750D3">
        <w:rPr>
          <w:rFonts w:ascii="Calibri" w:hAnsi="Calibri"/>
          <w:sz w:val="24"/>
          <w:szCs w:val="24"/>
        </w:rPr>
        <w:t xml:space="preserve"> as valuations are used for multiple purposes. </w:t>
      </w:r>
      <w:r w:rsidR="0084752C">
        <w:rPr>
          <w:rFonts w:ascii="Calibri" w:hAnsi="Calibri"/>
          <w:sz w:val="24"/>
          <w:szCs w:val="24"/>
        </w:rPr>
        <w:t xml:space="preserve">This </w:t>
      </w:r>
      <w:r w:rsidR="000062C0">
        <w:rPr>
          <w:rFonts w:ascii="Calibri" w:hAnsi="Calibri"/>
          <w:sz w:val="24"/>
          <w:szCs w:val="24"/>
        </w:rPr>
        <w:t>involved</w:t>
      </w:r>
      <w:r w:rsidR="0084752C">
        <w:rPr>
          <w:rFonts w:ascii="Calibri" w:hAnsi="Calibri"/>
          <w:sz w:val="24"/>
          <w:szCs w:val="24"/>
        </w:rPr>
        <w:t xml:space="preserve"> identifying</w:t>
      </w:r>
      <w:r w:rsidR="00603DAA">
        <w:rPr>
          <w:rFonts w:ascii="Calibri" w:hAnsi="Calibri"/>
          <w:sz w:val="24"/>
          <w:szCs w:val="24"/>
        </w:rPr>
        <w:t xml:space="preserve"> the number of valuations used in the clearance certificate process</w:t>
      </w:r>
      <w:r w:rsidR="000062C0">
        <w:rPr>
          <w:rFonts w:ascii="Calibri" w:hAnsi="Calibri"/>
          <w:sz w:val="24"/>
          <w:szCs w:val="24"/>
        </w:rPr>
        <w:t xml:space="preserve"> </w:t>
      </w:r>
      <w:r w:rsidR="00560E20">
        <w:rPr>
          <w:rFonts w:ascii="Calibri" w:hAnsi="Calibri"/>
          <w:sz w:val="24"/>
          <w:szCs w:val="24"/>
        </w:rPr>
        <w:t>as a percentage of the total valuations received, apportioning against total valuation costs</w:t>
      </w:r>
      <w:r w:rsidR="0084752C">
        <w:rPr>
          <w:rFonts w:ascii="Calibri" w:hAnsi="Calibri"/>
          <w:sz w:val="24"/>
          <w:szCs w:val="24"/>
        </w:rPr>
        <w:t xml:space="preserve">, </w:t>
      </w:r>
      <w:r w:rsidR="00560E20">
        <w:rPr>
          <w:rFonts w:ascii="Calibri" w:hAnsi="Calibri"/>
          <w:sz w:val="24"/>
          <w:szCs w:val="24"/>
        </w:rPr>
        <w:t>and then</w:t>
      </w:r>
      <w:r w:rsidR="0084752C">
        <w:rPr>
          <w:rFonts w:ascii="Calibri" w:hAnsi="Calibri"/>
          <w:sz w:val="24"/>
          <w:szCs w:val="24"/>
        </w:rPr>
        <w:t xml:space="preserve"> apport</w:t>
      </w:r>
      <w:r w:rsidR="000062C0">
        <w:rPr>
          <w:rFonts w:ascii="Calibri" w:hAnsi="Calibri"/>
          <w:sz w:val="24"/>
          <w:szCs w:val="24"/>
        </w:rPr>
        <w:t xml:space="preserve">ioning the cost to account for the multiple uses.   </w:t>
      </w:r>
    </w:p>
    <w:p w:rsidR="00F14F02" w:rsidRPr="006326F6" w:rsidRDefault="00AC0F3E" w:rsidP="004F0791">
      <w:pPr>
        <w:pStyle w:val="Heading2"/>
        <w:spacing w:before="0" w:after="240" w:line="276" w:lineRule="auto"/>
        <w:rPr>
          <w:rFonts w:asciiTheme="minorHAnsi" w:eastAsia="Times New Roman" w:hAnsiTheme="minorHAnsi" w:cs="Times New Roman"/>
          <w:color w:val="auto"/>
          <w:sz w:val="28"/>
          <w:szCs w:val="22"/>
        </w:rPr>
      </w:pPr>
      <w:bookmarkStart w:id="14" w:name="_Toc432510185"/>
      <w:r w:rsidRPr="006326F6">
        <w:rPr>
          <w:rFonts w:asciiTheme="minorHAnsi" w:eastAsia="Times New Roman" w:hAnsiTheme="minorHAnsi" w:cs="Times New Roman"/>
          <w:color w:val="auto"/>
          <w:sz w:val="28"/>
          <w:szCs w:val="22"/>
        </w:rPr>
        <w:t>6.3</w:t>
      </w:r>
      <w:r w:rsidR="00073305" w:rsidRPr="006326F6">
        <w:rPr>
          <w:rFonts w:asciiTheme="minorHAnsi" w:eastAsia="Times New Roman" w:hAnsiTheme="minorHAnsi" w:cs="Times New Roman"/>
          <w:color w:val="auto"/>
          <w:sz w:val="28"/>
          <w:szCs w:val="22"/>
        </w:rPr>
        <w:t>.</w:t>
      </w:r>
      <w:r w:rsidRPr="006326F6">
        <w:rPr>
          <w:rFonts w:asciiTheme="minorHAnsi" w:eastAsia="Times New Roman" w:hAnsiTheme="minorHAnsi" w:cs="Times New Roman"/>
          <w:color w:val="auto"/>
          <w:sz w:val="28"/>
          <w:szCs w:val="22"/>
        </w:rPr>
        <w:t xml:space="preserve"> </w:t>
      </w:r>
      <w:r w:rsidR="00CB3271" w:rsidRPr="006326F6">
        <w:rPr>
          <w:rFonts w:asciiTheme="minorHAnsi" w:eastAsia="Times New Roman" w:hAnsiTheme="minorHAnsi" w:cs="Times New Roman"/>
          <w:color w:val="auto"/>
          <w:sz w:val="28"/>
          <w:szCs w:val="22"/>
        </w:rPr>
        <w:tab/>
      </w:r>
      <w:r w:rsidR="00F14F02" w:rsidRPr="006326F6">
        <w:rPr>
          <w:rFonts w:asciiTheme="minorHAnsi" w:eastAsia="Times New Roman" w:hAnsiTheme="minorHAnsi" w:cs="Times New Roman"/>
          <w:color w:val="auto"/>
          <w:sz w:val="28"/>
          <w:szCs w:val="22"/>
        </w:rPr>
        <w:t>Setting the fee for a land tax clearance certificate</w:t>
      </w:r>
      <w:bookmarkEnd w:id="14"/>
    </w:p>
    <w:p w:rsidR="00F14F02" w:rsidRPr="00225B9C" w:rsidRDefault="00F14F02" w:rsidP="001D160F">
      <w:pPr>
        <w:pStyle w:val="Style14ptJustified"/>
        <w:keepLines/>
        <w:spacing w:after="240" w:line="276" w:lineRule="auto"/>
        <w:jc w:val="left"/>
        <w:rPr>
          <w:rFonts w:ascii="Calibri" w:hAnsi="Calibri"/>
          <w:sz w:val="24"/>
          <w:szCs w:val="24"/>
        </w:rPr>
      </w:pPr>
      <w:r w:rsidRPr="00225B9C">
        <w:rPr>
          <w:rFonts w:ascii="Calibri" w:hAnsi="Calibri"/>
          <w:sz w:val="24"/>
          <w:szCs w:val="24"/>
        </w:rPr>
        <w:t>In general, costs of government services can be recovered directly from private</w:t>
      </w:r>
      <w:r w:rsidR="00FB1005" w:rsidRPr="00225B9C">
        <w:rPr>
          <w:rFonts w:ascii="Calibri" w:hAnsi="Calibri"/>
          <w:sz w:val="24"/>
          <w:szCs w:val="24"/>
        </w:rPr>
        <w:t xml:space="preserve"> </w:t>
      </w:r>
      <w:r w:rsidRPr="00225B9C">
        <w:rPr>
          <w:rFonts w:ascii="Calibri" w:hAnsi="Calibri"/>
          <w:sz w:val="24"/>
          <w:szCs w:val="24"/>
        </w:rPr>
        <w:t>parties, including individuals or businesses that directly benefit from a government</w:t>
      </w:r>
      <w:r w:rsidR="00FB1005" w:rsidRPr="00225B9C">
        <w:rPr>
          <w:rFonts w:ascii="Calibri" w:hAnsi="Calibri"/>
          <w:sz w:val="24"/>
          <w:szCs w:val="24"/>
        </w:rPr>
        <w:t xml:space="preserve"> </w:t>
      </w:r>
      <w:r w:rsidRPr="00225B9C">
        <w:rPr>
          <w:rFonts w:ascii="Calibri" w:hAnsi="Calibri"/>
          <w:sz w:val="24"/>
          <w:szCs w:val="24"/>
        </w:rPr>
        <w:t>good or service, or can be paid for by taxpayers through budget appropriations.</w:t>
      </w:r>
    </w:p>
    <w:p w:rsidR="00001ACE" w:rsidRDefault="00FF5AF5" w:rsidP="00142D66">
      <w:pPr>
        <w:spacing w:after="120" w:line="276" w:lineRule="auto"/>
        <w:rPr>
          <w:rFonts w:asciiTheme="minorHAnsi" w:hAnsiTheme="minorHAnsi"/>
        </w:rPr>
      </w:pPr>
      <w:r w:rsidRPr="002F6E7C">
        <w:rPr>
          <w:rFonts w:asciiTheme="minorHAnsi" w:hAnsiTheme="minorHAnsi"/>
        </w:rPr>
        <w:t xml:space="preserve">The </w:t>
      </w:r>
      <w:r w:rsidRPr="002F6E7C">
        <w:rPr>
          <w:rFonts w:asciiTheme="minorHAnsi" w:hAnsiTheme="minorHAnsi"/>
          <w:i/>
        </w:rPr>
        <w:t>Victorian Guide to Regulation</w:t>
      </w:r>
      <w:r w:rsidRPr="002F6E7C">
        <w:rPr>
          <w:rFonts w:asciiTheme="minorHAnsi" w:hAnsiTheme="minorHAnsi"/>
        </w:rPr>
        <w:t xml:space="preserve"> states that, in the case of </w:t>
      </w:r>
      <w:r>
        <w:rPr>
          <w:rFonts w:asciiTheme="minorHAnsi" w:hAnsiTheme="minorHAnsi"/>
        </w:rPr>
        <w:t xml:space="preserve">a </w:t>
      </w:r>
      <w:r w:rsidRPr="002F6E7C">
        <w:rPr>
          <w:rFonts w:asciiTheme="minorHAnsi" w:hAnsiTheme="minorHAnsi"/>
        </w:rPr>
        <w:t>RIS prepared for fees and charges, the range of different options will be narrower than for other types of regulations, and is likely to include consideration of</w:t>
      </w:r>
      <w:r w:rsidR="00001ACE">
        <w:rPr>
          <w:rFonts w:asciiTheme="minorHAnsi" w:hAnsiTheme="minorHAnsi"/>
        </w:rPr>
        <w:t>—</w:t>
      </w:r>
    </w:p>
    <w:p w:rsidR="00001ACE" w:rsidRPr="00142D66" w:rsidRDefault="00FF5AF5" w:rsidP="003A67E6">
      <w:pPr>
        <w:pStyle w:val="Style14ptJustified"/>
        <w:keepLines/>
        <w:numPr>
          <w:ilvl w:val="0"/>
          <w:numId w:val="12"/>
        </w:numPr>
        <w:spacing w:after="120" w:line="276" w:lineRule="auto"/>
        <w:jc w:val="left"/>
        <w:rPr>
          <w:rFonts w:ascii="Calibri" w:hAnsi="Calibri"/>
          <w:sz w:val="24"/>
          <w:szCs w:val="24"/>
        </w:rPr>
      </w:pPr>
      <w:r w:rsidRPr="00142D66">
        <w:rPr>
          <w:rFonts w:ascii="Calibri" w:hAnsi="Calibri"/>
          <w:sz w:val="24"/>
          <w:szCs w:val="24"/>
        </w:rPr>
        <w:t xml:space="preserve">different levels of service provision that are to be funded through fees; </w:t>
      </w:r>
    </w:p>
    <w:p w:rsidR="00001ACE" w:rsidRPr="00142D66" w:rsidRDefault="00FF5AF5" w:rsidP="003A67E6">
      <w:pPr>
        <w:pStyle w:val="Style14ptJustified"/>
        <w:keepLines/>
        <w:numPr>
          <w:ilvl w:val="0"/>
          <w:numId w:val="12"/>
        </w:numPr>
        <w:spacing w:after="120" w:line="276" w:lineRule="auto"/>
        <w:jc w:val="left"/>
        <w:rPr>
          <w:rFonts w:ascii="Calibri" w:hAnsi="Calibri"/>
          <w:sz w:val="24"/>
          <w:szCs w:val="24"/>
        </w:rPr>
      </w:pPr>
      <w:r w:rsidRPr="00142D66">
        <w:rPr>
          <w:rFonts w:ascii="Calibri" w:hAnsi="Calibri"/>
          <w:sz w:val="24"/>
          <w:szCs w:val="24"/>
        </w:rPr>
        <w:t xml:space="preserve">different types of fee structures; and </w:t>
      </w:r>
    </w:p>
    <w:p w:rsidR="00FF5AF5" w:rsidRPr="00001ACE" w:rsidRDefault="00FF5AF5" w:rsidP="003A67E6">
      <w:pPr>
        <w:pStyle w:val="ListParagraph"/>
        <w:numPr>
          <w:ilvl w:val="0"/>
          <w:numId w:val="10"/>
        </w:numPr>
        <w:spacing w:after="240" w:line="276" w:lineRule="auto"/>
        <w:rPr>
          <w:rFonts w:asciiTheme="minorHAnsi" w:hAnsiTheme="minorHAnsi"/>
        </w:rPr>
      </w:pPr>
      <w:proofErr w:type="gramStart"/>
      <w:r w:rsidRPr="00001ACE">
        <w:rPr>
          <w:rFonts w:asciiTheme="minorHAnsi" w:hAnsiTheme="minorHAnsi"/>
        </w:rPr>
        <w:t>different</w:t>
      </w:r>
      <w:proofErr w:type="gramEnd"/>
      <w:r w:rsidRPr="00001ACE">
        <w:rPr>
          <w:rFonts w:asciiTheme="minorHAnsi" w:hAnsiTheme="minorHAnsi"/>
        </w:rPr>
        <w:t xml:space="preserve"> levels of cost sharing. </w:t>
      </w:r>
    </w:p>
    <w:p w:rsidR="00F92E54" w:rsidRDefault="00F14F02" w:rsidP="001D160F">
      <w:pPr>
        <w:pStyle w:val="Style14ptJustified"/>
        <w:keepLines/>
        <w:spacing w:after="240" w:line="276" w:lineRule="auto"/>
        <w:jc w:val="left"/>
        <w:rPr>
          <w:rFonts w:ascii="Calibri" w:hAnsi="Calibri"/>
          <w:sz w:val="24"/>
          <w:szCs w:val="24"/>
        </w:rPr>
      </w:pPr>
      <w:r w:rsidRPr="00225B9C">
        <w:rPr>
          <w:rFonts w:ascii="Calibri" w:hAnsi="Calibri"/>
          <w:sz w:val="24"/>
          <w:szCs w:val="24"/>
        </w:rPr>
        <w:lastRenderedPageBreak/>
        <w:t>General government policy is that regulatory fees and user charges should be set on</w:t>
      </w:r>
      <w:r w:rsidR="00FB1005" w:rsidRPr="00225B9C">
        <w:rPr>
          <w:rFonts w:ascii="Calibri" w:hAnsi="Calibri"/>
          <w:sz w:val="24"/>
          <w:szCs w:val="24"/>
        </w:rPr>
        <w:t xml:space="preserve"> </w:t>
      </w:r>
      <w:r w:rsidRPr="00225B9C">
        <w:rPr>
          <w:rFonts w:ascii="Calibri" w:hAnsi="Calibri"/>
          <w:sz w:val="24"/>
          <w:szCs w:val="24"/>
        </w:rPr>
        <w:t>a full cost recovery basis because it ensures that both efficiency and equity</w:t>
      </w:r>
      <w:r w:rsidR="00FB1005" w:rsidRPr="00225B9C">
        <w:rPr>
          <w:rFonts w:ascii="Calibri" w:hAnsi="Calibri"/>
          <w:sz w:val="24"/>
          <w:szCs w:val="24"/>
        </w:rPr>
        <w:t xml:space="preserve"> </w:t>
      </w:r>
      <w:r w:rsidRPr="00225B9C">
        <w:rPr>
          <w:rFonts w:ascii="Calibri" w:hAnsi="Calibri"/>
          <w:sz w:val="24"/>
          <w:szCs w:val="24"/>
        </w:rPr>
        <w:t>objectives are met.</w:t>
      </w:r>
      <w:r w:rsidR="00ED2DEA">
        <w:rPr>
          <w:rFonts w:ascii="Calibri" w:hAnsi="Calibri"/>
          <w:sz w:val="24"/>
          <w:szCs w:val="24"/>
        </w:rPr>
        <w:t xml:space="preserve"> </w:t>
      </w:r>
    </w:p>
    <w:p w:rsidR="00BB0EAB" w:rsidRPr="00001337" w:rsidRDefault="00BB0EAB" w:rsidP="001D160F">
      <w:pPr>
        <w:pStyle w:val="Style14ptJustified"/>
        <w:keepLines/>
        <w:spacing w:after="240" w:line="276" w:lineRule="auto"/>
        <w:jc w:val="left"/>
        <w:rPr>
          <w:rFonts w:ascii="Calibri" w:hAnsi="Calibri"/>
          <w:sz w:val="24"/>
          <w:szCs w:val="24"/>
          <w:highlight w:val="yellow"/>
        </w:rPr>
      </w:pPr>
      <w:r w:rsidRPr="00350B52">
        <w:rPr>
          <w:rFonts w:ascii="Calibri" w:hAnsi="Calibri"/>
          <w:sz w:val="24"/>
          <w:szCs w:val="24"/>
        </w:rPr>
        <w:t xml:space="preserve">In this case, </w:t>
      </w:r>
      <w:r>
        <w:rPr>
          <w:rFonts w:ascii="Calibri" w:hAnsi="Calibri"/>
          <w:sz w:val="24"/>
          <w:szCs w:val="24"/>
        </w:rPr>
        <w:t>f</w:t>
      </w:r>
      <w:r w:rsidRPr="00C555B5">
        <w:rPr>
          <w:rFonts w:ascii="Calibri" w:hAnsi="Calibri"/>
          <w:sz w:val="24"/>
          <w:szCs w:val="24"/>
        </w:rPr>
        <w:t>u</w:t>
      </w:r>
      <w:r w:rsidRPr="00001337">
        <w:rPr>
          <w:rFonts w:ascii="Calibri" w:hAnsi="Calibri"/>
          <w:sz w:val="24"/>
          <w:szCs w:val="24"/>
        </w:rPr>
        <w:t xml:space="preserve">ll cost recovery </w:t>
      </w:r>
      <w:r w:rsidRPr="00C555B5">
        <w:rPr>
          <w:rFonts w:ascii="Calibri" w:hAnsi="Calibri"/>
          <w:sz w:val="24"/>
          <w:szCs w:val="24"/>
        </w:rPr>
        <w:t>will promote</w:t>
      </w:r>
      <w:r w:rsidRPr="00001337">
        <w:rPr>
          <w:rFonts w:ascii="Calibri" w:hAnsi="Calibri"/>
          <w:sz w:val="24"/>
          <w:szCs w:val="24"/>
        </w:rPr>
        <w:t xml:space="preserve"> the efficient allocation of </w:t>
      </w:r>
      <w:r w:rsidRPr="00C555B5">
        <w:rPr>
          <w:rFonts w:ascii="Calibri" w:hAnsi="Calibri"/>
          <w:sz w:val="24"/>
          <w:szCs w:val="24"/>
        </w:rPr>
        <w:t xml:space="preserve">SRO </w:t>
      </w:r>
      <w:r w:rsidRPr="00001337">
        <w:rPr>
          <w:rFonts w:ascii="Calibri" w:hAnsi="Calibri"/>
          <w:sz w:val="24"/>
          <w:szCs w:val="24"/>
        </w:rPr>
        <w:t xml:space="preserve">resources by sending the appropriate price signals about the value of the resources being used in the provision of </w:t>
      </w:r>
      <w:r w:rsidRPr="00C555B5">
        <w:rPr>
          <w:rFonts w:ascii="Calibri" w:hAnsi="Calibri"/>
          <w:sz w:val="24"/>
          <w:szCs w:val="24"/>
        </w:rPr>
        <w:t>land tax clearance certificates</w:t>
      </w:r>
      <w:r w:rsidRPr="00001337">
        <w:rPr>
          <w:rFonts w:ascii="Calibri" w:hAnsi="Calibri"/>
          <w:sz w:val="24"/>
          <w:szCs w:val="24"/>
        </w:rPr>
        <w:t xml:space="preserve">. </w:t>
      </w:r>
      <w:r>
        <w:rPr>
          <w:rFonts w:ascii="Calibri" w:hAnsi="Calibri"/>
          <w:sz w:val="24"/>
          <w:szCs w:val="24"/>
        </w:rPr>
        <w:t xml:space="preserve">Further, it </w:t>
      </w:r>
      <w:r w:rsidRPr="00C555B5">
        <w:rPr>
          <w:rFonts w:ascii="Calibri" w:hAnsi="Calibri"/>
          <w:sz w:val="24"/>
          <w:szCs w:val="24"/>
        </w:rPr>
        <w:t>will</w:t>
      </w:r>
      <w:r w:rsidRPr="00001337">
        <w:rPr>
          <w:rFonts w:ascii="Calibri" w:hAnsi="Calibri"/>
          <w:sz w:val="24"/>
          <w:szCs w:val="24"/>
        </w:rPr>
        <w:t xml:space="preserve"> ensure that those </w:t>
      </w:r>
      <w:r w:rsidRPr="00C555B5">
        <w:rPr>
          <w:rFonts w:ascii="Calibri" w:hAnsi="Calibri"/>
          <w:sz w:val="24"/>
          <w:szCs w:val="24"/>
        </w:rPr>
        <w:t>who benefit</w:t>
      </w:r>
      <w:r w:rsidRPr="00001337">
        <w:rPr>
          <w:rFonts w:ascii="Calibri" w:hAnsi="Calibri"/>
          <w:sz w:val="24"/>
          <w:szCs w:val="24"/>
        </w:rPr>
        <w:t xml:space="preserve"> from </w:t>
      </w:r>
      <w:r w:rsidRPr="00C555B5">
        <w:rPr>
          <w:rFonts w:ascii="Calibri" w:hAnsi="Calibri"/>
          <w:sz w:val="24"/>
          <w:szCs w:val="24"/>
        </w:rPr>
        <w:t>the provision of a clearance certificate</w:t>
      </w:r>
      <w:r w:rsidRPr="00001337">
        <w:rPr>
          <w:rFonts w:ascii="Calibri" w:hAnsi="Calibri"/>
          <w:sz w:val="24"/>
          <w:szCs w:val="24"/>
        </w:rPr>
        <w:t xml:space="preserve"> </w:t>
      </w:r>
      <w:r w:rsidRPr="00C555B5">
        <w:rPr>
          <w:rFonts w:ascii="Calibri" w:hAnsi="Calibri"/>
          <w:sz w:val="24"/>
          <w:szCs w:val="24"/>
        </w:rPr>
        <w:t>pay the associated cost.</w:t>
      </w:r>
      <w:r w:rsidRPr="00001337">
        <w:rPr>
          <w:rFonts w:ascii="Calibri" w:hAnsi="Calibri"/>
          <w:sz w:val="24"/>
          <w:szCs w:val="24"/>
        </w:rPr>
        <w:t xml:space="preserve"> Those parties </w:t>
      </w:r>
      <w:r w:rsidRPr="00C555B5">
        <w:rPr>
          <w:rFonts w:ascii="Calibri" w:hAnsi="Calibri"/>
          <w:sz w:val="24"/>
          <w:szCs w:val="24"/>
        </w:rPr>
        <w:t>who</w:t>
      </w:r>
      <w:r w:rsidRPr="00001337">
        <w:rPr>
          <w:rFonts w:ascii="Calibri" w:hAnsi="Calibri"/>
          <w:sz w:val="24"/>
          <w:szCs w:val="24"/>
        </w:rPr>
        <w:t xml:space="preserve"> do not benefit </w:t>
      </w:r>
      <w:r w:rsidRPr="00C555B5">
        <w:rPr>
          <w:rFonts w:ascii="Calibri" w:hAnsi="Calibri"/>
          <w:sz w:val="24"/>
          <w:szCs w:val="24"/>
        </w:rPr>
        <w:t>should</w:t>
      </w:r>
      <w:r w:rsidRPr="00001337">
        <w:rPr>
          <w:rFonts w:ascii="Calibri" w:hAnsi="Calibri"/>
          <w:sz w:val="24"/>
          <w:szCs w:val="24"/>
        </w:rPr>
        <w:t xml:space="preserve"> not have to bear the costs. </w:t>
      </w:r>
    </w:p>
    <w:p w:rsidR="00BB0EAB" w:rsidRDefault="006A653D" w:rsidP="001D160F">
      <w:pPr>
        <w:pStyle w:val="Style14ptJustified"/>
        <w:keepLines/>
        <w:spacing w:after="240" w:line="276" w:lineRule="auto"/>
        <w:jc w:val="left"/>
        <w:rPr>
          <w:rFonts w:ascii="Calibri" w:hAnsi="Calibri"/>
          <w:sz w:val="24"/>
          <w:szCs w:val="24"/>
        </w:rPr>
      </w:pPr>
      <w:r>
        <w:rPr>
          <w:rFonts w:ascii="Calibri" w:hAnsi="Calibri"/>
          <w:sz w:val="24"/>
          <w:szCs w:val="24"/>
        </w:rPr>
        <w:t>A</w:t>
      </w:r>
      <w:r w:rsidR="00BB0EAB" w:rsidRPr="00350B52">
        <w:rPr>
          <w:rFonts w:ascii="Calibri" w:hAnsi="Calibri"/>
          <w:sz w:val="24"/>
          <w:szCs w:val="24"/>
        </w:rPr>
        <w:t xml:space="preserve"> departure from full cost-recovery would</w:t>
      </w:r>
      <w:r w:rsidR="00BB0EAB">
        <w:rPr>
          <w:rFonts w:ascii="Calibri" w:hAnsi="Calibri"/>
          <w:sz w:val="24"/>
          <w:szCs w:val="24"/>
        </w:rPr>
        <w:t xml:space="preserve"> </w:t>
      </w:r>
      <w:r w:rsidR="00BB0EAB" w:rsidRPr="00350B52">
        <w:rPr>
          <w:rFonts w:ascii="Calibri" w:hAnsi="Calibri"/>
          <w:sz w:val="24"/>
          <w:szCs w:val="24"/>
        </w:rPr>
        <w:t xml:space="preserve">result in the Victorian community providing a subsidy to </w:t>
      </w:r>
      <w:r w:rsidR="00BB0EAB">
        <w:rPr>
          <w:rFonts w:ascii="Calibri" w:hAnsi="Calibri"/>
          <w:sz w:val="24"/>
          <w:szCs w:val="24"/>
        </w:rPr>
        <w:t xml:space="preserve">land owners and purchasers </w:t>
      </w:r>
      <w:r w:rsidR="00BB0EAB" w:rsidRPr="00350B52">
        <w:rPr>
          <w:rFonts w:ascii="Calibri" w:hAnsi="Calibri"/>
          <w:sz w:val="24"/>
          <w:szCs w:val="24"/>
        </w:rPr>
        <w:t xml:space="preserve">who </w:t>
      </w:r>
      <w:r w:rsidR="00BB0EAB">
        <w:rPr>
          <w:rFonts w:ascii="Calibri" w:hAnsi="Calibri"/>
          <w:sz w:val="24"/>
          <w:szCs w:val="24"/>
        </w:rPr>
        <w:t>apply to the SRO for a land tax clearance certificate</w:t>
      </w:r>
      <w:r w:rsidR="00841201">
        <w:rPr>
          <w:rFonts w:ascii="Calibri" w:hAnsi="Calibri"/>
          <w:sz w:val="24"/>
          <w:szCs w:val="24"/>
        </w:rPr>
        <w:t xml:space="preserve">. </w:t>
      </w:r>
    </w:p>
    <w:p w:rsidR="00F33C8E" w:rsidRPr="00F33C8E" w:rsidRDefault="00F33C8E" w:rsidP="00142D66">
      <w:pPr>
        <w:pStyle w:val="Style14ptJustified"/>
        <w:keepLines/>
        <w:spacing w:after="120" w:line="276" w:lineRule="auto"/>
        <w:jc w:val="left"/>
        <w:rPr>
          <w:rFonts w:ascii="Calibri" w:hAnsi="Calibri"/>
          <w:sz w:val="24"/>
          <w:szCs w:val="24"/>
        </w:rPr>
      </w:pPr>
      <w:r w:rsidRPr="00F33C8E">
        <w:rPr>
          <w:rFonts w:ascii="Calibri" w:hAnsi="Calibri"/>
          <w:sz w:val="24"/>
          <w:szCs w:val="24"/>
        </w:rPr>
        <w:t xml:space="preserve">The Cost Recovery Guidelines list some reasons why </w:t>
      </w:r>
      <w:r>
        <w:rPr>
          <w:rFonts w:ascii="Calibri" w:hAnsi="Calibri"/>
          <w:sz w:val="24"/>
          <w:szCs w:val="24"/>
        </w:rPr>
        <w:t xml:space="preserve">divergence from </w:t>
      </w:r>
      <w:r w:rsidRPr="00F33C8E">
        <w:rPr>
          <w:rFonts w:ascii="Calibri" w:hAnsi="Calibri"/>
          <w:sz w:val="24"/>
          <w:szCs w:val="24"/>
        </w:rPr>
        <w:t>full cost r</w:t>
      </w:r>
      <w:r>
        <w:rPr>
          <w:rFonts w:ascii="Calibri" w:hAnsi="Calibri"/>
          <w:sz w:val="24"/>
          <w:szCs w:val="24"/>
        </w:rPr>
        <w:t xml:space="preserve">ecovery may be </w:t>
      </w:r>
      <w:r w:rsidRPr="00F33C8E">
        <w:rPr>
          <w:rFonts w:ascii="Calibri" w:hAnsi="Calibri"/>
          <w:sz w:val="24"/>
          <w:szCs w:val="24"/>
        </w:rPr>
        <w:t>desirable</w:t>
      </w:r>
      <w:r>
        <w:rPr>
          <w:rFonts w:ascii="Calibri" w:hAnsi="Calibri"/>
          <w:sz w:val="24"/>
          <w:szCs w:val="24"/>
        </w:rPr>
        <w:t xml:space="preserve"> or justified</w:t>
      </w:r>
      <w:r w:rsidRPr="00F33C8E">
        <w:rPr>
          <w:rFonts w:ascii="Calibri" w:hAnsi="Calibri"/>
          <w:sz w:val="24"/>
          <w:szCs w:val="24"/>
        </w:rPr>
        <w:t>,</w:t>
      </w:r>
      <w:r>
        <w:rPr>
          <w:rFonts w:ascii="Calibri" w:hAnsi="Calibri"/>
          <w:sz w:val="24"/>
          <w:szCs w:val="24"/>
        </w:rPr>
        <w:t xml:space="preserve"> </w:t>
      </w:r>
      <w:r w:rsidRPr="00F33C8E">
        <w:rPr>
          <w:rFonts w:ascii="Calibri" w:hAnsi="Calibri"/>
          <w:sz w:val="24"/>
          <w:szCs w:val="24"/>
        </w:rPr>
        <w:t>including:</w:t>
      </w:r>
    </w:p>
    <w:p w:rsidR="00F33C8E" w:rsidRPr="00F33C8E" w:rsidRDefault="00F33C8E" w:rsidP="003A67E6">
      <w:pPr>
        <w:pStyle w:val="Style14ptJustified"/>
        <w:keepLines/>
        <w:numPr>
          <w:ilvl w:val="0"/>
          <w:numId w:val="12"/>
        </w:numPr>
        <w:spacing w:after="120" w:line="276" w:lineRule="auto"/>
        <w:jc w:val="left"/>
        <w:rPr>
          <w:rFonts w:ascii="Calibri" w:hAnsi="Calibri"/>
          <w:sz w:val="24"/>
          <w:szCs w:val="24"/>
        </w:rPr>
      </w:pPr>
      <w:r w:rsidRPr="00F33C8E">
        <w:rPr>
          <w:rFonts w:ascii="Calibri" w:hAnsi="Calibri"/>
          <w:sz w:val="24"/>
          <w:szCs w:val="24"/>
        </w:rPr>
        <w:t xml:space="preserve">practical implementation issues </w:t>
      </w:r>
      <w:r>
        <w:rPr>
          <w:rFonts w:ascii="Calibri" w:hAnsi="Calibri"/>
          <w:sz w:val="24"/>
          <w:szCs w:val="24"/>
        </w:rPr>
        <w:t xml:space="preserve">that </w:t>
      </w:r>
      <w:r w:rsidRPr="00F33C8E">
        <w:rPr>
          <w:rFonts w:ascii="Calibri" w:hAnsi="Calibri"/>
          <w:sz w:val="24"/>
          <w:szCs w:val="24"/>
        </w:rPr>
        <w:t>make cost recovery infeasible</w:t>
      </w:r>
      <w:r>
        <w:rPr>
          <w:rFonts w:ascii="Calibri" w:hAnsi="Calibri"/>
          <w:sz w:val="24"/>
          <w:szCs w:val="24"/>
        </w:rPr>
        <w:t>;</w:t>
      </w:r>
    </w:p>
    <w:p w:rsidR="00F33C8E" w:rsidRPr="00F33C8E" w:rsidRDefault="00F33C8E" w:rsidP="003A67E6">
      <w:pPr>
        <w:pStyle w:val="Style14ptJustified"/>
        <w:keepLines/>
        <w:numPr>
          <w:ilvl w:val="0"/>
          <w:numId w:val="12"/>
        </w:numPr>
        <w:spacing w:after="120" w:line="276" w:lineRule="auto"/>
        <w:jc w:val="left"/>
        <w:rPr>
          <w:rFonts w:ascii="Calibri" w:hAnsi="Calibri"/>
          <w:sz w:val="24"/>
          <w:szCs w:val="24"/>
        </w:rPr>
      </w:pPr>
      <w:r w:rsidRPr="00F33C8E">
        <w:rPr>
          <w:rFonts w:ascii="Calibri" w:hAnsi="Calibri"/>
          <w:sz w:val="24"/>
          <w:szCs w:val="24"/>
        </w:rPr>
        <w:t>there are benefits to unrelated third parties</w:t>
      </w:r>
      <w:r>
        <w:rPr>
          <w:rFonts w:ascii="Calibri" w:hAnsi="Calibri"/>
          <w:sz w:val="24"/>
          <w:szCs w:val="24"/>
        </w:rPr>
        <w:t>;</w:t>
      </w:r>
    </w:p>
    <w:p w:rsidR="00F33C8E" w:rsidRPr="00F33C8E" w:rsidRDefault="00F33C8E" w:rsidP="003A67E6">
      <w:pPr>
        <w:pStyle w:val="Style14ptJustified"/>
        <w:keepLines/>
        <w:numPr>
          <w:ilvl w:val="0"/>
          <w:numId w:val="12"/>
        </w:numPr>
        <w:spacing w:after="120" w:line="276" w:lineRule="auto"/>
        <w:jc w:val="left"/>
        <w:rPr>
          <w:rFonts w:ascii="Calibri" w:hAnsi="Calibri"/>
          <w:sz w:val="24"/>
          <w:szCs w:val="24"/>
        </w:rPr>
      </w:pPr>
      <w:r w:rsidRPr="00F33C8E">
        <w:rPr>
          <w:rFonts w:ascii="Calibri" w:hAnsi="Calibri"/>
          <w:sz w:val="24"/>
          <w:szCs w:val="24"/>
        </w:rPr>
        <w:t>social policy or vertical equity considerations outweigh efficiency objectives</w:t>
      </w:r>
      <w:r>
        <w:rPr>
          <w:rFonts w:ascii="Calibri" w:hAnsi="Calibri"/>
          <w:sz w:val="24"/>
          <w:szCs w:val="24"/>
        </w:rPr>
        <w:t>;</w:t>
      </w:r>
    </w:p>
    <w:p w:rsidR="00941AA4" w:rsidRPr="00F33C8E" w:rsidRDefault="00F33C8E" w:rsidP="003A67E6">
      <w:pPr>
        <w:pStyle w:val="Style14ptJustified"/>
        <w:keepLines/>
        <w:numPr>
          <w:ilvl w:val="0"/>
          <w:numId w:val="12"/>
        </w:numPr>
        <w:spacing w:after="240" w:line="276" w:lineRule="auto"/>
        <w:jc w:val="left"/>
        <w:rPr>
          <w:rFonts w:ascii="Calibri" w:hAnsi="Calibri"/>
          <w:sz w:val="24"/>
          <w:szCs w:val="24"/>
        </w:rPr>
      </w:pPr>
      <w:proofErr w:type="gramStart"/>
      <w:r w:rsidRPr="00F33C8E">
        <w:rPr>
          <w:rFonts w:ascii="Calibri" w:hAnsi="Calibri"/>
          <w:sz w:val="24"/>
          <w:szCs w:val="24"/>
        </w:rPr>
        <w:t>full</w:t>
      </w:r>
      <w:proofErr w:type="gramEnd"/>
      <w:r w:rsidRPr="00F33C8E">
        <w:rPr>
          <w:rFonts w:ascii="Calibri" w:hAnsi="Calibri"/>
          <w:sz w:val="24"/>
          <w:szCs w:val="24"/>
        </w:rPr>
        <w:t xml:space="preserve"> cost-recovery might adversely affect the achievement of other policy objectives.</w:t>
      </w:r>
    </w:p>
    <w:p w:rsidR="00122498" w:rsidRPr="00F33C8E" w:rsidRDefault="00122498" w:rsidP="00F33C8E">
      <w:pPr>
        <w:pStyle w:val="Style14ptJustified"/>
        <w:keepLines/>
        <w:spacing w:after="240" w:line="276" w:lineRule="auto"/>
        <w:jc w:val="left"/>
        <w:rPr>
          <w:rFonts w:ascii="Calibri" w:hAnsi="Calibri"/>
          <w:sz w:val="24"/>
          <w:szCs w:val="24"/>
        </w:rPr>
      </w:pPr>
      <w:r>
        <w:rPr>
          <w:rFonts w:ascii="Calibri" w:hAnsi="Calibri"/>
          <w:sz w:val="24"/>
          <w:szCs w:val="24"/>
        </w:rPr>
        <w:t>In relation to the setting of land tax clearance certificate fees, n</w:t>
      </w:r>
      <w:r w:rsidR="00F33C8E" w:rsidRPr="00F33C8E">
        <w:rPr>
          <w:rFonts w:ascii="Calibri" w:hAnsi="Calibri"/>
          <w:sz w:val="24"/>
          <w:szCs w:val="24"/>
        </w:rPr>
        <w:t>one of these circumstances exist</w:t>
      </w:r>
      <w:r>
        <w:rPr>
          <w:rFonts w:ascii="Calibri" w:hAnsi="Calibri"/>
          <w:sz w:val="24"/>
          <w:szCs w:val="24"/>
        </w:rPr>
        <w:t>. The purpose of a</w:t>
      </w:r>
      <w:r w:rsidR="00F33C8E" w:rsidRPr="00F33C8E">
        <w:rPr>
          <w:rFonts w:ascii="Calibri" w:hAnsi="Calibri"/>
          <w:sz w:val="24"/>
          <w:szCs w:val="24"/>
        </w:rPr>
        <w:t xml:space="preserve"> </w:t>
      </w:r>
      <w:r>
        <w:rPr>
          <w:rFonts w:ascii="Calibri" w:hAnsi="Calibri"/>
          <w:sz w:val="24"/>
          <w:szCs w:val="24"/>
        </w:rPr>
        <w:t xml:space="preserve">land tax clearance certificate </w:t>
      </w:r>
      <w:r w:rsidR="00F33C8E" w:rsidRPr="00F33C8E">
        <w:rPr>
          <w:rFonts w:ascii="Calibri" w:hAnsi="Calibri"/>
          <w:sz w:val="24"/>
          <w:szCs w:val="24"/>
        </w:rPr>
        <w:t xml:space="preserve">is to assist </w:t>
      </w:r>
      <w:r>
        <w:rPr>
          <w:rFonts w:ascii="Calibri" w:hAnsi="Calibri"/>
          <w:sz w:val="24"/>
          <w:szCs w:val="24"/>
        </w:rPr>
        <w:t>vendors</w:t>
      </w:r>
      <w:r w:rsidR="00F33C8E" w:rsidRPr="00F33C8E">
        <w:rPr>
          <w:rFonts w:ascii="Calibri" w:hAnsi="Calibri"/>
          <w:sz w:val="24"/>
          <w:szCs w:val="24"/>
        </w:rPr>
        <w:t xml:space="preserve"> and </w:t>
      </w:r>
      <w:r>
        <w:rPr>
          <w:rFonts w:ascii="Calibri" w:hAnsi="Calibri"/>
          <w:sz w:val="24"/>
          <w:szCs w:val="24"/>
        </w:rPr>
        <w:t>purchasers of land. It is not intended to serve a significant public benefit and therefore</w:t>
      </w:r>
      <w:r w:rsidR="00AC254C">
        <w:rPr>
          <w:rFonts w:ascii="Calibri" w:hAnsi="Calibri"/>
          <w:sz w:val="24"/>
          <w:szCs w:val="24"/>
        </w:rPr>
        <w:t xml:space="preserve"> the SRO considers that</w:t>
      </w:r>
      <w:r>
        <w:rPr>
          <w:rFonts w:ascii="Calibri" w:hAnsi="Calibri"/>
          <w:sz w:val="24"/>
          <w:szCs w:val="24"/>
        </w:rPr>
        <w:t xml:space="preserve"> </w:t>
      </w:r>
      <w:r w:rsidR="00F33C8E" w:rsidRPr="00F33C8E">
        <w:rPr>
          <w:rFonts w:ascii="Calibri" w:hAnsi="Calibri"/>
          <w:sz w:val="24"/>
          <w:szCs w:val="24"/>
        </w:rPr>
        <w:t>applicants should be required to pay a fee that reflects the costs of the services</w:t>
      </w:r>
      <w:r w:rsidR="00F33C8E">
        <w:rPr>
          <w:rFonts w:ascii="Calibri" w:hAnsi="Calibri"/>
          <w:sz w:val="24"/>
          <w:szCs w:val="24"/>
        </w:rPr>
        <w:t xml:space="preserve"> </w:t>
      </w:r>
      <w:r w:rsidR="00F33C8E" w:rsidRPr="00F33C8E">
        <w:rPr>
          <w:rFonts w:ascii="Calibri" w:hAnsi="Calibri"/>
          <w:sz w:val="24"/>
          <w:szCs w:val="24"/>
        </w:rPr>
        <w:t>being performed</w:t>
      </w:r>
      <w:r w:rsidR="00F33C8E">
        <w:rPr>
          <w:rFonts w:ascii="Calibri" w:hAnsi="Calibri"/>
          <w:sz w:val="24"/>
          <w:szCs w:val="24"/>
        </w:rPr>
        <w:t>.</w:t>
      </w:r>
      <w:r>
        <w:rPr>
          <w:rFonts w:ascii="Calibri" w:hAnsi="Calibri"/>
          <w:sz w:val="24"/>
          <w:szCs w:val="24"/>
        </w:rPr>
        <w:t xml:space="preserve"> </w:t>
      </w:r>
    </w:p>
    <w:p w:rsidR="00C50096" w:rsidRDefault="00841201" w:rsidP="001D160F">
      <w:pPr>
        <w:pStyle w:val="Style14ptJustified"/>
        <w:keepLines/>
        <w:spacing w:after="240" w:line="276" w:lineRule="auto"/>
        <w:jc w:val="left"/>
        <w:rPr>
          <w:rFonts w:ascii="Calibri" w:hAnsi="Calibri"/>
          <w:sz w:val="24"/>
          <w:szCs w:val="24"/>
        </w:rPr>
      </w:pPr>
      <w:r w:rsidRPr="00BE265F">
        <w:rPr>
          <w:rFonts w:ascii="Calibri" w:hAnsi="Calibri"/>
          <w:sz w:val="24"/>
          <w:szCs w:val="24"/>
        </w:rPr>
        <w:t>In considering the fee options available</w:t>
      </w:r>
      <w:r w:rsidR="00C25EA4" w:rsidRPr="00BE265F">
        <w:rPr>
          <w:rFonts w:ascii="Calibri" w:hAnsi="Calibri"/>
          <w:sz w:val="24"/>
          <w:szCs w:val="24"/>
        </w:rPr>
        <w:t xml:space="preserve"> for land tax clearance </w:t>
      </w:r>
      <w:r w:rsidR="00BE265F" w:rsidRPr="00BE265F">
        <w:rPr>
          <w:rFonts w:ascii="Calibri" w:hAnsi="Calibri"/>
          <w:sz w:val="24"/>
          <w:szCs w:val="24"/>
        </w:rPr>
        <w:t>certificates,</w:t>
      </w:r>
      <w:r w:rsidRPr="00BE265F">
        <w:rPr>
          <w:rFonts w:ascii="Calibri" w:hAnsi="Calibri"/>
          <w:sz w:val="24"/>
          <w:szCs w:val="24"/>
        </w:rPr>
        <w:t xml:space="preserve"> the SRO has </w:t>
      </w:r>
      <w:r w:rsidR="00C25EA4" w:rsidRPr="00BE265F">
        <w:rPr>
          <w:rFonts w:ascii="Calibri" w:hAnsi="Calibri"/>
          <w:sz w:val="24"/>
          <w:szCs w:val="24"/>
        </w:rPr>
        <w:t>primarily considered the different types of fee structures available</w:t>
      </w:r>
      <w:r w:rsidR="00E00495" w:rsidRPr="00BE265F">
        <w:rPr>
          <w:rFonts w:ascii="Calibri" w:hAnsi="Calibri"/>
          <w:sz w:val="24"/>
          <w:szCs w:val="24"/>
        </w:rPr>
        <w:t xml:space="preserve"> and </w:t>
      </w:r>
      <w:r w:rsidR="00C25EA4" w:rsidRPr="00BE265F">
        <w:rPr>
          <w:rFonts w:ascii="Calibri" w:hAnsi="Calibri"/>
          <w:sz w:val="24"/>
          <w:szCs w:val="24"/>
        </w:rPr>
        <w:t>levels of cost sharing</w:t>
      </w:r>
      <w:r w:rsidRPr="00BE265F">
        <w:rPr>
          <w:rFonts w:ascii="Calibri" w:hAnsi="Calibri"/>
          <w:sz w:val="24"/>
          <w:szCs w:val="24"/>
        </w:rPr>
        <w:t xml:space="preserve">.  </w:t>
      </w:r>
      <w:r w:rsidR="00C10B54" w:rsidRPr="00BE265F">
        <w:rPr>
          <w:rFonts w:ascii="Calibri" w:hAnsi="Calibri"/>
          <w:sz w:val="24"/>
          <w:szCs w:val="24"/>
        </w:rPr>
        <w:t>These factors are discussed in the following sections.</w:t>
      </w:r>
    </w:p>
    <w:p w:rsidR="00841201" w:rsidRPr="006326F6" w:rsidRDefault="00073305" w:rsidP="001D160F">
      <w:pPr>
        <w:pStyle w:val="Heading2"/>
        <w:spacing w:before="0" w:after="240" w:line="276" w:lineRule="auto"/>
        <w:rPr>
          <w:rFonts w:asciiTheme="minorHAnsi" w:eastAsia="Times New Roman" w:hAnsiTheme="minorHAnsi" w:cs="Times New Roman"/>
          <w:i/>
          <w:color w:val="auto"/>
          <w:sz w:val="24"/>
          <w:szCs w:val="22"/>
        </w:rPr>
      </w:pPr>
      <w:bookmarkStart w:id="15" w:name="_Toc432510186"/>
      <w:r w:rsidRPr="006326F6">
        <w:rPr>
          <w:rFonts w:asciiTheme="minorHAnsi" w:eastAsia="Times New Roman" w:hAnsiTheme="minorHAnsi" w:cs="Times New Roman"/>
          <w:i/>
          <w:color w:val="auto"/>
          <w:sz w:val="24"/>
          <w:szCs w:val="22"/>
        </w:rPr>
        <w:t xml:space="preserve">6.3.1. </w:t>
      </w:r>
      <w:r w:rsidR="00CB3271" w:rsidRPr="006326F6">
        <w:rPr>
          <w:rFonts w:asciiTheme="minorHAnsi" w:eastAsia="Times New Roman" w:hAnsiTheme="minorHAnsi" w:cs="Times New Roman"/>
          <w:i/>
          <w:color w:val="auto"/>
          <w:sz w:val="24"/>
          <w:szCs w:val="22"/>
        </w:rPr>
        <w:tab/>
      </w:r>
      <w:r w:rsidR="0056021B">
        <w:rPr>
          <w:rFonts w:asciiTheme="minorHAnsi" w:eastAsia="Times New Roman" w:hAnsiTheme="minorHAnsi" w:cs="Times New Roman"/>
          <w:i/>
          <w:color w:val="auto"/>
          <w:sz w:val="24"/>
          <w:szCs w:val="22"/>
        </w:rPr>
        <w:t xml:space="preserve">Options relating to </w:t>
      </w:r>
      <w:r w:rsidR="009D097D">
        <w:rPr>
          <w:rFonts w:asciiTheme="minorHAnsi" w:eastAsia="Times New Roman" w:hAnsiTheme="minorHAnsi" w:cs="Times New Roman"/>
          <w:i/>
          <w:color w:val="auto"/>
          <w:sz w:val="24"/>
          <w:szCs w:val="22"/>
        </w:rPr>
        <w:t xml:space="preserve">the </w:t>
      </w:r>
      <w:r w:rsidR="0056021B">
        <w:rPr>
          <w:rFonts w:asciiTheme="minorHAnsi" w:eastAsia="Times New Roman" w:hAnsiTheme="minorHAnsi" w:cs="Times New Roman"/>
          <w:i/>
          <w:color w:val="auto"/>
          <w:sz w:val="24"/>
          <w:szCs w:val="22"/>
        </w:rPr>
        <w:t>s</w:t>
      </w:r>
      <w:r w:rsidR="00841201" w:rsidRPr="006326F6">
        <w:rPr>
          <w:rFonts w:asciiTheme="minorHAnsi" w:eastAsia="Times New Roman" w:hAnsiTheme="minorHAnsi" w:cs="Times New Roman"/>
          <w:i/>
          <w:color w:val="auto"/>
          <w:sz w:val="24"/>
          <w:szCs w:val="22"/>
        </w:rPr>
        <w:t>tructure of the application fee</w:t>
      </w:r>
      <w:bookmarkEnd w:id="15"/>
      <w:r w:rsidR="00841201" w:rsidRPr="006326F6">
        <w:rPr>
          <w:rFonts w:asciiTheme="minorHAnsi" w:eastAsia="Times New Roman" w:hAnsiTheme="minorHAnsi" w:cs="Times New Roman"/>
          <w:i/>
          <w:color w:val="auto"/>
          <w:sz w:val="24"/>
          <w:szCs w:val="22"/>
        </w:rPr>
        <w:t xml:space="preserve"> </w:t>
      </w:r>
    </w:p>
    <w:p w:rsidR="009D097D" w:rsidRPr="00E16E07" w:rsidRDefault="009D097D" w:rsidP="009D097D">
      <w:pPr>
        <w:spacing w:after="240" w:line="276" w:lineRule="auto"/>
        <w:rPr>
          <w:rFonts w:asciiTheme="minorHAnsi" w:hAnsiTheme="minorHAnsi"/>
        </w:rPr>
      </w:pPr>
      <w:r w:rsidRPr="00E16E07">
        <w:rPr>
          <w:rFonts w:asciiTheme="minorHAnsi" w:hAnsiTheme="minorHAnsi"/>
        </w:rPr>
        <w:t xml:space="preserve">In some cases it can be desirable to impose different fees for different levels of service. This may allow a greater degree of equity as it can ensure that applicants for more complicated </w:t>
      </w:r>
      <w:r>
        <w:rPr>
          <w:rFonts w:asciiTheme="minorHAnsi" w:hAnsiTheme="minorHAnsi"/>
        </w:rPr>
        <w:t xml:space="preserve">or time consuming </w:t>
      </w:r>
      <w:r w:rsidRPr="00E16E07">
        <w:rPr>
          <w:rFonts w:asciiTheme="minorHAnsi" w:hAnsiTheme="minorHAnsi"/>
        </w:rPr>
        <w:t xml:space="preserve">services pay the higher costs </w:t>
      </w:r>
      <w:r>
        <w:rPr>
          <w:rFonts w:asciiTheme="minorHAnsi" w:hAnsiTheme="minorHAnsi"/>
        </w:rPr>
        <w:t>associated with</w:t>
      </w:r>
      <w:r w:rsidRPr="00E16E07">
        <w:rPr>
          <w:rFonts w:asciiTheme="minorHAnsi" w:hAnsiTheme="minorHAnsi"/>
        </w:rPr>
        <w:t xml:space="preserve"> those services.</w:t>
      </w:r>
    </w:p>
    <w:p w:rsidR="009D097D" w:rsidRPr="00E16E07" w:rsidRDefault="009D097D" w:rsidP="009D097D">
      <w:pPr>
        <w:spacing w:after="240" w:line="276" w:lineRule="auto"/>
        <w:rPr>
          <w:rFonts w:asciiTheme="minorHAnsi" w:hAnsiTheme="minorHAnsi"/>
        </w:rPr>
      </w:pPr>
      <w:r w:rsidRPr="00E16E07">
        <w:rPr>
          <w:rFonts w:asciiTheme="minorHAnsi" w:hAnsiTheme="minorHAnsi"/>
        </w:rPr>
        <w:t>In the case of land tax clearance certificates, there is little scope to distinguish between types of applications for what is a relatively simple process. However, during the preparation of this RIS, the SRO noted that there are variations between the costs of processing paper applications and online applications</w:t>
      </w:r>
      <w:r>
        <w:rPr>
          <w:rFonts w:asciiTheme="minorHAnsi" w:hAnsiTheme="minorHAnsi"/>
        </w:rPr>
        <w:t xml:space="preserve">, as well as variations in the costs of online applications </w:t>
      </w:r>
      <w:r w:rsidRPr="00E16E07">
        <w:rPr>
          <w:rFonts w:asciiTheme="minorHAnsi" w:hAnsiTheme="minorHAnsi"/>
        </w:rPr>
        <w:t xml:space="preserve">which are fully automated and those </w:t>
      </w:r>
      <w:r>
        <w:rPr>
          <w:rFonts w:asciiTheme="minorHAnsi" w:hAnsiTheme="minorHAnsi"/>
        </w:rPr>
        <w:t>which require manual input</w:t>
      </w:r>
      <w:r w:rsidRPr="00E16E07">
        <w:rPr>
          <w:rFonts w:asciiTheme="minorHAnsi" w:hAnsiTheme="minorHAnsi"/>
        </w:rPr>
        <w:t xml:space="preserve">. These </w:t>
      </w:r>
      <w:r>
        <w:rPr>
          <w:rFonts w:asciiTheme="minorHAnsi" w:hAnsiTheme="minorHAnsi"/>
        </w:rPr>
        <w:t xml:space="preserve">cost </w:t>
      </w:r>
      <w:r w:rsidRPr="00E16E07">
        <w:rPr>
          <w:rFonts w:asciiTheme="minorHAnsi" w:hAnsiTheme="minorHAnsi"/>
        </w:rPr>
        <w:t xml:space="preserve">differences are </w:t>
      </w:r>
      <w:r>
        <w:rPr>
          <w:rFonts w:asciiTheme="minorHAnsi" w:hAnsiTheme="minorHAnsi"/>
        </w:rPr>
        <w:t xml:space="preserve">primarily </w:t>
      </w:r>
      <w:r w:rsidRPr="00E16E07">
        <w:rPr>
          <w:rFonts w:asciiTheme="minorHAnsi" w:hAnsiTheme="minorHAnsi"/>
        </w:rPr>
        <w:t xml:space="preserve">reflected in the time taken to process the </w:t>
      </w:r>
      <w:r>
        <w:rPr>
          <w:rFonts w:asciiTheme="minorHAnsi" w:hAnsiTheme="minorHAnsi"/>
        </w:rPr>
        <w:t xml:space="preserve">various </w:t>
      </w:r>
      <w:r w:rsidRPr="00E16E07">
        <w:rPr>
          <w:rFonts w:asciiTheme="minorHAnsi" w:hAnsiTheme="minorHAnsi"/>
        </w:rPr>
        <w:t xml:space="preserve">applications. </w:t>
      </w:r>
    </w:p>
    <w:p w:rsidR="00001ACE" w:rsidRPr="00122498" w:rsidRDefault="00CE0A40" w:rsidP="0024488F">
      <w:pPr>
        <w:pStyle w:val="Style14ptJustified"/>
        <w:keepLines/>
        <w:spacing w:after="120" w:line="276" w:lineRule="auto"/>
        <w:jc w:val="left"/>
        <w:rPr>
          <w:rFonts w:ascii="Calibri" w:hAnsi="Calibri"/>
          <w:sz w:val="24"/>
          <w:szCs w:val="24"/>
        </w:rPr>
      </w:pPr>
      <w:r>
        <w:rPr>
          <w:rFonts w:ascii="Calibri" w:hAnsi="Calibri"/>
          <w:sz w:val="24"/>
          <w:szCs w:val="24"/>
        </w:rPr>
        <w:lastRenderedPageBreak/>
        <w:t>As a result, there</w:t>
      </w:r>
      <w:r w:rsidR="00001ACE" w:rsidRPr="00122498">
        <w:rPr>
          <w:rFonts w:ascii="Calibri" w:hAnsi="Calibri"/>
          <w:sz w:val="24"/>
          <w:szCs w:val="24"/>
        </w:rPr>
        <w:t xml:space="preserve"> are several options that might be considered when deciding </w:t>
      </w:r>
      <w:r w:rsidR="00001ACE">
        <w:rPr>
          <w:rFonts w:ascii="Calibri" w:hAnsi="Calibri"/>
          <w:sz w:val="24"/>
          <w:szCs w:val="24"/>
        </w:rPr>
        <w:t>how</w:t>
      </w:r>
      <w:r w:rsidR="00001ACE" w:rsidRPr="00122498">
        <w:rPr>
          <w:rFonts w:ascii="Calibri" w:hAnsi="Calibri"/>
          <w:sz w:val="24"/>
          <w:szCs w:val="24"/>
        </w:rPr>
        <w:t xml:space="preserve"> </w:t>
      </w:r>
      <w:r w:rsidR="00E00495">
        <w:rPr>
          <w:rFonts w:ascii="Calibri" w:hAnsi="Calibri"/>
          <w:sz w:val="24"/>
          <w:szCs w:val="24"/>
        </w:rPr>
        <w:t xml:space="preserve">the </w:t>
      </w:r>
      <w:r w:rsidR="00001ACE" w:rsidRPr="00122498">
        <w:rPr>
          <w:rFonts w:ascii="Calibri" w:hAnsi="Calibri"/>
          <w:sz w:val="24"/>
          <w:szCs w:val="24"/>
        </w:rPr>
        <w:t xml:space="preserve">fee for </w:t>
      </w:r>
      <w:r w:rsidR="00001ACE">
        <w:rPr>
          <w:rFonts w:ascii="Calibri" w:hAnsi="Calibri"/>
          <w:sz w:val="24"/>
          <w:szCs w:val="24"/>
        </w:rPr>
        <w:t>a land tax clearance certificate</w:t>
      </w:r>
      <w:r w:rsidR="00E00495">
        <w:rPr>
          <w:rFonts w:ascii="Calibri" w:hAnsi="Calibri"/>
          <w:sz w:val="24"/>
          <w:szCs w:val="24"/>
        </w:rPr>
        <w:t xml:space="preserve"> should be structured</w:t>
      </w:r>
      <w:r w:rsidR="00001ACE" w:rsidRPr="00122498">
        <w:rPr>
          <w:rFonts w:ascii="Calibri" w:hAnsi="Calibri"/>
          <w:sz w:val="24"/>
          <w:szCs w:val="24"/>
        </w:rPr>
        <w:t>,</w:t>
      </w:r>
      <w:r w:rsidR="00001ACE">
        <w:rPr>
          <w:rFonts w:ascii="Calibri" w:hAnsi="Calibri"/>
          <w:sz w:val="24"/>
          <w:szCs w:val="24"/>
        </w:rPr>
        <w:t xml:space="preserve"> </w:t>
      </w:r>
      <w:r w:rsidR="00001ACE" w:rsidRPr="00122498">
        <w:rPr>
          <w:rFonts w:ascii="Calibri" w:hAnsi="Calibri"/>
          <w:sz w:val="24"/>
          <w:szCs w:val="24"/>
        </w:rPr>
        <w:t>including:</w:t>
      </w:r>
    </w:p>
    <w:p w:rsidR="00CE47C0" w:rsidRDefault="00CE47C0" w:rsidP="003A67E6">
      <w:pPr>
        <w:pStyle w:val="Style14ptJustified"/>
        <w:keepLines/>
        <w:numPr>
          <w:ilvl w:val="0"/>
          <w:numId w:val="10"/>
        </w:numPr>
        <w:spacing w:after="120" w:line="276" w:lineRule="auto"/>
        <w:ind w:left="714" w:hanging="357"/>
        <w:jc w:val="left"/>
        <w:rPr>
          <w:rFonts w:ascii="Calibri" w:hAnsi="Calibri"/>
          <w:sz w:val="24"/>
          <w:szCs w:val="24"/>
        </w:rPr>
      </w:pPr>
      <w:r w:rsidRPr="00001ACE">
        <w:rPr>
          <w:rFonts w:ascii="Calibri" w:hAnsi="Calibri"/>
          <w:sz w:val="24"/>
          <w:szCs w:val="24"/>
        </w:rPr>
        <w:t>maintaining separate fees for online and paper applications</w:t>
      </w:r>
      <w:r>
        <w:rPr>
          <w:rFonts w:ascii="Calibri" w:hAnsi="Calibri"/>
          <w:sz w:val="24"/>
          <w:szCs w:val="24"/>
        </w:rPr>
        <w:t>;</w:t>
      </w:r>
      <w:r w:rsidRPr="0024488F">
        <w:rPr>
          <w:rFonts w:ascii="Calibri" w:hAnsi="Calibri"/>
          <w:sz w:val="24"/>
          <w:szCs w:val="24"/>
        </w:rPr>
        <w:t xml:space="preserve"> </w:t>
      </w:r>
    </w:p>
    <w:p w:rsidR="00001ACE" w:rsidRPr="00001ACE" w:rsidRDefault="0024488F" w:rsidP="003A67E6">
      <w:pPr>
        <w:pStyle w:val="Style14ptJustified"/>
        <w:keepLines/>
        <w:numPr>
          <w:ilvl w:val="0"/>
          <w:numId w:val="10"/>
        </w:numPr>
        <w:spacing w:after="120" w:line="276" w:lineRule="auto"/>
        <w:ind w:left="714" w:hanging="357"/>
        <w:jc w:val="left"/>
        <w:rPr>
          <w:rFonts w:ascii="Calibri" w:hAnsi="Calibri"/>
          <w:sz w:val="24"/>
          <w:szCs w:val="24"/>
        </w:rPr>
      </w:pPr>
      <w:r>
        <w:rPr>
          <w:rFonts w:ascii="Calibri" w:hAnsi="Calibri"/>
          <w:sz w:val="24"/>
          <w:szCs w:val="24"/>
        </w:rPr>
        <w:t xml:space="preserve">specifying </w:t>
      </w:r>
      <w:r w:rsidR="00001ACE" w:rsidRPr="00001ACE">
        <w:rPr>
          <w:rFonts w:ascii="Calibri" w:hAnsi="Calibri"/>
          <w:sz w:val="24"/>
          <w:szCs w:val="24"/>
        </w:rPr>
        <w:t xml:space="preserve">separate fees for </w:t>
      </w:r>
      <w:r>
        <w:rPr>
          <w:rFonts w:ascii="Calibri" w:hAnsi="Calibri"/>
          <w:sz w:val="24"/>
          <w:szCs w:val="24"/>
        </w:rPr>
        <w:t>automated online applications (</w:t>
      </w:r>
      <w:proofErr w:type="spellStart"/>
      <w:r>
        <w:rPr>
          <w:rFonts w:ascii="Calibri" w:hAnsi="Calibri"/>
          <w:sz w:val="24"/>
          <w:szCs w:val="24"/>
        </w:rPr>
        <w:t>ie</w:t>
      </w:r>
      <w:proofErr w:type="spellEnd"/>
      <w:r>
        <w:rPr>
          <w:rFonts w:ascii="Calibri" w:hAnsi="Calibri"/>
          <w:sz w:val="24"/>
          <w:szCs w:val="24"/>
        </w:rPr>
        <w:t xml:space="preserve">. no manual input required), </w:t>
      </w:r>
      <w:r w:rsidR="00001ACE" w:rsidRPr="00001ACE">
        <w:rPr>
          <w:rFonts w:ascii="Calibri" w:hAnsi="Calibri"/>
          <w:sz w:val="24"/>
          <w:szCs w:val="24"/>
        </w:rPr>
        <w:t xml:space="preserve">online transactions that require manual intervention </w:t>
      </w:r>
      <w:r>
        <w:rPr>
          <w:rFonts w:ascii="Calibri" w:hAnsi="Calibri"/>
          <w:sz w:val="24"/>
          <w:szCs w:val="24"/>
        </w:rPr>
        <w:t>and paper applications</w:t>
      </w:r>
      <w:r w:rsidR="00443A55">
        <w:rPr>
          <w:rFonts w:ascii="Calibri" w:hAnsi="Calibri"/>
          <w:sz w:val="24"/>
          <w:szCs w:val="24"/>
        </w:rPr>
        <w:t>;</w:t>
      </w:r>
      <w:r w:rsidR="00AC254C" w:rsidRPr="00AC254C">
        <w:rPr>
          <w:rFonts w:ascii="Calibri" w:hAnsi="Calibri"/>
          <w:sz w:val="24"/>
          <w:szCs w:val="24"/>
        </w:rPr>
        <w:t xml:space="preserve"> </w:t>
      </w:r>
      <w:r w:rsidR="00AC254C" w:rsidRPr="00B72EB5">
        <w:rPr>
          <w:rFonts w:ascii="Calibri" w:hAnsi="Calibri"/>
          <w:sz w:val="24"/>
          <w:szCs w:val="24"/>
        </w:rPr>
        <w:t>or</w:t>
      </w:r>
    </w:p>
    <w:p w:rsidR="00443A55" w:rsidRPr="00B72EB5" w:rsidRDefault="0024488F" w:rsidP="00B72EB5">
      <w:pPr>
        <w:pStyle w:val="Style14ptJustified"/>
        <w:keepLines/>
        <w:numPr>
          <w:ilvl w:val="0"/>
          <w:numId w:val="10"/>
        </w:numPr>
        <w:spacing w:after="120" w:line="276" w:lineRule="auto"/>
        <w:ind w:left="714" w:hanging="357"/>
        <w:jc w:val="left"/>
        <w:rPr>
          <w:rFonts w:ascii="Calibri" w:hAnsi="Calibri"/>
          <w:sz w:val="24"/>
          <w:szCs w:val="24"/>
        </w:rPr>
      </w:pPr>
      <w:proofErr w:type="gramStart"/>
      <w:r w:rsidRPr="00B72EB5">
        <w:rPr>
          <w:rFonts w:ascii="Calibri" w:hAnsi="Calibri"/>
          <w:sz w:val="24"/>
          <w:szCs w:val="24"/>
        </w:rPr>
        <w:t>specifying</w:t>
      </w:r>
      <w:proofErr w:type="gramEnd"/>
      <w:r w:rsidRPr="00B72EB5">
        <w:rPr>
          <w:rFonts w:ascii="Calibri" w:hAnsi="Calibri"/>
          <w:sz w:val="24"/>
          <w:szCs w:val="24"/>
        </w:rPr>
        <w:t xml:space="preserve"> </w:t>
      </w:r>
      <w:r w:rsidR="00001ACE" w:rsidRPr="00B72EB5">
        <w:rPr>
          <w:rFonts w:ascii="Calibri" w:hAnsi="Calibri"/>
          <w:sz w:val="24"/>
          <w:szCs w:val="24"/>
        </w:rPr>
        <w:t xml:space="preserve">separate fees for simple online applications, complex online applications (those requiring </w:t>
      </w:r>
      <w:r w:rsidRPr="00B72EB5">
        <w:rPr>
          <w:rFonts w:ascii="Calibri" w:hAnsi="Calibri"/>
          <w:sz w:val="24"/>
          <w:szCs w:val="24"/>
        </w:rPr>
        <w:t xml:space="preserve">substantial </w:t>
      </w:r>
      <w:r w:rsidR="00001ACE" w:rsidRPr="00B72EB5">
        <w:rPr>
          <w:rFonts w:ascii="Calibri" w:hAnsi="Calibri"/>
          <w:sz w:val="24"/>
          <w:szCs w:val="24"/>
        </w:rPr>
        <w:t>manual intervention</w:t>
      </w:r>
      <w:r w:rsidRPr="00B72EB5">
        <w:rPr>
          <w:rFonts w:ascii="Calibri" w:hAnsi="Calibri"/>
          <w:sz w:val="24"/>
          <w:szCs w:val="24"/>
        </w:rPr>
        <w:t>)</w:t>
      </w:r>
      <w:r w:rsidR="00001ACE" w:rsidRPr="00B72EB5">
        <w:rPr>
          <w:rFonts w:ascii="Calibri" w:hAnsi="Calibri"/>
          <w:sz w:val="24"/>
          <w:szCs w:val="24"/>
        </w:rPr>
        <w:t xml:space="preserve"> </w:t>
      </w:r>
      <w:r w:rsidRPr="00B72EB5">
        <w:rPr>
          <w:rFonts w:ascii="Calibri" w:hAnsi="Calibri"/>
          <w:sz w:val="24"/>
          <w:szCs w:val="24"/>
        </w:rPr>
        <w:t>and paper applications</w:t>
      </w:r>
      <w:r w:rsidR="00AC254C">
        <w:rPr>
          <w:rFonts w:ascii="Calibri" w:hAnsi="Calibri"/>
          <w:sz w:val="24"/>
          <w:szCs w:val="24"/>
        </w:rPr>
        <w:t>.</w:t>
      </w:r>
      <w:r w:rsidR="00443A55" w:rsidRPr="00B72EB5">
        <w:rPr>
          <w:rFonts w:ascii="Calibri" w:hAnsi="Calibri"/>
          <w:sz w:val="24"/>
          <w:szCs w:val="24"/>
        </w:rPr>
        <w:t xml:space="preserve"> </w:t>
      </w:r>
    </w:p>
    <w:p w:rsidR="00E00495" w:rsidRPr="00B72EB5" w:rsidRDefault="00D97C31" w:rsidP="00AC254C">
      <w:pPr>
        <w:pStyle w:val="Style14ptJustified"/>
        <w:keepLines/>
        <w:spacing w:after="240" w:line="276" w:lineRule="auto"/>
        <w:jc w:val="left"/>
        <w:rPr>
          <w:rFonts w:ascii="Calibri" w:hAnsi="Calibri"/>
          <w:sz w:val="24"/>
          <w:szCs w:val="24"/>
        </w:rPr>
      </w:pPr>
      <w:r>
        <w:rPr>
          <w:rFonts w:ascii="Calibri" w:hAnsi="Calibri"/>
          <w:sz w:val="24"/>
          <w:szCs w:val="24"/>
        </w:rPr>
        <w:t>As fees can be specified in dollar terms or in fee units, c</w:t>
      </w:r>
      <w:r w:rsidR="00AC254C">
        <w:rPr>
          <w:rFonts w:ascii="Calibri" w:hAnsi="Calibri"/>
          <w:sz w:val="24"/>
          <w:szCs w:val="24"/>
        </w:rPr>
        <w:t xml:space="preserve">onsideration has also been given to </w:t>
      </w:r>
      <w:r w:rsidR="00443A55" w:rsidRPr="00B72EB5">
        <w:rPr>
          <w:rFonts w:ascii="Calibri" w:hAnsi="Calibri"/>
          <w:sz w:val="24"/>
          <w:szCs w:val="24"/>
        </w:rPr>
        <w:t>specifying the fee in fee units</w:t>
      </w:r>
      <w:r w:rsidR="00E00495" w:rsidRPr="00B72EB5">
        <w:rPr>
          <w:rFonts w:ascii="Calibri" w:hAnsi="Calibri"/>
          <w:sz w:val="24"/>
          <w:szCs w:val="24"/>
        </w:rPr>
        <w:t>.</w:t>
      </w:r>
    </w:p>
    <w:p w:rsidR="00213205" w:rsidRPr="00213205" w:rsidRDefault="00213205" w:rsidP="001D160F">
      <w:pPr>
        <w:spacing w:after="240" w:line="276" w:lineRule="auto"/>
        <w:rPr>
          <w:rFonts w:asciiTheme="minorHAnsi" w:hAnsiTheme="minorHAnsi"/>
          <w:i/>
        </w:rPr>
      </w:pPr>
      <w:r>
        <w:rPr>
          <w:rFonts w:ascii="Calibri" w:hAnsi="Calibri"/>
          <w:i/>
        </w:rPr>
        <w:t>M</w:t>
      </w:r>
      <w:r w:rsidRPr="00213205">
        <w:rPr>
          <w:rFonts w:ascii="Calibri" w:hAnsi="Calibri"/>
          <w:i/>
        </w:rPr>
        <w:t>aintaining separate fees for online and paper applications</w:t>
      </w:r>
      <w:r w:rsidR="006A30E5">
        <w:rPr>
          <w:rFonts w:ascii="Calibri" w:hAnsi="Calibri"/>
          <w:i/>
        </w:rPr>
        <w:t xml:space="preserve"> at current level</w:t>
      </w:r>
    </w:p>
    <w:p w:rsidR="006A30E5" w:rsidRPr="006A30E5" w:rsidRDefault="006A30E5" w:rsidP="006A30E5">
      <w:pPr>
        <w:spacing w:after="240" w:line="276" w:lineRule="auto"/>
        <w:rPr>
          <w:rFonts w:asciiTheme="minorHAnsi" w:hAnsiTheme="minorHAnsi"/>
        </w:rPr>
      </w:pPr>
      <w:r w:rsidRPr="006A30E5">
        <w:rPr>
          <w:rFonts w:asciiTheme="minorHAnsi" w:hAnsiTheme="minorHAnsi"/>
        </w:rPr>
        <w:t xml:space="preserve">This option would involve setting the fees at </w:t>
      </w:r>
      <w:r w:rsidR="000E6628" w:rsidRPr="00446289">
        <w:rPr>
          <w:rFonts w:asciiTheme="minorHAnsi" w:hAnsiTheme="minorHAnsi"/>
        </w:rPr>
        <w:t>$15</w:t>
      </w:r>
      <w:r w:rsidR="000E6628">
        <w:rPr>
          <w:rFonts w:asciiTheme="minorHAnsi" w:hAnsiTheme="minorHAnsi"/>
        </w:rPr>
        <w:t xml:space="preserve"> per online application and </w:t>
      </w:r>
      <w:r w:rsidR="000E6628" w:rsidRPr="00446289">
        <w:rPr>
          <w:rFonts w:asciiTheme="minorHAnsi" w:hAnsiTheme="minorHAnsi"/>
        </w:rPr>
        <w:t>$</w:t>
      </w:r>
      <w:r w:rsidR="000E6628">
        <w:rPr>
          <w:rFonts w:asciiTheme="minorHAnsi" w:hAnsiTheme="minorHAnsi"/>
        </w:rPr>
        <w:t>20 per paper application</w:t>
      </w:r>
      <w:r w:rsidR="000E6628" w:rsidRPr="006A30E5">
        <w:rPr>
          <w:rFonts w:asciiTheme="minorHAnsi" w:hAnsiTheme="minorHAnsi"/>
        </w:rPr>
        <w:t xml:space="preserve"> </w:t>
      </w:r>
      <w:r w:rsidR="000E6628">
        <w:rPr>
          <w:rFonts w:asciiTheme="minorHAnsi" w:hAnsiTheme="minorHAnsi"/>
        </w:rPr>
        <w:t>as currently prescribed</w:t>
      </w:r>
      <w:r w:rsidRPr="006A30E5">
        <w:rPr>
          <w:rFonts w:asciiTheme="minorHAnsi" w:hAnsiTheme="minorHAnsi"/>
        </w:rPr>
        <w:t xml:space="preserve"> in Regulation 6 of the 2005 Regulations. Given that the existing application fees are set in dollar amounts, the fee</w:t>
      </w:r>
      <w:r w:rsidR="000E6628">
        <w:rPr>
          <w:rFonts w:asciiTheme="minorHAnsi" w:hAnsiTheme="minorHAnsi"/>
        </w:rPr>
        <w:t>s</w:t>
      </w:r>
      <w:r w:rsidRPr="006A30E5">
        <w:rPr>
          <w:rFonts w:asciiTheme="minorHAnsi" w:hAnsiTheme="minorHAnsi"/>
        </w:rPr>
        <w:t xml:space="preserve"> would remain </w:t>
      </w:r>
      <w:r w:rsidR="000E6628">
        <w:rPr>
          <w:rFonts w:asciiTheme="minorHAnsi" w:hAnsiTheme="minorHAnsi"/>
        </w:rPr>
        <w:t>unchanged</w:t>
      </w:r>
      <w:r w:rsidRPr="006A30E5">
        <w:rPr>
          <w:rFonts w:asciiTheme="minorHAnsi" w:hAnsiTheme="minorHAnsi"/>
        </w:rPr>
        <w:t xml:space="preserve"> until the </w:t>
      </w:r>
      <w:r w:rsidR="000E6628">
        <w:rPr>
          <w:rFonts w:asciiTheme="minorHAnsi" w:hAnsiTheme="minorHAnsi"/>
        </w:rPr>
        <w:t xml:space="preserve">proposed </w:t>
      </w:r>
      <w:r w:rsidRPr="006A30E5">
        <w:rPr>
          <w:rFonts w:asciiTheme="minorHAnsi" w:hAnsiTheme="minorHAnsi"/>
        </w:rPr>
        <w:t xml:space="preserve">Regulations sunset in 2025. </w:t>
      </w:r>
    </w:p>
    <w:p w:rsidR="006A30E5" w:rsidRPr="001C4FC4" w:rsidRDefault="006A30E5" w:rsidP="006A30E5">
      <w:pPr>
        <w:pStyle w:val="Style14ptJustified"/>
        <w:keepLines/>
        <w:spacing w:after="240" w:line="276" w:lineRule="auto"/>
        <w:jc w:val="left"/>
        <w:rPr>
          <w:rFonts w:ascii="Calibri" w:hAnsi="Calibri"/>
          <w:sz w:val="24"/>
          <w:szCs w:val="24"/>
        </w:rPr>
      </w:pPr>
      <w:r w:rsidRPr="001C4FC4">
        <w:rPr>
          <w:rFonts w:ascii="Calibri" w:hAnsi="Calibri"/>
          <w:sz w:val="24"/>
          <w:szCs w:val="24"/>
        </w:rPr>
        <w:t xml:space="preserve">This option has advantages and disadvantages for stakeholders. A key benefit of this option is that </w:t>
      </w:r>
      <w:r w:rsidR="000E6628">
        <w:rPr>
          <w:rFonts w:ascii="Calibri" w:hAnsi="Calibri"/>
          <w:sz w:val="24"/>
          <w:szCs w:val="24"/>
        </w:rPr>
        <w:t xml:space="preserve">it provides certainty to online registered </w:t>
      </w:r>
      <w:r w:rsidRPr="001C4FC4">
        <w:rPr>
          <w:rFonts w:ascii="Calibri" w:hAnsi="Calibri"/>
          <w:sz w:val="24"/>
          <w:szCs w:val="24"/>
        </w:rPr>
        <w:t xml:space="preserve">users </w:t>
      </w:r>
      <w:r w:rsidR="000E6628">
        <w:rPr>
          <w:rFonts w:ascii="Calibri" w:hAnsi="Calibri"/>
          <w:sz w:val="24"/>
          <w:szCs w:val="24"/>
        </w:rPr>
        <w:t xml:space="preserve">as they </w:t>
      </w:r>
      <w:r w:rsidRPr="001C4FC4">
        <w:rPr>
          <w:rFonts w:ascii="Calibri" w:hAnsi="Calibri"/>
          <w:sz w:val="24"/>
          <w:szCs w:val="24"/>
        </w:rPr>
        <w:t xml:space="preserve">are </w:t>
      </w:r>
      <w:r>
        <w:rPr>
          <w:rFonts w:ascii="Calibri" w:hAnsi="Calibri"/>
          <w:sz w:val="24"/>
          <w:szCs w:val="24"/>
        </w:rPr>
        <w:t xml:space="preserve">already </w:t>
      </w:r>
      <w:r w:rsidRPr="001C4FC4">
        <w:rPr>
          <w:rFonts w:ascii="Calibri" w:hAnsi="Calibri"/>
          <w:sz w:val="24"/>
          <w:szCs w:val="24"/>
        </w:rPr>
        <w:t xml:space="preserve">aware of the </w:t>
      </w:r>
      <w:r w:rsidR="000E6628">
        <w:rPr>
          <w:rFonts w:ascii="Calibri" w:hAnsi="Calibri"/>
          <w:sz w:val="24"/>
          <w:szCs w:val="24"/>
        </w:rPr>
        <w:t>current fees.  Further, it</w:t>
      </w:r>
      <w:r>
        <w:rPr>
          <w:rFonts w:ascii="Calibri" w:hAnsi="Calibri"/>
          <w:sz w:val="24"/>
          <w:szCs w:val="24"/>
        </w:rPr>
        <w:t xml:space="preserve"> provide</w:t>
      </w:r>
      <w:r w:rsidR="000E6628">
        <w:rPr>
          <w:rFonts w:ascii="Calibri" w:hAnsi="Calibri"/>
          <w:sz w:val="24"/>
          <w:szCs w:val="24"/>
        </w:rPr>
        <w:t>s</w:t>
      </w:r>
      <w:r>
        <w:rPr>
          <w:rFonts w:ascii="Calibri" w:hAnsi="Calibri"/>
          <w:sz w:val="24"/>
          <w:szCs w:val="24"/>
        </w:rPr>
        <w:t xml:space="preserve"> ongoing certainty </w:t>
      </w:r>
      <w:r w:rsidR="000E6628">
        <w:rPr>
          <w:rFonts w:ascii="Calibri" w:hAnsi="Calibri"/>
          <w:sz w:val="24"/>
          <w:szCs w:val="24"/>
        </w:rPr>
        <w:t>for</w:t>
      </w:r>
      <w:r>
        <w:rPr>
          <w:rFonts w:ascii="Calibri" w:hAnsi="Calibri"/>
          <w:sz w:val="24"/>
          <w:szCs w:val="24"/>
        </w:rPr>
        <w:t xml:space="preserve"> all land owners, purchasers and the general conveyancing industry around the application fee amount.</w:t>
      </w:r>
    </w:p>
    <w:p w:rsidR="006A30E5" w:rsidRPr="00B85639" w:rsidRDefault="006A30E5" w:rsidP="006A30E5">
      <w:pPr>
        <w:pStyle w:val="Style14ptJustified"/>
        <w:keepLines/>
        <w:spacing w:after="240" w:line="276" w:lineRule="auto"/>
        <w:jc w:val="left"/>
        <w:rPr>
          <w:rFonts w:ascii="Calibri" w:hAnsi="Calibri"/>
          <w:sz w:val="24"/>
          <w:szCs w:val="24"/>
        </w:rPr>
      </w:pPr>
      <w:r>
        <w:rPr>
          <w:rFonts w:ascii="Calibri" w:hAnsi="Calibri"/>
          <w:sz w:val="24"/>
          <w:szCs w:val="24"/>
        </w:rPr>
        <w:t>However, t</w:t>
      </w:r>
      <w:r w:rsidRPr="001C4FC4">
        <w:rPr>
          <w:rFonts w:ascii="Calibri" w:hAnsi="Calibri"/>
          <w:sz w:val="24"/>
          <w:szCs w:val="24"/>
        </w:rPr>
        <w:t xml:space="preserve">he cost of this option is that it fails to align </w:t>
      </w:r>
      <w:r>
        <w:rPr>
          <w:rFonts w:ascii="Calibri" w:hAnsi="Calibri"/>
          <w:sz w:val="24"/>
          <w:szCs w:val="24"/>
        </w:rPr>
        <w:t>the</w:t>
      </w:r>
      <w:r w:rsidRPr="001C4FC4">
        <w:rPr>
          <w:rFonts w:ascii="Calibri" w:hAnsi="Calibri"/>
          <w:sz w:val="24"/>
          <w:szCs w:val="24"/>
        </w:rPr>
        <w:t xml:space="preserve"> fee</w:t>
      </w:r>
      <w:r>
        <w:rPr>
          <w:rFonts w:ascii="Calibri" w:hAnsi="Calibri"/>
          <w:sz w:val="24"/>
          <w:szCs w:val="24"/>
        </w:rPr>
        <w:t>s</w:t>
      </w:r>
      <w:r w:rsidRPr="001C4FC4">
        <w:rPr>
          <w:rFonts w:ascii="Calibri" w:hAnsi="Calibri"/>
          <w:sz w:val="24"/>
          <w:szCs w:val="24"/>
        </w:rPr>
        <w:t xml:space="preserve"> with the actual cost of providing</w:t>
      </w:r>
      <w:r>
        <w:rPr>
          <w:rFonts w:ascii="Calibri" w:hAnsi="Calibri"/>
          <w:sz w:val="24"/>
          <w:szCs w:val="24"/>
        </w:rPr>
        <w:t xml:space="preserve"> </w:t>
      </w:r>
      <w:r w:rsidRPr="00B85639">
        <w:rPr>
          <w:rFonts w:ascii="Calibri" w:hAnsi="Calibri"/>
          <w:sz w:val="24"/>
          <w:szCs w:val="24"/>
        </w:rPr>
        <w:t xml:space="preserve">the services and does not address future incremental growth in costs. The level of under recovery would therefore continue to grow every year. </w:t>
      </w:r>
    </w:p>
    <w:p w:rsidR="0056021B" w:rsidRDefault="006A30E5" w:rsidP="006A30E5">
      <w:pPr>
        <w:pStyle w:val="Style14ptJustified"/>
        <w:keepLines/>
        <w:spacing w:after="240" w:line="276" w:lineRule="auto"/>
        <w:jc w:val="left"/>
        <w:rPr>
          <w:rFonts w:ascii="Calibri" w:hAnsi="Calibri"/>
          <w:sz w:val="24"/>
          <w:szCs w:val="24"/>
        </w:rPr>
      </w:pPr>
      <w:r w:rsidRPr="00B85639">
        <w:rPr>
          <w:rFonts w:ascii="Calibri" w:hAnsi="Calibri"/>
          <w:sz w:val="24"/>
          <w:szCs w:val="24"/>
        </w:rPr>
        <w:t xml:space="preserve">This option also necessitates the continuation of the current level of subsidy provided by the wider community </w:t>
      </w:r>
      <w:r w:rsidR="00454061">
        <w:rPr>
          <w:rFonts w:ascii="Calibri" w:hAnsi="Calibri"/>
          <w:sz w:val="24"/>
          <w:szCs w:val="24"/>
        </w:rPr>
        <w:t>(</w:t>
      </w:r>
      <w:r w:rsidRPr="00B85639">
        <w:rPr>
          <w:rFonts w:ascii="Calibri" w:hAnsi="Calibri"/>
          <w:sz w:val="24"/>
          <w:szCs w:val="24"/>
        </w:rPr>
        <w:t xml:space="preserve">as </w:t>
      </w:r>
      <w:r w:rsidR="00454061">
        <w:rPr>
          <w:rFonts w:ascii="Calibri" w:hAnsi="Calibri"/>
          <w:sz w:val="24"/>
          <w:szCs w:val="24"/>
        </w:rPr>
        <w:t xml:space="preserve">state </w:t>
      </w:r>
      <w:r w:rsidRPr="00B85639">
        <w:rPr>
          <w:rFonts w:ascii="Calibri" w:hAnsi="Calibri"/>
          <w:sz w:val="24"/>
          <w:szCs w:val="24"/>
        </w:rPr>
        <w:t>taxpayers</w:t>
      </w:r>
      <w:r w:rsidR="00454061">
        <w:rPr>
          <w:rFonts w:ascii="Calibri" w:hAnsi="Calibri"/>
          <w:sz w:val="24"/>
          <w:szCs w:val="24"/>
        </w:rPr>
        <w:t>)</w:t>
      </w:r>
      <w:r w:rsidRPr="00B85639">
        <w:rPr>
          <w:rFonts w:ascii="Calibri" w:hAnsi="Calibri"/>
          <w:sz w:val="24"/>
          <w:szCs w:val="24"/>
        </w:rPr>
        <w:t xml:space="preserve"> while SRO costs are being under recovered. As noted earlier, this service is provided predominantly for private or commercial purposes</w:t>
      </w:r>
      <w:r>
        <w:rPr>
          <w:rFonts w:ascii="Calibri" w:hAnsi="Calibri"/>
          <w:sz w:val="24"/>
          <w:szCs w:val="24"/>
        </w:rPr>
        <w:t xml:space="preserve"> and therefore this option is not </w:t>
      </w:r>
      <w:r w:rsidR="000E6628">
        <w:rPr>
          <w:rFonts w:ascii="Calibri" w:hAnsi="Calibri"/>
          <w:sz w:val="24"/>
          <w:szCs w:val="24"/>
        </w:rPr>
        <w:t xml:space="preserve">considered feasible or practical. </w:t>
      </w:r>
    </w:p>
    <w:p w:rsidR="00B84C53" w:rsidRPr="00B84C53" w:rsidRDefault="00080ACE" w:rsidP="001D160F">
      <w:pPr>
        <w:spacing w:after="240" w:line="276" w:lineRule="auto"/>
        <w:rPr>
          <w:rFonts w:ascii="Calibri" w:hAnsi="Calibri"/>
          <w:i/>
        </w:rPr>
      </w:pPr>
      <w:r w:rsidRPr="00080ACE">
        <w:rPr>
          <w:rFonts w:ascii="Calibri" w:hAnsi="Calibri"/>
          <w:i/>
        </w:rPr>
        <w:t xml:space="preserve">Specifying separate fees for </w:t>
      </w:r>
      <w:r w:rsidR="00B84C53">
        <w:rPr>
          <w:rFonts w:ascii="Calibri" w:hAnsi="Calibri"/>
          <w:i/>
        </w:rPr>
        <w:t xml:space="preserve">fully automated </w:t>
      </w:r>
      <w:r w:rsidRPr="00080ACE">
        <w:rPr>
          <w:rFonts w:ascii="Calibri" w:hAnsi="Calibri"/>
          <w:i/>
        </w:rPr>
        <w:t>online applications (</w:t>
      </w:r>
      <w:proofErr w:type="spellStart"/>
      <w:r w:rsidRPr="00080ACE">
        <w:rPr>
          <w:rFonts w:ascii="Calibri" w:hAnsi="Calibri"/>
          <w:i/>
        </w:rPr>
        <w:t>ie</w:t>
      </w:r>
      <w:proofErr w:type="spellEnd"/>
      <w:r w:rsidRPr="00080ACE">
        <w:rPr>
          <w:rFonts w:ascii="Calibri" w:hAnsi="Calibri"/>
          <w:i/>
        </w:rPr>
        <w:t>. no manual input required)</w:t>
      </w:r>
      <w:r w:rsidR="00B84C53">
        <w:rPr>
          <w:rFonts w:ascii="Calibri" w:hAnsi="Calibri"/>
          <w:i/>
        </w:rPr>
        <w:t xml:space="preserve"> and</w:t>
      </w:r>
      <w:r w:rsidRPr="00080ACE">
        <w:rPr>
          <w:rFonts w:ascii="Calibri" w:hAnsi="Calibri"/>
          <w:i/>
        </w:rPr>
        <w:t xml:space="preserve"> online </w:t>
      </w:r>
      <w:r w:rsidR="00D16CEA">
        <w:rPr>
          <w:rFonts w:ascii="Calibri" w:hAnsi="Calibri"/>
          <w:i/>
        </w:rPr>
        <w:t>applications</w:t>
      </w:r>
      <w:r w:rsidRPr="00080ACE">
        <w:rPr>
          <w:rFonts w:ascii="Calibri" w:hAnsi="Calibri"/>
          <w:i/>
        </w:rPr>
        <w:t xml:space="preserve"> that require manual intervention </w:t>
      </w:r>
    </w:p>
    <w:p w:rsidR="00AA20E0" w:rsidRDefault="009F1B3F" w:rsidP="00080ACE">
      <w:pPr>
        <w:spacing w:after="240" w:line="276" w:lineRule="auto"/>
        <w:rPr>
          <w:rFonts w:asciiTheme="minorHAnsi" w:hAnsiTheme="minorHAnsi"/>
        </w:rPr>
      </w:pPr>
      <w:r>
        <w:rPr>
          <w:rFonts w:asciiTheme="minorHAnsi" w:hAnsiTheme="minorHAnsi"/>
        </w:rPr>
        <w:t>Another factor</w:t>
      </w:r>
      <w:r w:rsidR="00B84C53">
        <w:rPr>
          <w:rFonts w:asciiTheme="minorHAnsi" w:hAnsiTheme="minorHAnsi"/>
        </w:rPr>
        <w:t xml:space="preserve"> affecting the </w:t>
      </w:r>
      <w:r w:rsidR="00233C18">
        <w:rPr>
          <w:rFonts w:asciiTheme="minorHAnsi" w:hAnsiTheme="minorHAnsi"/>
        </w:rPr>
        <w:t xml:space="preserve">time taken to process a clearance certificate application </w:t>
      </w:r>
      <w:r>
        <w:rPr>
          <w:rFonts w:asciiTheme="minorHAnsi" w:hAnsiTheme="minorHAnsi"/>
        </w:rPr>
        <w:t xml:space="preserve">is the </w:t>
      </w:r>
      <w:r w:rsidR="002C0CCF">
        <w:rPr>
          <w:rFonts w:asciiTheme="minorHAnsi" w:hAnsiTheme="minorHAnsi"/>
        </w:rPr>
        <w:t xml:space="preserve">level of manual intervention that may be required from SRO staff. As previously indicated, </w:t>
      </w:r>
      <w:r w:rsidR="00F01579">
        <w:rPr>
          <w:rFonts w:asciiTheme="minorHAnsi" w:hAnsiTheme="minorHAnsi"/>
        </w:rPr>
        <w:t xml:space="preserve">when an online application is received, the data is cross checked with the SRO’s land tax database to </w:t>
      </w:r>
      <w:r w:rsidR="00D16CEA">
        <w:rPr>
          <w:rFonts w:asciiTheme="minorHAnsi" w:hAnsiTheme="minorHAnsi"/>
        </w:rPr>
        <w:t>verify</w:t>
      </w:r>
      <w:r w:rsidR="00F01579">
        <w:rPr>
          <w:rFonts w:asciiTheme="minorHAnsi" w:hAnsiTheme="minorHAnsi"/>
        </w:rPr>
        <w:t xml:space="preserve"> that the correct customer and property details have been provided, thus ensuring the clearance certificate will be issued with the correct information. </w:t>
      </w:r>
    </w:p>
    <w:p w:rsidR="00804D74" w:rsidRDefault="00F01579" w:rsidP="00080ACE">
      <w:pPr>
        <w:spacing w:after="240" w:line="276" w:lineRule="auto"/>
        <w:rPr>
          <w:rFonts w:ascii="Calibri" w:hAnsi="Calibri"/>
        </w:rPr>
      </w:pPr>
      <w:r>
        <w:rPr>
          <w:rFonts w:asciiTheme="minorHAnsi" w:hAnsiTheme="minorHAnsi"/>
        </w:rPr>
        <w:t xml:space="preserve">The SRO’s internal systems are set up to automatically cross check this information </w:t>
      </w:r>
      <w:r w:rsidR="00D16CEA">
        <w:rPr>
          <w:rFonts w:asciiTheme="minorHAnsi" w:hAnsiTheme="minorHAnsi"/>
        </w:rPr>
        <w:t xml:space="preserve">upon receipt of an application. Where a discrepancy is identified, the application is put aside and </w:t>
      </w:r>
      <w:r w:rsidR="00D16CEA">
        <w:rPr>
          <w:rFonts w:asciiTheme="minorHAnsi" w:hAnsiTheme="minorHAnsi"/>
        </w:rPr>
        <w:lastRenderedPageBreak/>
        <w:t xml:space="preserve">allocated to a staff member for further </w:t>
      </w:r>
      <w:r w:rsidR="009D097D">
        <w:rPr>
          <w:rFonts w:asciiTheme="minorHAnsi" w:hAnsiTheme="minorHAnsi"/>
        </w:rPr>
        <w:t>review</w:t>
      </w:r>
      <w:r w:rsidR="00D16CEA">
        <w:rPr>
          <w:rFonts w:asciiTheme="minorHAnsi" w:hAnsiTheme="minorHAnsi"/>
        </w:rPr>
        <w:t xml:space="preserve">. </w:t>
      </w:r>
      <w:r w:rsidR="00804D74">
        <w:rPr>
          <w:rFonts w:asciiTheme="minorHAnsi" w:hAnsiTheme="minorHAnsi"/>
        </w:rPr>
        <w:t>Many</w:t>
      </w:r>
      <w:r w:rsidR="00D25570">
        <w:rPr>
          <w:rFonts w:asciiTheme="minorHAnsi" w:hAnsiTheme="minorHAnsi"/>
        </w:rPr>
        <w:t xml:space="preserve"> </w:t>
      </w:r>
      <w:r w:rsidR="00D16CEA">
        <w:rPr>
          <w:rFonts w:asciiTheme="minorHAnsi" w:hAnsiTheme="minorHAnsi"/>
        </w:rPr>
        <w:t xml:space="preserve">of </w:t>
      </w:r>
      <w:r w:rsidR="00D25570">
        <w:rPr>
          <w:rFonts w:asciiTheme="minorHAnsi" w:hAnsiTheme="minorHAnsi"/>
        </w:rPr>
        <w:t>the applications</w:t>
      </w:r>
      <w:r w:rsidRPr="00822A59">
        <w:rPr>
          <w:rFonts w:ascii="Calibri" w:hAnsi="Calibri"/>
        </w:rPr>
        <w:t xml:space="preserve"> </w:t>
      </w:r>
      <w:r w:rsidR="00D16CEA">
        <w:rPr>
          <w:rFonts w:ascii="Calibri" w:hAnsi="Calibri"/>
        </w:rPr>
        <w:t xml:space="preserve">which result in manual intervention </w:t>
      </w:r>
      <w:r w:rsidR="00D25570">
        <w:rPr>
          <w:rFonts w:asciiTheme="minorHAnsi" w:hAnsiTheme="minorHAnsi"/>
        </w:rPr>
        <w:t>(approx. 80</w:t>
      </w:r>
      <w:r w:rsidR="00B06E15">
        <w:rPr>
          <w:rFonts w:asciiTheme="minorHAnsi" w:hAnsiTheme="minorHAnsi"/>
        </w:rPr>
        <w:t xml:space="preserve"> per cent</w:t>
      </w:r>
      <w:r w:rsidR="00D25570">
        <w:rPr>
          <w:rFonts w:asciiTheme="minorHAnsi" w:hAnsiTheme="minorHAnsi"/>
        </w:rPr>
        <w:t xml:space="preserve">) </w:t>
      </w:r>
      <w:r w:rsidR="00D25570">
        <w:rPr>
          <w:rFonts w:ascii="Calibri" w:hAnsi="Calibri"/>
        </w:rPr>
        <w:t>arise</w:t>
      </w:r>
      <w:r w:rsidR="00D16CEA">
        <w:rPr>
          <w:rFonts w:ascii="Calibri" w:hAnsi="Calibri"/>
        </w:rPr>
        <w:t xml:space="preserve"> from </w:t>
      </w:r>
      <w:r w:rsidR="00D25570">
        <w:rPr>
          <w:rFonts w:ascii="Calibri" w:hAnsi="Calibri"/>
        </w:rPr>
        <w:t xml:space="preserve">discrepancies </w:t>
      </w:r>
      <w:r w:rsidR="00804D74">
        <w:rPr>
          <w:rFonts w:ascii="Calibri" w:hAnsi="Calibri"/>
        </w:rPr>
        <w:t>with</w:t>
      </w:r>
      <w:r w:rsidRPr="00822A59">
        <w:rPr>
          <w:rFonts w:ascii="Calibri" w:hAnsi="Calibri"/>
        </w:rPr>
        <w:t xml:space="preserve"> </w:t>
      </w:r>
      <w:r>
        <w:rPr>
          <w:rFonts w:ascii="Calibri" w:hAnsi="Calibri"/>
        </w:rPr>
        <w:t xml:space="preserve">the </w:t>
      </w:r>
      <w:r w:rsidR="00D25570" w:rsidRPr="00822A59">
        <w:rPr>
          <w:rFonts w:ascii="Calibri" w:hAnsi="Calibri"/>
        </w:rPr>
        <w:t>property and vendor details</w:t>
      </w:r>
      <w:r w:rsidR="00AA20E0">
        <w:rPr>
          <w:rFonts w:ascii="Calibri" w:hAnsi="Calibri"/>
        </w:rPr>
        <w:t xml:space="preserve">. This can be the result of incorrect or insufficient information being provided in the application or as a result of inaccuracies in the SRO’s land tax database. </w:t>
      </w:r>
    </w:p>
    <w:p w:rsidR="00F22B68" w:rsidRDefault="00B62464" w:rsidP="00213824">
      <w:pPr>
        <w:spacing w:after="240" w:line="276" w:lineRule="auto"/>
        <w:rPr>
          <w:rFonts w:asciiTheme="minorHAnsi" w:hAnsiTheme="minorHAnsi"/>
        </w:rPr>
      </w:pPr>
      <w:r>
        <w:rPr>
          <w:rFonts w:asciiTheme="minorHAnsi" w:hAnsiTheme="minorHAnsi"/>
        </w:rPr>
        <w:t>Setting</w:t>
      </w:r>
      <w:r w:rsidR="00213824">
        <w:rPr>
          <w:rFonts w:asciiTheme="minorHAnsi" w:hAnsiTheme="minorHAnsi"/>
        </w:rPr>
        <w:t xml:space="preserve"> separate fees for online applications based on the level of staff involvement in processing the application as well as separate fees for paper applications would provide a higher level of equity than setting one fee for all online applications. </w:t>
      </w:r>
      <w:r w:rsidR="002F3A24">
        <w:rPr>
          <w:rFonts w:asciiTheme="minorHAnsi" w:hAnsiTheme="minorHAnsi"/>
        </w:rPr>
        <w:t xml:space="preserve">It would also prevent cross-subsidisation, whereby applicants who have provided the correct information would, in effect, be subsidising part of the costs incurred by those applicants who have not provided sufficient or accurate information. </w:t>
      </w:r>
    </w:p>
    <w:p w:rsidR="002F3A24" w:rsidRDefault="00213824" w:rsidP="00213824">
      <w:pPr>
        <w:spacing w:after="240" w:line="276" w:lineRule="auto"/>
        <w:rPr>
          <w:rFonts w:asciiTheme="minorHAnsi" w:hAnsiTheme="minorHAnsi"/>
        </w:rPr>
      </w:pPr>
      <w:r>
        <w:rPr>
          <w:rFonts w:asciiTheme="minorHAnsi" w:hAnsiTheme="minorHAnsi"/>
        </w:rPr>
        <w:t xml:space="preserve">This option </w:t>
      </w:r>
      <w:r w:rsidR="002F3A24">
        <w:rPr>
          <w:rFonts w:asciiTheme="minorHAnsi" w:hAnsiTheme="minorHAnsi"/>
        </w:rPr>
        <w:t xml:space="preserve">would </w:t>
      </w:r>
      <w:r>
        <w:rPr>
          <w:rFonts w:asciiTheme="minorHAnsi" w:hAnsiTheme="minorHAnsi"/>
        </w:rPr>
        <w:t xml:space="preserve">also </w:t>
      </w:r>
      <w:r w:rsidR="002F3A24">
        <w:rPr>
          <w:rFonts w:asciiTheme="minorHAnsi" w:hAnsiTheme="minorHAnsi"/>
        </w:rPr>
        <w:t xml:space="preserve">potentially </w:t>
      </w:r>
      <w:r>
        <w:rPr>
          <w:rFonts w:asciiTheme="minorHAnsi" w:hAnsiTheme="minorHAnsi"/>
        </w:rPr>
        <w:t>encourage applicants to ensure that the information supplied in the application matches the information held by the SRO (</w:t>
      </w:r>
      <w:r w:rsidR="002F3A24">
        <w:rPr>
          <w:rFonts w:asciiTheme="minorHAnsi" w:hAnsiTheme="minorHAnsi"/>
        </w:rPr>
        <w:t xml:space="preserve">for example, </w:t>
      </w:r>
      <w:r>
        <w:rPr>
          <w:rFonts w:asciiTheme="minorHAnsi" w:hAnsiTheme="minorHAnsi"/>
        </w:rPr>
        <w:t xml:space="preserve">by </w:t>
      </w:r>
      <w:r w:rsidR="002F3A24">
        <w:rPr>
          <w:rFonts w:asciiTheme="minorHAnsi" w:hAnsiTheme="minorHAnsi"/>
        </w:rPr>
        <w:t xml:space="preserve">ensuring the </w:t>
      </w:r>
      <w:r w:rsidR="00884197">
        <w:rPr>
          <w:rFonts w:asciiTheme="minorHAnsi" w:hAnsiTheme="minorHAnsi"/>
        </w:rPr>
        <w:t>application</w:t>
      </w:r>
      <w:r w:rsidR="002F3A24">
        <w:rPr>
          <w:rFonts w:asciiTheme="minorHAnsi" w:hAnsiTheme="minorHAnsi"/>
        </w:rPr>
        <w:t xml:space="preserve"> matches information contained in </w:t>
      </w:r>
      <w:r>
        <w:rPr>
          <w:rFonts w:asciiTheme="minorHAnsi" w:hAnsiTheme="minorHAnsi"/>
        </w:rPr>
        <w:t>land tax assessments previously issued)</w:t>
      </w:r>
      <w:r w:rsidR="002F3A24">
        <w:rPr>
          <w:rFonts w:asciiTheme="minorHAnsi" w:hAnsiTheme="minorHAnsi"/>
        </w:rPr>
        <w:t xml:space="preserve"> prior to submitting an application. </w:t>
      </w:r>
      <w:r w:rsidR="00F22B68">
        <w:rPr>
          <w:rFonts w:asciiTheme="minorHAnsi" w:hAnsiTheme="minorHAnsi"/>
        </w:rPr>
        <w:t xml:space="preserve">This would in turn reduce the number of online applications which require manual intervention. </w:t>
      </w:r>
    </w:p>
    <w:p w:rsidR="00C7074E" w:rsidRDefault="00F22B68" w:rsidP="00080ACE">
      <w:pPr>
        <w:spacing w:after="240" w:line="276" w:lineRule="auto"/>
        <w:rPr>
          <w:rFonts w:ascii="Calibri" w:hAnsi="Calibri"/>
        </w:rPr>
      </w:pPr>
      <w:r>
        <w:rPr>
          <w:rFonts w:ascii="Calibri" w:hAnsi="Calibri"/>
        </w:rPr>
        <w:t xml:space="preserve">On the other hand, </w:t>
      </w:r>
      <w:r w:rsidR="00B62464">
        <w:rPr>
          <w:rFonts w:ascii="Calibri" w:hAnsi="Calibri"/>
        </w:rPr>
        <w:t>this option causes administrative difficulties for both the SRO and applicants, as an application for a clearance certificate must be accompanied by the prescribed fee</w:t>
      </w:r>
      <w:r w:rsidR="00C7074E">
        <w:rPr>
          <w:rFonts w:ascii="Calibri" w:hAnsi="Calibri"/>
        </w:rPr>
        <w:t xml:space="preserve">. If separate fees are prescribed based on the level of staff involvement in processing the application, the correct fee amount cannot be determined, let alone paid, </w:t>
      </w:r>
      <w:r w:rsidR="00B62464">
        <w:rPr>
          <w:rFonts w:ascii="Calibri" w:hAnsi="Calibri"/>
        </w:rPr>
        <w:t>at the time of submitting an application</w:t>
      </w:r>
      <w:r w:rsidR="00C7074E">
        <w:rPr>
          <w:rFonts w:ascii="Calibri" w:hAnsi="Calibri"/>
        </w:rPr>
        <w:t>.</w:t>
      </w:r>
      <w:r w:rsidR="00B62464">
        <w:rPr>
          <w:rFonts w:ascii="Calibri" w:hAnsi="Calibri"/>
        </w:rPr>
        <w:t xml:space="preserve"> </w:t>
      </w:r>
      <w:r w:rsidR="005051E7">
        <w:rPr>
          <w:rFonts w:ascii="Calibri" w:hAnsi="Calibri"/>
        </w:rPr>
        <w:t xml:space="preserve">Adopting this option would therefore result in delays in processing applications as payment of the fee </w:t>
      </w:r>
      <w:r w:rsidR="00443A55">
        <w:rPr>
          <w:rFonts w:ascii="Calibri" w:hAnsi="Calibri"/>
        </w:rPr>
        <w:t>is</w:t>
      </w:r>
      <w:r w:rsidR="005051E7">
        <w:rPr>
          <w:rFonts w:ascii="Calibri" w:hAnsi="Calibri"/>
        </w:rPr>
        <w:t xml:space="preserve"> required prior to the issuing of a certificate. </w:t>
      </w:r>
    </w:p>
    <w:p w:rsidR="00F22B68" w:rsidRDefault="00AC254C" w:rsidP="00080ACE">
      <w:pPr>
        <w:spacing w:after="240" w:line="276" w:lineRule="auto"/>
        <w:rPr>
          <w:rFonts w:ascii="Calibri" w:hAnsi="Calibri"/>
        </w:rPr>
      </w:pPr>
      <w:r>
        <w:rPr>
          <w:rFonts w:ascii="Calibri" w:hAnsi="Calibri"/>
        </w:rPr>
        <w:t>The SRO considers that t</w:t>
      </w:r>
      <w:r w:rsidR="00F22B68">
        <w:rPr>
          <w:rFonts w:ascii="Calibri" w:hAnsi="Calibri"/>
        </w:rPr>
        <w:t xml:space="preserve">his option </w:t>
      </w:r>
      <w:r w:rsidR="00DC573C">
        <w:rPr>
          <w:rFonts w:ascii="Calibri" w:hAnsi="Calibri"/>
        </w:rPr>
        <w:t xml:space="preserve">is impractical and </w:t>
      </w:r>
      <w:r w:rsidR="00F22B68">
        <w:rPr>
          <w:rFonts w:ascii="Calibri" w:hAnsi="Calibri"/>
        </w:rPr>
        <w:t>create</w:t>
      </w:r>
      <w:r w:rsidR="00B62464">
        <w:rPr>
          <w:rFonts w:ascii="Calibri" w:hAnsi="Calibri"/>
        </w:rPr>
        <w:t>s</w:t>
      </w:r>
      <w:r w:rsidR="00F22B68">
        <w:rPr>
          <w:rFonts w:ascii="Calibri" w:hAnsi="Calibri"/>
        </w:rPr>
        <w:t xml:space="preserve"> uncertainty for </w:t>
      </w:r>
      <w:r w:rsidR="00DC573C">
        <w:rPr>
          <w:rFonts w:ascii="Calibri" w:hAnsi="Calibri"/>
        </w:rPr>
        <w:t xml:space="preserve">both </w:t>
      </w:r>
      <w:r w:rsidR="00F22B68">
        <w:rPr>
          <w:rFonts w:ascii="Calibri" w:hAnsi="Calibri"/>
        </w:rPr>
        <w:t>applicants</w:t>
      </w:r>
      <w:r w:rsidR="00B62464">
        <w:rPr>
          <w:rFonts w:ascii="Calibri" w:hAnsi="Calibri"/>
        </w:rPr>
        <w:t xml:space="preserve"> </w:t>
      </w:r>
      <w:r w:rsidR="00DC573C">
        <w:rPr>
          <w:rFonts w:ascii="Calibri" w:hAnsi="Calibri"/>
        </w:rPr>
        <w:t>and the SRO. The SRO recognises the need to reduce the number of applications requiring</w:t>
      </w:r>
      <w:r w:rsidR="00AC4B7C">
        <w:rPr>
          <w:rFonts w:ascii="Calibri" w:hAnsi="Calibri"/>
        </w:rPr>
        <w:t xml:space="preserve"> manual intervention and is in the process of implementing a number of measures which </w:t>
      </w:r>
      <w:r w:rsidR="00D72109">
        <w:rPr>
          <w:rFonts w:ascii="Calibri" w:hAnsi="Calibri"/>
        </w:rPr>
        <w:t xml:space="preserve">are intended to </w:t>
      </w:r>
      <w:r w:rsidR="00AC4B7C">
        <w:rPr>
          <w:rFonts w:ascii="Calibri" w:hAnsi="Calibri"/>
        </w:rPr>
        <w:t xml:space="preserve">improve the accuracy and reliability of the SRO’s land tax database. In addition, the SRO has begun monitoring applications by </w:t>
      </w:r>
      <w:r w:rsidR="000E47B2">
        <w:rPr>
          <w:rFonts w:ascii="Calibri" w:hAnsi="Calibri"/>
        </w:rPr>
        <w:t>online registered users</w:t>
      </w:r>
      <w:r w:rsidR="00AC4B7C">
        <w:rPr>
          <w:rFonts w:ascii="Calibri" w:hAnsi="Calibri"/>
        </w:rPr>
        <w:t xml:space="preserve"> with a view to </w:t>
      </w:r>
      <w:r w:rsidR="000E47B2">
        <w:rPr>
          <w:rFonts w:ascii="Calibri" w:hAnsi="Calibri"/>
        </w:rPr>
        <w:t xml:space="preserve">identifying common issues and discrepancies, which will then be used to </w:t>
      </w:r>
      <w:r w:rsidR="00AC4B7C">
        <w:rPr>
          <w:rFonts w:ascii="Calibri" w:hAnsi="Calibri"/>
        </w:rPr>
        <w:t>provid</w:t>
      </w:r>
      <w:r w:rsidR="000E47B2">
        <w:rPr>
          <w:rFonts w:ascii="Calibri" w:hAnsi="Calibri"/>
        </w:rPr>
        <w:t>e</w:t>
      </w:r>
      <w:r w:rsidR="00AC4B7C">
        <w:rPr>
          <w:rFonts w:ascii="Calibri" w:hAnsi="Calibri"/>
        </w:rPr>
        <w:t xml:space="preserve"> targeted training </w:t>
      </w:r>
      <w:r w:rsidR="000E47B2">
        <w:rPr>
          <w:rFonts w:ascii="Calibri" w:hAnsi="Calibri"/>
        </w:rPr>
        <w:t xml:space="preserve">sessions and </w:t>
      </w:r>
      <w:r w:rsidR="00443A55">
        <w:rPr>
          <w:rFonts w:ascii="Calibri" w:hAnsi="Calibri"/>
        </w:rPr>
        <w:t>information</w:t>
      </w:r>
      <w:r w:rsidR="000E47B2">
        <w:rPr>
          <w:rFonts w:ascii="Calibri" w:hAnsi="Calibri"/>
        </w:rPr>
        <w:t xml:space="preserve"> materials for online users.   </w:t>
      </w:r>
    </w:p>
    <w:p w:rsidR="00080ACE" w:rsidRPr="00080ACE" w:rsidRDefault="00080ACE" w:rsidP="001D160F">
      <w:pPr>
        <w:spacing w:after="240" w:line="276" w:lineRule="auto"/>
        <w:rPr>
          <w:rFonts w:ascii="Calibri" w:hAnsi="Calibri"/>
          <w:i/>
        </w:rPr>
      </w:pPr>
      <w:r w:rsidRPr="00080ACE">
        <w:rPr>
          <w:rFonts w:ascii="Calibri" w:hAnsi="Calibri"/>
          <w:i/>
        </w:rPr>
        <w:t>Specifying separate fees for simple online applications</w:t>
      </w:r>
      <w:r w:rsidR="00B84C53">
        <w:rPr>
          <w:rFonts w:ascii="Calibri" w:hAnsi="Calibri"/>
          <w:i/>
        </w:rPr>
        <w:t xml:space="preserve"> and</w:t>
      </w:r>
      <w:r w:rsidRPr="00080ACE">
        <w:rPr>
          <w:rFonts w:ascii="Calibri" w:hAnsi="Calibri"/>
          <w:i/>
        </w:rPr>
        <w:t xml:space="preserve"> complex online applications (those requiring substantial manual intervention) </w:t>
      </w:r>
    </w:p>
    <w:p w:rsidR="009F1B3F" w:rsidRDefault="009F1B3F" w:rsidP="009F1B3F">
      <w:pPr>
        <w:spacing w:after="240" w:line="276" w:lineRule="auto"/>
        <w:rPr>
          <w:rFonts w:asciiTheme="minorHAnsi" w:hAnsiTheme="minorHAnsi"/>
        </w:rPr>
      </w:pPr>
      <w:r>
        <w:rPr>
          <w:rFonts w:asciiTheme="minorHAnsi" w:hAnsiTheme="minorHAnsi"/>
        </w:rPr>
        <w:t xml:space="preserve">Another factor which can affect the time taken to process a land tax clearance certificate application </w:t>
      </w:r>
      <w:r w:rsidR="00094AE8">
        <w:rPr>
          <w:rFonts w:asciiTheme="minorHAnsi" w:hAnsiTheme="minorHAnsi"/>
        </w:rPr>
        <w:t>is the level of complexity associated with the processing of an application. For example, applications made on behalf of, or in respect of, large land holders, special taxpayers, deceased estates or newly created properties can increase the amount of time required to resolve discrepancies and issue a clearance certificate.</w:t>
      </w:r>
      <w:r w:rsidR="00D0525F">
        <w:rPr>
          <w:rFonts w:asciiTheme="minorHAnsi" w:hAnsiTheme="minorHAnsi"/>
        </w:rPr>
        <w:t xml:space="preserve"> Complex applications often require a manual certificate to be generated and issued, which also increases the time and costs involved. </w:t>
      </w:r>
    </w:p>
    <w:p w:rsidR="005051E7" w:rsidRDefault="005051E7" w:rsidP="001D160F">
      <w:pPr>
        <w:spacing w:after="240" w:line="276" w:lineRule="auto"/>
        <w:rPr>
          <w:rFonts w:asciiTheme="minorHAnsi" w:hAnsiTheme="minorHAnsi"/>
        </w:rPr>
      </w:pPr>
      <w:r>
        <w:rPr>
          <w:rFonts w:asciiTheme="minorHAnsi" w:hAnsiTheme="minorHAnsi"/>
        </w:rPr>
        <w:lastRenderedPageBreak/>
        <w:t xml:space="preserve">The amount of time associated with these more complex applications </w:t>
      </w:r>
      <w:r w:rsidR="009D097D">
        <w:rPr>
          <w:rFonts w:asciiTheme="minorHAnsi" w:hAnsiTheme="minorHAnsi"/>
        </w:rPr>
        <w:t xml:space="preserve">is dependent on </w:t>
      </w:r>
      <w:r w:rsidR="00D0525F">
        <w:rPr>
          <w:rFonts w:asciiTheme="minorHAnsi" w:hAnsiTheme="minorHAnsi"/>
        </w:rPr>
        <w:t>whether sufficient information has been provided to the SRO in the application. Given the small number of complex applications that are received along with the varying levels of complexity involved, it is difficult to determine an average amount of time required to process the</w:t>
      </w:r>
      <w:r w:rsidR="00EE2E82">
        <w:rPr>
          <w:rFonts w:asciiTheme="minorHAnsi" w:hAnsiTheme="minorHAnsi"/>
        </w:rPr>
        <w:t>se</w:t>
      </w:r>
      <w:r w:rsidR="00D0525F">
        <w:rPr>
          <w:rFonts w:asciiTheme="minorHAnsi" w:hAnsiTheme="minorHAnsi"/>
        </w:rPr>
        <w:t xml:space="preserve"> applications. </w:t>
      </w:r>
      <w:r w:rsidR="000637F8">
        <w:rPr>
          <w:rFonts w:asciiTheme="minorHAnsi" w:hAnsiTheme="minorHAnsi"/>
        </w:rPr>
        <w:t xml:space="preserve">For this option to be effective, it is likely that the fee would need to be made up of a variable component as well as a </w:t>
      </w:r>
      <w:r w:rsidR="009D097D">
        <w:rPr>
          <w:rFonts w:asciiTheme="minorHAnsi" w:hAnsiTheme="minorHAnsi"/>
        </w:rPr>
        <w:t xml:space="preserve">base </w:t>
      </w:r>
      <w:r w:rsidR="000637F8">
        <w:rPr>
          <w:rFonts w:asciiTheme="minorHAnsi" w:hAnsiTheme="minorHAnsi"/>
        </w:rPr>
        <w:t>fixed charge</w:t>
      </w:r>
      <w:r w:rsidR="00884197">
        <w:rPr>
          <w:rFonts w:asciiTheme="minorHAnsi" w:hAnsiTheme="minorHAnsi"/>
        </w:rPr>
        <w:t xml:space="preserve"> to ensure that applicants are fully covering the costs of the service provided</w:t>
      </w:r>
      <w:r w:rsidR="000637F8">
        <w:rPr>
          <w:rFonts w:asciiTheme="minorHAnsi" w:hAnsiTheme="minorHAnsi"/>
        </w:rPr>
        <w:t xml:space="preserve">. </w:t>
      </w:r>
      <w:r w:rsidR="00AC2A46">
        <w:rPr>
          <w:rFonts w:asciiTheme="minorHAnsi" w:hAnsiTheme="minorHAnsi"/>
        </w:rPr>
        <w:t xml:space="preserve">However, this would also make the fee calculation more complex and uncertain. </w:t>
      </w:r>
      <w:r w:rsidR="009D097D">
        <w:rPr>
          <w:rFonts w:asciiTheme="minorHAnsi" w:hAnsiTheme="minorHAnsi"/>
        </w:rPr>
        <w:t xml:space="preserve"> </w:t>
      </w:r>
    </w:p>
    <w:p w:rsidR="000637F8" w:rsidRDefault="00AC2A46" w:rsidP="000637F8">
      <w:pPr>
        <w:spacing w:after="240" w:line="276" w:lineRule="auto"/>
        <w:rPr>
          <w:rFonts w:ascii="Calibri" w:hAnsi="Calibri"/>
        </w:rPr>
      </w:pPr>
      <w:r>
        <w:rPr>
          <w:rFonts w:asciiTheme="minorHAnsi" w:hAnsiTheme="minorHAnsi"/>
        </w:rPr>
        <w:t>S</w:t>
      </w:r>
      <w:r w:rsidR="000637F8">
        <w:rPr>
          <w:rFonts w:asciiTheme="minorHAnsi" w:hAnsiTheme="minorHAnsi"/>
        </w:rPr>
        <w:t xml:space="preserve">imilar to the </w:t>
      </w:r>
      <w:r w:rsidR="00443A55">
        <w:rPr>
          <w:rFonts w:asciiTheme="minorHAnsi" w:hAnsiTheme="minorHAnsi"/>
        </w:rPr>
        <w:t>preceding</w:t>
      </w:r>
      <w:r w:rsidR="000637F8">
        <w:rPr>
          <w:rFonts w:asciiTheme="minorHAnsi" w:hAnsiTheme="minorHAnsi"/>
        </w:rPr>
        <w:t xml:space="preserve"> option, </w:t>
      </w:r>
      <w:r w:rsidR="000637F8">
        <w:rPr>
          <w:rFonts w:ascii="Calibri" w:hAnsi="Calibri"/>
        </w:rPr>
        <w:t xml:space="preserve">this option causes administrative difficulties for both the SRO and applicants. If separate fees are prescribed based on the level of complexity and processing time, the correct fee amount </w:t>
      </w:r>
      <w:r w:rsidR="005D1A9B">
        <w:rPr>
          <w:rFonts w:ascii="Calibri" w:hAnsi="Calibri"/>
        </w:rPr>
        <w:t xml:space="preserve">cannot </w:t>
      </w:r>
      <w:r w:rsidR="00443A55">
        <w:rPr>
          <w:rFonts w:ascii="Calibri" w:hAnsi="Calibri"/>
        </w:rPr>
        <w:t>be determined</w:t>
      </w:r>
      <w:r w:rsidR="000637F8">
        <w:rPr>
          <w:rFonts w:ascii="Calibri" w:hAnsi="Calibri"/>
        </w:rPr>
        <w:t xml:space="preserve"> at the time of submitting an application. Adopting this option </w:t>
      </w:r>
      <w:r w:rsidR="005D1A9B">
        <w:rPr>
          <w:rFonts w:ascii="Calibri" w:hAnsi="Calibri"/>
        </w:rPr>
        <w:t>c</w:t>
      </w:r>
      <w:r w:rsidR="000637F8">
        <w:rPr>
          <w:rFonts w:ascii="Calibri" w:hAnsi="Calibri"/>
        </w:rPr>
        <w:t xml:space="preserve">ould therefore result in </w:t>
      </w:r>
      <w:r w:rsidR="005D1A9B">
        <w:rPr>
          <w:rFonts w:ascii="Calibri" w:hAnsi="Calibri"/>
        </w:rPr>
        <w:t xml:space="preserve">further </w:t>
      </w:r>
      <w:r w:rsidR="000637F8">
        <w:rPr>
          <w:rFonts w:ascii="Calibri" w:hAnsi="Calibri"/>
        </w:rPr>
        <w:t>delays</w:t>
      </w:r>
      <w:r w:rsidR="005D1A9B">
        <w:rPr>
          <w:rFonts w:ascii="Calibri" w:hAnsi="Calibri"/>
        </w:rPr>
        <w:t xml:space="preserve"> and costs </w:t>
      </w:r>
      <w:r w:rsidR="000637F8">
        <w:rPr>
          <w:rFonts w:ascii="Calibri" w:hAnsi="Calibri"/>
        </w:rPr>
        <w:t xml:space="preserve">in processing applications as </w:t>
      </w:r>
      <w:r w:rsidR="005D1A9B">
        <w:rPr>
          <w:rFonts w:ascii="Calibri" w:hAnsi="Calibri"/>
        </w:rPr>
        <w:t xml:space="preserve">the applicant would need to estimate the </w:t>
      </w:r>
      <w:r>
        <w:rPr>
          <w:rFonts w:ascii="Calibri" w:hAnsi="Calibri"/>
        </w:rPr>
        <w:t xml:space="preserve">fee </w:t>
      </w:r>
      <w:r w:rsidR="005D1A9B">
        <w:rPr>
          <w:rFonts w:ascii="Calibri" w:hAnsi="Calibri"/>
        </w:rPr>
        <w:t xml:space="preserve">amount likely to be payable at the time of submitting the application and then appropriate adjustments would need to be made </w:t>
      </w:r>
      <w:r w:rsidR="000637F8">
        <w:rPr>
          <w:rFonts w:ascii="Calibri" w:hAnsi="Calibri"/>
        </w:rPr>
        <w:t xml:space="preserve">prior to </w:t>
      </w:r>
      <w:r>
        <w:rPr>
          <w:rFonts w:ascii="Calibri" w:hAnsi="Calibri"/>
        </w:rPr>
        <w:t xml:space="preserve">the SRO </w:t>
      </w:r>
      <w:r w:rsidR="000637F8">
        <w:rPr>
          <w:rFonts w:ascii="Calibri" w:hAnsi="Calibri"/>
        </w:rPr>
        <w:t xml:space="preserve">issuing </w:t>
      </w:r>
      <w:r>
        <w:rPr>
          <w:rFonts w:ascii="Calibri" w:hAnsi="Calibri"/>
        </w:rPr>
        <w:t xml:space="preserve">the </w:t>
      </w:r>
      <w:r w:rsidR="000637F8">
        <w:rPr>
          <w:rFonts w:ascii="Calibri" w:hAnsi="Calibri"/>
        </w:rPr>
        <w:t xml:space="preserve">certificate. </w:t>
      </w:r>
      <w:r>
        <w:rPr>
          <w:rFonts w:ascii="Calibri" w:hAnsi="Calibri"/>
        </w:rPr>
        <w:t>This option is considered</w:t>
      </w:r>
      <w:r w:rsidR="00AC254C">
        <w:rPr>
          <w:rFonts w:ascii="Calibri" w:hAnsi="Calibri"/>
        </w:rPr>
        <w:t xml:space="preserve"> </w:t>
      </w:r>
      <w:r>
        <w:rPr>
          <w:rFonts w:ascii="Calibri" w:hAnsi="Calibri"/>
        </w:rPr>
        <w:t>impractical and inefficient</w:t>
      </w:r>
      <w:r w:rsidR="00CF7515" w:rsidRPr="00CF7515">
        <w:rPr>
          <w:rFonts w:ascii="Calibri" w:hAnsi="Calibri"/>
        </w:rPr>
        <w:t xml:space="preserve"> </w:t>
      </w:r>
      <w:r w:rsidR="00CF7515">
        <w:rPr>
          <w:rFonts w:ascii="Calibri" w:hAnsi="Calibri"/>
        </w:rPr>
        <w:t>by the SRO</w:t>
      </w:r>
      <w:r>
        <w:rPr>
          <w:rFonts w:ascii="Calibri" w:hAnsi="Calibri"/>
        </w:rPr>
        <w:t>.</w:t>
      </w:r>
    </w:p>
    <w:p w:rsidR="00471F48" w:rsidRPr="00443A55" w:rsidRDefault="00FC6490" w:rsidP="00443A55">
      <w:pPr>
        <w:spacing w:after="240" w:line="276" w:lineRule="auto"/>
        <w:rPr>
          <w:rFonts w:ascii="Calibri" w:hAnsi="Calibri"/>
          <w:i/>
        </w:rPr>
      </w:pPr>
      <w:r>
        <w:rPr>
          <w:rFonts w:ascii="Calibri" w:hAnsi="Calibri"/>
          <w:i/>
        </w:rPr>
        <w:t>Specifying the fee in fee units to allow for a</w:t>
      </w:r>
      <w:r w:rsidR="00471F48" w:rsidRPr="00443A55">
        <w:rPr>
          <w:rFonts w:ascii="Calibri" w:hAnsi="Calibri"/>
          <w:i/>
        </w:rPr>
        <w:t xml:space="preserve">nnual </w:t>
      </w:r>
      <w:r w:rsidR="00E47748" w:rsidRPr="00443A55">
        <w:rPr>
          <w:rFonts w:ascii="Calibri" w:hAnsi="Calibri"/>
          <w:i/>
        </w:rPr>
        <w:t>i</w:t>
      </w:r>
      <w:r w:rsidR="00471F48" w:rsidRPr="00443A55">
        <w:rPr>
          <w:rFonts w:ascii="Calibri" w:hAnsi="Calibri"/>
          <w:i/>
        </w:rPr>
        <w:t xml:space="preserve">ndexation </w:t>
      </w:r>
    </w:p>
    <w:p w:rsidR="006A218C" w:rsidRDefault="006A218C" w:rsidP="006A218C">
      <w:pPr>
        <w:spacing w:after="240" w:line="276" w:lineRule="auto"/>
        <w:rPr>
          <w:rFonts w:asciiTheme="minorHAnsi" w:hAnsiTheme="minorHAnsi"/>
        </w:rPr>
      </w:pPr>
      <w:r w:rsidRPr="006A218C">
        <w:rPr>
          <w:rFonts w:asciiTheme="minorHAnsi" w:hAnsiTheme="minorHAnsi"/>
        </w:rPr>
        <w:t>The option of specifying a fee in terms of fee units is the standard method for setting fees in</w:t>
      </w:r>
      <w:r>
        <w:rPr>
          <w:rFonts w:ascii="Calibri" w:eastAsiaTheme="minorHAnsi" w:hAnsi="Calibri" w:cs="Calibri"/>
          <w:sz w:val="22"/>
          <w:szCs w:val="22"/>
        </w:rPr>
        <w:t xml:space="preserve"> </w:t>
      </w:r>
      <w:r w:rsidRPr="006A218C">
        <w:rPr>
          <w:rFonts w:asciiTheme="minorHAnsi" w:hAnsiTheme="minorHAnsi"/>
        </w:rPr>
        <w:t>regulations. It</w:t>
      </w:r>
      <w:r>
        <w:rPr>
          <w:rFonts w:asciiTheme="minorHAnsi" w:hAnsiTheme="minorHAnsi"/>
        </w:rPr>
        <w:t xml:space="preserve"> </w:t>
      </w:r>
      <w:r w:rsidRPr="006A218C">
        <w:rPr>
          <w:rFonts w:asciiTheme="minorHAnsi" w:hAnsiTheme="minorHAnsi"/>
        </w:rPr>
        <w:t>involves determining the value of the current fee, based on th</w:t>
      </w:r>
      <w:r>
        <w:rPr>
          <w:rFonts w:asciiTheme="minorHAnsi" w:hAnsiTheme="minorHAnsi"/>
        </w:rPr>
        <w:t xml:space="preserve">e current costs of providing a clearance certificate </w:t>
      </w:r>
      <w:r w:rsidRPr="006A218C">
        <w:rPr>
          <w:rFonts w:asciiTheme="minorHAnsi" w:hAnsiTheme="minorHAnsi"/>
        </w:rPr>
        <w:t>and</w:t>
      </w:r>
      <w:r>
        <w:rPr>
          <w:rFonts w:asciiTheme="minorHAnsi" w:hAnsiTheme="minorHAnsi"/>
        </w:rPr>
        <w:t xml:space="preserve"> </w:t>
      </w:r>
      <w:r w:rsidRPr="006A218C">
        <w:rPr>
          <w:rFonts w:asciiTheme="minorHAnsi" w:hAnsiTheme="minorHAnsi"/>
        </w:rPr>
        <w:t>specifying that amount as a number of fee units</w:t>
      </w:r>
      <w:r>
        <w:rPr>
          <w:rStyle w:val="FootnoteReference"/>
          <w:rFonts w:asciiTheme="minorHAnsi" w:hAnsiTheme="minorHAnsi"/>
        </w:rPr>
        <w:footnoteReference w:id="7"/>
      </w:r>
      <w:r w:rsidRPr="006A218C">
        <w:rPr>
          <w:rFonts w:asciiTheme="minorHAnsi" w:hAnsiTheme="minorHAnsi"/>
        </w:rPr>
        <w:t>.</w:t>
      </w:r>
      <w:r w:rsidRPr="00446289">
        <w:rPr>
          <w:rFonts w:asciiTheme="minorHAnsi" w:hAnsiTheme="minorHAnsi"/>
        </w:rPr>
        <w:t xml:space="preserve"> </w:t>
      </w:r>
    </w:p>
    <w:p w:rsidR="00471F48" w:rsidRDefault="00471F48" w:rsidP="006A218C">
      <w:pPr>
        <w:spacing w:after="240" w:line="276" w:lineRule="auto"/>
        <w:rPr>
          <w:rFonts w:asciiTheme="minorHAnsi" w:hAnsiTheme="minorHAnsi"/>
        </w:rPr>
      </w:pPr>
      <w:r w:rsidRPr="00446289">
        <w:rPr>
          <w:rFonts w:asciiTheme="minorHAnsi" w:hAnsiTheme="minorHAnsi"/>
        </w:rPr>
        <w:t xml:space="preserve">Each year, the Victorian Government automatically indexes most fees and fines for inflation, so that the real value of those fees and fines is maintained. The indexation of fees ensures that the user, rather than the general taxpayer, pays the cost of a service provided. </w:t>
      </w:r>
    </w:p>
    <w:p w:rsidR="00471F48" w:rsidRDefault="00471F48" w:rsidP="00471F48">
      <w:pPr>
        <w:spacing w:after="240" w:line="276" w:lineRule="auto"/>
        <w:rPr>
          <w:rFonts w:asciiTheme="minorHAnsi" w:hAnsiTheme="minorHAnsi"/>
        </w:rPr>
      </w:pPr>
      <w:r w:rsidRPr="00446289">
        <w:rPr>
          <w:rFonts w:asciiTheme="minorHAnsi" w:hAnsiTheme="minorHAnsi"/>
        </w:rPr>
        <w:t xml:space="preserve">The </w:t>
      </w:r>
      <w:r w:rsidRPr="00446289">
        <w:rPr>
          <w:rFonts w:asciiTheme="minorHAnsi" w:hAnsiTheme="minorHAnsi"/>
          <w:i/>
        </w:rPr>
        <w:t>Monetary Units Act 2004</w:t>
      </w:r>
      <w:r w:rsidRPr="00446289">
        <w:rPr>
          <w:rFonts w:asciiTheme="minorHAnsi" w:hAnsiTheme="minorHAnsi"/>
        </w:rPr>
        <w:t xml:space="preserve"> governs the indexation of fee units and fine units. The Treasurer sets the indexation rate for each financial year and the value of the fee unit is published in the Government Gazette and major newspapers</w:t>
      </w:r>
      <w:r w:rsidRPr="001C5E3D">
        <w:rPr>
          <w:rFonts w:asciiTheme="minorHAnsi" w:hAnsiTheme="minorHAnsi"/>
        </w:rPr>
        <w:t xml:space="preserve"> </w:t>
      </w:r>
      <w:r w:rsidRPr="00824535">
        <w:rPr>
          <w:rFonts w:asciiTheme="minorHAnsi" w:hAnsiTheme="minorHAnsi"/>
        </w:rPr>
        <w:t>before 1 June in the preceding financial year</w:t>
      </w:r>
      <w:r w:rsidRPr="00446289">
        <w:rPr>
          <w:rFonts w:asciiTheme="minorHAnsi" w:hAnsiTheme="minorHAnsi"/>
        </w:rPr>
        <w:t>.</w:t>
      </w:r>
    </w:p>
    <w:p w:rsidR="006B41B4" w:rsidRDefault="00471F48" w:rsidP="006B41B4">
      <w:pPr>
        <w:spacing w:after="240" w:line="276" w:lineRule="auto"/>
        <w:rPr>
          <w:rFonts w:asciiTheme="minorHAnsi" w:hAnsiTheme="minorHAnsi"/>
        </w:rPr>
      </w:pPr>
      <w:r w:rsidRPr="00446289">
        <w:rPr>
          <w:rFonts w:asciiTheme="minorHAnsi" w:hAnsiTheme="minorHAnsi"/>
        </w:rPr>
        <w:t>In accordance with government policy, the proposed fee will be set in terms of fee units, rather than dollar terms.</w:t>
      </w:r>
      <w:r w:rsidRPr="006B41B4">
        <w:rPr>
          <w:rFonts w:asciiTheme="minorHAnsi" w:hAnsiTheme="minorHAnsi"/>
        </w:rPr>
        <w:t xml:space="preserve"> </w:t>
      </w:r>
      <w:r w:rsidRPr="00446289">
        <w:rPr>
          <w:rFonts w:asciiTheme="minorHAnsi" w:hAnsiTheme="minorHAnsi"/>
        </w:rPr>
        <w:t>Setting the fee in this way provides a mechanism for the automatic indexation of the value of the fee in line with movements in inflation. This will align with financial year increases which apply to other government fees and charges and will correspond with Agency and Departmental Budget processes.</w:t>
      </w:r>
      <w:r w:rsidR="00595BCD">
        <w:rPr>
          <w:rFonts w:asciiTheme="minorHAnsi" w:hAnsiTheme="minorHAnsi"/>
        </w:rPr>
        <w:t xml:space="preserve"> </w:t>
      </w:r>
    </w:p>
    <w:p w:rsidR="005A6062" w:rsidRDefault="00471F48" w:rsidP="005A6062">
      <w:pPr>
        <w:spacing w:after="240" w:line="276" w:lineRule="auto"/>
        <w:rPr>
          <w:rFonts w:asciiTheme="minorHAnsi" w:hAnsiTheme="minorHAnsi"/>
        </w:rPr>
      </w:pPr>
      <w:r w:rsidRPr="00B9191D">
        <w:rPr>
          <w:rFonts w:asciiTheme="minorHAnsi" w:hAnsiTheme="minorHAnsi"/>
        </w:rPr>
        <w:t xml:space="preserve">The indexed fee will apply until the </w:t>
      </w:r>
      <w:r>
        <w:rPr>
          <w:rFonts w:asciiTheme="minorHAnsi" w:hAnsiTheme="minorHAnsi"/>
        </w:rPr>
        <w:t>Regulations</w:t>
      </w:r>
      <w:r w:rsidRPr="00B9191D">
        <w:rPr>
          <w:rFonts w:asciiTheme="minorHAnsi" w:hAnsiTheme="minorHAnsi"/>
        </w:rPr>
        <w:t xml:space="preserve"> sunset in 2025, subject to any </w:t>
      </w:r>
      <w:r>
        <w:rPr>
          <w:rFonts w:asciiTheme="minorHAnsi" w:hAnsiTheme="minorHAnsi"/>
        </w:rPr>
        <w:t>changes in process</w:t>
      </w:r>
      <w:r w:rsidRPr="00B9191D">
        <w:rPr>
          <w:rFonts w:asciiTheme="minorHAnsi" w:hAnsiTheme="minorHAnsi"/>
        </w:rPr>
        <w:t xml:space="preserve">, at which time the SRO will again be required to cost the clearance certificate service and alter the fee if it no longer reflects the actual cost of providing the service. It is anticipated that the fee </w:t>
      </w:r>
      <w:r>
        <w:rPr>
          <w:rFonts w:asciiTheme="minorHAnsi" w:hAnsiTheme="minorHAnsi"/>
        </w:rPr>
        <w:t>will</w:t>
      </w:r>
      <w:r w:rsidRPr="00B9191D">
        <w:rPr>
          <w:rFonts w:asciiTheme="minorHAnsi" w:hAnsiTheme="minorHAnsi"/>
        </w:rPr>
        <w:t xml:space="preserve"> continue to reflect an efficient cost base over time as the fee will be expressed </w:t>
      </w:r>
      <w:r w:rsidRPr="00B9191D">
        <w:rPr>
          <w:rFonts w:asciiTheme="minorHAnsi" w:hAnsiTheme="minorHAnsi"/>
        </w:rPr>
        <w:lastRenderedPageBreak/>
        <w:t>in fee units and linked to the annual rate set by the Treasurer. This annual rate is typically less than wages growth and is set through consultation to ensure fee levels remain appropria</w:t>
      </w:r>
      <w:r w:rsidR="00F47DC1">
        <w:rPr>
          <w:rFonts w:asciiTheme="minorHAnsi" w:hAnsiTheme="minorHAnsi"/>
        </w:rPr>
        <w:t>te.</w:t>
      </w:r>
    </w:p>
    <w:p w:rsidR="00841201" w:rsidRPr="000718CF" w:rsidRDefault="00073305" w:rsidP="001D160F">
      <w:pPr>
        <w:pStyle w:val="Heading2"/>
        <w:spacing w:before="0" w:after="240" w:line="276" w:lineRule="auto"/>
        <w:rPr>
          <w:rFonts w:asciiTheme="minorHAnsi" w:eastAsia="Times New Roman" w:hAnsiTheme="minorHAnsi" w:cs="Times New Roman"/>
          <w:i/>
          <w:color w:val="auto"/>
          <w:sz w:val="24"/>
          <w:szCs w:val="22"/>
        </w:rPr>
      </w:pPr>
      <w:bookmarkStart w:id="16" w:name="_Toc432510187"/>
      <w:r w:rsidRPr="000718CF">
        <w:rPr>
          <w:rFonts w:asciiTheme="minorHAnsi" w:eastAsia="Times New Roman" w:hAnsiTheme="minorHAnsi" w:cs="Times New Roman"/>
          <w:i/>
          <w:color w:val="auto"/>
          <w:sz w:val="24"/>
          <w:szCs w:val="22"/>
        </w:rPr>
        <w:t>6.3.</w:t>
      </w:r>
      <w:r w:rsidR="00FC6490">
        <w:rPr>
          <w:rFonts w:asciiTheme="minorHAnsi" w:eastAsia="Times New Roman" w:hAnsiTheme="minorHAnsi" w:cs="Times New Roman"/>
          <w:i/>
          <w:color w:val="auto"/>
          <w:sz w:val="24"/>
          <w:szCs w:val="22"/>
        </w:rPr>
        <w:t>2</w:t>
      </w:r>
      <w:r w:rsidRPr="000718CF">
        <w:rPr>
          <w:rFonts w:asciiTheme="minorHAnsi" w:eastAsia="Times New Roman" w:hAnsiTheme="minorHAnsi" w:cs="Times New Roman"/>
          <w:i/>
          <w:color w:val="auto"/>
          <w:sz w:val="24"/>
          <w:szCs w:val="22"/>
        </w:rPr>
        <w:t xml:space="preserve">. </w:t>
      </w:r>
      <w:r w:rsidR="00CB3271">
        <w:rPr>
          <w:rFonts w:asciiTheme="minorHAnsi" w:eastAsia="Times New Roman" w:hAnsiTheme="minorHAnsi" w:cs="Times New Roman"/>
          <w:i/>
          <w:color w:val="auto"/>
          <w:sz w:val="24"/>
          <w:szCs w:val="22"/>
        </w:rPr>
        <w:tab/>
      </w:r>
      <w:r w:rsidR="00C322BE">
        <w:rPr>
          <w:rFonts w:asciiTheme="minorHAnsi" w:eastAsia="Times New Roman" w:hAnsiTheme="minorHAnsi" w:cs="Times New Roman"/>
          <w:i/>
          <w:color w:val="auto"/>
          <w:sz w:val="24"/>
          <w:szCs w:val="22"/>
        </w:rPr>
        <w:t>Consideration of feasible options</w:t>
      </w:r>
      <w:bookmarkEnd w:id="16"/>
      <w:r w:rsidR="00C322BE">
        <w:rPr>
          <w:rFonts w:asciiTheme="minorHAnsi" w:eastAsia="Times New Roman" w:hAnsiTheme="minorHAnsi" w:cs="Times New Roman"/>
          <w:i/>
          <w:color w:val="auto"/>
          <w:sz w:val="24"/>
          <w:szCs w:val="22"/>
        </w:rPr>
        <w:t xml:space="preserve"> </w:t>
      </w:r>
      <w:r w:rsidR="00841201" w:rsidRPr="000718CF">
        <w:rPr>
          <w:rFonts w:asciiTheme="minorHAnsi" w:eastAsia="Times New Roman" w:hAnsiTheme="minorHAnsi" w:cs="Times New Roman"/>
          <w:i/>
          <w:color w:val="auto"/>
          <w:sz w:val="24"/>
          <w:szCs w:val="22"/>
        </w:rPr>
        <w:t xml:space="preserve"> </w:t>
      </w:r>
    </w:p>
    <w:p w:rsidR="00406388" w:rsidRPr="00E83990" w:rsidRDefault="006E3B14" w:rsidP="00406388">
      <w:pPr>
        <w:pStyle w:val="Style14ptJustified"/>
        <w:keepLines/>
        <w:spacing w:after="120" w:line="276" w:lineRule="auto"/>
        <w:jc w:val="left"/>
        <w:rPr>
          <w:rFonts w:ascii="Calibri" w:hAnsi="Calibri"/>
          <w:sz w:val="24"/>
          <w:szCs w:val="24"/>
        </w:rPr>
      </w:pPr>
      <w:r w:rsidRPr="00B408E6">
        <w:rPr>
          <w:rFonts w:ascii="Calibri" w:hAnsi="Calibri"/>
          <w:sz w:val="24"/>
          <w:szCs w:val="24"/>
        </w:rPr>
        <w:t xml:space="preserve">The objectives of the proposed Regulations can potentially be achieved by several options. </w:t>
      </w:r>
      <w:r w:rsidR="00B408E6">
        <w:rPr>
          <w:rFonts w:ascii="Calibri" w:hAnsi="Calibri"/>
          <w:sz w:val="24"/>
          <w:szCs w:val="24"/>
        </w:rPr>
        <w:t>T</w:t>
      </w:r>
      <w:r w:rsidR="00406388" w:rsidRPr="00E83990">
        <w:rPr>
          <w:rFonts w:ascii="Calibri" w:hAnsi="Calibri"/>
          <w:sz w:val="24"/>
          <w:szCs w:val="24"/>
        </w:rPr>
        <w:t xml:space="preserve">he SRO </w:t>
      </w:r>
      <w:r w:rsidR="00C322BE">
        <w:rPr>
          <w:rFonts w:ascii="Calibri" w:hAnsi="Calibri"/>
          <w:sz w:val="24"/>
          <w:szCs w:val="24"/>
        </w:rPr>
        <w:t xml:space="preserve">has </w:t>
      </w:r>
      <w:r>
        <w:rPr>
          <w:rFonts w:ascii="Calibri" w:hAnsi="Calibri"/>
          <w:sz w:val="24"/>
          <w:szCs w:val="24"/>
        </w:rPr>
        <w:t>analysed</w:t>
      </w:r>
      <w:r w:rsidR="00C322BE">
        <w:rPr>
          <w:rFonts w:ascii="Calibri" w:hAnsi="Calibri"/>
          <w:sz w:val="24"/>
          <w:szCs w:val="24"/>
        </w:rPr>
        <w:t xml:space="preserve"> </w:t>
      </w:r>
      <w:r w:rsidR="00406388" w:rsidRPr="00E83990">
        <w:rPr>
          <w:rFonts w:ascii="Calibri" w:hAnsi="Calibri"/>
          <w:sz w:val="24"/>
          <w:szCs w:val="24"/>
        </w:rPr>
        <w:t>the following three alternatives</w:t>
      </w:r>
      <w:r w:rsidRPr="006E3B14">
        <w:rPr>
          <w:rFonts w:ascii="Calibri" w:hAnsi="Calibri"/>
          <w:sz w:val="24"/>
          <w:szCs w:val="24"/>
        </w:rPr>
        <w:t xml:space="preserve"> </w:t>
      </w:r>
      <w:r>
        <w:rPr>
          <w:rFonts w:ascii="Calibri" w:hAnsi="Calibri"/>
          <w:sz w:val="24"/>
          <w:szCs w:val="24"/>
        </w:rPr>
        <w:t>in detail</w:t>
      </w:r>
      <w:r w:rsidR="00406388" w:rsidRPr="00E83990">
        <w:rPr>
          <w:rFonts w:ascii="Calibri" w:hAnsi="Calibri"/>
          <w:sz w:val="24"/>
          <w:szCs w:val="24"/>
        </w:rPr>
        <w:t>:</w:t>
      </w:r>
    </w:p>
    <w:p w:rsidR="006E3B14" w:rsidRDefault="0056021B" w:rsidP="003A67E6">
      <w:pPr>
        <w:pStyle w:val="Style14ptJustified"/>
        <w:keepLines/>
        <w:numPr>
          <w:ilvl w:val="0"/>
          <w:numId w:val="9"/>
        </w:numPr>
        <w:spacing w:after="120" w:line="276" w:lineRule="auto"/>
        <w:jc w:val="left"/>
        <w:rPr>
          <w:rFonts w:ascii="Calibri" w:hAnsi="Calibri"/>
          <w:sz w:val="24"/>
          <w:szCs w:val="24"/>
        </w:rPr>
      </w:pPr>
      <w:r>
        <w:rPr>
          <w:rFonts w:asciiTheme="minorHAnsi" w:hAnsiTheme="minorHAnsi"/>
          <w:i/>
          <w:sz w:val="24"/>
          <w:szCs w:val="24"/>
        </w:rPr>
        <w:t xml:space="preserve">Option 1: </w:t>
      </w:r>
      <w:r w:rsidR="00406388" w:rsidRPr="00E83990">
        <w:rPr>
          <w:rFonts w:asciiTheme="minorHAnsi" w:hAnsiTheme="minorHAnsi"/>
          <w:sz w:val="24"/>
          <w:szCs w:val="24"/>
        </w:rPr>
        <w:t>No application fee</w:t>
      </w:r>
      <w:r w:rsidR="00406388" w:rsidRPr="00E83990">
        <w:rPr>
          <w:rFonts w:ascii="Calibri" w:hAnsi="Calibri"/>
          <w:sz w:val="24"/>
          <w:szCs w:val="24"/>
        </w:rPr>
        <w:t xml:space="preserve"> prescribed (base case scenario)</w:t>
      </w:r>
      <w:r>
        <w:rPr>
          <w:rFonts w:ascii="Calibri" w:hAnsi="Calibri"/>
          <w:sz w:val="24"/>
          <w:szCs w:val="24"/>
        </w:rPr>
        <w:t>;</w:t>
      </w:r>
    </w:p>
    <w:p w:rsidR="006E3B14" w:rsidRPr="006E3B14" w:rsidRDefault="0056021B" w:rsidP="003A67E6">
      <w:pPr>
        <w:pStyle w:val="Style14ptJustified"/>
        <w:keepLines/>
        <w:numPr>
          <w:ilvl w:val="0"/>
          <w:numId w:val="9"/>
        </w:numPr>
        <w:spacing w:after="120" w:line="276" w:lineRule="auto"/>
        <w:jc w:val="left"/>
        <w:rPr>
          <w:rFonts w:asciiTheme="minorHAnsi" w:hAnsiTheme="minorHAnsi"/>
          <w:sz w:val="24"/>
          <w:szCs w:val="24"/>
        </w:rPr>
      </w:pPr>
      <w:r w:rsidRPr="0056021B">
        <w:rPr>
          <w:rFonts w:asciiTheme="minorHAnsi" w:hAnsiTheme="minorHAnsi"/>
          <w:i/>
          <w:sz w:val="24"/>
          <w:szCs w:val="24"/>
        </w:rPr>
        <w:t>Option 2:</w:t>
      </w:r>
      <w:r>
        <w:rPr>
          <w:rFonts w:asciiTheme="minorHAnsi" w:hAnsiTheme="minorHAnsi"/>
          <w:sz w:val="24"/>
          <w:szCs w:val="24"/>
        </w:rPr>
        <w:t xml:space="preserve"> </w:t>
      </w:r>
      <w:r w:rsidR="006E3B14">
        <w:rPr>
          <w:rFonts w:asciiTheme="minorHAnsi" w:hAnsiTheme="minorHAnsi"/>
          <w:sz w:val="24"/>
          <w:szCs w:val="24"/>
        </w:rPr>
        <w:t>Prescribing</w:t>
      </w:r>
      <w:r w:rsidR="006E3B14" w:rsidRPr="006E3B14">
        <w:rPr>
          <w:rFonts w:ascii="Calibri" w:hAnsi="Calibri"/>
          <w:sz w:val="24"/>
          <w:szCs w:val="24"/>
        </w:rPr>
        <w:t xml:space="preserve"> </w:t>
      </w:r>
      <w:r w:rsidR="006E3B14" w:rsidRPr="00001ACE">
        <w:rPr>
          <w:rFonts w:ascii="Calibri" w:hAnsi="Calibri"/>
          <w:sz w:val="24"/>
          <w:szCs w:val="24"/>
        </w:rPr>
        <w:t>separate fees for online and paper applications</w:t>
      </w:r>
      <w:r w:rsidR="006E3B14" w:rsidRPr="006E3B14">
        <w:rPr>
          <w:rFonts w:asciiTheme="minorHAnsi" w:hAnsiTheme="minorHAnsi"/>
          <w:sz w:val="24"/>
          <w:szCs w:val="24"/>
        </w:rPr>
        <w:t xml:space="preserve"> </w:t>
      </w:r>
      <w:r w:rsidR="006E3B14">
        <w:rPr>
          <w:rFonts w:asciiTheme="minorHAnsi" w:hAnsiTheme="minorHAnsi"/>
          <w:sz w:val="24"/>
          <w:szCs w:val="24"/>
        </w:rPr>
        <w:t>based on</w:t>
      </w:r>
      <w:r w:rsidR="006E3B14" w:rsidRPr="006E3B14">
        <w:rPr>
          <w:rFonts w:asciiTheme="minorHAnsi" w:hAnsiTheme="minorHAnsi"/>
          <w:sz w:val="24"/>
          <w:szCs w:val="24"/>
        </w:rPr>
        <w:t xml:space="preserve"> current costs and indexation</w:t>
      </w:r>
      <w:r>
        <w:rPr>
          <w:rFonts w:asciiTheme="minorHAnsi" w:hAnsiTheme="minorHAnsi"/>
          <w:sz w:val="24"/>
          <w:szCs w:val="24"/>
        </w:rPr>
        <w:t>;</w:t>
      </w:r>
    </w:p>
    <w:p w:rsidR="00C51A1E" w:rsidRPr="00C51A1E" w:rsidRDefault="0056021B" w:rsidP="00C51A1E">
      <w:pPr>
        <w:pStyle w:val="Style14ptJustified"/>
        <w:keepLines/>
        <w:numPr>
          <w:ilvl w:val="0"/>
          <w:numId w:val="9"/>
        </w:numPr>
        <w:spacing w:after="240" w:line="276" w:lineRule="auto"/>
        <w:ind w:left="714" w:hanging="357"/>
        <w:jc w:val="left"/>
        <w:rPr>
          <w:rFonts w:ascii="Calibri" w:hAnsi="Calibri"/>
          <w:sz w:val="24"/>
          <w:szCs w:val="24"/>
          <w:u w:val="single"/>
        </w:rPr>
      </w:pPr>
      <w:r w:rsidRPr="0056021B">
        <w:rPr>
          <w:rFonts w:asciiTheme="minorHAnsi" w:hAnsiTheme="minorHAnsi"/>
          <w:i/>
          <w:sz w:val="24"/>
          <w:szCs w:val="24"/>
        </w:rPr>
        <w:t>Option 3:</w:t>
      </w:r>
      <w:r>
        <w:rPr>
          <w:rFonts w:ascii="Calibri" w:hAnsi="Calibri"/>
          <w:sz w:val="24"/>
          <w:szCs w:val="24"/>
        </w:rPr>
        <w:t xml:space="preserve"> Prescribing one fee for all applications based on </w:t>
      </w:r>
      <w:r w:rsidRPr="006E3B14">
        <w:rPr>
          <w:rFonts w:asciiTheme="minorHAnsi" w:hAnsiTheme="minorHAnsi"/>
          <w:sz w:val="24"/>
          <w:szCs w:val="24"/>
        </w:rPr>
        <w:t>current costs and indexation</w:t>
      </w:r>
      <w:r>
        <w:rPr>
          <w:rFonts w:asciiTheme="minorHAnsi" w:hAnsiTheme="minorHAnsi"/>
          <w:sz w:val="24"/>
          <w:szCs w:val="24"/>
        </w:rPr>
        <w:t>.</w:t>
      </w:r>
    </w:p>
    <w:p w:rsidR="004F0791" w:rsidRPr="00245DF4" w:rsidRDefault="004F0791" w:rsidP="00C51A1E">
      <w:pPr>
        <w:pStyle w:val="Style14ptJustified"/>
        <w:keepLines/>
        <w:spacing w:after="120" w:line="276" w:lineRule="auto"/>
        <w:jc w:val="left"/>
        <w:rPr>
          <w:rFonts w:ascii="Calibri" w:hAnsi="Calibri"/>
          <w:sz w:val="24"/>
          <w:szCs w:val="24"/>
          <w:u w:val="single"/>
        </w:rPr>
      </w:pPr>
      <w:r>
        <w:rPr>
          <w:rFonts w:ascii="Calibri" w:hAnsi="Calibri"/>
          <w:sz w:val="24"/>
          <w:szCs w:val="24"/>
          <w:u w:val="single"/>
        </w:rPr>
        <w:t>Cost/</w:t>
      </w:r>
      <w:r w:rsidRPr="00245DF4">
        <w:rPr>
          <w:rFonts w:ascii="Calibri" w:hAnsi="Calibri"/>
          <w:sz w:val="24"/>
          <w:szCs w:val="24"/>
          <w:u w:val="single"/>
        </w:rPr>
        <w:t xml:space="preserve">revenue </w:t>
      </w:r>
      <w:r>
        <w:rPr>
          <w:rFonts w:ascii="Calibri" w:hAnsi="Calibri"/>
          <w:sz w:val="24"/>
          <w:szCs w:val="24"/>
          <w:u w:val="single"/>
        </w:rPr>
        <w:t>comparison for each of the options</w:t>
      </w:r>
    </w:p>
    <w:p w:rsidR="004F0791" w:rsidRPr="00245DF4" w:rsidRDefault="004F0791" w:rsidP="004F0791">
      <w:pPr>
        <w:spacing w:after="240" w:line="276" w:lineRule="auto"/>
        <w:rPr>
          <w:rFonts w:ascii="Calibri" w:hAnsi="Calibri"/>
          <w:u w:val="single"/>
        </w:rPr>
      </w:pPr>
      <w:r w:rsidRPr="00E83990">
        <w:rPr>
          <w:rFonts w:ascii="Calibri" w:hAnsi="Calibri"/>
        </w:rPr>
        <w:t xml:space="preserve">The following table summarises the expected revenue impacts of the alternative fee amounts considered. </w:t>
      </w:r>
      <w:r>
        <w:rPr>
          <w:rFonts w:ascii="Calibri" w:hAnsi="Calibri"/>
        </w:rPr>
        <w:t xml:space="preserve">This comparison has been developed on the basis </w:t>
      </w:r>
      <w:r w:rsidRPr="00F65454">
        <w:rPr>
          <w:rFonts w:ascii="Calibri" w:hAnsi="Calibri"/>
        </w:rPr>
        <w:t>that the SRO receives on average 170,000 applications each year</w:t>
      </w:r>
      <w:r w:rsidR="00E43483">
        <w:rPr>
          <w:rStyle w:val="FootnoteReference"/>
          <w:rFonts w:ascii="Calibri" w:hAnsi="Calibri"/>
        </w:rPr>
        <w:footnoteReference w:id="8"/>
      </w:r>
      <w:r w:rsidRPr="00F65454">
        <w:rPr>
          <w:rFonts w:ascii="Calibri" w:hAnsi="Calibri"/>
        </w:rPr>
        <w:t xml:space="preserve">, of which </w:t>
      </w:r>
      <w:r w:rsidR="001720B2">
        <w:rPr>
          <w:rFonts w:ascii="Calibri" w:hAnsi="Calibri"/>
        </w:rPr>
        <w:t>approximately 0.3</w:t>
      </w:r>
      <w:r>
        <w:rPr>
          <w:rFonts w:ascii="Calibri" w:hAnsi="Calibri"/>
        </w:rPr>
        <w:t xml:space="preserve"> per cent are paper applications</w:t>
      </w:r>
      <w:r w:rsidRPr="00F65454">
        <w:rPr>
          <w:rFonts w:ascii="Calibri" w:hAnsi="Calibri"/>
        </w:rPr>
        <w:t>.</w:t>
      </w:r>
      <w:r w:rsidR="00E43483">
        <w:rPr>
          <w:rFonts w:ascii="Calibri" w:hAnsi="Calibri"/>
        </w:rPr>
        <w:t xml:space="preserve"> </w:t>
      </w:r>
    </w:p>
    <w:tbl>
      <w:tblPr>
        <w:tblStyle w:val="TableGrid"/>
        <w:tblW w:w="0" w:type="auto"/>
        <w:tblLayout w:type="fixed"/>
        <w:tblLook w:val="04A0" w:firstRow="1" w:lastRow="0" w:firstColumn="1" w:lastColumn="0" w:noHBand="0" w:noVBand="1"/>
      </w:tblPr>
      <w:tblGrid>
        <w:gridCol w:w="4219"/>
        <w:gridCol w:w="1559"/>
        <w:gridCol w:w="1560"/>
        <w:gridCol w:w="1842"/>
      </w:tblGrid>
      <w:tr w:rsidR="004F0791" w:rsidRPr="00F65454" w:rsidTr="00776286">
        <w:trPr>
          <w:trHeight w:val="425"/>
        </w:trPr>
        <w:tc>
          <w:tcPr>
            <w:tcW w:w="4219" w:type="dxa"/>
            <w:tcBorders>
              <w:top w:val="nil"/>
              <w:left w:val="nil"/>
              <w:bottom w:val="single" w:sz="4" w:space="0" w:color="auto"/>
              <w:right w:val="single" w:sz="4" w:space="0" w:color="auto"/>
            </w:tcBorders>
            <w:vAlign w:val="center"/>
          </w:tcPr>
          <w:p w:rsidR="004F0791" w:rsidRPr="00F65454" w:rsidRDefault="004F0791" w:rsidP="00776286">
            <w:pPr>
              <w:pStyle w:val="Style14ptJustified"/>
              <w:keepLines/>
              <w:spacing w:after="0" w:line="276" w:lineRule="auto"/>
              <w:jc w:val="left"/>
              <w:rPr>
                <w:rFonts w:ascii="Calibri" w:hAnsi="Calibri"/>
                <w:sz w:val="24"/>
                <w:szCs w:val="24"/>
              </w:rPr>
            </w:pPr>
          </w:p>
        </w:tc>
        <w:tc>
          <w:tcPr>
            <w:tcW w:w="1559" w:type="dxa"/>
            <w:tcBorders>
              <w:left w:val="single" w:sz="4" w:space="0" w:color="auto"/>
            </w:tcBorders>
            <w:vAlign w:val="center"/>
          </w:tcPr>
          <w:p w:rsidR="004F0791" w:rsidRPr="00F65454" w:rsidRDefault="004F0791" w:rsidP="00776286">
            <w:pPr>
              <w:pStyle w:val="Style14ptJustified"/>
              <w:keepLines/>
              <w:spacing w:after="0" w:line="276" w:lineRule="auto"/>
              <w:jc w:val="left"/>
              <w:rPr>
                <w:rFonts w:ascii="Calibri" w:hAnsi="Calibri"/>
                <w:sz w:val="22"/>
                <w:szCs w:val="24"/>
              </w:rPr>
            </w:pPr>
            <w:r w:rsidRPr="00F65454">
              <w:rPr>
                <w:rFonts w:ascii="Calibri" w:hAnsi="Calibri"/>
                <w:sz w:val="22"/>
                <w:szCs w:val="24"/>
              </w:rPr>
              <w:t>Revenue</w:t>
            </w:r>
          </w:p>
        </w:tc>
        <w:tc>
          <w:tcPr>
            <w:tcW w:w="1560" w:type="dxa"/>
            <w:vAlign w:val="center"/>
          </w:tcPr>
          <w:p w:rsidR="004F0791" w:rsidRPr="00F65454" w:rsidRDefault="004F0791" w:rsidP="00776286">
            <w:pPr>
              <w:pStyle w:val="Style14ptJustified"/>
              <w:keepLines/>
              <w:spacing w:after="0" w:line="276" w:lineRule="auto"/>
              <w:jc w:val="left"/>
              <w:rPr>
                <w:rFonts w:ascii="Calibri" w:hAnsi="Calibri"/>
                <w:sz w:val="22"/>
                <w:szCs w:val="24"/>
              </w:rPr>
            </w:pPr>
            <w:r w:rsidRPr="00F65454">
              <w:rPr>
                <w:rFonts w:ascii="Calibri" w:hAnsi="Calibri"/>
                <w:sz w:val="22"/>
                <w:szCs w:val="24"/>
              </w:rPr>
              <w:t>Cost</w:t>
            </w:r>
          </w:p>
        </w:tc>
        <w:tc>
          <w:tcPr>
            <w:tcW w:w="1842" w:type="dxa"/>
            <w:vAlign w:val="center"/>
          </w:tcPr>
          <w:p w:rsidR="004F0791" w:rsidRPr="00F65454" w:rsidRDefault="00CF7515" w:rsidP="00776286">
            <w:pPr>
              <w:pStyle w:val="Style14ptJustified"/>
              <w:keepLines/>
              <w:spacing w:after="0" w:line="276" w:lineRule="auto"/>
              <w:jc w:val="left"/>
              <w:rPr>
                <w:rFonts w:ascii="Calibri" w:hAnsi="Calibri"/>
                <w:sz w:val="22"/>
                <w:szCs w:val="24"/>
              </w:rPr>
            </w:pPr>
            <w:r>
              <w:rPr>
                <w:rFonts w:ascii="Calibri" w:hAnsi="Calibri"/>
                <w:sz w:val="22"/>
                <w:szCs w:val="24"/>
              </w:rPr>
              <w:t>Net Revenue</w:t>
            </w:r>
            <w:r w:rsidR="004F0791" w:rsidRPr="00F65454">
              <w:rPr>
                <w:rFonts w:ascii="Calibri" w:hAnsi="Calibri"/>
                <w:sz w:val="22"/>
                <w:szCs w:val="24"/>
              </w:rPr>
              <w:t xml:space="preserve"> </w:t>
            </w:r>
          </w:p>
        </w:tc>
      </w:tr>
      <w:tr w:rsidR="004F0791" w:rsidRPr="00F65454" w:rsidTr="00776286">
        <w:trPr>
          <w:trHeight w:val="425"/>
        </w:trPr>
        <w:tc>
          <w:tcPr>
            <w:tcW w:w="4219" w:type="dxa"/>
            <w:tcBorders>
              <w:top w:val="single" w:sz="4" w:space="0" w:color="auto"/>
              <w:left w:val="single" w:sz="4" w:space="0" w:color="auto"/>
              <w:right w:val="single" w:sz="4" w:space="0" w:color="auto"/>
            </w:tcBorders>
            <w:vAlign w:val="center"/>
          </w:tcPr>
          <w:p w:rsidR="004F0791" w:rsidRPr="00F65454" w:rsidRDefault="004F0791" w:rsidP="00776286">
            <w:pPr>
              <w:pStyle w:val="Style14ptJustified"/>
              <w:keepLines/>
              <w:spacing w:after="0" w:line="276" w:lineRule="auto"/>
              <w:jc w:val="left"/>
              <w:rPr>
                <w:rFonts w:ascii="Calibri" w:hAnsi="Calibri"/>
                <w:sz w:val="22"/>
                <w:szCs w:val="24"/>
              </w:rPr>
            </w:pPr>
            <w:r w:rsidRPr="00F65454">
              <w:rPr>
                <w:rFonts w:asciiTheme="minorHAnsi" w:hAnsiTheme="minorHAnsi"/>
                <w:sz w:val="22"/>
                <w:szCs w:val="24"/>
              </w:rPr>
              <w:t>Option 1: No fee</w:t>
            </w:r>
          </w:p>
        </w:tc>
        <w:tc>
          <w:tcPr>
            <w:tcW w:w="1559" w:type="dxa"/>
            <w:tcBorders>
              <w:left w:val="single" w:sz="4" w:space="0" w:color="auto"/>
            </w:tcBorders>
            <w:vAlign w:val="center"/>
          </w:tcPr>
          <w:p w:rsidR="004F0791" w:rsidRPr="00F65454" w:rsidRDefault="004F0791" w:rsidP="00776286">
            <w:pPr>
              <w:pStyle w:val="Style14ptJustified"/>
              <w:keepLines/>
              <w:spacing w:after="0" w:line="276" w:lineRule="auto"/>
              <w:jc w:val="left"/>
              <w:rPr>
                <w:rFonts w:ascii="Calibri" w:hAnsi="Calibri"/>
                <w:sz w:val="22"/>
                <w:szCs w:val="24"/>
              </w:rPr>
            </w:pPr>
            <w:r w:rsidRPr="00F65454">
              <w:rPr>
                <w:rFonts w:ascii="Calibri" w:hAnsi="Calibri"/>
                <w:sz w:val="22"/>
                <w:szCs w:val="24"/>
              </w:rPr>
              <w:t xml:space="preserve">$0 </w:t>
            </w:r>
          </w:p>
        </w:tc>
        <w:tc>
          <w:tcPr>
            <w:tcW w:w="1560" w:type="dxa"/>
            <w:vAlign w:val="center"/>
          </w:tcPr>
          <w:p w:rsidR="004F0791" w:rsidRPr="00F65454" w:rsidRDefault="004F0791" w:rsidP="00776286">
            <w:pPr>
              <w:pStyle w:val="Style14ptJustified"/>
              <w:keepLines/>
              <w:spacing w:after="0" w:line="276" w:lineRule="auto"/>
              <w:jc w:val="left"/>
              <w:rPr>
                <w:rFonts w:ascii="Calibri" w:hAnsi="Calibri"/>
                <w:sz w:val="22"/>
                <w:szCs w:val="24"/>
              </w:rPr>
            </w:pPr>
            <w:r w:rsidRPr="00F65454">
              <w:rPr>
                <w:rFonts w:ascii="Calibri" w:hAnsi="Calibri"/>
                <w:sz w:val="22"/>
                <w:szCs w:val="24"/>
              </w:rPr>
              <w:t>$2</w:t>
            </w:r>
            <w:r>
              <w:rPr>
                <w:rFonts w:ascii="Calibri" w:hAnsi="Calibri"/>
                <w:sz w:val="22"/>
                <w:szCs w:val="24"/>
              </w:rPr>
              <w:t>,</w:t>
            </w:r>
            <w:r w:rsidRPr="00F65454">
              <w:rPr>
                <w:rFonts w:ascii="Calibri" w:hAnsi="Calibri"/>
                <w:sz w:val="22"/>
                <w:szCs w:val="24"/>
              </w:rPr>
              <w:t>6</w:t>
            </w:r>
            <w:r>
              <w:rPr>
                <w:rFonts w:ascii="Calibri" w:hAnsi="Calibri"/>
                <w:sz w:val="22"/>
                <w:szCs w:val="24"/>
              </w:rPr>
              <w:t>86,72</w:t>
            </w:r>
            <w:r w:rsidR="00CF1275">
              <w:rPr>
                <w:rFonts w:ascii="Calibri" w:hAnsi="Calibri"/>
                <w:sz w:val="22"/>
                <w:szCs w:val="24"/>
              </w:rPr>
              <w:t>7</w:t>
            </w:r>
            <w:r w:rsidRPr="00F65454">
              <w:rPr>
                <w:rFonts w:ascii="Calibri" w:hAnsi="Calibri"/>
                <w:sz w:val="22"/>
                <w:szCs w:val="24"/>
              </w:rPr>
              <w:t xml:space="preserve"> </w:t>
            </w:r>
          </w:p>
        </w:tc>
        <w:tc>
          <w:tcPr>
            <w:tcW w:w="1842" w:type="dxa"/>
            <w:vAlign w:val="center"/>
          </w:tcPr>
          <w:p w:rsidR="004F0791" w:rsidRPr="00F65454" w:rsidRDefault="004F0791" w:rsidP="00CF1275">
            <w:pPr>
              <w:pStyle w:val="Style14ptJustified"/>
              <w:keepLines/>
              <w:spacing w:after="0" w:line="276" w:lineRule="auto"/>
              <w:jc w:val="left"/>
              <w:rPr>
                <w:rFonts w:ascii="Calibri" w:hAnsi="Calibri"/>
                <w:sz w:val="22"/>
                <w:szCs w:val="24"/>
              </w:rPr>
            </w:pPr>
            <w:r w:rsidRPr="00F65454">
              <w:rPr>
                <w:rFonts w:ascii="Calibri" w:hAnsi="Calibri"/>
                <w:color w:val="FF0000"/>
                <w:sz w:val="22"/>
                <w:szCs w:val="24"/>
              </w:rPr>
              <w:t>($2</w:t>
            </w:r>
            <w:r>
              <w:rPr>
                <w:rFonts w:ascii="Calibri" w:hAnsi="Calibri"/>
                <w:color w:val="FF0000"/>
                <w:sz w:val="22"/>
                <w:szCs w:val="24"/>
              </w:rPr>
              <w:t>,686,72</w:t>
            </w:r>
            <w:r w:rsidR="00CF1275">
              <w:rPr>
                <w:rFonts w:ascii="Calibri" w:hAnsi="Calibri"/>
                <w:color w:val="FF0000"/>
                <w:sz w:val="22"/>
                <w:szCs w:val="24"/>
              </w:rPr>
              <w:t>7</w:t>
            </w:r>
            <w:r w:rsidRPr="00F65454">
              <w:rPr>
                <w:rFonts w:ascii="Calibri" w:hAnsi="Calibri"/>
                <w:color w:val="FF0000"/>
                <w:sz w:val="22"/>
                <w:szCs w:val="24"/>
              </w:rPr>
              <w:t>)</w:t>
            </w:r>
          </w:p>
        </w:tc>
      </w:tr>
      <w:tr w:rsidR="004F0791" w:rsidRPr="00F65454" w:rsidTr="00776286">
        <w:trPr>
          <w:trHeight w:val="425"/>
        </w:trPr>
        <w:tc>
          <w:tcPr>
            <w:tcW w:w="4219" w:type="dxa"/>
            <w:tcBorders>
              <w:left w:val="single" w:sz="4" w:space="0" w:color="auto"/>
              <w:right w:val="single" w:sz="4" w:space="0" w:color="auto"/>
            </w:tcBorders>
            <w:vAlign w:val="center"/>
          </w:tcPr>
          <w:p w:rsidR="004F0791" w:rsidRPr="00F65454" w:rsidRDefault="004F0791" w:rsidP="005F738F">
            <w:pPr>
              <w:pStyle w:val="Style14ptJustified"/>
              <w:keepLines/>
              <w:spacing w:after="0" w:line="276" w:lineRule="auto"/>
              <w:jc w:val="left"/>
              <w:rPr>
                <w:rFonts w:asciiTheme="minorHAnsi" w:hAnsiTheme="minorHAnsi"/>
                <w:sz w:val="22"/>
                <w:szCs w:val="24"/>
              </w:rPr>
            </w:pPr>
            <w:r w:rsidRPr="00F65454">
              <w:rPr>
                <w:rFonts w:asciiTheme="minorHAnsi" w:hAnsiTheme="minorHAnsi"/>
                <w:sz w:val="22"/>
                <w:szCs w:val="24"/>
              </w:rPr>
              <w:t>Option 2: separate fees for online and paper applications</w:t>
            </w:r>
          </w:p>
        </w:tc>
        <w:tc>
          <w:tcPr>
            <w:tcW w:w="1559" w:type="dxa"/>
            <w:tcBorders>
              <w:left w:val="single" w:sz="4" w:space="0" w:color="auto"/>
            </w:tcBorders>
            <w:vAlign w:val="center"/>
          </w:tcPr>
          <w:p w:rsidR="004F0791" w:rsidRPr="00F65454" w:rsidRDefault="004F0791" w:rsidP="006536A4">
            <w:pPr>
              <w:pStyle w:val="Style14ptJustified"/>
              <w:keepLines/>
              <w:spacing w:after="0" w:line="276" w:lineRule="auto"/>
              <w:jc w:val="left"/>
              <w:rPr>
                <w:rFonts w:asciiTheme="minorHAnsi" w:hAnsiTheme="minorHAnsi"/>
                <w:sz w:val="22"/>
                <w:szCs w:val="24"/>
              </w:rPr>
            </w:pPr>
            <w:r w:rsidRPr="00F65454">
              <w:rPr>
                <w:rFonts w:asciiTheme="minorHAnsi" w:hAnsiTheme="minorHAnsi"/>
                <w:sz w:val="22"/>
                <w:szCs w:val="24"/>
              </w:rPr>
              <w:t>$2</w:t>
            </w:r>
            <w:r>
              <w:rPr>
                <w:rFonts w:asciiTheme="minorHAnsi" w:hAnsiTheme="minorHAnsi"/>
                <w:sz w:val="22"/>
                <w:szCs w:val="24"/>
              </w:rPr>
              <w:t>,</w:t>
            </w:r>
            <w:r w:rsidR="006536A4">
              <w:rPr>
                <w:rFonts w:asciiTheme="minorHAnsi" w:hAnsiTheme="minorHAnsi"/>
                <w:sz w:val="22"/>
                <w:szCs w:val="24"/>
              </w:rPr>
              <w:t>696,602</w:t>
            </w:r>
          </w:p>
        </w:tc>
        <w:tc>
          <w:tcPr>
            <w:tcW w:w="1560" w:type="dxa"/>
            <w:vAlign w:val="center"/>
          </w:tcPr>
          <w:p w:rsidR="004F0791" w:rsidRPr="00F65454" w:rsidRDefault="004F0791" w:rsidP="00776286">
            <w:pPr>
              <w:pStyle w:val="Style14ptJustified"/>
              <w:keepLines/>
              <w:spacing w:after="0" w:line="276" w:lineRule="auto"/>
              <w:jc w:val="left"/>
              <w:rPr>
                <w:rFonts w:asciiTheme="minorHAnsi" w:hAnsiTheme="minorHAnsi"/>
                <w:sz w:val="22"/>
                <w:szCs w:val="24"/>
              </w:rPr>
            </w:pPr>
            <w:r w:rsidRPr="00F65454">
              <w:rPr>
                <w:rFonts w:ascii="Calibri" w:hAnsi="Calibri"/>
                <w:sz w:val="22"/>
                <w:szCs w:val="24"/>
              </w:rPr>
              <w:t>$2</w:t>
            </w:r>
            <w:r>
              <w:rPr>
                <w:rFonts w:ascii="Calibri" w:hAnsi="Calibri"/>
                <w:sz w:val="22"/>
                <w:szCs w:val="24"/>
              </w:rPr>
              <w:t>,</w:t>
            </w:r>
            <w:r w:rsidRPr="00F65454">
              <w:rPr>
                <w:rFonts w:ascii="Calibri" w:hAnsi="Calibri"/>
                <w:sz w:val="22"/>
                <w:szCs w:val="24"/>
              </w:rPr>
              <w:t>6</w:t>
            </w:r>
            <w:r>
              <w:rPr>
                <w:rFonts w:ascii="Calibri" w:hAnsi="Calibri"/>
                <w:sz w:val="22"/>
                <w:szCs w:val="24"/>
              </w:rPr>
              <w:t>86,72</w:t>
            </w:r>
            <w:r w:rsidR="00CF1275">
              <w:rPr>
                <w:rFonts w:ascii="Calibri" w:hAnsi="Calibri"/>
                <w:sz w:val="22"/>
                <w:szCs w:val="24"/>
              </w:rPr>
              <w:t>7</w:t>
            </w:r>
          </w:p>
        </w:tc>
        <w:tc>
          <w:tcPr>
            <w:tcW w:w="1842" w:type="dxa"/>
            <w:vAlign w:val="center"/>
          </w:tcPr>
          <w:p w:rsidR="004F0791" w:rsidRPr="00F65454" w:rsidRDefault="006536A4" w:rsidP="00CF1275">
            <w:pPr>
              <w:pStyle w:val="Style14ptJustified"/>
              <w:keepLines/>
              <w:spacing w:after="0" w:line="276" w:lineRule="auto"/>
              <w:jc w:val="left"/>
              <w:rPr>
                <w:rFonts w:ascii="Calibri" w:hAnsi="Calibri"/>
                <w:sz w:val="22"/>
                <w:szCs w:val="24"/>
              </w:rPr>
            </w:pPr>
            <w:r w:rsidRPr="006536A4">
              <w:rPr>
                <w:rFonts w:ascii="Calibri" w:hAnsi="Calibri"/>
                <w:sz w:val="22"/>
                <w:szCs w:val="24"/>
              </w:rPr>
              <w:t>$</w:t>
            </w:r>
            <w:r w:rsidR="00CF1275">
              <w:rPr>
                <w:rFonts w:ascii="Calibri" w:hAnsi="Calibri"/>
                <w:sz w:val="22"/>
                <w:szCs w:val="24"/>
              </w:rPr>
              <w:t>9,875</w:t>
            </w:r>
          </w:p>
        </w:tc>
      </w:tr>
      <w:tr w:rsidR="004F0791" w:rsidRPr="00824DBE" w:rsidTr="00776286">
        <w:trPr>
          <w:trHeight w:val="425"/>
        </w:trPr>
        <w:tc>
          <w:tcPr>
            <w:tcW w:w="4219" w:type="dxa"/>
            <w:tcBorders>
              <w:left w:val="single" w:sz="4" w:space="0" w:color="auto"/>
              <w:bottom w:val="single" w:sz="4" w:space="0" w:color="auto"/>
              <w:right w:val="single" w:sz="4" w:space="0" w:color="auto"/>
            </w:tcBorders>
            <w:vAlign w:val="center"/>
          </w:tcPr>
          <w:p w:rsidR="004F0791" w:rsidRPr="00F65454" w:rsidRDefault="004F0791" w:rsidP="00776286">
            <w:pPr>
              <w:pStyle w:val="Style14ptJustified"/>
              <w:keepLines/>
              <w:spacing w:after="0" w:line="276" w:lineRule="auto"/>
              <w:jc w:val="left"/>
              <w:rPr>
                <w:rFonts w:asciiTheme="minorHAnsi" w:hAnsiTheme="minorHAnsi"/>
                <w:sz w:val="22"/>
                <w:szCs w:val="24"/>
              </w:rPr>
            </w:pPr>
            <w:r w:rsidRPr="00F65454">
              <w:rPr>
                <w:rFonts w:asciiTheme="minorHAnsi" w:hAnsiTheme="minorHAnsi"/>
                <w:sz w:val="22"/>
                <w:szCs w:val="24"/>
              </w:rPr>
              <w:t>Option 3: one fee for all applications</w:t>
            </w:r>
          </w:p>
        </w:tc>
        <w:tc>
          <w:tcPr>
            <w:tcW w:w="1559" w:type="dxa"/>
            <w:tcBorders>
              <w:left w:val="single" w:sz="4" w:space="0" w:color="auto"/>
            </w:tcBorders>
            <w:vAlign w:val="center"/>
          </w:tcPr>
          <w:p w:rsidR="004F0791" w:rsidRPr="00F65454" w:rsidRDefault="004F0791" w:rsidP="00776286">
            <w:pPr>
              <w:pStyle w:val="Style14ptJustified"/>
              <w:keepLines/>
              <w:spacing w:after="0" w:line="276" w:lineRule="auto"/>
              <w:jc w:val="left"/>
              <w:rPr>
                <w:rFonts w:asciiTheme="minorHAnsi" w:hAnsiTheme="minorHAnsi"/>
                <w:sz w:val="22"/>
                <w:szCs w:val="24"/>
              </w:rPr>
            </w:pPr>
            <w:r w:rsidRPr="00F65454">
              <w:rPr>
                <w:rFonts w:ascii="Calibri" w:hAnsi="Calibri"/>
                <w:sz w:val="22"/>
                <w:szCs w:val="24"/>
              </w:rPr>
              <w:t>$2</w:t>
            </w:r>
            <w:r>
              <w:rPr>
                <w:rFonts w:ascii="Calibri" w:hAnsi="Calibri"/>
                <w:sz w:val="22"/>
                <w:szCs w:val="24"/>
              </w:rPr>
              <w:t>,</w:t>
            </w:r>
            <w:r w:rsidRPr="00F65454">
              <w:rPr>
                <w:rFonts w:ascii="Calibri" w:hAnsi="Calibri"/>
                <w:sz w:val="22"/>
                <w:szCs w:val="24"/>
              </w:rPr>
              <w:t>6</w:t>
            </w:r>
            <w:r>
              <w:rPr>
                <w:rFonts w:ascii="Calibri" w:hAnsi="Calibri"/>
                <w:sz w:val="22"/>
                <w:szCs w:val="24"/>
              </w:rPr>
              <w:t>86,000</w:t>
            </w:r>
          </w:p>
        </w:tc>
        <w:tc>
          <w:tcPr>
            <w:tcW w:w="1560" w:type="dxa"/>
            <w:vAlign w:val="center"/>
          </w:tcPr>
          <w:p w:rsidR="004F0791" w:rsidRPr="00F65454" w:rsidRDefault="004F0791" w:rsidP="00776286">
            <w:pPr>
              <w:pStyle w:val="Style14ptJustified"/>
              <w:keepLines/>
              <w:spacing w:after="0" w:line="276" w:lineRule="auto"/>
              <w:jc w:val="left"/>
              <w:rPr>
                <w:rFonts w:asciiTheme="minorHAnsi" w:hAnsiTheme="minorHAnsi"/>
                <w:sz w:val="22"/>
                <w:szCs w:val="24"/>
              </w:rPr>
            </w:pPr>
            <w:r w:rsidRPr="00F65454">
              <w:rPr>
                <w:rFonts w:ascii="Calibri" w:hAnsi="Calibri"/>
                <w:sz w:val="22"/>
                <w:szCs w:val="24"/>
              </w:rPr>
              <w:t>$2</w:t>
            </w:r>
            <w:r>
              <w:rPr>
                <w:rFonts w:ascii="Calibri" w:hAnsi="Calibri"/>
                <w:sz w:val="22"/>
                <w:szCs w:val="24"/>
              </w:rPr>
              <w:t>,</w:t>
            </w:r>
            <w:r w:rsidRPr="00F65454">
              <w:rPr>
                <w:rFonts w:ascii="Calibri" w:hAnsi="Calibri"/>
                <w:sz w:val="22"/>
                <w:szCs w:val="24"/>
              </w:rPr>
              <w:t>6</w:t>
            </w:r>
            <w:r>
              <w:rPr>
                <w:rFonts w:ascii="Calibri" w:hAnsi="Calibri"/>
                <w:sz w:val="22"/>
                <w:szCs w:val="24"/>
              </w:rPr>
              <w:t>86,72</w:t>
            </w:r>
            <w:r w:rsidR="00CF1275">
              <w:rPr>
                <w:rFonts w:ascii="Calibri" w:hAnsi="Calibri"/>
                <w:sz w:val="22"/>
                <w:szCs w:val="24"/>
              </w:rPr>
              <w:t>7</w:t>
            </w:r>
          </w:p>
        </w:tc>
        <w:tc>
          <w:tcPr>
            <w:tcW w:w="1842" w:type="dxa"/>
            <w:vAlign w:val="center"/>
          </w:tcPr>
          <w:p w:rsidR="004F0791" w:rsidRPr="00820DA1" w:rsidRDefault="004F0791" w:rsidP="00776286">
            <w:pPr>
              <w:pStyle w:val="Style14ptJustified"/>
              <w:keepLines/>
              <w:spacing w:after="0" w:line="276" w:lineRule="auto"/>
              <w:jc w:val="left"/>
              <w:rPr>
                <w:rFonts w:ascii="Calibri" w:hAnsi="Calibri"/>
                <w:color w:val="FF0000"/>
                <w:sz w:val="22"/>
                <w:szCs w:val="24"/>
              </w:rPr>
            </w:pPr>
            <w:r>
              <w:rPr>
                <w:rFonts w:ascii="Calibri" w:hAnsi="Calibri"/>
                <w:color w:val="FF0000"/>
                <w:sz w:val="22"/>
                <w:szCs w:val="24"/>
              </w:rPr>
              <w:t>(</w:t>
            </w:r>
            <w:r w:rsidRPr="00820DA1">
              <w:rPr>
                <w:rFonts w:ascii="Calibri" w:hAnsi="Calibri"/>
                <w:color w:val="FF0000"/>
                <w:sz w:val="22"/>
                <w:szCs w:val="24"/>
              </w:rPr>
              <w:t>$72</w:t>
            </w:r>
            <w:r w:rsidR="00852D0D">
              <w:rPr>
                <w:rFonts w:ascii="Calibri" w:hAnsi="Calibri"/>
                <w:color w:val="FF0000"/>
                <w:sz w:val="22"/>
                <w:szCs w:val="24"/>
              </w:rPr>
              <w:t>7</w:t>
            </w:r>
            <w:r>
              <w:rPr>
                <w:rFonts w:ascii="Calibri" w:hAnsi="Calibri"/>
                <w:color w:val="FF0000"/>
                <w:sz w:val="22"/>
                <w:szCs w:val="24"/>
              </w:rPr>
              <w:t>)</w:t>
            </w:r>
          </w:p>
        </w:tc>
      </w:tr>
    </w:tbl>
    <w:p w:rsidR="007F10E2" w:rsidRPr="007F10E2" w:rsidRDefault="007F10E2" w:rsidP="001D160F">
      <w:pPr>
        <w:spacing w:before="240" w:after="240" w:line="276" w:lineRule="auto"/>
        <w:rPr>
          <w:rFonts w:asciiTheme="minorHAnsi" w:hAnsiTheme="minorHAnsi"/>
          <w:u w:val="single"/>
        </w:rPr>
      </w:pPr>
      <w:r w:rsidRPr="007F10E2">
        <w:rPr>
          <w:rFonts w:asciiTheme="minorHAnsi" w:hAnsiTheme="minorHAnsi"/>
          <w:u w:val="single"/>
        </w:rPr>
        <w:t xml:space="preserve">Option 1: No </w:t>
      </w:r>
      <w:r w:rsidR="004F0791">
        <w:rPr>
          <w:rFonts w:asciiTheme="minorHAnsi" w:hAnsiTheme="minorHAnsi"/>
          <w:u w:val="single"/>
        </w:rPr>
        <w:t xml:space="preserve">application </w:t>
      </w:r>
      <w:r w:rsidRPr="007F10E2">
        <w:rPr>
          <w:rFonts w:asciiTheme="minorHAnsi" w:hAnsiTheme="minorHAnsi"/>
          <w:u w:val="single"/>
        </w:rPr>
        <w:t>fee (Base case)</w:t>
      </w:r>
      <w:r w:rsidR="0001439D">
        <w:rPr>
          <w:rFonts w:asciiTheme="minorHAnsi" w:hAnsiTheme="minorHAnsi"/>
          <w:u w:val="single"/>
        </w:rPr>
        <w:t xml:space="preserve"> </w:t>
      </w:r>
    </w:p>
    <w:p w:rsidR="00F766A8" w:rsidRDefault="00AE4CFF" w:rsidP="001D160F">
      <w:pPr>
        <w:spacing w:after="240" w:line="276" w:lineRule="auto"/>
        <w:rPr>
          <w:rFonts w:asciiTheme="minorHAnsi" w:hAnsiTheme="minorHAnsi"/>
        </w:rPr>
      </w:pPr>
      <w:r w:rsidRPr="00AE4CFF">
        <w:rPr>
          <w:rFonts w:asciiTheme="minorHAnsi" w:hAnsiTheme="minorHAnsi"/>
        </w:rPr>
        <w:t xml:space="preserve">Failure to prescribe </w:t>
      </w:r>
      <w:r w:rsidR="00F766A8">
        <w:rPr>
          <w:rFonts w:asciiTheme="minorHAnsi" w:hAnsiTheme="minorHAnsi"/>
        </w:rPr>
        <w:t xml:space="preserve">a </w:t>
      </w:r>
      <w:r w:rsidRPr="00AE4CFF">
        <w:rPr>
          <w:rFonts w:asciiTheme="minorHAnsi" w:hAnsiTheme="minorHAnsi"/>
        </w:rPr>
        <w:t xml:space="preserve">fee would </w:t>
      </w:r>
      <w:r w:rsidR="00F766A8">
        <w:rPr>
          <w:rFonts w:asciiTheme="minorHAnsi" w:hAnsiTheme="minorHAnsi"/>
        </w:rPr>
        <w:t>mean that</w:t>
      </w:r>
      <w:r w:rsidRPr="00AE4CFF">
        <w:rPr>
          <w:rFonts w:asciiTheme="minorHAnsi" w:hAnsiTheme="minorHAnsi"/>
        </w:rPr>
        <w:t xml:space="preserve"> no recovery of the costs of the resources that the SRO must devote to processing </w:t>
      </w:r>
      <w:r w:rsidR="006B41B4">
        <w:rPr>
          <w:rFonts w:asciiTheme="minorHAnsi" w:hAnsiTheme="minorHAnsi"/>
        </w:rPr>
        <w:t>clearance certificate</w:t>
      </w:r>
      <w:r w:rsidRPr="00AE4CFF">
        <w:rPr>
          <w:rFonts w:asciiTheme="minorHAnsi" w:hAnsiTheme="minorHAnsi"/>
        </w:rPr>
        <w:t xml:space="preserve"> applications and issuing clearance certificates will be possible. Thus, taxpayers will be required to subsidise the provision of these certificates to land owners, purchasers and mortgagees. </w:t>
      </w:r>
    </w:p>
    <w:p w:rsidR="008F1FF6" w:rsidRPr="00AE4CFF" w:rsidRDefault="008F1FF6" w:rsidP="001D160F">
      <w:pPr>
        <w:spacing w:after="240" w:line="276" w:lineRule="auto"/>
        <w:rPr>
          <w:rFonts w:asciiTheme="minorHAnsi" w:hAnsiTheme="minorHAnsi"/>
        </w:rPr>
      </w:pPr>
      <w:r>
        <w:rPr>
          <w:rFonts w:asciiTheme="minorHAnsi" w:hAnsiTheme="minorHAnsi"/>
        </w:rPr>
        <w:t xml:space="preserve">This option is not recommended as, in effect, Victorian </w:t>
      </w:r>
      <w:r w:rsidRPr="0037205B">
        <w:rPr>
          <w:rFonts w:asciiTheme="minorHAnsi" w:hAnsiTheme="minorHAnsi"/>
        </w:rPr>
        <w:t>taxpayers (through budget appropriations</w:t>
      </w:r>
      <w:r w:rsidRPr="00446289">
        <w:rPr>
          <w:rFonts w:asciiTheme="minorHAnsi" w:hAnsiTheme="minorHAnsi"/>
        </w:rPr>
        <w:t xml:space="preserve"> </w:t>
      </w:r>
      <w:r>
        <w:rPr>
          <w:rFonts w:asciiTheme="minorHAnsi" w:hAnsiTheme="minorHAnsi"/>
        </w:rPr>
        <w:t xml:space="preserve">to </w:t>
      </w:r>
      <w:r w:rsidRPr="00446289">
        <w:rPr>
          <w:rFonts w:asciiTheme="minorHAnsi" w:hAnsiTheme="minorHAnsi"/>
        </w:rPr>
        <w:t>the SRO</w:t>
      </w:r>
      <w:r>
        <w:rPr>
          <w:rFonts w:asciiTheme="minorHAnsi" w:hAnsiTheme="minorHAnsi"/>
        </w:rPr>
        <w:t>)</w:t>
      </w:r>
      <w:r w:rsidRPr="00446289">
        <w:rPr>
          <w:rFonts w:asciiTheme="minorHAnsi" w:hAnsiTheme="minorHAnsi"/>
        </w:rPr>
        <w:t xml:space="preserve"> would need to subsidise </w:t>
      </w:r>
      <w:r>
        <w:rPr>
          <w:rFonts w:asciiTheme="minorHAnsi" w:hAnsiTheme="minorHAnsi"/>
        </w:rPr>
        <w:t xml:space="preserve">all </w:t>
      </w:r>
      <w:r w:rsidRPr="00446289">
        <w:rPr>
          <w:rFonts w:asciiTheme="minorHAnsi" w:hAnsiTheme="minorHAnsi"/>
        </w:rPr>
        <w:t xml:space="preserve">costs associated with providing this service which is inconsistent with both the equity and efficiency objectives of cost recovery and general government policy.  </w:t>
      </w:r>
    </w:p>
    <w:p w:rsidR="00EE5BC1" w:rsidRDefault="00EE5BC1">
      <w:pPr>
        <w:spacing w:after="200" w:line="276" w:lineRule="auto"/>
        <w:rPr>
          <w:rFonts w:asciiTheme="minorHAnsi" w:hAnsiTheme="minorHAnsi"/>
          <w:u w:val="single"/>
        </w:rPr>
      </w:pPr>
      <w:r>
        <w:rPr>
          <w:rFonts w:asciiTheme="minorHAnsi" w:hAnsiTheme="minorHAnsi"/>
          <w:u w:val="single"/>
        </w:rPr>
        <w:br w:type="page"/>
      </w:r>
    </w:p>
    <w:p w:rsidR="00B53451" w:rsidRDefault="00582D42" w:rsidP="00B53451">
      <w:pPr>
        <w:spacing w:after="240" w:line="276" w:lineRule="auto"/>
        <w:rPr>
          <w:rFonts w:ascii="Calibri" w:hAnsi="Calibri"/>
          <w:highlight w:val="yellow"/>
        </w:rPr>
      </w:pPr>
      <w:r w:rsidRPr="007F10E2">
        <w:rPr>
          <w:rFonts w:asciiTheme="minorHAnsi" w:hAnsiTheme="minorHAnsi"/>
          <w:u w:val="single"/>
        </w:rPr>
        <w:lastRenderedPageBreak/>
        <w:t xml:space="preserve">Option </w:t>
      </w:r>
      <w:r w:rsidR="00C322BE">
        <w:rPr>
          <w:rFonts w:asciiTheme="minorHAnsi" w:hAnsiTheme="minorHAnsi"/>
          <w:u w:val="single"/>
        </w:rPr>
        <w:t>2</w:t>
      </w:r>
      <w:r w:rsidRPr="007F10E2">
        <w:rPr>
          <w:rFonts w:asciiTheme="minorHAnsi" w:hAnsiTheme="minorHAnsi"/>
          <w:u w:val="single"/>
        </w:rPr>
        <w:t xml:space="preserve">: </w:t>
      </w:r>
      <w:r w:rsidR="00B53451" w:rsidRPr="00B53451">
        <w:rPr>
          <w:rFonts w:asciiTheme="minorHAnsi" w:hAnsiTheme="minorHAnsi"/>
          <w:u w:val="single"/>
        </w:rPr>
        <w:t>Prescribing separate fees for online and paper applications based on current costs and indexation</w:t>
      </w:r>
      <w:r w:rsidR="00B53451" w:rsidRPr="00AE3E01">
        <w:rPr>
          <w:rFonts w:ascii="Calibri" w:hAnsi="Calibri"/>
          <w:highlight w:val="yellow"/>
        </w:rPr>
        <w:t xml:space="preserve"> </w:t>
      </w:r>
    </w:p>
    <w:p w:rsidR="009D3BD6" w:rsidRPr="00446289" w:rsidRDefault="00B53451" w:rsidP="009D3BD6">
      <w:pPr>
        <w:spacing w:after="120" w:line="276" w:lineRule="auto"/>
        <w:rPr>
          <w:rFonts w:asciiTheme="minorHAnsi" w:hAnsiTheme="minorHAnsi"/>
        </w:rPr>
      </w:pPr>
      <w:r>
        <w:rPr>
          <w:rFonts w:asciiTheme="minorHAnsi" w:hAnsiTheme="minorHAnsi"/>
        </w:rPr>
        <w:t xml:space="preserve">Under this option, the following </w:t>
      </w:r>
      <w:r w:rsidR="009D3BD6" w:rsidRPr="00446289">
        <w:rPr>
          <w:rFonts w:asciiTheme="minorHAnsi" w:hAnsiTheme="minorHAnsi"/>
        </w:rPr>
        <w:t>fee</w:t>
      </w:r>
      <w:r>
        <w:rPr>
          <w:rFonts w:asciiTheme="minorHAnsi" w:hAnsiTheme="minorHAnsi"/>
        </w:rPr>
        <w:t>s</w:t>
      </w:r>
      <w:r w:rsidR="009D3BD6" w:rsidRPr="00446289">
        <w:rPr>
          <w:rFonts w:asciiTheme="minorHAnsi" w:hAnsiTheme="minorHAnsi"/>
        </w:rPr>
        <w:t xml:space="preserve"> for</w:t>
      </w:r>
      <w:r>
        <w:rPr>
          <w:rFonts w:asciiTheme="minorHAnsi" w:hAnsiTheme="minorHAnsi"/>
        </w:rPr>
        <w:t xml:space="preserve"> a</w:t>
      </w:r>
      <w:r w:rsidR="009D3BD6" w:rsidRPr="00446289">
        <w:rPr>
          <w:rFonts w:asciiTheme="minorHAnsi" w:hAnsiTheme="minorHAnsi"/>
        </w:rPr>
        <w:t xml:space="preserve"> </w:t>
      </w:r>
      <w:r w:rsidR="009D3BD6">
        <w:rPr>
          <w:rFonts w:asciiTheme="minorHAnsi" w:hAnsiTheme="minorHAnsi"/>
        </w:rPr>
        <w:t xml:space="preserve">land tax clearance </w:t>
      </w:r>
      <w:r w:rsidR="009D3BD6" w:rsidRPr="00446289">
        <w:rPr>
          <w:rFonts w:asciiTheme="minorHAnsi" w:hAnsiTheme="minorHAnsi"/>
        </w:rPr>
        <w:t>certificate</w:t>
      </w:r>
      <w:r>
        <w:rPr>
          <w:rFonts w:asciiTheme="minorHAnsi" w:hAnsiTheme="minorHAnsi"/>
        </w:rPr>
        <w:t xml:space="preserve"> would be prescribed based </w:t>
      </w:r>
      <w:r w:rsidR="009D3BD6">
        <w:rPr>
          <w:rFonts w:asciiTheme="minorHAnsi" w:hAnsiTheme="minorHAnsi"/>
        </w:rPr>
        <w:t>on the method of application</w:t>
      </w:r>
      <w:r>
        <w:rPr>
          <w:rFonts w:asciiTheme="minorHAnsi" w:hAnsiTheme="minorHAnsi"/>
        </w:rPr>
        <w:t xml:space="preserve">— </w:t>
      </w:r>
    </w:p>
    <w:p w:rsidR="009D3BD6" w:rsidRPr="00446289" w:rsidRDefault="00F84E24" w:rsidP="003A67E6">
      <w:pPr>
        <w:pStyle w:val="ListParagraph"/>
        <w:numPr>
          <w:ilvl w:val="0"/>
          <w:numId w:val="1"/>
        </w:numPr>
        <w:spacing w:after="240" w:line="276" w:lineRule="auto"/>
        <w:rPr>
          <w:rFonts w:asciiTheme="minorHAnsi" w:hAnsiTheme="minorHAnsi"/>
        </w:rPr>
      </w:pPr>
      <w:r w:rsidRPr="007A1929">
        <w:rPr>
          <w:rFonts w:asciiTheme="minorHAnsi" w:hAnsiTheme="minorHAnsi"/>
        </w:rPr>
        <w:t>the fee for a</w:t>
      </w:r>
      <w:r>
        <w:rPr>
          <w:rFonts w:asciiTheme="minorHAnsi" w:hAnsiTheme="minorHAnsi"/>
        </w:rPr>
        <w:t>n</w:t>
      </w:r>
      <w:r w:rsidRPr="007A1929">
        <w:rPr>
          <w:rFonts w:asciiTheme="minorHAnsi" w:hAnsiTheme="minorHAnsi"/>
        </w:rPr>
        <w:t xml:space="preserve"> </w:t>
      </w:r>
      <w:r>
        <w:rPr>
          <w:rFonts w:asciiTheme="minorHAnsi" w:hAnsiTheme="minorHAnsi"/>
        </w:rPr>
        <w:t>online application</w:t>
      </w:r>
      <w:r w:rsidRPr="007A1929">
        <w:rPr>
          <w:rFonts w:asciiTheme="minorHAnsi" w:hAnsiTheme="minorHAnsi"/>
        </w:rPr>
        <w:t xml:space="preserve"> </w:t>
      </w:r>
      <w:r>
        <w:rPr>
          <w:rFonts w:asciiTheme="minorHAnsi" w:hAnsiTheme="minorHAnsi"/>
        </w:rPr>
        <w:t xml:space="preserve">would </w:t>
      </w:r>
      <w:r w:rsidRPr="007A1929">
        <w:rPr>
          <w:rFonts w:asciiTheme="minorHAnsi" w:hAnsiTheme="minorHAnsi"/>
        </w:rPr>
        <w:t xml:space="preserve">be specified </w:t>
      </w:r>
      <w:r>
        <w:rPr>
          <w:rFonts w:asciiTheme="minorHAnsi" w:hAnsiTheme="minorHAnsi"/>
        </w:rPr>
        <w:t>as</w:t>
      </w:r>
      <w:r w:rsidRPr="007A1929">
        <w:rPr>
          <w:rFonts w:asciiTheme="minorHAnsi" w:hAnsiTheme="minorHAnsi"/>
        </w:rPr>
        <w:t xml:space="preserve"> 1.16</w:t>
      </w:r>
      <w:r>
        <w:rPr>
          <w:rFonts w:asciiTheme="minorHAnsi" w:hAnsiTheme="minorHAnsi"/>
        </w:rPr>
        <w:t xml:space="preserve"> fee units per application, which </w:t>
      </w:r>
      <w:r w:rsidRPr="007A1929">
        <w:rPr>
          <w:rFonts w:asciiTheme="minorHAnsi" w:hAnsiTheme="minorHAnsi"/>
        </w:rPr>
        <w:t>equates to $15.80 in 2015</w:t>
      </w:r>
      <w:r>
        <w:rPr>
          <w:rFonts w:asciiTheme="minorHAnsi" w:hAnsiTheme="minorHAnsi"/>
        </w:rPr>
        <w:t>-</w:t>
      </w:r>
      <w:r w:rsidRPr="007A1929">
        <w:rPr>
          <w:rFonts w:asciiTheme="minorHAnsi" w:hAnsiTheme="minorHAnsi"/>
        </w:rPr>
        <w:t>16</w:t>
      </w:r>
      <w:r w:rsidR="009D3BD6">
        <w:rPr>
          <w:rFonts w:asciiTheme="minorHAnsi" w:hAnsiTheme="minorHAnsi"/>
        </w:rPr>
        <w:t>; and</w:t>
      </w:r>
    </w:p>
    <w:p w:rsidR="009D3BD6" w:rsidRPr="00446289" w:rsidRDefault="00F84E24" w:rsidP="003A67E6">
      <w:pPr>
        <w:pStyle w:val="ListParagraph"/>
        <w:numPr>
          <w:ilvl w:val="0"/>
          <w:numId w:val="1"/>
        </w:numPr>
        <w:spacing w:after="240" w:line="276" w:lineRule="auto"/>
        <w:rPr>
          <w:rFonts w:asciiTheme="minorHAnsi" w:hAnsiTheme="minorHAnsi"/>
        </w:rPr>
      </w:pPr>
      <w:proofErr w:type="gramStart"/>
      <w:r w:rsidRPr="007A1929">
        <w:rPr>
          <w:rFonts w:asciiTheme="minorHAnsi" w:hAnsiTheme="minorHAnsi"/>
        </w:rPr>
        <w:t>the</w:t>
      </w:r>
      <w:proofErr w:type="gramEnd"/>
      <w:r w:rsidRPr="007A1929">
        <w:rPr>
          <w:rFonts w:asciiTheme="minorHAnsi" w:hAnsiTheme="minorHAnsi"/>
        </w:rPr>
        <w:t xml:space="preserve"> fee for a</w:t>
      </w:r>
      <w:r>
        <w:rPr>
          <w:rFonts w:asciiTheme="minorHAnsi" w:hAnsiTheme="minorHAnsi"/>
        </w:rPr>
        <w:t xml:space="preserve"> paper application</w:t>
      </w:r>
      <w:r w:rsidRPr="007A1929">
        <w:rPr>
          <w:rFonts w:asciiTheme="minorHAnsi" w:hAnsiTheme="minorHAnsi"/>
        </w:rPr>
        <w:t xml:space="preserve"> </w:t>
      </w:r>
      <w:r>
        <w:rPr>
          <w:rFonts w:asciiTheme="minorHAnsi" w:hAnsiTheme="minorHAnsi"/>
        </w:rPr>
        <w:t xml:space="preserve">would </w:t>
      </w:r>
      <w:r w:rsidRPr="007A1929">
        <w:rPr>
          <w:rFonts w:asciiTheme="minorHAnsi" w:hAnsiTheme="minorHAnsi"/>
        </w:rPr>
        <w:t xml:space="preserve">be specified </w:t>
      </w:r>
      <w:r>
        <w:rPr>
          <w:rFonts w:asciiTheme="minorHAnsi" w:hAnsiTheme="minorHAnsi"/>
        </w:rPr>
        <w:t>as</w:t>
      </w:r>
      <w:r w:rsidRPr="007A1929">
        <w:rPr>
          <w:rFonts w:asciiTheme="minorHAnsi" w:hAnsiTheme="minorHAnsi"/>
        </w:rPr>
        <w:t xml:space="preserve"> </w:t>
      </w:r>
      <w:r w:rsidR="00A14206">
        <w:rPr>
          <w:rFonts w:asciiTheme="minorHAnsi" w:hAnsiTheme="minorHAnsi"/>
        </w:rPr>
        <w:t>2</w:t>
      </w:r>
      <w:r w:rsidRPr="007A1929">
        <w:rPr>
          <w:rFonts w:asciiTheme="minorHAnsi" w:hAnsiTheme="minorHAnsi"/>
        </w:rPr>
        <w:t>.</w:t>
      </w:r>
      <w:r>
        <w:rPr>
          <w:rFonts w:asciiTheme="minorHAnsi" w:hAnsiTheme="minorHAnsi"/>
        </w:rPr>
        <w:t xml:space="preserve">53 fee units per application, which </w:t>
      </w:r>
      <w:r w:rsidRPr="007A1929">
        <w:rPr>
          <w:rFonts w:asciiTheme="minorHAnsi" w:hAnsiTheme="minorHAnsi"/>
        </w:rPr>
        <w:t>equates to $</w:t>
      </w:r>
      <w:r w:rsidR="006C70EE">
        <w:rPr>
          <w:rFonts w:asciiTheme="minorHAnsi" w:hAnsiTheme="minorHAnsi"/>
        </w:rPr>
        <w:t>34.40</w:t>
      </w:r>
      <w:r w:rsidRPr="007A1929">
        <w:rPr>
          <w:rFonts w:asciiTheme="minorHAnsi" w:hAnsiTheme="minorHAnsi"/>
        </w:rPr>
        <w:t xml:space="preserve"> in 2015</w:t>
      </w:r>
      <w:r>
        <w:rPr>
          <w:rFonts w:asciiTheme="minorHAnsi" w:hAnsiTheme="minorHAnsi"/>
        </w:rPr>
        <w:t>-</w:t>
      </w:r>
      <w:r w:rsidRPr="007A1929">
        <w:rPr>
          <w:rFonts w:asciiTheme="minorHAnsi" w:hAnsiTheme="minorHAnsi"/>
        </w:rPr>
        <w:t>16</w:t>
      </w:r>
      <w:r w:rsidR="009D3BD6">
        <w:rPr>
          <w:rFonts w:asciiTheme="minorHAnsi" w:hAnsiTheme="minorHAnsi"/>
        </w:rPr>
        <w:t>.</w:t>
      </w:r>
      <w:r w:rsidR="00F766A8">
        <w:rPr>
          <w:rStyle w:val="FootnoteReference"/>
          <w:rFonts w:asciiTheme="minorHAnsi" w:hAnsiTheme="minorHAnsi"/>
        </w:rPr>
        <w:footnoteReference w:id="9"/>
      </w:r>
    </w:p>
    <w:p w:rsidR="009D3BD6" w:rsidRPr="00446289" w:rsidRDefault="009D3BD6" w:rsidP="009D3BD6">
      <w:pPr>
        <w:spacing w:after="240" w:line="276" w:lineRule="auto"/>
        <w:rPr>
          <w:rFonts w:asciiTheme="minorHAnsi" w:hAnsiTheme="minorHAnsi"/>
        </w:rPr>
      </w:pPr>
      <w:r w:rsidRPr="00446289">
        <w:rPr>
          <w:rFonts w:asciiTheme="minorHAnsi" w:hAnsiTheme="minorHAnsi"/>
        </w:rPr>
        <w:t xml:space="preserve">The </w:t>
      </w:r>
      <w:r w:rsidR="00906642">
        <w:rPr>
          <w:rFonts w:asciiTheme="minorHAnsi" w:hAnsiTheme="minorHAnsi"/>
        </w:rPr>
        <w:t xml:space="preserve">separate </w:t>
      </w:r>
      <w:r w:rsidRPr="00446289">
        <w:rPr>
          <w:rFonts w:asciiTheme="minorHAnsi" w:hAnsiTheme="minorHAnsi"/>
        </w:rPr>
        <w:t xml:space="preserve">fee for online applications was </w:t>
      </w:r>
      <w:r>
        <w:rPr>
          <w:rFonts w:asciiTheme="minorHAnsi" w:hAnsiTheme="minorHAnsi"/>
        </w:rPr>
        <w:t xml:space="preserve">introduced in 2003 </w:t>
      </w:r>
      <w:r w:rsidRPr="00446289">
        <w:rPr>
          <w:rFonts w:asciiTheme="minorHAnsi" w:hAnsiTheme="minorHAnsi"/>
        </w:rPr>
        <w:t xml:space="preserve">to encourage the use of </w:t>
      </w:r>
      <w:r>
        <w:rPr>
          <w:rFonts w:asciiTheme="minorHAnsi" w:hAnsiTheme="minorHAnsi"/>
        </w:rPr>
        <w:t>the SRO’s new clearance certificate online system</w:t>
      </w:r>
      <w:r w:rsidRPr="00446289">
        <w:rPr>
          <w:rFonts w:asciiTheme="minorHAnsi" w:hAnsiTheme="minorHAnsi"/>
        </w:rPr>
        <w:t xml:space="preserve">, as well as reflect the cost differential in processing paper </w:t>
      </w:r>
      <w:r w:rsidR="00906642">
        <w:rPr>
          <w:rFonts w:asciiTheme="minorHAnsi" w:hAnsiTheme="minorHAnsi"/>
        </w:rPr>
        <w:t>and online</w:t>
      </w:r>
      <w:r w:rsidR="00906642" w:rsidRPr="00446289">
        <w:rPr>
          <w:rFonts w:asciiTheme="minorHAnsi" w:hAnsiTheme="minorHAnsi"/>
        </w:rPr>
        <w:t xml:space="preserve"> </w:t>
      </w:r>
      <w:r w:rsidRPr="00446289">
        <w:rPr>
          <w:rFonts w:asciiTheme="minorHAnsi" w:hAnsiTheme="minorHAnsi"/>
        </w:rPr>
        <w:t>applications.</w:t>
      </w:r>
    </w:p>
    <w:p w:rsidR="009D3BD6" w:rsidRDefault="009D3BD6" w:rsidP="009D3BD6">
      <w:pPr>
        <w:spacing w:after="240" w:line="276" w:lineRule="auto"/>
        <w:rPr>
          <w:rFonts w:asciiTheme="minorHAnsi" w:hAnsiTheme="minorHAnsi"/>
        </w:rPr>
      </w:pPr>
      <w:r w:rsidRPr="00446289">
        <w:rPr>
          <w:rFonts w:asciiTheme="minorHAnsi" w:hAnsiTheme="minorHAnsi"/>
        </w:rPr>
        <w:t>Over time the number of paper applications has considerably reduced. For example, in 2013-14, less than 1</w:t>
      </w:r>
      <w:r w:rsidR="00597099">
        <w:rPr>
          <w:rFonts w:asciiTheme="minorHAnsi" w:hAnsiTheme="minorHAnsi"/>
        </w:rPr>
        <w:t xml:space="preserve"> per cent</w:t>
      </w:r>
      <w:r w:rsidRPr="00446289">
        <w:rPr>
          <w:rFonts w:asciiTheme="minorHAnsi" w:hAnsiTheme="minorHAnsi"/>
        </w:rPr>
        <w:t xml:space="preserve"> of </w:t>
      </w:r>
      <w:r>
        <w:rPr>
          <w:rFonts w:asciiTheme="minorHAnsi" w:hAnsiTheme="minorHAnsi"/>
        </w:rPr>
        <w:t xml:space="preserve">all </w:t>
      </w:r>
      <w:r w:rsidRPr="00446289">
        <w:rPr>
          <w:rFonts w:asciiTheme="minorHAnsi" w:hAnsiTheme="minorHAnsi"/>
        </w:rPr>
        <w:t>applications received were paper applications (approx. 1150 applications) in comparison to over 70</w:t>
      </w:r>
      <w:r w:rsidR="00597099">
        <w:rPr>
          <w:rFonts w:asciiTheme="minorHAnsi" w:hAnsiTheme="minorHAnsi"/>
        </w:rPr>
        <w:t xml:space="preserve"> per cent</w:t>
      </w:r>
      <w:r w:rsidR="00597099" w:rsidRPr="00446289">
        <w:rPr>
          <w:rFonts w:asciiTheme="minorHAnsi" w:hAnsiTheme="minorHAnsi"/>
        </w:rPr>
        <w:t xml:space="preserve"> </w:t>
      </w:r>
      <w:r w:rsidRPr="00446289">
        <w:rPr>
          <w:rFonts w:asciiTheme="minorHAnsi" w:hAnsiTheme="minorHAnsi"/>
        </w:rPr>
        <w:t xml:space="preserve">of applications in 2002-2003. </w:t>
      </w:r>
      <w:r>
        <w:rPr>
          <w:rFonts w:asciiTheme="minorHAnsi" w:hAnsiTheme="minorHAnsi"/>
        </w:rPr>
        <w:t>This dropped further in 2014-15 to less than 0.</w:t>
      </w:r>
      <w:r w:rsidR="00597099">
        <w:rPr>
          <w:rFonts w:asciiTheme="minorHAnsi" w:hAnsiTheme="minorHAnsi"/>
        </w:rPr>
        <w:t>3 per cent</w:t>
      </w:r>
      <w:r>
        <w:rPr>
          <w:rFonts w:asciiTheme="minorHAnsi" w:hAnsiTheme="minorHAnsi"/>
        </w:rPr>
        <w:t xml:space="preserve"> of all applications </w:t>
      </w:r>
      <w:r w:rsidRPr="00446289">
        <w:rPr>
          <w:rFonts w:asciiTheme="minorHAnsi" w:hAnsiTheme="minorHAnsi"/>
        </w:rPr>
        <w:t>(</w:t>
      </w:r>
      <w:r w:rsidR="00597099">
        <w:rPr>
          <w:rFonts w:asciiTheme="minorHAnsi" w:hAnsiTheme="minorHAnsi"/>
        </w:rPr>
        <w:t>fewer than</w:t>
      </w:r>
      <w:r w:rsidRPr="00446289">
        <w:rPr>
          <w:rFonts w:asciiTheme="minorHAnsi" w:hAnsiTheme="minorHAnsi"/>
        </w:rPr>
        <w:t xml:space="preserve"> </w:t>
      </w:r>
      <w:r>
        <w:rPr>
          <w:rFonts w:asciiTheme="minorHAnsi" w:hAnsiTheme="minorHAnsi"/>
        </w:rPr>
        <w:t>570</w:t>
      </w:r>
      <w:r w:rsidRPr="00446289">
        <w:rPr>
          <w:rFonts w:asciiTheme="minorHAnsi" w:hAnsiTheme="minorHAnsi"/>
        </w:rPr>
        <w:t xml:space="preserve"> </w:t>
      </w:r>
      <w:r w:rsidR="00597099">
        <w:rPr>
          <w:rFonts w:asciiTheme="minorHAnsi" w:hAnsiTheme="minorHAnsi"/>
        </w:rPr>
        <w:t xml:space="preserve">paper </w:t>
      </w:r>
      <w:r w:rsidRPr="00446289">
        <w:rPr>
          <w:rFonts w:asciiTheme="minorHAnsi" w:hAnsiTheme="minorHAnsi"/>
        </w:rPr>
        <w:t>applications</w:t>
      </w:r>
      <w:r w:rsidR="00597099">
        <w:rPr>
          <w:rFonts w:asciiTheme="minorHAnsi" w:hAnsiTheme="minorHAnsi"/>
        </w:rPr>
        <w:t xml:space="preserve"> were received</w:t>
      </w:r>
      <w:r w:rsidRPr="00446289">
        <w:rPr>
          <w:rFonts w:asciiTheme="minorHAnsi" w:hAnsiTheme="minorHAnsi"/>
        </w:rPr>
        <w:t>)</w:t>
      </w:r>
      <w:r>
        <w:rPr>
          <w:rFonts w:asciiTheme="minorHAnsi" w:hAnsiTheme="minorHAnsi"/>
        </w:rPr>
        <w:t>.</w:t>
      </w:r>
    </w:p>
    <w:p w:rsidR="006A30E5" w:rsidRDefault="006A30E5" w:rsidP="006A30E5">
      <w:pPr>
        <w:spacing w:after="240" w:line="276" w:lineRule="auto"/>
        <w:rPr>
          <w:rFonts w:asciiTheme="minorHAnsi" w:hAnsiTheme="minorHAnsi"/>
        </w:rPr>
      </w:pPr>
      <w:r>
        <w:rPr>
          <w:rFonts w:asciiTheme="minorHAnsi" w:hAnsiTheme="minorHAnsi"/>
        </w:rPr>
        <w:t xml:space="preserve">Maintaining separate fees for online and paper applications would provide a higher level of equity than one fee for all applications. It would also prevent cross-subsidisation, whereby online applicants subsidise the additional costs incurred by paper applicants. </w:t>
      </w:r>
    </w:p>
    <w:p w:rsidR="00B53451" w:rsidRPr="000637F8" w:rsidRDefault="006A30E5" w:rsidP="00B53451">
      <w:pPr>
        <w:spacing w:after="240" w:line="276" w:lineRule="auto"/>
        <w:rPr>
          <w:rFonts w:asciiTheme="minorHAnsi" w:hAnsiTheme="minorHAnsi"/>
        </w:rPr>
      </w:pPr>
      <w:r>
        <w:rPr>
          <w:rFonts w:asciiTheme="minorHAnsi" w:hAnsiTheme="minorHAnsi"/>
        </w:rPr>
        <w:t>F</w:t>
      </w:r>
      <w:r w:rsidRPr="00446289">
        <w:rPr>
          <w:rFonts w:asciiTheme="minorHAnsi" w:hAnsiTheme="minorHAnsi"/>
        </w:rPr>
        <w:t xml:space="preserve">rom a cost recovery perspective, </w:t>
      </w:r>
      <w:r>
        <w:rPr>
          <w:rFonts w:asciiTheme="minorHAnsi" w:hAnsiTheme="minorHAnsi"/>
        </w:rPr>
        <w:t>the additional cost associated with processing paper applications is minimal given the small number of paper applications received</w:t>
      </w:r>
      <w:r w:rsidR="00906642">
        <w:rPr>
          <w:rStyle w:val="FootnoteReference"/>
          <w:rFonts w:asciiTheme="minorHAnsi" w:hAnsiTheme="minorHAnsi"/>
        </w:rPr>
        <w:footnoteReference w:id="10"/>
      </w:r>
      <w:r>
        <w:rPr>
          <w:rFonts w:asciiTheme="minorHAnsi" w:hAnsiTheme="minorHAnsi"/>
        </w:rPr>
        <w:t xml:space="preserve"> and would have </w:t>
      </w:r>
      <w:r w:rsidR="006D4C6D">
        <w:rPr>
          <w:rFonts w:asciiTheme="minorHAnsi" w:hAnsiTheme="minorHAnsi"/>
        </w:rPr>
        <w:t>no</w:t>
      </w:r>
      <w:r>
        <w:rPr>
          <w:rFonts w:asciiTheme="minorHAnsi" w:hAnsiTheme="minorHAnsi"/>
        </w:rPr>
        <w:t xml:space="preserve"> impact on the fee for online applications.</w:t>
      </w:r>
      <w:r w:rsidR="00722C46">
        <w:rPr>
          <w:rFonts w:asciiTheme="minorHAnsi" w:hAnsiTheme="minorHAnsi"/>
        </w:rPr>
        <w:t xml:space="preserve"> Whilst</w:t>
      </w:r>
      <w:r>
        <w:rPr>
          <w:rFonts w:asciiTheme="minorHAnsi" w:hAnsiTheme="minorHAnsi"/>
        </w:rPr>
        <w:t xml:space="preserve"> </w:t>
      </w:r>
      <w:r w:rsidR="00722C46">
        <w:rPr>
          <w:rFonts w:asciiTheme="minorHAnsi" w:hAnsiTheme="minorHAnsi"/>
        </w:rPr>
        <w:t xml:space="preserve">this option would result in a minor over-recovery of costs, </w:t>
      </w:r>
      <w:r w:rsidRPr="00446289">
        <w:rPr>
          <w:rFonts w:asciiTheme="minorHAnsi" w:hAnsiTheme="minorHAnsi"/>
        </w:rPr>
        <w:t xml:space="preserve">the revenue generated from </w:t>
      </w:r>
      <w:r>
        <w:rPr>
          <w:rFonts w:asciiTheme="minorHAnsi" w:hAnsiTheme="minorHAnsi"/>
        </w:rPr>
        <w:t>a</w:t>
      </w:r>
      <w:r w:rsidRPr="00446289">
        <w:rPr>
          <w:rFonts w:asciiTheme="minorHAnsi" w:hAnsiTheme="minorHAnsi"/>
        </w:rPr>
        <w:t xml:space="preserve"> </w:t>
      </w:r>
      <w:r>
        <w:rPr>
          <w:rFonts w:asciiTheme="minorHAnsi" w:hAnsiTheme="minorHAnsi"/>
        </w:rPr>
        <w:t>higher</w:t>
      </w:r>
      <w:r w:rsidRPr="00446289">
        <w:rPr>
          <w:rFonts w:asciiTheme="minorHAnsi" w:hAnsiTheme="minorHAnsi"/>
        </w:rPr>
        <w:t xml:space="preserve"> fee for paper applications is </w:t>
      </w:r>
      <w:r w:rsidR="00722C46">
        <w:rPr>
          <w:rFonts w:asciiTheme="minorHAnsi" w:hAnsiTheme="minorHAnsi"/>
        </w:rPr>
        <w:t>negligible</w:t>
      </w:r>
      <w:r w:rsidR="00722C46" w:rsidRPr="00446289">
        <w:rPr>
          <w:rFonts w:asciiTheme="minorHAnsi" w:hAnsiTheme="minorHAnsi"/>
        </w:rPr>
        <w:t xml:space="preserve"> </w:t>
      </w:r>
      <w:r w:rsidRPr="00446289">
        <w:rPr>
          <w:rFonts w:asciiTheme="minorHAnsi" w:hAnsiTheme="minorHAnsi"/>
        </w:rPr>
        <w:t>as a proportion of the total fees collected.</w:t>
      </w:r>
      <w:r w:rsidR="00B53451">
        <w:rPr>
          <w:rFonts w:asciiTheme="minorHAnsi" w:hAnsiTheme="minorHAnsi"/>
        </w:rPr>
        <w:t xml:space="preserve">  </w:t>
      </w:r>
    </w:p>
    <w:p w:rsidR="00F22B68" w:rsidRDefault="00F22B68" w:rsidP="00F22B68">
      <w:pPr>
        <w:spacing w:after="240" w:line="276" w:lineRule="auto"/>
        <w:rPr>
          <w:rFonts w:asciiTheme="minorHAnsi" w:hAnsiTheme="minorHAnsi"/>
        </w:rPr>
      </w:pPr>
      <w:r>
        <w:rPr>
          <w:rFonts w:asciiTheme="minorHAnsi" w:hAnsiTheme="minorHAnsi"/>
        </w:rPr>
        <w:t>In line with many other businesses, the SRO is moving towards</w:t>
      </w:r>
      <w:r w:rsidRPr="00A87F2A">
        <w:rPr>
          <w:rFonts w:asciiTheme="minorHAnsi" w:hAnsiTheme="minorHAnsi"/>
        </w:rPr>
        <w:t xml:space="preserve"> an online, digital approach to </w:t>
      </w:r>
      <w:r>
        <w:rPr>
          <w:rFonts w:asciiTheme="minorHAnsi" w:hAnsiTheme="minorHAnsi"/>
        </w:rPr>
        <w:t xml:space="preserve">all of </w:t>
      </w:r>
      <w:r w:rsidRPr="00A87F2A">
        <w:rPr>
          <w:rFonts w:asciiTheme="minorHAnsi" w:hAnsiTheme="minorHAnsi"/>
        </w:rPr>
        <w:t>its services.</w:t>
      </w:r>
      <w:r>
        <w:rPr>
          <w:rFonts w:asciiTheme="minorHAnsi" w:hAnsiTheme="minorHAnsi"/>
        </w:rPr>
        <w:t xml:space="preserve"> </w:t>
      </w:r>
      <w:r w:rsidRPr="00A87F2A">
        <w:rPr>
          <w:rFonts w:asciiTheme="minorHAnsi" w:hAnsiTheme="minorHAnsi"/>
        </w:rPr>
        <w:t xml:space="preserve">Providing high quality online services as a preferred </w:t>
      </w:r>
      <w:r>
        <w:rPr>
          <w:rFonts w:asciiTheme="minorHAnsi" w:hAnsiTheme="minorHAnsi"/>
        </w:rPr>
        <w:t xml:space="preserve">and default </w:t>
      </w:r>
      <w:r w:rsidRPr="00A87F2A">
        <w:rPr>
          <w:rFonts w:asciiTheme="minorHAnsi" w:hAnsiTheme="minorHAnsi"/>
        </w:rPr>
        <w:t xml:space="preserve">position </w:t>
      </w:r>
      <w:r>
        <w:rPr>
          <w:rFonts w:asciiTheme="minorHAnsi" w:hAnsiTheme="minorHAnsi"/>
        </w:rPr>
        <w:t>e</w:t>
      </w:r>
      <w:r w:rsidRPr="00A87F2A">
        <w:rPr>
          <w:rFonts w:asciiTheme="minorHAnsi" w:hAnsiTheme="minorHAnsi"/>
        </w:rPr>
        <w:t>nable</w:t>
      </w:r>
      <w:r w:rsidR="006D4C6D">
        <w:rPr>
          <w:rFonts w:asciiTheme="minorHAnsi" w:hAnsiTheme="minorHAnsi"/>
        </w:rPr>
        <w:t>s</w:t>
      </w:r>
      <w:r w:rsidRPr="00A87F2A">
        <w:rPr>
          <w:rFonts w:asciiTheme="minorHAnsi" w:hAnsiTheme="minorHAnsi"/>
        </w:rPr>
        <w:t xml:space="preserve"> the SRO to deliver more efficient and timely services to customers across all revenue lines. </w:t>
      </w:r>
      <w:r>
        <w:rPr>
          <w:rFonts w:asciiTheme="minorHAnsi" w:hAnsiTheme="minorHAnsi"/>
        </w:rPr>
        <w:t xml:space="preserve">To this extent, it is anticipated that paper applications will be phased out over the coming years, with online applications becoming the </w:t>
      </w:r>
      <w:r w:rsidR="007E5BC9">
        <w:rPr>
          <w:rFonts w:asciiTheme="minorHAnsi" w:hAnsiTheme="minorHAnsi"/>
        </w:rPr>
        <w:t xml:space="preserve">primary </w:t>
      </w:r>
      <w:r>
        <w:rPr>
          <w:rFonts w:asciiTheme="minorHAnsi" w:hAnsiTheme="minorHAnsi"/>
        </w:rPr>
        <w:t xml:space="preserve">method for obtaining a land tax clearance certificate. </w:t>
      </w:r>
      <w:r w:rsidR="00E43483">
        <w:rPr>
          <w:rFonts w:asciiTheme="minorHAnsi" w:hAnsiTheme="minorHAnsi"/>
        </w:rPr>
        <w:t xml:space="preserve">The </w:t>
      </w:r>
      <w:r w:rsidR="0059701C">
        <w:rPr>
          <w:rFonts w:asciiTheme="minorHAnsi" w:hAnsiTheme="minorHAnsi"/>
        </w:rPr>
        <w:t>SRO considers the imposition</w:t>
      </w:r>
      <w:r w:rsidR="00E43483">
        <w:rPr>
          <w:rFonts w:asciiTheme="minorHAnsi" w:hAnsiTheme="minorHAnsi"/>
        </w:rPr>
        <w:t xml:space="preserve"> of a separate fee for paper applications </w:t>
      </w:r>
      <w:r w:rsidR="0059701C">
        <w:rPr>
          <w:rFonts w:asciiTheme="minorHAnsi" w:hAnsiTheme="minorHAnsi"/>
        </w:rPr>
        <w:t xml:space="preserve">as inconsistent with this direction as it may continue to inadvertently </w:t>
      </w:r>
      <w:r w:rsidR="0059701C" w:rsidRPr="00E43483">
        <w:rPr>
          <w:rFonts w:asciiTheme="minorHAnsi" w:hAnsiTheme="minorHAnsi"/>
        </w:rPr>
        <w:t>encourag</w:t>
      </w:r>
      <w:r w:rsidR="0059701C">
        <w:rPr>
          <w:rFonts w:asciiTheme="minorHAnsi" w:hAnsiTheme="minorHAnsi"/>
        </w:rPr>
        <w:t>e</w:t>
      </w:r>
      <w:r w:rsidR="0059701C" w:rsidRPr="00E43483">
        <w:rPr>
          <w:rFonts w:asciiTheme="minorHAnsi" w:hAnsiTheme="minorHAnsi"/>
        </w:rPr>
        <w:t xml:space="preserve"> </w:t>
      </w:r>
      <w:r w:rsidR="0059701C">
        <w:rPr>
          <w:rFonts w:asciiTheme="minorHAnsi" w:hAnsiTheme="minorHAnsi"/>
        </w:rPr>
        <w:t xml:space="preserve">the </w:t>
      </w:r>
      <w:r w:rsidR="0059701C" w:rsidRPr="00E43483">
        <w:rPr>
          <w:rFonts w:asciiTheme="minorHAnsi" w:hAnsiTheme="minorHAnsi"/>
        </w:rPr>
        <w:t xml:space="preserve">use of </w:t>
      </w:r>
      <w:r w:rsidR="002D5F75">
        <w:rPr>
          <w:rFonts w:asciiTheme="minorHAnsi" w:hAnsiTheme="minorHAnsi"/>
        </w:rPr>
        <w:t xml:space="preserve">paper applications. This because </w:t>
      </w:r>
      <w:r w:rsidR="0059701C" w:rsidRPr="00E43483">
        <w:rPr>
          <w:rFonts w:asciiTheme="minorHAnsi" w:hAnsiTheme="minorHAnsi"/>
        </w:rPr>
        <w:t xml:space="preserve">it makes </w:t>
      </w:r>
      <w:r w:rsidR="0059701C">
        <w:rPr>
          <w:rFonts w:asciiTheme="minorHAnsi" w:hAnsiTheme="minorHAnsi"/>
        </w:rPr>
        <w:t>the</w:t>
      </w:r>
      <w:r w:rsidR="0059701C" w:rsidRPr="00E43483">
        <w:rPr>
          <w:rFonts w:asciiTheme="minorHAnsi" w:hAnsiTheme="minorHAnsi"/>
        </w:rPr>
        <w:t xml:space="preserve"> availability </w:t>
      </w:r>
      <w:r w:rsidR="0059701C">
        <w:rPr>
          <w:rFonts w:asciiTheme="minorHAnsi" w:hAnsiTheme="minorHAnsi"/>
        </w:rPr>
        <w:t xml:space="preserve">of paper applications </w:t>
      </w:r>
      <w:r w:rsidR="0059701C" w:rsidRPr="00E43483">
        <w:rPr>
          <w:rFonts w:asciiTheme="minorHAnsi" w:hAnsiTheme="minorHAnsi"/>
        </w:rPr>
        <w:t>known</w:t>
      </w:r>
      <w:r w:rsidR="0059701C">
        <w:rPr>
          <w:rFonts w:asciiTheme="minorHAnsi" w:hAnsiTheme="minorHAnsi"/>
        </w:rPr>
        <w:t xml:space="preserve"> </w:t>
      </w:r>
      <w:r w:rsidR="002D5F75">
        <w:rPr>
          <w:rFonts w:asciiTheme="minorHAnsi" w:hAnsiTheme="minorHAnsi"/>
        </w:rPr>
        <w:t xml:space="preserve">to applicants, </w:t>
      </w:r>
      <w:r w:rsidR="002D5F75">
        <w:rPr>
          <w:rFonts w:asciiTheme="minorHAnsi" w:hAnsiTheme="minorHAnsi"/>
        </w:rPr>
        <w:lastRenderedPageBreak/>
        <w:t>by presenting</w:t>
      </w:r>
      <w:r w:rsidR="0059701C">
        <w:rPr>
          <w:rFonts w:asciiTheme="minorHAnsi" w:hAnsiTheme="minorHAnsi"/>
        </w:rPr>
        <w:t xml:space="preserve"> </w:t>
      </w:r>
      <w:r w:rsidR="002D5F75">
        <w:rPr>
          <w:rFonts w:asciiTheme="minorHAnsi" w:hAnsiTheme="minorHAnsi"/>
        </w:rPr>
        <w:t>them</w:t>
      </w:r>
      <w:r w:rsidR="0059701C">
        <w:rPr>
          <w:rFonts w:asciiTheme="minorHAnsi" w:hAnsiTheme="minorHAnsi"/>
        </w:rPr>
        <w:t xml:space="preserve"> with </w:t>
      </w:r>
      <w:r w:rsidR="002D5F75">
        <w:rPr>
          <w:rFonts w:asciiTheme="minorHAnsi" w:hAnsiTheme="minorHAnsi"/>
        </w:rPr>
        <w:t xml:space="preserve">two </w:t>
      </w:r>
      <w:r w:rsidR="0059701C">
        <w:rPr>
          <w:rFonts w:asciiTheme="minorHAnsi" w:hAnsiTheme="minorHAnsi"/>
        </w:rPr>
        <w:t>option</w:t>
      </w:r>
      <w:r w:rsidR="002D5F75">
        <w:rPr>
          <w:rFonts w:asciiTheme="minorHAnsi" w:hAnsiTheme="minorHAnsi"/>
        </w:rPr>
        <w:t xml:space="preserve">s for lodgement — online or paper. For these reasons, this </w:t>
      </w:r>
      <w:r w:rsidR="006D4C6D">
        <w:rPr>
          <w:rFonts w:asciiTheme="minorHAnsi" w:hAnsiTheme="minorHAnsi"/>
        </w:rPr>
        <w:t>option is not recommended.</w:t>
      </w:r>
    </w:p>
    <w:p w:rsidR="0001439D" w:rsidRPr="007F10E2" w:rsidRDefault="0001439D" w:rsidP="001D160F">
      <w:pPr>
        <w:spacing w:after="240" w:line="276" w:lineRule="auto"/>
        <w:rPr>
          <w:rFonts w:asciiTheme="minorHAnsi" w:hAnsiTheme="minorHAnsi"/>
          <w:u w:val="single"/>
        </w:rPr>
      </w:pPr>
      <w:r w:rsidRPr="007F10E2">
        <w:rPr>
          <w:rFonts w:asciiTheme="minorHAnsi" w:hAnsiTheme="minorHAnsi"/>
          <w:u w:val="single"/>
        </w:rPr>
        <w:t xml:space="preserve">Option </w:t>
      </w:r>
      <w:r w:rsidR="00C322BE">
        <w:rPr>
          <w:rFonts w:asciiTheme="minorHAnsi" w:hAnsiTheme="minorHAnsi"/>
          <w:u w:val="single"/>
        </w:rPr>
        <w:t>3</w:t>
      </w:r>
      <w:r w:rsidRPr="007F10E2">
        <w:rPr>
          <w:rFonts w:asciiTheme="minorHAnsi" w:hAnsiTheme="minorHAnsi"/>
          <w:u w:val="single"/>
        </w:rPr>
        <w:t xml:space="preserve">: </w:t>
      </w:r>
      <w:r w:rsidR="00471F48" w:rsidRPr="00B53451">
        <w:rPr>
          <w:rFonts w:asciiTheme="minorHAnsi" w:hAnsiTheme="minorHAnsi"/>
          <w:u w:val="single"/>
        </w:rPr>
        <w:t xml:space="preserve">Prescribing </w:t>
      </w:r>
      <w:r w:rsidR="00AB66D2" w:rsidRPr="00AE3E01">
        <w:rPr>
          <w:rFonts w:asciiTheme="minorHAnsi" w:hAnsiTheme="minorHAnsi"/>
          <w:u w:val="single"/>
        </w:rPr>
        <w:t>one fee for all applications</w:t>
      </w:r>
      <w:r w:rsidR="00AB66D2">
        <w:rPr>
          <w:rFonts w:asciiTheme="minorHAnsi" w:hAnsiTheme="minorHAnsi"/>
          <w:u w:val="single"/>
        </w:rPr>
        <w:t xml:space="preserve"> </w:t>
      </w:r>
      <w:r w:rsidR="00471F48" w:rsidRPr="00B53451">
        <w:rPr>
          <w:rFonts w:asciiTheme="minorHAnsi" w:hAnsiTheme="minorHAnsi"/>
          <w:u w:val="single"/>
        </w:rPr>
        <w:t>based on current costs and indexation</w:t>
      </w:r>
      <w:r w:rsidR="00471F48" w:rsidDel="00471F48">
        <w:rPr>
          <w:rFonts w:asciiTheme="minorHAnsi" w:hAnsiTheme="minorHAnsi"/>
          <w:u w:val="single"/>
        </w:rPr>
        <w:t xml:space="preserve"> </w:t>
      </w:r>
    </w:p>
    <w:p w:rsidR="0001439D" w:rsidRPr="00446289" w:rsidRDefault="007B0AC2" w:rsidP="001D160F">
      <w:pPr>
        <w:spacing w:after="240" w:line="276" w:lineRule="auto"/>
        <w:rPr>
          <w:rFonts w:asciiTheme="minorHAnsi" w:hAnsiTheme="minorHAnsi"/>
        </w:rPr>
      </w:pPr>
      <w:r>
        <w:rPr>
          <w:rFonts w:asciiTheme="minorHAnsi" w:hAnsiTheme="minorHAnsi"/>
        </w:rPr>
        <w:t xml:space="preserve">The </w:t>
      </w:r>
      <w:r w:rsidRPr="00446289">
        <w:rPr>
          <w:rFonts w:asciiTheme="minorHAnsi" w:hAnsiTheme="minorHAnsi"/>
        </w:rPr>
        <w:t>cost recovery analysis</w:t>
      </w:r>
      <w:r w:rsidR="00471F48">
        <w:rPr>
          <w:rStyle w:val="FootnoteReference"/>
          <w:rFonts w:asciiTheme="minorHAnsi" w:hAnsiTheme="minorHAnsi"/>
        </w:rPr>
        <w:footnoteReference w:id="11"/>
      </w:r>
      <w:r w:rsidRPr="00446289">
        <w:rPr>
          <w:rFonts w:asciiTheme="minorHAnsi" w:hAnsiTheme="minorHAnsi"/>
        </w:rPr>
        <w:t xml:space="preserve"> determined that the </w:t>
      </w:r>
      <w:r w:rsidR="00C46BCC">
        <w:rPr>
          <w:rFonts w:asciiTheme="minorHAnsi" w:hAnsiTheme="minorHAnsi"/>
        </w:rPr>
        <w:t xml:space="preserve">average </w:t>
      </w:r>
      <w:r>
        <w:rPr>
          <w:rFonts w:asciiTheme="minorHAnsi" w:hAnsiTheme="minorHAnsi"/>
        </w:rPr>
        <w:t>cost</w:t>
      </w:r>
      <w:r w:rsidRPr="00446289">
        <w:rPr>
          <w:rFonts w:asciiTheme="minorHAnsi" w:hAnsiTheme="minorHAnsi"/>
        </w:rPr>
        <w:t xml:space="preserve"> per </w:t>
      </w:r>
      <w:r>
        <w:rPr>
          <w:rFonts w:asciiTheme="minorHAnsi" w:hAnsiTheme="minorHAnsi"/>
        </w:rPr>
        <w:t>application</w:t>
      </w:r>
      <w:r w:rsidRPr="00446289">
        <w:rPr>
          <w:rFonts w:asciiTheme="minorHAnsi" w:hAnsiTheme="minorHAnsi"/>
        </w:rPr>
        <w:t xml:space="preserve"> </w:t>
      </w:r>
      <w:r>
        <w:rPr>
          <w:rFonts w:asciiTheme="minorHAnsi" w:hAnsiTheme="minorHAnsi"/>
        </w:rPr>
        <w:t>is $15.80.</w:t>
      </w:r>
      <w:r w:rsidR="00C46BCC">
        <w:rPr>
          <w:rFonts w:asciiTheme="minorHAnsi" w:hAnsiTheme="minorHAnsi"/>
        </w:rPr>
        <w:t xml:space="preserve"> Accordingly, under this option, </w:t>
      </w:r>
      <w:r w:rsidR="00C46BCC" w:rsidRPr="007A1929">
        <w:rPr>
          <w:rFonts w:asciiTheme="minorHAnsi" w:hAnsiTheme="minorHAnsi"/>
        </w:rPr>
        <w:t xml:space="preserve">the fee for a land tax clearance certificate </w:t>
      </w:r>
      <w:r w:rsidR="00C46BCC">
        <w:rPr>
          <w:rFonts w:asciiTheme="minorHAnsi" w:hAnsiTheme="minorHAnsi"/>
        </w:rPr>
        <w:t xml:space="preserve">would </w:t>
      </w:r>
      <w:r w:rsidR="00C46BCC" w:rsidRPr="007A1929">
        <w:rPr>
          <w:rFonts w:asciiTheme="minorHAnsi" w:hAnsiTheme="minorHAnsi"/>
        </w:rPr>
        <w:t xml:space="preserve">be specified </w:t>
      </w:r>
      <w:r w:rsidR="00C46BCC">
        <w:rPr>
          <w:rFonts w:asciiTheme="minorHAnsi" w:hAnsiTheme="minorHAnsi"/>
        </w:rPr>
        <w:t>as</w:t>
      </w:r>
      <w:r w:rsidR="00C46BCC" w:rsidRPr="007A1929">
        <w:rPr>
          <w:rFonts w:asciiTheme="minorHAnsi" w:hAnsiTheme="minorHAnsi"/>
        </w:rPr>
        <w:t xml:space="preserve"> 1.16</w:t>
      </w:r>
      <w:r w:rsidR="00F84E24">
        <w:rPr>
          <w:rFonts w:asciiTheme="minorHAnsi" w:hAnsiTheme="minorHAnsi"/>
        </w:rPr>
        <w:t xml:space="preserve"> fee units per application, which </w:t>
      </w:r>
      <w:r w:rsidR="00C46BCC" w:rsidRPr="007A1929">
        <w:rPr>
          <w:rFonts w:asciiTheme="minorHAnsi" w:hAnsiTheme="minorHAnsi"/>
        </w:rPr>
        <w:t>equates to $15.80 in 2015</w:t>
      </w:r>
      <w:r w:rsidR="00F84E24">
        <w:rPr>
          <w:rFonts w:asciiTheme="minorHAnsi" w:hAnsiTheme="minorHAnsi"/>
        </w:rPr>
        <w:t>-</w:t>
      </w:r>
      <w:r w:rsidR="00C46BCC" w:rsidRPr="007A1929">
        <w:rPr>
          <w:rFonts w:asciiTheme="minorHAnsi" w:hAnsiTheme="minorHAnsi"/>
        </w:rPr>
        <w:t>16</w:t>
      </w:r>
      <w:r w:rsidR="00F84E24">
        <w:rPr>
          <w:rFonts w:asciiTheme="minorHAnsi" w:hAnsiTheme="minorHAnsi"/>
        </w:rPr>
        <w:t>.</w:t>
      </w:r>
    </w:p>
    <w:p w:rsidR="00824DBE" w:rsidRPr="00C46BCC" w:rsidRDefault="00722C46" w:rsidP="00C46BCC">
      <w:pPr>
        <w:spacing w:after="240" w:line="276" w:lineRule="auto"/>
        <w:rPr>
          <w:rFonts w:asciiTheme="minorHAnsi" w:hAnsiTheme="minorHAnsi"/>
        </w:rPr>
      </w:pPr>
      <w:r>
        <w:rPr>
          <w:rFonts w:asciiTheme="minorHAnsi" w:hAnsiTheme="minorHAnsi"/>
        </w:rPr>
        <w:t>A</w:t>
      </w:r>
      <w:r w:rsidRPr="00C46BCC">
        <w:rPr>
          <w:rFonts w:asciiTheme="minorHAnsi" w:hAnsiTheme="minorHAnsi"/>
        </w:rPr>
        <w:t xml:space="preserve"> </w:t>
      </w:r>
      <w:r w:rsidR="00824DBE" w:rsidRPr="00C46BCC">
        <w:rPr>
          <w:rFonts w:asciiTheme="minorHAnsi" w:hAnsiTheme="minorHAnsi"/>
        </w:rPr>
        <w:t xml:space="preserve">benefit of </w:t>
      </w:r>
      <w:r w:rsidR="00C46BCC" w:rsidRPr="00C46BCC">
        <w:rPr>
          <w:rFonts w:asciiTheme="minorHAnsi" w:hAnsiTheme="minorHAnsi"/>
        </w:rPr>
        <w:t xml:space="preserve">prescribing one fee </w:t>
      </w:r>
      <w:r w:rsidR="00824DBE" w:rsidRPr="00C46BCC">
        <w:rPr>
          <w:rFonts w:asciiTheme="minorHAnsi" w:hAnsiTheme="minorHAnsi"/>
        </w:rPr>
        <w:t xml:space="preserve">amount </w:t>
      </w:r>
      <w:r w:rsidR="00C46BCC" w:rsidRPr="00C46BCC">
        <w:rPr>
          <w:rFonts w:asciiTheme="minorHAnsi" w:hAnsiTheme="minorHAnsi"/>
        </w:rPr>
        <w:t xml:space="preserve">for all applications </w:t>
      </w:r>
      <w:r w:rsidR="00824DBE" w:rsidRPr="00C46BCC">
        <w:rPr>
          <w:rFonts w:asciiTheme="minorHAnsi" w:hAnsiTheme="minorHAnsi"/>
        </w:rPr>
        <w:t xml:space="preserve">is that it will fully recover the cost </w:t>
      </w:r>
      <w:r w:rsidR="00EC480A" w:rsidRPr="00C46BCC">
        <w:rPr>
          <w:rFonts w:asciiTheme="minorHAnsi" w:hAnsiTheme="minorHAnsi"/>
        </w:rPr>
        <w:t>to</w:t>
      </w:r>
      <w:r w:rsidR="00824DBE" w:rsidRPr="00C46BCC">
        <w:rPr>
          <w:rFonts w:asciiTheme="minorHAnsi" w:hAnsiTheme="minorHAnsi"/>
        </w:rPr>
        <w:t xml:space="preserve"> </w:t>
      </w:r>
      <w:r w:rsidR="000D4B65" w:rsidRPr="00C46BCC">
        <w:rPr>
          <w:rFonts w:asciiTheme="minorHAnsi" w:hAnsiTheme="minorHAnsi"/>
        </w:rPr>
        <w:t xml:space="preserve">the SRO </w:t>
      </w:r>
      <w:r w:rsidR="00EC480A" w:rsidRPr="00C46BCC">
        <w:rPr>
          <w:rFonts w:asciiTheme="minorHAnsi" w:hAnsiTheme="minorHAnsi"/>
        </w:rPr>
        <w:t xml:space="preserve">in </w:t>
      </w:r>
      <w:r w:rsidR="00824DBE" w:rsidRPr="00C46BCC">
        <w:rPr>
          <w:rFonts w:asciiTheme="minorHAnsi" w:hAnsiTheme="minorHAnsi"/>
        </w:rPr>
        <w:t>providing the clearance certificate service, resulting in a revenue neutral position</w:t>
      </w:r>
      <w:r w:rsidR="00C46BCC" w:rsidRPr="00C46BCC">
        <w:rPr>
          <w:rFonts w:asciiTheme="minorHAnsi" w:hAnsiTheme="minorHAnsi"/>
        </w:rPr>
        <w:t xml:space="preserve">. </w:t>
      </w:r>
      <w:r w:rsidR="00C46BCC">
        <w:rPr>
          <w:rFonts w:asciiTheme="minorHAnsi" w:hAnsiTheme="minorHAnsi"/>
        </w:rPr>
        <w:t>T</w:t>
      </w:r>
      <w:r w:rsidR="00C46BCC" w:rsidRPr="00446289">
        <w:rPr>
          <w:rFonts w:asciiTheme="minorHAnsi" w:hAnsiTheme="minorHAnsi"/>
        </w:rPr>
        <w:t>here is no way to recover the</w:t>
      </w:r>
      <w:r w:rsidR="00C46BCC">
        <w:rPr>
          <w:rFonts w:asciiTheme="minorHAnsi" w:hAnsiTheme="minorHAnsi"/>
        </w:rPr>
        <w:t>se</w:t>
      </w:r>
      <w:r w:rsidR="00C46BCC" w:rsidRPr="00446289">
        <w:rPr>
          <w:rFonts w:asciiTheme="minorHAnsi" w:hAnsiTheme="minorHAnsi"/>
        </w:rPr>
        <w:t xml:space="preserve"> costs other than through the prescribed fee</w:t>
      </w:r>
      <w:r w:rsidR="00C46BCC">
        <w:rPr>
          <w:rFonts w:asciiTheme="minorHAnsi" w:hAnsiTheme="minorHAnsi"/>
        </w:rPr>
        <w:t xml:space="preserve"> or budget </w:t>
      </w:r>
      <w:r w:rsidR="00C46BCC" w:rsidRPr="0037205B">
        <w:rPr>
          <w:rFonts w:asciiTheme="minorHAnsi" w:hAnsiTheme="minorHAnsi"/>
        </w:rPr>
        <w:t>appropriations</w:t>
      </w:r>
      <w:r w:rsidR="00C46BCC" w:rsidRPr="00446289">
        <w:rPr>
          <w:rFonts w:asciiTheme="minorHAnsi" w:hAnsiTheme="minorHAnsi"/>
        </w:rPr>
        <w:t>.</w:t>
      </w:r>
      <w:r w:rsidR="00C46BCC">
        <w:rPr>
          <w:rFonts w:asciiTheme="minorHAnsi" w:hAnsiTheme="minorHAnsi"/>
        </w:rPr>
        <w:t xml:space="preserve"> </w:t>
      </w:r>
      <w:r w:rsidR="00C46BCC" w:rsidRPr="00C46BCC">
        <w:rPr>
          <w:rFonts w:asciiTheme="minorHAnsi" w:hAnsiTheme="minorHAnsi"/>
        </w:rPr>
        <w:t xml:space="preserve">It </w:t>
      </w:r>
      <w:r w:rsidR="00C46BCC">
        <w:rPr>
          <w:rFonts w:asciiTheme="minorHAnsi" w:hAnsiTheme="minorHAnsi"/>
        </w:rPr>
        <w:t>will</w:t>
      </w:r>
      <w:r w:rsidR="00C46BCC" w:rsidRPr="00C46BCC">
        <w:rPr>
          <w:rFonts w:asciiTheme="minorHAnsi" w:hAnsiTheme="minorHAnsi"/>
        </w:rPr>
        <w:t xml:space="preserve"> also</w:t>
      </w:r>
      <w:r w:rsidR="00824DBE" w:rsidRPr="00C46BCC">
        <w:rPr>
          <w:rFonts w:asciiTheme="minorHAnsi" w:hAnsiTheme="minorHAnsi"/>
        </w:rPr>
        <w:t xml:space="preserve"> enabl</w:t>
      </w:r>
      <w:r w:rsidR="00C46BCC" w:rsidRPr="00C46BCC">
        <w:rPr>
          <w:rFonts w:asciiTheme="minorHAnsi" w:hAnsiTheme="minorHAnsi"/>
        </w:rPr>
        <w:t>e</w:t>
      </w:r>
      <w:r w:rsidR="00824DBE" w:rsidRPr="00C46BCC">
        <w:rPr>
          <w:rFonts w:asciiTheme="minorHAnsi" w:hAnsiTheme="minorHAnsi"/>
        </w:rPr>
        <w:t xml:space="preserve"> the SRO to meet its general functions (the administration of Victoria’s taxation legislation and collection of taxes and duties) without significant diversion of resources. This is considered to be in accordance</w:t>
      </w:r>
      <w:r w:rsidR="00EC480A" w:rsidRPr="00C46BCC">
        <w:rPr>
          <w:rFonts w:asciiTheme="minorHAnsi" w:hAnsiTheme="minorHAnsi"/>
        </w:rPr>
        <w:t xml:space="preserve"> with stated government policy. </w:t>
      </w:r>
    </w:p>
    <w:p w:rsidR="00AC28DB" w:rsidRDefault="00AC28DB" w:rsidP="001D160F">
      <w:pPr>
        <w:pStyle w:val="Style14ptJustified"/>
        <w:keepLines/>
        <w:spacing w:after="240" w:line="276" w:lineRule="auto"/>
        <w:jc w:val="left"/>
        <w:rPr>
          <w:rFonts w:ascii="Calibri" w:hAnsi="Calibri"/>
          <w:sz w:val="24"/>
          <w:szCs w:val="24"/>
        </w:rPr>
      </w:pPr>
      <w:r>
        <w:rPr>
          <w:rFonts w:ascii="Calibri" w:hAnsi="Calibri"/>
          <w:sz w:val="24"/>
          <w:szCs w:val="24"/>
        </w:rPr>
        <w:t>Initial consultation indicates that a nominal in</w:t>
      </w:r>
      <w:r w:rsidR="000D4B65">
        <w:rPr>
          <w:rFonts w:ascii="Calibri" w:hAnsi="Calibri"/>
          <w:sz w:val="24"/>
          <w:szCs w:val="24"/>
        </w:rPr>
        <w:t xml:space="preserve">crease </w:t>
      </w:r>
      <w:r w:rsidR="00C46BCC">
        <w:rPr>
          <w:rFonts w:ascii="Calibri" w:hAnsi="Calibri"/>
          <w:sz w:val="24"/>
          <w:szCs w:val="24"/>
        </w:rPr>
        <w:t xml:space="preserve">in the fee for online applications </w:t>
      </w:r>
      <w:r w:rsidR="000D4B65">
        <w:rPr>
          <w:rFonts w:ascii="Calibri" w:hAnsi="Calibri"/>
          <w:sz w:val="24"/>
          <w:szCs w:val="24"/>
        </w:rPr>
        <w:t xml:space="preserve">will have minimal impact on the </w:t>
      </w:r>
      <w:r w:rsidR="003F1348">
        <w:rPr>
          <w:rFonts w:ascii="Calibri" w:hAnsi="Calibri"/>
          <w:sz w:val="24"/>
          <w:szCs w:val="24"/>
        </w:rPr>
        <w:t xml:space="preserve">number of applications made by the </w:t>
      </w:r>
      <w:r w:rsidR="000D4B65">
        <w:rPr>
          <w:rFonts w:ascii="Calibri" w:hAnsi="Calibri"/>
          <w:sz w:val="24"/>
          <w:szCs w:val="24"/>
        </w:rPr>
        <w:t xml:space="preserve">conveyancing industry. Furthermore, the proposed fee remains a minor cost within the context of the overall conveyancing process. </w:t>
      </w:r>
    </w:p>
    <w:p w:rsidR="006D4C6D" w:rsidRDefault="00C07AE4" w:rsidP="00904C3D">
      <w:pPr>
        <w:spacing w:after="240" w:line="276" w:lineRule="auto"/>
        <w:rPr>
          <w:rFonts w:asciiTheme="minorHAnsi" w:hAnsiTheme="minorHAnsi"/>
        </w:rPr>
      </w:pPr>
      <w:r>
        <w:rPr>
          <w:rFonts w:asciiTheme="minorHAnsi" w:hAnsiTheme="minorHAnsi"/>
        </w:rPr>
        <w:t>This option will also r</w:t>
      </w:r>
      <w:r w:rsidR="006D4C6D" w:rsidRPr="00446289">
        <w:rPr>
          <w:rFonts w:asciiTheme="minorHAnsi" w:hAnsiTheme="minorHAnsi"/>
        </w:rPr>
        <w:t>educe the cost of administering differential fees</w:t>
      </w:r>
      <w:r>
        <w:rPr>
          <w:rFonts w:asciiTheme="minorHAnsi" w:hAnsiTheme="minorHAnsi"/>
        </w:rPr>
        <w:t xml:space="preserve"> </w:t>
      </w:r>
      <w:r w:rsidR="006D4C6D">
        <w:rPr>
          <w:rFonts w:asciiTheme="minorHAnsi" w:hAnsiTheme="minorHAnsi"/>
        </w:rPr>
        <w:t xml:space="preserve">and simplify the application process for </w:t>
      </w:r>
      <w:r w:rsidR="006C32CF">
        <w:rPr>
          <w:rFonts w:asciiTheme="minorHAnsi" w:hAnsiTheme="minorHAnsi"/>
        </w:rPr>
        <w:t>vendors</w:t>
      </w:r>
      <w:r w:rsidR="006D4C6D">
        <w:rPr>
          <w:rFonts w:asciiTheme="minorHAnsi" w:hAnsiTheme="minorHAnsi"/>
        </w:rPr>
        <w:t>, purchasers and mortgagees</w:t>
      </w:r>
      <w:r>
        <w:rPr>
          <w:rFonts w:asciiTheme="minorHAnsi" w:hAnsiTheme="minorHAnsi"/>
        </w:rPr>
        <w:t xml:space="preserve">. </w:t>
      </w:r>
      <w:r w:rsidR="006D4C6D" w:rsidRPr="00446289">
        <w:rPr>
          <w:rFonts w:asciiTheme="minorHAnsi" w:hAnsiTheme="minorHAnsi"/>
        </w:rPr>
        <w:t xml:space="preserve"> It is not anticipated that </w:t>
      </w:r>
      <w:r>
        <w:rPr>
          <w:rFonts w:asciiTheme="minorHAnsi" w:hAnsiTheme="minorHAnsi"/>
        </w:rPr>
        <w:t xml:space="preserve">abolishing the higher fee for paper applications </w:t>
      </w:r>
      <w:r w:rsidR="006D4C6D" w:rsidRPr="00446289">
        <w:rPr>
          <w:rFonts w:asciiTheme="minorHAnsi" w:hAnsiTheme="minorHAnsi"/>
        </w:rPr>
        <w:t xml:space="preserve">will result in an increase in </w:t>
      </w:r>
      <w:r>
        <w:rPr>
          <w:rFonts w:asciiTheme="minorHAnsi" w:hAnsiTheme="minorHAnsi"/>
        </w:rPr>
        <w:t>the number of these</w:t>
      </w:r>
      <w:r w:rsidR="006D4C6D" w:rsidRPr="00446289">
        <w:rPr>
          <w:rFonts w:asciiTheme="minorHAnsi" w:hAnsiTheme="minorHAnsi"/>
        </w:rPr>
        <w:t xml:space="preserve"> applications. Other jurisdictions that offer both online and paper applications for the same fee have not experienced any increase in the number of </w:t>
      </w:r>
      <w:r w:rsidR="006D4C6D">
        <w:rPr>
          <w:rFonts w:asciiTheme="minorHAnsi" w:hAnsiTheme="minorHAnsi"/>
        </w:rPr>
        <w:t xml:space="preserve">paper </w:t>
      </w:r>
      <w:r w:rsidR="006D4C6D" w:rsidRPr="00446289">
        <w:rPr>
          <w:rFonts w:asciiTheme="minorHAnsi" w:hAnsiTheme="minorHAnsi"/>
        </w:rPr>
        <w:t>applications as a result.</w:t>
      </w:r>
      <w:r>
        <w:rPr>
          <w:rFonts w:asciiTheme="minorHAnsi" w:hAnsiTheme="minorHAnsi"/>
        </w:rPr>
        <w:t xml:space="preserve"> </w:t>
      </w:r>
    </w:p>
    <w:p w:rsidR="00722C46" w:rsidRDefault="00D70F72" w:rsidP="00904C3D">
      <w:pPr>
        <w:spacing w:after="240" w:line="276" w:lineRule="auto"/>
        <w:rPr>
          <w:rFonts w:ascii="Calibri" w:hAnsi="Calibri"/>
        </w:rPr>
      </w:pPr>
      <w:r>
        <w:rPr>
          <w:rFonts w:asciiTheme="minorHAnsi" w:hAnsiTheme="minorHAnsi"/>
        </w:rPr>
        <w:t>Due to the small and declining number of paper applications received and the eventual phase out of paper applications</w:t>
      </w:r>
      <w:r w:rsidR="00722C46">
        <w:rPr>
          <w:rFonts w:ascii="Calibri" w:hAnsi="Calibri"/>
        </w:rPr>
        <w:t xml:space="preserve">, </w:t>
      </w:r>
      <w:r>
        <w:rPr>
          <w:rFonts w:ascii="Calibri" w:hAnsi="Calibri"/>
        </w:rPr>
        <w:t>this</w:t>
      </w:r>
      <w:r w:rsidR="00722C46">
        <w:rPr>
          <w:rFonts w:ascii="Calibri" w:hAnsi="Calibri"/>
        </w:rPr>
        <w:t xml:space="preserve"> is the </w:t>
      </w:r>
      <w:r>
        <w:rPr>
          <w:rFonts w:ascii="Calibri" w:hAnsi="Calibri"/>
        </w:rPr>
        <w:t xml:space="preserve">SRO’s </w:t>
      </w:r>
      <w:r w:rsidR="00722C46">
        <w:rPr>
          <w:rFonts w:ascii="Calibri" w:hAnsi="Calibri"/>
        </w:rPr>
        <w:t>preferred option</w:t>
      </w:r>
      <w:r>
        <w:rPr>
          <w:rFonts w:ascii="Calibri" w:hAnsi="Calibri"/>
        </w:rPr>
        <w:t>.</w:t>
      </w:r>
    </w:p>
    <w:p w:rsidR="00437AB9" w:rsidRPr="007A1929" w:rsidRDefault="007A1929" w:rsidP="004F0791">
      <w:pPr>
        <w:pStyle w:val="Heading2"/>
        <w:spacing w:before="0" w:after="240" w:line="276" w:lineRule="auto"/>
        <w:rPr>
          <w:rFonts w:asciiTheme="minorHAnsi" w:eastAsia="Times New Roman" w:hAnsiTheme="minorHAnsi" w:cs="Times New Roman"/>
          <w:color w:val="auto"/>
          <w:sz w:val="28"/>
          <w:szCs w:val="22"/>
        </w:rPr>
      </w:pPr>
      <w:bookmarkStart w:id="17" w:name="_Toc432510188"/>
      <w:r>
        <w:rPr>
          <w:rFonts w:asciiTheme="minorHAnsi" w:eastAsia="Times New Roman" w:hAnsiTheme="minorHAnsi" w:cs="Times New Roman"/>
          <w:color w:val="auto"/>
          <w:sz w:val="28"/>
          <w:szCs w:val="22"/>
        </w:rPr>
        <w:t xml:space="preserve">6.4. </w:t>
      </w:r>
      <w:r w:rsidRPr="007A1929">
        <w:rPr>
          <w:rFonts w:asciiTheme="minorHAnsi" w:eastAsia="Times New Roman" w:hAnsiTheme="minorHAnsi" w:cs="Times New Roman"/>
          <w:color w:val="auto"/>
          <w:sz w:val="28"/>
          <w:szCs w:val="22"/>
        </w:rPr>
        <w:t>Proposed land tax clearance certificate fee</w:t>
      </w:r>
      <w:bookmarkEnd w:id="17"/>
      <w:r w:rsidRPr="007A1929">
        <w:rPr>
          <w:rFonts w:asciiTheme="minorHAnsi" w:eastAsia="Times New Roman" w:hAnsiTheme="minorHAnsi" w:cs="Times New Roman"/>
          <w:color w:val="auto"/>
          <w:sz w:val="28"/>
          <w:szCs w:val="22"/>
        </w:rPr>
        <w:t xml:space="preserve"> </w:t>
      </w:r>
    </w:p>
    <w:p w:rsidR="00437AB9" w:rsidRDefault="007A1929" w:rsidP="007A1929">
      <w:pPr>
        <w:pStyle w:val="Style14ptJustified"/>
        <w:keepLines/>
        <w:spacing w:after="240" w:line="276" w:lineRule="auto"/>
        <w:jc w:val="left"/>
        <w:rPr>
          <w:rFonts w:asciiTheme="minorHAnsi" w:hAnsiTheme="minorHAnsi"/>
          <w:sz w:val="24"/>
          <w:szCs w:val="24"/>
        </w:rPr>
      </w:pPr>
      <w:r w:rsidRPr="007A1929">
        <w:rPr>
          <w:rFonts w:asciiTheme="minorHAnsi" w:hAnsiTheme="minorHAnsi"/>
          <w:sz w:val="24"/>
          <w:szCs w:val="24"/>
        </w:rPr>
        <w:t>It is proposed that the fee for a land tax clearance certificate be specified to be 1.16 fee units. This equates to $15.80</w:t>
      </w:r>
      <w:r w:rsidR="004955A9">
        <w:rPr>
          <w:rFonts w:asciiTheme="minorHAnsi" w:hAnsiTheme="minorHAnsi"/>
          <w:sz w:val="24"/>
          <w:szCs w:val="24"/>
        </w:rPr>
        <w:t xml:space="preserve"> in 2015</w:t>
      </w:r>
      <w:r w:rsidR="00983246">
        <w:rPr>
          <w:rFonts w:asciiTheme="minorHAnsi" w:hAnsiTheme="minorHAnsi"/>
          <w:sz w:val="24"/>
          <w:szCs w:val="24"/>
        </w:rPr>
        <w:t>-</w:t>
      </w:r>
      <w:r w:rsidR="004955A9">
        <w:rPr>
          <w:rFonts w:asciiTheme="minorHAnsi" w:hAnsiTheme="minorHAnsi"/>
          <w:sz w:val="24"/>
          <w:szCs w:val="24"/>
        </w:rPr>
        <w:t>16, an increase of 5.3 per cent</w:t>
      </w:r>
      <w:r w:rsidR="00AC7570" w:rsidRPr="00AC7570">
        <w:rPr>
          <w:rFonts w:asciiTheme="minorHAnsi" w:hAnsiTheme="minorHAnsi"/>
          <w:sz w:val="24"/>
          <w:szCs w:val="24"/>
        </w:rPr>
        <w:t xml:space="preserve"> (or 80 cents) for online applications and a decrease of 21 per cent (or $4.20) for paper applications</w:t>
      </w:r>
      <w:r w:rsidR="004955A9">
        <w:rPr>
          <w:rFonts w:asciiTheme="minorHAnsi" w:hAnsiTheme="minorHAnsi"/>
          <w:sz w:val="24"/>
          <w:szCs w:val="24"/>
        </w:rPr>
        <w:t>.</w:t>
      </w:r>
    </w:p>
    <w:p w:rsidR="005304DB" w:rsidRDefault="005304DB" w:rsidP="005304DB">
      <w:pPr>
        <w:pStyle w:val="Style14ptJustified"/>
        <w:keepLines/>
        <w:spacing w:after="240" w:line="276" w:lineRule="auto"/>
        <w:jc w:val="left"/>
        <w:rPr>
          <w:rFonts w:asciiTheme="minorHAnsi" w:hAnsiTheme="minorHAnsi"/>
          <w:sz w:val="24"/>
          <w:szCs w:val="24"/>
        </w:rPr>
      </w:pPr>
      <w:r>
        <w:rPr>
          <w:rFonts w:asciiTheme="minorHAnsi" w:hAnsiTheme="minorHAnsi"/>
          <w:sz w:val="24"/>
          <w:szCs w:val="24"/>
        </w:rPr>
        <w:t>T</w:t>
      </w:r>
      <w:r w:rsidRPr="00E20D27">
        <w:rPr>
          <w:rFonts w:asciiTheme="minorHAnsi" w:hAnsiTheme="minorHAnsi"/>
          <w:sz w:val="24"/>
          <w:szCs w:val="24"/>
        </w:rPr>
        <w:t>he proposed fee has been derived</w:t>
      </w:r>
      <w:r>
        <w:rPr>
          <w:rFonts w:asciiTheme="minorHAnsi" w:hAnsiTheme="minorHAnsi"/>
          <w:sz w:val="24"/>
          <w:szCs w:val="24"/>
        </w:rPr>
        <w:t xml:space="preserve"> by dividing the estimated cost</w:t>
      </w:r>
      <w:r w:rsidRPr="00E20D27">
        <w:rPr>
          <w:rFonts w:asciiTheme="minorHAnsi" w:hAnsiTheme="minorHAnsi"/>
          <w:sz w:val="24"/>
          <w:szCs w:val="24"/>
        </w:rPr>
        <w:t xml:space="preserve"> </w:t>
      </w:r>
      <w:r>
        <w:rPr>
          <w:rFonts w:asciiTheme="minorHAnsi" w:hAnsiTheme="minorHAnsi"/>
          <w:sz w:val="24"/>
          <w:szCs w:val="24"/>
        </w:rPr>
        <w:t xml:space="preserve">per application </w:t>
      </w:r>
      <w:r w:rsidRPr="00E20D27">
        <w:rPr>
          <w:rFonts w:asciiTheme="minorHAnsi" w:hAnsiTheme="minorHAnsi"/>
          <w:sz w:val="24"/>
          <w:szCs w:val="24"/>
        </w:rPr>
        <w:t xml:space="preserve">by the current value of a fee unit. </w:t>
      </w:r>
      <w:r>
        <w:rPr>
          <w:rFonts w:asciiTheme="minorHAnsi" w:hAnsiTheme="minorHAnsi"/>
          <w:sz w:val="24"/>
          <w:szCs w:val="24"/>
        </w:rPr>
        <w:t>The</w:t>
      </w:r>
      <w:r w:rsidRPr="00483D4E">
        <w:rPr>
          <w:rFonts w:asciiTheme="minorHAnsi" w:hAnsiTheme="minorHAnsi"/>
          <w:sz w:val="24"/>
          <w:szCs w:val="24"/>
        </w:rPr>
        <w:t xml:space="preserve"> value of a fee unit for the financial year commencing 1 July 2015 is $13.60</w:t>
      </w:r>
      <w:r>
        <w:rPr>
          <w:rFonts w:asciiTheme="minorHAnsi" w:hAnsiTheme="minorHAnsi"/>
          <w:sz w:val="24"/>
          <w:szCs w:val="24"/>
        </w:rPr>
        <w:t xml:space="preserve">. Therefore, the proposed fee unit is $15.80/$13.60 = 1.16 fee units. </w:t>
      </w:r>
    </w:p>
    <w:p w:rsidR="005304DB" w:rsidRPr="002D3C09" w:rsidRDefault="005304DB" w:rsidP="005304DB">
      <w:pPr>
        <w:pStyle w:val="Style14ptJustified"/>
        <w:keepLines/>
        <w:spacing w:after="240" w:line="276" w:lineRule="auto"/>
        <w:jc w:val="left"/>
        <w:rPr>
          <w:rFonts w:asciiTheme="minorHAnsi" w:hAnsiTheme="minorHAnsi"/>
          <w:sz w:val="24"/>
          <w:szCs w:val="24"/>
        </w:rPr>
      </w:pPr>
      <w:r w:rsidRPr="002D3C09">
        <w:rPr>
          <w:rFonts w:asciiTheme="minorHAnsi" w:hAnsiTheme="minorHAnsi"/>
          <w:sz w:val="24"/>
          <w:szCs w:val="24"/>
        </w:rPr>
        <w:t xml:space="preserve">It should be noted that the fee units established via the above calculation is rounded to two decimal places, as </w:t>
      </w:r>
      <w:r>
        <w:rPr>
          <w:rFonts w:asciiTheme="minorHAnsi" w:hAnsiTheme="minorHAnsi"/>
          <w:sz w:val="24"/>
          <w:szCs w:val="24"/>
        </w:rPr>
        <w:t xml:space="preserve">provided </w:t>
      </w:r>
      <w:r w:rsidRPr="002D3C09">
        <w:rPr>
          <w:rFonts w:asciiTheme="minorHAnsi" w:hAnsiTheme="minorHAnsi"/>
          <w:sz w:val="24"/>
          <w:szCs w:val="24"/>
        </w:rPr>
        <w:t xml:space="preserve">by the </w:t>
      </w:r>
      <w:r w:rsidRPr="002D3C09">
        <w:rPr>
          <w:rFonts w:asciiTheme="minorHAnsi" w:hAnsiTheme="minorHAnsi"/>
          <w:i/>
          <w:sz w:val="24"/>
          <w:szCs w:val="24"/>
        </w:rPr>
        <w:t>Monetary Units Act 2004</w:t>
      </w:r>
      <w:r w:rsidRPr="002D3C09">
        <w:rPr>
          <w:rFonts w:asciiTheme="minorHAnsi" w:hAnsiTheme="minorHAnsi"/>
          <w:sz w:val="24"/>
          <w:szCs w:val="24"/>
        </w:rPr>
        <w:t>.</w:t>
      </w:r>
    </w:p>
    <w:p w:rsidR="005304DB" w:rsidRPr="002D3C09" w:rsidRDefault="005304DB" w:rsidP="005304DB">
      <w:pPr>
        <w:pStyle w:val="Style14ptJustified"/>
        <w:keepLines/>
        <w:spacing w:after="240" w:line="276" w:lineRule="auto"/>
        <w:jc w:val="left"/>
        <w:rPr>
          <w:rFonts w:asciiTheme="minorHAnsi" w:hAnsiTheme="minorHAnsi"/>
          <w:sz w:val="24"/>
          <w:szCs w:val="24"/>
        </w:rPr>
      </w:pPr>
      <w:r w:rsidRPr="002D3C09">
        <w:rPr>
          <w:rFonts w:asciiTheme="minorHAnsi" w:hAnsiTheme="minorHAnsi"/>
          <w:sz w:val="24"/>
          <w:szCs w:val="24"/>
        </w:rPr>
        <w:lastRenderedPageBreak/>
        <w:t xml:space="preserve">The actual </w:t>
      </w:r>
      <w:r w:rsidR="00DE5B23">
        <w:rPr>
          <w:rFonts w:asciiTheme="minorHAnsi" w:hAnsiTheme="minorHAnsi"/>
          <w:sz w:val="24"/>
          <w:szCs w:val="24"/>
        </w:rPr>
        <w:t>dollar fee payable is to be</w:t>
      </w:r>
      <w:r w:rsidRPr="002D3C09">
        <w:rPr>
          <w:rFonts w:asciiTheme="minorHAnsi" w:hAnsiTheme="minorHAnsi"/>
          <w:sz w:val="24"/>
          <w:szCs w:val="24"/>
        </w:rPr>
        <w:t xml:space="preserve"> derived by multiplying the number of fee units by the current va</w:t>
      </w:r>
      <w:r>
        <w:rPr>
          <w:rFonts w:asciiTheme="minorHAnsi" w:hAnsiTheme="minorHAnsi"/>
          <w:sz w:val="24"/>
          <w:szCs w:val="24"/>
        </w:rPr>
        <w:t xml:space="preserve">lue of the fee unit and rounding </w:t>
      </w:r>
      <w:r w:rsidRPr="002D3C09">
        <w:rPr>
          <w:rFonts w:asciiTheme="minorHAnsi" w:hAnsiTheme="minorHAnsi"/>
          <w:sz w:val="24"/>
          <w:szCs w:val="24"/>
        </w:rPr>
        <w:t xml:space="preserve">to the nearest 10 cents in accordance with the </w:t>
      </w:r>
      <w:r w:rsidRPr="002D3C09">
        <w:rPr>
          <w:rFonts w:asciiTheme="minorHAnsi" w:hAnsiTheme="minorHAnsi"/>
          <w:i/>
          <w:sz w:val="24"/>
          <w:szCs w:val="24"/>
        </w:rPr>
        <w:t>Monetary Units Act 2004</w:t>
      </w:r>
      <w:r w:rsidRPr="002D3C09">
        <w:rPr>
          <w:rFonts w:asciiTheme="minorHAnsi" w:hAnsiTheme="minorHAnsi"/>
          <w:sz w:val="24"/>
          <w:szCs w:val="24"/>
        </w:rPr>
        <w:t>.</w:t>
      </w:r>
    </w:p>
    <w:p w:rsidR="007A1929" w:rsidRPr="00E47748" w:rsidRDefault="00E47748" w:rsidP="00E47748">
      <w:pPr>
        <w:spacing w:after="240" w:line="276" w:lineRule="auto"/>
        <w:rPr>
          <w:rFonts w:ascii="Calibri" w:hAnsi="Calibri"/>
          <w:i/>
        </w:rPr>
      </w:pPr>
      <w:r w:rsidRPr="00E47748">
        <w:rPr>
          <w:rFonts w:ascii="Calibri" w:hAnsi="Calibri"/>
          <w:i/>
        </w:rPr>
        <w:t xml:space="preserve">Impact of </w:t>
      </w:r>
      <w:r w:rsidR="00FD2FAD">
        <w:rPr>
          <w:rFonts w:ascii="Calibri" w:hAnsi="Calibri"/>
          <w:i/>
        </w:rPr>
        <w:t xml:space="preserve">proposed </w:t>
      </w:r>
      <w:r w:rsidRPr="00E47748">
        <w:rPr>
          <w:rFonts w:ascii="Calibri" w:hAnsi="Calibri"/>
          <w:i/>
        </w:rPr>
        <w:t>fee</w:t>
      </w:r>
    </w:p>
    <w:p w:rsidR="0077432E" w:rsidRDefault="00DE5B23" w:rsidP="007A1929">
      <w:pPr>
        <w:pStyle w:val="Style14ptJustified"/>
        <w:keepLines/>
        <w:spacing w:after="240" w:line="276" w:lineRule="auto"/>
        <w:jc w:val="left"/>
        <w:rPr>
          <w:rFonts w:asciiTheme="minorHAnsi" w:hAnsiTheme="minorHAnsi"/>
          <w:sz w:val="24"/>
          <w:szCs w:val="24"/>
        </w:rPr>
      </w:pPr>
      <w:r>
        <w:rPr>
          <w:rFonts w:asciiTheme="minorHAnsi" w:hAnsiTheme="minorHAnsi"/>
          <w:sz w:val="24"/>
          <w:szCs w:val="24"/>
        </w:rPr>
        <w:t xml:space="preserve">It is difficult to </w:t>
      </w:r>
      <w:r w:rsidR="006D2102">
        <w:rPr>
          <w:rFonts w:asciiTheme="minorHAnsi" w:hAnsiTheme="minorHAnsi"/>
          <w:sz w:val="24"/>
          <w:szCs w:val="24"/>
        </w:rPr>
        <w:t>predict</w:t>
      </w:r>
      <w:r>
        <w:rPr>
          <w:rFonts w:asciiTheme="minorHAnsi" w:hAnsiTheme="minorHAnsi"/>
          <w:sz w:val="24"/>
          <w:szCs w:val="24"/>
        </w:rPr>
        <w:t xml:space="preserve"> the number of land tax clearance certificates that are likely to be issued in a </w:t>
      </w:r>
      <w:r w:rsidR="002F43A2">
        <w:rPr>
          <w:rFonts w:asciiTheme="minorHAnsi" w:hAnsiTheme="minorHAnsi"/>
          <w:sz w:val="24"/>
          <w:szCs w:val="24"/>
        </w:rPr>
        <w:t>future</w:t>
      </w:r>
      <w:r>
        <w:rPr>
          <w:rFonts w:asciiTheme="minorHAnsi" w:hAnsiTheme="minorHAnsi"/>
          <w:sz w:val="24"/>
          <w:szCs w:val="24"/>
        </w:rPr>
        <w:t xml:space="preserve"> </w:t>
      </w:r>
      <w:proofErr w:type="gramStart"/>
      <w:r>
        <w:rPr>
          <w:rFonts w:asciiTheme="minorHAnsi" w:hAnsiTheme="minorHAnsi"/>
          <w:sz w:val="24"/>
          <w:szCs w:val="24"/>
        </w:rPr>
        <w:t>year,</w:t>
      </w:r>
      <w:proofErr w:type="gramEnd"/>
      <w:r>
        <w:rPr>
          <w:rFonts w:asciiTheme="minorHAnsi" w:hAnsiTheme="minorHAnsi"/>
          <w:sz w:val="24"/>
          <w:szCs w:val="24"/>
        </w:rPr>
        <w:t xml:space="preserve"> however a reasonable estimate can be drawn from the number of certificates issued in </w:t>
      </w:r>
      <w:r w:rsidR="002F43A2">
        <w:rPr>
          <w:rFonts w:asciiTheme="minorHAnsi" w:hAnsiTheme="minorHAnsi"/>
          <w:sz w:val="24"/>
          <w:szCs w:val="24"/>
        </w:rPr>
        <w:t>previous</w:t>
      </w:r>
      <w:r>
        <w:rPr>
          <w:rFonts w:asciiTheme="minorHAnsi" w:hAnsiTheme="minorHAnsi"/>
          <w:sz w:val="24"/>
          <w:szCs w:val="24"/>
        </w:rPr>
        <w:t xml:space="preserve"> years. Records of land tax clearance certificates issued for the past ten years indicate an average number of 170,000 certificates per year. </w:t>
      </w:r>
    </w:p>
    <w:p w:rsidR="00FD2FAD" w:rsidRDefault="00C2480C" w:rsidP="007A1929">
      <w:pPr>
        <w:pStyle w:val="Style14ptJustified"/>
        <w:keepLines/>
        <w:spacing w:after="240" w:line="276" w:lineRule="auto"/>
        <w:jc w:val="left"/>
        <w:rPr>
          <w:rFonts w:asciiTheme="minorHAnsi" w:hAnsiTheme="minorHAnsi"/>
          <w:sz w:val="24"/>
          <w:szCs w:val="24"/>
        </w:rPr>
      </w:pPr>
      <w:r>
        <w:rPr>
          <w:rFonts w:asciiTheme="minorHAnsi" w:hAnsiTheme="minorHAnsi"/>
          <w:sz w:val="24"/>
          <w:szCs w:val="24"/>
        </w:rPr>
        <w:t xml:space="preserve">The total cost of </w:t>
      </w:r>
      <w:r w:rsidR="00FD2FAD">
        <w:rPr>
          <w:rFonts w:asciiTheme="minorHAnsi" w:hAnsiTheme="minorHAnsi"/>
          <w:sz w:val="24"/>
          <w:szCs w:val="24"/>
        </w:rPr>
        <w:t>preparing land tax clearance certificates for 2015-16 is estimated to be:</w:t>
      </w:r>
    </w:p>
    <w:p w:rsidR="00DE5B23" w:rsidRPr="007A1929" w:rsidRDefault="00FD2FAD" w:rsidP="00561FB4">
      <w:pPr>
        <w:pStyle w:val="Style14ptJustified"/>
        <w:keepLines/>
        <w:spacing w:after="240" w:line="276" w:lineRule="auto"/>
        <w:ind w:left="360"/>
        <w:jc w:val="left"/>
        <w:rPr>
          <w:rFonts w:asciiTheme="minorHAnsi" w:hAnsiTheme="minorHAnsi"/>
          <w:sz w:val="24"/>
          <w:szCs w:val="24"/>
        </w:rPr>
      </w:pPr>
      <w:r>
        <w:rPr>
          <w:rFonts w:asciiTheme="minorHAnsi" w:hAnsiTheme="minorHAnsi"/>
          <w:sz w:val="24"/>
          <w:szCs w:val="24"/>
        </w:rPr>
        <w:t xml:space="preserve">Average cost of clearance </w:t>
      </w:r>
      <w:proofErr w:type="gramStart"/>
      <w:r>
        <w:rPr>
          <w:rFonts w:asciiTheme="minorHAnsi" w:hAnsiTheme="minorHAnsi"/>
          <w:sz w:val="24"/>
          <w:szCs w:val="24"/>
        </w:rPr>
        <w:t>certificate  x</w:t>
      </w:r>
      <w:proofErr w:type="gramEnd"/>
      <w:r>
        <w:rPr>
          <w:rFonts w:asciiTheme="minorHAnsi" w:hAnsiTheme="minorHAnsi"/>
          <w:sz w:val="24"/>
          <w:szCs w:val="24"/>
        </w:rPr>
        <w:t xml:space="preserve">  Average number of certificates issued </w:t>
      </w:r>
    </w:p>
    <w:p w:rsidR="00FD2FAD" w:rsidRPr="00FD2FAD" w:rsidRDefault="007A1929" w:rsidP="003A67E6">
      <w:pPr>
        <w:pStyle w:val="Style14ptJustified"/>
        <w:keepLines/>
        <w:numPr>
          <w:ilvl w:val="0"/>
          <w:numId w:val="13"/>
        </w:numPr>
        <w:spacing w:after="240" w:line="276" w:lineRule="auto"/>
        <w:ind w:left="1080"/>
        <w:jc w:val="left"/>
        <w:rPr>
          <w:rFonts w:asciiTheme="minorHAnsi" w:hAnsiTheme="minorHAnsi"/>
          <w:sz w:val="24"/>
          <w:szCs w:val="24"/>
        </w:rPr>
      </w:pPr>
      <w:r w:rsidRPr="00FD2FAD">
        <w:rPr>
          <w:rFonts w:asciiTheme="minorHAnsi" w:hAnsiTheme="minorHAnsi"/>
          <w:sz w:val="24"/>
          <w:szCs w:val="24"/>
        </w:rPr>
        <w:t>$</w:t>
      </w:r>
      <w:r w:rsidR="00FD2FAD" w:rsidRPr="00FD2FAD">
        <w:rPr>
          <w:rFonts w:asciiTheme="minorHAnsi" w:hAnsiTheme="minorHAnsi"/>
          <w:sz w:val="24"/>
          <w:szCs w:val="24"/>
        </w:rPr>
        <w:t>15.80</w:t>
      </w:r>
      <w:r w:rsidRPr="00FD2FAD">
        <w:rPr>
          <w:rFonts w:asciiTheme="minorHAnsi" w:hAnsiTheme="minorHAnsi"/>
          <w:sz w:val="24"/>
          <w:szCs w:val="24"/>
        </w:rPr>
        <w:t xml:space="preserve"> x 1</w:t>
      </w:r>
      <w:r w:rsidR="00FD2FAD" w:rsidRPr="00FD2FAD">
        <w:rPr>
          <w:rFonts w:asciiTheme="minorHAnsi" w:hAnsiTheme="minorHAnsi"/>
          <w:sz w:val="24"/>
          <w:szCs w:val="24"/>
        </w:rPr>
        <w:t>70,000 = $2.69 million</w:t>
      </w:r>
    </w:p>
    <w:p w:rsidR="007A1929" w:rsidRDefault="007A1929" w:rsidP="007A1929">
      <w:pPr>
        <w:pStyle w:val="Style14ptJustified"/>
        <w:keepLines/>
        <w:spacing w:after="240" w:line="276" w:lineRule="auto"/>
        <w:jc w:val="left"/>
        <w:rPr>
          <w:rFonts w:asciiTheme="minorHAnsi" w:hAnsiTheme="minorHAnsi"/>
          <w:sz w:val="24"/>
          <w:szCs w:val="24"/>
        </w:rPr>
      </w:pPr>
      <w:r w:rsidRPr="00FD2FAD">
        <w:rPr>
          <w:rFonts w:asciiTheme="minorHAnsi" w:hAnsiTheme="minorHAnsi"/>
          <w:sz w:val="24"/>
          <w:szCs w:val="24"/>
        </w:rPr>
        <w:t>For the ten year operation of the regulations, this represents a</w:t>
      </w:r>
      <w:r w:rsidR="00FD2FAD">
        <w:rPr>
          <w:rFonts w:asciiTheme="minorHAnsi" w:hAnsiTheme="minorHAnsi"/>
          <w:sz w:val="24"/>
          <w:szCs w:val="24"/>
        </w:rPr>
        <w:t>n</w:t>
      </w:r>
      <w:r w:rsidRPr="00FD2FAD">
        <w:rPr>
          <w:rFonts w:asciiTheme="minorHAnsi" w:hAnsiTheme="minorHAnsi"/>
          <w:sz w:val="24"/>
          <w:szCs w:val="24"/>
        </w:rPr>
        <w:t xml:space="preserve"> NPV of $</w:t>
      </w:r>
      <w:r w:rsidR="00FD2FAD" w:rsidRPr="00FD2FAD">
        <w:rPr>
          <w:rFonts w:asciiTheme="minorHAnsi" w:hAnsiTheme="minorHAnsi"/>
          <w:sz w:val="24"/>
          <w:szCs w:val="24"/>
        </w:rPr>
        <w:t>21.79 million</w:t>
      </w:r>
      <w:r w:rsidR="00272406">
        <w:rPr>
          <w:rStyle w:val="FootnoteReference"/>
          <w:rFonts w:asciiTheme="minorHAnsi" w:hAnsiTheme="minorHAnsi"/>
          <w:sz w:val="24"/>
          <w:szCs w:val="24"/>
        </w:rPr>
        <w:footnoteReference w:id="12"/>
      </w:r>
      <w:r w:rsidRPr="00FD2FAD">
        <w:rPr>
          <w:rFonts w:asciiTheme="minorHAnsi" w:hAnsiTheme="minorHAnsi"/>
          <w:sz w:val="24"/>
          <w:szCs w:val="24"/>
        </w:rPr>
        <w:t>.</w:t>
      </w:r>
    </w:p>
    <w:p w:rsidR="002E49D7" w:rsidRPr="007A1929" w:rsidRDefault="002E49D7" w:rsidP="007A1929">
      <w:pPr>
        <w:pStyle w:val="Style14ptJustified"/>
        <w:keepLines/>
        <w:spacing w:after="240" w:line="276" w:lineRule="auto"/>
        <w:jc w:val="left"/>
        <w:rPr>
          <w:rFonts w:asciiTheme="minorHAnsi" w:hAnsiTheme="minorHAnsi"/>
          <w:sz w:val="24"/>
          <w:szCs w:val="24"/>
        </w:rPr>
      </w:pPr>
      <w:r w:rsidRPr="007A1929">
        <w:rPr>
          <w:rFonts w:asciiTheme="minorHAnsi" w:hAnsiTheme="minorHAnsi"/>
          <w:sz w:val="24"/>
          <w:szCs w:val="24"/>
        </w:rPr>
        <w:br w:type="page"/>
      </w:r>
    </w:p>
    <w:p w:rsidR="00832D4E" w:rsidRPr="00AE6402" w:rsidRDefault="00AC0F3E" w:rsidP="001D160F">
      <w:pPr>
        <w:pStyle w:val="Heading1"/>
        <w:spacing w:after="240" w:line="276" w:lineRule="auto"/>
        <w:jc w:val="left"/>
        <w:rPr>
          <w:rFonts w:asciiTheme="minorHAnsi" w:hAnsiTheme="minorHAnsi"/>
          <w:sz w:val="32"/>
        </w:rPr>
      </w:pPr>
      <w:bookmarkStart w:id="18" w:name="_Toc432510189"/>
      <w:r w:rsidRPr="00AE6402">
        <w:rPr>
          <w:rFonts w:asciiTheme="minorHAnsi" w:hAnsiTheme="minorHAnsi"/>
          <w:sz w:val="32"/>
        </w:rPr>
        <w:lastRenderedPageBreak/>
        <w:t xml:space="preserve">7. </w:t>
      </w:r>
      <w:r w:rsidR="00CB3271" w:rsidRPr="00AE6402">
        <w:rPr>
          <w:rFonts w:asciiTheme="minorHAnsi" w:hAnsiTheme="minorHAnsi"/>
          <w:sz w:val="32"/>
        </w:rPr>
        <w:tab/>
      </w:r>
      <w:r w:rsidR="00832D4E" w:rsidRPr="00AE6402">
        <w:rPr>
          <w:rFonts w:asciiTheme="minorHAnsi" w:hAnsiTheme="minorHAnsi"/>
          <w:sz w:val="32"/>
        </w:rPr>
        <w:t>Fees and charges for similar services in Australian jurisdictions</w:t>
      </w:r>
      <w:bookmarkEnd w:id="18"/>
    </w:p>
    <w:p w:rsidR="004D209D" w:rsidRDefault="00832D4E" w:rsidP="001D160F">
      <w:pPr>
        <w:spacing w:after="240" w:line="276" w:lineRule="auto"/>
        <w:rPr>
          <w:rFonts w:asciiTheme="minorHAnsi" w:hAnsiTheme="minorHAnsi"/>
        </w:rPr>
      </w:pPr>
      <w:r w:rsidRPr="00446289">
        <w:rPr>
          <w:rFonts w:asciiTheme="minorHAnsi" w:hAnsiTheme="minorHAnsi"/>
        </w:rPr>
        <w:t xml:space="preserve">The proposed fees and charges have been calculated on the basis of the cost to </w:t>
      </w:r>
      <w:r w:rsidR="002F6E7C">
        <w:rPr>
          <w:rFonts w:asciiTheme="minorHAnsi" w:hAnsiTheme="minorHAnsi"/>
        </w:rPr>
        <w:t xml:space="preserve">the </w:t>
      </w:r>
      <w:r w:rsidRPr="00446289">
        <w:rPr>
          <w:rFonts w:asciiTheme="minorHAnsi" w:hAnsiTheme="minorHAnsi"/>
        </w:rPr>
        <w:t xml:space="preserve">State Revenue Office of Victoria </w:t>
      </w:r>
      <w:r w:rsidR="002F6E7C">
        <w:rPr>
          <w:rFonts w:asciiTheme="minorHAnsi" w:hAnsiTheme="minorHAnsi"/>
        </w:rPr>
        <w:t>in</w:t>
      </w:r>
      <w:r w:rsidR="00680E18">
        <w:rPr>
          <w:rFonts w:asciiTheme="minorHAnsi" w:hAnsiTheme="minorHAnsi"/>
        </w:rPr>
        <w:t xml:space="preserve"> </w:t>
      </w:r>
      <w:r w:rsidRPr="00446289">
        <w:rPr>
          <w:rFonts w:asciiTheme="minorHAnsi" w:hAnsiTheme="minorHAnsi"/>
        </w:rPr>
        <w:t xml:space="preserve">providing the </w:t>
      </w:r>
      <w:r w:rsidR="002F6E7C" w:rsidRPr="00446289">
        <w:rPr>
          <w:rFonts w:asciiTheme="minorHAnsi" w:hAnsiTheme="minorHAnsi"/>
        </w:rPr>
        <w:t xml:space="preserve">land tax clearance certificate </w:t>
      </w:r>
      <w:r w:rsidRPr="00446289">
        <w:rPr>
          <w:rFonts w:asciiTheme="minorHAnsi" w:hAnsiTheme="minorHAnsi"/>
        </w:rPr>
        <w:t xml:space="preserve">service. </w:t>
      </w:r>
    </w:p>
    <w:p w:rsidR="00D70F72" w:rsidRPr="00AE6402" w:rsidRDefault="00D70F72" w:rsidP="00D70F72">
      <w:pPr>
        <w:spacing w:after="240" w:line="276" w:lineRule="auto"/>
        <w:rPr>
          <w:rFonts w:asciiTheme="minorHAnsi" w:hAnsiTheme="minorHAnsi"/>
        </w:rPr>
      </w:pPr>
      <w:r w:rsidRPr="00446289">
        <w:rPr>
          <w:rFonts w:asciiTheme="minorHAnsi" w:hAnsiTheme="minorHAnsi"/>
        </w:rPr>
        <w:t xml:space="preserve">A comparison of the current and proposed land tax clearance certificate fees, with fees levied in other Australian jurisdictions is included </w:t>
      </w:r>
      <w:r>
        <w:rPr>
          <w:rFonts w:asciiTheme="minorHAnsi" w:hAnsiTheme="minorHAnsi"/>
        </w:rPr>
        <w:t xml:space="preserve">below. A </w:t>
      </w:r>
      <w:r w:rsidRPr="00446289">
        <w:rPr>
          <w:rFonts w:asciiTheme="minorHAnsi" w:hAnsiTheme="minorHAnsi"/>
        </w:rPr>
        <w:t>comparison of the proposed land tax clearance certificate fees</w:t>
      </w:r>
      <w:r>
        <w:rPr>
          <w:rFonts w:asciiTheme="minorHAnsi" w:hAnsiTheme="minorHAnsi"/>
        </w:rPr>
        <w:t xml:space="preserve"> with the fee imposed by Local Governments in Victoria for a land information certificate</w:t>
      </w:r>
      <w:r>
        <w:rPr>
          <w:rStyle w:val="FootnoteReference"/>
          <w:rFonts w:asciiTheme="minorHAnsi" w:hAnsiTheme="minorHAnsi"/>
        </w:rPr>
        <w:footnoteReference w:id="13"/>
      </w:r>
      <w:r>
        <w:rPr>
          <w:rFonts w:asciiTheme="minorHAnsi" w:hAnsiTheme="minorHAnsi"/>
        </w:rPr>
        <w:t>.</w:t>
      </w:r>
      <w:r w:rsidR="006750D4" w:rsidRPr="006750D4">
        <w:rPr>
          <w:rFonts w:ascii="Calibri" w:hAnsi="Calibri"/>
        </w:rPr>
        <w:t xml:space="preserve"> </w:t>
      </w:r>
      <w:r w:rsidR="006750D4">
        <w:rPr>
          <w:rFonts w:ascii="Calibri" w:hAnsi="Calibri"/>
        </w:rPr>
        <w:t>Comparisons with some of the other jurisdictions is complicated by variations in the level of information provided in certificates to buyers and sellers, as well as the means by which online certificates are processed.</w:t>
      </w:r>
    </w:p>
    <w:p w:rsidR="00D70F72" w:rsidRDefault="00D70F72" w:rsidP="00D70F72">
      <w:pPr>
        <w:spacing w:after="240" w:line="276" w:lineRule="auto"/>
        <w:rPr>
          <w:rFonts w:asciiTheme="minorHAnsi" w:hAnsiTheme="minorHAnsi"/>
        </w:rPr>
      </w:pPr>
      <w:r>
        <w:rPr>
          <w:rFonts w:asciiTheme="minorHAnsi" w:hAnsiTheme="minorHAnsi"/>
        </w:rPr>
        <w:t>Similar to a land tax clearance certificate issued by the SRO, local councils are required to provide a land information certificate to a purchaser, vendor or mortgagee upon request. The land information certificate</w:t>
      </w:r>
      <w:r w:rsidRPr="007A2F04">
        <w:rPr>
          <w:rFonts w:asciiTheme="minorHAnsi" w:hAnsiTheme="minorHAnsi"/>
        </w:rPr>
        <w:t xml:space="preserve"> primarily includes information about rates and charges</w:t>
      </w:r>
      <w:r>
        <w:rPr>
          <w:rFonts w:asciiTheme="minorHAnsi" w:hAnsiTheme="minorHAnsi"/>
        </w:rPr>
        <w:t xml:space="preserve"> </w:t>
      </w:r>
      <w:r w:rsidRPr="007A2F04">
        <w:rPr>
          <w:rFonts w:asciiTheme="minorHAnsi" w:hAnsiTheme="minorHAnsi"/>
        </w:rPr>
        <w:t>owed to the council in respect of the land.</w:t>
      </w:r>
      <w:r>
        <w:rPr>
          <w:rFonts w:asciiTheme="minorHAnsi" w:hAnsiTheme="minorHAnsi"/>
        </w:rPr>
        <w:t xml:space="preserve"> </w:t>
      </w:r>
    </w:p>
    <w:p w:rsidR="003536F4" w:rsidRPr="00AE6402" w:rsidRDefault="00832D4E" w:rsidP="001D160F">
      <w:pPr>
        <w:spacing w:after="240" w:line="276" w:lineRule="auto"/>
        <w:rPr>
          <w:rFonts w:asciiTheme="minorHAnsi" w:hAnsiTheme="minorHAnsi"/>
        </w:rPr>
      </w:pPr>
      <w:r w:rsidRPr="00446289">
        <w:rPr>
          <w:rFonts w:asciiTheme="minorHAnsi" w:hAnsiTheme="minorHAnsi"/>
        </w:rPr>
        <w:t xml:space="preserve">A comparison of the current and proposed land tax clearance certificate fees, with fees levied in other Australian jurisdictions is included </w:t>
      </w:r>
      <w:r w:rsidR="00AE6536">
        <w:rPr>
          <w:rFonts w:asciiTheme="minorHAnsi" w:hAnsiTheme="minorHAnsi"/>
        </w:rPr>
        <w:t>below.</w:t>
      </w:r>
    </w:p>
    <w:tbl>
      <w:tblPr>
        <w:tblStyle w:val="MediumList2-Accent1"/>
        <w:tblW w:w="0" w:type="auto"/>
        <w:tblInd w:w="250" w:type="dxa"/>
        <w:tblLook w:val="04A0" w:firstRow="1" w:lastRow="0" w:firstColumn="1" w:lastColumn="0" w:noHBand="0" w:noVBand="1"/>
      </w:tblPr>
      <w:tblGrid>
        <w:gridCol w:w="3686"/>
        <w:gridCol w:w="1293"/>
        <w:gridCol w:w="1293"/>
      </w:tblGrid>
      <w:tr w:rsidR="00AE6536" w:rsidTr="00A45009">
        <w:trPr>
          <w:cnfStyle w:val="100000000000" w:firstRow="1" w:lastRow="0" w:firstColumn="0" w:lastColumn="0" w:oddVBand="0" w:evenVBand="0" w:oddHBand="0" w:evenHBand="0" w:firstRowFirstColumn="0" w:firstRowLastColumn="0" w:lastRowFirstColumn="0" w:lastRowLastColumn="0"/>
          <w:trHeight w:val="393"/>
        </w:trPr>
        <w:tc>
          <w:tcPr>
            <w:cnfStyle w:val="001000000100" w:firstRow="0" w:lastRow="0" w:firstColumn="1" w:lastColumn="0" w:oddVBand="0" w:evenVBand="0" w:oddHBand="0" w:evenHBand="0" w:firstRowFirstColumn="1" w:firstRowLastColumn="0" w:lastRowFirstColumn="0" w:lastRowLastColumn="0"/>
            <w:tcW w:w="3686" w:type="dxa"/>
            <w:tcBorders>
              <w:top w:val="single" w:sz="4" w:space="0" w:color="auto"/>
              <w:left w:val="single" w:sz="4" w:space="0" w:color="auto"/>
            </w:tcBorders>
            <w:vAlign w:val="center"/>
          </w:tcPr>
          <w:p w:rsidR="00AE6536" w:rsidRPr="00312054" w:rsidRDefault="00AE6536" w:rsidP="001D160F">
            <w:pPr>
              <w:pStyle w:val="Style14ptJustified"/>
              <w:keepLines/>
              <w:spacing w:after="0" w:line="276" w:lineRule="auto"/>
              <w:ind w:left="284"/>
              <w:jc w:val="left"/>
              <w:rPr>
                <w:rFonts w:ascii="Calibri" w:hAnsi="Calibri"/>
                <w:color w:val="auto"/>
                <w:sz w:val="24"/>
                <w:szCs w:val="24"/>
              </w:rPr>
            </w:pPr>
            <w:r w:rsidRPr="00312054">
              <w:rPr>
                <w:rFonts w:ascii="Calibri" w:hAnsi="Calibri"/>
                <w:color w:val="auto"/>
                <w:sz w:val="24"/>
                <w:szCs w:val="24"/>
              </w:rPr>
              <w:t>Jurisdiction</w:t>
            </w:r>
          </w:p>
        </w:tc>
        <w:tc>
          <w:tcPr>
            <w:tcW w:w="1293" w:type="dxa"/>
            <w:tcBorders>
              <w:top w:val="single" w:sz="4" w:space="0" w:color="auto"/>
            </w:tcBorders>
            <w:vAlign w:val="center"/>
          </w:tcPr>
          <w:p w:rsidR="00AE6536" w:rsidRPr="001D160F" w:rsidRDefault="00AE6536" w:rsidP="001D160F">
            <w:pPr>
              <w:pStyle w:val="Style14ptJustified"/>
              <w:keepLines/>
              <w:spacing w:after="0" w:line="276" w:lineRule="auto"/>
              <w:ind w:left="34"/>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1D160F">
              <w:rPr>
                <w:rFonts w:asciiTheme="minorHAnsi" w:hAnsiTheme="minorHAnsi"/>
                <w:sz w:val="24"/>
                <w:szCs w:val="24"/>
              </w:rPr>
              <w:t>Online</w:t>
            </w:r>
          </w:p>
        </w:tc>
        <w:tc>
          <w:tcPr>
            <w:tcW w:w="1293" w:type="dxa"/>
            <w:tcBorders>
              <w:top w:val="single" w:sz="4" w:space="0" w:color="auto"/>
              <w:right w:val="single" w:sz="4" w:space="0" w:color="auto"/>
            </w:tcBorders>
            <w:vAlign w:val="center"/>
          </w:tcPr>
          <w:p w:rsidR="00AE6536" w:rsidRPr="001D160F" w:rsidRDefault="00AE6536" w:rsidP="001D160F">
            <w:pPr>
              <w:pStyle w:val="Style14ptJustified"/>
              <w:keepLines/>
              <w:spacing w:after="0" w:line="276" w:lineRule="auto"/>
              <w:ind w:left="34"/>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1D160F">
              <w:rPr>
                <w:rFonts w:asciiTheme="minorHAnsi" w:hAnsiTheme="minorHAnsi"/>
                <w:sz w:val="24"/>
                <w:szCs w:val="24"/>
              </w:rPr>
              <w:t>Paper</w:t>
            </w:r>
          </w:p>
        </w:tc>
      </w:tr>
      <w:tr w:rsidR="00AE6536" w:rsidTr="00A45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686" w:type="dxa"/>
            <w:tcBorders>
              <w:left w:val="single" w:sz="4" w:space="0" w:color="auto"/>
            </w:tcBorders>
            <w:vAlign w:val="center"/>
          </w:tcPr>
          <w:p w:rsidR="00AE6536" w:rsidRPr="00AE6536" w:rsidRDefault="00AE6536" w:rsidP="001D160F">
            <w:pPr>
              <w:pStyle w:val="Style14ptJustified"/>
              <w:keepLines/>
              <w:spacing w:after="0" w:line="276" w:lineRule="auto"/>
              <w:ind w:left="284"/>
              <w:jc w:val="left"/>
              <w:rPr>
                <w:rFonts w:ascii="Calibri" w:hAnsi="Calibri"/>
                <w:sz w:val="24"/>
                <w:szCs w:val="24"/>
              </w:rPr>
            </w:pPr>
            <w:r>
              <w:rPr>
                <w:rFonts w:ascii="Calibri" w:hAnsi="Calibri"/>
                <w:sz w:val="24"/>
                <w:szCs w:val="24"/>
              </w:rPr>
              <w:t>Victoria’s existing fees</w:t>
            </w:r>
          </w:p>
        </w:tc>
        <w:tc>
          <w:tcPr>
            <w:tcW w:w="1293" w:type="dxa"/>
            <w:vAlign w:val="center"/>
          </w:tcPr>
          <w:p w:rsidR="00AE6536" w:rsidRPr="001D160F" w:rsidRDefault="00AE6536" w:rsidP="001D160F">
            <w:pPr>
              <w:pStyle w:val="Style14ptJustified"/>
              <w:keepLines/>
              <w:spacing w:after="0" w:line="276" w:lineRule="auto"/>
              <w:ind w:left="3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1D160F">
              <w:rPr>
                <w:rFonts w:asciiTheme="minorHAnsi" w:hAnsiTheme="minorHAnsi"/>
                <w:sz w:val="24"/>
                <w:szCs w:val="24"/>
              </w:rPr>
              <w:t>$15</w:t>
            </w:r>
          </w:p>
        </w:tc>
        <w:tc>
          <w:tcPr>
            <w:tcW w:w="1293" w:type="dxa"/>
            <w:tcBorders>
              <w:right w:val="single" w:sz="4" w:space="0" w:color="auto"/>
            </w:tcBorders>
            <w:vAlign w:val="center"/>
          </w:tcPr>
          <w:p w:rsidR="00AE6536" w:rsidRPr="001D160F" w:rsidRDefault="00AE6536" w:rsidP="001D160F">
            <w:pPr>
              <w:pStyle w:val="Style14ptJustified"/>
              <w:keepLines/>
              <w:spacing w:after="0" w:line="276" w:lineRule="auto"/>
              <w:ind w:left="3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1D160F">
              <w:rPr>
                <w:rFonts w:asciiTheme="minorHAnsi" w:hAnsiTheme="minorHAnsi"/>
                <w:sz w:val="24"/>
                <w:szCs w:val="24"/>
              </w:rPr>
              <w:t>$20</w:t>
            </w:r>
          </w:p>
        </w:tc>
      </w:tr>
      <w:tr w:rsidR="00EC480A" w:rsidTr="00A45009">
        <w:trPr>
          <w:trHeight w:val="393"/>
        </w:trPr>
        <w:tc>
          <w:tcPr>
            <w:cnfStyle w:val="001000000000" w:firstRow="0" w:lastRow="0" w:firstColumn="1" w:lastColumn="0" w:oddVBand="0" w:evenVBand="0" w:oddHBand="0" w:evenHBand="0" w:firstRowFirstColumn="0" w:firstRowLastColumn="0" w:lastRowFirstColumn="0" w:lastRowLastColumn="0"/>
            <w:tcW w:w="3686" w:type="dxa"/>
            <w:tcBorders>
              <w:left w:val="single" w:sz="4" w:space="0" w:color="auto"/>
            </w:tcBorders>
            <w:vAlign w:val="center"/>
          </w:tcPr>
          <w:p w:rsidR="00EC480A" w:rsidRPr="00D70F72" w:rsidRDefault="00EC480A" w:rsidP="001D160F">
            <w:pPr>
              <w:pStyle w:val="Style14ptJustified"/>
              <w:keepLines/>
              <w:spacing w:after="0" w:line="276" w:lineRule="auto"/>
              <w:ind w:left="284"/>
              <w:jc w:val="left"/>
              <w:rPr>
                <w:rFonts w:ascii="Calibri" w:hAnsi="Calibri"/>
                <w:b/>
                <w:sz w:val="24"/>
                <w:szCs w:val="24"/>
              </w:rPr>
            </w:pPr>
            <w:r w:rsidRPr="00D70F72">
              <w:rPr>
                <w:rFonts w:ascii="Calibri" w:hAnsi="Calibri"/>
                <w:b/>
                <w:sz w:val="24"/>
                <w:szCs w:val="24"/>
              </w:rPr>
              <w:t xml:space="preserve">Victoria’s </w:t>
            </w:r>
            <w:r w:rsidRPr="00D70F72">
              <w:rPr>
                <w:rFonts w:ascii="Calibri" w:hAnsi="Calibri"/>
                <w:b/>
                <w:i/>
                <w:sz w:val="24"/>
                <w:szCs w:val="24"/>
              </w:rPr>
              <w:t>proposed fee</w:t>
            </w:r>
          </w:p>
        </w:tc>
        <w:tc>
          <w:tcPr>
            <w:tcW w:w="2586" w:type="dxa"/>
            <w:gridSpan w:val="2"/>
            <w:tcBorders>
              <w:right w:val="single" w:sz="4" w:space="0" w:color="auto"/>
            </w:tcBorders>
            <w:vAlign w:val="center"/>
          </w:tcPr>
          <w:p w:rsidR="00EC480A" w:rsidRPr="00D70F72" w:rsidRDefault="00EC480A" w:rsidP="001D160F">
            <w:pPr>
              <w:pStyle w:val="Style14ptJustified"/>
              <w:keepLines/>
              <w:spacing w:after="0" w:line="276" w:lineRule="auto"/>
              <w:ind w:left="3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i/>
                <w:sz w:val="24"/>
                <w:szCs w:val="24"/>
              </w:rPr>
            </w:pPr>
            <w:r w:rsidRPr="00D70F72">
              <w:rPr>
                <w:rFonts w:asciiTheme="minorHAnsi" w:hAnsiTheme="minorHAnsi"/>
                <w:b/>
                <w:i/>
                <w:sz w:val="24"/>
                <w:szCs w:val="24"/>
              </w:rPr>
              <w:t>$15.80</w:t>
            </w:r>
          </w:p>
        </w:tc>
      </w:tr>
      <w:tr w:rsidR="00AE6536" w:rsidTr="00A45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686" w:type="dxa"/>
            <w:tcBorders>
              <w:left w:val="single" w:sz="4" w:space="0" w:color="auto"/>
            </w:tcBorders>
            <w:vAlign w:val="center"/>
          </w:tcPr>
          <w:p w:rsidR="00AE6536" w:rsidRDefault="00AE6536" w:rsidP="001D160F">
            <w:pPr>
              <w:pStyle w:val="Style14ptJustified"/>
              <w:keepLines/>
              <w:spacing w:after="0" w:line="276" w:lineRule="auto"/>
              <w:ind w:left="284"/>
              <w:jc w:val="left"/>
              <w:rPr>
                <w:rFonts w:ascii="Calibri" w:hAnsi="Calibri"/>
                <w:sz w:val="24"/>
                <w:szCs w:val="24"/>
              </w:rPr>
            </w:pPr>
            <w:r>
              <w:rPr>
                <w:rFonts w:ascii="Calibri" w:hAnsi="Calibri"/>
                <w:sz w:val="24"/>
                <w:szCs w:val="24"/>
              </w:rPr>
              <w:t>New South Wales</w:t>
            </w:r>
          </w:p>
        </w:tc>
        <w:tc>
          <w:tcPr>
            <w:tcW w:w="1293" w:type="dxa"/>
            <w:vAlign w:val="center"/>
          </w:tcPr>
          <w:p w:rsidR="00AE6536" w:rsidRPr="001D160F" w:rsidRDefault="00AE6536" w:rsidP="001D160F">
            <w:pPr>
              <w:pStyle w:val="Style14ptJustified"/>
              <w:keepLines/>
              <w:spacing w:after="0" w:line="276" w:lineRule="auto"/>
              <w:ind w:left="3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1D160F">
              <w:rPr>
                <w:rFonts w:asciiTheme="minorHAnsi" w:hAnsiTheme="minorHAnsi"/>
                <w:sz w:val="24"/>
                <w:szCs w:val="24"/>
              </w:rPr>
              <w:t>$15</w:t>
            </w:r>
            <w:r w:rsidRPr="001D160F">
              <w:rPr>
                <w:rStyle w:val="EndnoteReference"/>
                <w:rFonts w:asciiTheme="minorHAnsi" w:hAnsiTheme="minorHAnsi"/>
              </w:rPr>
              <w:t>*</w:t>
            </w:r>
          </w:p>
        </w:tc>
        <w:tc>
          <w:tcPr>
            <w:tcW w:w="1293" w:type="dxa"/>
            <w:tcBorders>
              <w:right w:val="single" w:sz="4" w:space="0" w:color="auto"/>
            </w:tcBorders>
            <w:vAlign w:val="center"/>
          </w:tcPr>
          <w:p w:rsidR="00AE6536" w:rsidRPr="001D160F" w:rsidRDefault="00AE6536" w:rsidP="001D160F">
            <w:pPr>
              <w:pStyle w:val="Style14ptJustified"/>
              <w:keepLines/>
              <w:spacing w:after="0" w:line="276" w:lineRule="auto"/>
              <w:ind w:left="3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1D160F">
              <w:rPr>
                <w:rFonts w:asciiTheme="minorHAnsi" w:hAnsiTheme="minorHAnsi"/>
                <w:sz w:val="24"/>
                <w:szCs w:val="24"/>
              </w:rPr>
              <w:t>$15</w:t>
            </w:r>
          </w:p>
        </w:tc>
      </w:tr>
      <w:tr w:rsidR="00AE6536" w:rsidTr="00A45009">
        <w:trPr>
          <w:trHeight w:val="393"/>
        </w:trPr>
        <w:tc>
          <w:tcPr>
            <w:cnfStyle w:val="001000000000" w:firstRow="0" w:lastRow="0" w:firstColumn="1" w:lastColumn="0" w:oddVBand="0" w:evenVBand="0" w:oddHBand="0" w:evenHBand="0" w:firstRowFirstColumn="0" w:firstRowLastColumn="0" w:lastRowFirstColumn="0" w:lastRowLastColumn="0"/>
            <w:tcW w:w="3686" w:type="dxa"/>
            <w:tcBorders>
              <w:left w:val="single" w:sz="4" w:space="0" w:color="auto"/>
            </w:tcBorders>
            <w:vAlign w:val="center"/>
          </w:tcPr>
          <w:p w:rsidR="00AE6536" w:rsidRDefault="00AE6536" w:rsidP="001D160F">
            <w:pPr>
              <w:pStyle w:val="Style14ptJustified"/>
              <w:keepLines/>
              <w:spacing w:after="0" w:line="276" w:lineRule="auto"/>
              <w:ind w:left="284"/>
              <w:jc w:val="left"/>
              <w:rPr>
                <w:rFonts w:ascii="Calibri" w:hAnsi="Calibri"/>
                <w:sz w:val="24"/>
                <w:szCs w:val="24"/>
              </w:rPr>
            </w:pPr>
            <w:r>
              <w:rPr>
                <w:rFonts w:ascii="Calibri" w:hAnsi="Calibri"/>
                <w:sz w:val="24"/>
                <w:szCs w:val="24"/>
              </w:rPr>
              <w:t>Queensland</w:t>
            </w:r>
          </w:p>
        </w:tc>
        <w:tc>
          <w:tcPr>
            <w:tcW w:w="1293" w:type="dxa"/>
            <w:vAlign w:val="center"/>
          </w:tcPr>
          <w:p w:rsidR="00AE6536" w:rsidRPr="001D160F" w:rsidRDefault="00AE6536" w:rsidP="001D160F">
            <w:pPr>
              <w:pStyle w:val="Style14ptJustified"/>
              <w:keepLines/>
              <w:spacing w:after="0" w:line="276" w:lineRule="auto"/>
              <w:ind w:left="3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D160F">
              <w:rPr>
                <w:rFonts w:asciiTheme="minorHAnsi" w:hAnsiTheme="minorHAnsi"/>
                <w:sz w:val="24"/>
                <w:szCs w:val="24"/>
              </w:rPr>
              <w:t>$30.65</w:t>
            </w:r>
            <w:r w:rsidRPr="001D160F">
              <w:rPr>
                <w:rStyle w:val="EndnoteReference"/>
                <w:rFonts w:asciiTheme="minorHAnsi" w:hAnsiTheme="minorHAnsi"/>
              </w:rPr>
              <w:t>*</w:t>
            </w:r>
          </w:p>
        </w:tc>
        <w:tc>
          <w:tcPr>
            <w:tcW w:w="1293" w:type="dxa"/>
            <w:tcBorders>
              <w:right w:val="single" w:sz="4" w:space="0" w:color="auto"/>
            </w:tcBorders>
            <w:vAlign w:val="center"/>
          </w:tcPr>
          <w:p w:rsidR="00AE6536" w:rsidRPr="001D160F" w:rsidRDefault="00AE6536" w:rsidP="001D160F">
            <w:pPr>
              <w:pStyle w:val="Style14ptJustified"/>
              <w:keepLines/>
              <w:spacing w:after="0" w:line="276" w:lineRule="auto"/>
              <w:ind w:left="3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D160F">
              <w:rPr>
                <w:rFonts w:asciiTheme="minorHAnsi" w:hAnsiTheme="minorHAnsi"/>
                <w:sz w:val="24"/>
                <w:szCs w:val="24"/>
              </w:rPr>
              <w:t>$37.95</w:t>
            </w:r>
          </w:p>
        </w:tc>
      </w:tr>
      <w:tr w:rsidR="00EC480A" w:rsidTr="00A45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686" w:type="dxa"/>
            <w:tcBorders>
              <w:left w:val="single" w:sz="4" w:space="0" w:color="auto"/>
            </w:tcBorders>
            <w:vAlign w:val="center"/>
          </w:tcPr>
          <w:p w:rsidR="00EC480A" w:rsidRDefault="00EC480A" w:rsidP="001D160F">
            <w:pPr>
              <w:pStyle w:val="Style14ptJustified"/>
              <w:keepLines/>
              <w:spacing w:after="0" w:line="276" w:lineRule="auto"/>
              <w:ind w:left="284"/>
              <w:jc w:val="left"/>
              <w:rPr>
                <w:rFonts w:ascii="Calibri" w:hAnsi="Calibri"/>
                <w:sz w:val="24"/>
                <w:szCs w:val="24"/>
              </w:rPr>
            </w:pPr>
            <w:r>
              <w:rPr>
                <w:rFonts w:ascii="Calibri" w:hAnsi="Calibri"/>
                <w:sz w:val="24"/>
                <w:szCs w:val="24"/>
              </w:rPr>
              <w:t>South Australia</w:t>
            </w:r>
          </w:p>
        </w:tc>
        <w:tc>
          <w:tcPr>
            <w:tcW w:w="2586" w:type="dxa"/>
            <w:gridSpan w:val="2"/>
            <w:tcBorders>
              <w:right w:val="single" w:sz="4" w:space="0" w:color="auto"/>
            </w:tcBorders>
            <w:vAlign w:val="center"/>
          </w:tcPr>
          <w:p w:rsidR="00EC480A" w:rsidRPr="001D160F" w:rsidRDefault="00EC480A" w:rsidP="001D160F">
            <w:pPr>
              <w:pStyle w:val="Style14ptJustified"/>
              <w:keepLines/>
              <w:spacing w:after="0" w:line="276" w:lineRule="auto"/>
              <w:ind w:left="3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1D160F">
              <w:rPr>
                <w:rFonts w:asciiTheme="minorHAnsi" w:hAnsiTheme="minorHAnsi"/>
                <w:sz w:val="24"/>
                <w:szCs w:val="24"/>
              </w:rPr>
              <w:t>$31.25</w:t>
            </w:r>
          </w:p>
        </w:tc>
      </w:tr>
      <w:tr w:rsidR="00EC480A" w:rsidTr="00A45009">
        <w:trPr>
          <w:trHeight w:val="393"/>
        </w:trPr>
        <w:tc>
          <w:tcPr>
            <w:cnfStyle w:val="001000000000" w:firstRow="0" w:lastRow="0" w:firstColumn="1" w:lastColumn="0" w:oddVBand="0" w:evenVBand="0" w:oddHBand="0" w:evenHBand="0" w:firstRowFirstColumn="0" w:firstRowLastColumn="0" w:lastRowFirstColumn="0" w:lastRowLastColumn="0"/>
            <w:tcW w:w="3686" w:type="dxa"/>
            <w:tcBorders>
              <w:left w:val="single" w:sz="4" w:space="0" w:color="auto"/>
            </w:tcBorders>
            <w:vAlign w:val="center"/>
          </w:tcPr>
          <w:p w:rsidR="00EC480A" w:rsidRDefault="00EC480A" w:rsidP="001D160F">
            <w:pPr>
              <w:pStyle w:val="Style14ptJustified"/>
              <w:keepLines/>
              <w:spacing w:after="0" w:line="276" w:lineRule="auto"/>
              <w:ind w:left="284"/>
              <w:jc w:val="left"/>
              <w:rPr>
                <w:rFonts w:ascii="Calibri" w:hAnsi="Calibri"/>
                <w:sz w:val="24"/>
                <w:szCs w:val="24"/>
              </w:rPr>
            </w:pPr>
            <w:r>
              <w:rPr>
                <w:rFonts w:ascii="Calibri" w:hAnsi="Calibri"/>
                <w:sz w:val="24"/>
                <w:szCs w:val="24"/>
              </w:rPr>
              <w:t>Western Australia</w:t>
            </w:r>
          </w:p>
        </w:tc>
        <w:tc>
          <w:tcPr>
            <w:tcW w:w="2586" w:type="dxa"/>
            <w:gridSpan w:val="2"/>
            <w:tcBorders>
              <w:right w:val="single" w:sz="4" w:space="0" w:color="auto"/>
            </w:tcBorders>
            <w:vAlign w:val="center"/>
          </w:tcPr>
          <w:p w:rsidR="00EC480A" w:rsidRPr="001D160F" w:rsidRDefault="00EC480A" w:rsidP="001D160F">
            <w:pPr>
              <w:pStyle w:val="Style14ptJustified"/>
              <w:keepLines/>
              <w:spacing w:after="0" w:line="276" w:lineRule="auto"/>
              <w:ind w:left="3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D160F">
              <w:rPr>
                <w:rFonts w:asciiTheme="minorHAnsi" w:hAnsiTheme="minorHAnsi"/>
                <w:sz w:val="24"/>
                <w:szCs w:val="24"/>
              </w:rPr>
              <w:t>$38.50</w:t>
            </w:r>
          </w:p>
        </w:tc>
      </w:tr>
      <w:tr w:rsidR="00EC480A" w:rsidTr="00A4500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686" w:type="dxa"/>
            <w:tcBorders>
              <w:left w:val="single" w:sz="4" w:space="0" w:color="auto"/>
            </w:tcBorders>
            <w:vAlign w:val="center"/>
          </w:tcPr>
          <w:p w:rsidR="00EC480A" w:rsidRDefault="00EC480A" w:rsidP="001D160F">
            <w:pPr>
              <w:pStyle w:val="Style14ptJustified"/>
              <w:keepLines/>
              <w:spacing w:after="0" w:line="276" w:lineRule="auto"/>
              <w:ind w:left="284"/>
              <w:jc w:val="left"/>
              <w:rPr>
                <w:rFonts w:ascii="Calibri" w:hAnsi="Calibri"/>
                <w:sz w:val="24"/>
                <w:szCs w:val="24"/>
              </w:rPr>
            </w:pPr>
            <w:r>
              <w:rPr>
                <w:rFonts w:ascii="Calibri" w:hAnsi="Calibri"/>
                <w:sz w:val="24"/>
                <w:szCs w:val="24"/>
              </w:rPr>
              <w:t>Tasmania</w:t>
            </w:r>
          </w:p>
        </w:tc>
        <w:tc>
          <w:tcPr>
            <w:tcW w:w="2586" w:type="dxa"/>
            <w:gridSpan w:val="2"/>
            <w:tcBorders>
              <w:right w:val="single" w:sz="4" w:space="0" w:color="auto"/>
            </w:tcBorders>
            <w:vAlign w:val="center"/>
          </w:tcPr>
          <w:p w:rsidR="00EC480A" w:rsidRPr="001D160F" w:rsidRDefault="00EC480A" w:rsidP="001D160F">
            <w:pPr>
              <w:pStyle w:val="Style14ptJustified"/>
              <w:keepLines/>
              <w:spacing w:after="0" w:line="276" w:lineRule="auto"/>
              <w:ind w:left="3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1D160F">
              <w:rPr>
                <w:rFonts w:asciiTheme="minorHAnsi" w:hAnsiTheme="minorHAnsi"/>
                <w:sz w:val="24"/>
                <w:szCs w:val="24"/>
              </w:rPr>
              <w:t>$11.33</w:t>
            </w:r>
          </w:p>
        </w:tc>
      </w:tr>
      <w:tr w:rsidR="00EC480A" w:rsidTr="00A45009">
        <w:trPr>
          <w:trHeight w:val="393"/>
        </w:trPr>
        <w:tc>
          <w:tcPr>
            <w:cnfStyle w:val="001000000000" w:firstRow="0" w:lastRow="0" w:firstColumn="1" w:lastColumn="0" w:oddVBand="0" w:evenVBand="0" w:oddHBand="0" w:evenHBand="0" w:firstRowFirstColumn="0" w:firstRowLastColumn="0" w:lastRowFirstColumn="0" w:lastRowLastColumn="0"/>
            <w:tcW w:w="3686" w:type="dxa"/>
            <w:tcBorders>
              <w:left w:val="single" w:sz="4" w:space="0" w:color="auto"/>
            </w:tcBorders>
            <w:vAlign w:val="center"/>
          </w:tcPr>
          <w:p w:rsidR="00EC480A" w:rsidRDefault="00EC480A" w:rsidP="001D160F">
            <w:pPr>
              <w:pStyle w:val="Style14ptJustified"/>
              <w:keepLines/>
              <w:spacing w:after="0" w:line="276" w:lineRule="auto"/>
              <w:ind w:left="284"/>
              <w:jc w:val="left"/>
              <w:rPr>
                <w:rFonts w:ascii="Calibri" w:hAnsi="Calibri"/>
                <w:sz w:val="24"/>
                <w:szCs w:val="24"/>
              </w:rPr>
            </w:pPr>
            <w:r>
              <w:rPr>
                <w:rFonts w:ascii="Calibri" w:hAnsi="Calibri"/>
                <w:sz w:val="24"/>
                <w:szCs w:val="24"/>
              </w:rPr>
              <w:t>Australian Capital Territory</w:t>
            </w:r>
          </w:p>
        </w:tc>
        <w:tc>
          <w:tcPr>
            <w:tcW w:w="2586" w:type="dxa"/>
            <w:gridSpan w:val="2"/>
            <w:tcBorders>
              <w:right w:val="single" w:sz="4" w:space="0" w:color="auto"/>
            </w:tcBorders>
            <w:vAlign w:val="center"/>
          </w:tcPr>
          <w:p w:rsidR="00EC480A" w:rsidRPr="001D160F" w:rsidRDefault="00EC480A" w:rsidP="001D160F">
            <w:pPr>
              <w:pStyle w:val="Style14ptJustified"/>
              <w:keepLines/>
              <w:spacing w:after="0" w:line="276" w:lineRule="auto"/>
              <w:ind w:left="3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D160F">
              <w:rPr>
                <w:rFonts w:asciiTheme="minorHAnsi" w:hAnsiTheme="minorHAnsi"/>
                <w:sz w:val="24"/>
                <w:szCs w:val="24"/>
              </w:rPr>
              <w:t>$103#</w:t>
            </w:r>
          </w:p>
        </w:tc>
      </w:tr>
      <w:tr w:rsidR="00EC480A" w:rsidTr="00D70F72">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686" w:type="dxa"/>
            <w:tcBorders>
              <w:left w:val="single" w:sz="4" w:space="0" w:color="auto"/>
              <w:bottom w:val="none" w:sz="0" w:space="0" w:color="auto"/>
            </w:tcBorders>
            <w:vAlign w:val="center"/>
          </w:tcPr>
          <w:p w:rsidR="00EC480A" w:rsidRDefault="00EC480A" w:rsidP="001D160F">
            <w:pPr>
              <w:pStyle w:val="Style14ptJustified"/>
              <w:keepLines/>
              <w:spacing w:after="0" w:line="276" w:lineRule="auto"/>
              <w:ind w:left="284"/>
              <w:jc w:val="left"/>
              <w:rPr>
                <w:rFonts w:ascii="Calibri" w:hAnsi="Calibri"/>
                <w:sz w:val="24"/>
                <w:szCs w:val="24"/>
              </w:rPr>
            </w:pPr>
            <w:r>
              <w:rPr>
                <w:rFonts w:ascii="Calibri" w:hAnsi="Calibri"/>
                <w:sz w:val="24"/>
                <w:szCs w:val="24"/>
              </w:rPr>
              <w:t>Northern Territory</w:t>
            </w:r>
          </w:p>
        </w:tc>
        <w:tc>
          <w:tcPr>
            <w:tcW w:w="2586" w:type="dxa"/>
            <w:gridSpan w:val="2"/>
            <w:tcBorders>
              <w:bottom w:val="none" w:sz="0" w:space="0" w:color="auto"/>
              <w:right w:val="single" w:sz="4" w:space="0" w:color="auto"/>
            </w:tcBorders>
            <w:vAlign w:val="center"/>
          </w:tcPr>
          <w:p w:rsidR="00EC480A" w:rsidRPr="001D160F" w:rsidRDefault="00EC480A" w:rsidP="001D160F">
            <w:pPr>
              <w:pStyle w:val="Style14ptJustified"/>
              <w:keepLines/>
              <w:spacing w:after="0" w:line="276" w:lineRule="auto"/>
              <w:ind w:left="34"/>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1D160F">
              <w:rPr>
                <w:rFonts w:asciiTheme="minorHAnsi" w:hAnsiTheme="minorHAnsi"/>
                <w:sz w:val="24"/>
                <w:szCs w:val="24"/>
              </w:rPr>
              <w:t>N/A^</w:t>
            </w:r>
          </w:p>
        </w:tc>
      </w:tr>
      <w:tr w:rsidR="00D70F72" w:rsidTr="00A45009">
        <w:trPr>
          <w:trHeight w:val="393"/>
        </w:trPr>
        <w:tc>
          <w:tcPr>
            <w:cnfStyle w:val="001000000000" w:firstRow="0" w:lastRow="0" w:firstColumn="1" w:lastColumn="0" w:oddVBand="0" w:evenVBand="0" w:oddHBand="0" w:evenHBand="0" w:firstRowFirstColumn="0" w:firstRowLastColumn="0" w:lastRowFirstColumn="0" w:lastRowLastColumn="0"/>
            <w:tcW w:w="3686" w:type="dxa"/>
            <w:tcBorders>
              <w:left w:val="single" w:sz="4" w:space="0" w:color="auto"/>
              <w:bottom w:val="single" w:sz="4" w:space="0" w:color="auto"/>
            </w:tcBorders>
            <w:vAlign w:val="center"/>
          </w:tcPr>
          <w:p w:rsidR="00D70F72" w:rsidRDefault="00D70F72" w:rsidP="00D70F72">
            <w:pPr>
              <w:pStyle w:val="Style14ptJustified"/>
              <w:keepLines/>
              <w:spacing w:after="0" w:line="276" w:lineRule="auto"/>
              <w:ind w:left="284"/>
              <w:jc w:val="left"/>
              <w:rPr>
                <w:rFonts w:ascii="Calibri" w:hAnsi="Calibri"/>
                <w:sz w:val="24"/>
                <w:szCs w:val="24"/>
              </w:rPr>
            </w:pPr>
            <w:r>
              <w:rPr>
                <w:rFonts w:ascii="Calibri" w:hAnsi="Calibri"/>
                <w:sz w:val="24"/>
                <w:szCs w:val="24"/>
              </w:rPr>
              <w:t xml:space="preserve">Local Government </w:t>
            </w:r>
            <w:r w:rsidRPr="00D70F72">
              <w:rPr>
                <w:rFonts w:ascii="Calibri" w:hAnsi="Calibri"/>
                <w:sz w:val="24"/>
                <w:szCs w:val="24"/>
              </w:rPr>
              <w:t>fee</w:t>
            </w:r>
          </w:p>
        </w:tc>
        <w:tc>
          <w:tcPr>
            <w:tcW w:w="2586" w:type="dxa"/>
            <w:gridSpan w:val="2"/>
            <w:tcBorders>
              <w:bottom w:val="single" w:sz="4" w:space="0" w:color="auto"/>
              <w:right w:val="single" w:sz="4" w:space="0" w:color="auto"/>
            </w:tcBorders>
            <w:vAlign w:val="center"/>
          </w:tcPr>
          <w:p w:rsidR="00D70F72" w:rsidRPr="00D70F72" w:rsidRDefault="00D70F72" w:rsidP="001D160F">
            <w:pPr>
              <w:pStyle w:val="Style14ptJustified"/>
              <w:keepLines/>
              <w:spacing w:after="0" w:line="276" w:lineRule="auto"/>
              <w:ind w:left="3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70F72">
              <w:rPr>
                <w:rFonts w:ascii="Calibri" w:hAnsi="Calibri"/>
                <w:sz w:val="24"/>
                <w:szCs w:val="24"/>
              </w:rPr>
              <w:t>$25.80</w:t>
            </w:r>
          </w:p>
        </w:tc>
      </w:tr>
    </w:tbl>
    <w:p w:rsidR="00AE6536" w:rsidRPr="000A620A" w:rsidRDefault="00AE6536" w:rsidP="001D160F">
      <w:pPr>
        <w:pStyle w:val="Style14ptJustified"/>
        <w:keepLines/>
        <w:spacing w:before="240" w:after="0" w:line="276" w:lineRule="auto"/>
        <w:ind w:left="142"/>
        <w:jc w:val="left"/>
        <w:rPr>
          <w:rFonts w:ascii="Calibri" w:hAnsi="Calibri"/>
          <w:sz w:val="20"/>
          <w:szCs w:val="24"/>
        </w:rPr>
      </w:pPr>
      <w:r w:rsidRPr="000A620A">
        <w:rPr>
          <w:rFonts w:ascii="Calibri" w:hAnsi="Calibri"/>
          <w:sz w:val="20"/>
          <w:szCs w:val="24"/>
        </w:rPr>
        <w:t xml:space="preserve">* </w:t>
      </w:r>
      <w:r w:rsidR="00AE6402">
        <w:rPr>
          <w:rFonts w:ascii="Calibri" w:hAnsi="Calibri"/>
          <w:sz w:val="20"/>
          <w:szCs w:val="24"/>
        </w:rPr>
        <w:t>All o</w:t>
      </w:r>
      <w:r w:rsidRPr="000A620A">
        <w:rPr>
          <w:rFonts w:ascii="Calibri" w:hAnsi="Calibri"/>
          <w:sz w:val="20"/>
          <w:szCs w:val="24"/>
        </w:rPr>
        <w:t xml:space="preserve">nline </w:t>
      </w:r>
      <w:r w:rsidR="00AE6402">
        <w:rPr>
          <w:rFonts w:ascii="Calibri" w:hAnsi="Calibri"/>
          <w:sz w:val="20"/>
          <w:szCs w:val="24"/>
        </w:rPr>
        <w:t>applications</w:t>
      </w:r>
      <w:r w:rsidRPr="000A620A">
        <w:rPr>
          <w:rFonts w:ascii="Calibri" w:hAnsi="Calibri"/>
          <w:sz w:val="20"/>
          <w:szCs w:val="24"/>
        </w:rPr>
        <w:t xml:space="preserve"> are processed through Client Service Providers and incur </w:t>
      </w:r>
      <w:r>
        <w:rPr>
          <w:rFonts w:ascii="Calibri" w:hAnsi="Calibri"/>
          <w:sz w:val="20"/>
          <w:szCs w:val="24"/>
        </w:rPr>
        <w:t>additional</w:t>
      </w:r>
      <w:r w:rsidRPr="000A620A">
        <w:rPr>
          <w:rFonts w:ascii="Calibri" w:hAnsi="Calibri"/>
          <w:sz w:val="20"/>
          <w:szCs w:val="24"/>
        </w:rPr>
        <w:t xml:space="preserve"> processing fee</w:t>
      </w:r>
      <w:r w:rsidR="00AE6402">
        <w:rPr>
          <w:rFonts w:ascii="Calibri" w:hAnsi="Calibri"/>
          <w:sz w:val="20"/>
          <w:szCs w:val="24"/>
        </w:rPr>
        <w:t>s</w:t>
      </w:r>
    </w:p>
    <w:p w:rsidR="00AE6536" w:rsidRDefault="00AE6536" w:rsidP="001D160F">
      <w:pPr>
        <w:pStyle w:val="Style14ptJustified"/>
        <w:keepLines/>
        <w:spacing w:after="0" w:line="276" w:lineRule="auto"/>
        <w:ind w:left="142"/>
        <w:jc w:val="left"/>
        <w:rPr>
          <w:rFonts w:ascii="Calibri" w:hAnsi="Calibri"/>
          <w:sz w:val="20"/>
          <w:szCs w:val="24"/>
        </w:rPr>
      </w:pPr>
      <w:r w:rsidRPr="000A620A">
        <w:rPr>
          <w:rFonts w:ascii="Calibri" w:hAnsi="Calibri"/>
          <w:sz w:val="20"/>
          <w:szCs w:val="24"/>
        </w:rPr>
        <w:t># Certificate includes rates, land tax and other charges</w:t>
      </w:r>
    </w:p>
    <w:p w:rsidR="00AE6536" w:rsidRDefault="00AE6536" w:rsidP="001D160F">
      <w:pPr>
        <w:pStyle w:val="Style14ptJustified"/>
        <w:keepLines/>
        <w:spacing w:after="240" w:line="276" w:lineRule="auto"/>
        <w:ind w:left="142"/>
        <w:jc w:val="left"/>
        <w:rPr>
          <w:rFonts w:ascii="Calibri" w:hAnsi="Calibri"/>
          <w:sz w:val="20"/>
          <w:szCs w:val="24"/>
        </w:rPr>
      </w:pPr>
      <w:r>
        <w:rPr>
          <w:rFonts w:ascii="Calibri" w:hAnsi="Calibri"/>
          <w:sz w:val="20"/>
          <w:szCs w:val="24"/>
        </w:rPr>
        <w:t>^ No land tax is imposed</w:t>
      </w:r>
    </w:p>
    <w:p w:rsidR="00C03546" w:rsidRDefault="00D70F72" w:rsidP="001D160F">
      <w:pPr>
        <w:spacing w:after="240" w:line="276" w:lineRule="auto"/>
        <w:rPr>
          <w:rFonts w:asciiTheme="minorHAnsi" w:hAnsiTheme="minorHAnsi"/>
          <w:b/>
          <w:bCs/>
        </w:rPr>
      </w:pPr>
      <w:r>
        <w:rPr>
          <w:rFonts w:ascii="Calibri" w:hAnsi="Calibri"/>
        </w:rPr>
        <w:t>As can be seen in the above table, the proposed fee for Victoria compares favourably with other jurisdictions that also charge for the provision of a land clearance certificate a</w:t>
      </w:r>
      <w:r w:rsidRPr="008B7969">
        <w:rPr>
          <w:rFonts w:ascii="Calibri" w:hAnsi="Calibri"/>
        </w:rPr>
        <w:t>nd remain</w:t>
      </w:r>
      <w:r>
        <w:rPr>
          <w:rFonts w:ascii="Calibri" w:hAnsi="Calibri"/>
        </w:rPr>
        <w:t>s</w:t>
      </w:r>
      <w:r w:rsidRPr="008B7969">
        <w:rPr>
          <w:rFonts w:ascii="Calibri" w:hAnsi="Calibri"/>
        </w:rPr>
        <w:t xml:space="preserve"> at the lower end of the scale.</w:t>
      </w:r>
      <w:r>
        <w:rPr>
          <w:rFonts w:ascii="Calibri" w:hAnsi="Calibri"/>
        </w:rPr>
        <w:t xml:space="preserve"> </w:t>
      </w:r>
      <w:r w:rsidR="00C03546">
        <w:rPr>
          <w:rFonts w:asciiTheme="minorHAnsi" w:hAnsiTheme="minorHAnsi"/>
        </w:rPr>
        <w:br w:type="page"/>
      </w:r>
    </w:p>
    <w:p w:rsidR="00C524FA" w:rsidRPr="00AE6402" w:rsidRDefault="00AC0F3E" w:rsidP="001D160F">
      <w:pPr>
        <w:pStyle w:val="Heading1"/>
        <w:spacing w:after="240" w:line="276" w:lineRule="auto"/>
        <w:jc w:val="left"/>
        <w:rPr>
          <w:rFonts w:asciiTheme="minorHAnsi" w:hAnsiTheme="minorHAnsi"/>
          <w:sz w:val="32"/>
        </w:rPr>
      </w:pPr>
      <w:bookmarkStart w:id="19" w:name="_Toc432510190"/>
      <w:r w:rsidRPr="00AE6402">
        <w:rPr>
          <w:rFonts w:asciiTheme="minorHAnsi" w:hAnsiTheme="minorHAnsi"/>
          <w:sz w:val="32"/>
        </w:rPr>
        <w:lastRenderedPageBreak/>
        <w:t xml:space="preserve">8. </w:t>
      </w:r>
      <w:r w:rsidR="00CB3271" w:rsidRPr="00AE6402">
        <w:rPr>
          <w:rFonts w:asciiTheme="minorHAnsi" w:hAnsiTheme="minorHAnsi"/>
          <w:sz w:val="32"/>
        </w:rPr>
        <w:tab/>
      </w:r>
      <w:r w:rsidR="00C524FA" w:rsidRPr="00AE6402">
        <w:rPr>
          <w:rFonts w:asciiTheme="minorHAnsi" w:hAnsiTheme="minorHAnsi"/>
          <w:sz w:val="32"/>
        </w:rPr>
        <w:t>Competition assessment</w:t>
      </w:r>
      <w:bookmarkEnd w:id="19"/>
      <w:r w:rsidR="00C524FA" w:rsidRPr="00AE6402">
        <w:rPr>
          <w:rFonts w:asciiTheme="minorHAnsi" w:hAnsiTheme="minorHAnsi"/>
          <w:sz w:val="32"/>
        </w:rPr>
        <w:t xml:space="preserve"> </w:t>
      </w:r>
    </w:p>
    <w:p w:rsidR="001D4F6B" w:rsidRPr="00EA1FFB" w:rsidRDefault="001D4F6B" w:rsidP="001D160F">
      <w:pPr>
        <w:pStyle w:val="Text"/>
        <w:spacing w:after="240" w:line="276" w:lineRule="auto"/>
        <w:rPr>
          <w:rFonts w:asciiTheme="minorHAnsi" w:hAnsiTheme="minorHAnsi"/>
          <w:color w:val="000000"/>
        </w:rPr>
      </w:pPr>
      <w:r w:rsidRPr="00EA1FFB">
        <w:rPr>
          <w:rFonts w:asciiTheme="minorHAnsi" w:hAnsiTheme="minorHAnsi"/>
          <w:color w:val="000000"/>
        </w:rPr>
        <w:t>The National</w:t>
      </w:r>
      <w:r w:rsidR="001E34CB">
        <w:rPr>
          <w:rFonts w:asciiTheme="minorHAnsi" w:hAnsiTheme="minorHAnsi"/>
          <w:color w:val="000000"/>
        </w:rPr>
        <w:t xml:space="preserve"> Competition Policy Agreements</w:t>
      </w:r>
      <w:r w:rsidRPr="00EA1FFB">
        <w:rPr>
          <w:rFonts w:asciiTheme="minorHAnsi" w:hAnsiTheme="minorHAnsi"/>
          <w:color w:val="000000"/>
        </w:rPr>
        <w:t xml:space="preserve"> set out specific requirements with regard to all new legislation adopted by jurisdictions that are party to the</w:t>
      </w:r>
      <w:r w:rsidR="00EA1FFB">
        <w:rPr>
          <w:rFonts w:asciiTheme="minorHAnsi" w:hAnsiTheme="minorHAnsi"/>
          <w:color w:val="000000"/>
        </w:rPr>
        <w:t xml:space="preserve"> </w:t>
      </w:r>
      <w:r w:rsidRPr="00EA1FFB">
        <w:rPr>
          <w:rFonts w:asciiTheme="minorHAnsi" w:hAnsiTheme="minorHAnsi"/>
          <w:color w:val="000000"/>
        </w:rPr>
        <w:t xml:space="preserve">agreements. Clause 5(1) of the </w:t>
      </w:r>
      <w:r w:rsidRPr="001E34CB">
        <w:rPr>
          <w:rFonts w:asciiTheme="minorHAnsi" w:hAnsiTheme="minorHAnsi"/>
          <w:i/>
          <w:color w:val="000000"/>
        </w:rPr>
        <w:t>Competition Principles Agreement</w:t>
      </w:r>
      <w:r w:rsidRPr="00EA1FFB">
        <w:rPr>
          <w:rFonts w:asciiTheme="minorHAnsi" w:hAnsiTheme="minorHAnsi"/>
          <w:color w:val="000000"/>
        </w:rPr>
        <w:t xml:space="preserve"> sets out the basic</w:t>
      </w:r>
      <w:r w:rsidR="00EA1FFB">
        <w:rPr>
          <w:rFonts w:asciiTheme="minorHAnsi" w:hAnsiTheme="minorHAnsi"/>
          <w:color w:val="000000"/>
        </w:rPr>
        <w:t xml:space="preserve"> </w:t>
      </w:r>
      <w:r w:rsidRPr="00EA1FFB">
        <w:rPr>
          <w:rFonts w:asciiTheme="minorHAnsi" w:hAnsiTheme="minorHAnsi"/>
          <w:color w:val="000000"/>
        </w:rPr>
        <w:t xml:space="preserve">principle that must be applied to both existing legislation, </w:t>
      </w:r>
      <w:r w:rsidR="00E83990">
        <w:rPr>
          <w:rFonts w:asciiTheme="minorHAnsi" w:hAnsiTheme="minorHAnsi"/>
          <w:color w:val="000000"/>
        </w:rPr>
        <w:t>through</w:t>
      </w:r>
      <w:r w:rsidRPr="00EA1FFB">
        <w:rPr>
          <w:rFonts w:asciiTheme="minorHAnsi" w:hAnsiTheme="minorHAnsi"/>
          <w:color w:val="000000"/>
        </w:rPr>
        <w:t xml:space="preserve"> the legislative review</w:t>
      </w:r>
      <w:r w:rsidR="00EA1FFB">
        <w:rPr>
          <w:rFonts w:asciiTheme="minorHAnsi" w:hAnsiTheme="minorHAnsi"/>
          <w:color w:val="000000"/>
        </w:rPr>
        <w:t xml:space="preserve"> </w:t>
      </w:r>
      <w:r w:rsidRPr="00EA1FFB">
        <w:rPr>
          <w:rFonts w:asciiTheme="minorHAnsi" w:hAnsiTheme="minorHAnsi"/>
          <w:color w:val="000000"/>
        </w:rPr>
        <w:t xml:space="preserve">process, and to proposed </w:t>
      </w:r>
      <w:r w:rsidR="00E83990">
        <w:rPr>
          <w:rFonts w:asciiTheme="minorHAnsi" w:hAnsiTheme="minorHAnsi"/>
          <w:color w:val="000000"/>
        </w:rPr>
        <w:t xml:space="preserve">new </w:t>
      </w:r>
      <w:r w:rsidRPr="00EA1FFB">
        <w:rPr>
          <w:rFonts w:asciiTheme="minorHAnsi" w:hAnsiTheme="minorHAnsi"/>
          <w:color w:val="000000"/>
        </w:rPr>
        <w:t>legislation:</w:t>
      </w:r>
    </w:p>
    <w:p w:rsidR="001D4F6B" w:rsidRPr="001E34CB" w:rsidRDefault="001D4F6B" w:rsidP="001D160F">
      <w:pPr>
        <w:pStyle w:val="Text"/>
        <w:spacing w:line="276" w:lineRule="auto"/>
        <w:ind w:left="360"/>
        <w:rPr>
          <w:rFonts w:asciiTheme="minorHAnsi" w:hAnsiTheme="minorHAnsi"/>
          <w:i/>
          <w:color w:val="000000"/>
        </w:rPr>
      </w:pPr>
      <w:r w:rsidRPr="001E34CB">
        <w:rPr>
          <w:rFonts w:asciiTheme="minorHAnsi" w:hAnsiTheme="minorHAnsi"/>
          <w:i/>
          <w:color w:val="000000"/>
        </w:rPr>
        <w:t>The guiding principle is that legislation (including Acts, enactments, Ordinances or</w:t>
      </w:r>
      <w:r w:rsidR="00EC05BA" w:rsidRPr="001E34CB">
        <w:rPr>
          <w:rFonts w:asciiTheme="minorHAnsi" w:hAnsiTheme="minorHAnsi"/>
          <w:i/>
          <w:color w:val="000000"/>
        </w:rPr>
        <w:t xml:space="preserve"> </w:t>
      </w:r>
      <w:r w:rsidR="00CC341E">
        <w:rPr>
          <w:rFonts w:asciiTheme="minorHAnsi" w:hAnsiTheme="minorHAnsi"/>
          <w:i/>
          <w:color w:val="000000"/>
        </w:rPr>
        <w:t>Regulations</w:t>
      </w:r>
      <w:r w:rsidRPr="001E34CB">
        <w:rPr>
          <w:rFonts w:asciiTheme="minorHAnsi" w:hAnsiTheme="minorHAnsi"/>
          <w:i/>
          <w:color w:val="000000"/>
        </w:rPr>
        <w:t>) should not restrict competition unless it can be demonstrated that:</w:t>
      </w:r>
    </w:p>
    <w:p w:rsidR="001D4F6B" w:rsidRPr="001E34CB" w:rsidRDefault="00EC05BA" w:rsidP="003A67E6">
      <w:pPr>
        <w:pStyle w:val="Text"/>
        <w:numPr>
          <w:ilvl w:val="0"/>
          <w:numId w:val="6"/>
        </w:numPr>
        <w:spacing w:line="276" w:lineRule="auto"/>
        <w:ind w:left="1080"/>
        <w:rPr>
          <w:rFonts w:asciiTheme="minorHAnsi" w:hAnsiTheme="minorHAnsi"/>
          <w:i/>
          <w:color w:val="000000"/>
        </w:rPr>
      </w:pPr>
      <w:r w:rsidRPr="001E34CB">
        <w:rPr>
          <w:rFonts w:asciiTheme="minorHAnsi" w:hAnsiTheme="minorHAnsi"/>
          <w:i/>
          <w:color w:val="000000"/>
        </w:rPr>
        <w:t>t</w:t>
      </w:r>
      <w:r w:rsidR="001D4F6B" w:rsidRPr="001E34CB">
        <w:rPr>
          <w:rFonts w:asciiTheme="minorHAnsi" w:hAnsiTheme="minorHAnsi"/>
          <w:i/>
          <w:color w:val="000000"/>
        </w:rPr>
        <w:t>he benefits of the restriction to the community as a whole outweigh the costs;</w:t>
      </w:r>
      <w:r w:rsidRPr="001E34CB">
        <w:rPr>
          <w:rFonts w:asciiTheme="minorHAnsi" w:hAnsiTheme="minorHAnsi"/>
          <w:i/>
          <w:color w:val="000000"/>
        </w:rPr>
        <w:t xml:space="preserve"> </w:t>
      </w:r>
      <w:r w:rsidR="001D4F6B" w:rsidRPr="001E34CB">
        <w:rPr>
          <w:rFonts w:asciiTheme="minorHAnsi" w:hAnsiTheme="minorHAnsi"/>
          <w:i/>
          <w:color w:val="000000"/>
        </w:rPr>
        <w:t>and</w:t>
      </w:r>
    </w:p>
    <w:p w:rsidR="001D4F6B" w:rsidRPr="001E34CB" w:rsidRDefault="00EC05BA" w:rsidP="003A67E6">
      <w:pPr>
        <w:pStyle w:val="Text"/>
        <w:numPr>
          <w:ilvl w:val="0"/>
          <w:numId w:val="6"/>
        </w:numPr>
        <w:spacing w:after="240" w:line="276" w:lineRule="auto"/>
        <w:ind w:left="1080"/>
        <w:rPr>
          <w:rFonts w:asciiTheme="minorHAnsi" w:hAnsiTheme="minorHAnsi"/>
          <w:i/>
          <w:color w:val="000000"/>
        </w:rPr>
      </w:pPr>
      <w:proofErr w:type="gramStart"/>
      <w:r w:rsidRPr="001E34CB">
        <w:rPr>
          <w:rFonts w:asciiTheme="minorHAnsi" w:hAnsiTheme="minorHAnsi"/>
          <w:i/>
          <w:color w:val="000000"/>
        </w:rPr>
        <w:t>t</w:t>
      </w:r>
      <w:r w:rsidR="001D4F6B" w:rsidRPr="001E34CB">
        <w:rPr>
          <w:rFonts w:asciiTheme="minorHAnsi" w:hAnsiTheme="minorHAnsi"/>
          <w:i/>
          <w:color w:val="000000"/>
        </w:rPr>
        <w:t>he</w:t>
      </w:r>
      <w:proofErr w:type="gramEnd"/>
      <w:r w:rsidR="001D4F6B" w:rsidRPr="001E34CB">
        <w:rPr>
          <w:rFonts w:asciiTheme="minorHAnsi" w:hAnsiTheme="minorHAnsi"/>
          <w:i/>
          <w:color w:val="000000"/>
        </w:rPr>
        <w:t xml:space="preserve"> objectives of the regulation can only be achieved by restricting competition.</w:t>
      </w:r>
    </w:p>
    <w:p w:rsidR="001D4F6B" w:rsidRPr="00EA1FFB" w:rsidRDefault="001D4F6B" w:rsidP="001D160F">
      <w:pPr>
        <w:pStyle w:val="Text"/>
        <w:spacing w:after="240" w:line="276" w:lineRule="auto"/>
        <w:rPr>
          <w:rFonts w:asciiTheme="minorHAnsi" w:hAnsiTheme="minorHAnsi"/>
          <w:color w:val="000000"/>
        </w:rPr>
      </w:pPr>
      <w:r w:rsidRPr="00EA1FFB">
        <w:rPr>
          <w:rFonts w:asciiTheme="minorHAnsi" w:hAnsiTheme="minorHAnsi"/>
          <w:color w:val="000000"/>
        </w:rPr>
        <w:t>Clause 5(5) provides a specific obligation on parties to the agreement with regard to</w:t>
      </w:r>
      <w:r w:rsidR="00EC05BA">
        <w:rPr>
          <w:rFonts w:asciiTheme="minorHAnsi" w:hAnsiTheme="minorHAnsi"/>
          <w:color w:val="000000"/>
        </w:rPr>
        <w:t xml:space="preserve"> </w:t>
      </w:r>
      <w:r w:rsidRPr="00EA1FFB">
        <w:rPr>
          <w:rFonts w:asciiTheme="minorHAnsi" w:hAnsiTheme="minorHAnsi"/>
          <w:color w:val="000000"/>
        </w:rPr>
        <w:t>newly proposed legislation:</w:t>
      </w:r>
    </w:p>
    <w:p w:rsidR="001D4F6B" w:rsidRPr="001E34CB" w:rsidRDefault="001D4F6B" w:rsidP="001D160F">
      <w:pPr>
        <w:pStyle w:val="Text"/>
        <w:spacing w:after="240" w:line="276" w:lineRule="auto"/>
        <w:ind w:left="720"/>
        <w:rPr>
          <w:rFonts w:asciiTheme="minorHAnsi" w:hAnsiTheme="minorHAnsi"/>
          <w:i/>
          <w:color w:val="000000"/>
        </w:rPr>
      </w:pPr>
      <w:r w:rsidRPr="001E34CB">
        <w:rPr>
          <w:rFonts w:asciiTheme="minorHAnsi" w:hAnsiTheme="minorHAnsi"/>
          <w:i/>
          <w:color w:val="000000"/>
        </w:rPr>
        <w:t>Each party will require proposals for new legislation that restricts competition to be</w:t>
      </w:r>
      <w:r w:rsidR="00EC05BA" w:rsidRPr="001E34CB">
        <w:rPr>
          <w:rFonts w:asciiTheme="minorHAnsi" w:hAnsiTheme="minorHAnsi"/>
          <w:i/>
          <w:color w:val="000000"/>
        </w:rPr>
        <w:t xml:space="preserve"> </w:t>
      </w:r>
      <w:r w:rsidRPr="001E34CB">
        <w:rPr>
          <w:rFonts w:asciiTheme="minorHAnsi" w:hAnsiTheme="minorHAnsi"/>
          <w:i/>
          <w:color w:val="000000"/>
        </w:rPr>
        <w:t>accompanied by evidence that the restriction is consistent with the principle set out in</w:t>
      </w:r>
      <w:r w:rsidR="00EC05BA" w:rsidRPr="001E34CB">
        <w:rPr>
          <w:rFonts w:asciiTheme="minorHAnsi" w:hAnsiTheme="minorHAnsi"/>
          <w:i/>
          <w:color w:val="000000"/>
        </w:rPr>
        <w:t xml:space="preserve"> </w:t>
      </w:r>
      <w:r w:rsidRPr="001E34CB">
        <w:rPr>
          <w:rFonts w:asciiTheme="minorHAnsi" w:hAnsiTheme="minorHAnsi"/>
          <w:i/>
          <w:color w:val="000000"/>
        </w:rPr>
        <w:t>sub-clause (1).</w:t>
      </w:r>
    </w:p>
    <w:p w:rsidR="00763556" w:rsidRPr="00EA1FFB" w:rsidRDefault="001D4F6B" w:rsidP="001D160F">
      <w:pPr>
        <w:pStyle w:val="Text"/>
        <w:spacing w:after="240" w:line="276" w:lineRule="auto"/>
        <w:rPr>
          <w:rFonts w:asciiTheme="minorHAnsi" w:hAnsiTheme="minorHAnsi"/>
          <w:color w:val="000000"/>
        </w:rPr>
      </w:pPr>
      <w:r w:rsidRPr="00EA1FFB">
        <w:rPr>
          <w:rFonts w:asciiTheme="minorHAnsi" w:hAnsiTheme="minorHAnsi"/>
          <w:color w:val="000000"/>
        </w:rPr>
        <w:t xml:space="preserve">Accordingly, every regulatory impact statement must </w:t>
      </w:r>
      <w:r w:rsidR="001E34CB">
        <w:rPr>
          <w:rFonts w:asciiTheme="minorHAnsi" w:hAnsiTheme="minorHAnsi"/>
          <w:color w:val="000000"/>
        </w:rPr>
        <w:t xml:space="preserve">consider whether the proposed </w:t>
      </w:r>
      <w:r w:rsidR="001E34CB" w:rsidRPr="00EA1FFB">
        <w:rPr>
          <w:rFonts w:asciiTheme="minorHAnsi" w:hAnsiTheme="minorHAnsi"/>
          <w:color w:val="000000"/>
        </w:rPr>
        <w:t>regulatory instrument</w:t>
      </w:r>
      <w:r w:rsidR="001E34CB">
        <w:rPr>
          <w:rFonts w:asciiTheme="minorHAnsi" w:hAnsiTheme="minorHAnsi"/>
          <w:color w:val="000000"/>
        </w:rPr>
        <w:t xml:space="preserve"> restricts competition and if so, whether the restriction is consistent </w:t>
      </w:r>
      <w:r w:rsidRPr="00EA1FFB">
        <w:rPr>
          <w:rFonts w:asciiTheme="minorHAnsi" w:hAnsiTheme="minorHAnsi"/>
          <w:color w:val="000000"/>
        </w:rPr>
        <w:t>with these obligations.</w:t>
      </w:r>
    </w:p>
    <w:p w:rsidR="00531A05" w:rsidRPr="00AE6402" w:rsidRDefault="001E34CB" w:rsidP="001D160F">
      <w:pPr>
        <w:spacing w:after="240" w:line="276" w:lineRule="auto"/>
        <w:rPr>
          <w:rFonts w:asciiTheme="minorHAnsi" w:hAnsiTheme="minorHAnsi"/>
        </w:rPr>
      </w:pPr>
      <w:r w:rsidRPr="00446289">
        <w:rPr>
          <w:rFonts w:asciiTheme="minorHAnsi" w:hAnsiTheme="minorHAnsi"/>
          <w:color w:val="000000"/>
        </w:rPr>
        <w:t>In general, fees are not considered to have adverse competition impacts when they are set on a full cost recovery basis (as is the case here)</w:t>
      </w:r>
      <w:r>
        <w:rPr>
          <w:rFonts w:asciiTheme="minorHAnsi" w:hAnsiTheme="minorHAnsi"/>
          <w:color w:val="000000"/>
        </w:rPr>
        <w:t xml:space="preserve"> and imposed equally on public and private sector entities</w:t>
      </w:r>
      <w:r w:rsidRPr="00446289">
        <w:rPr>
          <w:rFonts w:asciiTheme="minorHAnsi" w:hAnsiTheme="minorHAnsi"/>
          <w:color w:val="000000"/>
        </w:rPr>
        <w:t xml:space="preserve">, as they simply ensure that </w:t>
      </w:r>
      <w:r>
        <w:rPr>
          <w:rFonts w:asciiTheme="minorHAnsi" w:hAnsiTheme="minorHAnsi"/>
          <w:color w:val="000000"/>
        </w:rPr>
        <w:t xml:space="preserve">the </w:t>
      </w:r>
      <w:r w:rsidR="00531A05">
        <w:rPr>
          <w:rFonts w:asciiTheme="minorHAnsi" w:hAnsiTheme="minorHAnsi"/>
          <w:color w:val="000000"/>
        </w:rPr>
        <w:t>relevant</w:t>
      </w:r>
      <w:r>
        <w:rPr>
          <w:rFonts w:asciiTheme="minorHAnsi" w:hAnsiTheme="minorHAnsi"/>
          <w:color w:val="000000"/>
        </w:rPr>
        <w:t xml:space="preserve"> parties are paying the cost of the service being provided</w:t>
      </w:r>
      <w:r w:rsidRPr="00446289">
        <w:rPr>
          <w:rFonts w:asciiTheme="minorHAnsi" w:hAnsiTheme="minorHAnsi"/>
          <w:color w:val="000000"/>
        </w:rPr>
        <w:t>.</w:t>
      </w:r>
    </w:p>
    <w:p w:rsidR="00E83990" w:rsidRDefault="00E83990">
      <w:pPr>
        <w:spacing w:after="200" w:line="276" w:lineRule="auto"/>
        <w:rPr>
          <w:rFonts w:asciiTheme="minorHAnsi" w:hAnsiTheme="minorHAnsi"/>
          <w:b/>
          <w:bCs/>
          <w:sz w:val="32"/>
        </w:rPr>
      </w:pPr>
      <w:r>
        <w:rPr>
          <w:rFonts w:asciiTheme="minorHAnsi" w:hAnsiTheme="minorHAnsi"/>
          <w:sz w:val="32"/>
        </w:rPr>
        <w:br w:type="page"/>
      </w:r>
    </w:p>
    <w:p w:rsidR="00763556" w:rsidRPr="00AE6402" w:rsidRDefault="00AC0F3E" w:rsidP="001D160F">
      <w:pPr>
        <w:pStyle w:val="Heading1"/>
        <w:spacing w:after="240" w:line="276" w:lineRule="auto"/>
        <w:jc w:val="left"/>
        <w:rPr>
          <w:rFonts w:asciiTheme="minorHAnsi" w:hAnsiTheme="minorHAnsi"/>
          <w:sz w:val="32"/>
        </w:rPr>
      </w:pPr>
      <w:bookmarkStart w:id="20" w:name="_Toc432510191"/>
      <w:r w:rsidRPr="00AE6402">
        <w:rPr>
          <w:rFonts w:asciiTheme="minorHAnsi" w:hAnsiTheme="minorHAnsi"/>
          <w:sz w:val="32"/>
        </w:rPr>
        <w:lastRenderedPageBreak/>
        <w:t xml:space="preserve">9. </w:t>
      </w:r>
      <w:r w:rsidR="00CB3271" w:rsidRPr="00AE6402">
        <w:rPr>
          <w:rFonts w:asciiTheme="minorHAnsi" w:hAnsiTheme="minorHAnsi"/>
          <w:sz w:val="32"/>
        </w:rPr>
        <w:tab/>
      </w:r>
      <w:r w:rsidR="00763556" w:rsidRPr="00AE6402">
        <w:rPr>
          <w:rFonts w:asciiTheme="minorHAnsi" w:hAnsiTheme="minorHAnsi"/>
          <w:sz w:val="32"/>
        </w:rPr>
        <w:t>Conclusion and recommendation</w:t>
      </w:r>
      <w:bookmarkEnd w:id="20"/>
    </w:p>
    <w:p w:rsidR="00997BF3" w:rsidRPr="00997BF3" w:rsidRDefault="00997BF3" w:rsidP="001D160F">
      <w:pPr>
        <w:spacing w:after="240" w:line="276" w:lineRule="auto"/>
        <w:rPr>
          <w:rFonts w:asciiTheme="minorHAnsi" w:hAnsiTheme="minorHAnsi"/>
          <w:color w:val="000000"/>
        </w:rPr>
      </w:pPr>
      <w:r w:rsidRPr="00997BF3">
        <w:rPr>
          <w:rFonts w:asciiTheme="minorHAnsi" w:hAnsiTheme="minorHAnsi"/>
          <w:color w:val="000000"/>
        </w:rPr>
        <w:t xml:space="preserve">The proposed </w:t>
      </w:r>
      <w:r w:rsidR="00CC341E">
        <w:rPr>
          <w:rFonts w:asciiTheme="minorHAnsi" w:hAnsiTheme="minorHAnsi"/>
          <w:color w:val="000000"/>
        </w:rPr>
        <w:t>Regulations</w:t>
      </w:r>
      <w:r w:rsidRPr="00997BF3">
        <w:rPr>
          <w:rFonts w:asciiTheme="minorHAnsi" w:hAnsiTheme="minorHAnsi"/>
          <w:color w:val="000000"/>
        </w:rPr>
        <w:t xml:space="preserve"> </w:t>
      </w:r>
      <w:r w:rsidR="00233934" w:rsidRPr="00B77856">
        <w:rPr>
          <w:rFonts w:ascii="Calibri" w:hAnsi="Calibri"/>
        </w:rPr>
        <w:t>prescribe the fee to be imposed for the provision of land tax clearance certificates</w:t>
      </w:r>
      <w:r w:rsidR="00233934" w:rsidRPr="00997BF3">
        <w:rPr>
          <w:rFonts w:asciiTheme="minorHAnsi" w:hAnsiTheme="minorHAnsi"/>
          <w:color w:val="000000"/>
        </w:rPr>
        <w:t xml:space="preserve"> </w:t>
      </w:r>
      <w:r w:rsidR="00233934">
        <w:rPr>
          <w:rFonts w:asciiTheme="minorHAnsi" w:hAnsiTheme="minorHAnsi"/>
          <w:color w:val="000000"/>
        </w:rPr>
        <w:t xml:space="preserve">by the SRO </w:t>
      </w:r>
      <w:r w:rsidRPr="00997BF3">
        <w:rPr>
          <w:rFonts w:asciiTheme="minorHAnsi" w:hAnsiTheme="minorHAnsi"/>
          <w:color w:val="000000"/>
        </w:rPr>
        <w:t>to ensure the</w:t>
      </w:r>
      <w:r>
        <w:rPr>
          <w:rFonts w:asciiTheme="minorHAnsi" w:hAnsiTheme="minorHAnsi"/>
          <w:color w:val="000000"/>
        </w:rPr>
        <w:t xml:space="preserve"> </w:t>
      </w:r>
      <w:r w:rsidRPr="00997BF3">
        <w:rPr>
          <w:rFonts w:asciiTheme="minorHAnsi" w:hAnsiTheme="minorHAnsi"/>
          <w:color w:val="000000"/>
        </w:rPr>
        <w:t xml:space="preserve">appropriate recovery of the cost of </w:t>
      </w:r>
      <w:r w:rsidR="00233934">
        <w:rPr>
          <w:rFonts w:asciiTheme="minorHAnsi" w:hAnsiTheme="minorHAnsi"/>
          <w:color w:val="000000"/>
        </w:rPr>
        <w:t xml:space="preserve">providing the </w:t>
      </w:r>
      <w:r w:rsidRPr="00997BF3">
        <w:rPr>
          <w:rFonts w:asciiTheme="minorHAnsi" w:hAnsiTheme="minorHAnsi"/>
          <w:color w:val="000000"/>
        </w:rPr>
        <w:t>service</w:t>
      </w:r>
      <w:r w:rsidR="00233934" w:rsidRPr="00233934">
        <w:rPr>
          <w:rFonts w:ascii="Calibri" w:hAnsi="Calibri"/>
        </w:rPr>
        <w:t xml:space="preserve"> </w:t>
      </w:r>
      <w:r w:rsidR="00233934" w:rsidRPr="00B77856">
        <w:rPr>
          <w:rFonts w:ascii="Calibri" w:hAnsi="Calibri"/>
        </w:rPr>
        <w:t>is met by the users of the service</w:t>
      </w:r>
      <w:r w:rsidRPr="00997BF3">
        <w:rPr>
          <w:rFonts w:asciiTheme="minorHAnsi" w:hAnsiTheme="minorHAnsi"/>
          <w:color w:val="000000"/>
        </w:rPr>
        <w:t>. The objective of achieving full cost recovery has been arrived at through</w:t>
      </w:r>
      <w:r>
        <w:rPr>
          <w:rFonts w:asciiTheme="minorHAnsi" w:hAnsiTheme="minorHAnsi"/>
          <w:color w:val="000000"/>
        </w:rPr>
        <w:t xml:space="preserve"> </w:t>
      </w:r>
      <w:r w:rsidRPr="00997BF3">
        <w:rPr>
          <w:rFonts w:asciiTheme="minorHAnsi" w:hAnsiTheme="minorHAnsi"/>
          <w:color w:val="000000"/>
        </w:rPr>
        <w:t>the application of the government’s fees and charges guidelines to the specific</w:t>
      </w:r>
      <w:r>
        <w:rPr>
          <w:rFonts w:asciiTheme="minorHAnsi" w:hAnsiTheme="minorHAnsi"/>
          <w:color w:val="000000"/>
        </w:rPr>
        <w:t xml:space="preserve"> </w:t>
      </w:r>
      <w:r w:rsidRPr="00997BF3">
        <w:rPr>
          <w:rFonts w:asciiTheme="minorHAnsi" w:hAnsiTheme="minorHAnsi"/>
          <w:color w:val="000000"/>
        </w:rPr>
        <w:t xml:space="preserve">circumstances to which the proposed </w:t>
      </w:r>
      <w:r w:rsidR="00CC341E">
        <w:rPr>
          <w:rFonts w:asciiTheme="minorHAnsi" w:hAnsiTheme="minorHAnsi"/>
          <w:color w:val="000000"/>
        </w:rPr>
        <w:t>Regulations</w:t>
      </w:r>
      <w:r w:rsidRPr="00997BF3">
        <w:rPr>
          <w:rFonts w:asciiTheme="minorHAnsi" w:hAnsiTheme="minorHAnsi"/>
          <w:color w:val="000000"/>
        </w:rPr>
        <w:t xml:space="preserve"> relate.</w:t>
      </w:r>
    </w:p>
    <w:p w:rsidR="00531A05" w:rsidRDefault="0034545C" w:rsidP="001D160F">
      <w:pPr>
        <w:spacing w:after="240" w:line="276" w:lineRule="auto"/>
        <w:rPr>
          <w:rFonts w:asciiTheme="minorHAnsi" w:hAnsiTheme="minorHAnsi"/>
          <w:b/>
          <w:bCs/>
          <w:sz w:val="28"/>
        </w:rPr>
      </w:pPr>
      <w:r w:rsidRPr="0034545C">
        <w:rPr>
          <w:rFonts w:asciiTheme="minorHAnsi" w:hAnsiTheme="minorHAnsi"/>
          <w:color w:val="000000"/>
        </w:rPr>
        <w:t xml:space="preserve">As the assessment found, </w:t>
      </w:r>
      <w:r w:rsidR="000731EF" w:rsidRPr="0034545C">
        <w:rPr>
          <w:rFonts w:asciiTheme="minorHAnsi" w:hAnsiTheme="minorHAnsi"/>
          <w:color w:val="000000"/>
        </w:rPr>
        <w:t xml:space="preserve">the proposed fee </w:t>
      </w:r>
      <w:r>
        <w:rPr>
          <w:rFonts w:asciiTheme="minorHAnsi" w:hAnsiTheme="minorHAnsi"/>
          <w:color w:val="000000"/>
        </w:rPr>
        <w:t xml:space="preserve">structure </w:t>
      </w:r>
      <w:r w:rsidR="000731EF" w:rsidRPr="0034545C">
        <w:rPr>
          <w:rFonts w:asciiTheme="minorHAnsi" w:hAnsiTheme="minorHAnsi"/>
          <w:color w:val="000000"/>
        </w:rPr>
        <w:t xml:space="preserve">is the most appropriate in terms of meeting the objective of full cost recovery and equity for applicants. </w:t>
      </w:r>
      <w:r w:rsidR="00E83990">
        <w:rPr>
          <w:rFonts w:asciiTheme="minorHAnsi" w:hAnsiTheme="minorHAnsi"/>
          <w:color w:val="000000"/>
        </w:rPr>
        <w:t>The proposed fee</w:t>
      </w:r>
      <w:r w:rsidR="000731EF" w:rsidRPr="0034545C">
        <w:rPr>
          <w:rFonts w:asciiTheme="minorHAnsi" w:hAnsiTheme="minorHAnsi"/>
          <w:color w:val="000000"/>
        </w:rPr>
        <w:t xml:space="preserve"> </w:t>
      </w:r>
      <w:r w:rsidR="00E83990">
        <w:rPr>
          <w:rFonts w:asciiTheme="minorHAnsi" w:hAnsiTheme="minorHAnsi"/>
          <w:color w:val="000000"/>
        </w:rPr>
        <w:t>is</w:t>
      </w:r>
      <w:r w:rsidR="000731EF" w:rsidRPr="0034545C">
        <w:rPr>
          <w:rFonts w:asciiTheme="minorHAnsi" w:hAnsiTheme="minorHAnsi"/>
          <w:color w:val="000000"/>
        </w:rPr>
        <w:t xml:space="preserve"> considered to be superior to the alternative options </w:t>
      </w:r>
      <w:r w:rsidR="00F744FD">
        <w:rPr>
          <w:rFonts w:asciiTheme="minorHAnsi" w:hAnsiTheme="minorHAnsi"/>
          <w:color w:val="000000"/>
        </w:rPr>
        <w:t xml:space="preserve">in achieving full cost recovery whilst also ensuring the SRO can process </w:t>
      </w:r>
      <w:r w:rsidR="0020771B">
        <w:rPr>
          <w:rFonts w:asciiTheme="minorHAnsi" w:hAnsiTheme="minorHAnsi"/>
          <w:color w:val="000000"/>
        </w:rPr>
        <w:t>clearance certificate</w:t>
      </w:r>
      <w:r w:rsidR="00F744FD">
        <w:rPr>
          <w:rFonts w:asciiTheme="minorHAnsi" w:hAnsiTheme="minorHAnsi"/>
          <w:color w:val="000000"/>
        </w:rPr>
        <w:t xml:space="preserve"> applications </w:t>
      </w:r>
      <w:r w:rsidR="00F744FD" w:rsidRPr="00F744FD">
        <w:rPr>
          <w:rFonts w:asciiTheme="minorHAnsi" w:hAnsiTheme="minorHAnsi"/>
          <w:color w:val="000000"/>
        </w:rPr>
        <w:t>in a timely, efficient and responsible manner.</w:t>
      </w:r>
      <w:r w:rsidR="00531A05">
        <w:rPr>
          <w:rFonts w:asciiTheme="minorHAnsi" w:hAnsiTheme="minorHAnsi"/>
          <w:sz w:val="28"/>
        </w:rPr>
        <w:br w:type="page"/>
      </w:r>
    </w:p>
    <w:p w:rsidR="00763556" w:rsidRPr="00AE6402" w:rsidRDefault="00AC0F3E" w:rsidP="001D160F">
      <w:pPr>
        <w:pStyle w:val="Heading1"/>
        <w:spacing w:after="240" w:line="276" w:lineRule="auto"/>
        <w:jc w:val="left"/>
        <w:rPr>
          <w:rFonts w:asciiTheme="minorHAnsi" w:hAnsiTheme="minorHAnsi"/>
          <w:sz w:val="32"/>
        </w:rPr>
      </w:pPr>
      <w:bookmarkStart w:id="21" w:name="_Toc432510192"/>
      <w:r w:rsidRPr="00AE6402">
        <w:rPr>
          <w:rFonts w:asciiTheme="minorHAnsi" w:hAnsiTheme="minorHAnsi"/>
          <w:sz w:val="32"/>
        </w:rPr>
        <w:lastRenderedPageBreak/>
        <w:t xml:space="preserve">10. </w:t>
      </w:r>
      <w:r w:rsidR="00CB3271" w:rsidRPr="00AE6402">
        <w:rPr>
          <w:rFonts w:asciiTheme="minorHAnsi" w:hAnsiTheme="minorHAnsi"/>
          <w:sz w:val="32"/>
        </w:rPr>
        <w:tab/>
      </w:r>
      <w:r w:rsidR="00763556" w:rsidRPr="00AE6402">
        <w:rPr>
          <w:rFonts w:asciiTheme="minorHAnsi" w:hAnsiTheme="minorHAnsi"/>
          <w:sz w:val="32"/>
        </w:rPr>
        <w:t>Consultation</w:t>
      </w:r>
      <w:bookmarkEnd w:id="21"/>
    </w:p>
    <w:p w:rsidR="0020771B" w:rsidRDefault="00502F67" w:rsidP="0020771B">
      <w:pPr>
        <w:pStyle w:val="Text"/>
        <w:spacing w:after="240" w:line="276" w:lineRule="auto"/>
        <w:rPr>
          <w:rFonts w:asciiTheme="minorHAnsi" w:hAnsiTheme="minorHAnsi"/>
          <w:color w:val="000000"/>
        </w:rPr>
      </w:pPr>
      <w:r w:rsidRPr="00502F67">
        <w:rPr>
          <w:rFonts w:asciiTheme="minorHAnsi" w:hAnsiTheme="minorHAnsi"/>
          <w:color w:val="000000"/>
        </w:rPr>
        <w:t xml:space="preserve">The </w:t>
      </w:r>
      <w:r w:rsidR="0045403B">
        <w:rPr>
          <w:rFonts w:asciiTheme="minorHAnsi" w:hAnsiTheme="minorHAnsi"/>
          <w:color w:val="000000"/>
        </w:rPr>
        <w:t>SRO has</w:t>
      </w:r>
      <w:r w:rsidRPr="00502F67">
        <w:rPr>
          <w:rFonts w:asciiTheme="minorHAnsi" w:hAnsiTheme="minorHAnsi"/>
          <w:color w:val="000000"/>
        </w:rPr>
        <w:t xml:space="preserve"> developed the proposed </w:t>
      </w:r>
      <w:r w:rsidR="00CC341E">
        <w:rPr>
          <w:rFonts w:asciiTheme="minorHAnsi" w:hAnsiTheme="minorHAnsi"/>
          <w:color w:val="000000"/>
        </w:rPr>
        <w:t>Regulations</w:t>
      </w:r>
      <w:r w:rsidRPr="00502F67">
        <w:rPr>
          <w:rFonts w:asciiTheme="minorHAnsi" w:hAnsiTheme="minorHAnsi"/>
          <w:color w:val="000000"/>
        </w:rPr>
        <w:t xml:space="preserve">. </w:t>
      </w:r>
    </w:p>
    <w:p w:rsidR="00ED6140" w:rsidRDefault="00502F67" w:rsidP="00364E41">
      <w:pPr>
        <w:pStyle w:val="Text"/>
        <w:spacing w:line="276" w:lineRule="auto"/>
        <w:rPr>
          <w:rFonts w:asciiTheme="minorHAnsi" w:hAnsiTheme="minorHAnsi"/>
          <w:color w:val="000000"/>
        </w:rPr>
      </w:pPr>
      <w:r w:rsidRPr="00502F67">
        <w:rPr>
          <w:rFonts w:asciiTheme="minorHAnsi" w:hAnsiTheme="minorHAnsi"/>
          <w:color w:val="000000"/>
        </w:rPr>
        <w:t xml:space="preserve">Initial consultation </w:t>
      </w:r>
      <w:r w:rsidR="00ED6140">
        <w:rPr>
          <w:rFonts w:asciiTheme="minorHAnsi" w:hAnsiTheme="minorHAnsi"/>
          <w:color w:val="000000"/>
        </w:rPr>
        <w:t>was</w:t>
      </w:r>
      <w:r w:rsidRPr="00502F67">
        <w:rPr>
          <w:rFonts w:asciiTheme="minorHAnsi" w:hAnsiTheme="minorHAnsi"/>
          <w:color w:val="000000"/>
        </w:rPr>
        <w:t xml:space="preserve"> undertaken with </w:t>
      </w:r>
      <w:r w:rsidR="0045403B">
        <w:rPr>
          <w:rFonts w:asciiTheme="minorHAnsi" w:hAnsiTheme="minorHAnsi"/>
          <w:color w:val="000000"/>
        </w:rPr>
        <w:t>industry stakeholder</w:t>
      </w:r>
      <w:r w:rsidR="00E83990">
        <w:rPr>
          <w:rFonts w:asciiTheme="minorHAnsi" w:hAnsiTheme="minorHAnsi"/>
          <w:color w:val="000000"/>
        </w:rPr>
        <w:t>s</w:t>
      </w:r>
      <w:r w:rsidRPr="00502F67">
        <w:rPr>
          <w:rFonts w:asciiTheme="minorHAnsi" w:hAnsiTheme="minorHAnsi"/>
          <w:color w:val="000000"/>
        </w:rPr>
        <w:t xml:space="preserve"> </w:t>
      </w:r>
      <w:r w:rsidR="00ED6140">
        <w:rPr>
          <w:rFonts w:asciiTheme="minorHAnsi" w:hAnsiTheme="minorHAnsi"/>
          <w:color w:val="000000"/>
        </w:rPr>
        <w:t xml:space="preserve">through the State Taxes Consultative Council </w:t>
      </w:r>
      <w:r w:rsidR="00B52A87">
        <w:rPr>
          <w:rFonts w:asciiTheme="minorHAnsi" w:hAnsiTheme="minorHAnsi"/>
          <w:color w:val="000000"/>
        </w:rPr>
        <w:t xml:space="preserve">meeting on 13 March 2015 </w:t>
      </w:r>
      <w:r w:rsidR="00ED6140">
        <w:rPr>
          <w:rFonts w:asciiTheme="minorHAnsi" w:hAnsiTheme="minorHAnsi"/>
          <w:color w:val="000000"/>
        </w:rPr>
        <w:t>which consist</w:t>
      </w:r>
      <w:r w:rsidR="00B52A87">
        <w:rPr>
          <w:rFonts w:asciiTheme="minorHAnsi" w:hAnsiTheme="minorHAnsi"/>
          <w:color w:val="000000"/>
        </w:rPr>
        <w:t>ed</w:t>
      </w:r>
      <w:r w:rsidR="00ED6140">
        <w:rPr>
          <w:rFonts w:asciiTheme="minorHAnsi" w:hAnsiTheme="minorHAnsi"/>
          <w:color w:val="000000"/>
        </w:rPr>
        <w:t xml:space="preserve"> of the following stakeholders:</w:t>
      </w:r>
    </w:p>
    <w:p w:rsidR="00CD0B52" w:rsidRPr="00CD0B52" w:rsidRDefault="00CD0B52" w:rsidP="003A67E6">
      <w:pPr>
        <w:pStyle w:val="Style14ptJustified"/>
        <w:keepLines/>
        <w:numPr>
          <w:ilvl w:val="0"/>
          <w:numId w:val="12"/>
        </w:numPr>
        <w:spacing w:after="0" w:line="276" w:lineRule="auto"/>
        <w:jc w:val="left"/>
        <w:rPr>
          <w:rFonts w:ascii="Calibri" w:hAnsi="Calibri"/>
          <w:sz w:val="24"/>
          <w:szCs w:val="24"/>
        </w:rPr>
      </w:pPr>
      <w:r w:rsidRPr="00CD0B52">
        <w:rPr>
          <w:rFonts w:ascii="Calibri" w:hAnsi="Calibri"/>
          <w:sz w:val="24"/>
          <w:szCs w:val="24"/>
        </w:rPr>
        <w:t>Australian Institute of Conveyancers</w:t>
      </w:r>
    </w:p>
    <w:p w:rsidR="00CD0B52" w:rsidRPr="00CD0B52" w:rsidRDefault="00CD0B52" w:rsidP="003A67E6">
      <w:pPr>
        <w:pStyle w:val="Style14ptJustified"/>
        <w:keepLines/>
        <w:numPr>
          <w:ilvl w:val="0"/>
          <w:numId w:val="12"/>
        </w:numPr>
        <w:spacing w:after="0" w:line="276" w:lineRule="auto"/>
        <w:jc w:val="left"/>
        <w:rPr>
          <w:rFonts w:ascii="Calibri" w:hAnsi="Calibri"/>
          <w:sz w:val="24"/>
          <w:szCs w:val="24"/>
        </w:rPr>
      </w:pPr>
      <w:r w:rsidRPr="00CD0B52">
        <w:rPr>
          <w:rFonts w:ascii="Calibri" w:hAnsi="Calibri"/>
          <w:sz w:val="24"/>
          <w:szCs w:val="24"/>
        </w:rPr>
        <w:t>CPA Australia</w:t>
      </w:r>
    </w:p>
    <w:p w:rsidR="00CD0B52" w:rsidRPr="00CD0B52" w:rsidRDefault="00CD0B52" w:rsidP="003A67E6">
      <w:pPr>
        <w:pStyle w:val="Style14ptJustified"/>
        <w:keepLines/>
        <w:numPr>
          <w:ilvl w:val="0"/>
          <w:numId w:val="12"/>
        </w:numPr>
        <w:spacing w:after="0" w:line="276" w:lineRule="auto"/>
        <w:jc w:val="left"/>
        <w:rPr>
          <w:rFonts w:ascii="Calibri" w:hAnsi="Calibri"/>
          <w:sz w:val="24"/>
          <w:szCs w:val="24"/>
        </w:rPr>
      </w:pPr>
      <w:r w:rsidRPr="00CD0B52">
        <w:rPr>
          <w:rFonts w:ascii="Calibri" w:hAnsi="Calibri"/>
          <w:sz w:val="24"/>
          <w:szCs w:val="24"/>
        </w:rPr>
        <w:t>Institute of Chartered Accountants Australia</w:t>
      </w:r>
    </w:p>
    <w:p w:rsidR="00CD0B52" w:rsidRPr="00CD0B52" w:rsidRDefault="00CD0B52" w:rsidP="003A67E6">
      <w:pPr>
        <w:pStyle w:val="Style14ptJustified"/>
        <w:keepLines/>
        <w:numPr>
          <w:ilvl w:val="0"/>
          <w:numId w:val="12"/>
        </w:numPr>
        <w:spacing w:after="0" w:line="276" w:lineRule="auto"/>
        <w:jc w:val="left"/>
        <w:rPr>
          <w:rFonts w:ascii="Calibri" w:hAnsi="Calibri"/>
          <w:sz w:val="24"/>
          <w:szCs w:val="24"/>
        </w:rPr>
      </w:pPr>
      <w:r w:rsidRPr="00CD0B52">
        <w:rPr>
          <w:rFonts w:ascii="Calibri" w:hAnsi="Calibri"/>
          <w:sz w:val="24"/>
          <w:szCs w:val="24"/>
        </w:rPr>
        <w:t>Institute of Public Accountants</w:t>
      </w:r>
    </w:p>
    <w:p w:rsidR="00CD0B52" w:rsidRPr="00CD0B52" w:rsidRDefault="00CD0B52" w:rsidP="003A67E6">
      <w:pPr>
        <w:pStyle w:val="Style14ptJustified"/>
        <w:keepLines/>
        <w:numPr>
          <w:ilvl w:val="0"/>
          <w:numId w:val="12"/>
        </w:numPr>
        <w:spacing w:after="0" w:line="276" w:lineRule="auto"/>
        <w:jc w:val="left"/>
        <w:rPr>
          <w:rFonts w:ascii="Calibri" w:hAnsi="Calibri"/>
          <w:sz w:val="24"/>
          <w:szCs w:val="24"/>
        </w:rPr>
      </w:pPr>
      <w:r w:rsidRPr="00CD0B52">
        <w:rPr>
          <w:rFonts w:ascii="Calibri" w:hAnsi="Calibri"/>
          <w:sz w:val="24"/>
          <w:szCs w:val="24"/>
        </w:rPr>
        <w:t>Law Institute of Victoria</w:t>
      </w:r>
    </w:p>
    <w:p w:rsidR="00CD0B52" w:rsidRPr="00CD0B52" w:rsidRDefault="00CD0B52" w:rsidP="003A67E6">
      <w:pPr>
        <w:pStyle w:val="Style14ptJustified"/>
        <w:keepLines/>
        <w:numPr>
          <w:ilvl w:val="0"/>
          <w:numId w:val="12"/>
        </w:numPr>
        <w:spacing w:after="0" w:line="276" w:lineRule="auto"/>
        <w:jc w:val="left"/>
        <w:rPr>
          <w:rFonts w:ascii="Calibri" w:hAnsi="Calibri"/>
          <w:sz w:val="24"/>
          <w:szCs w:val="24"/>
        </w:rPr>
      </w:pPr>
      <w:r w:rsidRPr="00CD0B52">
        <w:rPr>
          <w:rFonts w:ascii="Calibri" w:hAnsi="Calibri"/>
          <w:sz w:val="24"/>
          <w:szCs w:val="24"/>
        </w:rPr>
        <w:t>Property Council of Australia</w:t>
      </w:r>
    </w:p>
    <w:p w:rsidR="00CD0B52" w:rsidRPr="00CD0B52" w:rsidRDefault="00CD0B52" w:rsidP="003A67E6">
      <w:pPr>
        <w:pStyle w:val="Style14ptJustified"/>
        <w:keepLines/>
        <w:numPr>
          <w:ilvl w:val="0"/>
          <w:numId w:val="12"/>
        </w:numPr>
        <w:spacing w:after="0" w:line="276" w:lineRule="auto"/>
        <w:jc w:val="left"/>
        <w:rPr>
          <w:rFonts w:ascii="Calibri" w:hAnsi="Calibri"/>
          <w:sz w:val="24"/>
          <w:szCs w:val="24"/>
        </w:rPr>
      </w:pPr>
      <w:r w:rsidRPr="00CD0B52">
        <w:rPr>
          <w:rFonts w:ascii="Calibri" w:hAnsi="Calibri"/>
          <w:sz w:val="24"/>
          <w:szCs w:val="24"/>
        </w:rPr>
        <w:t xml:space="preserve">The Tax Institute </w:t>
      </w:r>
    </w:p>
    <w:p w:rsidR="00CD0B52" w:rsidRPr="00CD0B52" w:rsidRDefault="00CD0B52" w:rsidP="0020771B">
      <w:pPr>
        <w:pStyle w:val="Style14ptJustified"/>
        <w:keepLines/>
        <w:numPr>
          <w:ilvl w:val="0"/>
          <w:numId w:val="12"/>
        </w:numPr>
        <w:spacing w:after="240" w:line="276" w:lineRule="auto"/>
        <w:ind w:left="714" w:hanging="357"/>
        <w:jc w:val="left"/>
        <w:rPr>
          <w:rFonts w:ascii="Calibri" w:hAnsi="Calibri"/>
          <w:sz w:val="24"/>
          <w:szCs w:val="24"/>
        </w:rPr>
      </w:pPr>
      <w:r w:rsidRPr="00CD0B52">
        <w:rPr>
          <w:rFonts w:ascii="Calibri" w:hAnsi="Calibri"/>
          <w:sz w:val="24"/>
          <w:szCs w:val="24"/>
        </w:rPr>
        <w:t>Victorian Automobile Chamber of Commerce</w:t>
      </w:r>
    </w:p>
    <w:p w:rsidR="005C5F03" w:rsidRPr="005C5F03" w:rsidRDefault="005C5F03" w:rsidP="005C5F03">
      <w:pPr>
        <w:pStyle w:val="Text"/>
        <w:spacing w:after="240" w:line="276" w:lineRule="auto"/>
        <w:rPr>
          <w:rFonts w:asciiTheme="minorHAnsi" w:hAnsiTheme="minorHAnsi"/>
          <w:color w:val="000000"/>
        </w:rPr>
      </w:pPr>
      <w:r>
        <w:rPr>
          <w:rFonts w:asciiTheme="minorHAnsi" w:hAnsiTheme="minorHAnsi"/>
          <w:color w:val="000000"/>
        </w:rPr>
        <w:t>There was very limited feed</w:t>
      </w:r>
      <w:r w:rsidR="00502F67" w:rsidRPr="00CD0B52">
        <w:rPr>
          <w:rFonts w:asciiTheme="minorHAnsi" w:hAnsiTheme="minorHAnsi"/>
          <w:color w:val="000000"/>
        </w:rPr>
        <w:t xml:space="preserve">back </w:t>
      </w:r>
      <w:r>
        <w:rPr>
          <w:rFonts w:asciiTheme="minorHAnsi" w:hAnsiTheme="minorHAnsi"/>
          <w:color w:val="000000"/>
        </w:rPr>
        <w:t xml:space="preserve">received from </w:t>
      </w:r>
      <w:r w:rsidR="00FC1ECE" w:rsidRPr="00CD0B52">
        <w:rPr>
          <w:rFonts w:asciiTheme="minorHAnsi" w:hAnsiTheme="minorHAnsi"/>
          <w:color w:val="000000"/>
        </w:rPr>
        <w:t>stakeholder</w:t>
      </w:r>
      <w:r>
        <w:rPr>
          <w:rFonts w:asciiTheme="minorHAnsi" w:hAnsiTheme="minorHAnsi"/>
          <w:color w:val="000000"/>
        </w:rPr>
        <w:t>s during the initial consultation phase. T</w:t>
      </w:r>
      <w:r w:rsidRPr="005C5F03">
        <w:rPr>
          <w:rFonts w:asciiTheme="minorHAnsi" w:hAnsiTheme="minorHAnsi"/>
          <w:color w:val="000000"/>
        </w:rPr>
        <w:t xml:space="preserve">he </w:t>
      </w:r>
      <w:r w:rsidR="00CC0B23">
        <w:rPr>
          <w:rFonts w:asciiTheme="minorHAnsi" w:hAnsiTheme="minorHAnsi"/>
          <w:color w:val="000000"/>
        </w:rPr>
        <w:t>feedback that was received</w:t>
      </w:r>
      <w:r w:rsidRPr="005C5F03">
        <w:rPr>
          <w:rFonts w:asciiTheme="minorHAnsi" w:hAnsiTheme="minorHAnsi"/>
          <w:color w:val="000000"/>
        </w:rPr>
        <w:t xml:space="preserve"> indicate</w:t>
      </w:r>
      <w:r>
        <w:rPr>
          <w:rFonts w:asciiTheme="minorHAnsi" w:hAnsiTheme="minorHAnsi"/>
          <w:color w:val="000000"/>
        </w:rPr>
        <w:t>d</w:t>
      </w:r>
      <w:r w:rsidRPr="005C5F03">
        <w:rPr>
          <w:rFonts w:asciiTheme="minorHAnsi" w:hAnsiTheme="minorHAnsi"/>
          <w:color w:val="000000"/>
        </w:rPr>
        <w:t xml:space="preserve"> that a nominal increase in the fee for online applications </w:t>
      </w:r>
      <w:r>
        <w:rPr>
          <w:rFonts w:asciiTheme="minorHAnsi" w:hAnsiTheme="minorHAnsi"/>
          <w:color w:val="000000"/>
        </w:rPr>
        <w:t xml:space="preserve">was unlikely to </w:t>
      </w:r>
      <w:r w:rsidRPr="005C5F03">
        <w:rPr>
          <w:rFonts w:asciiTheme="minorHAnsi" w:hAnsiTheme="minorHAnsi"/>
          <w:color w:val="000000"/>
        </w:rPr>
        <w:t xml:space="preserve">impact </w:t>
      </w:r>
      <w:r>
        <w:rPr>
          <w:rFonts w:asciiTheme="minorHAnsi" w:hAnsiTheme="minorHAnsi"/>
          <w:color w:val="000000"/>
        </w:rPr>
        <w:t>on</w:t>
      </w:r>
      <w:r w:rsidRPr="005C5F03">
        <w:rPr>
          <w:rFonts w:asciiTheme="minorHAnsi" w:hAnsiTheme="minorHAnsi"/>
          <w:color w:val="000000"/>
        </w:rPr>
        <w:t xml:space="preserve"> applications </w:t>
      </w:r>
      <w:r>
        <w:rPr>
          <w:rFonts w:asciiTheme="minorHAnsi" w:hAnsiTheme="minorHAnsi"/>
          <w:color w:val="000000"/>
        </w:rPr>
        <w:t xml:space="preserve">for a clearance certificate </w:t>
      </w:r>
      <w:r w:rsidRPr="005C5F03">
        <w:rPr>
          <w:rFonts w:asciiTheme="minorHAnsi" w:hAnsiTheme="minorHAnsi"/>
          <w:color w:val="000000"/>
        </w:rPr>
        <w:t xml:space="preserve">made by the conveyancing industry. </w:t>
      </w:r>
      <w:r>
        <w:rPr>
          <w:rFonts w:asciiTheme="minorHAnsi" w:hAnsiTheme="minorHAnsi"/>
          <w:color w:val="000000"/>
        </w:rPr>
        <w:t>It was also advised that</w:t>
      </w:r>
      <w:r w:rsidRPr="005C5F03">
        <w:rPr>
          <w:rFonts w:asciiTheme="minorHAnsi" w:hAnsiTheme="minorHAnsi"/>
          <w:color w:val="000000"/>
        </w:rPr>
        <w:t xml:space="preserve"> the proposed fee remains a minor cost within the context of the overall conveyancing process. </w:t>
      </w:r>
    </w:p>
    <w:p w:rsidR="00FC1ECE" w:rsidRPr="00FC1ECE" w:rsidRDefault="00FC1ECE" w:rsidP="001D160F">
      <w:pPr>
        <w:pStyle w:val="Text"/>
        <w:spacing w:after="240" w:line="276" w:lineRule="auto"/>
        <w:rPr>
          <w:rFonts w:asciiTheme="minorHAnsi" w:hAnsiTheme="minorHAnsi"/>
          <w:color w:val="000000"/>
        </w:rPr>
      </w:pPr>
      <w:r w:rsidRPr="00502F67">
        <w:rPr>
          <w:rFonts w:asciiTheme="minorHAnsi" w:hAnsiTheme="minorHAnsi"/>
          <w:color w:val="000000"/>
        </w:rPr>
        <w:t xml:space="preserve">The </w:t>
      </w:r>
      <w:r>
        <w:rPr>
          <w:rFonts w:asciiTheme="minorHAnsi" w:hAnsiTheme="minorHAnsi"/>
          <w:color w:val="000000"/>
        </w:rPr>
        <w:t xml:space="preserve">public </w:t>
      </w:r>
      <w:r w:rsidRPr="00502F67">
        <w:rPr>
          <w:rFonts w:asciiTheme="minorHAnsi" w:hAnsiTheme="minorHAnsi"/>
          <w:color w:val="000000"/>
        </w:rPr>
        <w:t xml:space="preserve">release of this RIS </w:t>
      </w:r>
      <w:r>
        <w:rPr>
          <w:rFonts w:asciiTheme="minorHAnsi" w:hAnsiTheme="minorHAnsi"/>
          <w:color w:val="000000"/>
        </w:rPr>
        <w:t>constitutes the next stage in the consultation process</w:t>
      </w:r>
      <w:r w:rsidRPr="00502F67">
        <w:rPr>
          <w:rFonts w:asciiTheme="minorHAnsi" w:hAnsiTheme="minorHAnsi"/>
          <w:color w:val="000000"/>
        </w:rPr>
        <w:t xml:space="preserve">. </w:t>
      </w:r>
      <w:r w:rsidRPr="00FC1ECE">
        <w:rPr>
          <w:rFonts w:asciiTheme="minorHAnsi" w:hAnsiTheme="minorHAnsi"/>
          <w:color w:val="000000"/>
        </w:rPr>
        <w:t xml:space="preserve">A primary function of the RIS process is to allow the public to comment on the proposed </w:t>
      </w:r>
      <w:r w:rsidR="00CC341E">
        <w:rPr>
          <w:rFonts w:asciiTheme="minorHAnsi" w:hAnsiTheme="minorHAnsi"/>
          <w:color w:val="000000"/>
        </w:rPr>
        <w:t>Regulations</w:t>
      </w:r>
      <w:r w:rsidRPr="00FC1ECE">
        <w:rPr>
          <w:rFonts w:asciiTheme="minorHAnsi" w:hAnsiTheme="minorHAnsi"/>
          <w:color w:val="000000"/>
        </w:rPr>
        <w:t xml:space="preserve"> before they are finalised. Public input provides valuable information and perspectives and improves the overall quality of </w:t>
      </w:r>
      <w:r w:rsidR="00CC341E">
        <w:rPr>
          <w:rFonts w:asciiTheme="minorHAnsi" w:hAnsiTheme="minorHAnsi"/>
          <w:color w:val="000000"/>
        </w:rPr>
        <w:t>Regulations</w:t>
      </w:r>
      <w:r w:rsidRPr="00FC1ECE">
        <w:rPr>
          <w:rFonts w:asciiTheme="minorHAnsi" w:hAnsiTheme="minorHAnsi"/>
          <w:color w:val="000000"/>
        </w:rPr>
        <w:t>.</w:t>
      </w:r>
      <w:r w:rsidR="005C5F03" w:rsidRPr="005C5F03">
        <w:rPr>
          <w:rFonts w:asciiTheme="minorHAnsi" w:hAnsiTheme="minorHAnsi"/>
          <w:color w:val="000000"/>
        </w:rPr>
        <w:t xml:space="preserve"> </w:t>
      </w:r>
      <w:r w:rsidR="005C5F03" w:rsidRPr="009F0974">
        <w:rPr>
          <w:rFonts w:asciiTheme="minorHAnsi" w:hAnsiTheme="minorHAnsi"/>
          <w:color w:val="000000"/>
        </w:rPr>
        <w:t xml:space="preserve">The SRO will use its website, subscriber </w:t>
      </w:r>
      <w:r w:rsidR="005C5F03">
        <w:rPr>
          <w:rFonts w:asciiTheme="minorHAnsi" w:hAnsiTheme="minorHAnsi"/>
          <w:color w:val="000000"/>
        </w:rPr>
        <w:t>mailing lists</w:t>
      </w:r>
      <w:r w:rsidR="005C5F03" w:rsidRPr="009F0974">
        <w:rPr>
          <w:rFonts w:asciiTheme="minorHAnsi" w:hAnsiTheme="minorHAnsi"/>
          <w:color w:val="000000"/>
        </w:rPr>
        <w:t xml:space="preserve"> and </w:t>
      </w:r>
      <w:r w:rsidR="005C5F03">
        <w:rPr>
          <w:rFonts w:asciiTheme="minorHAnsi" w:hAnsiTheme="minorHAnsi"/>
          <w:color w:val="000000"/>
        </w:rPr>
        <w:t>the above consultative forum</w:t>
      </w:r>
      <w:r w:rsidR="005C5F03" w:rsidRPr="009F0974">
        <w:rPr>
          <w:rFonts w:asciiTheme="minorHAnsi" w:hAnsiTheme="minorHAnsi"/>
          <w:color w:val="000000"/>
        </w:rPr>
        <w:t xml:space="preserve"> to </w:t>
      </w:r>
      <w:r w:rsidR="005C5F03">
        <w:rPr>
          <w:rFonts w:asciiTheme="minorHAnsi" w:hAnsiTheme="minorHAnsi"/>
          <w:color w:val="000000"/>
        </w:rPr>
        <w:t xml:space="preserve">notify relevant stakeholders </w:t>
      </w:r>
      <w:r w:rsidR="00364E41">
        <w:rPr>
          <w:rFonts w:asciiTheme="minorHAnsi" w:hAnsiTheme="minorHAnsi"/>
          <w:color w:val="000000"/>
        </w:rPr>
        <w:t xml:space="preserve">of the release of </w:t>
      </w:r>
      <w:r w:rsidR="005C5F03">
        <w:rPr>
          <w:rFonts w:asciiTheme="minorHAnsi" w:hAnsiTheme="minorHAnsi"/>
          <w:color w:val="000000"/>
        </w:rPr>
        <w:t xml:space="preserve">this </w:t>
      </w:r>
      <w:r w:rsidR="005C5F03" w:rsidRPr="00502F67">
        <w:rPr>
          <w:rFonts w:asciiTheme="minorHAnsi" w:hAnsiTheme="minorHAnsi"/>
          <w:color w:val="000000"/>
        </w:rPr>
        <w:t>RIS and the draft</w:t>
      </w:r>
      <w:r w:rsidR="005C5F03">
        <w:rPr>
          <w:rFonts w:asciiTheme="minorHAnsi" w:hAnsiTheme="minorHAnsi"/>
          <w:color w:val="000000"/>
        </w:rPr>
        <w:t xml:space="preserve"> Regulations</w:t>
      </w:r>
      <w:r w:rsidR="00364E41">
        <w:rPr>
          <w:rFonts w:asciiTheme="minorHAnsi" w:hAnsiTheme="minorHAnsi"/>
          <w:color w:val="000000"/>
        </w:rPr>
        <w:t xml:space="preserve">. </w:t>
      </w:r>
    </w:p>
    <w:p w:rsidR="00FC1ECE" w:rsidRDefault="00502F67" w:rsidP="001D160F">
      <w:pPr>
        <w:pStyle w:val="Text"/>
        <w:spacing w:after="240" w:line="276" w:lineRule="auto"/>
        <w:rPr>
          <w:rFonts w:asciiTheme="minorHAnsi" w:hAnsiTheme="minorHAnsi"/>
          <w:color w:val="000000"/>
        </w:rPr>
      </w:pPr>
      <w:r w:rsidRPr="00502F67">
        <w:rPr>
          <w:rFonts w:asciiTheme="minorHAnsi" w:hAnsiTheme="minorHAnsi"/>
          <w:color w:val="000000"/>
        </w:rPr>
        <w:t>Public comment in response to the RIS and the draft</w:t>
      </w:r>
      <w:r>
        <w:rPr>
          <w:rFonts w:asciiTheme="minorHAnsi" w:hAnsiTheme="minorHAnsi"/>
          <w:color w:val="000000"/>
        </w:rPr>
        <w:t xml:space="preserve"> </w:t>
      </w:r>
      <w:r w:rsidR="00CC341E">
        <w:rPr>
          <w:rFonts w:asciiTheme="minorHAnsi" w:hAnsiTheme="minorHAnsi"/>
          <w:color w:val="000000"/>
        </w:rPr>
        <w:t>Regulations</w:t>
      </w:r>
      <w:r w:rsidRPr="00502F67">
        <w:rPr>
          <w:rFonts w:asciiTheme="minorHAnsi" w:hAnsiTheme="minorHAnsi"/>
          <w:color w:val="000000"/>
        </w:rPr>
        <w:t xml:space="preserve"> </w:t>
      </w:r>
      <w:r w:rsidR="00FC1ECE" w:rsidRPr="00FC1ECE">
        <w:rPr>
          <w:rFonts w:asciiTheme="minorHAnsi" w:hAnsiTheme="minorHAnsi"/>
          <w:color w:val="000000"/>
        </w:rPr>
        <w:t>is welcome and encouraged.</w:t>
      </w:r>
      <w:r w:rsidR="00FC1ECE">
        <w:rPr>
          <w:rFonts w:asciiTheme="minorHAnsi" w:hAnsiTheme="minorHAnsi"/>
          <w:color w:val="000000"/>
        </w:rPr>
        <w:t xml:space="preserve"> </w:t>
      </w:r>
      <w:r w:rsidR="00FC1ECE" w:rsidRPr="00FC1ECE">
        <w:rPr>
          <w:rFonts w:asciiTheme="minorHAnsi" w:hAnsiTheme="minorHAnsi"/>
          <w:color w:val="000000"/>
        </w:rPr>
        <w:t xml:space="preserve">The consultation period for this RIS will be 28 days, </w:t>
      </w:r>
      <w:r w:rsidR="00FC1ECE" w:rsidRPr="00502F67">
        <w:rPr>
          <w:rFonts w:asciiTheme="minorHAnsi" w:hAnsiTheme="minorHAnsi"/>
          <w:color w:val="000000"/>
        </w:rPr>
        <w:t>as required by the</w:t>
      </w:r>
      <w:r w:rsidR="00FC1ECE">
        <w:rPr>
          <w:rFonts w:asciiTheme="minorHAnsi" w:hAnsiTheme="minorHAnsi"/>
          <w:color w:val="000000"/>
        </w:rPr>
        <w:t xml:space="preserve"> </w:t>
      </w:r>
      <w:r w:rsidR="00FC1ECE" w:rsidRPr="00A56CDA">
        <w:rPr>
          <w:rFonts w:asciiTheme="minorHAnsi" w:hAnsiTheme="minorHAnsi"/>
          <w:i/>
          <w:color w:val="000000"/>
        </w:rPr>
        <w:t>Subordinate Legislation Act 1994</w:t>
      </w:r>
      <w:r w:rsidR="00FC1ECE">
        <w:rPr>
          <w:rFonts w:asciiTheme="minorHAnsi" w:hAnsiTheme="minorHAnsi"/>
          <w:color w:val="000000"/>
        </w:rPr>
        <w:t xml:space="preserve">, </w:t>
      </w:r>
      <w:r w:rsidR="00FC1ECE" w:rsidRPr="00FC1ECE">
        <w:rPr>
          <w:rFonts w:asciiTheme="minorHAnsi" w:hAnsiTheme="minorHAnsi"/>
          <w:color w:val="000000"/>
        </w:rPr>
        <w:t>with written comments requi</w:t>
      </w:r>
      <w:r w:rsidR="00225B9C">
        <w:rPr>
          <w:rFonts w:asciiTheme="minorHAnsi" w:hAnsiTheme="minorHAnsi"/>
          <w:color w:val="000000"/>
        </w:rPr>
        <w:t xml:space="preserve">red by no later than 5.00pm, </w:t>
      </w:r>
      <w:r w:rsidR="008A16C8">
        <w:rPr>
          <w:rFonts w:asciiTheme="minorHAnsi" w:hAnsiTheme="minorHAnsi"/>
          <w:color w:val="000000"/>
        </w:rPr>
        <w:t>Friday 27</w:t>
      </w:r>
      <w:r w:rsidR="008F2A5A">
        <w:rPr>
          <w:rFonts w:asciiTheme="minorHAnsi" w:hAnsiTheme="minorHAnsi"/>
          <w:color w:val="000000"/>
        </w:rPr>
        <w:t xml:space="preserve"> November 2015</w:t>
      </w:r>
      <w:r w:rsidR="00FC1ECE" w:rsidRPr="00FC1ECE">
        <w:rPr>
          <w:rFonts w:asciiTheme="minorHAnsi" w:hAnsiTheme="minorHAnsi"/>
          <w:color w:val="000000"/>
        </w:rPr>
        <w:t xml:space="preserve">. </w:t>
      </w:r>
    </w:p>
    <w:p w:rsidR="009F0974" w:rsidRPr="00AE6402" w:rsidRDefault="00FC1ECE" w:rsidP="001D160F">
      <w:pPr>
        <w:pStyle w:val="Text"/>
        <w:spacing w:after="240" w:line="276" w:lineRule="auto"/>
        <w:rPr>
          <w:rFonts w:asciiTheme="minorHAnsi" w:hAnsiTheme="minorHAnsi"/>
          <w:color w:val="000000"/>
        </w:rPr>
      </w:pPr>
      <w:r w:rsidRPr="00502F67">
        <w:rPr>
          <w:rFonts w:asciiTheme="minorHAnsi" w:hAnsiTheme="minorHAnsi"/>
          <w:color w:val="000000"/>
        </w:rPr>
        <w:t xml:space="preserve">While the </w:t>
      </w:r>
      <w:r w:rsidRPr="00CC341E">
        <w:rPr>
          <w:rFonts w:asciiTheme="minorHAnsi" w:hAnsiTheme="minorHAnsi"/>
          <w:i/>
          <w:color w:val="000000"/>
        </w:rPr>
        <w:t xml:space="preserve">Victorian Guide to Regulation </w:t>
      </w:r>
      <w:r w:rsidRPr="00502F67">
        <w:rPr>
          <w:rFonts w:asciiTheme="minorHAnsi" w:hAnsiTheme="minorHAnsi"/>
          <w:color w:val="000000"/>
        </w:rPr>
        <w:t>indicates that a 60‐day</w:t>
      </w:r>
      <w:r>
        <w:rPr>
          <w:rFonts w:asciiTheme="minorHAnsi" w:hAnsiTheme="minorHAnsi"/>
          <w:color w:val="000000"/>
        </w:rPr>
        <w:t xml:space="preserve"> </w:t>
      </w:r>
      <w:r w:rsidRPr="00502F67">
        <w:rPr>
          <w:rFonts w:asciiTheme="minorHAnsi" w:hAnsiTheme="minorHAnsi"/>
          <w:color w:val="000000"/>
        </w:rPr>
        <w:t xml:space="preserve">consultation period is preferred and should be adopted where applicable, this </w:t>
      </w:r>
      <w:r w:rsidR="001D4F6B" w:rsidRPr="00FC1ECE">
        <w:rPr>
          <w:rFonts w:asciiTheme="minorHAnsi" w:hAnsiTheme="minorHAnsi"/>
          <w:color w:val="000000"/>
        </w:rPr>
        <w:t>is not</w:t>
      </w:r>
      <w:r w:rsidR="001D4F6B">
        <w:rPr>
          <w:rFonts w:asciiTheme="minorHAnsi" w:hAnsiTheme="minorHAnsi"/>
          <w:color w:val="000000"/>
        </w:rPr>
        <w:t xml:space="preserve"> </w:t>
      </w:r>
      <w:r w:rsidR="001D4F6B" w:rsidRPr="00FC1ECE">
        <w:rPr>
          <w:rFonts w:asciiTheme="minorHAnsi" w:hAnsiTheme="minorHAnsi"/>
          <w:color w:val="000000"/>
        </w:rPr>
        <w:t>considered necessary or appropriate in the current situation, given the extremely limited</w:t>
      </w:r>
      <w:r w:rsidR="001D4F6B">
        <w:rPr>
          <w:rFonts w:asciiTheme="minorHAnsi" w:hAnsiTheme="minorHAnsi"/>
          <w:color w:val="000000"/>
        </w:rPr>
        <w:t xml:space="preserve"> </w:t>
      </w:r>
      <w:r w:rsidR="001D4F6B" w:rsidRPr="00FC1ECE">
        <w:rPr>
          <w:rFonts w:asciiTheme="minorHAnsi" w:hAnsiTheme="minorHAnsi"/>
          <w:color w:val="000000"/>
        </w:rPr>
        <w:t xml:space="preserve">scope of the proposed </w:t>
      </w:r>
      <w:r w:rsidR="00CC341E">
        <w:rPr>
          <w:rFonts w:asciiTheme="minorHAnsi" w:hAnsiTheme="minorHAnsi"/>
          <w:color w:val="000000"/>
        </w:rPr>
        <w:t>Regulations</w:t>
      </w:r>
      <w:r w:rsidR="001D4F6B" w:rsidRPr="00FC1ECE">
        <w:rPr>
          <w:rFonts w:asciiTheme="minorHAnsi" w:hAnsiTheme="minorHAnsi"/>
          <w:color w:val="000000"/>
        </w:rPr>
        <w:t xml:space="preserve"> and, hence, the limited exten</w:t>
      </w:r>
      <w:r w:rsidR="001D4F6B">
        <w:rPr>
          <w:rFonts w:asciiTheme="minorHAnsi" w:hAnsiTheme="minorHAnsi"/>
          <w:color w:val="000000"/>
        </w:rPr>
        <w:t>t</w:t>
      </w:r>
      <w:r w:rsidR="001D4F6B" w:rsidRPr="00FC1ECE">
        <w:rPr>
          <w:rFonts w:asciiTheme="minorHAnsi" w:hAnsiTheme="minorHAnsi"/>
          <w:color w:val="000000"/>
        </w:rPr>
        <w:t xml:space="preserve"> of the issues arising</w:t>
      </w:r>
      <w:r w:rsidR="001D4F6B">
        <w:rPr>
          <w:rFonts w:asciiTheme="minorHAnsi" w:hAnsiTheme="minorHAnsi"/>
          <w:color w:val="000000"/>
        </w:rPr>
        <w:t xml:space="preserve"> </w:t>
      </w:r>
      <w:r w:rsidR="001D4F6B" w:rsidRPr="00FC1ECE">
        <w:rPr>
          <w:rFonts w:asciiTheme="minorHAnsi" w:hAnsiTheme="minorHAnsi"/>
          <w:color w:val="000000"/>
        </w:rPr>
        <w:t>from them.</w:t>
      </w:r>
      <w:r w:rsidR="001D4F6B">
        <w:rPr>
          <w:rFonts w:asciiTheme="minorHAnsi" w:hAnsiTheme="minorHAnsi"/>
          <w:color w:val="000000"/>
        </w:rPr>
        <w:t xml:space="preserve"> </w:t>
      </w:r>
    </w:p>
    <w:p w:rsidR="00EB765D" w:rsidRPr="00AE3E01" w:rsidRDefault="00EB765D" w:rsidP="00AE3E01">
      <w:pPr>
        <w:pStyle w:val="Text"/>
        <w:spacing w:after="240" w:line="276" w:lineRule="auto"/>
        <w:rPr>
          <w:rFonts w:asciiTheme="minorHAnsi" w:hAnsiTheme="minorHAnsi"/>
          <w:color w:val="000000"/>
        </w:rPr>
      </w:pPr>
    </w:p>
    <w:p w:rsidR="001C4F01" w:rsidRPr="00AE3E01" w:rsidRDefault="001C4F01" w:rsidP="00AE3E01">
      <w:pPr>
        <w:pStyle w:val="Text"/>
        <w:spacing w:after="240" w:line="276" w:lineRule="auto"/>
        <w:rPr>
          <w:rFonts w:asciiTheme="minorHAnsi" w:hAnsiTheme="minorHAnsi"/>
          <w:color w:val="000000"/>
        </w:rPr>
      </w:pPr>
      <w:r w:rsidRPr="00AE3E01">
        <w:rPr>
          <w:rFonts w:asciiTheme="minorHAnsi" w:hAnsiTheme="minorHAnsi"/>
          <w:color w:val="000000"/>
        </w:rPr>
        <w:br w:type="page"/>
      </w:r>
    </w:p>
    <w:p w:rsidR="001C4F01" w:rsidRPr="00AE6402" w:rsidRDefault="001C4F01" w:rsidP="001C4F01">
      <w:pPr>
        <w:pStyle w:val="Heading1"/>
        <w:spacing w:after="240" w:line="276" w:lineRule="auto"/>
        <w:jc w:val="left"/>
        <w:rPr>
          <w:rFonts w:asciiTheme="minorHAnsi" w:hAnsiTheme="minorHAnsi"/>
          <w:sz w:val="32"/>
        </w:rPr>
      </w:pPr>
      <w:bookmarkStart w:id="22" w:name="_Toc432510193"/>
      <w:r>
        <w:rPr>
          <w:rFonts w:asciiTheme="minorHAnsi" w:hAnsiTheme="minorHAnsi"/>
          <w:sz w:val="32"/>
        </w:rPr>
        <w:lastRenderedPageBreak/>
        <w:t>11</w:t>
      </w:r>
      <w:r w:rsidRPr="00AE6402">
        <w:rPr>
          <w:rFonts w:asciiTheme="minorHAnsi" w:hAnsiTheme="minorHAnsi"/>
          <w:sz w:val="32"/>
        </w:rPr>
        <w:t xml:space="preserve">. </w:t>
      </w:r>
      <w:r w:rsidRPr="00AE6402">
        <w:rPr>
          <w:rFonts w:asciiTheme="minorHAnsi" w:hAnsiTheme="minorHAnsi"/>
          <w:sz w:val="32"/>
        </w:rPr>
        <w:tab/>
      </w:r>
      <w:r>
        <w:rPr>
          <w:rFonts w:asciiTheme="minorHAnsi" w:hAnsiTheme="minorHAnsi"/>
          <w:sz w:val="32"/>
        </w:rPr>
        <w:t>Evaluation strategy</w:t>
      </w:r>
      <w:bookmarkEnd w:id="22"/>
    </w:p>
    <w:p w:rsidR="00125172" w:rsidRDefault="001C4F01" w:rsidP="00125172">
      <w:pPr>
        <w:pStyle w:val="Text"/>
        <w:spacing w:after="240" w:line="276" w:lineRule="auto"/>
        <w:rPr>
          <w:rFonts w:asciiTheme="minorHAnsi" w:hAnsiTheme="minorHAnsi"/>
          <w:color w:val="000000"/>
        </w:rPr>
      </w:pPr>
      <w:r w:rsidRPr="009F0974">
        <w:rPr>
          <w:rFonts w:asciiTheme="minorHAnsi" w:hAnsiTheme="minorHAnsi"/>
          <w:color w:val="000000"/>
        </w:rPr>
        <w:t xml:space="preserve">The </w:t>
      </w:r>
      <w:r>
        <w:rPr>
          <w:rFonts w:asciiTheme="minorHAnsi" w:hAnsiTheme="minorHAnsi"/>
          <w:color w:val="000000"/>
        </w:rPr>
        <w:t>SRO</w:t>
      </w:r>
      <w:r w:rsidRPr="009F0974">
        <w:rPr>
          <w:rFonts w:asciiTheme="minorHAnsi" w:hAnsiTheme="minorHAnsi"/>
          <w:color w:val="000000"/>
        </w:rPr>
        <w:t xml:space="preserve"> will </w:t>
      </w:r>
      <w:r>
        <w:rPr>
          <w:rFonts w:asciiTheme="minorHAnsi" w:hAnsiTheme="minorHAnsi"/>
          <w:color w:val="000000"/>
        </w:rPr>
        <w:t xml:space="preserve">continue to </w:t>
      </w:r>
      <w:r w:rsidRPr="009F0974">
        <w:rPr>
          <w:rFonts w:asciiTheme="minorHAnsi" w:hAnsiTheme="minorHAnsi"/>
          <w:color w:val="000000"/>
        </w:rPr>
        <w:t xml:space="preserve">monitor </w:t>
      </w:r>
      <w:r>
        <w:rPr>
          <w:rFonts w:asciiTheme="minorHAnsi" w:hAnsiTheme="minorHAnsi"/>
          <w:color w:val="000000"/>
        </w:rPr>
        <w:t xml:space="preserve">the </w:t>
      </w:r>
      <w:r w:rsidR="00F62242">
        <w:rPr>
          <w:rFonts w:asciiTheme="minorHAnsi" w:hAnsiTheme="minorHAnsi"/>
          <w:color w:val="000000"/>
        </w:rPr>
        <w:t xml:space="preserve">internal </w:t>
      </w:r>
      <w:r>
        <w:rPr>
          <w:rFonts w:asciiTheme="minorHAnsi" w:hAnsiTheme="minorHAnsi"/>
          <w:color w:val="000000"/>
        </w:rPr>
        <w:t>clearance certificate process</w:t>
      </w:r>
      <w:r w:rsidRPr="009F0974">
        <w:rPr>
          <w:rFonts w:asciiTheme="minorHAnsi" w:hAnsiTheme="minorHAnsi"/>
          <w:color w:val="000000"/>
        </w:rPr>
        <w:t xml:space="preserve">, </w:t>
      </w:r>
      <w:r>
        <w:rPr>
          <w:rFonts w:asciiTheme="minorHAnsi" w:hAnsiTheme="minorHAnsi"/>
          <w:color w:val="000000"/>
        </w:rPr>
        <w:t>including</w:t>
      </w:r>
      <w:r w:rsidR="00F62242">
        <w:rPr>
          <w:rFonts w:asciiTheme="minorHAnsi" w:hAnsiTheme="minorHAnsi"/>
          <w:color w:val="000000"/>
        </w:rPr>
        <w:t xml:space="preserve"> the </w:t>
      </w:r>
      <w:r w:rsidR="00F62242" w:rsidRPr="00F62242">
        <w:rPr>
          <w:rFonts w:asciiTheme="minorHAnsi" w:hAnsiTheme="minorHAnsi"/>
          <w:color w:val="000000"/>
        </w:rPr>
        <w:t xml:space="preserve">number of applications </w:t>
      </w:r>
      <w:r w:rsidR="00125172">
        <w:rPr>
          <w:rFonts w:asciiTheme="minorHAnsi" w:hAnsiTheme="minorHAnsi"/>
          <w:color w:val="000000"/>
        </w:rPr>
        <w:t xml:space="preserve">received </w:t>
      </w:r>
      <w:r w:rsidR="00F62242" w:rsidRPr="00F62242">
        <w:rPr>
          <w:rFonts w:asciiTheme="minorHAnsi" w:hAnsiTheme="minorHAnsi"/>
          <w:color w:val="000000"/>
        </w:rPr>
        <w:t>(in total and by type)</w:t>
      </w:r>
      <w:r w:rsidR="00F62242" w:rsidRPr="009F0974">
        <w:rPr>
          <w:rFonts w:asciiTheme="minorHAnsi" w:hAnsiTheme="minorHAnsi"/>
          <w:color w:val="000000"/>
        </w:rPr>
        <w:t xml:space="preserve">, </w:t>
      </w:r>
      <w:r w:rsidR="00F62242">
        <w:rPr>
          <w:rFonts w:asciiTheme="minorHAnsi" w:hAnsiTheme="minorHAnsi"/>
          <w:color w:val="000000"/>
        </w:rPr>
        <w:t xml:space="preserve">the </w:t>
      </w:r>
      <w:r w:rsidR="00F62242" w:rsidRPr="00F62242">
        <w:rPr>
          <w:rFonts w:asciiTheme="minorHAnsi" w:hAnsiTheme="minorHAnsi"/>
          <w:color w:val="000000"/>
        </w:rPr>
        <w:t xml:space="preserve">number of non-automated online applications </w:t>
      </w:r>
      <w:r w:rsidR="00F62242">
        <w:rPr>
          <w:rFonts w:asciiTheme="minorHAnsi" w:hAnsiTheme="minorHAnsi"/>
          <w:color w:val="000000"/>
        </w:rPr>
        <w:t>received</w:t>
      </w:r>
      <w:r w:rsidR="0020771B">
        <w:rPr>
          <w:rFonts w:asciiTheme="minorHAnsi" w:hAnsiTheme="minorHAnsi"/>
          <w:color w:val="000000"/>
        </w:rPr>
        <w:t>,</w:t>
      </w:r>
      <w:r w:rsidR="00F62242">
        <w:rPr>
          <w:rFonts w:asciiTheme="minorHAnsi" w:hAnsiTheme="minorHAnsi"/>
          <w:color w:val="000000"/>
        </w:rPr>
        <w:t xml:space="preserve"> the </w:t>
      </w:r>
      <w:r w:rsidR="00F62242" w:rsidRPr="00F62242">
        <w:rPr>
          <w:rFonts w:asciiTheme="minorHAnsi" w:hAnsiTheme="minorHAnsi"/>
          <w:color w:val="000000"/>
        </w:rPr>
        <w:t>reason</w:t>
      </w:r>
      <w:r w:rsidR="0020771B">
        <w:rPr>
          <w:rFonts w:asciiTheme="minorHAnsi" w:hAnsiTheme="minorHAnsi"/>
          <w:color w:val="000000"/>
        </w:rPr>
        <w:t>s</w:t>
      </w:r>
      <w:r w:rsidR="00F62242" w:rsidRPr="00F62242">
        <w:rPr>
          <w:rFonts w:asciiTheme="minorHAnsi" w:hAnsiTheme="minorHAnsi"/>
          <w:color w:val="000000"/>
        </w:rPr>
        <w:t xml:space="preserve"> for </w:t>
      </w:r>
      <w:r w:rsidR="0020771B">
        <w:rPr>
          <w:rFonts w:asciiTheme="minorHAnsi" w:hAnsiTheme="minorHAnsi"/>
          <w:color w:val="000000"/>
        </w:rPr>
        <w:t>manual</w:t>
      </w:r>
      <w:r w:rsidR="00F62242">
        <w:rPr>
          <w:rFonts w:asciiTheme="minorHAnsi" w:hAnsiTheme="minorHAnsi"/>
          <w:color w:val="000000"/>
        </w:rPr>
        <w:t xml:space="preserve"> intervention and the IT and labour costs arising from the service</w:t>
      </w:r>
      <w:r w:rsidRPr="009F0974">
        <w:rPr>
          <w:rFonts w:asciiTheme="minorHAnsi" w:hAnsiTheme="minorHAnsi"/>
          <w:color w:val="000000"/>
        </w:rPr>
        <w:t xml:space="preserve">. </w:t>
      </w:r>
      <w:r w:rsidR="00125172">
        <w:rPr>
          <w:rFonts w:asciiTheme="minorHAnsi" w:hAnsiTheme="minorHAnsi"/>
          <w:color w:val="000000"/>
        </w:rPr>
        <w:t>It is anticipated that the SRO will review the clearance certificate process</w:t>
      </w:r>
      <w:r w:rsidR="00125172" w:rsidRPr="004E21AB">
        <w:rPr>
          <w:rFonts w:asciiTheme="minorHAnsi" w:hAnsiTheme="minorHAnsi"/>
          <w:color w:val="000000"/>
        </w:rPr>
        <w:t xml:space="preserve"> within </w:t>
      </w:r>
      <w:r w:rsidR="00125172">
        <w:rPr>
          <w:rFonts w:asciiTheme="minorHAnsi" w:hAnsiTheme="minorHAnsi"/>
          <w:color w:val="000000"/>
        </w:rPr>
        <w:t>two years</w:t>
      </w:r>
      <w:r w:rsidR="00125172" w:rsidRPr="004E21AB">
        <w:rPr>
          <w:rFonts w:asciiTheme="minorHAnsi" w:hAnsiTheme="minorHAnsi"/>
          <w:color w:val="000000"/>
        </w:rPr>
        <w:t xml:space="preserve"> of the commencement of the </w:t>
      </w:r>
      <w:r w:rsidR="00125172">
        <w:rPr>
          <w:rFonts w:asciiTheme="minorHAnsi" w:hAnsiTheme="minorHAnsi"/>
          <w:color w:val="000000"/>
        </w:rPr>
        <w:t>proposed R</w:t>
      </w:r>
      <w:r w:rsidR="00125172" w:rsidRPr="004E21AB">
        <w:rPr>
          <w:rFonts w:asciiTheme="minorHAnsi" w:hAnsiTheme="minorHAnsi"/>
          <w:color w:val="000000"/>
        </w:rPr>
        <w:t>egulations</w:t>
      </w:r>
      <w:r w:rsidR="00125172">
        <w:rPr>
          <w:rFonts w:asciiTheme="minorHAnsi" w:hAnsiTheme="minorHAnsi"/>
          <w:color w:val="000000"/>
        </w:rPr>
        <w:t xml:space="preserve"> </w:t>
      </w:r>
      <w:r w:rsidR="00125172" w:rsidRPr="009F0974">
        <w:rPr>
          <w:rFonts w:asciiTheme="minorHAnsi" w:hAnsiTheme="minorHAnsi"/>
          <w:color w:val="000000"/>
        </w:rPr>
        <w:t>to assess any impact arising from</w:t>
      </w:r>
      <w:r w:rsidR="00125172">
        <w:rPr>
          <w:rFonts w:asciiTheme="minorHAnsi" w:hAnsiTheme="minorHAnsi"/>
          <w:color w:val="000000"/>
        </w:rPr>
        <w:t xml:space="preserve"> the</w:t>
      </w:r>
      <w:r w:rsidR="00125172" w:rsidRPr="009F0974">
        <w:rPr>
          <w:rFonts w:asciiTheme="minorHAnsi" w:hAnsiTheme="minorHAnsi"/>
          <w:color w:val="000000"/>
        </w:rPr>
        <w:t xml:space="preserve"> implementation</w:t>
      </w:r>
      <w:r w:rsidR="00125172">
        <w:rPr>
          <w:rFonts w:asciiTheme="minorHAnsi" w:hAnsiTheme="minorHAnsi"/>
          <w:color w:val="000000"/>
        </w:rPr>
        <w:t xml:space="preserve"> of these changes</w:t>
      </w:r>
      <w:r w:rsidR="00125172" w:rsidRPr="004E21AB">
        <w:rPr>
          <w:rFonts w:asciiTheme="minorHAnsi" w:hAnsiTheme="minorHAnsi"/>
          <w:color w:val="000000"/>
        </w:rPr>
        <w:t>.</w:t>
      </w:r>
    </w:p>
    <w:p w:rsidR="004E21AB" w:rsidRPr="004E21AB" w:rsidRDefault="004E21AB" w:rsidP="00F62242">
      <w:pPr>
        <w:pStyle w:val="Text"/>
        <w:spacing w:after="240" w:line="276" w:lineRule="auto"/>
        <w:rPr>
          <w:rFonts w:asciiTheme="minorHAnsi" w:hAnsiTheme="minorHAnsi"/>
          <w:color w:val="000000"/>
        </w:rPr>
      </w:pPr>
      <w:r w:rsidRPr="004E21AB">
        <w:rPr>
          <w:rFonts w:asciiTheme="minorHAnsi" w:hAnsiTheme="minorHAnsi"/>
          <w:color w:val="000000"/>
        </w:rPr>
        <w:t xml:space="preserve">The </w:t>
      </w:r>
      <w:r>
        <w:rPr>
          <w:rFonts w:asciiTheme="minorHAnsi" w:hAnsiTheme="minorHAnsi"/>
          <w:color w:val="000000"/>
        </w:rPr>
        <w:t xml:space="preserve">SRO </w:t>
      </w:r>
      <w:r w:rsidRPr="004E21AB">
        <w:rPr>
          <w:rFonts w:asciiTheme="minorHAnsi" w:hAnsiTheme="minorHAnsi"/>
          <w:color w:val="000000"/>
        </w:rPr>
        <w:t xml:space="preserve">will </w:t>
      </w:r>
      <w:r w:rsidR="00125172">
        <w:rPr>
          <w:rFonts w:asciiTheme="minorHAnsi" w:hAnsiTheme="minorHAnsi"/>
          <w:color w:val="000000"/>
        </w:rPr>
        <w:t xml:space="preserve">also </w:t>
      </w:r>
      <w:r w:rsidRPr="004E21AB">
        <w:rPr>
          <w:rFonts w:asciiTheme="minorHAnsi" w:hAnsiTheme="minorHAnsi"/>
          <w:color w:val="000000"/>
        </w:rPr>
        <w:t xml:space="preserve">closely monitor the impact of the </w:t>
      </w:r>
      <w:r>
        <w:rPr>
          <w:rFonts w:asciiTheme="minorHAnsi" w:hAnsiTheme="minorHAnsi"/>
          <w:color w:val="000000"/>
        </w:rPr>
        <w:t>proposed R</w:t>
      </w:r>
      <w:r w:rsidRPr="004E21AB">
        <w:rPr>
          <w:rFonts w:asciiTheme="minorHAnsi" w:hAnsiTheme="minorHAnsi"/>
          <w:color w:val="000000"/>
        </w:rPr>
        <w:t xml:space="preserve">egulations on the </w:t>
      </w:r>
      <w:r>
        <w:rPr>
          <w:rFonts w:asciiTheme="minorHAnsi" w:hAnsiTheme="minorHAnsi"/>
          <w:color w:val="000000"/>
        </w:rPr>
        <w:t>conveyancing industry</w:t>
      </w:r>
      <w:r w:rsidRPr="004E21AB">
        <w:rPr>
          <w:rFonts w:asciiTheme="minorHAnsi" w:hAnsiTheme="minorHAnsi"/>
          <w:color w:val="000000"/>
        </w:rPr>
        <w:t xml:space="preserve"> and the wider community. Specifically, the </w:t>
      </w:r>
      <w:r>
        <w:rPr>
          <w:rFonts w:asciiTheme="minorHAnsi" w:hAnsiTheme="minorHAnsi"/>
          <w:color w:val="000000"/>
        </w:rPr>
        <w:t>SRO</w:t>
      </w:r>
      <w:r w:rsidRPr="004E21AB">
        <w:rPr>
          <w:rFonts w:asciiTheme="minorHAnsi" w:hAnsiTheme="minorHAnsi"/>
          <w:color w:val="000000"/>
        </w:rPr>
        <w:t xml:space="preserve"> will</w:t>
      </w:r>
      <w:r>
        <w:rPr>
          <w:rFonts w:asciiTheme="minorHAnsi" w:hAnsiTheme="minorHAnsi"/>
          <w:color w:val="000000"/>
        </w:rPr>
        <w:t xml:space="preserve"> </w:t>
      </w:r>
      <w:r w:rsidRPr="004E21AB">
        <w:rPr>
          <w:rFonts w:asciiTheme="minorHAnsi" w:hAnsiTheme="minorHAnsi"/>
          <w:color w:val="000000"/>
        </w:rPr>
        <w:t xml:space="preserve">monitor and consult with affected </w:t>
      </w:r>
      <w:r>
        <w:rPr>
          <w:rFonts w:asciiTheme="minorHAnsi" w:hAnsiTheme="minorHAnsi"/>
          <w:color w:val="000000"/>
        </w:rPr>
        <w:t>stakeholders</w:t>
      </w:r>
      <w:r w:rsidRPr="004E21AB">
        <w:rPr>
          <w:rFonts w:asciiTheme="minorHAnsi" w:hAnsiTheme="minorHAnsi"/>
          <w:color w:val="000000"/>
        </w:rPr>
        <w:t xml:space="preserve"> (</w:t>
      </w:r>
      <w:r w:rsidR="00F62242" w:rsidRPr="004E21AB">
        <w:rPr>
          <w:rFonts w:asciiTheme="minorHAnsi" w:hAnsiTheme="minorHAnsi"/>
          <w:color w:val="000000"/>
        </w:rPr>
        <w:t>conveyancing peak bodies</w:t>
      </w:r>
      <w:r w:rsidR="00F62242">
        <w:rPr>
          <w:rFonts w:asciiTheme="minorHAnsi" w:hAnsiTheme="minorHAnsi"/>
          <w:color w:val="000000"/>
        </w:rPr>
        <w:t xml:space="preserve"> such as </w:t>
      </w:r>
      <w:r>
        <w:rPr>
          <w:rFonts w:asciiTheme="minorHAnsi" w:hAnsiTheme="minorHAnsi"/>
          <w:color w:val="000000"/>
        </w:rPr>
        <w:t>Australian Institute of Conveyancer</w:t>
      </w:r>
      <w:r w:rsidR="00F62242">
        <w:rPr>
          <w:rFonts w:asciiTheme="minorHAnsi" w:hAnsiTheme="minorHAnsi"/>
          <w:color w:val="000000"/>
        </w:rPr>
        <w:t>s and</w:t>
      </w:r>
      <w:r>
        <w:rPr>
          <w:rFonts w:asciiTheme="minorHAnsi" w:hAnsiTheme="minorHAnsi"/>
          <w:color w:val="000000"/>
        </w:rPr>
        <w:t xml:space="preserve"> </w:t>
      </w:r>
      <w:r w:rsidR="00F62242">
        <w:rPr>
          <w:rFonts w:asciiTheme="minorHAnsi" w:hAnsiTheme="minorHAnsi"/>
          <w:color w:val="000000"/>
        </w:rPr>
        <w:t xml:space="preserve">Property Council of Australia, as well as with taxpayers and their representatives) on </w:t>
      </w:r>
      <w:r w:rsidRPr="004E21AB">
        <w:rPr>
          <w:rFonts w:asciiTheme="minorHAnsi" w:hAnsiTheme="minorHAnsi"/>
          <w:color w:val="000000"/>
        </w:rPr>
        <w:t xml:space="preserve">the effect of the change to the fee for land </w:t>
      </w:r>
      <w:r w:rsidR="00F62242">
        <w:rPr>
          <w:rFonts w:asciiTheme="minorHAnsi" w:hAnsiTheme="minorHAnsi"/>
          <w:color w:val="000000"/>
        </w:rPr>
        <w:t xml:space="preserve">tax clearance </w:t>
      </w:r>
      <w:r w:rsidRPr="004E21AB">
        <w:rPr>
          <w:rFonts w:asciiTheme="minorHAnsi" w:hAnsiTheme="minorHAnsi"/>
          <w:color w:val="000000"/>
        </w:rPr>
        <w:t>certificates</w:t>
      </w:r>
      <w:r w:rsidR="00F62242">
        <w:rPr>
          <w:rFonts w:asciiTheme="minorHAnsi" w:hAnsiTheme="minorHAnsi"/>
          <w:color w:val="000000"/>
        </w:rPr>
        <w:t xml:space="preserve"> as well as </w:t>
      </w:r>
      <w:r w:rsidRPr="004E21AB">
        <w:rPr>
          <w:rFonts w:asciiTheme="minorHAnsi" w:hAnsiTheme="minorHAnsi"/>
          <w:color w:val="000000"/>
        </w:rPr>
        <w:t xml:space="preserve">the </w:t>
      </w:r>
      <w:r w:rsidR="00F62242">
        <w:rPr>
          <w:rFonts w:asciiTheme="minorHAnsi" w:hAnsiTheme="minorHAnsi"/>
          <w:color w:val="000000"/>
        </w:rPr>
        <w:t xml:space="preserve">changes to the notice of acquisition form. </w:t>
      </w:r>
    </w:p>
    <w:p w:rsidR="001C4F01" w:rsidRDefault="004E21AB" w:rsidP="004E21AB">
      <w:pPr>
        <w:pStyle w:val="Text"/>
        <w:spacing w:after="240" w:line="276" w:lineRule="auto"/>
        <w:rPr>
          <w:rFonts w:asciiTheme="minorHAnsi" w:hAnsiTheme="minorHAnsi"/>
          <w:color w:val="000000"/>
        </w:rPr>
      </w:pPr>
      <w:r w:rsidRPr="004E21AB">
        <w:rPr>
          <w:rFonts w:asciiTheme="minorHAnsi" w:hAnsiTheme="minorHAnsi"/>
          <w:color w:val="000000"/>
        </w:rPr>
        <w:t xml:space="preserve">This consultation will </w:t>
      </w:r>
      <w:r w:rsidR="0020771B">
        <w:rPr>
          <w:rFonts w:asciiTheme="minorHAnsi" w:hAnsiTheme="minorHAnsi"/>
          <w:color w:val="000000"/>
        </w:rPr>
        <w:t>commence</w:t>
      </w:r>
      <w:r w:rsidRPr="004E21AB">
        <w:rPr>
          <w:rFonts w:asciiTheme="minorHAnsi" w:hAnsiTheme="minorHAnsi"/>
          <w:color w:val="000000"/>
        </w:rPr>
        <w:t xml:space="preserve"> within 18 months of the commencement of the </w:t>
      </w:r>
      <w:r w:rsidR="0020771B">
        <w:rPr>
          <w:rFonts w:asciiTheme="minorHAnsi" w:hAnsiTheme="minorHAnsi"/>
          <w:color w:val="000000"/>
        </w:rPr>
        <w:t>proposed</w:t>
      </w:r>
      <w:r w:rsidRPr="004E21AB">
        <w:rPr>
          <w:rFonts w:asciiTheme="minorHAnsi" w:hAnsiTheme="minorHAnsi"/>
          <w:color w:val="000000"/>
        </w:rPr>
        <w:t xml:space="preserve"> regulations.</w:t>
      </w:r>
    </w:p>
    <w:p w:rsidR="004E21AB" w:rsidRPr="004E21AB" w:rsidRDefault="004E21AB" w:rsidP="004E21AB">
      <w:pPr>
        <w:pStyle w:val="Default"/>
      </w:pPr>
    </w:p>
    <w:p w:rsidR="00EB765D" w:rsidRPr="00AE3E01" w:rsidRDefault="00EB765D" w:rsidP="00AE3E01">
      <w:pPr>
        <w:pStyle w:val="Default"/>
      </w:pPr>
    </w:p>
    <w:p w:rsidR="00E83990" w:rsidRDefault="00E83990">
      <w:pPr>
        <w:spacing w:after="200" w:line="276" w:lineRule="auto"/>
        <w:rPr>
          <w:rFonts w:asciiTheme="minorHAnsi" w:hAnsiTheme="minorHAnsi"/>
          <w:b/>
          <w:bCs/>
          <w:sz w:val="32"/>
        </w:rPr>
      </w:pPr>
      <w:r>
        <w:rPr>
          <w:rFonts w:asciiTheme="minorHAnsi" w:hAnsiTheme="minorHAnsi"/>
          <w:sz w:val="32"/>
        </w:rPr>
        <w:br w:type="page"/>
      </w:r>
    </w:p>
    <w:p w:rsidR="009F0974" w:rsidRPr="00AE6402" w:rsidRDefault="00AC0F3E" w:rsidP="001D160F">
      <w:pPr>
        <w:pStyle w:val="Heading1"/>
        <w:spacing w:after="240" w:line="276" w:lineRule="auto"/>
        <w:jc w:val="left"/>
        <w:rPr>
          <w:rFonts w:asciiTheme="minorHAnsi" w:hAnsiTheme="minorHAnsi"/>
          <w:sz w:val="32"/>
        </w:rPr>
      </w:pPr>
      <w:bookmarkStart w:id="23" w:name="_Toc432510194"/>
      <w:r w:rsidRPr="00AE6402">
        <w:rPr>
          <w:rFonts w:asciiTheme="minorHAnsi" w:hAnsiTheme="minorHAnsi"/>
          <w:sz w:val="32"/>
        </w:rPr>
        <w:lastRenderedPageBreak/>
        <w:t>1</w:t>
      </w:r>
      <w:r w:rsidR="001C4F01">
        <w:rPr>
          <w:rFonts w:asciiTheme="minorHAnsi" w:hAnsiTheme="minorHAnsi"/>
          <w:sz w:val="32"/>
        </w:rPr>
        <w:t>2</w:t>
      </w:r>
      <w:r w:rsidRPr="00AE6402">
        <w:rPr>
          <w:rFonts w:asciiTheme="minorHAnsi" w:hAnsiTheme="minorHAnsi"/>
          <w:sz w:val="32"/>
        </w:rPr>
        <w:t xml:space="preserve">. </w:t>
      </w:r>
      <w:r w:rsidR="00CB3271" w:rsidRPr="00AE6402">
        <w:rPr>
          <w:rFonts w:asciiTheme="minorHAnsi" w:hAnsiTheme="minorHAnsi"/>
          <w:sz w:val="32"/>
        </w:rPr>
        <w:tab/>
      </w:r>
      <w:r w:rsidR="009F0974" w:rsidRPr="00AE6402">
        <w:rPr>
          <w:rFonts w:asciiTheme="minorHAnsi" w:hAnsiTheme="minorHAnsi"/>
          <w:sz w:val="32"/>
        </w:rPr>
        <w:t>Implementation and communication</w:t>
      </w:r>
      <w:bookmarkEnd w:id="23"/>
      <w:r w:rsidR="009F0974" w:rsidRPr="00AE6402">
        <w:rPr>
          <w:rFonts w:asciiTheme="minorHAnsi" w:hAnsiTheme="minorHAnsi"/>
          <w:sz w:val="32"/>
        </w:rPr>
        <w:t xml:space="preserve"> </w:t>
      </w:r>
    </w:p>
    <w:p w:rsidR="009F0974" w:rsidRPr="009F0974" w:rsidRDefault="009F0974" w:rsidP="001D160F">
      <w:pPr>
        <w:pStyle w:val="Text"/>
        <w:spacing w:after="240" w:line="276" w:lineRule="auto"/>
        <w:rPr>
          <w:rFonts w:asciiTheme="minorHAnsi" w:hAnsiTheme="minorHAnsi"/>
          <w:color w:val="000000"/>
        </w:rPr>
      </w:pPr>
      <w:r w:rsidRPr="009F0974">
        <w:rPr>
          <w:rFonts w:asciiTheme="minorHAnsi" w:hAnsiTheme="minorHAnsi"/>
          <w:color w:val="000000"/>
        </w:rPr>
        <w:t xml:space="preserve">If the </w:t>
      </w:r>
      <w:r w:rsidR="003831DC">
        <w:rPr>
          <w:rFonts w:asciiTheme="minorHAnsi" w:hAnsiTheme="minorHAnsi"/>
          <w:color w:val="000000"/>
        </w:rPr>
        <w:t xml:space="preserve">proposed application fee for a land tax clearance certificate </w:t>
      </w:r>
      <w:r w:rsidRPr="009F0974">
        <w:rPr>
          <w:rFonts w:asciiTheme="minorHAnsi" w:hAnsiTheme="minorHAnsi"/>
          <w:color w:val="000000"/>
        </w:rPr>
        <w:t xml:space="preserve">is implemented, </w:t>
      </w:r>
      <w:r w:rsidR="003831DC">
        <w:rPr>
          <w:rFonts w:asciiTheme="minorHAnsi" w:hAnsiTheme="minorHAnsi"/>
          <w:color w:val="000000"/>
        </w:rPr>
        <w:t>the new fee</w:t>
      </w:r>
      <w:r w:rsidRPr="009F0974">
        <w:rPr>
          <w:rFonts w:asciiTheme="minorHAnsi" w:hAnsiTheme="minorHAnsi"/>
          <w:color w:val="000000"/>
        </w:rPr>
        <w:t xml:space="preserve"> will take effect </w:t>
      </w:r>
      <w:r w:rsidR="00842217">
        <w:rPr>
          <w:rFonts w:asciiTheme="minorHAnsi" w:hAnsiTheme="minorHAnsi"/>
          <w:color w:val="000000"/>
        </w:rPr>
        <w:t xml:space="preserve">upon commencement of </w:t>
      </w:r>
      <w:r w:rsidR="00842217" w:rsidRPr="009F0974">
        <w:rPr>
          <w:rFonts w:asciiTheme="minorHAnsi" w:hAnsiTheme="minorHAnsi"/>
          <w:color w:val="000000"/>
        </w:rPr>
        <w:t xml:space="preserve">the </w:t>
      </w:r>
      <w:r w:rsidR="00842217">
        <w:rPr>
          <w:rFonts w:asciiTheme="minorHAnsi" w:hAnsiTheme="minorHAnsi"/>
          <w:color w:val="000000"/>
        </w:rPr>
        <w:t>Regulations</w:t>
      </w:r>
      <w:r w:rsidRPr="009F0974">
        <w:rPr>
          <w:rFonts w:asciiTheme="minorHAnsi" w:hAnsiTheme="minorHAnsi"/>
          <w:color w:val="000000"/>
        </w:rPr>
        <w:t xml:space="preserve">. It is anticipated that this </w:t>
      </w:r>
      <w:r w:rsidR="00842217">
        <w:rPr>
          <w:rFonts w:asciiTheme="minorHAnsi" w:hAnsiTheme="minorHAnsi"/>
          <w:color w:val="000000"/>
        </w:rPr>
        <w:t>will</w:t>
      </w:r>
      <w:r w:rsidR="00842217" w:rsidRPr="009F0974">
        <w:rPr>
          <w:rFonts w:asciiTheme="minorHAnsi" w:hAnsiTheme="minorHAnsi"/>
          <w:color w:val="000000"/>
        </w:rPr>
        <w:t xml:space="preserve"> </w:t>
      </w:r>
      <w:r w:rsidRPr="009F0974">
        <w:rPr>
          <w:rFonts w:asciiTheme="minorHAnsi" w:hAnsiTheme="minorHAnsi"/>
          <w:color w:val="000000"/>
        </w:rPr>
        <w:t xml:space="preserve">occur </w:t>
      </w:r>
      <w:r w:rsidR="00842217">
        <w:rPr>
          <w:rFonts w:asciiTheme="minorHAnsi" w:hAnsiTheme="minorHAnsi"/>
          <w:color w:val="000000"/>
        </w:rPr>
        <w:t>on 19</w:t>
      </w:r>
      <w:r w:rsidR="00842217" w:rsidRPr="009F0974">
        <w:rPr>
          <w:rFonts w:asciiTheme="minorHAnsi" w:hAnsiTheme="minorHAnsi"/>
          <w:color w:val="000000"/>
        </w:rPr>
        <w:t xml:space="preserve"> </w:t>
      </w:r>
      <w:r w:rsidR="003831DC">
        <w:rPr>
          <w:rFonts w:asciiTheme="minorHAnsi" w:hAnsiTheme="minorHAnsi"/>
          <w:color w:val="000000"/>
        </w:rPr>
        <w:t>December 2015</w:t>
      </w:r>
      <w:r w:rsidRPr="009F0974">
        <w:rPr>
          <w:rFonts w:asciiTheme="minorHAnsi" w:hAnsiTheme="minorHAnsi"/>
          <w:color w:val="000000"/>
        </w:rPr>
        <w:t xml:space="preserve">. </w:t>
      </w:r>
    </w:p>
    <w:p w:rsidR="009F0974" w:rsidRDefault="009F0974" w:rsidP="001D160F">
      <w:pPr>
        <w:pStyle w:val="Text"/>
        <w:spacing w:after="240" w:line="276" w:lineRule="auto"/>
        <w:rPr>
          <w:rFonts w:asciiTheme="minorHAnsi" w:hAnsiTheme="minorHAnsi"/>
          <w:color w:val="000000"/>
        </w:rPr>
      </w:pPr>
      <w:r w:rsidRPr="009F0974">
        <w:rPr>
          <w:rFonts w:asciiTheme="minorHAnsi" w:hAnsiTheme="minorHAnsi"/>
          <w:color w:val="000000"/>
        </w:rPr>
        <w:t xml:space="preserve">Implementation of the changes to the fee structure will be supported by training of </w:t>
      </w:r>
      <w:r w:rsidR="003831DC">
        <w:rPr>
          <w:rFonts w:asciiTheme="minorHAnsi" w:hAnsiTheme="minorHAnsi"/>
          <w:color w:val="000000"/>
        </w:rPr>
        <w:t>SRO</w:t>
      </w:r>
      <w:r w:rsidRPr="009F0974">
        <w:rPr>
          <w:rFonts w:asciiTheme="minorHAnsi" w:hAnsiTheme="minorHAnsi"/>
          <w:color w:val="000000"/>
        </w:rPr>
        <w:t xml:space="preserve"> staff, modifications </w:t>
      </w:r>
      <w:r w:rsidR="003831DC">
        <w:rPr>
          <w:rFonts w:asciiTheme="minorHAnsi" w:hAnsiTheme="minorHAnsi"/>
          <w:color w:val="000000"/>
        </w:rPr>
        <w:t>to the online</w:t>
      </w:r>
      <w:r w:rsidRPr="009F0974">
        <w:rPr>
          <w:rFonts w:asciiTheme="minorHAnsi" w:hAnsiTheme="minorHAnsi"/>
          <w:color w:val="000000"/>
        </w:rPr>
        <w:t xml:space="preserve"> system, </w:t>
      </w:r>
      <w:r w:rsidR="003831DC">
        <w:rPr>
          <w:rFonts w:asciiTheme="minorHAnsi" w:hAnsiTheme="minorHAnsi"/>
          <w:color w:val="000000"/>
        </w:rPr>
        <w:t xml:space="preserve">manual application </w:t>
      </w:r>
      <w:r w:rsidRPr="009F0974">
        <w:rPr>
          <w:rFonts w:asciiTheme="minorHAnsi" w:hAnsiTheme="minorHAnsi"/>
          <w:color w:val="000000"/>
        </w:rPr>
        <w:t xml:space="preserve">form and the </w:t>
      </w:r>
      <w:r w:rsidR="003831DC">
        <w:rPr>
          <w:rFonts w:asciiTheme="minorHAnsi" w:hAnsiTheme="minorHAnsi"/>
          <w:color w:val="000000"/>
        </w:rPr>
        <w:t>SRO</w:t>
      </w:r>
      <w:r w:rsidRPr="009F0974">
        <w:rPr>
          <w:rFonts w:asciiTheme="minorHAnsi" w:hAnsiTheme="minorHAnsi"/>
          <w:color w:val="000000"/>
        </w:rPr>
        <w:t xml:space="preserve"> website. </w:t>
      </w:r>
    </w:p>
    <w:p w:rsidR="009844BE" w:rsidRDefault="00B872C4" w:rsidP="009844BE">
      <w:pPr>
        <w:pStyle w:val="Text"/>
        <w:spacing w:after="240" w:line="276" w:lineRule="auto"/>
        <w:rPr>
          <w:rFonts w:asciiTheme="minorHAnsi" w:hAnsiTheme="minorHAnsi"/>
          <w:color w:val="000000"/>
        </w:rPr>
      </w:pPr>
      <w:r>
        <w:rPr>
          <w:rFonts w:asciiTheme="minorHAnsi" w:hAnsiTheme="minorHAnsi"/>
          <w:color w:val="000000"/>
        </w:rPr>
        <w:t>In relation to the Notice of Acquisition requirements, the SRO,</w:t>
      </w:r>
      <w:r w:rsidRPr="00B872C4">
        <w:rPr>
          <w:rFonts w:asciiTheme="minorHAnsi" w:hAnsiTheme="minorHAnsi"/>
          <w:color w:val="000000"/>
        </w:rPr>
        <w:t xml:space="preserve"> </w:t>
      </w:r>
      <w:r>
        <w:rPr>
          <w:rFonts w:asciiTheme="minorHAnsi" w:hAnsiTheme="minorHAnsi"/>
          <w:color w:val="000000"/>
        </w:rPr>
        <w:t xml:space="preserve">in consultation with Local Government Victoria, will re-design the Notice of Acquisition form </w:t>
      </w:r>
      <w:r w:rsidR="009844BE">
        <w:rPr>
          <w:rFonts w:asciiTheme="minorHAnsi" w:hAnsiTheme="minorHAnsi"/>
          <w:color w:val="000000"/>
        </w:rPr>
        <w:t>to capture the prescribed information</w:t>
      </w:r>
      <w:r w:rsidR="00A9381A">
        <w:rPr>
          <w:rFonts w:asciiTheme="minorHAnsi" w:hAnsiTheme="minorHAnsi"/>
          <w:color w:val="000000"/>
        </w:rPr>
        <w:t xml:space="preserve"> as specified in the revised Local Government (General) Regulations</w:t>
      </w:r>
      <w:r w:rsidR="009844BE">
        <w:rPr>
          <w:rFonts w:asciiTheme="minorHAnsi" w:hAnsiTheme="minorHAnsi"/>
          <w:color w:val="000000"/>
        </w:rPr>
        <w:t xml:space="preserve">. </w:t>
      </w:r>
      <w:r w:rsidR="009844BE" w:rsidRPr="009F0974">
        <w:rPr>
          <w:rFonts w:asciiTheme="minorHAnsi" w:hAnsiTheme="minorHAnsi"/>
          <w:color w:val="000000"/>
        </w:rPr>
        <w:t xml:space="preserve">The SRO will use its website, subscriber </w:t>
      </w:r>
      <w:r w:rsidR="009844BE">
        <w:rPr>
          <w:rFonts w:asciiTheme="minorHAnsi" w:hAnsiTheme="minorHAnsi"/>
          <w:color w:val="000000"/>
        </w:rPr>
        <w:t>mailing lists</w:t>
      </w:r>
      <w:r w:rsidR="009844BE" w:rsidRPr="009F0974">
        <w:rPr>
          <w:rFonts w:asciiTheme="minorHAnsi" w:hAnsiTheme="minorHAnsi"/>
          <w:color w:val="000000"/>
        </w:rPr>
        <w:t xml:space="preserve"> and consultative forums to </w:t>
      </w:r>
      <w:r w:rsidR="009844BE">
        <w:rPr>
          <w:rFonts w:asciiTheme="minorHAnsi" w:hAnsiTheme="minorHAnsi"/>
          <w:color w:val="000000"/>
        </w:rPr>
        <w:t>notify relevant stakeholders of the new form.</w:t>
      </w:r>
    </w:p>
    <w:p w:rsidR="00AF4B72" w:rsidRDefault="009F0974" w:rsidP="001D160F">
      <w:pPr>
        <w:pStyle w:val="Text"/>
        <w:spacing w:after="240" w:line="276" w:lineRule="auto"/>
        <w:rPr>
          <w:rFonts w:asciiTheme="minorHAnsi" w:hAnsiTheme="minorHAnsi"/>
          <w:color w:val="000000"/>
        </w:rPr>
      </w:pPr>
      <w:r w:rsidRPr="009F0974">
        <w:rPr>
          <w:rFonts w:asciiTheme="minorHAnsi" w:hAnsiTheme="minorHAnsi"/>
          <w:color w:val="000000"/>
        </w:rPr>
        <w:t xml:space="preserve">Notification of a decision to make or not to make the </w:t>
      </w:r>
      <w:r w:rsidR="00CC341E">
        <w:rPr>
          <w:rFonts w:asciiTheme="minorHAnsi" w:hAnsiTheme="minorHAnsi"/>
          <w:color w:val="000000"/>
        </w:rPr>
        <w:t>Regulations</w:t>
      </w:r>
      <w:r w:rsidRPr="009F0974">
        <w:rPr>
          <w:rFonts w:asciiTheme="minorHAnsi" w:hAnsiTheme="minorHAnsi"/>
          <w:color w:val="000000"/>
        </w:rPr>
        <w:t xml:space="preserve"> will be announced in the Victoria Government G</w:t>
      </w:r>
      <w:r w:rsidR="003831DC">
        <w:rPr>
          <w:rFonts w:asciiTheme="minorHAnsi" w:hAnsiTheme="minorHAnsi"/>
          <w:color w:val="000000"/>
        </w:rPr>
        <w:t>azette and a major newspaper</w:t>
      </w:r>
      <w:r w:rsidRPr="009F0974">
        <w:rPr>
          <w:rFonts w:asciiTheme="minorHAnsi" w:hAnsiTheme="minorHAnsi"/>
          <w:color w:val="000000"/>
        </w:rPr>
        <w:t xml:space="preserve">. </w:t>
      </w:r>
    </w:p>
    <w:p w:rsidR="003831DC" w:rsidRDefault="003831DC" w:rsidP="001D160F">
      <w:pPr>
        <w:pStyle w:val="Text"/>
        <w:spacing w:after="240" w:line="276" w:lineRule="auto"/>
        <w:rPr>
          <w:rFonts w:asciiTheme="minorHAnsi" w:hAnsiTheme="minorHAnsi"/>
          <w:color w:val="000000"/>
        </w:rPr>
      </w:pPr>
      <w:r w:rsidRPr="009F0974">
        <w:rPr>
          <w:rFonts w:asciiTheme="minorHAnsi" w:hAnsiTheme="minorHAnsi"/>
          <w:color w:val="000000"/>
        </w:rPr>
        <w:t xml:space="preserve">The SRO will use its website, subscriber </w:t>
      </w:r>
      <w:r>
        <w:rPr>
          <w:rFonts w:asciiTheme="minorHAnsi" w:hAnsiTheme="minorHAnsi"/>
          <w:color w:val="000000"/>
        </w:rPr>
        <w:t>mailing lists</w:t>
      </w:r>
      <w:r w:rsidRPr="009F0974">
        <w:rPr>
          <w:rFonts w:asciiTheme="minorHAnsi" w:hAnsiTheme="minorHAnsi"/>
          <w:color w:val="000000"/>
        </w:rPr>
        <w:t xml:space="preserve"> and consultative forums to update taxpayers</w:t>
      </w:r>
      <w:r w:rsidR="005458B6">
        <w:rPr>
          <w:rFonts w:asciiTheme="minorHAnsi" w:hAnsiTheme="minorHAnsi"/>
          <w:color w:val="000000"/>
        </w:rPr>
        <w:t>, their representatives and industry peak bodies</w:t>
      </w:r>
      <w:r w:rsidRPr="009F0974">
        <w:rPr>
          <w:rFonts w:asciiTheme="minorHAnsi" w:hAnsiTheme="minorHAnsi"/>
          <w:color w:val="000000"/>
        </w:rPr>
        <w:t xml:space="preserve"> about the changes proposed </w:t>
      </w:r>
      <w:r>
        <w:rPr>
          <w:rFonts w:asciiTheme="minorHAnsi" w:hAnsiTheme="minorHAnsi"/>
          <w:color w:val="000000"/>
        </w:rPr>
        <w:t>by</w:t>
      </w:r>
      <w:r w:rsidRPr="009F0974">
        <w:rPr>
          <w:rFonts w:asciiTheme="minorHAnsi" w:hAnsiTheme="minorHAnsi"/>
          <w:color w:val="000000"/>
        </w:rPr>
        <w:t xml:space="preserve"> </w:t>
      </w:r>
      <w:r>
        <w:rPr>
          <w:rFonts w:asciiTheme="minorHAnsi" w:hAnsiTheme="minorHAnsi"/>
          <w:color w:val="000000"/>
        </w:rPr>
        <w:t xml:space="preserve">these </w:t>
      </w:r>
      <w:r w:rsidR="00CC341E">
        <w:rPr>
          <w:rFonts w:asciiTheme="minorHAnsi" w:hAnsiTheme="minorHAnsi"/>
          <w:color w:val="000000"/>
        </w:rPr>
        <w:t>Regulations</w:t>
      </w:r>
      <w:r w:rsidRPr="009F0974">
        <w:rPr>
          <w:rFonts w:asciiTheme="minorHAnsi" w:hAnsiTheme="minorHAnsi"/>
          <w:color w:val="000000"/>
        </w:rPr>
        <w:t>.</w:t>
      </w:r>
    </w:p>
    <w:p w:rsidR="00F7444A" w:rsidRDefault="00F7444A" w:rsidP="00F7444A">
      <w:pPr>
        <w:pStyle w:val="Default"/>
      </w:pPr>
    </w:p>
    <w:p w:rsidR="00F7444A" w:rsidRDefault="00F7444A" w:rsidP="00F7444A">
      <w:pPr>
        <w:pStyle w:val="Default"/>
      </w:pPr>
    </w:p>
    <w:p w:rsidR="00F7444A" w:rsidRDefault="00F7444A" w:rsidP="00F7444A">
      <w:pPr>
        <w:pStyle w:val="Default"/>
      </w:pPr>
    </w:p>
    <w:p w:rsidR="00F7444A" w:rsidRDefault="00F7444A" w:rsidP="00F7444A">
      <w:pPr>
        <w:pStyle w:val="Default"/>
      </w:pPr>
    </w:p>
    <w:p w:rsidR="00F7444A" w:rsidRDefault="00F7444A" w:rsidP="00F7444A">
      <w:pPr>
        <w:pStyle w:val="Default"/>
      </w:pPr>
    </w:p>
    <w:p w:rsidR="00F7444A" w:rsidRDefault="00F7444A" w:rsidP="00F7444A">
      <w:pPr>
        <w:pStyle w:val="Default"/>
      </w:pPr>
    </w:p>
    <w:p w:rsidR="00F7444A" w:rsidRDefault="00F7444A" w:rsidP="00F7444A">
      <w:pPr>
        <w:pStyle w:val="Default"/>
      </w:pPr>
    </w:p>
    <w:p w:rsidR="00F7444A" w:rsidRDefault="00F7444A" w:rsidP="00F7444A">
      <w:pPr>
        <w:pStyle w:val="Default"/>
      </w:pPr>
    </w:p>
    <w:p w:rsidR="00F7444A" w:rsidRDefault="00F7444A">
      <w:pPr>
        <w:spacing w:after="200" w:line="276" w:lineRule="auto"/>
        <w:rPr>
          <w:rFonts w:ascii="Verdana" w:eastAsiaTheme="minorHAnsi" w:hAnsi="Verdana" w:cs="Verdana"/>
          <w:color w:val="000000"/>
        </w:rPr>
      </w:pPr>
      <w:r>
        <w:br w:type="page"/>
      </w:r>
    </w:p>
    <w:p w:rsidR="00F7444A" w:rsidRDefault="00F7444A" w:rsidP="00F7444A">
      <w:pPr>
        <w:pStyle w:val="Default"/>
      </w:pPr>
    </w:p>
    <w:p w:rsidR="00F7444A" w:rsidRPr="00202AAC" w:rsidRDefault="002D391B" w:rsidP="00202AAC">
      <w:pPr>
        <w:pStyle w:val="Heading1"/>
        <w:spacing w:after="240" w:line="276" w:lineRule="auto"/>
        <w:jc w:val="left"/>
        <w:rPr>
          <w:rFonts w:asciiTheme="minorHAnsi" w:hAnsiTheme="minorHAnsi"/>
          <w:sz w:val="32"/>
        </w:rPr>
      </w:pPr>
      <w:bookmarkStart w:id="24" w:name="_Toc432510195"/>
      <w:r>
        <w:rPr>
          <w:rFonts w:asciiTheme="minorHAnsi" w:hAnsiTheme="minorHAnsi"/>
          <w:sz w:val="32"/>
        </w:rPr>
        <w:t>Appendix</w:t>
      </w:r>
      <w:r w:rsidR="00F7444A" w:rsidRPr="00202AAC">
        <w:rPr>
          <w:rFonts w:asciiTheme="minorHAnsi" w:hAnsiTheme="minorHAnsi"/>
          <w:sz w:val="32"/>
        </w:rPr>
        <w:t xml:space="preserve"> </w:t>
      </w:r>
      <w:r>
        <w:rPr>
          <w:rFonts w:asciiTheme="minorHAnsi" w:hAnsiTheme="minorHAnsi"/>
          <w:sz w:val="32"/>
        </w:rPr>
        <w:t>1</w:t>
      </w:r>
      <w:r w:rsidR="00202AAC" w:rsidRPr="00202AAC">
        <w:rPr>
          <w:rFonts w:asciiTheme="minorHAnsi" w:hAnsiTheme="minorHAnsi"/>
          <w:sz w:val="32"/>
        </w:rPr>
        <w:t xml:space="preserve"> – Detailed Cost Base</w:t>
      </w:r>
      <w:bookmarkEnd w:id="24"/>
      <w:r w:rsidR="00202AAC" w:rsidRPr="00202AAC">
        <w:rPr>
          <w:rFonts w:asciiTheme="minorHAnsi" w:hAnsiTheme="minorHAnsi"/>
          <w:sz w:val="32"/>
        </w:rPr>
        <w:t xml:space="preserve"> </w:t>
      </w:r>
    </w:p>
    <w:p w:rsidR="00F7444A" w:rsidRDefault="00F7444A" w:rsidP="00F7444A">
      <w:pPr>
        <w:pStyle w:val="Style14ptJustified"/>
        <w:keepLines/>
        <w:spacing w:after="240" w:line="276" w:lineRule="auto"/>
        <w:jc w:val="left"/>
        <w:rPr>
          <w:rFonts w:ascii="Calibri" w:hAnsi="Calibri"/>
          <w:sz w:val="24"/>
          <w:szCs w:val="24"/>
        </w:rPr>
      </w:pPr>
      <w:r>
        <w:rPr>
          <w:rFonts w:ascii="Calibri" w:hAnsi="Calibri"/>
          <w:sz w:val="24"/>
          <w:szCs w:val="24"/>
        </w:rPr>
        <w:t xml:space="preserve">The following costs have been used to determine the cost base. </w:t>
      </w:r>
    </w:p>
    <w:tbl>
      <w:tblPr>
        <w:tblW w:w="9149" w:type="dxa"/>
        <w:tblInd w:w="93" w:type="dxa"/>
        <w:tblLook w:val="04A0" w:firstRow="1" w:lastRow="0" w:firstColumn="1" w:lastColumn="0" w:noHBand="0" w:noVBand="1"/>
      </w:tblPr>
      <w:tblGrid>
        <w:gridCol w:w="1291"/>
        <w:gridCol w:w="3260"/>
        <w:gridCol w:w="1222"/>
        <w:gridCol w:w="1755"/>
        <w:gridCol w:w="1621"/>
      </w:tblGrid>
      <w:tr w:rsidR="00F7444A" w:rsidRPr="00BF02C7" w:rsidTr="006578CC">
        <w:trPr>
          <w:trHeight w:val="398"/>
        </w:trPr>
        <w:tc>
          <w:tcPr>
            <w:tcW w:w="9149" w:type="dxa"/>
            <w:gridSpan w:val="5"/>
            <w:tcBorders>
              <w:top w:val="single" w:sz="4" w:space="0" w:color="auto"/>
              <w:left w:val="single" w:sz="4" w:space="0" w:color="auto"/>
              <w:right w:val="single" w:sz="4" w:space="0" w:color="auto"/>
            </w:tcBorders>
            <w:vAlign w:val="center"/>
          </w:tcPr>
          <w:p w:rsidR="00F7444A" w:rsidRPr="00BF02C7" w:rsidRDefault="00BD3675" w:rsidP="00BD3675">
            <w:pPr>
              <w:spacing w:line="276" w:lineRule="auto"/>
              <w:ind w:left="191"/>
              <w:rPr>
                <w:rFonts w:asciiTheme="minorHAnsi" w:hAnsiTheme="minorHAnsi"/>
                <w:color w:val="000000"/>
                <w:sz w:val="22"/>
                <w:szCs w:val="22"/>
                <w:u w:val="single"/>
                <w:lang w:eastAsia="en-AU"/>
              </w:rPr>
            </w:pPr>
            <w:r>
              <w:rPr>
                <w:rFonts w:asciiTheme="minorHAnsi" w:hAnsiTheme="minorHAnsi"/>
                <w:b/>
                <w:bCs/>
                <w:color w:val="000000"/>
                <w:sz w:val="22"/>
                <w:szCs w:val="22"/>
                <w:u w:val="single"/>
                <w:lang w:eastAsia="en-AU"/>
              </w:rPr>
              <w:t xml:space="preserve">Detailed </w:t>
            </w:r>
            <w:r w:rsidR="00F7444A">
              <w:rPr>
                <w:rFonts w:asciiTheme="minorHAnsi" w:hAnsiTheme="minorHAnsi"/>
                <w:b/>
                <w:bCs/>
                <w:color w:val="000000"/>
                <w:sz w:val="22"/>
                <w:szCs w:val="22"/>
                <w:u w:val="single"/>
                <w:lang w:eastAsia="en-AU"/>
              </w:rPr>
              <w:t>Cost</w:t>
            </w:r>
            <w:r>
              <w:rPr>
                <w:rFonts w:asciiTheme="minorHAnsi" w:hAnsiTheme="minorHAnsi"/>
                <w:b/>
                <w:bCs/>
                <w:color w:val="000000"/>
                <w:sz w:val="22"/>
                <w:szCs w:val="22"/>
                <w:u w:val="single"/>
                <w:lang w:eastAsia="en-AU"/>
              </w:rPr>
              <w:t>ing</w:t>
            </w:r>
          </w:p>
        </w:tc>
      </w:tr>
      <w:tr w:rsidR="00F7444A" w:rsidRPr="00BF02C7" w:rsidTr="006578CC">
        <w:trPr>
          <w:trHeight w:val="398"/>
        </w:trPr>
        <w:tc>
          <w:tcPr>
            <w:tcW w:w="9149" w:type="dxa"/>
            <w:gridSpan w:val="5"/>
            <w:tcBorders>
              <w:top w:val="single" w:sz="4" w:space="0" w:color="auto"/>
              <w:left w:val="single" w:sz="4" w:space="0" w:color="auto"/>
              <w:right w:val="single" w:sz="4" w:space="0" w:color="auto"/>
            </w:tcBorders>
            <w:vAlign w:val="center"/>
          </w:tcPr>
          <w:p w:rsidR="00F7444A" w:rsidRPr="00BF02C7" w:rsidRDefault="00F7444A" w:rsidP="006578CC">
            <w:pPr>
              <w:spacing w:line="276" w:lineRule="auto"/>
              <w:ind w:left="191"/>
              <w:rPr>
                <w:rFonts w:asciiTheme="minorHAnsi" w:hAnsiTheme="minorHAnsi"/>
                <w:color w:val="000000"/>
                <w:sz w:val="22"/>
                <w:szCs w:val="22"/>
                <w:u w:val="single"/>
                <w:lang w:eastAsia="en-AU"/>
              </w:rPr>
            </w:pPr>
            <w:r w:rsidRPr="00BF02C7">
              <w:rPr>
                <w:rFonts w:asciiTheme="minorHAnsi" w:hAnsiTheme="minorHAnsi"/>
                <w:color w:val="000000"/>
                <w:sz w:val="22"/>
                <w:szCs w:val="22"/>
                <w:u w:val="single"/>
                <w:lang w:eastAsia="en-AU"/>
              </w:rPr>
              <w:t>Salaries</w:t>
            </w:r>
            <w:r w:rsidR="00C8267C">
              <w:rPr>
                <w:rStyle w:val="FootnoteReference"/>
                <w:rFonts w:asciiTheme="minorHAnsi" w:hAnsiTheme="minorHAnsi"/>
                <w:color w:val="000000"/>
                <w:sz w:val="22"/>
                <w:szCs w:val="22"/>
                <w:u w:val="single"/>
                <w:lang w:eastAsia="en-AU"/>
              </w:rPr>
              <w:footnoteReference w:id="14"/>
            </w:r>
          </w:p>
        </w:tc>
      </w:tr>
      <w:tr w:rsidR="00F7444A" w:rsidRPr="00BF02C7" w:rsidTr="006578CC">
        <w:trPr>
          <w:trHeight w:val="410"/>
        </w:trPr>
        <w:tc>
          <w:tcPr>
            <w:tcW w:w="1291" w:type="dxa"/>
            <w:tcBorders>
              <w:left w:val="single" w:sz="4" w:space="0" w:color="auto"/>
            </w:tcBorders>
            <w:shd w:val="clear" w:color="auto" w:fill="auto"/>
            <w:noWrap/>
            <w:vAlign w:val="center"/>
            <w:hideMark/>
          </w:tcPr>
          <w:p w:rsidR="00F7444A" w:rsidRPr="00BF02C7" w:rsidRDefault="00F7444A" w:rsidP="006578CC">
            <w:pPr>
              <w:spacing w:line="276" w:lineRule="auto"/>
              <w:ind w:left="191"/>
              <w:rPr>
                <w:rFonts w:asciiTheme="minorHAnsi" w:hAnsiTheme="minorHAnsi"/>
                <w:b/>
                <w:bCs/>
                <w:color w:val="000000"/>
                <w:sz w:val="22"/>
                <w:szCs w:val="22"/>
                <w:lang w:eastAsia="en-AU"/>
              </w:rPr>
            </w:pPr>
            <w:r w:rsidRPr="00BF02C7">
              <w:rPr>
                <w:rFonts w:asciiTheme="minorHAnsi" w:hAnsiTheme="minorHAnsi"/>
                <w:b/>
                <w:bCs/>
                <w:color w:val="000000"/>
                <w:sz w:val="22"/>
                <w:szCs w:val="22"/>
                <w:lang w:eastAsia="en-AU"/>
              </w:rPr>
              <w:t xml:space="preserve">Grade </w:t>
            </w:r>
          </w:p>
        </w:tc>
        <w:tc>
          <w:tcPr>
            <w:tcW w:w="3260" w:type="dxa"/>
            <w:vAlign w:val="center"/>
          </w:tcPr>
          <w:p w:rsidR="00F7444A" w:rsidRPr="004E2AF8" w:rsidRDefault="00F7444A" w:rsidP="006578CC">
            <w:pPr>
              <w:spacing w:line="276" w:lineRule="auto"/>
              <w:ind w:left="191"/>
              <w:rPr>
                <w:rFonts w:asciiTheme="minorHAnsi" w:hAnsiTheme="minorHAnsi"/>
                <w:b/>
                <w:bCs/>
                <w:color w:val="000000"/>
                <w:sz w:val="22"/>
                <w:szCs w:val="22"/>
                <w:lang w:eastAsia="en-AU"/>
              </w:rPr>
            </w:pPr>
            <w:r w:rsidRPr="004E2AF8">
              <w:rPr>
                <w:rFonts w:asciiTheme="minorHAnsi" w:hAnsiTheme="minorHAnsi"/>
                <w:b/>
                <w:bCs/>
                <w:color w:val="000000"/>
                <w:sz w:val="22"/>
                <w:szCs w:val="22"/>
                <w:lang w:eastAsia="en-AU"/>
              </w:rPr>
              <w:t>Position Title</w:t>
            </w:r>
          </w:p>
        </w:tc>
        <w:tc>
          <w:tcPr>
            <w:tcW w:w="1222" w:type="dxa"/>
            <w:shd w:val="clear" w:color="auto" w:fill="auto"/>
            <w:noWrap/>
            <w:vAlign w:val="center"/>
            <w:hideMark/>
          </w:tcPr>
          <w:p w:rsidR="00F7444A" w:rsidRPr="00BF02C7" w:rsidRDefault="00F7444A" w:rsidP="002D391B">
            <w:pPr>
              <w:spacing w:line="276" w:lineRule="auto"/>
              <w:jc w:val="center"/>
              <w:rPr>
                <w:rFonts w:asciiTheme="minorHAnsi" w:hAnsiTheme="minorHAnsi"/>
                <w:b/>
                <w:bCs/>
                <w:color w:val="000000"/>
                <w:sz w:val="22"/>
                <w:szCs w:val="22"/>
                <w:lang w:eastAsia="en-AU"/>
              </w:rPr>
            </w:pPr>
            <w:r w:rsidRPr="00BF02C7">
              <w:rPr>
                <w:rFonts w:asciiTheme="minorHAnsi" w:hAnsiTheme="minorHAnsi"/>
                <w:b/>
                <w:bCs/>
                <w:color w:val="000000"/>
                <w:sz w:val="22"/>
                <w:szCs w:val="22"/>
                <w:lang w:eastAsia="en-AU"/>
              </w:rPr>
              <w:t>FTE</w:t>
            </w:r>
          </w:p>
        </w:tc>
        <w:tc>
          <w:tcPr>
            <w:tcW w:w="1755" w:type="dxa"/>
            <w:vAlign w:val="center"/>
          </w:tcPr>
          <w:p w:rsidR="00F7444A" w:rsidRPr="004E2AF8" w:rsidRDefault="00F7444A" w:rsidP="006578CC">
            <w:pPr>
              <w:spacing w:line="276" w:lineRule="auto"/>
              <w:jc w:val="center"/>
              <w:rPr>
                <w:rFonts w:asciiTheme="minorHAnsi" w:hAnsiTheme="minorHAnsi"/>
                <w:b/>
                <w:bCs/>
                <w:color w:val="000000"/>
                <w:sz w:val="22"/>
                <w:szCs w:val="22"/>
                <w:lang w:eastAsia="en-AU"/>
              </w:rPr>
            </w:pPr>
            <w:r w:rsidRPr="00BF02C7">
              <w:rPr>
                <w:rFonts w:asciiTheme="minorHAnsi" w:hAnsiTheme="minorHAnsi"/>
                <w:b/>
                <w:bCs/>
                <w:color w:val="000000"/>
                <w:sz w:val="22"/>
                <w:szCs w:val="22"/>
                <w:lang w:eastAsia="en-AU"/>
              </w:rPr>
              <w:t>Midpoint</w:t>
            </w:r>
            <w:r w:rsidRPr="004E2AF8">
              <w:rPr>
                <w:rFonts w:asciiTheme="minorHAnsi" w:hAnsiTheme="minorHAnsi"/>
                <w:b/>
                <w:bCs/>
                <w:color w:val="000000"/>
                <w:sz w:val="22"/>
                <w:szCs w:val="22"/>
                <w:lang w:eastAsia="en-AU"/>
              </w:rPr>
              <w:t xml:space="preserve"> Salary</w:t>
            </w:r>
          </w:p>
        </w:tc>
        <w:tc>
          <w:tcPr>
            <w:tcW w:w="1621" w:type="dxa"/>
            <w:tcBorders>
              <w:right w:val="single" w:sz="4" w:space="0" w:color="auto"/>
            </w:tcBorders>
            <w:shd w:val="clear" w:color="auto" w:fill="auto"/>
            <w:noWrap/>
            <w:vAlign w:val="center"/>
            <w:hideMark/>
          </w:tcPr>
          <w:p w:rsidR="00F7444A" w:rsidRPr="00BF02C7" w:rsidRDefault="00F7444A" w:rsidP="006578CC">
            <w:pPr>
              <w:spacing w:line="276" w:lineRule="auto"/>
              <w:jc w:val="center"/>
              <w:rPr>
                <w:rFonts w:asciiTheme="minorHAnsi" w:hAnsiTheme="minorHAnsi"/>
                <w:b/>
                <w:bCs/>
                <w:color w:val="000000"/>
                <w:sz w:val="22"/>
                <w:szCs w:val="22"/>
                <w:lang w:eastAsia="en-AU"/>
              </w:rPr>
            </w:pPr>
            <w:r w:rsidRPr="004E2AF8">
              <w:rPr>
                <w:rFonts w:asciiTheme="minorHAnsi" w:hAnsiTheme="minorHAnsi"/>
                <w:b/>
                <w:bCs/>
                <w:color w:val="000000"/>
                <w:sz w:val="22"/>
                <w:szCs w:val="22"/>
                <w:lang w:eastAsia="en-AU"/>
              </w:rPr>
              <w:t>Total Cost</w:t>
            </w:r>
          </w:p>
        </w:tc>
      </w:tr>
      <w:tr w:rsidR="00F7444A" w:rsidRPr="00BF02C7" w:rsidTr="006578CC">
        <w:trPr>
          <w:trHeight w:val="410"/>
        </w:trPr>
        <w:tc>
          <w:tcPr>
            <w:tcW w:w="1291" w:type="dxa"/>
            <w:tcBorders>
              <w:left w:val="single" w:sz="4" w:space="0" w:color="auto"/>
            </w:tcBorders>
            <w:shd w:val="clear" w:color="auto" w:fill="auto"/>
            <w:noWrap/>
            <w:vAlign w:val="center"/>
            <w:hideMark/>
          </w:tcPr>
          <w:p w:rsidR="00F7444A" w:rsidRPr="00BF02C7" w:rsidRDefault="00F7444A" w:rsidP="006578CC">
            <w:pPr>
              <w:spacing w:line="276" w:lineRule="auto"/>
              <w:ind w:left="191"/>
              <w:rPr>
                <w:rFonts w:asciiTheme="minorHAnsi" w:hAnsiTheme="minorHAnsi"/>
                <w:color w:val="000000"/>
                <w:sz w:val="22"/>
                <w:szCs w:val="22"/>
                <w:lang w:eastAsia="en-AU"/>
              </w:rPr>
            </w:pPr>
            <w:r w:rsidRPr="004E2AF8">
              <w:rPr>
                <w:rFonts w:asciiTheme="minorHAnsi" w:hAnsiTheme="minorHAnsi"/>
                <w:color w:val="000000"/>
                <w:sz w:val="22"/>
                <w:szCs w:val="22"/>
                <w:lang w:eastAsia="en-AU"/>
              </w:rPr>
              <w:t xml:space="preserve">VPSG – </w:t>
            </w:r>
            <w:r w:rsidRPr="00BF02C7">
              <w:rPr>
                <w:rFonts w:asciiTheme="minorHAnsi" w:hAnsiTheme="minorHAnsi"/>
                <w:color w:val="000000"/>
                <w:sz w:val="22"/>
                <w:szCs w:val="22"/>
                <w:lang w:eastAsia="en-AU"/>
              </w:rPr>
              <w:t>2</w:t>
            </w:r>
            <w:r w:rsidRPr="004E2AF8">
              <w:rPr>
                <w:rFonts w:asciiTheme="minorHAnsi" w:hAnsiTheme="minorHAnsi"/>
                <w:color w:val="000000"/>
                <w:sz w:val="22"/>
                <w:szCs w:val="22"/>
                <w:lang w:eastAsia="en-AU"/>
              </w:rPr>
              <w:t xml:space="preserve"> </w:t>
            </w:r>
          </w:p>
        </w:tc>
        <w:tc>
          <w:tcPr>
            <w:tcW w:w="3260" w:type="dxa"/>
            <w:vAlign w:val="center"/>
          </w:tcPr>
          <w:p w:rsidR="00F7444A" w:rsidRPr="004E2AF8" w:rsidRDefault="00F7444A" w:rsidP="006578CC">
            <w:pPr>
              <w:spacing w:line="276" w:lineRule="auto"/>
              <w:ind w:left="191"/>
              <w:rPr>
                <w:rFonts w:asciiTheme="minorHAnsi" w:hAnsiTheme="minorHAnsi"/>
                <w:color w:val="000000"/>
                <w:sz w:val="22"/>
                <w:szCs w:val="22"/>
                <w:lang w:eastAsia="en-AU"/>
              </w:rPr>
            </w:pPr>
            <w:r w:rsidRPr="004E2AF8">
              <w:rPr>
                <w:rFonts w:asciiTheme="minorHAnsi" w:hAnsiTheme="minorHAnsi"/>
                <w:color w:val="000000"/>
                <w:sz w:val="22"/>
                <w:szCs w:val="22"/>
                <w:lang w:eastAsia="en-AU"/>
              </w:rPr>
              <w:t>Customer Service Officer</w:t>
            </w:r>
          </w:p>
        </w:tc>
        <w:tc>
          <w:tcPr>
            <w:tcW w:w="1222" w:type="dxa"/>
            <w:shd w:val="clear" w:color="auto" w:fill="auto"/>
            <w:noWrap/>
            <w:vAlign w:val="center"/>
            <w:hideMark/>
          </w:tcPr>
          <w:p w:rsidR="00F7444A" w:rsidRPr="00BF02C7" w:rsidRDefault="00F7444A" w:rsidP="002D391B">
            <w:pPr>
              <w:spacing w:line="276" w:lineRule="auto"/>
              <w:jc w:val="center"/>
              <w:rPr>
                <w:rFonts w:asciiTheme="minorHAnsi" w:hAnsiTheme="minorHAnsi"/>
                <w:color w:val="000000"/>
                <w:sz w:val="22"/>
                <w:szCs w:val="22"/>
                <w:lang w:eastAsia="en-AU"/>
              </w:rPr>
            </w:pPr>
            <w:r w:rsidRPr="00BF02C7">
              <w:rPr>
                <w:rFonts w:asciiTheme="minorHAnsi" w:hAnsiTheme="minorHAnsi"/>
                <w:color w:val="000000"/>
                <w:sz w:val="22"/>
                <w:szCs w:val="22"/>
                <w:lang w:eastAsia="en-AU"/>
              </w:rPr>
              <w:t>3</w:t>
            </w:r>
          </w:p>
        </w:tc>
        <w:tc>
          <w:tcPr>
            <w:tcW w:w="1755" w:type="dxa"/>
            <w:vAlign w:val="center"/>
          </w:tcPr>
          <w:p w:rsidR="00F7444A" w:rsidRPr="004E2AF8" w:rsidRDefault="00F7444A" w:rsidP="006578CC">
            <w:pPr>
              <w:spacing w:line="276" w:lineRule="auto"/>
              <w:ind w:right="317"/>
              <w:jc w:val="right"/>
              <w:rPr>
                <w:rFonts w:asciiTheme="minorHAnsi" w:hAnsiTheme="minorHAnsi"/>
                <w:color w:val="000000"/>
                <w:sz w:val="22"/>
                <w:szCs w:val="22"/>
                <w:lang w:eastAsia="en-AU"/>
              </w:rPr>
            </w:pPr>
            <w:r w:rsidRPr="006E58C6">
              <w:rPr>
                <w:rFonts w:asciiTheme="minorHAnsi" w:hAnsiTheme="minorHAnsi"/>
                <w:color w:val="000000"/>
                <w:sz w:val="22"/>
                <w:szCs w:val="22"/>
                <w:lang w:eastAsia="en-AU"/>
              </w:rPr>
              <w:t>51,027</w:t>
            </w:r>
          </w:p>
        </w:tc>
        <w:tc>
          <w:tcPr>
            <w:tcW w:w="1621" w:type="dxa"/>
            <w:tcBorders>
              <w:right w:val="single" w:sz="4" w:space="0" w:color="auto"/>
            </w:tcBorders>
            <w:shd w:val="clear" w:color="auto" w:fill="auto"/>
            <w:noWrap/>
            <w:vAlign w:val="center"/>
            <w:hideMark/>
          </w:tcPr>
          <w:p w:rsidR="00F7444A" w:rsidRPr="00BF02C7" w:rsidRDefault="00F7444A" w:rsidP="006578CC">
            <w:pPr>
              <w:spacing w:line="276" w:lineRule="auto"/>
              <w:ind w:right="95"/>
              <w:jc w:val="right"/>
              <w:rPr>
                <w:rFonts w:asciiTheme="minorHAnsi" w:hAnsiTheme="minorHAnsi"/>
                <w:color w:val="000000"/>
                <w:sz w:val="22"/>
                <w:szCs w:val="22"/>
                <w:lang w:eastAsia="en-AU"/>
              </w:rPr>
            </w:pPr>
            <w:r w:rsidRPr="00BF02C7">
              <w:rPr>
                <w:rFonts w:asciiTheme="minorHAnsi" w:hAnsiTheme="minorHAnsi"/>
                <w:color w:val="000000"/>
                <w:sz w:val="22"/>
                <w:szCs w:val="22"/>
                <w:lang w:eastAsia="en-AU"/>
              </w:rPr>
              <w:t xml:space="preserve">153,081 </w:t>
            </w:r>
          </w:p>
        </w:tc>
      </w:tr>
      <w:tr w:rsidR="00F7444A" w:rsidRPr="00BF02C7" w:rsidTr="006578CC">
        <w:trPr>
          <w:trHeight w:val="410"/>
        </w:trPr>
        <w:tc>
          <w:tcPr>
            <w:tcW w:w="1291" w:type="dxa"/>
            <w:tcBorders>
              <w:left w:val="single" w:sz="4" w:space="0" w:color="auto"/>
            </w:tcBorders>
            <w:shd w:val="clear" w:color="auto" w:fill="auto"/>
            <w:noWrap/>
            <w:vAlign w:val="center"/>
            <w:hideMark/>
          </w:tcPr>
          <w:p w:rsidR="00F7444A" w:rsidRPr="00BF02C7" w:rsidRDefault="00F7444A" w:rsidP="006578CC">
            <w:pPr>
              <w:spacing w:line="276" w:lineRule="auto"/>
              <w:ind w:left="191"/>
              <w:rPr>
                <w:rFonts w:asciiTheme="minorHAnsi" w:hAnsiTheme="minorHAnsi"/>
                <w:color w:val="000000"/>
                <w:sz w:val="22"/>
                <w:szCs w:val="22"/>
                <w:lang w:eastAsia="en-AU"/>
              </w:rPr>
            </w:pPr>
            <w:r w:rsidRPr="004E2AF8">
              <w:rPr>
                <w:rFonts w:asciiTheme="minorHAnsi" w:hAnsiTheme="minorHAnsi"/>
                <w:color w:val="000000"/>
                <w:sz w:val="22"/>
                <w:szCs w:val="22"/>
                <w:lang w:eastAsia="en-AU"/>
              </w:rPr>
              <w:t xml:space="preserve">VPSG – </w:t>
            </w:r>
            <w:r w:rsidRPr="00BF02C7">
              <w:rPr>
                <w:rFonts w:asciiTheme="minorHAnsi" w:hAnsiTheme="minorHAnsi"/>
                <w:color w:val="000000"/>
                <w:sz w:val="22"/>
                <w:szCs w:val="22"/>
                <w:lang w:eastAsia="en-AU"/>
              </w:rPr>
              <w:t>3</w:t>
            </w:r>
          </w:p>
        </w:tc>
        <w:tc>
          <w:tcPr>
            <w:tcW w:w="3260" w:type="dxa"/>
            <w:vAlign w:val="center"/>
          </w:tcPr>
          <w:p w:rsidR="00F7444A" w:rsidRPr="004E2AF8" w:rsidRDefault="00F7444A" w:rsidP="006578CC">
            <w:pPr>
              <w:spacing w:line="276" w:lineRule="auto"/>
              <w:ind w:left="191"/>
              <w:rPr>
                <w:rFonts w:asciiTheme="minorHAnsi" w:hAnsiTheme="minorHAnsi"/>
                <w:color w:val="000000"/>
                <w:sz w:val="22"/>
                <w:szCs w:val="22"/>
                <w:lang w:eastAsia="en-AU"/>
              </w:rPr>
            </w:pPr>
            <w:r w:rsidRPr="004E2AF8">
              <w:rPr>
                <w:rFonts w:asciiTheme="minorHAnsi" w:hAnsiTheme="minorHAnsi"/>
                <w:color w:val="000000"/>
                <w:sz w:val="22"/>
                <w:szCs w:val="22"/>
                <w:lang w:eastAsia="en-AU"/>
              </w:rPr>
              <w:t>Senior Customer Service Officer</w:t>
            </w:r>
          </w:p>
        </w:tc>
        <w:tc>
          <w:tcPr>
            <w:tcW w:w="1222" w:type="dxa"/>
            <w:shd w:val="clear" w:color="auto" w:fill="auto"/>
            <w:noWrap/>
            <w:vAlign w:val="center"/>
            <w:hideMark/>
          </w:tcPr>
          <w:p w:rsidR="00F7444A" w:rsidRPr="00BF02C7" w:rsidRDefault="00F7444A" w:rsidP="002D391B">
            <w:pPr>
              <w:spacing w:line="276" w:lineRule="auto"/>
              <w:jc w:val="center"/>
              <w:rPr>
                <w:rFonts w:asciiTheme="minorHAnsi" w:hAnsiTheme="minorHAnsi"/>
                <w:color w:val="000000"/>
                <w:sz w:val="22"/>
                <w:szCs w:val="22"/>
                <w:lang w:eastAsia="en-AU"/>
              </w:rPr>
            </w:pPr>
            <w:r w:rsidRPr="00BF02C7">
              <w:rPr>
                <w:rFonts w:asciiTheme="minorHAnsi" w:hAnsiTheme="minorHAnsi"/>
                <w:color w:val="000000"/>
                <w:sz w:val="22"/>
                <w:szCs w:val="22"/>
                <w:lang w:eastAsia="en-AU"/>
              </w:rPr>
              <w:t>2</w:t>
            </w:r>
          </w:p>
        </w:tc>
        <w:tc>
          <w:tcPr>
            <w:tcW w:w="1755" w:type="dxa"/>
            <w:vAlign w:val="center"/>
          </w:tcPr>
          <w:p w:rsidR="00F7444A" w:rsidRPr="004E2AF8" w:rsidRDefault="00F7444A" w:rsidP="006578CC">
            <w:pPr>
              <w:spacing w:line="276" w:lineRule="auto"/>
              <w:ind w:right="317"/>
              <w:jc w:val="right"/>
              <w:rPr>
                <w:rFonts w:asciiTheme="minorHAnsi" w:hAnsiTheme="minorHAnsi"/>
                <w:color w:val="000000"/>
                <w:sz w:val="22"/>
                <w:szCs w:val="22"/>
                <w:lang w:eastAsia="en-AU"/>
              </w:rPr>
            </w:pPr>
            <w:r w:rsidRPr="006E58C6">
              <w:rPr>
                <w:rFonts w:asciiTheme="minorHAnsi" w:hAnsiTheme="minorHAnsi"/>
                <w:color w:val="000000"/>
                <w:sz w:val="22"/>
                <w:szCs w:val="22"/>
                <w:lang w:eastAsia="en-AU"/>
              </w:rPr>
              <w:t>64,910</w:t>
            </w:r>
          </w:p>
        </w:tc>
        <w:tc>
          <w:tcPr>
            <w:tcW w:w="1621" w:type="dxa"/>
            <w:tcBorders>
              <w:right w:val="single" w:sz="4" w:space="0" w:color="auto"/>
            </w:tcBorders>
            <w:shd w:val="clear" w:color="auto" w:fill="auto"/>
            <w:noWrap/>
            <w:vAlign w:val="center"/>
            <w:hideMark/>
          </w:tcPr>
          <w:p w:rsidR="00F7444A" w:rsidRPr="00BF02C7" w:rsidRDefault="00F7444A" w:rsidP="00CF1275">
            <w:pPr>
              <w:spacing w:line="276" w:lineRule="auto"/>
              <w:ind w:right="95"/>
              <w:jc w:val="right"/>
              <w:rPr>
                <w:rFonts w:asciiTheme="minorHAnsi" w:hAnsiTheme="minorHAnsi"/>
                <w:color w:val="000000"/>
                <w:sz w:val="22"/>
                <w:szCs w:val="22"/>
                <w:lang w:eastAsia="en-AU"/>
              </w:rPr>
            </w:pPr>
            <w:r w:rsidRPr="00BF02C7">
              <w:rPr>
                <w:rFonts w:asciiTheme="minorHAnsi" w:hAnsiTheme="minorHAnsi"/>
                <w:color w:val="000000"/>
                <w:sz w:val="22"/>
                <w:szCs w:val="22"/>
                <w:lang w:eastAsia="en-AU"/>
              </w:rPr>
              <w:t>129,8</w:t>
            </w:r>
            <w:r w:rsidR="00CF1275">
              <w:rPr>
                <w:rFonts w:asciiTheme="minorHAnsi" w:hAnsiTheme="minorHAnsi"/>
                <w:color w:val="000000"/>
                <w:sz w:val="22"/>
                <w:szCs w:val="22"/>
                <w:lang w:eastAsia="en-AU"/>
              </w:rPr>
              <w:t>20</w:t>
            </w:r>
            <w:r w:rsidRPr="00BF02C7">
              <w:rPr>
                <w:rFonts w:asciiTheme="minorHAnsi" w:hAnsiTheme="minorHAnsi"/>
                <w:color w:val="000000"/>
                <w:sz w:val="22"/>
                <w:szCs w:val="22"/>
                <w:lang w:eastAsia="en-AU"/>
              </w:rPr>
              <w:t xml:space="preserve"> </w:t>
            </w:r>
          </w:p>
        </w:tc>
      </w:tr>
      <w:tr w:rsidR="00F7444A" w:rsidRPr="00BF02C7" w:rsidTr="006578CC">
        <w:trPr>
          <w:trHeight w:val="410"/>
        </w:trPr>
        <w:tc>
          <w:tcPr>
            <w:tcW w:w="1291" w:type="dxa"/>
            <w:tcBorders>
              <w:left w:val="single" w:sz="4" w:space="0" w:color="auto"/>
            </w:tcBorders>
            <w:shd w:val="clear" w:color="auto" w:fill="auto"/>
            <w:noWrap/>
            <w:vAlign w:val="center"/>
            <w:hideMark/>
          </w:tcPr>
          <w:p w:rsidR="00F7444A" w:rsidRPr="00BF02C7" w:rsidRDefault="00F7444A" w:rsidP="006578CC">
            <w:pPr>
              <w:spacing w:line="276" w:lineRule="auto"/>
              <w:ind w:left="191"/>
              <w:rPr>
                <w:rFonts w:asciiTheme="minorHAnsi" w:hAnsiTheme="minorHAnsi"/>
                <w:color w:val="000000"/>
                <w:sz w:val="22"/>
                <w:szCs w:val="22"/>
                <w:lang w:eastAsia="en-AU"/>
              </w:rPr>
            </w:pPr>
            <w:r w:rsidRPr="004E2AF8">
              <w:rPr>
                <w:rFonts w:asciiTheme="minorHAnsi" w:hAnsiTheme="minorHAnsi"/>
                <w:color w:val="000000"/>
                <w:sz w:val="22"/>
                <w:szCs w:val="22"/>
                <w:lang w:eastAsia="en-AU"/>
              </w:rPr>
              <w:t xml:space="preserve">VPSG – </w:t>
            </w:r>
            <w:r w:rsidRPr="00BF02C7">
              <w:rPr>
                <w:rFonts w:asciiTheme="minorHAnsi" w:hAnsiTheme="minorHAnsi"/>
                <w:color w:val="000000"/>
                <w:sz w:val="22"/>
                <w:szCs w:val="22"/>
                <w:lang w:eastAsia="en-AU"/>
              </w:rPr>
              <w:t>4</w:t>
            </w:r>
          </w:p>
        </w:tc>
        <w:tc>
          <w:tcPr>
            <w:tcW w:w="3260" w:type="dxa"/>
            <w:vAlign w:val="center"/>
          </w:tcPr>
          <w:p w:rsidR="00F7444A" w:rsidRPr="004E2AF8" w:rsidRDefault="00F7444A" w:rsidP="006578CC">
            <w:pPr>
              <w:spacing w:line="276" w:lineRule="auto"/>
              <w:ind w:left="191"/>
              <w:rPr>
                <w:rFonts w:asciiTheme="minorHAnsi" w:hAnsiTheme="minorHAnsi"/>
                <w:color w:val="000000"/>
                <w:sz w:val="22"/>
                <w:szCs w:val="22"/>
                <w:lang w:eastAsia="en-AU"/>
              </w:rPr>
            </w:pPr>
            <w:r w:rsidRPr="004E2AF8">
              <w:rPr>
                <w:rFonts w:asciiTheme="minorHAnsi" w:hAnsiTheme="minorHAnsi"/>
                <w:color w:val="000000"/>
                <w:sz w:val="22"/>
                <w:szCs w:val="22"/>
                <w:lang w:eastAsia="en-AU"/>
              </w:rPr>
              <w:t>Branch Technical Officer</w:t>
            </w:r>
          </w:p>
        </w:tc>
        <w:tc>
          <w:tcPr>
            <w:tcW w:w="1222" w:type="dxa"/>
            <w:shd w:val="clear" w:color="auto" w:fill="auto"/>
            <w:noWrap/>
            <w:vAlign w:val="center"/>
            <w:hideMark/>
          </w:tcPr>
          <w:p w:rsidR="00F7444A" w:rsidRPr="00BF02C7" w:rsidRDefault="00F7444A" w:rsidP="002D391B">
            <w:pPr>
              <w:spacing w:line="276" w:lineRule="auto"/>
              <w:jc w:val="center"/>
              <w:rPr>
                <w:rFonts w:asciiTheme="minorHAnsi" w:hAnsiTheme="minorHAnsi"/>
                <w:color w:val="000000"/>
                <w:sz w:val="22"/>
                <w:szCs w:val="22"/>
                <w:lang w:eastAsia="en-AU"/>
              </w:rPr>
            </w:pPr>
            <w:r w:rsidRPr="004E2AF8">
              <w:rPr>
                <w:rFonts w:asciiTheme="minorHAnsi" w:hAnsiTheme="minorHAnsi"/>
                <w:color w:val="000000"/>
                <w:sz w:val="22"/>
                <w:szCs w:val="22"/>
                <w:lang w:eastAsia="en-AU"/>
              </w:rPr>
              <w:t>2</w:t>
            </w:r>
          </w:p>
        </w:tc>
        <w:tc>
          <w:tcPr>
            <w:tcW w:w="1755" w:type="dxa"/>
            <w:vAlign w:val="center"/>
          </w:tcPr>
          <w:p w:rsidR="00F7444A" w:rsidRPr="004E2AF8" w:rsidRDefault="00F7444A" w:rsidP="006578CC">
            <w:pPr>
              <w:spacing w:line="276" w:lineRule="auto"/>
              <w:ind w:right="317"/>
              <w:jc w:val="right"/>
              <w:rPr>
                <w:rFonts w:asciiTheme="minorHAnsi" w:hAnsiTheme="minorHAnsi"/>
                <w:color w:val="000000"/>
                <w:sz w:val="22"/>
                <w:szCs w:val="22"/>
                <w:lang w:eastAsia="en-AU"/>
              </w:rPr>
            </w:pPr>
            <w:r w:rsidRPr="00BF02C7">
              <w:rPr>
                <w:rFonts w:asciiTheme="minorHAnsi" w:hAnsiTheme="minorHAnsi"/>
                <w:color w:val="000000"/>
                <w:sz w:val="22"/>
                <w:szCs w:val="22"/>
                <w:lang w:eastAsia="en-AU"/>
              </w:rPr>
              <w:t>77,469</w:t>
            </w:r>
          </w:p>
        </w:tc>
        <w:tc>
          <w:tcPr>
            <w:tcW w:w="1621" w:type="dxa"/>
            <w:tcBorders>
              <w:right w:val="single" w:sz="4" w:space="0" w:color="auto"/>
            </w:tcBorders>
            <w:shd w:val="clear" w:color="auto" w:fill="auto"/>
            <w:noWrap/>
            <w:vAlign w:val="center"/>
            <w:hideMark/>
          </w:tcPr>
          <w:p w:rsidR="00F7444A" w:rsidRPr="00BF02C7" w:rsidRDefault="00F7444A" w:rsidP="006578CC">
            <w:pPr>
              <w:spacing w:line="276" w:lineRule="auto"/>
              <w:ind w:right="95"/>
              <w:jc w:val="right"/>
              <w:rPr>
                <w:rFonts w:asciiTheme="minorHAnsi" w:hAnsiTheme="minorHAnsi"/>
                <w:color w:val="000000"/>
                <w:sz w:val="22"/>
                <w:szCs w:val="22"/>
                <w:lang w:eastAsia="en-AU"/>
              </w:rPr>
            </w:pPr>
            <w:r w:rsidRPr="004E2AF8">
              <w:rPr>
                <w:rFonts w:asciiTheme="minorHAnsi" w:hAnsiTheme="minorHAnsi"/>
                <w:color w:val="000000"/>
                <w:sz w:val="22"/>
                <w:szCs w:val="22"/>
                <w:lang w:eastAsia="en-AU"/>
              </w:rPr>
              <w:t>154,938</w:t>
            </w:r>
            <w:r w:rsidRPr="00BF02C7">
              <w:rPr>
                <w:rFonts w:asciiTheme="minorHAnsi" w:hAnsiTheme="minorHAnsi"/>
                <w:color w:val="000000"/>
                <w:sz w:val="22"/>
                <w:szCs w:val="22"/>
                <w:lang w:eastAsia="en-AU"/>
              </w:rPr>
              <w:t xml:space="preserve"> </w:t>
            </w:r>
          </w:p>
        </w:tc>
      </w:tr>
      <w:tr w:rsidR="00F7444A" w:rsidRPr="00BF02C7" w:rsidTr="006578CC">
        <w:trPr>
          <w:trHeight w:val="410"/>
        </w:trPr>
        <w:tc>
          <w:tcPr>
            <w:tcW w:w="1291" w:type="dxa"/>
            <w:tcBorders>
              <w:left w:val="single" w:sz="4" w:space="0" w:color="auto"/>
            </w:tcBorders>
            <w:shd w:val="clear" w:color="auto" w:fill="auto"/>
            <w:noWrap/>
            <w:vAlign w:val="center"/>
            <w:hideMark/>
          </w:tcPr>
          <w:p w:rsidR="00F7444A" w:rsidRPr="00BF02C7" w:rsidRDefault="00F7444A" w:rsidP="006578CC">
            <w:pPr>
              <w:spacing w:line="276" w:lineRule="auto"/>
              <w:ind w:left="191"/>
              <w:rPr>
                <w:rFonts w:asciiTheme="minorHAnsi" w:hAnsiTheme="minorHAnsi"/>
                <w:color w:val="000000"/>
                <w:sz w:val="22"/>
                <w:szCs w:val="22"/>
                <w:lang w:eastAsia="en-AU"/>
              </w:rPr>
            </w:pPr>
            <w:r w:rsidRPr="004E2AF8">
              <w:rPr>
                <w:rFonts w:asciiTheme="minorHAnsi" w:hAnsiTheme="minorHAnsi"/>
                <w:color w:val="000000"/>
                <w:sz w:val="22"/>
                <w:szCs w:val="22"/>
                <w:lang w:eastAsia="en-AU"/>
              </w:rPr>
              <w:t xml:space="preserve">VPSG – </w:t>
            </w:r>
            <w:r w:rsidRPr="00BF02C7">
              <w:rPr>
                <w:rFonts w:asciiTheme="minorHAnsi" w:hAnsiTheme="minorHAnsi"/>
                <w:color w:val="000000"/>
                <w:sz w:val="22"/>
                <w:szCs w:val="22"/>
                <w:lang w:eastAsia="en-AU"/>
              </w:rPr>
              <w:t>5</w:t>
            </w:r>
          </w:p>
        </w:tc>
        <w:tc>
          <w:tcPr>
            <w:tcW w:w="3260" w:type="dxa"/>
            <w:vAlign w:val="center"/>
          </w:tcPr>
          <w:p w:rsidR="00F7444A" w:rsidRPr="004E2AF8" w:rsidRDefault="00F7444A" w:rsidP="006578CC">
            <w:pPr>
              <w:spacing w:line="276" w:lineRule="auto"/>
              <w:ind w:left="191"/>
              <w:rPr>
                <w:rFonts w:asciiTheme="minorHAnsi" w:hAnsiTheme="minorHAnsi"/>
                <w:color w:val="000000"/>
                <w:sz w:val="22"/>
                <w:szCs w:val="22"/>
                <w:lang w:eastAsia="en-AU"/>
              </w:rPr>
            </w:pPr>
            <w:r w:rsidRPr="004E2AF8">
              <w:rPr>
                <w:rFonts w:asciiTheme="minorHAnsi" w:hAnsiTheme="minorHAnsi"/>
                <w:color w:val="000000"/>
                <w:sz w:val="22"/>
                <w:szCs w:val="22"/>
                <w:lang w:eastAsia="en-AU"/>
              </w:rPr>
              <w:t>Team Leader</w:t>
            </w:r>
          </w:p>
        </w:tc>
        <w:tc>
          <w:tcPr>
            <w:tcW w:w="1222" w:type="dxa"/>
            <w:shd w:val="clear" w:color="auto" w:fill="auto"/>
            <w:noWrap/>
            <w:vAlign w:val="center"/>
            <w:hideMark/>
          </w:tcPr>
          <w:p w:rsidR="00F7444A" w:rsidRPr="00BF02C7" w:rsidRDefault="00F7444A" w:rsidP="002D391B">
            <w:pPr>
              <w:spacing w:line="276" w:lineRule="auto"/>
              <w:jc w:val="center"/>
              <w:rPr>
                <w:rFonts w:asciiTheme="minorHAnsi" w:hAnsiTheme="minorHAnsi"/>
                <w:color w:val="000000"/>
                <w:sz w:val="22"/>
                <w:szCs w:val="22"/>
                <w:lang w:eastAsia="en-AU"/>
              </w:rPr>
            </w:pPr>
            <w:r w:rsidRPr="00BF02C7">
              <w:rPr>
                <w:rFonts w:asciiTheme="minorHAnsi" w:hAnsiTheme="minorHAnsi"/>
                <w:color w:val="000000"/>
                <w:sz w:val="22"/>
                <w:szCs w:val="22"/>
                <w:lang w:eastAsia="en-AU"/>
              </w:rPr>
              <w:t>0.2</w:t>
            </w:r>
          </w:p>
        </w:tc>
        <w:tc>
          <w:tcPr>
            <w:tcW w:w="1755" w:type="dxa"/>
            <w:vAlign w:val="center"/>
          </w:tcPr>
          <w:p w:rsidR="00F7444A" w:rsidRPr="004E2AF8" w:rsidRDefault="00F7444A" w:rsidP="006578CC">
            <w:pPr>
              <w:spacing w:line="276" w:lineRule="auto"/>
              <w:ind w:right="317"/>
              <w:jc w:val="right"/>
              <w:rPr>
                <w:rFonts w:asciiTheme="minorHAnsi" w:hAnsiTheme="minorHAnsi"/>
                <w:color w:val="000000"/>
                <w:sz w:val="22"/>
                <w:szCs w:val="22"/>
                <w:lang w:eastAsia="en-AU"/>
              </w:rPr>
            </w:pPr>
            <w:r w:rsidRPr="006E58C6">
              <w:rPr>
                <w:rFonts w:asciiTheme="minorHAnsi" w:hAnsiTheme="minorHAnsi"/>
                <w:color w:val="000000"/>
                <w:sz w:val="22"/>
                <w:szCs w:val="22"/>
                <w:lang w:eastAsia="en-AU"/>
              </w:rPr>
              <w:t>92,540</w:t>
            </w:r>
          </w:p>
        </w:tc>
        <w:tc>
          <w:tcPr>
            <w:tcW w:w="1621" w:type="dxa"/>
            <w:tcBorders>
              <w:right w:val="single" w:sz="4" w:space="0" w:color="auto"/>
            </w:tcBorders>
            <w:shd w:val="clear" w:color="auto" w:fill="auto"/>
            <w:noWrap/>
            <w:vAlign w:val="center"/>
            <w:hideMark/>
          </w:tcPr>
          <w:p w:rsidR="00F7444A" w:rsidRPr="00BF02C7" w:rsidRDefault="00F7444A" w:rsidP="006578CC">
            <w:pPr>
              <w:spacing w:line="276" w:lineRule="auto"/>
              <w:ind w:right="95"/>
              <w:jc w:val="right"/>
              <w:rPr>
                <w:rFonts w:asciiTheme="minorHAnsi" w:hAnsiTheme="minorHAnsi"/>
                <w:color w:val="000000"/>
                <w:sz w:val="22"/>
                <w:szCs w:val="22"/>
                <w:lang w:eastAsia="en-AU"/>
              </w:rPr>
            </w:pPr>
            <w:r w:rsidRPr="00BF02C7">
              <w:rPr>
                <w:rFonts w:asciiTheme="minorHAnsi" w:hAnsiTheme="minorHAnsi"/>
                <w:color w:val="000000"/>
                <w:sz w:val="22"/>
                <w:szCs w:val="22"/>
                <w:lang w:eastAsia="en-AU"/>
              </w:rPr>
              <w:t xml:space="preserve">18,508 </w:t>
            </w:r>
          </w:p>
        </w:tc>
      </w:tr>
      <w:tr w:rsidR="00F7444A" w:rsidRPr="00BF02C7" w:rsidTr="006578CC">
        <w:trPr>
          <w:trHeight w:val="410"/>
        </w:trPr>
        <w:tc>
          <w:tcPr>
            <w:tcW w:w="1291" w:type="dxa"/>
            <w:tcBorders>
              <w:left w:val="single" w:sz="4" w:space="0" w:color="auto"/>
            </w:tcBorders>
            <w:shd w:val="clear" w:color="auto" w:fill="auto"/>
            <w:noWrap/>
            <w:vAlign w:val="center"/>
            <w:hideMark/>
          </w:tcPr>
          <w:p w:rsidR="00F7444A" w:rsidRPr="00BF02C7" w:rsidRDefault="00F7444A" w:rsidP="006578CC">
            <w:pPr>
              <w:spacing w:line="276" w:lineRule="auto"/>
              <w:ind w:left="191"/>
              <w:rPr>
                <w:rFonts w:asciiTheme="minorHAnsi" w:hAnsiTheme="minorHAnsi"/>
                <w:color w:val="000000"/>
                <w:sz w:val="22"/>
                <w:szCs w:val="22"/>
                <w:lang w:eastAsia="en-AU"/>
              </w:rPr>
            </w:pPr>
            <w:r w:rsidRPr="004E2AF8">
              <w:rPr>
                <w:rFonts w:asciiTheme="minorHAnsi" w:hAnsiTheme="minorHAnsi"/>
                <w:color w:val="000000"/>
                <w:sz w:val="22"/>
                <w:szCs w:val="22"/>
                <w:lang w:eastAsia="en-AU"/>
              </w:rPr>
              <w:t xml:space="preserve">VPSG – </w:t>
            </w:r>
            <w:r w:rsidRPr="00BF02C7">
              <w:rPr>
                <w:rFonts w:asciiTheme="minorHAnsi" w:hAnsiTheme="minorHAnsi"/>
                <w:color w:val="000000"/>
                <w:sz w:val="22"/>
                <w:szCs w:val="22"/>
                <w:lang w:eastAsia="en-AU"/>
              </w:rPr>
              <w:t>6</w:t>
            </w:r>
          </w:p>
        </w:tc>
        <w:tc>
          <w:tcPr>
            <w:tcW w:w="3260" w:type="dxa"/>
            <w:vAlign w:val="center"/>
          </w:tcPr>
          <w:p w:rsidR="00F7444A" w:rsidRPr="004E2AF8" w:rsidRDefault="00F7444A" w:rsidP="006578CC">
            <w:pPr>
              <w:spacing w:line="276" w:lineRule="auto"/>
              <w:ind w:left="191"/>
              <w:rPr>
                <w:rFonts w:asciiTheme="minorHAnsi" w:hAnsiTheme="minorHAnsi"/>
                <w:color w:val="000000"/>
                <w:sz w:val="22"/>
                <w:szCs w:val="22"/>
                <w:lang w:eastAsia="en-AU"/>
              </w:rPr>
            </w:pPr>
            <w:r w:rsidRPr="004E2AF8">
              <w:rPr>
                <w:rFonts w:asciiTheme="minorHAnsi" w:hAnsiTheme="minorHAnsi"/>
                <w:color w:val="000000"/>
                <w:sz w:val="22"/>
                <w:szCs w:val="22"/>
                <w:lang w:eastAsia="en-AU"/>
              </w:rPr>
              <w:t>Branch Manager</w:t>
            </w:r>
          </w:p>
        </w:tc>
        <w:tc>
          <w:tcPr>
            <w:tcW w:w="1222" w:type="dxa"/>
            <w:shd w:val="clear" w:color="auto" w:fill="auto"/>
            <w:noWrap/>
            <w:vAlign w:val="center"/>
            <w:hideMark/>
          </w:tcPr>
          <w:p w:rsidR="00F7444A" w:rsidRPr="00BF02C7" w:rsidRDefault="00F7444A" w:rsidP="002D391B">
            <w:pPr>
              <w:spacing w:line="276" w:lineRule="auto"/>
              <w:jc w:val="center"/>
              <w:rPr>
                <w:rFonts w:asciiTheme="minorHAnsi" w:hAnsiTheme="minorHAnsi"/>
                <w:color w:val="000000"/>
                <w:sz w:val="22"/>
                <w:szCs w:val="22"/>
                <w:lang w:eastAsia="en-AU"/>
              </w:rPr>
            </w:pPr>
            <w:r w:rsidRPr="00BF02C7">
              <w:rPr>
                <w:rFonts w:asciiTheme="minorHAnsi" w:hAnsiTheme="minorHAnsi"/>
                <w:color w:val="000000"/>
                <w:sz w:val="22"/>
                <w:szCs w:val="22"/>
                <w:lang w:eastAsia="en-AU"/>
              </w:rPr>
              <w:t>0.2</w:t>
            </w:r>
          </w:p>
        </w:tc>
        <w:tc>
          <w:tcPr>
            <w:tcW w:w="1755" w:type="dxa"/>
            <w:vAlign w:val="center"/>
          </w:tcPr>
          <w:p w:rsidR="00F7444A" w:rsidRPr="004E2AF8" w:rsidRDefault="00F7444A" w:rsidP="006578CC">
            <w:pPr>
              <w:spacing w:line="276" w:lineRule="auto"/>
              <w:ind w:right="317"/>
              <w:jc w:val="right"/>
              <w:rPr>
                <w:rFonts w:asciiTheme="minorHAnsi" w:hAnsiTheme="minorHAnsi"/>
                <w:color w:val="000000"/>
                <w:sz w:val="22"/>
                <w:szCs w:val="22"/>
                <w:lang w:eastAsia="en-AU"/>
              </w:rPr>
            </w:pPr>
            <w:r w:rsidRPr="006E58C6">
              <w:rPr>
                <w:rFonts w:asciiTheme="minorHAnsi" w:hAnsiTheme="minorHAnsi"/>
                <w:color w:val="000000"/>
                <w:sz w:val="22"/>
                <w:szCs w:val="22"/>
                <w:lang w:eastAsia="en-AU"/>
              </w:rPr>
              <w:t>120,095</w:t>
            </w:r>
          </w:p>
        </w:tc>
        <w:tc>
          <w:tcPr>
            <w:tcW w:w="1621" w:type="dxa"/>
            <w:tcBorders>
              <w:right w:val="single" w:sz="4" w:space="0" w:color="auto"/>
            </w:tcBorders>
            <w:shd w:val="clear" w:color="auto" w:fill="auto"/>
            <w:noWrap/>
            <w:vAlign w:val="center"/>
            <w:hideMark/>
          </w:tcPr>
          <w:p w:rsidR="00F7444A" w:rsidRPr="00BF02C7" w:rsidRDefault="00F7444A" w:rsidP="006578CC">
            <w:pPr>
              <w:spacing w:line="276" w:lineRule="auto"/>
              <w:ind w:right="95"/>
              <w:jc w:val="right"/>
              <w:rPr>
                <w:rFonts w:asciiTheme="minorHAnsi" w:hAnsiTheme="minorHAnsi"/>
                <w:color w:val="000000"/>
                <w:sz w:val="22"/>
                <w:szCs w:val="22"/>
                <w:lang w:eastAsia="en-AU"/>
              </w:rPr>
            </w:pPr>
            <w:r w:rsidRPr="00BF02C7">
              <w:rPr>
                <w:rFonts w:asciiTheme="minorHAnsi" w:hAnsiTheme="minorHAnsi"/>
                <w:color w:val="000000"/>
                <w:sz w:val="22"/>
                <w:szCs w:val="22"/>
                <w:lang w:eastAsia="en-AU"/>
              </w:rPr>
              <w:t xml:space="preserve">24,019 </w:t>
            </w:r>
          </w:p>
        </w:tc>
      </w:tr>
      <w:tr w:rsidR="00F7444A" w:rsidRPr="00BF02C7" w:rsidTr="006578CC">
        <w:trPr>
          <w:trHeight w:val="654"/>
        </w:trPr>
        <w:tc>
          <w:tcPr>
            <w:tcW w:w="4551" w:type="dxa"/>
            <w:gridSpan w:val="2"/>
            <w:tcBorders>
              <w:left w:val="single" w:sz="4" w:space="0" w:color="auto"/>
            </w:tcBorders>
            <w:shd w:val="clear" w:color="auto" w:fill="auto"/>
            <w:noWrap/>
            <w:vAlign w:val="center"/>
            <w:hideMark/>
          </w:tcPr>
          <w:p w:rsidR="00F7444A" w:rsidRPr="004E2AF8" w:rsidRDefault="00F7444A" w:rsidP="006578CC">
            <w:pPr>
              <w:spacing w:line="276" w:lineRule="auto"/>
              <w:ind w:left="191"/>
              <w:rPr>
                <w:rFonts w:asciiTheme="minorHAnsi" w:hAnsiTheme="minorHAnsi"/>
                <w:b/>
                <w:bCs/>
                <w:color w:val="000000"/>
                <w:sz w:val="22"/>
                <w:szCs w:val="22"/>
                <w:lang w:eastAsia="en-AU"/>
              </w:rPr>
            </w:pPr>
            <w:r w:rsidRPr="00BF02C7">
              <w:rPr>
                <w:rFonts w:asciiTheme="minorHAnsi" w:hAnsiTheme="minorHAnsi"/>
                <w:color w:val="000000"/>
                <w:sz w:val="22"/>
                <w:szCs w:val="22"/>
                <w:lang w:eastAsia="en-AU"/>
              </w:rPr>
              <w:t> </w:t>
            </w:r>
            <w:r w:rsidRPr="00BF02C7">
              <w:rPr>
                <w:rFonts w:asciiTheme="minorHAnsi" w:hAnsiTheme="minorHAnsi"/>
                <w:b/>
                <w:bCs/>
                <w:color w:val="000000"/>
                <w:sz w:val="22"/>
                <w:szCs w:val="22"/>
                <w:lang w:eastAsia="en-AU"/>
              </w:rPr>
              <w:t>Total Salaries</w:t>
            </w:r>
          </w:p>
        </w:tc>
        <w:tc>
          <w:tcPr>
            <w:tcW w:w="1222" w:type="dxa"/>
            <w:shd w:val="clear" w:color="auto" w:fill="auto"/>
            <w:noWrap/>
            <w:vAlign w:val="center"/>
            <w:hideMark/>
          </w:tcPr>
          <w:p w:rsidR="00F7444A" w:rsidRPr="00BF02C7" w:rsidRDefault="00F7444A" w:rsidP="002D391B">
            <w:pPr>
              <w:spacing w:line="276" w:lineRule="auto"/>
              <w:jc w:val="center"/>
              <w:rPr>
                <w:rFonts w:asciiTheme="minorHAnsi" w:hAnsiTheme="minorHAnsi"/>
                <w:b/>
                <w:bCs/>
                <w:color w:val="000000"/>
                <w:sz w:val="22"/>
                <w:szCs w:val="22"/>
                <w:lang w:eastAsia="en-AU"/>
              </w:rPr>
            </w:pPr>
            <w:r w:rsidRPr="00BF02C7">
              <w:rPr>
                <w:rFonts w:asciiTheme="minorHAnsi" w:hAnsiTheme="minorHAnsi"/>
                <w:b/>
                <w:bCs/>
                <w:color w:val="000000"/>
                <w:sz w:val="22"/>
                <w:szCs w:val="22"/>
                <w:lang w:eastAsia="en-AU"/>
              </w:rPr>
              <w:t>7.4</w:t>
            </w:r>
          </w:p>
        </w:tc>
        <w:tc>
          <w:tcPr>
            <w:tcW w:w="1755" w:type="dxa"/>
            <w:vAlign w:val="center"/>
          </w:tcPr>
          <w:p w:rsidR="00F7444A" w:rsidRPr="004E2AF8" w:rsidRDefault="00F7444A" w:rsidP="006578CC">
            <w:pPr>
              <w:spacing w:line="276" w:lineRule="auto"/>
              <w:jc w:val="right"/>
              <w:rPr>
                <w:rFonts w:asciiTheme="minorHAnsi" w:hAnsiTheme="minorHAnsi"/>
                <w:b/>
                <w:bCs/>
                <w:color w:val="000000"/>
                <w:sz w:val="22"/>
                <w:szCs w:val="22"/>
                <w:lang w:eastAsia="en-AU"/>
              </w:rPr>
            </w:pPr>
          </w:p>
        </w:tc>
        <w:tc>
          <w:tcPr>
            <w:tcW w:w="1621" w:type="dxa"/>
            <w:tcBorders>
              <w:right w:val="single" w:sz="4" w:space="0" w:color="auto"/>
            </w:tcBorders>
            <w:shd w:val="clear" w:color="auto" w:fill="auto"/>
            <w:noWrap/>
            <w:vAlign w:val="center"/>
            <w:hideMark/>
          </w:tcPr>
          <w:p w:rsidR="00F7444A" w:rsidRPr="0019396A" w:rsidRDefault="00F7444A" w:rsidP="006578CC">
            <w:pPr>
              <w:spacing w:line="276" w:lineRule="auto"/>
              <w:ind w:right="95"/>
              <w:jc w:val="right"/>
              <w:rPr>
                <w:rFonts w:asciiTheme="minorHAnsi" w:hAnsiTheme="minorHAnsi"/>
                <w:b/>
                <w:bCs/>
                <w:color w:val="000000"/>
                <w:sz w:val="22"/>
                <w:szCs w:val="22"/>
                <w:u w:val="single"/>
                <w:lang w:eastAsia="en-AU"/>
              </w:rPr>
            </w:pPr>
            <w:r w:rsidRPr="0019396A">
              <w:rPr>
                <w:rFonts w:asciiTheme="minorHAnsi" w:hAnsiTheme="minorHAnsi"/>
                <w:b/>
                <w:bCs/>
                <w:color w:val="000000"/>
                <w:sz w:val="22"/>
                <w:szCs w:val="22"/>
                <w:u w:val="single"/>
                <w:lang w:eastAsia="en-AU"/>
              </w:rPr>
              <w:t>480,36</w:t>
            </w:r>
            <w:r w:rsidR="00CF1275">
              <w:rPr>
                <w:rFonts w:asciiTheme="minorHAnsi" w:hAnsiTheme="minorHAnsi"/>
                <w:b/>
                <w:bCs/>
                <w:color w:val="000000"/>
                <w:sz w:val="22"/>
                <w:szCs w:val="22"/>
                <w:u w:val="single"/>
                <w:lang w:eastAsia="en-AU"/>
              </w:rPr>
              <w:t>6</w:t>
            </w:r>
            <w:r w:rsidRPr="0019396A">
              <w:rPr>
                <w:rFonts w:asciiTheme="minorHAnsi" w:hAnsiTheme="minorHAnsi"/>
                <w:b/>
                <w:bCs/>
                <w:color w:val="000000"/>
                <w:sz w:val="22"/>
                <w:szCs w:val="22"/>
                <w:u w:val="single"/>
                <w:lang w:eastAsia="en-AU"/>
              </w:rPr>
              <w:t xml:space="preserve"> </w:t>
            </w:r>
          </w:p>
        </w:tc>
      </w:tr>
      <w:tr w:rsidR="00F7444A" w:rsidRPr="00BF02C7" w:rsidTr="006578CC">
        <w:trPr>
          <w:trHeight w:val="410"/>
        </w:trPr>
        <w:tc>
          <w:tcPr>
            <w:tcW w:w="4551" w:type="dxa"/>
            <w:gridSpan w:val="2"/>
            <w:tcBorders>
              <w:left w:val="single" w:sz="4" w:space="0" w:color="auto"/>
            </w:tcBorders>
            <w:shd w:val="clear" w:color="auto" w:fill="auto"/>
            <w:noWrap/>
            <w:vAlign w:val="center"/>
            <w:hideMark/>
          </w:tcPr>
          <w:p w:rsidR="00F7444A" w:rsidRPr="004E2AF8" w:rsidRDefault="00F7444A" w:rsidP="006578CC">
            <w:pPr>
              <w:spacing w:line="276" w:lineRule="auto"/>
              <w:ind w:left="191"/>
              <w:rPr>
                <w:rFonts w:asciiTheme="minorHAnsi" w:hAnsiTheme="minorHAnsi"/>
                <w:color w:val="000000"/>
                <w:sz w:val="22"/>
                <w:szCs w:val="22"/>
                <w:lang w:eastAsia="en-AU"/>
              </w:rPr>
            </w:pPr>
            <w:r w:rsidRPr="00BF02C7">
              <w:rPr>
                <w:rFonts w:asciiTheme="minorHAnsi" w:hAnsiTheme="minorHAnsi"/>
                <w:color w:val="000000"/>
                <w:sz w:val="22"/>
                <w:szCs w:val="22"/>
                <w:u w:val="single"/>
                <w:lang w:eastAsia="en-AU"/>
              </w:rPr>
              <w:t>On</w:t>
            </w:r>
            <w:r w:rsidRPr="004E2AF8">
              <w:rPr>
                <w:rFonts w:asciiTheme="minorHAnsi" w:hAnsiTheme="minorHAnsi"/>
                <w:color w:val="000000"/>
                <w:sz w:val="22"/>
                <w:szCs w:val="22"/>
                <w:u w:val="single"/>
                <w:lang w:eastAsia="en-AU"/>
              </w:rPr>
              <w:t xml:space="preserve"> </w:t>
            </w:r>
            <w:r w:rsidRPr="00BF02C7">
              <w:rPr>
                <w:rFonts w:asciiTheme="minorHAnsi" w:hAnsiTheme="minorHAnsi"/>
                <w:color w:val="000000"/>
                <w:sz w:val="22"/>
                <w:szCs w:val="22"/>
                <w:u w:val="single"/>
                <w:lang w:eastAsia="en-AU"/>
              </w:rPr>
              <w:t>costs</w:t>
            </w:r>
            <w:r w:rsidRPr="00BF02C7">
              <w:rPr>
                <w:rFonts w:asciiTheme="minorHAnsi" w:hAnsiTheme="minorHAnsi"/>
                <w:color w:val="000000"/>
                <w:sz w:val="22"/>
                <w:szCs w:val="22"/>
                <w:lang w:eastAsia="en-AU"/>
              </w:rPr>
              <w:t xml:space="preserve"> @ 20%</w:t>
            </w:r>
          </w:p>
        </w:tc>
        <w:tc>
          <w:tcPr>
            <w:tcW w:w="1222" w:type="dxa"/>
            <w:shd w:val="clear" w:color="auto" w:fill="auto"/>
            <w:noWrap/>
            <w:vAlign w:val="center"/>
            <w:hideMark/>
          </w:tcPr>
          <w:p w:rsidR="00F7444A" w:rsidRPr="00BF02C7" w:rsidRDefault="00F7444A" w:rsidP="006578CC">
            <w:pPr>
              <w:spacing w:line="276" w:lineRule="auto"/>
              <w:rPr>
                <w:rFonts w:asciiTheme="minorHAnsi" w:hAnsiTheme="minorHAnsi"/>
                <w:color w:val="000000"/>
                <w:sz w:val="22"/>
                <w:szCs w:val="22"/>
                <w:lang w:eastAsia="en-AU"/>
              </w:rPr>
            </w:pPr>
            <w:r w:rsidRPr="00BF02C7">
              <w:rPr>
                <w:rFonts w:asciiTheme="minorHAnsi" w:hAnsiTheme="minorHAnsi"/>
                <w:color w:val="000000"/>
                <w:sz w:val="22"/>
                <w:szCs w:val="22"/>
                <w:lang w:eastAsia="en-AU"/>
              </w:rPr>
              <w:t> </w:t>
            </w:r>
          </w:p>
        </w:tc>
        <w:tc>
          <w:tcPr>
            <w:tcW w:w="1755" w:type="dxa"/>
            <w:vAlign w:val="center"/>
          </w:tcPr>
          <w:p w:rsidR="00F7444A" w:rsidRPr="004E2AF8" w:rsidRDefault="00F7444A" w:rsidP="006578CC">
            <w:pPr>
              <w:spacing w:line="276" w:lineRule="auto"/>
              <w:jc w:val="right"/>
              <w:rPr>
                <w:rFonts w:asciiTheme="minorHAnsi" w:hAnsiTheme="minorHAnsi"/>
                <w:b/>
                <w:bCs/>
                <w:color w:val="000000"/>
                <w:sz w:val="22"/>
                <w:szCs w:val="22"/>
                <w:lang w:eastAsia="en-AU"/>
              </w:rPr>
            </w:pPr>
          </w:p>
        </w:tc>
        <w:tc>
          <w:tcPr>
            <w:tcW w:w="1621" w:type="dxa"/>
            <w:tcBorders>
              <w:right w:val="single" w:sz="4" w:space="0" w:color="auto"/>
            </w:tcBorders>
            <w:shd w:val="clear" w:color="auto" w:fill="auto"/>
            <w:noWrap/>
            <w:vAlign w:val="center"/>
            <w:hideMark/>
          </w:tcPr>
          <w:p w:rsidR="00F7444A" w:rsidRPr="00BF02C7" w:rsidRDefault="00F7444A" w:rsidP="006578CC">
            <w:pPr>
              <w:spacing w:line="276" w:lineRule="auto"/>
              <w:ind w:right="95"/>
              <w:jc w:val="right"/>
              <w:rPr>
                <w:rFonts w:asciiTheme="minorHAnsi" w:hAnsiTheme="minorHAnsi"/>
                <w:bCs/>
                <w:color w:val="000000"/>
                <w:sz w:val="22"/>
                <w:szCs w:val="22"/>
                <w:lang w:eastAsia="en-AU"/>
              </w:rPr>
            </w:pPr>
            <w:r w:rsidRPr="00BF02C7">
              <w:rPr>
                <w:rFonts w:asciiTheme="minorHAnsi" w:hAnsiTheme="minorHAnsi"/>
                <w:bCs/>
                <w:color w:val="000000"/>
                <w:sz w:val="22"/>
                <w:szCs w:val="22"/>
                <w:lang w:eastAsia="en-AU"/>
              </w:rPr>
              <w:t xml:space="preserve">96,073 </w:t>
            </w:r>
          </w:p>
        </w:tc>
      </w:tr>
      <w:tr w:rsidR="00F7444A" w:rsidRPr="00BF02C7" w:rsidTr="006578CC">
        <w:trPr>
          <w:trHeight w:val="467"/>
        </w:trPr>
        <w:tc>
          <w:tcPr>
            <w:tcW w:w="4551" w:type="dxa"/>
            <w:gridSpan w:val="2"/>
            <w:tcBorders>
              <w:left w:val="single" w:sz="4" w:space="0" w:color="auto"/>
            </w:tcBorders>
            <w:shd w:val="clear" w:color="auto" w:fill="auto"/>
            <w:noWrap/>
            <w:vAlign w:val="center"/>
          </w:tcPr>
          <w:p w:rsidR="00F7444A" w:rsidRPr="006F44AA" w:rsidRDefault="00F7444A" w:rsidP="006578CC">
            <w:pPr>
              <w:spacing w:line="276" w:lineRule="auto"/>
              <w:ind w:left="191"/>
              <w:rPr>
                <w:rFonts w:asciiTheme="minorHAnsi" w:hAnsiTheme="minorHAnsi"/>
                <w:color w:val="000000"/>
                <w:sz w:val="22"/>
                <w:szCs w:val="22"/>
                <w:u w:val="single"/>
                <w:lang w:eastAsia="en-AU"/>
              </w:rPr>
            </w:pPr>
            <w:r>
              <w:rPr>
                <w:rFonts w:asciiTheme="minorHAnsi" w:hAnsiTheme="minorHAnsi"/>
                <w:color w:val="000000"/>
                <w:sz w:val="22"/>
                <w:szCs w:val="22"/>
                <w:u w:val="single"/>
                <w:lang w:eastAsia="en-AU"/>
              </w:rPr>
              <w:t>A</w:t>
            </w:r>
            <w:r w:rsidRPr="006F44AA">
              <w:rPr>
                <w:rFonts w:asciiTheme="minorHAnsi" w:hAnsiTheme="minorHAnsi"/>
                <w:color w:val="000000"/>
                <w:sz w:val="22"/>
                <w:szCs w:val="22"/>
                <w:u w:val="single"/>
                <w:lang w:eastAsia="en-AU"/>
              </w:rPr>
              <w:t>dministration costs and overheads</w:t>
            </w:r>
            <w:r w:rsidR="00840A4C">
              <w:rPr>
                <w:rStyle w:val="FootnoteReference"/>
                <w:rFonts w:asciiTheme="minorHAnsi" w:hAnsiTheme="minorHAnsi"/>
                <w:color w:val="000000"/>
                <w:sz w:val="22"/>
                <w:szCs w:val="22"/>
                <w:u w:val="single"/>
                <w:lang w:eastAsia="en-AU"/>
              </w:rPr>
              <w:footnoteReference w:id="15"/>
            </w:r>
          </w:p>
        </w:tc>
        <w:tc>
          <w:tcPr>
            <w:tcW w:w="1222" w:type="dxa"/>
            <w:shd w:val="clear" w:color="auto" w:fill="auto"/>
            <w:noWrap/>
            <w:vAlign w:val="center"/>
          </w:tcPr>
          <w:p w:rsidR="00F7444A" w:rsidRPr="00BF02C7" w:rsidRDefault="00F7444A" w:rsidP="006578CC">
            <w:pPr>
              <w:spacing w:line="276" w:lineRule="auto"/>
              <w:rPr>
                <w:rFonts w:asciiTheme="minorHAnsi" w:hAnsiTheme="minorHAnsi"/>
                <w:color w:val="000000"/>
                <w:sz w:val="22"/>
                <w:szCs w:val="22"/>
                <w:lang w:eastAsia="en-AU"/>
              </w:rPr>
            </w:pPr>
          </w:p>
        </w:tc>
        <w:tc>
          <w:tcPr>
            <w:tcW w:w="1755" w:type="dxa"/>
            <w:vAlign w:val="center"/>
          </w:tcPr>
          <w:p w:rsidR="00F7444A" w:rsidRPr="004E2AF8" w:rsidRDefault="00F7444A" w:rsidP="006578CC">
            <w:pPr>
              <w:spacing w:line="276" w:lineRule="auto"/>
              <w:jc w:val="right"/>
              <w:rPr>
                <w:rFonts w:asciiTheme="minorHAnsi" w:hAnsiTheme="minorHAnsi"/>
                <w:b/>
                <w:bCs/>
                <w:color w:val="000000"/>
                <w:sz w:val="22"/>
                <w:szCs w:val="22"/>
                <w:lang w:eastAsia="en-AU"/>
              </w:rPr>
            </w:pPr>
          </w:p>
        </w:tc>
        <w:tc>
          <w:tcPr>
            <w:tcW w:w="1621" w:type="dxa"/>
            <w:tcBorders>
              <w:right w:val="single" w:sz="4" w:space="0" w:color="auto"/>
            </w:tcBorders>
            <w:shd w:val="clear" w:color="auto" w:fill="auto"/>
            <w:noWrap/>
            <w:vAlign w:val="center"/>
          </w:tcPr>
          <w:p w:rsidR="00F7444A" w:rsidRPr="00D22C1D" w:rsidRDefault="00F7444A" w:rsidP="006578CC">
            <w:pPr>
              <w:spacing w:line="276" w:lineRule="auto"/>
              <w:ind w:right="95"/>
              <w:jc w:val="right"/>
              <w:rPr>
                <w:rFonts w:asciiTheme="minorHAnsi" w:hAnsiTheme="minorHAnsi"/>
                <w:bCs/>
                <w:color w:val="000000"/>
                <w:sz w:val="22"/>
                <w:szCs w:val="22"/>
                <w:lang w:eastAsia="en-AU"/>
              </w:rPr>
            </w:pPr>
            <w:r>
              <w:rPr>
                <w:rFonts w:asciiTheme="minorHAnsi" w:hAnsiTheme="minorHAnsi"/>
                <w:bCs/>
                <w:color w:val="000000"/>
                <w:sz w:val="22"/>
                <w:szCs w:val="22"/>
                <w:lang w:eastAsia="en-AU"/>
              </w:rPr>
              <w:t>207,919</w:t>
            </w:r>
          </w:p>
        </w:tc>
      </w:tr>
      <w:tr w:rsidR="00F7444A" w:rsidRPr="00BF02C7" w:rsidTr="006578CC">
        <w:trPr>
          <w:trHeight w:val="712"/>
        </w:trPr>
        <w:tc>
          <w:tcPr>
            <w:tcW w:w="4551" w:type="dxa"/>
            <w:gridSpan w:val="2"/>
            <w:tcBorders>
              <w:left w:val="single" w:sz="4" w:space="0" w:color="auto"/>
            </w:tcBorders>
            <w:shd w:val="clear" w:color="auto" w:fill="auto"/>
            <w:noWrap/>
            <w:vAlign w:val="center"/>
          </w:tcPr>
          <w:p w:rsidR="00F7444A" w:rsidRDefault="00F7444A" w:rsidP="00A9381A">
            <w:pPr>
              <w:spacing w:line="276" w:lineRule="auto"/>
              <w:ind w:left="191"/>
              <w:rPr>
                <w:rFonts w:asciiTheme="minorHAnsi" w:hAnsiTheme="minorHAnsi"/>
                <w:color w:val="000000"/>
                <w:sz w:val="22"/>
                <w:szCs w:val="22"/>
                <w:u w:val="single"/>
                <w:lang w:eastAsia="en-AU"/>
              </w:rPr>
            </w:pPr>
            <w:r w:rsidRPr="004E2AF8">
              <w:rPr>
                <w:rFonts w:asciiTheme="minorHAnsi" w:hAnsiTheme="minorHAnsi"/>
                <w:b/>
                <w:bCs/>
                <w:color w:val="000000"/>
                <w:sz w:val="22"/>
                <w:szCs w:val="22"/>
                <w:lang w:eastAsia="en-AU"/>
              </w:rPr>
              <w:t>Total salaries</w:t>
            </w:r>
            <w:r w:rsidR="00A9381A">
              <w:rPr>
                <w:rFonts w:asciiTheme="minorHAnsi" w:hAnsiTheme="minorHAnsi"/>
                <w:b/>
                <w:bCs/>
                <w:color w:val="000000"/>
                <w:sz w:val="22"/>
                <w:szCs w:val="22"/>
                <w:lang w:eastAsia="en-AU"/>
              </w:rPr>
              <w:t xml:space="preserve">, </w:t>
            </w:r>
            <w:r w:rsidRPr="004E2AF8">
              <w:rPr>
                <w:rFonts w:asciiTheme="minorHAnsi" w:hAnsiTheme="minorHAnsi"/>
                <w:b/>
                <w:bCs/>
                <w:color w:val="000000"/>
                <w:sz w:val="22"/>
                <w:szCs w:val="22"/>
                <w:lang w:eastAsia="en-AU"/>
              </w:rPr>
              <w:t xml:space="preserve"> o</w:t>
            </w:r>
            <w:r w:rsidRPr="00BF02C7">
              <w:rPr>
                <w:rFonts w:asciiTheme="minorHAnsi" w:hAnsiTheme="minorHAnsi"/>
                <w:b/>
                <w:bCs/>
                <w:color w:val="000000"/>
                <w:sz w:val="22"/>
                <w:szCs w:val="22"/>
                <w:lang w:eastAsia="en-AU"/>
              </w:rPr>
              <w:t>n</w:t>
            </w:r>
            <w:r w:rsidRPr="004E2AF8">
              <w:rPr>
                <w:rFonts w:asciiTheme="minorHAnsi" w:hAnsiTheme="minorHAnsi"/>
                <w:b/>
                <w:bCs/>
                <w:color w:val="000000"/>
                <w:sz w:val="22"/>
                <w:szCs w:val="22"/>
                <w:lang w:eastAsia="en-AU"/>
              </w:rPr>
              <w:t xml:space="preserve"> </w:t>
            </w:r>
            <w:r w:rsidRPr="00BF02C7">
              <w:rPr>
                <w:rFonts w:asciiTheme="minorHAnsi" w:hAnsiTheme="minorHAnsi"/>
                <w:b/>
                <w:bCs/>
                <w:color w:val="000000"/>
                <w:sz w:val="22"/>
                <w:szCs w:val="22"/>
                <w:lang w:eastAsia="en-AU"/>
              </w:rPr>
              <w:t>costs</w:t>
            </w:r>
            <w:r w:rsidR="00A9381A" w:rsidRPr="004E2AF8">
              <w:rPr>
                <w:rFonts w:asciiTheme="minorHAnsi" w:hAnsiTheme="minorHAnsi"/>
                <w:b/>
                <w:bCs/>
                <w:color w:val="000000"/>
                <w:sz w:val="22"/>
                <w:szCs w:val="22"/>
                <w:lang w:eastAsia="en-AU"/>
              </w:rPr>
              <w:t xml:space="preserve"> and</w:t>
            </w:r>
            <w:r w:rsidR="00A9381A">
              <w:rPr>
                <w:rFonts w:asciiTheme="minorHAnsi" w:hAnsiTheme="minorHAnsi"/>
                <w:b/>
                <w:bCs/>
                <w:color w:val="000000"/>
                <w:sz w:val="22"/>
                <w:szCs w:val="22"/>
                <w:lang w:eastAsia="en-AU"/>
              </w:rPr>
              <w:t xml:space="preserve"> overheads</w:t>
            </w:r>
          </w:p>
        </w:tc>
        <w:tc>
          <w:tcPr>
            <w:tcW w:w="1222" w:type="dxa"/>
            <w:shd w:val="clear" w:color="auto" w:fill="auto"/>
            <w:noWrap/>
            <w:vAlign w:val="center"/>
          </w:tcPr>
          <w:p w:rsidR="00F7444A" w:rsidRPr="00BF02C7" w:rsidRDefault="00F7444A" w:rsidP="006578CC">
            <w:pPr>
              <w:spacing w:line="276" w:lineRule="auto"/>
              <w:rPr>
                <w:rFonts w:asciiTheme="minorHAnsi" w:hAnsiTheme="minorHAnsi"/>
                <w:color w:val="000000"/>
                <w:sz w:val="22"/>
                <w:szCs w:val="22"/>
                <w:lang w:eastAsia="en-AU"/>
              </w:rPr>
            </w:pPr>
            <w:r w:rsidRPr="00BF02C7">
              <w:rPr>
                <w:rFonts w:asciiTheme="minorHAnsi" w:hAnsiTheme="minorHAnsi"/>
                <w:color w:val="000000"/>
                <w:sz w:val="22"/>
                <w:szCs w:val="22"/>
                <w:lang w:eastAsia="en-AU"/>
              </w:rPr>
              <w:t> </w:t>
            </w:r>
          </w:p>
        </w:tc>
        <w:tc>
          <w:tcPr>
            <w:tcW w:w="1755" w:type="dxa"/>
            <w:vAlign w:val="center"/>
          </w:tcPr>
          <w:p w:rsidR="00F7444A" w:rsidRPr="004E2AF8" w:rsidRDefault="00F7444A" w:rsidP="006578CC">
            <w:pPr>
              <w:spacing w:line="276" w:lineRule="auto"/>
              <w:jc w:val="right"/>
              <w:rPr>
                <w:rFonts w:asciiTheme="minorHAnsi" w:hAnsiTheme="minorHAnsi"/>
                <w:b/>
                <w:bCs/>
                <w:color w:val="000000"/>
                <w:sz w:val="22"/>
                <w:szCs w:val="22"/>
                <w:lang w:eastAsia="en-AU"/>
              </w:rPr>
            </w:pPr>
          </w:p>
        </w:tc>
        <w:tc>
          <w:tcPr>
            <w:tcW w:w="1621" w:type="dxa"/>
            <w:tcBorders>
              <w:right w:val="single" w:sz="4" w:space="0" w:color="auto"/>
            </w:tcBorders>
            <w:shd w:val="clear" w:color="auto" w:fill="auto"/>
            <w:noWrap/>
            <w:vAlign w:val="center"/>
          </w:tcPr>
          <w:p w:rsidR="00F7444A" w:rsidRDefault="00D41A09" w:rsidP="00CF1275">
            <w:pPr>
              <w:spacing w:line="276" w:lineRule="auto"/>
              <w:ind w:right="95"/>
              <w:jc w:val="right"/>
              <w:rPr>
                <w:rFonts w:asciiTheme="minorHAnsi" w:hAnsiTheme="minorHAnsi"/>
                <w:bCs/>
                <w:color w:val="000000"/>
                <w:sz w:val="22"/>
                <w:szCs w:val="22"/>
                <w:lang w:eastAsia="en-AU"/>
              </w:rPr>
            </w:pPr>
            <w:r>
              <w:rPr>
                <w:rFonts w:asciiTheme="minorHAnsi" w:hAnsiTheme="minorHAnsi"/>
                <w:b/>
                <w:bCs/>
                <w:color w:val="000000"/>
                <w:sz w:val="22"/>
                <w:szCs w:val="22"/>
                <w:u w:val="single"/>
                <w:lang w:eastAsia="en-AU"/>
              </w:rPr>
              <w:t>784,35</w:t>
            </w:r>
            <w:r w:rsidR="00CF1275">
              <w:rPr>
                <w:rFonts w:asciiTheme="minorHAnsi" w:hAnsiTheme="minorHAnsi"/>
                <w:b/>
                <w:bCs/>
                <w:color w:val="000000"/>
                <w:sz w:val="22"/>
                <w:szCs w:val="22"/>
                <w:u w:val="single"/>
                <w:lang w:eastAsia="en-AU"/>
              </w:rPr>
              <w:t>8</w:t>
            </w:r>
            <w:r w:rsidR="00F7444A" w:rsidRPr="0019396A">
              <w:rPr>
                <w:rFonts w:asciiTheme="minorHAnsi" w:hAnsiTheme="minorHAnsi"/>
                <w:b/>
                <w:bCs/>
                <w:color w:val="000000"/>
                <w:sz w:val="22"/>
                <w:szCs w:val="22"/>
                <w:u w:val="single"/>
                <w:lang w:eastAsia="en-AU"/>
              </w:rPr>
              <w:t xml:space="preserve"> </w:t>
            </w:r>
          </w:p>
        </w:tc>
      </w:tr>
      <w:tr w:rsidR="00F7444A" w:rsidRPr="00BF02C7" w:rsidTr="006578CC">
        <w:trPr>
          <w:trHeight w:val="584"/>
        </w:trPr>
        <w:tc>
          <w:tcPr>
            <w:tcW w:w="4551" w:type="dxa"/>
            <w:gridSpan w:val="2"/>
            <w:tcBorders>
              <w:left w:val="single" w:sz="4" w:space="0" w:color="auto"/>
            </w:tcBorders>
            <w:shd w:val="clear" w:color="auto" w:fill="auto"/>
            <w:noWrap/>
            <w:vAlign w:val="center"/>
          </w:tcPr>
          <w:p w:rsidR="00F7444A" w:rsidRPr="004E2AF8" w:rsidRDefault="00F9620C" w:rsidP="006578CC">
            <w:pPr>
              <w:spacing w:line="276" w:lineRule="auto"/>
              <w:ind w:left="191"/>
              <w:rPr>
                <w:rFonts w:asciiTheme="minorHAnsi" w:hAnsiTheme="minorHAnsi"/>
                <w:b/>
                <w:bCs/>
                <w:color w:val="000000"/>
                <w:sz w:val="22"/>
                <w:szCs w:val="22"/>
                <w:lang w:eastAsia="en-AU"/>
              </w:rPr>
            </w:pPr>
            <w:r>
              <w:rPr>
                <w:rFonts w:asciiTheme="minorHAnsi" w:hAnsiTheme="minorHAnsi"/>
                <w:color w:val="000000"/>
                <w:sz w:val="22"/>
                <w:szCs w:val="22"/>
                <w:u w:val="single"/>
                <w:lang w:eastAsia="en-AU"/>
              </w:rPr>
              <w:t>Indirect</w:t>
            </w:r>
            <w:r w:rsidR="00F7444A" w:rsidRPr="004E2AF8">
              <w:rPr>
                <w:rFonts w:asciiTheme="minorHAnsi" w:hAnsiTheme="minorHAnsi"/>
                <w:color w:val="000000"/>
                <w:sz w:val="22"/>
                <w:szCs w:val="22"/>
                <w:u w:val="single"/>
                <w:lang w:eastAsia="en-AU"/>
              </w:rPr>
              <w:t xml:space="preserve"> Costs</w:t>
            </w:r>
            <w:r w:rsidR="00F7444A" w:rsidRPr="00BF02C7">
              <w:rPr>
                <w:rFonts w:asciiTheme="minorHAnsi" w:hAnsiTheme="minorHAnsi"/>
                <w:b/>
                <w:bCs/>
                <w:color w:val="000000"/>
                <w:sz w:val="22"/>
                <w:szCs w:val="22"/>
                <w:lang w:eastAsia="en-AU"/>
              </w:rPr>
              <w:t> </w:t>
            </w:r>
          </w:p>
        </w:tc>
        <w:tc>
          <w:tcPr>
            <w:tcW w:w="1222" w:type="dxa"/>
            <w:shd w:val="clear" w:color="auto" w:fill="auto"/>
            <w:noWrap/>
            <w:vAlign w:val="center"/>
          </w:tcPr>
          <w:p w:rsidR="00F7444A" w:rsidRPr="00BF02C7" w:rsidRDefault="00F7444A" w:rsidP="006578CC">
            <w:pPr>
              <w:spacing w:line="276" w:lineRule="auto"/>
              <w:rPr>
                <w:rFonts w:asciiTheme="minorHAnsi" w:hAnsiTheme="minorHAnsi"/>
                <w:color w:val="000000"/>
                <w:sz w:val="22"/>
                <w:szCs w:val="22"/>
                <w:lang w:eastAsia="en-AU"/>
              </w:rPr>
            </w:pPr>
          </w:p>
        </w:tc>
        <w:tc>
          <w:tcPr>
            <w:tcW w:w="1755" w:type="dxa"/>
            <w:vAlign w:val="center"/>
          </w:tcPr>
          <w:p w:rsidR="00F7444A" w:rsidRPr="004E2AF8" w:rsidRDefault="00F7444A" w:rsidP="006578CC">
            <w:pPr>
              <w:spacing w:line="276" w:lineRule="auto"/>
              <w:jc w:val="right"/>
              <w:rPr>
                <w:rFonts w:asciiTheme="minorHAnsi" w:hAnsiTheme="minorHAnsi"/>
                <w:b/>
                <w:bCs/>
                <w:color w:val="000000"/>
                <w:sz w:val="22"/>
                <w:szCs w:val="22"/>
                <w:lang w:eastAsia="en-AU"/>
              </w:rPr>
            </w:pPr>
          </w:p>
        </w:tc>
        <w:tc>
          <w:tcPr>
            <w:tcW w:w="1621" w:type="dxa"/>
            <w:tcBorders>
              <w:right w:val="single" w:sz="4" w:space="0" w:color="auto"/>
            </w:tcBorders>
            <w:shd w:val="clear" w:color="auto" w:fill="auto"/>
            <w:noWrap/>
            <w:vAlign w:val="center"/>
          </w:tcPr>
          <w:p w:rsidR="00F7444A" w:rsidRPr="0019396A" w:rsidRDefault="00F7444A" w:rsidP="006578CC">
            <w:pPr>
              <w:spacing w:line="276" w:lineRule="auto"/>
              <w:ind w:right="95"/>
              <w:jc w:val="right"/>
              <w:rPr>
                <w:rFonts w:asciiTheme="minorHAnsi" w:hAnsiTheme="minorHAnsi"/>
                <w:b/>
                <w:bCs/>
                <w:color w:val="000000"/>
                <w:sz w:val="22"/>
                <w:szCs w:val="22"/>
                <w:u w:val="single"/>
                <w:lang w:eastAsia="en-AU"/>
              </w:rPr>
            </w:pPr>
          </w:p>
        </w:tc>
      </w:tr>
      <w:tr w:rsidR="00F7444A" w:rsidRPr="00BF02C7" w:rsidTr="006578CC">
        <w:trPr>
          <w:trHeight w:val="584"/>
        </w:trPr>
        <w:tc>
          <w:tcPr>
            <w:tcW w:w="7528" w:type="dxa"/>
            <w:gridSpan w:val="4"/>
            <w:tcBorders>
              <w:left w:val="single" w:sz="4" w:space="0" w:color="auto"/>
            </w:tcBorders>
            <w:shd w:val="clear" w:color="auto" w:fill="auto"/>
            <w:noWrap/>
            <w:vAlign w:val="center"/>
          </w:tcPr>
          <w:p w:rsidR="00F7444A" w:rsidRPr="00A426D2" w:rsidRDefault="00F7444A" w:rsidP="007232E7">
            <w:pPr>
              <w:spacing w:line="276" w:lineRule="auto"/>
              <w:ind w:left="191" w:right="601"/>
              <w:rPr>
                <w:rFonts w:asciiTheme="minorHAnsi" w:hAnsiTheme="minorHAnsi"/>
                <w:color w:val="000000"/>
                <w:sz w:val="22"/>
                <w:szCs w:val="22"/>
                <w:lang w:eastAsia="en-AU"/>
              </w:rPr>
            </w:pPr>
            <w:r w:rsidRPr="00A426D2">
              <w:rPr>
                <w:rFonts w:asciiTheme="minorHAnsi" w:hAnsiTheme="minorHAnsi"/>
                <w:color w:val="000000"/>
                <w:sz w:val="22"/>
                <w:szCs w:val="22"/>
                <w:lang w:eastAsia="en-AU"/>
              </w:rPr>
              <w:t>Direct IT costs, valuation costs, costs directly associated with the ongoing maintenance of the land tax database and clearance certificate online system</w:t>
            </w:r>
          </w:p>
        </w:tc>
        <w:tc>
          <w:tcPr>
            <w:tcW w:w="1621" w:type="dxa"/>
            <w:tcBorders>
              <w:right w:val="single" w:sz="4" w:space="0" w:color="auto"/>
            </w:tcBorders>
            <w:shd w:val="clear" w:color="auto" w:fill="auto"/>
            <w:noWrap/>
            <w:vAlign w:val="center"/>
          </w:tcPr>
          <w:p w:rsidR="00F7444A" w:rsidRPr="00BD3675" w:rsidRDefault="00F7444A" w:rsidP="00BD3675">
            <w:pPr>
              <w:spacing w:line="276" w:lineRule="auto"/>
              <w:ind w:right="95"/>
              <w:jc w:val="right"/>
              <w:rPr>
                <w:rFonts w:asciiTheme="minorHAnsi" w:hAnsiTheme="minorHAnsi"/>
                <w:bCs/>
                <w:color w:val="000000"/>
                <w:sz w:val="22"/>
                <w:szCs w:val="22"/>
                <w:lang w:eastAsia="en-AU"/>
              </w:rPr>
            </w:pPr>
            <w:r w:rsidRPr="004E2AF8">
              <w:rPr>
                <w:rFonts w:asciiTheme="minorHAnsi" w:hAnsiTheme="minorHAnsi"/>
                <w:bCs/>
                <w:color w:val="000000"/>
                <w:sz w:val="22"/>
                <w:szCs w:val="22"/>
                <w:lang w:eastAsia="en-AU"/>
              </w:rPr>
              <w:t>1,902,369</w:t>
            </w:r>
            <w:r w:rsidRPr="00BF02C7">
              <w:rPr>
                <w:rFonts w:asciiTheme="minorHAnsi" w:hAnsiTheme="minorHAnsi"/>
                <w:bCs/>
                <w:color w:val="000000"/>
                <w:sz w:val="22"/>
                <w:szCs w:val="22"/>
                <w:lang w:eastAsia="en-AU"/>
              </w:rPr>
              <w:t xml:space="preserve"> </w:t>
            </w:r>
          </w:p>
        </w:tc>
      </w:tr>
      <w:tr w:rsidR="00F7444A" w:rsidRPr="00BF02C7" w:rsidTr="006578CC">
        <w:trPr>
          <w:trHeight w:val="584"/>
        </w:trPr>
        <w:tc>
          <w:tcPr>
            <w:tcW w:w="4551" w:type="dxa"/>
            <w:gridSpan w:val="2"/>
            <w:tcBorders>
              <w:left w:val="single" w:sz="4" w:space="0" w:color="auto"/>
            </w:tcBorders>
            <w:shd w:val="clear" w:color="auto" w:fill="auto"/>
            <w:noWrap/>
            <w:vAlign w:val="center"/>
          </w:tcPr>
          <w:p w:rsidR="00F7444A" w:rsidRPr="00BD3675" w:rsidRDefault="00F7444A" w:rsidP="00F9620C">
            <w:pPr>
              <w:spacing w:line="276" w:lineRule="auto"/>
              <w:ind w:left="191"/>
              <w:rPr>
                <w:rFonts w:asciiTheme="minorHAnsi" w:hAnsiTheme="minorHAnsi"/>
                <w:b/>
                <w:color w:val="000000"/>
                <w:sz w:val="22"/>
                <w:szCs w:val="22"/>
                <w:lang w:eastAsia="en-AU"/>
              </w:rPr>
            </w:pPr>
            <w:r w:rsidRPr="00BD3675">
              <w:rPr>
                <w:rFonts w:asciiTheme="minorHAnsi" w:hAnsiTheme="minorHAnsi"/>
                <w:b/>
                <w:color w:val="000000"/>
                <w:sz w:val="22"/>
                <w:szCs w:val="22"/>
                <w:lang w:eastAsia="en-AU"/>
              </w:rPr>
              <w:t xml:space="preserve">Total </w:t>
            </w:r>
            <w:r w:rsidR="00F9620C">
              <w:rPr>
                <w:rFonts w:asciiTheme="minorHAnsi" w:hAnsiTheme="minorHAnsi"/>
                <w:b/>
                <w:color w:val="000000"/>
                <w:sz w:val="22"/>
                <w:szCs w:val="22"/>
                <w:lang w:eastAsia="en-AU"/>
              </w:rPr>
              <w:t>indirect</w:t>
            </w:r>
            <w:r w:rsidRPr="00BD3675">
              <w:rPr>
                <w:rFonts w:asciiTheme="minorHAnsi" w:hAnsiTheme="minorHAnsi"/>
                <w:b/>
                <w:color w:val="000000"/>
                <w:sz w:val="22"/>
                <w:szCs w:val="22"/>
                <w:lang w:eastAsia="en-AU"/>
              </w:rPr>
              <w:t xml:space="preserve"> costs</w:t>
            </w:r>
          </w:p>
        </w:tc>
        <w:tc>
          <w:tcPr>
            <w:tcW w:w="1222" w:type="dxa"/>
            <w:shd w:val="clear" w:color="auto" w:fill="auto"/>
            <w:noWrap/>
            <w:vAlign w:val="center"/>
          </w:tcPr>
          <w:p w:rsidR="00F7444A" w:rsidRPr="00BF02C7" w:rsidRDefault="00F7444A" w:rsidP="006578CC">
            <w:pPr>
              <w:spacing w:line="276" w:lineRule="auto"/>
              <w:rPr>
                <w:rFonts w:asciiTheme="minorHAnsi" w:hAnsiTheme="minorHAnsi"/>
                <w:color w:val="000000"/>
                <w:sz w:val="22"/>
                <w:szCs w:val="22"/>
                <w:lang w:eastAsia="en-AU"/>
              </w:rPr>
            </w:pPr>
          </w:p>
        </w:tc>
        <w:tc>
          <w:tcPr>
            <w:tcW w:w="1755" w:type="dxa"/>
            <w:vAlign w:val="center"/>
          </w:tcPr>
          <w:p w:rsidR="00F7444A" w:rsidRPr="004E2AF8" w:rsidRDefault="00F7444A" w:rsidP="006578CC">
            <w:pPr>
              <w:spacing w:line="276" w:lineRule="auto"/>
              <w:jc w:val="right"/>
              <w:rPr>
                <w:rFonts w:asciiTheme="minorHAnsi" w:hAnsiTheme="minorHAnsi"/>
                <w:b/>
                <w:bCs/>
                <w:color w:val="000000"/>
                <w:sz w:val="22"/>
                <w:szCs w:val="22"/>
                <w:lang w:eastAsia="en-AU"/>
              </w:rPr>
            </w:pPr>
          </w:p>
        </w:tc>
        <w:tc>
          <w:tcPr>
            <w:tcW w:w="1621" w:type="dxa"/>
            <w:tcBorders>
              <w:right w:val="single" w:sz="4" w:space="0" w:color="auto"/>
            </w:tcBorders>
            <w:shd w:val="clear" w:color="auto" w:fill="auto"/>
            <w:noWrap/>
            <w:vAlign w:val="center"/>
          </w:tcPr>
          <w:p w:rsidR="00F7444A" w:rsidRPr="00BD3675" w:rsidRDefault="00BD3675" w:rsidP="00BD3675">
            <w:pPr>
              <w:spacing w:line="276" w:lineRule="auto"/>
              <w:ind w:right="95"/>
              <w:jc w:val="right"/>
              <w:rPr>
                <w:rFonts w:asciiTheme="minorHAnsi" w:hAnsiTheme="minorHAnsi"/>
                <w:b/>
                <w:bCs/>
                <w:color w:val="000000"/>
                <w:sz w:val="22"/>
                <w:szCs w:val="22"/>
                <w:u w:val="single"/>
                <w:lang w:eastAsia="en-AU"/>
              </w:rPr>
            </w:pPr>
            <w:r w:rsidRPr="00BD3675">
              <w:rPr>
                <w:rFonts w:asciiTheme="minorHAnsi" w:hAnsiTheme="minorHAnsi"/>
                <w:b/>
                <w:bCs/>
                <w:color w:val="000000"/>
                <w:sz w:val="22"/>
                <w:szCs w:val="22"/>
                <w:u w:val="single"/>
                <w:lang w:eastAsia="en-AU"/>
              </w:rPr>
              <w:t xml:space="preserve">1,902,369 </w:t>
            </w:r>
          </w:p>
        </w:tc>
      </w:tr>
      <w:tr w:rsidR="00F7444A" w:rsidRPr="00BF02C7" w:rsidTr="006578CC">
        <w:trPr>
          <w:trHeight w:val="584"/>
        </w:trPr>
        <w:tc>
          <w:tcPr>
            <w:tcW w:w="4551" w:type="dxa"/>
            <w:gridSpan w:val="2"/>
            <w:tcBorders>
              <w:left w:val="single" w:sz="4" w:space="0" w:color="auto"/>
            </w:tcBorders>
            <w:shd w:val="clear" w:color="auto" w:fill="auto"/>
            <w:noWrap/>
            <w:vAlign w:val="center"/>
          </w:tcPr>
          <w:p w:rsidR="00F7444A" w:rsidRPr="00BD3675" w:rsidRDefault="00F7444A" w:rsidP="00BD3675">
            <w:pPr>
              <w:spacing w:line="276" w:lineRule="auto"/>
              <w:ind w:left="191"/>
              <w:rPr>
                <w:rFonts w:asciiTheme="minorHAnsi" w:hAnsiTheme="minorHAnsi"/>
                <w:b/>
                <w:color w:val="000000"/>
                <w:sz w:val="22"/>
                <w:szCs w:val="22"/>
                <w:lang w:eastAsia="en-AU"/>
              </w:rPr>
            </w:pPr>
            <w:r w:rsidRPr="00BD3675">
              <w:rPr>
                <w:rFonts w:asciiTheme="minorHAnsi" w:hAnsiTheme="minorHAnsi"/>
                <w:b/>
                <w:color w:val="000000"/>
                <w:sz w:val="22"/>
                <w:szCs w:val="22"/>
                <w:lang w:eastAsia="en-AU"/>
              </w:rPr>
              <w:t xml:space="preserve">Total Cost </w:t>
            </w:r>
          </w:p>
        </w:tc>
        <w:tc>
          <w:tcPr>
            <w:tcW w:w="1222" w:type="dxa"/>
            <w:shd w:val="clear" w:color="auto" w:fill="auto"/>
            <w:noWrap/>
            <w:vAlign w:val="center"/>
          </w:tcPr>
          <w:p w:rsidR="00F7444A" w:rsidRPr="0019396A" w:rsidRDefault="00F7444A" w:rsidP="006578CC">
            <w:pPr>
              <w:spacing w:line="276" w:lineRule="auto"/>
              <w:rPr>
                <w:rFonts w:asciiTheme="minorHAnsi" w:hAnsiTheme="minorHAnsi"/>
                <w:b/>
                <w:bCs/>
                <w:color w:val="000000"/>
                <w:sz w:val="22"/>
                <w:szCs w:val="22"/>
                <w:u w:val="single"/>
                <w:lang w:eastAsia="en-AU"/>
              </w:rPr>
            </w:pPr>
          </w:p>
        </w:tc>
        <w:tc>
          <w:tcPr>
            <w:tcW w:w="1755" w:type="dxa"/>
            <w:vAlign w:val="center"/>
          </w:tcPr>
          <w:p w:rsidR="00F7444A" w:rsidRPr="004E2AF8" w:rsidRDefault="00F7444A" w:rsidP="006578CC">
            <w:pPr>
              <w:spacing w:line="276" w:lineRule="auto"/>
              <w:jc w:val="right"/>
              <w:rPr>
                <w:rFonts w:asciiTheme="minorHAnsi" w:hAnsiTheme="minorHAnsi"/>
                <w:b/>
                <w:bCs/>
                <w:color w:val="000000"/>
                <w:sz w:val="22"/>
                <w:szCs w:val="22"/>
                <w:lang w:eastAsia="en-AU"/>
              </w:rPr>
            </w:pPr>
          </w:p>
        </w:tc>
        <w:tc>
          <w:tcPr>
            <w:tcW w:w="1621" w:type="dxa"/>
            <w:tcBorders>
              <w:right w:val="single" w:sz="4" w:space="0" w:color="auto"/>
            </w:tcBorders>
            <w:shd w:val="clear" w:color="auto" w:fill="auto"/>
            <w:noWrap/>
            <w:vAlign w:val="center"/>
          </w:tcPr>
          <w:p w:rsidR="00F7444A" w:rsidRPr="0019396A" w:rsidRDefault="00F7444A" w:rsidP="00CF1275">
            <w:pPr>
              <w:spacing w:line="276" w:lineRule="auto"/>
              <w:ind w:right="95"/>
              <w:jc w:val="right"/>
              <w:rPr>
                <w:rFonts w:asciiTheme="minorHAnsi" w:hAnsiTheme="minorHAnsi"/>
                <w:b/>
                <w:bCs/>
                <w:color w:val="000000"/>
                <w:sz w:val="22"/>
                <w:szCs w:val="22"/>
                <w:u w:val="single"/>
                <w:lang w:eastAsia="en-AU"/>
              </w:rPr>
            </w:pPr>
            <w:r w:rsidRPr="001C17AC">
              <w:rPr>
                <w:rFonts w:asciiTheme="minorHAnsi" w:hAnsiTheme="minorHAnsi"/>
                <w:b/>
                <w:bCs/>
                <w:color w:val="000000"/>
                <w:sz w:val="22"/>
                <w:szCs w:val="22"/>
                <w:u w:val="double"/>
                <w:lang w:eastAsia="en-AU"/>
              </w:rPr>
              <w:t>$2,686,72</w:t>
            </w:r>
            <w:r w:rsidR="00CF1275">
              <w:rPr>
                <w:rFonts w:asciiTheme="minorHAnsi" w:hAnsiTheme="minorHAnsi"/>
                <w:b/>
                <w:bCs/>
                <w:color w:val="000000"/>
                <w:sz w:val="22"/>
                <w:szCs w:val="22"/>
                <w:u w:val="double"/>
                <w:lang w:eastAsia="en-AU"/>
              </w:rPr>
              <w:t>7</w:t>
            </w:r>
          </w:p>
        </w:tc>
      </w:tr>
      <w:tr w:rsidR="00F7444A" w:rsidRPr="00BF02C7" w:rsidTr="006578CC">
        <w:trPr>
          <w:trHeight w:val="584"/>
        </w:trPr>
        <w:tc>
          <w:tcPr>
            <w:tcW w:w="7528" w:type="dxa"/>
            <w:gridSpan w:val="4"/>
            <w:tcBorders>
              <w:left w:val="single" w:sz="4" w:space="0" w:color="auto"/>
              <w:bottom w:val="single" w:sz="4" w:space="0" w:color="auto"/>
            </w:tcBorders>
            <w:shd w:val="clear" w:color="auto" w:fill="auto"/>
            <w:noWrap/>
            <w:vAlign w:val="center"/>
          </w:tcPr>
          <w:p w:rsidR="00F7444A" w:rsidRPr="004E2AF8" w:rsidRDefault="00F7444A" w:rsidP="00CF1275">
            <w:pPr>
              <w:spacing w:line="276" w:lineRule="auto"/>
              <w:ind w:left="191"/>
              <w:rPr>
                <w:rFonts w:asciiTheme="minorHAnsi" w:hAnsiTheme="minorHAnsi"/>
                <w:b/>
                <w:bCs/>
                <w:color w:val="000000"/>
                <w:sz w:val="22"/>
                <w:szCs w:val="22"/>
                <w:lang w:eastAsia="en-AU"/>
              </w:rPr>
            </w:pPr>
            <w:r w:rsidRPr="004E2AF8">
              <w:rPr>
                <w:rFonts w:asciiTheme="minorHAnsi" w:hAnsiTheme="minorHAnsi"/>
                <w:i/>
                <w:color w:val="000000"/>
                <w:sz w:val="22"/>
                <w:szCs w:val="22"/>
                <w:lang w:eastAsia="en-AU"/>
              </w:rPr>
              <w:t xml:space="preserve">Cost per </w:t>
            </w:r>
            <w:r w:rsidR="008561C9" w:rsidRPr="008561C9">
              <w:rPr>
                <w:rFonts w:asciiTheme="minorHAnsi" w:hAnsiTheme="minorHAnsi"/>
                <w:i/>
                <w:color w:val="000000"/>
                <w:sz w:val="22"/>
                <w:szCs w:val="22"/>
                <w:lang w:eastAsia="en-AU"/>
              </w:rPr>
              <w:t>application</w:t>
            </w:r>
            <w:r w:rsidR="008561C9" w:rsidRPr="004E2AF8">
              <w:rPr>
                <w:rFonts w:asciiTheme="minorHAnsi" w:hAnsiTheme="minorHAnsi"/>
                <w:color w:val="000000"/>
                <w:sz w:val="22"/>
                <w:szCs w:val="22"/>
                <w:lang w:eastAsia="en-AU"/>
              </w:rPr>
              <w:t xml:space="preserve"> </w:t>
            </w:r>
            <w:r w:rsidRPr="004E2AF8">
              <w:rPr>
                <w:rFonts w:asciiTheme="minorHAnsi" w:hAnsiTheme="minorHAnsi"/>
                <w:color w:val="000000"/>
                <w:sz w:val="22"/>
                <w:szCs w:val="22"/>
                <w:lang w:eastAsia="en-AU"/>
              </w:rPr>
              <w:t>(based on average 170,000 transactions</w:t>
            </w:r>
            <w:r w:rsidR="00C8267C">
              <w:rPr>
                <w:rStyle w:val="FootnoteReference"/>
                <w:rFonts w:asciiTheme="minorHAnsi" w:hAnsiTheme="minorHAnsi"/>
                <w:color w:val="000000"/>
                <w:sz w:val="22"/>
                <w:szCs w:val="22"/>
                <w:lang w:eastAsia="en-AU"/>
              </w:rPr>
              <w:footnoteReference w:id="16"/>
            </w:r>
            <w:r w:rsidRPr="004E2AF8">
              <w:rPr>
                <w:rFonts w:asciiTheme="minorHAnsi" w:hAnsiTheme="minorHAnsi"/>
                <w:color w:val="000000"/>
                <w:sz w:val="22"/>
                <w:szCs w:val="22"/>
                <w:lang w:eastAsia="en-AU"/>
              </w:rPr>
              <w:t>)</w:t>
            </w:r>
          </w:p>
        </w:tc>
        <w:tc>
          <w:tcPr>
            <w:tcW w:w="1621" w:type="dxa"/>
            <w:tcBorders>
              <w:bottom w:val="single" w:sz="4" w:space="0" w:color="auto"/>
              <w:right w:val="single" w:sz="4" w:space="0" w:color="auto"/>
            </w:tcBorders>
            <w:shd w:val="clear" w:color="auto" w:fill="auto"/>
            <w:noWrap/>
            <w:vAlign w:val="center"/>
          </w:tcPr>
          <w:p w:rsidR="00F7444A" w:rsidRPr="0019396A" w:rsidRDefault="00F7444A" w:rsidP="006578CC">
            <w:pPr>
              <w:spacing w:line="276" w:lineRule="auto"/>
              <w:ind w:right="95"/>
              <w:jc w:val="right"/>
              <w:rPr>
                <w:rFonts w:asciiTheme="minorHAnsi" w:hAnsiTheme="minorHAnsi"/>
                <w:b/>
                <w:bCs/>
                <w:color w:val="000000"/>
                <w:sz w:val="22"/>
                <w:szCs w:val="22"/>
                <w:u w:val="single"/>
                <w:lang w:eastAsia="en-AU"/>
              </w:rPr>
            </w:pPr>
            <w:r w:rsidRPr="004E2AF8">
              <w:rPr>
                <w:rFonts w:asciiTheme="minorHAnsi" w:hAnsiTheme="minorHAnsi"/>
                <w:bCs/>
                <w:i/>
                <w:color w:val="000000"/>
                <w:sz w:val="22"/>
                <w:szCs w:val="22"/>
                <w:lang w:eastAsia="en-AU"/>
              </w:rPr>
              <w:t>$15.80</w:t>
            </w:r>
          </w:p>
        </w:tc>
      </w:tr>
    </w:tbl>
    <w:p w:rsidR="00F7444A" w:rsidRDefault="00F7444A" w:rsidP="0043532C">
      <w:pPr>
        <w:pStyle w:val="Style14ptJustified"/>
        <w:keepLines/>
        <w:spacing w:before="240" w:after="240" w:line="276" w:lineRule="auto"/>
        <w:jc w:val="left"/>
        <w:rPr>
          <w:rFonts w:ascii="Verdana" w:eastAsiaTheme="minorHAnsi" w:hAnsi="Verdana" w:cs="Verdana"/>
          <w:color w:val="000000"/>
        </w:rPr>
      </w:pPr>
    </w:p>
    <w:p w:rsidR="009A794D" w:rsidRDefault="009A794D">
      <w:pPr>
        <w:spacing w:after="200" w:line="276" w:lineRule="auto"/>
        <w:rPr>
          <w:rFonts w:ascii="Verdana" w:eastAsiaTheme="minorHAnsi" w:hAnsi="Verdana" w:cs="Verdana"/>
          <w:color w:val="000000"/>
        </w:rPr>
      </w:pPr>
      <w:r>
        <w:br w:type="page"/>
      </w:r>
    </w:p>
    <w:p w:rsidR="00202AAC" w:rsidRPr="00202AAC" w:rsidRDefault="002D391B" w:rsidP="00840A4C">
      <w:pPr>
        <w:pStyle w:val="Heading1"/>
        <w:spacing w:after="120" w:line="276" w:lineRule="auto"/>
        <w:jc w:val="left"/>
        <w:rPr>
          <w:rFonts w:asciiTheme="minorHAnsi" w:hAnsiTheme="minorHAnsi"/>
          <w:sz w:val="32"/>
        </w:rPr>
      </w:pPr>
      <w:bookmarkStart w:id="25" w:name="_Toc432510196"/>
      <w:r>
        <w:rPr>
          <w:rFonts w:asciiTheme="minorHAnsi" w:hAnsiTheme="minorHAnsi"/>
          <w:sz w:val="32"/>
        </w:rPr>
        <w:lastRenderedPageBreak/>
        <w:t>Appendix</w:t>
      </w:r>
      <w:r w:rsidR="00202AAC" w:rsidRPr="00202AAC">
        <w:rPr>
          <w:rFonts w:asciiTheme="minorHAnsi" w:hAnsiTheme="minorHAnsi"/>
          <w:sz w:val="32"/>
        </w:rPr>
        <w:t xml:space="preserve"> </w:t>
      </w:r>
      <w:r>
        <w:rPr>
          <w:rFonts w:asciiTheme="minorHAnsi" w:hAnsiTheme="minorHAnsi"/>
          <w:sz w:val="32"/>
        </w:rPr>
        <w:t>2</w:t>
      </w:r>
      <w:r w:rsidR="00202AAC" w:rsidRPr="00202AAC">
        <w:rPr>
          <w:rFonts w:asciiTheme="minorHAnsi" w:hAnsiTheme="minorHAnsi"/>
          <w:sz w:val="32"/>
        </w:rPr>
        <w:t xml:space="preserve"> – </w:t>
      </w:r>
      <w:r>
        <w:rPr>
          <w:rFonts w:asciiTheme="minorHAnsi" w:hAnsiTheme="minorHAnsi"/>
          <w:sz w:val="32"/>
        </w:rPr>
        <w:t>Calculation of</w:t>
      </w:r>
      <w:r w:rsidR="00202AAC">
        <w:rPr>
          <w:rFonts w:asciiTheme="minorHAnsi" w:hAnsiTheme="minorHAnsi"/>
          <w:sz w:val="32"/>
        </w:rPr>
        <w:t xml:space="preserve"> </w:t>
      </w:r>
      <w:r w:rsidR="00202AAC" w:rsidRPr="00202AAC">
        <w:rPr>
          <w:rFonts w:asciiTheme="minorHAnsi" w:hAnsiTheme="minorHAnsi"/>
          <w:sz w:val="32"/>
        </w:rPr>
        <w:t xml:space="preserve">separate fees for online and paper applications </w:t>
      </w:r>
      <w:bookmarkEnd w:id="25"/>
    </w:p>
    <w:tbl>
      <w:tblPr>
        <w:tblW w:w="9796" w:type="dxa"/>
        <w:tblInd w:w="93" w:type="dxa"/>
        <w:tblLayout w:type="fixed"/>
        <w:tblLook w:val="04A0" w:firstRow="1" w:lastRow="0" w:firstColumn="1" w:lastColumn="0" w:noHBand="0" w:noVBand="1"/>
      </w:tblPr>
      <w:tblGrid>
        <w:gridCol w:w="3843"/>
        <w:gridCol w:w="708"/>
        <w:gridCol w:w="993"/>
        <w:gridCol w:w="1275"/>
        <w:gridCol w:w="709"/>
        <w:gridCol w:w="992"/>
        <w:gridCol w:w="1276"/>
      </w:tblGrid>
      <w:tr w:rsidR="00F961EA" w:rsidRPr="00360556" w:rsidTr="004B5333">
        <w:trPr>
          <w:trHeight w:val="414"/>
        </w:trPr>
        <w:tc>
          <w:tcPr>
            <w:tcW w:w="3843" w:type="dxa"/>
            <w:tcBorders>
              <w:top w:val="single" w:sz="4" w:space="0" w:color="auto"/>
              <w:left w:val="single" w:sz="4" w:space="0" w:color="auto"/>
              <w:bottom w:val="single" w:sz="4" w:space="0" w:color="auto"/>
              <w:right w:val="nil"/>
            </w:tcBorders>
            <w:shd w:val="clear" w:color="auto" w:fill="auto"/>
            <w:noWrap/>
            <w:vAlign w:val="center"/>
            <w:hideMark/>
          </w:tcPr>
          <w:p w:rsidR="00EA3C23" w:rsidRPr="00360556" w:rsidRDefault="00EA3C23" w:rsidP="00EF7875">
            <w:pPr>
              <w:rPr>
                <w:rFonts w:ascii="Calibri" w:hAnsi="Calibri"/>
                <w:b/>
                <w:bCs/>
                <w:color w:val="000000"/>
                <w:sz w:val="20"/>
                <w:szCs w:val="20"/>
                <w:u w:val="single"/>
                <w:lang w:eastAsia="en-AU"/>
              </w:rPr>
            </w:pPr>
          </w:p>
        </w:tc>
        <w:tc>
          <w:tcPr>
            <w:tcW w:w="2976" w:type="dxa"/>
            <w:gridSpan w:val="3"/>
            <w:tcBorders>
              <w:top w:val="single" w:sz="4" w:space="0" w:color="auto"/>
              <w:left w:val="nil"/>
              <w:bottom w:val="single" w:sz="4" w:space="0" w:color="auto"/>
              <w:right w:val="nil"/>
            </w:tcBorders>
            <w:shd w:val="clear" w:color="auto" w:fill="auto"/>
            <w:noWrap/>
            <w:vAlign w:val="center"/>
            <w:hideMark/>
          </w:tcPr>
          <w:p w:rsidR="00EA3C23" w:rsidRPr="00360556" w:rsidRDefault="00EA3C23" w:rsidP="00133B89">
            <w:pPr>
              <w:jc w:val="center"/>
              <w:rPr>
                <w:rFonts w:ascii="Calibri" w:hAnsi="Calibri"/>
                <w:b/>
                <w:bCs/>
                <w:color w:val="000000"/>
                <w:sz w:val="20"/>
                <w:szCs w:val="20"/>
                <w:u w:val="single"/>
                <w:lang w:eastAsia="en-AU"/>
              </w:rPr>
            </w:pPr>
            <w:r w:rsidRPr="00360556">
              <w:rPr>
                <w:rFonts w:ascii="Calibri" w:hAnsi="Calibri"/>
                <w:b/>
                <w:bCs/>
                <w:color w:val="000000"/>
                <w:sz w:val="20"/>
                <w:szCs w:val="20"/>
                <w:u w:val="single"/>
                <w:lang w:eastAsia="en-AU"/>
              </w:rPr>
              <w:t xml:space="preserve">Paper applications </w:t>
            </w:r>
          </w:p>
        </w:tc>
        <w:tc>
          <w:tcPr>
            <w:tcW w:w="2977" w:type="dxa"/>
            <w:gridSpan w:val="3"/>
            <w:tcBorders>
              <w:top w:val="single" w:sz="4" w:space="0" w:color="auto"/>
              <w:left w:val="nil"/>
              <w:bottom w:val="single" w:sz="4" w:space="0" w:color="auto"/>
              <w:right w:val="single" w:sz="4" w:space="0" w:color="auto"/>
            </w:tcBorders>
            <w:shd w:val="clear" w:color="auto" w:fill="auto"/>
            <w:noWrap/>
            <w:vAlign w:val="center"/>
            <w:hideMark/>
          </w:tcPr>
          <w:p w:rsidR="00EA3C23" w:rsidRPr="00360556" w:rsidRDefault="00EA3C23" w:rsidP="00EA3C23">
            <w:pPr>
              <w:jc w:val="center"/>
              <w:rPr>
                <w:rFonts w:ascii="Calibri" w:hAnsi="Calibri"/>
                <w:b/>
                <w:bCs/>
                <w:color w:val="000000"/>
                <w:sz w:val="20"/>
                <w:szCs w:val="20"/>
                <w:u w:val="single"/>
                <w:lang w:eastAsia="en-AU"/>
              </w:rPr>
            </w:pPr>
            <w:r w:rsidRPr="00360556">
              <w:rPr>
                <w:rFonts w:ascii="Calibri" w:hAnsi="Calibri"/>
                <w:b/>
                <w:bCs/>
                <w:color w:val="000000"/>
                <w:sz w:val="20"/>
                <w:szCs w:val="20"/>
                <w:u w:val="single"/>
                <w:lang w:eastAsia="en-AU"/>
              </w:rPr>
              <w:t xml:space="preserve">Online applications </w:t>
            </w:r>
          </w:p>
        </w:tc>
      </w:tr>
      <w:tr w:rsidR="00C24607" w:rsidRPr="00360556" w:rsidTr="004B5333">
        <w:trPr>
          <w:trHeight w:val="300"/>
        </w:trPr>
        <w:tc>
          <w:tcPr>
            <w:tcW w:w="3843" w:type="dxa"/>
            <w:tcBorders>
              <w:top w:val="single" w:sz="4" w:space="0" w:color="auto"/>
              <w:left w:val="single" w:sz="4" w:space="0" w:color="auto"/>
              <w:bottom w:val="nil"/>
              <w:right w:val="single" w:sz="4" w:space="0" w:color="auto"/>
            </w:tcBorders>
            <w:shd w:val="clear" w:color="auto" w:fill="auto"/>
            <w:noWrap/>
            <w:vAlign w:val="center"/>
            <w:hideMark/>
          </w:tcPr>
          <w:p w:rsidR="00C24607" w:rsidRPr="00360556" w:rsidRDefault="00C24607" w:rsidP="00EF7875">
            <w:pPr>
              <w:rPr>
                <w:rFonts w:ascii="Calibri" w:hAnsi="Calibri"/>
                <w:b/>
                <w:bCs/>
                <w:color w:val="000000"/>
                <w:sz w:val="20"/>
                <w:szCs w:val="20"/>
                <w:lang w:eastAsia="en-AU"/>
              </w:rPr>
            </w:pPr>
            <w:r w:rsidRPr="00360556">
              <w:rPr>
                <w:rFonts w:ascii="Calibri" w:hAnsi="Calibri"/>
                <w:color w:val="000000"/>
                <w:sz w:val="20"/>
                <w:szCs w:val="20"/>
                <w:u w:val="single"/>
                <w:lang w:eastAsia="en-AU"/>
              </w:rPr>
              <w:t>Variable Salary Costs</w:t>
            </w:r>
            <w:r w:rsidR="00CF4E7A" w:rsidRPr="00360556">
              <w:rPr>
                <w:rStyle w:val="FootnoteReference"/>
                <w:rFonts w:ascii="Calibri" w:hAnsi="Calibri"/>
                <w:color w:val="000000"/>
                <w:sz w:val="20"/>
                <w:szCs w:val="20"/>
                <w:u w:val="single"/>
                <w:lang w:eastAsia="en-AU"/>
              </w:rPr>
              <w:footnoteReference w:id="17"/>
            </w:r>
          </w:p>
        </w:tc>
        <w:tc>
          <w:tcPr>
            <w:tcW w:w="2976" w:type="dxa"/>
            <w:gridSpan w:val="3"/>
            <w:tcBorders>
              <w:top w:val="single" w:sz="4" w:space="0" w:color="auto"/>
              <w:left w:val="single" w:sz="4" w:space="0" w:color="auto"/>
              <w:bottom w:val="nil"/>
              <w:right w:val="single" w:sz="4" w:space="0" w:color="auto"/>
            </w:tcBorders>
            <w:shd w:val="clear" w:color="auto" w:fill="auto"/>
            <w:vAlign w:val="bottom"/>
          </w:tcPr>
          <w:p w:rsidR="00C24607" w:rsidRPr="00360556" w:rsidRDefault="00C24607" w:rsidP="00C24607">
            <w:pPr>
              <w:rPr>
                <w:rFonts w:ascii="Calibri" w:hAnsi="Calibri"/>
                <w:b/>
                <w:bCs/>
                <w:color w:val="000000"/>
                <w:sz w:val="20"/>
                <w:szCs w:val="20"/>
                <w:lang w:eastAsia="en-AU"/>
              </w:rPr>
            </w:pPr>
          </w:p>
        </w:tc>
        <w:tc>
          <w:tcPr>
            <w:tcW w:w="2977" w:type="dxa"/>
            <w:gridSpan w:val="3"/>
            <w:tcBorders>
              <w:top w:val="single" w:sz="4" w:space="0" w:color="auto"/>
              <w:left w:val="single" w:sz="4" w:space="0" w:color="auto"/>
              <w:bottom w:val="nil"/>
              <w:right w:val="single" w:sz="4" w:space="0" w:color="auto"/>
            </w:tcBorders>
            <w:shd w:val="clear" w:color="auto" w:fill="auto"/>
            <w:vAlign w:val="bottom"/>
          </w:tcPr>
          <w:p w:rsidR="00C24607" w:rsidRPr="00360556" w:rsidRDefault="00C24607" w:rsidP="00C24607">
            <w:pPr>
              <w:rPr>
                <w:rFonts w:ascii="Calibri" w:hAnsi="Calibri"/>
                <w:b/>
                <w:bCs/>
                <w:color w:val="000000"/>
                <w:sz w:val="20"/>
                <w:szCs w:val="20"/>
                <w:lang w:eastAsia="en-AU"/>
              </w:rPr>
            </w:pPr>
          </w:p>
        </w:tc>
      </w:tr>
      <w:tr w:rsidR="004B5333" w:rsidRPr="00360556" w:rsidTr="004B5333">
        <w:trPr>
          <w:trHeight w:val="517"/>
        </w:trPr>
        <w:tc>
          <w:tcPr>
            <w:tcW w:w="3843" w:type="dxa"/>
            <w:tcBorders>
              <w:top w:val="nil"/>
              <w:left w:val="single" w:sz="4" w:space="0" w:color="auto"/>
              <w:bottom w:val="nil"/>
              <w:right w:val="single" w:sz="4" w:space="0" w:color="auto"/>
            </w:tcBorders>
            <w:shd w:val="clear" w:color="auto" w:fill="auto"/>
            <w:noWrap/>
            <w:vAlign w:val="bottom"/>
            <w:hideMark/>
          </w:tcPr>
          <w:p w:rsidR="00EA3C23" w:rsidRPr="00360556" w:rsidRDefault="00EA3C23" w:rsidP="00EB66C0">
            <w:pPr>
              <w:ind w:left="49"/>
              <w:rPr>
                <w:rFonts w:ascii="Calibri" w:hAnsi="Calibri"/>
                <w:b/>
                <w:bCs/>
                <w:color w:val="000000"/>
                <w:sz w:val="20"/>
                <w:szCs w:val="20"/>
                <w:lang w:eastAsia="en-AU"/>
              </w:rPr>
            </w:pPr>
            <w:r w:rsidRPr="00360556">
              <w:rPr>
                <w:rFonts w:ascii="Calibri" w:hAnsi="Calibri"/>
                <w:b/>
                <w:bCs/>
                <w:color w:val="000000"/>
                <w:sz w:val="20"/>
                <w:szCs w:val="20"/>
                <w:lang w:eastAsia="en-AU"/>
              </w:rPr>
              <w:t xml:space="preserve">Grade </w:t>
            </w:r>
          </w:p>
        </w:tc>
        <w:tc>
          <w:tcPr>
            <w:tcW w:w="708" w:type="dxa"/>
            <w:tcBorders>
              <w:top w:val="nil"/>
              <w:left w:val="single" w:sz="4" w:space="0" w:color="auto"/>
              <w:bottom w:val="nil"/>
              <w:right w:val="nil"/>
            </w:tcBorders>
            <w:shd w:val="clear" w:color="auto" w:fill="auto"/>
            <w:noWrap/>
            <w:vAlign w:val="bottom"/>
            <w:hideMark/>
          </w:tcPr>
          <w:p w:rsidR="00EA3C23" w:rsidRPr="00360556" w:rsidRDefault="00EA3C23" w:rsidP="00EA3C23">
            <w:pPr>
              <w:jc w:val="center"/>
              <w:rPr>
                <w:rFonts w:ascii="Calibri" w:hAnsi="Calibri"/>
                <w:b/>
                <w:bCs/>
                <w:color w:val="000000"/>
                <w:sz w:val="20"/>
                <w:szCs w:val="20"/>
                <w:lang w:eastAsia="en-AU"/>
              </w:rPr>
            </w:pPr>
            <w:r w:rsidRPr="00360556">
              <w:rPr>
                <w:rFonts w:ascii="Calibri" w:hAnsi="Calibri"/>
                <w:b/>
                <w:bCs/>
                <w:color w:val="000000"/>
                <w:sz w:val="20"/>
                <w:szCs w:val="20"/>
                <w:lang w:eastAsia="en-AU"/>
              </w:rPr>
              <w:t>FTE</w:t>
            </w:r>
          </w:p>
        </w:tc>
        <w:tc>
          <w:tcPr>
            <w:tcW w:w="993" w:type="dxa"/>
            <w:tcBorders>
              <w:top w:val="nil"/>
              <w:left w:val="nil"/>
              <w:bottom w:val="nil"/>
              <w:right w:val="nil"/>
            </w:tcBorders>
            <w:shd w:val="clear" w:color="auto" w:fill="auto"/>
            <w:noWrap/>
            <w:vAlign w:val="bottom"/>
            <w:hideMark/>
          </w:tcPr>
          <w:p w:rsidR="00EA3C23" w:rsidRPr="00360556" w:rsidRDefault="00EA3C23" w:rsidP="00E0615A">
            <w:pPr>
              <w:jc w:val="center"/>
              <w:rPr>
                <w:rFonts w:ascii="Calibri" w:hAnsi="Calibri"/>
                <w:b/>
                <w:bCs/>
                <w:color w:val="000000"/>
                <w:sz w:val="20"/>
                <w:szCs w:val="20"/>
                <w:lang w:eastAsia="en-AU"/>
              </w:rPr>
            </w:pPr>
            <w:r w:rsidRPr="00360556">
              <w:rPr>
                <w:rFonts w:ascii="Calibri" w:hAnsi="Calibri"/>
                <w:b/>
                <w:bCs/>
                <w:color w:val="000000"/>
                <w:sz w:val="20"/>
                <w:szCs w:val="20"/>
                <w:lang w:eastAsia="en-AU"/>
              </w:rPr>
              <w:t>Salary Cost</w:t>
            </w:r>
            <w:r w:rsidR="00EB66C0" w:rsidRPr="00360556">
              <w:rPr>
                <w:rStyle w:val="FootnoteReference"/>
                <w:rFonts w:ascii="Calibri" w:hAnsi="Calibri"/>
                <w:b/>
                <w:bCs/>
                <w:color w:val="000000"/>
                <w:sz w:val="20"/>
                <w:szCs w:val="20"/>
                <w:lang w:eastAsia="en-AU"/>
              </w:rPr>
              <w:footnoteReference w:id="18"/>
            </w:r>
          </w:p>
        </w:tc>
        <w:tc>
          <w:tcPr>
            <w:tcW w:w="1275" w:type="dxa"/>
            <w:tcBorders>
              <w:top w:val="nil"/>
              <w:left w:val="nil"/>
              <w:bottom w:val="nil"/>
              <w:right w:val="single" w:sz="4" w:space="0" w:color="auto"/>
            </w:tcBorders>
            <w:shd w:val="clear" w:color="auto" w:fill="auto"/>
            <w:vAlign w:val="bottom"/>
            <w:hideMark/>
          </w:tcPr>
          <w:p w:rsidR="00EA3C23" w:rsidRPr="00360556" w:rsidRDefault="00EA3C23" w:rsidP="00E0615A">
            <w:pPr>
              <w:jc w:val="center"/>
              <w:rPr>
                <w:rFonts w:ascii="Calibri" w:hAnsi="Calibri"/>
                <w:b/>
                <w:bCs/>
                <w:color w:val="000000"/>
                <w:sz w:val="20"/>
                <w:szCs w:val="20"/>
                <w:lang w:eastAsia="en-AU"/>
              </w:rPr>
            </w:pPr>
            <w:r w:rsidRPr="00360556">
              <w:rPr>
                <w:rFonts w:ascii="Calibri" w:hAnsi="Calibri"/>
                <w:b/>
                <w:bCs/>
                <w:color w:val="000000"/>
                <w:sz w:val="20"/>
                <w:szCs w:val="20"/>
                <w:lang w:eastAsia="en-AU"/>
              </w:rPr>
              <w:t xml:space="preserve">Cost per </w:t>
            </w:r>
            <w:r w:rsidR="00EF7875" w:rsidRPr="00360556">
              <w:rPr>
                <w:rFonts w:ascii="Calibri" w:hAnsi="Calibri"/>
                <w:b/>
                <w:bCs/>
                <w:color w:val="000000"/>
                <w:sz w:val="20"/>
                <w:szCs w:val="20"/>
                <w:lang w:eastAsia="en-AU"/>
              </w:rPr>
              <w:t>application</w:t>
            </w:r>
          </w:p>
        </w:tc>
        <w:tc>
          <w:tcPr>
            <w:tcW w:w="709" w:type="dxa"/>
            <w:tcBorders>
              <w:top w:val="nil"/>
              <w:left w:val="single" w:sz="4" w:space="0" w:color="auto"/>
              <w:bottom w:val="nil"/>
              <w:right w:val="nil"/>
            </w:tcBorders>
            <w:shd w:val="clear" w:color="auto" w:fill="auto"/>
            <w:noWrap/>
            <w:vAlign w:val="bottom"/>
            <w:hideMark/>
          </w:tcPr>
          <w:p w:rsidR="00EA3C23" w:rsidRPr="00360556" w:rsidRDefault="00EA3C23" w:rsidP="00EA3C23">
            <w:pPr>
              <w:jc w:val="center"/>
              <w:rPr>
                <w:rFonts w:ascii="Calibri" w:hAnsi="Calibri"/>
                <w:b/>
                <w:bCs/>
                <w:color w:val="000000"/>
                <w:sz w:val="20"/>
                <w:szCs w:val="20"/>
                <w:lang w:eastAsia="en-AU"/>
              </w:rPr>
            </w:pPr>
            <w:r w:rsidRPr="00360556">
              <w:rPr>
                <w:rFonts w:ascii="Calibri" w:hAnsi="Calibri"/>
                <w:b/>
                <w:bCs/>
                <w:color w:val="000000"/>
                <w:sz w:val="20"/>
                <w:szCs w:val="20"/>
                <w:lang w:eastAsia="en-AU"/>
              </w:rPr>
              <w:t>FTE</w:t>
            </w:r>
          </w:p>
        </w:tc>
        <w:tc>
          <w:tcPr>
            <w:tcW w:w="992" w:type="dxa"/>
            <w:tcBorders>
              <w:top w:val="nil"/>
              <w:left w:val="nil"/>
              <w:bottom w:val="nil"/>
              <w:right w:val="nil"/>
            </w:tcBorders>
            <w:shd w:val="clear" w:color="auto" w:fill="auto"/>
            <w:noWrap/>
            <w:vAlign w:val="bottom"/>
            <w:hideMark/>
          </w:tcPr>
          <w:p w:rsidR="00EA3C23" w:rsidRPr="00360556" w:rsidRDefault="00EA3C23" w:rsidP="002C3FAB">
            <w:pPr>
              <w:jc w:val="center"/>
              <w:rPr>
                <w:rFonts w:ascii="Calibri" w:hAnsi="Calibri"/>
                <w:b/>
                <w:bCs/>
                <w:color w:val="000000"/>
                <w:sz w:val="20"/>
                <w:szCs w:val="20"/>
                <w:lang w:eastAsia="en-AU"/>
              </w:rPr>
            </w:pPr>
            <w:r w:rsidRPr="00360556">
              <w:rPr>
                <w:rFonts w:ascii="Calibri" w:hAnsi="Calibri"/>
                <w:b/>
                <w:bCs/>
                <w:color w:val="000000"/>
                <w:sz w:val="20"/>
                <w:szCs w:val="20"/>
                <w:lang w:eastAsia="en-AU"/>
              </w:rPr>
              <w:t>Salary Cost</w:t>
            </w:r>
          </w:p>
        </w:tc>
        <w:tc>
          <w:tcPr>
            <w:tcW w:w="1276" w:type="dxa"/>
            <w:tcBorders>
              <w:top w:val="nil"/>
              <w:left w:val="nil"/>
              <w:bottom w:val="nil"/>
              <w:right w:val="single" w:sz="4" w:space="0" w:color="auto"/>
            </w:tcBorders>
            <w:shd w:val="clear" w:color="auto" w:fill="auto"/>
            <w:vAlign w:val="bottom"/>
            <w:hideMark/>
          </w:tcPr>
          <w:p w:rsidR="00EA3C23" w:rsidRPr="00360556" w:rsidRDefault="00EA3C23" w:rsidP="00E0615A">
            <w:pPr>
              <w:jc w:val="center"/>
              <w:rPr>
                <w:rFonts w:ascii="Calibri" w:hAnsi="Calibri"/>
                <w:b/>
                <w:bCs/>
                <w:color w:val="000000"/>
                <w:sz w:val="20"/>
                <w:szCs w:val="20"/>
                <w:lang w:eastAsia="en-AU"/>
              </w:rPr>
            </w:pPr>
            <w:r w:rsidRPr="00360556">
              <w:rPr>
                <w:rFonts w:ascii="Calibri" w:hAnsi="Calibri"/>
                <w:b/>
                <w:bCs/>
                <w:color w:val="000000"/>
                <w:sz w:val="20"/>
                <w:szCs w:val="20"/>
                <w:lang w:eastAsia="en-AU"/>
              </w:rPr>
              <w:t xml:space="preserve">Cost per </w:t>
            </w:r>
            <w:r w:rsidR="00EF7875" w:rsidRPr="00360556">
              <w:rPr>
                <w:rFonts w:ascii="Calibri" w:hAnsi="Calibri"/>
                <w:b/>
                <w:bCs/>
                <w:color w:val="000000"/>
                <w:sz w:val="20"/>
                <w:szCs w:val="20"/>
                <w:lang w:eastAsia="en-AU"/>
              </w:rPr>
              <w:t>application</w:t>
            </w:r>
          </w:p>
        </w:tc>
      </w:tr>
      <w:tr w:rsidR="004B5333" w:rsidRPr="00360556" w:rsidTr="004B5333">
        <w:trPr>
          <w:trHeight w:val="332"/>
        </w:trPr>
        <w:tc>
          <w:tcPr>
            <w:tcW w:w="3843" w:type="dxa"/>
            <w:tcBorders>
              <w:top w:val="nil"/>
              <w:left w:val="single" w:sz="4" w:space="0" w:color="auto"/>
              <w:bottom w:val="nil"/>
              <w:right w:val="single" w:sz="4" w:space="0" w:color="auto"/>
            </w:tcBorders>
            <w:shd w:val="clear" w:color="auto" w:fill="auto"/>
            <w:noWrap/>
            <w:vAlign w:val="center"/>
            <w:hideMark/>
          </w:tcPr>
          <w:p w:rsidR="008561C9" w:rsidRPr="00360556" w:rsidRDefault="008561C9" w:rsidP="004B5333">
            <w:pPr>
              <w:ind w:left="49"/>
              <w:rPr>
                <w:rFonts w:ascii="Calibri" w:hAnsi="Calibri"/>
                <w:color w:val="000000"/>
                <w:sz w:val="20"/>
                <w:szCs w:val="20"/>
                <w:lang w:eastAsia="en-AU"/>
              </w:rPr>
            </w:pPr>
            <w:r w:rsidRPr="00360556">
              <w:rPr>
                <w:rFonts w:ascii="Calibri" w:hAnsi="Calibri"/>
                <w:color w:val="000000"/>
                <w:sz w:val="20"/>
                <w:szCs w:val="20"/>
                <w:lang w:eastAsia="en-AU"/>
              </w:rPr>
              <w:t>Customer Service Officer (VPSG – 2)</w:t>
            </w:r>
          </w:p>
        </w:tc>
        <w:tc>
          <w:tcPr>
            <w:tcW w:w="708" w:type="dxa"/>
            <w:tcBorders>
              <w:top w:val="nil"/>
              <w:left w:val="single" w:sz="4" w:space="0" w:color="auto"/>
              <w:bottom w:val="nil"/>
              <w:right w:val="nil"/>
            </w:tcBorders>
            <w:shd w:val="clear" w:color="auto" w:fill="auto"/>
            <w:noWrap/>
            <w:vAlign w:val="center"/>
            <w:hideMark/>
          </w:tcPr>
          <w:p w:rsidR="008561C9" w:rsidRPr="00360556" w:rsidRDefault="008561C9" w:rsidP="00EF7875">
            <w:pPr>
              <w:jc w:val="right"/>
              <w:rPr>
                <w:rFonts w:ascii="Calibri" w:hAnsi="Calibri"/>
                <w:color w:val="000000"/>
                <w:sz w:val="20"/>
                <w:szCs w:val="20"/>
                <w:lang w:eastAsia="en-AU"/>
              </w:rPr>
            </w:pPr>
            <w:r w:rsidRPr="00360556">
              <w:rPr>
                <w:rFonts w:ascii="Calibri" w:hAnsi="Calibri"/>
                <w:color w:val="000000"/>
                <w:sz w:val="20"/>
                <w:szCs w:val="20"/>
                <w:lang w:eastAsia="en-AU"/>
              </w:rPr>
              <w:t>0.14</w:t>
            </w:r>
          </w:p>
        </w:tc>
        <w:tc>
          <w:tcPr>
            <w:tcW w:w="993" w:type="dxa"/>
            <w:tcBorders>
              <w:top w:val="nil"/>
              <w:left w:val="nil"/>
              <w:bottom w:val="nil"/>
              <w:right w:val="nil"/>
            </w:tcBorders>
            <w:shd w:val="clear" w:color="auto" w:fill="auto"/>
            <w:noWrap/>
            <w:vAlign w:val="center"/>
            <w:hideMark/>
          </w:tcPr>
          <w:p w:rsidR="008561C9" w:rsidRPr="00360556" w:rsidRDefault="00D75EC3" w:rsidP="00EF7875">
            <w:pPr>
              <w:ind w:right="77"/>
              <w:jc w:val="right"/>
              <w:rPr>
                <w:rFonts w:ascii="Calibri" w:hAnsi="Calibri"/>
                <w:color w:val="000000"/>
                <w:sz w:val="20"/>
                <w:szCs w:val="20"/>
                <w:lang w:eastAsia="en-AU"/>
              </w:rPr>
            </w:pPr>
            <w:r w:rsidRPr="00360556">
              <w:rPr>
                <w:rFonts w:ascii="Calibri" w:hAnsi="Calibri"/>
                <w:color w:val="000000"/>
                <w:sz w:val="20"/>
                <w:szCs w:val="20"/>
                <w:lang w:eastAsia="en-AU"/>
              </w:rPr>
              <w:t>7,144</w:t>
            </w:r>
            <w:r w:rsidR="008561C9" w:rsidRPr="00360556">
              <w:rPr>
                <w:rFonts w:ascii="Calibri" w:hAnsi="Calibri"/>
                <w:color w:val="000000"/>
                <w:sz w:val="20"/>
                <w:szCs w:val="20"/>
                <w:lang w:eastAsia="en-AU"/>
              </w:rPr>
              <w:t xml:space="preserve"> </w:t>
            </w:r>
          </w:p>
        </w:tc>
        <w:tc>
          <w:tcPr>
            <w:tcW w:w="1275" w:type="dxa"/>
            <w:tcBorders>
              <w:top w:val="nil"/>
              <w:left w:val="nil"/>
              <w:bottom w:val="nil"/>
              <w:right w:val="single" w:sz="4" w:space="0" w:color="auto"/>
            </w:tcBorders>
            <w:shd w:val="clear" w:color="auto" w:fill="auto"/>
            <w:noWrap/>
            <w:vAlign w:val="center"/>
            <w:hideMark/>
          </w:tcPr>
          <w:p w:rsidR="008561C9" w:rsidRPr="00360556" w:rsidRDefault="008561C9" w:rsidP="00EF7875">
            <w:pPr>
              <w:jc w:val="center"/>
              <w:rPr>
                <w:rFonts w:ascii="Calibri" w:hAnsi="Calibri"/>
                <w:b/>
                <w:bCs/>
                <w:color w:val="000000"/>
                <w:sz w:val="20"/>
                <w:szCs w:val="20"/>
                <w:lang w:eastAsia="en-AU"/>
              </w:rPr>
            </w:pPr>
          </w:p>
        </w:tc>
        <w:tc>
          <w:tcPr>
            <w:tcW w:w="709" w:type="dxa"/>
            <w:tcBorders>
              <w:top w:val="nil"/>
              <w:left w:val="single" w:sz="4" w:space="0" w:color="auto"/>
              <w:bottom w:val="nil"/>
              <w:right w:val="nil"/>
            </w:tcBorders>
            <w:shd w:val="clear" w:color="auto" w:fill="auto"/>
            <w:noWrap/>
            <w:vAlign w:val="center"/>
            <w:hideMark/>
          </w:tcPr>
          <w:p w:rsidR="008561C9" w:rsidRPr="00360556" w:rsidRDefault="008561C9" w:rsidP="00EF7875">
            <w:pPr>
              <w:jc w:val="right"/>
              <w:rPr>
                <w:rFonts w:ascii="Calibri" w:hAnsi="Calibri"/>
                <w:color w:val="000000"/>
                <w:sz w:val="20"/>
                <w:szCs w:val="20"/>
                <w:lang w:eastAsia="en-AU"/>
              </w:rPr>
            </w:pPr>
            <w:r w:rsidRPr="00360556">
              <w:rPr>
                <w:rFonts w:ascii="Calibri" w:hAnsi="Calibri"/>
                <w:color w:val="000000"/>
                <w:sz w:val="20"/>
                <w:szCs w:val="20"/>
                <w:lang w:eastAsia="en-AU"/>
              </w:rPr>
              <w:t>2.86</w:t>
            </w:r>
          </w:p>
        </w:tc>
        <w:tc>
          <w:tcPr>
            <w:tcW w:w="992" w:type="dxa"/>
            <w:tcBorders>
              <w:top w:val="nil"/>
              <w:left w:val="nil"/>
              <w:bottom w:val="nil"/>
              <w:right w:val="nil"/>
            </w:tcBorders>
            <w:shd w:val="clear" w:color="auto" w:fill="auto"/>
            <w:noWrap/>
            <w:vAlign w:val="center"/>
            <w:hideMark/>
          </w:tcPr>
          <w:p w:rsidR="008561C9" w:rsidRPr="00360556" w:rsidRDefault="00EF7875" w:rsidP="006A14B8">
            <w:pPr>
              <w:ind w:right="77"/>
              <w:jc w:val="right"/>
              <w:rPr>
                <w:rFonts w:ascii="Calibri" w:hAnsi="Calibri"/>
                <w:color w:val="000000"/>
                <w:sz w:val="20"/>
                <w:szCs w:val="20"/>
                <w:lang w:eastAsia="en-AU"/>
              </w:rPr>
            </w:pPr>
            <w:r w:rsidRPr="00360556">
              <w:rPr>
                <w:rFonts w:ascii="Calibri" w:hAnsi="Calibri"/>
                <w:color w:val="000000"/>
                <w:sz w:val="20"/>
                <w:szCs w:val="20"/>
                <w:lang w:eastAsia="en-AU"/>
              </w:rPr>
              <w:t>145,937</w:t>
            </w:r>
            <w:r w:rsidR="008561C9" w:rsidRPr="00360556">
              <w:rPr>
                <w:rFonts w:ascii="Calibri" w:hAnsi="Calibri"/>
                <w:color w:val="000000"/>
                <w:sz w:val="20"/>
                <w:szCs w:val="20"/>
                <w:lang w:eastAsia="en-AU"/>
              </w:rPr>
              <w:t xml:space="preserve"> </w:t>
            </w:r>
          </w:p>
        </w:tc>
        <w:tc>
          <w:tcPr>
            <w:tcW w:w="1276" w:type="dxa"/>
            <w:tcBorders>
              <w:top w:val="nil"/>
              <w:left w:val="nil"/>
              <w:bottom w:val="nil"/>
              <w:right w:val="single" w:sz="4" w:space="0" w:color="auto"/>
            </w:tcBorders>
            <w:shd w:val="clear" w:color="auto" w:fill="auto"/>
            <w:noWrap/>
            <w:vAlign w:val="center"/>
            <w:hideMark/>
          </w:tcPr>
          <w:p w:rsidR="008561C9" w:rsidRPr="00360556" w:rsidRDefault="008561C9" w:rsidP="00EF7875">
            <w:pPr>
              <w:jc w:val="center"/>
              <w:rPr>
                <w:rFonts w:ascii="Calibri" w:hAnsi="Calibri"/>
                <w:b/>
                <w:bCs/>
                <w:color w:val="000000"/>
                <w:sz w:val="20"/>
                <w:szCs w:val="20"/>
                <w:lang w:eastAsia="en-AU"/>
              </w:rPr>
            </w:pPr>
          </w:p>
        </w:tc>
      </w:tr>
      <w:tr w:rsidR="004B5333" w:rsidRPr="00360556" w:rsidTr="004B5333">
        <w:trPr>
          <w:trHeight w:val="332"/>
        </w:trPr>
        <w:tc>
          <w:tcPr>
            <w:tcW w:w="3843" w:type="dxa"/>
            <w:tcBorders>
              <w:top w:val="nil"/>
              <w:left w:val="single" w:sz="4" w:space="0" w:color="auto"/>
              <w:bottom w:val="nil"/>
              <w:right w:val="single" w:sz="4" w:space="0" w:color="auto"/>
            </w:tcBorders>
            <w:shd w:val="clear" w:color="auto" w:fill="auto"/>
            <w:noWrap/>
            <w:vAlign w:val="center"/>
            <w:hideMark/>
          </w:tcPr>
          <w:p w:rsidR="008561C9" w:rsidRPr="00360556" w:rsidRDefault="008561C9" w:rsidP="00EB66C0">
            <w:pPr>
              <w:ind w:left="49"/>
              <w:rPr>
                <w:rFonts w:ascii="Calibri" w:hAnsi="Calibri"/>
                <w:color w:val="000000"/>
                <w:sz w:val="20"/>
                <w:szCs w:val="20"/>
                <w:lang w:eastAsia="en-AU"/>
              </w:rPr>
            </w:pPr>
            <w:r w:rsidRPr="00360556">
              <w:rPr>
                <w:rFonts w:ascii="Calibri" w:hAnsi="Calibri"/>
                <w:color w:val="000000"/>
                <w:sz w:val="20"/>
                <w:szCs w:val="20"/>
                <w:lang w:eastAsia="en-AU"/>
              </w:rPr>
              <w:t>Senior Customer Service Officer (VPSG – 3)</w:t>
            </w:r>
          </w:p>
        </w:tc>
        <w:tc>
          <w:tcPr>
            <w:tcW w:w="708" w:type="dxa"/>
            <w:tcBorders>
              <w:top w:val="nil"/>
              <w:left w:val="single" w:sz="4" w:space="0" w:color="auto"/>
              <w:bottom w:val="nil"/>
              <w:right w:val="nil"/>
            </w:tcBorders>
            <w:shd w:val="clear" w:color="auto" w:fill="auto"/>
            <w:noWrap/>
            <w:vAlign w:val="center"/>
            <w:hideMark/>
          </w:tcPr>
          <w:p w:rsidR="008561C9" w:rsidRPr="00360556" w:rsidRDefault="008561C9" w:rsidP="00EF7875">
            <w:pPr>
              <w:jc w:val="right"/>
              <w:rPr>
                <w:rFonts w:ascii="Calibri" w:hAnsi="Calibri"/>
                <w:color w:val="000000"/>
                <w:sz w:val="20"/>
                <w:szCs w:val="20"/>
                <w:lang w:eastAsia="en-AU"/>
              </w:rPr>
            </w:pPr>
            <w:r w:rsidRPr="00360556">
              <w:rPr>
                <w:rFonts w:ascii="Calibri" w:hAnsi="Calibri"/>
                <w:color w:val="000000"/>
                <w:sz w:val="20"/>
                <w:szCs w:val="20"/>
                <w:lang w:eastAsia="en-AU"/>
              </w:rPr>
              <w:t>0</w:t>
            </w:r>
          </w:p>
        </w:tc>
        <w:tc>
          <w:tcPr>
            <w:tcW w:w="993" w:type="dxa"/>
            <w:tcBorders>
              <w:top w:val="nil"/>
              <w:left w:val="nil"/>
              <w:bottom w:val="nil"/>
              <w:right w:val="nil"/>
            </w:tcBorders>
            <w:shd w:val="clear" w:color="auto" w:fill="auto"/>
            <w:noWrap/>
            <w:vAlign w:val="center"/>
            <w:hideMark/>
          </w:tcPr>
          <w:p w:rsidR="008561C9" w:rsidRPr="00360556" w:rsidRDefault="008561C9" w:rsidP="00EF7875">
            <w:pPr>
              <w:ind w:right="77"/>
              <w:jc w:val="right"/>
              <w:rPr>
                <w:rFonts w:ascii="Calibri" w:hAnsi="Calibri"/>
                <w:color w:val="000000"/>
                <w:sz w:val="20"/>
                <w:szCs w:val="20"/>
                <w:lang w:eastAsia="en-AU"/>
              </w:rPr>
            </w:pPr>
            <w:r w:rsidRPr="00360556">
              <w:rPr>
                <w:rFonts w:ascii="Calibri" w:hAnsi="Calibri"/>
                <w:color w:val="000000"/>
                <w:sz w:val="20"/>
                <w:szCs w:val="20"/>
                <w:lang w:eastAsia="en-AU"/>
              </w:rPr>
              <w:t xml:space="preserve">-   </w:t>
            </w:r>
          </w:p>
        </w:tc>
        <w:tc>
          <w:tcPr>
            <w:tcW w:w="1275" w:type="dxa"/>
            <w:tcBorders>
              <w:top w:val="nil"/>
              <w:left w:val="nil"/>
              <w:bottom w:val="nil"/>
              <w:right w:val="single" w:sz="4" w:space="0" w:color="auto"/>
            </w:tcBorders>
            <w:shd w:val="clear" w:color="auto" w:fill="auto"/>
            <w:noWrap/>
            <w:vAlign w:val="center"/>
            <w:hideMark/>
          </w:tcPr>
          <w:p w:rsidR="008561C9" w:rsidRPr="00360556" w:rsidRDefault="008561C9" w:rsidP="00EF7875">
            <w:pPr>
              <w:jc w:val="center"/>
              <w:rPr>
                <w:rFonts w:ascii="Calibri" w:hAnsi="Calibri"/>
                <w:b/>
                <w:bCs/>
                <w:color w:val="000000"/>
                <w:sz w:val="20"/>
                <w:szCs w:val="20"/>
                <w:lang w:eastAsia="en-AU"/>
              </w:rPr>
            </w:pPr>
          </w:p>
        </w:tc>
        <w:tc>
          <w:tcPr>
            <w:tcW w:w="709" w:type="dxa"/>
            <w:tcBorders>
              <w:top w:val="nil"/>
              <w:left w:val="single" w:sz="4" w:space="0" w:color="auto"/>
              <w:bottom w:val="nil"/>
              <w:right w:val="nil"/>
            </w:tcBorders>
            <w:shd w:val="clear" w:color="auto" w:fill="auto"/>
            <w:noWrap/>
            <w:vAlign w:val="center"/>
            <w:hideMark/>
          </w:tcPr>
          <w:p w:rsidR="008561C9" w:rsidRPr="00360556" w:rsidRDefault="008561C9" w:rsidP="00EF7875">
            <w:pPr>
              <w:jc w:val="right"/>
              <w:rPr>
                <w:rFonts w:ascii="Calibri" w:hAnsi="Calibri"/>
                <w:color w:val="000000"/>
                <w:sz w:val="20"/>
                <w:szCs w:val="20"/>
                <w:lang w:eastAsia="en-AU"/>
              </w:rPr>
            </w:pPr>
            <w:r w:rsidRPr="00360556">
              <w:rPr>
                <w:rFonts w:ascii="Calibri" w:hAnsi="Calibri"/>
                <w:color w:val="000000"/>
                <w:sz w:val="20"/>
                <w:szCs w:val="20"/>
                <w:lang w:eastAsia="en-AU"/>
              </w:rPr>
              <w:t>0.6</w:t>
            </w:r>
          </w:p>
        </w:tc>
        <w:tc>
          <w:tcPr>
            <w:tcW w:w="992" w:type="dxa"/>
            <w:tcBorders>
              <w:top w:val="nil"/>
              <w:left w:val="nil"/>
              <w:bottom w:val="nil"/>
              <w:right w:val="nil"/>
            </w:tcBorders>
            <w:shd w:val="clear" w:color="auto" w:fill="auto"/>
            <w:noWrap/>
            <w:vAlign w:val="center"/>
            <w:hideMark/>
          </w:tcPr>
          <w:p w:rsidR="008561C9" w:rsidRPr="00360556" w:rsidRDefault="00EF7875" w:rsidP="006A14B8">
            <w:pPr>
              <w:ind w:right="77"/>
              <w:jc w:val="right"/>
              <w:rPr>
                <w:rFonts w:ascii="Calibri" w:hAnsi="Calibri"/>
                <w:color w:val="000000"/>
                <w:sz w:val="20"/>
                <w:szCs w:val="20"/>
                <w:lang w:eastAsia="en-AU"/>
              </w:rPr>
            </w:pPr>
            <w:r w:rsidRPr="00360556">
              <w:rPr>
                <w:rFonts w:ascii="Calibri" w:hAnsi="Calibri"/>
                <w:color w:val="000000"/>
                <w:sz w:val="20"/>
                <w:szCs w:val="20"/>
                <w:lang w:eastAsia="en-AU"/>
              </w:rPr>
              <w:t>38,946</w:t>
            </w:r>
            <w:r w:rsidR="008561C9" w:rsidRPr="00360556">
              <w:rPr>
                <w:rFonts w:ascii="Calibri" w:hAnsi="Calibri"/>
                <w:color w:val="000000"/>
                <w:sz w:val="20"/>
                <w:szCs w:val="20"/>
                <w:lang w:eastAsia="en-AU"/>
              </w:rPr>
              <w:t xml:space="preserve"> </w:t>
            </w:r>
          </w:p>
        </w:tc>
        <w:tc>
          <w:tcPr>
            <w:tcW w:w="1276" w:type="dxa"/>
            <w:tcBorders>
              <w:top w:val="nil"/>
              <w:left w:val="nil"/>
              <w:bottom w:val="nil"/>
              <w:right w:val="single" w:sz="4" w:space="0" w:color="auto"/>
            </w:tcBorders>
            <w:shd w:val="clear" w:color="auto" w:fill="auto"/>
            <w:noWrap/>
            <w:vAlign w:val="center"/>
            <w:hideMark/>
          </w:tcPr>
          <w:p w:rsidR="008561C9" w:rsidRPr="00360556" w:rsidRDefault="008561C9" w:rsidP="00EF7875">
            <w:pPr>
              <w:jc w:val="center"/>
              <w:rPr>
                <w:rFonts w:ascii="Calibri" w:hAnsi="Calibri"/>
                <w:b/>
                <w:bCs/>
                <w:color w:val="000000"/>
                <w:sz w:val="20"/>
                <w:szCs w:val="20"/>
                <w:lang w:eastAsia="en-AU"/>
              </w:rPr>
            </w:pPr>
          </w:p>
        </w:tc>
      </w:tr>
      <w:tr w:rsidR="004B5333" w:rsidRPr="00360556" w:rsidTr="004B5333">
        <w:trPr>
          <w:trHeight w:val="332"/>
        </w:trPr>
        <w:tc>
          <w:tcPr>
            <w:tcW w:w="3843" w:type="dxa"/>
            <w:tcBorders>
              <w:top w:val="nil"/>
              <w:left w:val="single" w:sz="4" w:space="0" w:color="auto"/>
              <w:bottom w:val="nil"/>
              <w:right w:val="single" w:sz="4" w:space="0" w:color="auto"/>
            </w:tcBorders>
            <w:shd w:val="clear" w:color="auto" w:fill="auto"/>
            <w:noWrap/>
            <w:vAlign w:val="center"/>
            <w:hideMark/>
          </w:tcPr>
          <w:p w:rsidR="00EA3C23" w:rsidRPr="00360556" w:rsidRDefault="00EA3C23" w:rsidP="00EB66C0">
            <w:pPr>
              <w:ind w:left="49"/>
              <w:rPr>
                <w:rFonts w:ascii="Calibri" w:hAnsi="Calibri"/>
                <w:color w:val="000000"/>
                <w:sz w:val="20"/>
                <w:szCs w:val="20"/>
                <w:lang w:eastAsia="en-AU"/>
              </w:rPr>
            </w:pPr>
          </w:p>
        </w:tc>
        <w:tc>
          <w:tcPr>
            <w:tcW w:w="708" w:type="dxa"/>
            <w:tcBorders>
              <w:top w:val="nil"/>
              <w:left w:val="single" w:sz="4" w:space="0" w:color="auto"/>
              <w:bottom w:val="nil"/>
              <w:right w:val="nil"/>
            </w:tcBorders>
            <w:shd w:val="clear" w:color="auto" w:fill="auto"/>
            <w:noWrap/>
            <w:vAlign w:val="center"/>
            <w:hideMark/>
          </w:tcPr>
          <w:p w:rsidR="00EA3C23" w:rsidRPr="00360556" w:rsidRDefault="00EA3C23" w:rsidP="00EF7875">
            <w:pPr>
              <w:jc w:val="right"/>
              <w:rPr>
                <w:rFonts w:ascii="Calibri" w:hAnsi="Calibri"/>
                <w:b/>
                <w:bCs/>
                <w:color w:val="000000"/>
                <w:sz w:val="20"/>
                <w:szCs w:val="20"/>
                <w:lang w:eastAsia="en-AU"/>
              </w:rPr>
            </w:pPr>
            <w:r w:rsidRPr="00360556">
              <w:rPr>
                <w:rFonts w:ascii="Calibri" w:hAnsi="Calibri"/>
                <w:b/>
                <w:bCs/>
                <w:color w:val="000000"/>
                <w:sz w:val="20"/>
                <w:szCs w:val="20"/>
                <w:lang w:eastAsia="en-AU"/>
              </w:rPr>
              <w:t>0.14</w:t>
            </w:r>
          </w:p>
        </w:tc>
        <w:tc>
          <w:tcPr>
            <w:tcW w:w="993" w:type="dxa"/>
            <w:tcBorders>
              <w:top w:val="single" w:sz="4" w:space="0" w:color="auto"/>
              <w:left w:val="nil"/>
              <w:bottom w:val="nil"/>
              <w:right w:val="nil"/>
            </w:tcBorders>
            <w:shd w:val="clear" w:color="auto" w:fill="auto"/>
            <w:noWrap/>
            <w:vAlign w:val="center"/>
            <w:hideMark/>
          </w:tcPr>
          <w:p w:rsidR="00EA3C23" w:rsidRPr="00360556" w:rsidRDefault="00D75EC3" w:rsidP="00EF7875">
            <w:pPr>
              <w:ind w:right="77"/>
              <w:jc w:val="right"/>
              <w:rPr>
                <w:rFonts w:ascii="Calibri" w:hAnsi="Calibri"/>
                <w:b/>
                <w:bCs/>
                <w:color w:val="000000"/>
                <w:sz w:val="20"/>
                <w:szCs w:val="20"/>
                <w:lang w:eastAsia="en-AU"/>
              </w:rPr>
            </w:pPr>
            <w:r w:rsidRPr="00360556">
              <w:rPr>
                <w:rFonts w:ascii="Calibri" w:hAnsi="Calibri"/>
                <w:b/>
                <w:bCs/>
                <w:color w:val="000000"/>
                <w:sz w:val="20"/>
                <w:szCs w:val="20"/>
                <w:lang w:eastAsia="en-AU"/>
              </w:rPr>
              <w:t>7,144</w:t>
            </w:r>
            <w:r w:rsidR="00EA3C23" w:rsidRPr="00360556">
              <w:rPr>
                <w:rFonts w:ascii="Calibri" w:hAnsi="Calibri"/>
                <w:b/>
                <w:bCs/>
                <w:color w:val="000000"/>
                <w:sz w:val="20"/>
                <w:szCs w:val="20"/>
                <w:lang w:eastAsia="en-AU"/>
              </w:rPr>
              <w:t xml:space="preserve"> </w:t>
            </w:r>
          </w:p>
        </w:tc>
        <w:tc>
          <w:tcPr>
            <w:tcW w:w="1275" w:type="dxa"/>
            <w:tcBorders>
              <w:top w:val="nil"/>
              <w:left w:val="nil"/>
              <w:bottom w:val="nil"/>
              <w:right w:val="single" w:sz="4" w:space="0" w:color="auto"/>
            </w:tcBorders>
            <w:shd w:val="clear" w:color="auto" w:fill="auto"/>
            <w:noWrap/>
            <w:vAlign w:val="center"/>
            <w:hideMark/>
          </w:tcPr>
          <w:p w:rsidR="00EA3C23" w:rsidRPr="00360556" w:rsidRDefault="00EA3C23" w:rsidP="00EF7875">
            <w:pPr>
              <w:jc w:val="center"/>
              <w:rPr>
                <w:rFonts w:ascii="Calibri" w:hAnsi="Calibri"/>
                <w:b/>
                <w:bCs/>
                <w:color w:val="000000"/>
                <w:sz w:val="20"/>
                <w:szCs w:val="20"/>
                <w:lang w:eastAsia="en-AU"/>
              </w:rPr>
            </w:pPr>
          </w:p>
        </w:tc>
        <w:tc>
          <w:tcPr>
            <w:tcW w:w="709" w:type="dxa"/>
            <w:tcBorders>
              <w:top w:val="nil"/>
              <w:left w:val="single" w:sz="4" w:space="0" w:color="auto"/>
              <w:bottom w:val="nil"/>
              <w:right w:val="nil"/>
            </w:tcBorders>
            <w:shd w:val="clear" w:color="auto" w:fill="auto"/>
            <w:noWrap/>
            <w:vAlign w:val="center"/>
            <w:hideMark/>
          </w:tcPr>
          <w:p w:rsidR="00EA3C23" w:rsidRPr="00360556" w:rsidRDefault="00EA3C23" w:rsidP="00EF7875">
            <w:pPr>
              <w:jc w:val="right"/>
              <w:rPr>
                <w:rFonts w:ascii="Calibri" w:hAnsi="Calibri"/>
                <w:b/>
                <w:bCs/>
                <w:color w:val="000000"/>
                <w:sz w:val="20"/>
                <w:szCs w:val="20"/>
                <w:lang w:eastAsia="en-AU"/>
              </w:rPr>
            </w:pPr>
            <w:r w:rsidRPr="00360556">
              <w:rPr>
                <w:rFonts w:ascii="Calibri" w:hAnsi="Calibri"/>
                <w:b/>
                <w:bCs/>
                <w:color w:val="000000"/>
                <w:sz w:val="20"/>
                <w:szCs w:val="20"/>
                <w:lang w:eastAsia="en-AU"/>
              </w:rPr>
              <w:t>3.46</w:t>
            </w:r>
          </w:p>
        </w:tc>
        <w:tc>
          <w:tcPr>
            <w:tcW w:w="992" w:type="dxa"/>
            <w:tcBorders>
              <w:top w:val="single" w:sz="4" w:space="0" w:color="auto"/>
              <w:left w:val="nil"/>
              <w:bottom w:val="nil"/>
              <w:right w:val="nil"/>
            </w:tcBorders>
            <w:shd w:val="clear" w:color="auto" w:fill="auto"/>
            <w:noWrap/>
            <w:vAlign w:val="center"/>
            <w:hideMark/>
          </w:tcPr>
          <w:p w:rsidR="00EA3C23" w:rsidRPr="00360556" w:rsidRDefault="00EF7875" w:rsidP="006A14B8">
            <w:pPr>
              <w:ind w:right="77"/>
              <w:jc w:val="right"/>
              <w:rPr>
                <w:rFonts w:ascii="Calibri" w:hAnsi="Calibri"/>
                <w:b/>
                <w:bCs/>
                <w:color w:val="000000"/>
                <w:sz w:val="20"/>
                <w:szCs w:val="20"/>
                <w:lang w:eastAsia="en-AU"/>
              </w:rPr>
            </w:pPr>
            <w:r w:rsidRPr="00360556">
              <w:rPr>
                <w:rFonts w:ascii="Calibri" w:hAnsi="Calibri"/>
                <w:b/>
                <w:bCs/>
                <w:color w:val="000000"/>
                <w:sz w:val="20"/>
                <w:szCs w:val="20"/>
                <w:lang w:eastAsia="en-AU"/>
              </w:rPr>
              <w:t>184,883</w:t>
            </w:r>
            <w:r w:rsidR="00EA3C23" w:rsidRPr="00360556">
              <w:rPr>
                <w:rFonts w:ascii="Calibri" w:hAnsi="Calibri"/>
                <w:b/>
                <w:bCs/>
                <w:color w:val="000000"/>
                <w:sz w:val="20"/>
                <w:szCs w:val="20"/>
                <w:lang w:eastAsia="en-AU"/>
              </w:rPr>
              <w:t xml:space="preserve"> </w:t>
            </w:r>
          </w:p>
        </w:tc>
        <w:tc>
          <w:tcPr>
            <w:tcW w:w="1276" w:type="dxa"/>
            <w:tcBorders>
              <w:top w:val="nil"/>
              <w:left w:val="nil"/>
              <w:bottom w:val="nil"/>
              <w:right w:val="single" w:sz="4" w:space="0" w:color="auto"/>
            </w:tcBorders>
            <w:shd w:val="clear" w:color="auto" w:fill="auto"/>
            <w:noWrap/>
            <w:vAlign w:val="center"/>
            <w:hideMark/>
          </w:tcPr>
          <w:p w:rsidR="00EA3C23" w:rsidRPr="00360556" w:rsidRDefault="00EA3C23" w:rsidP="00EF7875">
            <w:pPr>
              <w:jc w:val="center"/>
              <w:rPr>
                <w:rFonts w:ascii="Calibri" w:hAnsi="Calibri"/>
                <w:b/>
                <w:bCs/>
                <w:color w:val="000000"/>
                <w:sz w:val="20"/>
                <w:szCs w:val="20"/>
                <w:lang w:eastAsia="en-AU"/>
              </w:rPr>
            </w:pPr>
          </w:p>
        </w:tc>
      </w:tr>
      <w:tr w:rsidR="004B5333" w:rsidRPr="00360556" w:rsidTr="004B5333">
        <w:trPr>
          <w:trHeight w:val="404"/>
        </w:trPr>
        <w:tc>
          <w:tcPr>
            <w:tcW w:w="3843" w:type="dxa"/>
            <w:tcBorders>
              <w:top w:val="nil"/>
              <w:left w:val="single" w:sz="4" w:space="0" w:color="auto"/>
              <w:bottom w:val="nil"/>
              <w:right w:val="single" w:sz="4" w:space="0" w:color="auto"/>
            </w:tcBorders>
            <w:shd w:val="clear" w:color="auto" w:fill="auto"/>
            <w:noWrap/>
            <w:vAlign w:val="center"/>
          </w:tcPr>
          <w:p w:rsidR="00D75EC3" w:rsidRPr="00360556" w:rsidRDefault="00D75EC3" w:rsidP="00EF7875">
            <w:pPr>
              <w:rPr>
                <w:rFonts w:ascii="Calibri" w:hAnsi="Calibri"/>
                <w:color w:val="000000"/>
                <w:sz w:val="20"/>
                <w:szCs w:val="20"/>
                <w:lang w:eastAsia="en-AU"/>
              </w:rPr>
            </w:pPr>
            <w:r w:rsidRPr="00360556">
              <w:rPr>
                <w:rFonts w:ascii="Calibri" w:hAnsi="Calibri"/>
                <w:color w:val="000000"/>
                <w:sz w:val="20"/>
                <w:szCs w:val="20"/>
                <w:lang w:eastAsia="en-AU"/>
              </w:rPr>
              <w:t>On costs @ 20%</w:t>
            </w:r>
          </w:p>
        </w:tc>
        <w:tc>
          <w:tcPr>
            <w:tcW w:w="708" w:type="dxa"/>
            <w:tcBorders>
              <w:top w:val="nil"/>
              <w:left w:val="single" w:sz="4" w:space="0" w:color="auto"/>
              <w:bottom w:val="nil"/>
              <w:right w:val="nil"/>
            </w:tcBorders>
            <w:shd w:val="clear" w:color="auto" w:fill="auto"/>
            <w:noWrap/>
            <w:vAlign w:val="center"/>
          </w:tcPr>
          <w:p w:rsidR="00D75EC3" w:rsidRPr="00360556" w:rsidRDefault="00D75EC3" w:rsidP="00EF7875">
            <w:pPr>
              <w:jc w:val="right"/>
              <w:rPr>
                <w:rFonts w:ascii="Calibri" w:hAnsi="Calibri"/>
                <w:color w:val="000000"/>
                <w:sz w:val="20"/>
                <w:szCs w:val="20"/>
                <w:lang w:eastAsia="en-AU"/>
              </w:rPr>
            </w:pPr>
          </w:p>
        </w:tc>
        <w:tc>
          <w:tcPr>
            <w:tcW w:w="993" w:type="dxa"/>
            <w:tcBorders>
              <w:top w:val="nil"/>
              <w:left w:val="nil"/>
              <w:right w:val="nil"/>
            </w:tcBorders>
            <w:shd w:val="clear" w:color="auto" w:fill="auto"/>
            <w:noWrap/>
            <w:vAlign w:val="center"/>
          </w:tcPr>
          <w:p w:rsidR="00D75EC3" w:rsidRPr="00360556" w:rsidRDefault="00D75EC3" w:rsidP="00EF7875">
            <w:pPr>
              <w:ind w:right="77"/>
              <w:jc w:val="right"/>
              <w:rPr>
                <w:rFonts w:ascii="Calibri" w:hAnsi="Calibri"/>
                <w:bCs/>
                <w:color w:val="000000"/>
                <w:sz w:val="20"/>
                <w:szCs w:val="20"/>
                <w:lang w:eastAsia="en-AU"/>
              </w:rPr>
            </w:pPr>
            <w:r w:rsidRPr="00360556">
              <w:rPr>
                <w:rFonts w:ascii="Calibri" w:hAnsi="Calibri"/>
                <w:bCs/>
                <w:color w:val="000000"/>
                <w:sz w:val="20"/>
                <w:szCs w:val="20"/>
                <w:lang w:eastAsia="en-AU"/>
              </w:rPr>
              <w:t>1,429</w:t>
            </w:r>
          </w:p>
        </w:tc>
        <w:tc>
          <w:tcPr>
            <w:tcW w:w="1275" w:type="dxa"/>
            <w:tcBorders>
              <w:top w:val="nil"/>
              <w:left w:val="nil"/>
              <w:bottom w:val="nil"/>
              <w:right w:val="single" w:sz="4" w:space="0" w:color="auto"/>
            </w:tcBorders>
            <w:shd w:val="clear" w:color="auto" w:fill="auto"/>
            <w:noWrap/>
            <w:vAlign w:val="center"/>
          </w:tcPr>
          <w:p w:rsidR="00D75EC3" w:rsidRPr="00360556" w:rsidRDefault="00D75EC3" w:rsidP="00EF7875">
            <w:pPr>
              <w:jc w:val="center"/>
              <w:rPr>
                <w:rFonts w:ascii="Calibri" w:hAnsi="Calibri"/>
                <w:b/>
                <w:bCs/>
                <w:color w:val="000000"/>
                <w:sz w:val="20"/>
                <w:szCs w:val="20"/>
                <w:lang w:eastAsia="en-AU"/>
              </w:rPr>
            </w:pPr>
          </w:p>
        </w:tc>
        <w:tc>
          <w:tcPr>
            <w:tcW w:w="709" w:type="dxa"/>
            <w:tcBorders>
              <w:top w:val="nil"/>
              <w:left w:val="single" w:sz="4" w:space="0" w:color="auto"/>
              <w:bottom w:val="nil"/>
              <w:right w:val="nil"/>
            </w:tcBorders>
            <w:shd w:val="clear" w:color="auto" w:fill="auto"/>
            <w:noWrap/>
            <w:vAlign w:val="center"/>
          </w:tcPr>
          <w:p w:rsidR="00D75EC3" w:rsidRPr="00360556" w:rsidRDefault="00D75EC3" w:rsidP="00EF7875">
            <w:pPr>
              <w:jc w:val="right"/>
              <w:rPr>
                <w:rFonts w:ascii="Calibri" w:hAnsi="Calibri"/>
                <w:color w:val="000000"/>
                <w:sz w:val="20"/>
                <w:szCs w:val="20"/>
                <w:lang w:eastAsia="en-AU"/>
              </w:rPr>
            </w:pPr>
          </w:p>
        </w:tc>
        <w:tc>
          <w:tcPr>
            <w:tcW w:w="992" w:type="dxa"/>
            <w:tcBorders>
              <w:top w:val="nil"/>
              <w:left w:val="nil"/>
              <w:right w:val="nil"/>
            </w:tcBorders>
            <w:shd w:val="clear" w:color="auto" w:fill="auto"/>
            <w:noWrap/>
            <w:vAlign w:val="center"/>
          </w:tcPr>
          <w:p w:rsidR="00D75EC3" w:rsidRPr="00360556" w:rsidRDefault="00EF7875" w:rsidP="00EF7875">
            <w:pPr>
              <w:ind w:right="77"/>
              <w:jc w:val="right"/>
              <w:rPr>
                <w:rFonts w:ascii="Calibri" w:hAnsi="Calibri"/>
                <w:color w:val="000000"/>
                <w:sz w:val="20"/>
                <w:szCs w:val="20"/>
                <w:lang w:eastAsia="en-AU"/>
              </w:rPr>
            </w:pPr>
            <w:r w:rsidRPr="00360556">
              <w:rPr>
                <w:rFonts w:ascii="Calibri" w:hAnsi="Calibri"/>
                <w:color w:val="000000"/>
                <w:sz w:val="20"/>
                <w:szCs w:val="20"/>
                <w:lang w:eastAsia="en-AU"/>
              </w:rPr>
              <w:t>36,977</w:t>
            </w:r>
          </w:p>
        </w:tc>
        <w:tc>
          <w:tcPr>
            <w:tcW w:w="1276" w:type="dxa"/>
            <w:tcBorders>
              <w:top w:val="nil"/>
              <w:left w:val="nil"/>
              <w:bottom w:val="nil"/>
              <w:right w:val="single" w:sz="4" w:space="0" w:color="auto"/>
            </w:tcBorders>
            <w:shd w:val="clear" w:color="auto" w:fill="auto"/>
            <w:noWrap/>
            <w:vAlign w:val="center"/>
          </w:tcPr>
          <w:p w:rsidR="00D75EC3" w:rsidRPr="00360556" w:rsidRDefault="00D75EC3" w:rsidP="00EF7875">
            <w:pPr>
              <w:jc w:val="center"/>
              <w:rPr>
                <w:rFonts w:ascii="Calibri" w:hAnsi="Calibri"/>
                <w:b/>
                <w:bCs/>
                <w:color w:val="000000"/>
                <w:sz w:val="20"/>
                <w:szCs w:val="20"/>
                <w:lang w:eastAsia="en-AU"/>
              </w:rPr>
            </w:pPr>
          </w:p>
        </w:tc>
      </w:tr>
      <w:tr w:rsidR="004B5333" w:rsidRPr="00360556" w:rsidTr="004B5333">
        <w:trPr>
          <w:trHeight w:val="404"/>
        </w:trPr>
        <w:tc>
          <w:tcPr>
            <w:tcW w:w="3843" w:type="dxa"/>
            <w:tcBorders>
              <w:top w:val="nil"/>
              <w:left w:val="single" w:sz="4" w:space="0" w:color="auto"/>
              <w:bottom w:val="nil"/>
              <w:right w:val="single" w:sz="4" w:space="0" w:color="auto"/>
            </w:tcBorders>
            <w:shd w:val="clear" w:color="auto" w:fill="auto"/>
            <w:noWrap/>
            <w:vAlign w:val="center"/>
          </w:tcPr>
          <w:p w:rsidR="00D75EC3" w:rsidRPr="00360556" w:rsidRDefault="00D75EC3" w:rsidP="00EF7875">
            <w:pPr>
              <w:rPr>
                <w:rFonts w:ascii="Calibri" w:hAnsi="Calibri"/>
                <w:color w:val="000000"/>
                <w:sz w:val="20"/>
                <w:szCs w:val="20"/>
                <w:lang w:eastAsia="en-AU"/>
              </w:rPr>
            </w:pPr>
            <w:r w:rsidRPr="00360556">
              <w:rPr>
                <w:rFonts w:ascii="Calibri" w:hAnsi="Calibri"/>
                <w:color w:val="000000"/>
                <w:sz w:val="20"/>
                <w:szCs w:val="20"/>
                <w:lang w:eastAsia="en-AU"/>
              </w:rPr>
              <w:t>Administration costs and overheads</w:t>
            </w:r>
          </w:p>
        </w:tc>
        <w:tc>
          <w:tcPr>
            <w:tcW w:w="708" w:type="dxa"/>
            <w:tcBorders>
              <w:top w:val="nil"/>
              <w:left w:val="single" w:sz="4" w:space="0" w:color="auto"/>
              <w:bottom w:val="nil"/>
              <w:right w:val="nil"/>
            </w:tcBorders>
            <w:shd w:val="clear" w:color="auto" w:fill="auto"/>
            <w:noWrap/>
            <w:vAlign w:val="center"/>
          </w:tcPr>
          <w:p w:rsidR="00D75EC3" w:rsidRPr="00360556" w:rsidRDefault="00D75EC3" w:rsidP="00EF7875">
            <w:pPr>
              <w:jc w:val="right"/>
              <w:rPr>
                <w:rFonts w:ascii="Calibri" w:hAnsi="Calibri"/>
                <w:color w:val="000000"/>
                <w:sz w:val="20"/>
                <w:szCs w:val="20"/>
                <w:lang w:eastAsia="en-AU"/>
              </w:rPr>
            </w:pPr>
          </w:p>
        </w:tc>
        <w:tc>
          <w:tcPr>
            <w:tcW w:w="993" w:type="dxa"/>
            <w:tcBorders>
              <w:top w:val="nil"/>
              <w:left w:val="nil"/>
              <w:bottom w:val="single" w:sz="4" w:space="0" w:color="auto"/>
              <w:right w:val="nil"/>
            </w:tcBorders>
            <w:shd w:val="clear" w:color="auto" w:fill="auto"/>
            <w:noWrap/>
            <w:vAlign w:val="center"/>
          </w:tcPr>
          <w:p w:rsidR="00D75EC3" w:rsidRPr="00360556" w:rsidRDefault="00EF7875" w:rsidP="00EF7875">
            <w:pPr>
              <w:ind w:right="77"/>
              <w:jc w:val="right"/>
              <w:rPr>
                <w:rFonts w:ascii="Calibri" w:hAnsi="Calibri"/>
                <w:bCs/>
                <w:color w:val="000000"/>
                <w:sz w:val="20"/>
                <w:szCs w:val="20"/>
                <w:lang w:eastAsia="en-AU"/>
              </w:rPr>
            </w:pPr>
            <w:r w:rsidRPr="00360556">
              <w:rPr>
                <w:rFonts w:ascii="Calibri" w:hAnsi="Calibri"/>
                <w:bCs/>
                <w:color w:val="000000"/>
                <w:sz w:val="20"/>
                <w:szCs w:val="20"/>
                <w:lang w:eastAsia="en-AU"/>
              </w:rPr>
              <w:t>3,092</w:t>
            </w:r>
          </w:p>
        </w:tc>
        <w:tc>
          <w:tcPr>
            <w:tcW w:w="1275" w:type="dxa"/>
            <w:tcBorders>
              <w:top w:val="nil"/>
              <w:left w:val="nil"/>
              <w:bottom w:val="nil"/>
              <w:right w:val="single" w:sz="4" w:space="0" w:color="auto"/>
            </w:tcBorders>
            <w:shd w:val="clear" w:color="auto" w:fill="auto"/>
            <w:noWrap/>
            <w:vAlign w:val="center"/>
          </w:tcPr>
          <w:p w:rsidR="00D75EC3" w:rsidRPr="00360556" w:rsidRDefault="00D75EC3" w:rsidP="00EF7875">
            <w:pPr>
              <w:jc w:val="center"/>
              <w:rPr>
                <w:rFonts w:ascii="Calibri" w:hAnsi="Calibri"/>
                <w:b/>
                <w:bCs/>
                <w:color w:val="000000"/>
                <w:sz w:val="20"/>
                <w:szCs w:val="20"/>
                <w:lang w:eastAsia="en-AU"/>
              </w:rPr>
            </w:pPr>
          </w:p>
        </w:tc>
        <w:tc>
          <w:tcPr>
            <w:tcW w:w="709" w:type="dxa"/>
            <w:tcBorders>
              <w:top w:val="nil"/>
              <w:left w:val="single" w:sz="4" w:space="0" w:color="auto"/>
              <w:bottom w:val="nil"/>
              <w:right w:val="nil"/>
            </w:tcBorders>
            <w:shd w:val="clear" w:color="auto" w:fill="auto"/>
            <w:noWrap/>
            <w:vAlign w:val="center"/>
          </w:tcPr>
          <w:p w:rsidR="00D75EC3" w:rsidRPr="00360556" w:rsidRDefault="00D75EC3" w:rsidP="00EF7875">
            <w:pPr>
              <w:jc w:val="right"/>
              <w:rPr>
                <w:rFonts w:ascii="Calibri" w:hAnsi="Calibri"/>
                <w:color w:val="000000"/>
                <w:sz w:val="20"/>
                <w:szCs w:val="20"/>
                <w:lang w:eastAsia="en-AU"/>
              </w:rPr>
            </w:pPr>
          </w:p>
        </w:tc>
        <w:tc>
          <w:tcPr>
            <w:tcW w:w="992" w:type="dxa"/>
            <w:tcBorders>
              <w:top w:val="nil"/>
              <w:left w:val="nil"/>
              <w:bottom w:val="single" w:sz="4" w:space="0" w:color="auto"/>
              <w:right w:val="nil"/>
            </w:tcBorders>
            <w:shd w:val="clear" w:color="auto" w:fill="auto"/>
            <w:noWrap/>
            <w:vAlign w:val="center"/>
          </w:tcPr>
          <w:p w:rsidR="00D75EC3" w:rsidRPr="00360556" w:rsidRDefault="00EF7875" w:rsidP="00EF7875">
            <w:pPr>
              <w:ind w:right="77"/>
              <w:jc w:val="right"/>
              <w:rPr>
                <w:rFonts w:ascii="Calibri" w:hAnsi="Calibri"/>
                <w:color w:val="000000"/>
                <w:sz w:val="20"/>
                <w:szCs w:val="20"/>
                <w:lang w:eastAsia="en-AU"/>
              </w:rPr>
            </w:pPr>
            <w:r w:rsidRPr="00360556">
              <w:rPr>
                <w:rFonts w:ascii="Calibri" w:hAnsi="Calibri"/>
                <w:color w:val="000000"/>
                <w:sz w:val="20"/>
                <w:szCs w:val="20"/>
                <w:lang w:eastAsia="en-AU"/>
              </w:rPr>
              <w:t>80,024</w:t>
            </w:r>
          </w:p>
        </w:tc>
        <w:tc>
          <w:tcPr>
            <w:tcW w:w="1276" w:type="dxa"/>
            <w:tcBorders>
              <w:top w:val="nil"/>
              <w:left w:val="nil"/>
              <w:bottom w:val="nil"/>
              <w:right w:val="single" w:sz="4" w:space="0" w:color="auto"/>
            </w:tcBorders>
            <w:shd w:val="clear" w:color="auto" w:fill="auto"/>
            <w:noWrap/>
            <w:vAlign w:val="center"/>
          </w:tcPr>
          <w:p w:rsidR="00D75EC3" w:rsidRPr="00360556" w:rsidRDefault="00D75EC3" w:rsidP="00EF7875">
            <w:pPr>
              <w:jc w:val="center"/>
              <w:rPr>
                <w:rFonts w:ascii="Calibri" w:hAnsi="Calibri"/>
                <w:b/>
                <w:bCs/>
                <w:color w:val="000000"/>
                <w:sz w:val="20"/>
                <w:szCs w:val="20"/>
                <w:lang w:eastAsia="en-AU"/>
              </w:rPr>
            </w:pPr>
          </w:p>
        </w:tc>
      </w:tr>
      <w:tr w:rsidR="004B5333" w:rsidRPr="00360556" w:rsidTr="004B5333">
        <w:trPr>
          <w:trHeight w:val="457"/>
        </w:trPr>
        <w:tc>
          <w:tcPr>
            <w:tcW w:w="3843" w:type="dxa"/>
            <w:tcBorders>
              <w:top w:val="nil"/>
              <w:left w:val="single" w:sz="4" w:space="0" w:color="auto"/>
              <w:bottom w:val="nil"/>
              <w:right w:val="single" w:sz="4" w:space="0" w:color="auto"/>
            </w:tcBorders>
            <w:shd w:val="clear" w:color="auto" w:fill="auto"/>
            <w:noWrap/>
            <w:vAlign w:val="center"/>
          </w:tcPr>
          <w:p w:rsidR="00D75EC3" w:rsidRPr="00360556" w:rsidRDefault="00D75EC3" w:rsidP="00D90BB1">
            <w:pPr>
              <w:rPr>
                <w:rFonts w:ascii="Calibri" w:hAnsi="Calibri"/>
                <w:b/>
                <w:color w:val="000000"/>
                <w:sz w:val="20"/>
                <w:szCs w:val="20"/>
                <w:lang w:eastAsia="en-AU"/>
              </w:rPr>
            </w:pPr>
            <w:r w:rsidRPr="00360556">
              <w:rPr>
                <w:rFonts w:ascii="Calibri" w:hAnsi="Calibri"/>
                <w:b/>
                <w:color w:val="000000"/>
                <w:sz w:val="20"/>
                <w:szCs w:val="20"/>
                <w:lang w:eastAsia="en-AU"/>
              </w:rPr>
              <w:t xml:space="preserve">Total Variable </w:t>
            </w:r>
            <w:r w:rsidR="00C8267C" w:rsidRPr="00360556">
              <w:rPr>
                <w:rFonts w:ascii="Calibri" w:hAnsi="Calibri"/>
                <w:b/>
                <w:bCs/>
                <w:color w:val="000000"/>
                <w:sz w:val="20"/>
                <w:szCs w:val="20"/>
                <w:lang w:eastAsia="en-AU"/>
              </w:rPr>
              <w:t>salaries, on costs and overheads</w:t>
            </w:r>
          </w:p>
        </w:tc>
        <w:tc>
          <w:tcPr>
            <w:tcW w:w="708" w:type="dxa"/>
            <w:tcBorders>
              <w:top w:val="nil"/>
              <w:left w:val="single" w:sz="4" w:space="0" w:color="auto"/>
              <w:bottom w:val="nil"/>
              <w:right w:val="nil"/>
            </w:tcBorders>
            <w:shd w:val="clear" w:color="auto" w:fill="auto"/>
            <w:noWrap/>
            <w:vAlign w:val="center"/>
          </w:tcPr>
          <w:p w:rsidR="00D75EC3" w:rsidRPr="00360556" w:rsidRDefault="00D75EC3" w:rsidP="00EF7875">
            <w:pPr>
              <w:jc w:val="right"/>
              <w:rPr>
                <w:rFonts w:ascii="Calibri" w:hAnsi="Calibri"/>
                <w:color w:val="000000"/>
                <w:sz w:val="20"/>
                <w:szCs w:val="20"/>
                <w:lang w:eastAsia="en-AU"/>
              </w:rPr>
            </w:pPr>
          </w:p>
        </w:tc>
        <w:tc>
          <w:tcPr>
            <w:tcW w:w="993" w:type="dxa"/>
            <w:tcBorders>
              <w:top w:val="single" w:sz="4" w:space="0" w:color="auto"/>
              <w:left w:val="nil"/>
              <w:bottom w:val="nil"/>
              <w:right w:val="nil"/>
            </w:tcBorders>
            <w:shd w:val="clear" w:color="auto" w:fill="auto"/>
            <w:noWrap/>
            <w:vAlign w:val="center"/>
          </w:tcPr>
          <w:p w:rsidR="00D75EC3" w:rsidRPr="00360556" w:rsidRDefault="00EF7875" w:rsidP="00EF7875">
            <w:pPr>
              <w:ind w:right="77"/>
              <w:jc w:val="right"/>
              <w:rPr>
                <w:rFonts w:ascii="Calibri" w:hAnsi="Calibri"/>
                <w:b/>
                <w:bCs/>
                <w:color w:val="000000"/>
                <w:sz w:val="20"/>
                <w:szCs w:val="20"/>
                <w:lang w:eastAsia="en-AU"/>
              </w:rPr>
            </w:pPr>
            <w:r w:rsidRPr="00360556">
              <w:rPr>
                <w:rFonts w:ascii="Calibri" w:hAnsi="Calibri"/>
                <w:b/>
                <w:bCs/>
                <w:color w:val="000000"/>
                <w:sz w:val="20"/>
                <w:szCs w:val="20"/>
                <w:lang w:eastAsia="en-AU"/>
              </w:rPr>
              <w:t>11,665</w:t>
            </w:r>
          </w:p>
        </w:tc>
        <w:tc>
          <w:tcPr>
            <w:tcW w:w="1275" w:type="dxa"/>
            <w:tcBorders>
              <w:top w:val="nil"/>
              <w:left w:val="nil"/>
              <w:bottom w:val="nil"/>
              <w:right w:val="single" w:sz="4" w:space="0" w:color="auto"/>
            </w:tcBorders>
            <w:shd w:val="clear" w:color="auto" w:fill="auto"/>
            <w:noWrap/>
            <w:vAlign w:val="center"/>
          </w:tcPr>
          <w:p w:rsidR="00D75EC3" w:rsidRPr="00360556" w:rsidRDefault="00B23A74" w:rsidP="00EF7875">
            <w:pPr>
              <w:jc w:val="center"/>
              <w:rPr>
                <w:rFonts w:ascii="Calibri" w:hAnsi="Calibri"/>
                <w:b/>
                <w:bCs/>
                <w:color w:val="000000"/>
                <w:sz w:val="20"/>
                <w:szCs w:val="20"/>
                <w:lang w:eastAsia="en-AU"/>
              </w:rPr>
            </w:pPr>
            <w:r w:rsidRPr="00360556">
              <w:rPr>
                <w:rFonts w:ascii="Calibri" w:hAnsi="Calibri"/>
                <w:b/>
                <w:bCs/>
                <w:color w:val="000000"/>
                <w:sz w:val="20"/>
                <w:szCs w:val="20"/>
                <w:lang w:eastAsia="en-AU"/>
              </w:rPr>
              <w:t>$20.46</w:t>
            </w:r>
          </w:p>
        </w:tc>
        <w:tc>
          <w:tcPr>
            <w:tcW w:w="709" w:type="dxa"/>
            <w:tcBorders>
              <w:top w:val="nil"/>
              <w:left w:val="single" w:sz="4" w:space="0" w:color="auto"/>
              <w:bottom w:val="nil"/>
              <w:right w:val="nil"/>
            </w:tcBorders>
            <w:shd w:val="clear" w:color="auto" w:fill="auto"/>
            <w:noWrap/>
            <w:vAlign w:val="center"/>
          </w:tcPr>
          <w:p w:rsidR="00D75EC3" w:rsidRPr="00360556" w:rsidRDefault="00D75EC3" w:rsidP="00EF7875">
            <w:pPr>
              <w:jc w:val="right"/>
              <w:rPr>
                <w:rFonts w:ascii="Calibri" w:hAnsi="Calibri"/>
                <w:color w:val="000000"/>
                <w:sz w:val="20"/>
                <w:szCs w:val="20"/>
                <w:lang w:eastAsia="en-AU"/>
              </w:rPr>
            </w:pPr>
          </w:p>
        </w:tc>
        <w:tc>
          <w:tcPr>
            <w:tcW w:w="992" w:type="dxa"/>
            <w:tcBorders>
              <w:top w:val="single" w:sz="4" w:space="0" w:color="auto"/>
              <w:left w:val="nil"/>
              <w:bottom w:val="nil"/>
              <w:right w:val="nil"/>
            </w:tcBorders>
            <w:shd w:val="clear" w:color="auto" w:fill="auto"/>
            <w:noWrap/>
            <w:vAlign w:val="center"/>
          </w:tcPr>
          <w:p w:rsidR="00D75EC3" w:rsidRPr="00360556" w:rsidRDefault="006A14B8" w:rsidP="006A14B8">
            <w:pPr>
              <w:ind w:right="77"/>
              <w:jc w:val="right"/>
              <w:rPr>
                <w:rFonts w:ascii="Calibri" w:hAnsi="Calibri"/>
                <w:b/>
                <w:bCs/>
                <w:color w:val="000000"/>
                <w:sz w:val="20"/>
                <w:szCs w:val="20"/>
                <w:lang w:eastAsia="en-AU"/>
              </w:rPr>
            </w:pPr>
            <w:r w:rsidRPr="00360556">
              <w:rPr>
                <w:rFonts w:ascii="Calibri" w:hAnsi="Calibri"/>
                <w:b/>
                <w:bCs/>
                <w:color w:val="000000"/>
                <w:sz w:val="20"/>
                <w:szCs w:val="20"/>
                <w:lang w:eastAsia="en-AU"/>
              </w:rPr>
              <w:t>301,884</w:t>
            </w:r>
          </w:p>
        </w:tc>
        <w:tc>
          <w:tcPr>
            <w:tcW w:w="1276" w:type="dxa"/>
            <w:tcBorders>
              <w:top w:val="nil"/>
              <w:left w:val="nil"/>
              <w:bottom w:val="nil"/>
              <w:right w:val="single" w:sz="4" w:space="0" w:color="auto"/>
            </w:tcBorders>
            <w:shd w:val="clear" w:color="auto" w:fill="auto"/>
            <w:noWrap/>
            <w:vAlign w:val="center"/>
          </w:tcPr>
          <w:p w:rsidR="00D75EC3" w:rsidRPr="00360556" w:rsidRDefault="00EF7875" w:rsidP="00B23A74">
            <w:pPr>
              <w:jc w:val="center"/>
              <w:rPr>
                <w:rFonts w:ascii="Calibri" w:hAnsi="Calibri"/>
                <w:b/>
                <w:bCs/>
                <w:color w:val="000000"/>
                <w:sz w:val="20"/>
                <w:szCs w:val="20"/>
                <w:lang w:eastAsia="en-AU"/>
              </w:rPr>
            </w:pPr>
            <w:r w:rsidRPr="00360556">
              <w:rPr>
                <w:rFonts w:ascii="Calibri" w:hAnsi="Calibri"/>
                <w:b/>
                <w:bCs/>
                <w:color w:val="000000"/>
                <w:sz w:val="20"/>
                <w:szCs w:val="20"/>
                <w:lang w:eastAsia="en-AU"/>
              </w:rPr>
              <w:t>$1.7</w:t>
            </w:r>
            <w:r w:rsidR="00B23A74" w:rsidRPr="00360556">
              <w:rPr>
                <w:rFonts w:ascii="Calibri" w:hAnsi="Calibri"/>
                <w:b/>
                <w:bCs/>
                <w:color w:val="000000"/>
                <w:sz w:val="20"/>
                <w:szCs w:val="20"/>
                <w:lang w:eastAsia="en-AU"/>
              </w:rPr>
              <w:t>8</w:t>
            </w:r>
          </w:p>
        </w:tc>
      </w:tr>
      <w:tr w:rsidR="004B5333" w:rsidRPr="00360556" w:rsidTr="004B5333">
        <w:trPr>
          <w:trHeight w:val="347"/>
        </w:trPr>
        <w:tc>
          <w:tcPr>
            <w:tcW w:w="3843" w:type="dxa"/>
            <w:tcBorders>
              <w:top w:val="nil"/>
              <w:left w:val="single" w:sz="4" w:space="0" w:color="auto"/>
              <w:bottom w:val="nil"/>
              <w:right w:val="single" w:sz="4" w:space="0" w:color="auto"/>
            </w:tcBorders>
            <w:shd w:val="clear" w:color="auto" w:fill="auto"/>
            <w:noWrap/>
            <w:vAlign w:val="center"/>
            <w:hideMark/>
          </w:tcPr>
          <w:p w:rsidR="00D75EC3" w:rsidRPr="00360556" w:rsidRDefault="00D75EC3" w:rsidP="002C3FAB">
            <w:pPr>
              <w:rPr>
                <w:rFonts w:ascii="Calibri" w:hAnsi="Calibri"/>
                <w:color w:val="000000"/>
                <w:sz w:val="20"/>
                <w:szCs w:val="20"/>
                <w:u w:val="single"/>
                <w:lang w:eastAsia="en-AU"/>
              </w:rPr>
            </w:pPr>
            <w:r w:rsidRPr="00360556">
              <w:rPr>
                <w:rFonts w:ascii="Calibri" w:hAnsi="Calibri"/>
                <w:color w:val="000000"/>
                <w:sz w:val="20"/>
                <w:szCs w:val="20"/>
                <w:lang w:eastAsia="en-AU"/>
              </w:rPr>
              <w:t xml:space="preserve">Fixed Costs </w:t>
            </w:r>
            <w:r w:rsidR="002C3FAB" w:rsidRPr="00360556">
              <w:rPr>
                <w:rFonts w:ascii="Calibri" w:hAnsi="Calibri"/>
                <w:color w:val="000000"/>
                <w:sz w:val="20"/>
                <w:szCs w:val="20"/>
                <w:lang w:eastAsia="en-AU"/>
              </w:rPr>
              <w:t>(see table below)</w:t>
            </w:r>
          </w:p>
        </w:tc>
        <w:tc>
          <w:tcPr>
            <w:tcW w:w="708" w:type="dxa"/>
            <w:tcBorders>
              <w:top w:val="nil"/>
              <w:left w:val="single" w:sz="4" w:space="0" w:color="auto"/>
              <w:bottom w:val="nil"/>
              <w:right w:val="nil"/>
            </w:tcBorders>
            <w:shd w:val="clear" w:color="auto" w:fill="auto"/>
            <w:noWrap/>
            <w:vAlign w:val="center"/>
            <w:hideMark/>
          </w:tcPr>
          <w:p w:rsidR="00D75EC3" w:rsidRPr="00360556" w:rsidRDefault="00D75EC3" w:rsidP="00EF7875">
            <w:pPr>
              <w:jc w:val="right"/>
              <w:rPr>
                <w:rFonts w:ascii="Calibri" w:hAnsi="Calibri"/>
                <w:color w:val="000000"/>
                <w:sz w:val="20"/>
                <w:szCs w:val="20"/>
                <w:lang w:eastAsia="en-AU"/>
              </w:rPr>
            </w:pPr>
          </w:p>
        </w:tc>
        <w:tc>
          <w:tcPr>
            <w:tcW w:w="993" w:type="dxa"/>
            <w:tcBorders>
              <w:top w:val="nil"/>
              <w:left w:val="nil"/>
              <w:bottom w:val="nil"/>
              <w:right w:val="nil"/>
            </w:tcBorders>
            <w:shd w:val="clear" w:color="auto" w:fill="auto"/>
            <w:noWrap/>
            <w:vAlign w:val="center"/>
            <w:hideMark/>
          </w:tcPr>
          <w:p w:rsidR="00D75EC3" w:rsidRPr="00360556" w:rsidRDefault="00D75EC3" w:rsidP="00EF7875">
            <w:pPr>
              <w:jc w:val="right"/>
              <w:rPr>
                <w:rFonts w:ascii="Calibri" w:hAnsi="Calibri"/>
                <w:b/>
                <w:bCs/>
                <w:color w:val="000000"/>
                <w:sz w:val="20"/>
                <w:szCs w:val="20"/>
                <w:lang w:eastAsia="en-AU"/>
              </w:rPr>
            </w:pPr>
          </w:p>
        </w:tc>
        <w:tc>
          <w:tcPr>
            <w:tcW w:w="1275" w:type="dxa"/>
            <w:tcBorders>
              <w:top w:val="nil"/>
              <w:left w:val="nil"/>
              <w:bottom w:val="nil"/>
              <w:right w:val="single" w:sz="4" w:space="0" w:color="auto"/>
            </w:tcBorders>
            <w:shd w:val="clear" w:color="auto" w:fill="auto"/>
            <w:noWrap/>
            <w:vAlign w:val="center"/>
            <w:hideMark/>
          </w:tcPr>
          <w:p w:rsidR="00D75EC3" w:rsidRPr="00360556" w:rsidRDefault="00D75EC3" w:rsidP="00EF7875">
            <w:pPr>
              <w:jc w:val="center"/>
              <w:rPr>
                <w:rFonts w:ascii="Calibri" w:hAnsi="Calibri"/>
                <w:b/>
                <w:bCs/>
                <w:color w:val="000000"/>
                <w:sz w:val="20"/>
                <w:szCs w:val="20"/>
                <w:lang w:eastAsia="en-AU"/>
              </w:rPr>
            </w:pPr>
            <w:r w:rsidRPr="00360556">
              <w:rPr>
                <w:rFonts w:ascii="Calibri" w:hAnsi="Calibri"/>
                <w:b/>
                <w:bCs/>
                <w:color w:val="000000"/>
                <w:sz w:val="20"/>
                <w:szCs w:val="20"/>
                <w:lang w:eastAsia="en-AU"/>
              </w:rPr>
              <w:t>$13.96</w:t>
            </w:r>
          </w:p>
        </w:tc>
        <w:tc>
          <w:tcPr>
            <w:tcW w:w="709" w:type="dxa"/>
            <w:tcBorders>
              <w:top w:val="nil"/>
              <w:left w:val="single" w:sz="4" w:space="0" w:color="auto"/>
              <w:bottom w:val="nil"/>
              <w:right w:val="nil"/>
            </w:tcBorders>
            <w:shd w:val="clear" w:color="auto" w:fill="auto"/>
            <w:noWrap/>
            <w:vAlign w:val="center"/>
            <w:hideMark/>
          </w:tcPr>
          <w:p w:rsidR="00D75EC3" w:rsidRPr="00360556" w:rsidRDefault="00D75EC3" w:rsidP="00EF7875">
            <w:pPr>
              <w:jc w:val="right"/>
              <w:rPr>
                <w:rFonts w:ascii="Calibri" w:hAnsi="Calibri"/>
                <w:color w:val="000000"/>
                <w:sz w:val="20"/>
                <w:szCs w:val="20"/>
                <w:lang w:eastAsia="en-AU"/>
              </w:rPr>
            </w:pPr>
          </w:p>
        </w:tc>
        <w:tc>
          <w:tcPr>
            <w:tcW w:w="992" w:type="dxa"/>
            <w:tcBorders>
              <w:top w:val="nil"/>
              <w:left w:val="nil"/>
              <w:bottom w:val="nil"/>
              <w:right w:val="nil"/>
            </w:tcBorders>
            <w:shd w:val="clear" w:color="auto" w:fill="auto"/>
            <w:noWrap/>
            <w:vAlign w:val="center"/>
          </w:tcPr>
          <w:p w:rsidR="00D75EC3" w:rsidRPr="00360556" w:rsidRDefault="00D75EC3" w:rsidP="00EF7875">
            <w:pPr>
              <w:jc w:val="right"/>
              <w:rPr>
                <w:rFonts w:ascii="Calibri" w:hAnsi="Calibri"/>
                <w:b/>
                <w:bCs/>
                <w:color w:val="000000"/>
                <w:sz w:val="20"/>
                <w:szCs w:val="20"/>
                <w:lang w:eastAsia="en-AU"/>
              </w:rPr>
            </w:pPr>
          </w:p>
        </w:tc>
        <w:tc>
          <w:tcPr>
            <w:tcW w:w="1276" w:type="dxa"/>
            <w:tcBorders>
              <w:top w:val="nil"/>
              <w:left w:val="nil"/>
              <w:bottom w:val="nil"/>
              <w:right w:val="single" w:sz="4" w:space="0" w:color="auto"/>
            </w:tcBorders>
            <w:shd w:val="clear" w:color="auto" w:fill="auto"/>
            <w:noWrap/>
            <w:vAlign w:val="center"/>
            <w:hideMark/>
          </w:tcPr>
          <w:p w:rsidR="00D75EC3" w:rsidRPr="00360556" w:rsidRDefault="00D75EC3" w:rsidP="00EF7875">
            <w:pPr>
              <w:jc w:val="center"/>
              <w:rPr>
                <w:rFonts w:ascii="Calibri" w:hAnsi="Calibri"/>
                <w:b/>
                <w:bCs/>
                <w:color w:val="000000"/>
                <w:sz w:val="20"/>
                <w:szCs w:val="20"/>
                <w:lang w:eastAsia="en-AU"/>
              </w:rPr>
            </w:pPr>
            <w:r w:rsidRPr="00360556">
              <w:rPr>
                <w:rFonts w:ascii="Calibri" w:hAnsi="Calibri"/>
                <w:b/>
                <w:bCs/>
                <w:color w:val="000000"/>
                <w:sz w:val="20"/>
                <w:szCs w:val="20"/>
                <w:lang w:eastAsia="en-AU"/>
              </w:rPr>
              <w:t>$13.96</w:t>
            </w:r>
          </w:p>
        </w:tc>
      </w:tr>
      <w:tr w:rsidR="004B5333" w:rsidRPr="00360556" w:rsidTr="004B5333">
        <w:trPr>
          <w:trHeight w:val="514"/>
        </w:trPr>
        <w:tc>
          <w:tcPr>
            <w:tcW w:w="3843" w:type="dxa"/>
            <w:tcBorders>
              <w:top w:val="nil"/>
              <w:left w:val="single" w:sz="4" w:space="0" w:color="auto"/>
              <w:bottom w:val="single" w:sz="4" w:space="0" w:color="auto"/>
              <w:right w:val="single" w:sz="4" w:space="0" w:color="auto"/>
            </w:tcBorders>
            <w:shd w:val="clear" w:color="auto" w:fill="auto"/>
            <w:noWrap/>
            <w:vAlign w:val="center"/>
            <w:hideMark/>
          </w:tcPr>
          <w:p w:rsidR="00D75EC3" w:rsidRPr="00360556" w:rsidRDefault="00D75EC3" w:rsidP="00EF7875">
            <w:pPr>
              <w:rPr>
                <w:rFonts w:ascii="Calibri" w:hAnsi="Calibri"/>
                <w:b/>
                <w:bCs/>
                <w:color w:val="000000"/>
                <w:sz w:val="20"/>
                <w:szCs w:val="20"/>
                <w:lang w:eastAsia="en-AU"/>
              </w:rPr>
            </w:pPr>
            <w:r w:rsidRPr="00360556">
              <w:rPr>
                <w:rFonts w:ascii="Calibri" w:hAnsi="Calibri"/>
                <w:b/>
                <w:bCs/>
                <w:color w:val="000000"/>
                <w:sz w:val="20"/>
                <w:szCs w:val="20"/>
                <w:lang w:eastAsia="en-AU"/>
              </w:rPr>
              <w:t>Total Cost per application</w:t>
            </w:r>
            <w:r w:rsidR="00E0615A" w:rsidRPr="00360556">
              <w:rPr>
                <w:rStyle w:val="FootnoteReference"/>
                <w:rFonts w:ascii="Calibri" w:hAnsi="Calibri"/>
                <w:b/>
                <w:bCs/>
                <w:color w:val="000000"/>
                <w:sz w:val="20"/>
                <w:szCs w:val="20"/>
                <w:lang w:eastAsia="en-AU"/>
              </w:rPr>
              <w:footnoteReference w:id="19"/>
            </w:r>
          </w:p>
        </w:tc>
        <w:tc>
          <w:tcPr>
            <w:tcW w:w="708" w:type="dxa"/>
            <w:tcBorders>
              <w:top w:val="nil"/>
              <w:left w:val="single" w:sz="4" w:space="0" w:color="auto"/>
              <w:bottom w:val="single" w:sz="4" w:space="0" w:color="auto"/>
              <w:right w:val="nil"/>
            </w:tcBorders>
            <w:shd w:val="clear" w:color="auto" w:fill="auto"/>
            <w:noWrap/>
            <w:vAlign w:val="center"/>
            <w:hideMark/>
          </w:tcPr>
          <w:p w:rsidR="00D75EC3" w:rsidRPr="00360556" w:rsidRDefault="00D75EC3" w:rsidP="00EF7875">
            <w:pPr>
              <w:jc w:val="right"/>
              <w:rPr>
                <w:rFonts w:ascii="Calibri" w:hAnsi="Calibri"/>
                <w:b/>
                <w:bCs/>
                <w:color w:val="000000"/>
                <w:sz w:val="20"/>
                <w:szCs w:val="20"/>
                <w:lang w:eastAsia="en-AU"/>
              </w:rPr>
            </w:pPr>
          </w:p>
        </w:tc>
        <w:tc>
          <w:tcPr>
            <w:tcW w:w="993" w:type="dxa"/>
            <w:tcBorders>
              <w:top w:val="nil"/>
              <w:left w:val="nil"/>
              <w:bottom w:val="single" w:sz="4" w:space="0" w:color="auto"/>
              <w:right w:val="nil"/>
            </w:tcBorders>
            <w:shd w:val="clear" w:color="auto" w:fill="auto"/>
            <w:noWrap/>
            <w:vAlign w:val="center"/>
            <w:hideMark/>
          </w:tcPr>
          <w:p w:rsidR="00D75EC3" w:rsidRPr="00360556" w:rsidRDefault="00D75EC3" w:rsidP="00EF7875">
            <w:pPr>
              <w:jc w:val="right"/>
              <w:rPr>
                <w:rFonts w:ascii="Calibri" w:hAnsi="Calibri"/>
                <w:b/>
                <w:bCs/>
                <w:color w:val="000000"/>
                <w:sz w:val="20"/>
                <w:szCs w:val="20"/>
                <w:lang w:eastAsia="en-AU"/>
              </w:rPr>
            </w:pPr>
          </w:p>
        </w:tc>
        <w:tc>
          <w:tcPr>
            <w:tcW w:w="1275" w:type="dxa"/>
            <w:tcBorders>
              <w:top w:val="nil"/>
              <w:left w:val="nil"/>
              <w:bottom w:val="single" w:sz="4" w:space="0" w:color="auto"/>
              <w:right w:val="single" w:sz="4" w:space="0" w:color="auto"/>
            </w:tcBorders>
            <w:shd w:val="clear" w:color="auto" w:fill="auto"/>
            <w:noWrap/>
            <w:vAlign w:val="center"/>
            <w:hideMark/>
          </w:tcPr>
          <w:p w:rsidR="00D75EC3" w:rsidRPr="00360556" w:rsidRDefault="00D75EC3" w:rsidP="00B23A74">
            <w:pPr>
              <w:jc w:val="center"/>
              <w:rPr>
                <w:rFonts w:ascii="Calibri" w:hAnsi="Calibri"/>
                <w:b/>
                <w:bCs/>
                <w:color w:val="000000"/>
                <w:sz w:val="20"/>
                <w:szCs w:val="20"/>
                <w:lang w:eastAsia="en-AU"/>
              </w:rPr>
            </w:pPr>
            <w:r w:rsidRPr="00360556">
              <w:rPr>
                <w:rFonts w:ascii="Calibri" w:hAnsi="Calibri"/>
                <w:b/>
                <w:bCs/>
                <w:color w:val="000000"/>
                <w:sz w:val="20"/>
                <w:szCs w:val="20"/>
                <w:lang w:eastAsia="en-AU"/>
              </w:rPr>
              <w:t>$</w:t>
            </w:r>
            <w:r w:rsidR="00B23A74" w:rsidRPr="00360556">
              <w:rPr>
                <w:rFonts w:ascii="Calibri" w:hAnsi="Calibri"/>
                <w:b/>
                <w:bCs/>
                <w:color w:val="000000"/>
                <w:sz w:val="20"/>
                <w:szCs w:val="20"/>
                <w:lang w:eastAsia="en-AU"/>
              </w:rPr>
              <w:t>34.42</w:t>
            </w:r>
          </w:p>
        </w:tc>
        <w:tc>
          <w:tcPr>
            <w:tcW w:w="709" w:type="dxa"/>
            <w:tcBorders>
              <w:top w:val="nil"/>
              <w:left w:val="single" w:sz="4" w:space="0" w:color="auto"/>
              <w:bottom w:val="single" w:sz="4" w:space="0" w:color="auto"/>
              <w:right w:val="nil"/>
            </w:tcBorders>
            <w:shd w:val="clear" w:color="auto" w:fill="auto"/>
            <w:noWrap/>
            <w:vAlign w:val="center"/>
            <w:hideMark/>
          </w:tcPr>
          <w:p w:rsidR="00D75EC3" w:rsidRPr="00360556" w:rsidRDefault="00D75EC3" w:rsidP="00EF7875">
            <w:pPr>
              <w:jc w:val="right"/>
              <w:rPr>
                <w:rFonts w:ascii="Calibri" w:hAnsi="Calibri"/>
                <w:b/>
                <w:bCs/>
                <w:color w:val="000000"/>
                <w:sz w:val="20"/>
                <w:szCs w:val="20"/>
                <w:lang w:eastAsia="en-AU"/>
              </w:rPr>
            </w:pPr>
          </w:p>
        </w:tc>
        <w:tc>
          <w:tcPr>
            <w:tcW w:w="992" w:type="dxa"/>
            <w:tcBorders>
              <w:top w:val="nil"/>
              <w:left w:val="nil"/>
              <w:bottom w:val="single" w:sz="4" w:space="0" w:color="auto"/>
              <w:right w:val="nil"/>
            </w:tcBorders>
            <w:shd w:val="clear" w:color="auto" w:fill="auto"/>
            <w:noWrap/>
            <w:vAlign w:val="center"/>
            <w:hideMark/>
          </w:tcPr>
          <w:p w:rsidR="00D75EC3" w:rsidRPr="00360556" w:rsidRDefault="00D75EC3" w:rsidP="00EF7875">
            <w:pPr>
              <w:jc w:val="right"/>
              <w:rPr>
                <w:rFonts w:ascii="Calibri" w:hAnsi="Calibri"/>
                <w:b/>
                <w:bCs/>
                <w:color w:val="000000"/>
                <w:sz w:val="20"/>
                <w:szCs w:val="20"/>
                <w:lang w:eastAsia="en-AU"/>
              </w:rPr>
            </w:pPr>
          </w:p>
        </w:tc>
        <w:tc>
          <w:tcPr>
            <w:tcW w:w="1276" w:type="dxa"/>
            <w:tcBorders>
              <w:top w:val="nil"/>
              <w:left w:val="nil"/>
              <w:bottom w:val="single" w:sz="4" w:space="0" w:color="auto"/>
              <w:right w:val="single" w:sz="4" w:space="0" w:color="auto"/>
            </w:tcBorders>
            <w:shd w:val="clear" w:color="auto" w:fill="auto"/>
            <w:noWrap/>
            <w:vAlign w:val="center"/>
            <w:hideMark/>
          </w:tcPr>
          <w:p w:rsidR="00D75EC3" w:rsidRPr="00360556" w:rsidRDefault="00D75EC3" w:rsidP="00B23A74">
            <w:pPr>
              <w:jc w:val="center"/>
              <w:rPr>
                <w:rFonts w:ascii="Calibri" w:hAnsi="Calibri"/>
                <w:b/>
                <w:bCs/>
                <w:color w:val="000000"/>
                <w:sz w:val="20"/>
                <w:szCs w:val="20"/>
                <w:lang w:eastAsia="en-AU"/>
              </w:rPr>
            </w:pPr>
            <w:r w:rsidRPr="00360556">
              <w:rPr>
                <w:rFonts w:ascii="Calibri" w:hAnsi="Calibri"/>
                <w:b/>
                <w:bCs/>
                <w:color w:val="000000"/>
                <w:sz w:val="20"/>
                <w:szCs w:val="20"/>
                <w:lang w:eastAsia="en-AU"/>
              </w:rPr>
              <w:t>$15.7</w:t>
            </w:r>
            <w:r w:rsidR="00B23A74" w:rsidRPr="00360556">
              <w:rPr>
                <w:rFonts w:ascii="Calibri" w:hAnsi="Calibri"/>
                <w:b/>
                <w:bCs/>
                <w:color w:val="000000"/>
                <w:sz w:val="20"/>
                <w:szCs w:val="20"/>
                <w:lang w:eastAsia="en-AU"/>
              </w:rPr>
              <w:t>4</w:t>
            </w:r>
          </w:p>
        </w:tc>
      </w:tr>
    </w:tbl>
    <w:p w:rsidR="00F961EA" w:rsidRPr="006A14B8" w:rsidRDefault="00F961EA" w:rsidP="00840A4C">
      <w:pPr>
        <w:pStyle w:val="Style14ptJustified"/>
        <w:keepLines/>
        <w:spacing w:before="240" w:after="240" w:line="276" w:lineRule="auto"/>
        <w:jc w:val="left"/>
        <w:rPr>
          <w:rFonts w:ascii="Calibri" w:hAnsi="Calibri"/>
          <w:sz w:val="24"/>
          <w:szCs w:val="24"/>
        </w:rPr>
      </w:pPr>
      <w:r w:rsidRPr="006A14B8">
        <w:rPr>
          <w:rFonts w:ascii="Calibri" w:hAnsi="Calibri"/>
          <w:sz w:val="24"/>
          <w:szCs w:val="24"/>
        </w:rPr>
        <w:t>The fixed cost component was calculated as follows:</w:t>
      </w:r>
    </w:p>
    <w:tbl>
      <w:tblPr>
        <w:tblW w:w="7974" w:type="dxa"/>
        <w:tblInd w:w="93" w:type="dxa"/>
        <w:tblLook w:val="04A0" w:firstRow="1" w:lastRow="0" w:firstColumn="1" w:lastColumn="0" w:noHBand="0" w:noVBand="1"/>
      </w:tblPr>
      <w:tblGrid>
        <w:gridCol w:w="4977"/>
        <w:gridCol w:w="1417"/>
        <w:gridCol w:w="1580"/>
      </w:tblGrid>
      <w:tr w:rsidR="00F961EA" w:rsidRPr="004B5333" w:rsidTr="004B5333">
        <w:trPr>
          <w:trHeight w:val="300"/>
        </w:trPr>
        <w:tc>
          <w:tcPr>
            <w:tcW w:w="4977" w:type="dxa"/>
            <w:tcBorders>
              <w:top w:val="single" w:sz="4" w:space="0" w:color="auto"/>
              <w:left w:val="single" w:sz="4" w:space="0" w:color="auto"/>
              <w:bottom w:val="single" w:sz="4" w:space="0" w:color="auto"/>
              <w:right w:val="nil"/>
            </w:tcBorders>
            <w:shd w:val="clear" w:color="auto" w:fill="auto"/>
            <w:noWrap/>
            <w:vAlign w:val="bottom"/>
          </w:tcPr>
          <w:p w:rsidR="00F961EA" w:rsidRPr="004B5333" w:rsidRDefault="00F961EA" w:rsidP="003D5EE9">
            <w:pPr>
              <w:rPr>
                <w:rFonts w:ascii="Calibri" w:hAnsi="Calibri"/>
                <w:b/>
                <w:bCs/>
                <w:color w:val="000000"/>
                <w:sz w:val="20"/>
                <w:szCs w:val="20"/>
                <w:lang w:eastAsia="en-AU"/>
              </w:rPr>
            </w:pPr>
            <w:r w:rsidRPr="004B5333">
              <w:rPr>
                <w:rFonts w:ascii="Calibri" w:hAnsi="Calibri"/>
                <w:b/>
                <w:bCs/>
                <w:color w:val="000000"/>
                <w:sz w:val="20"/>
                <w:szCs w:val="20"/>
                <w:lang w:eastAsia="en-AU"/>
              </w:rPr>
              <w:t>Fixed cost calculation</w:t>
            </w:r>
          </w:p>
        </w:tc>
        <w:tc>
          <w:tcPr>
            <w:tcW w:w="1417" w:type="dxa"/>
            <w:tcBorders>
              <w:top w:val="single" w:sz="4" w:space="0" w:color="auto"/>
              <w:left w:val="nil"/>
              <w:bottom w:val="single" w:sz="4" w:space="0" w:color="auto"/>
              <w:right w:val="nil"/>
            </w:tcBorders>
            <w:shd w:val="clear" w:color="auto" w:fill="auto"/>
            <w:noWrap/>
            <w:vAlign w:val="bottom"/>
          </w:tcPr>
          <w:p w:rsidR="00F961EA" w:rsidRPr="004B5333" w:rsidRDefault="00F961EA" w:rsidP="00776286">
            <w:pPr>
              <w:jc w:val="center"/>
              <w:rPr>
                <w:rFonts w:ascii="Calibri" w:hAnsi="Calibri"/>
                <w:b/>
                <w:bCs/>
                <w:color w:val="000000"/>
                <w:sz w:val="20"/>
                <w:szCs w:val="20"/>
                <w:lang w:eastAsia="en-AU"/>
              </w:rPr>
            </w:pPr>
          </w:p>
        </w:tc>
        <w:tc>
          <w:tcPr>
            <w:tcW w:w="1580" w:type="dxa"/>
            <w:tcBorders>
              <w:top w:val="single" w:sz="4" w:space="0" w:color="auto"/>
              <w:left w:val="nil"/>
              <w:bottom w:val="single" w:sz="4" w:space="0" w:color="auto"/>
              <w:right w:val="single" w:sz="4" w:space="0" w:color="auto"/>
            </w:tcBorders>
            <w:shd w:val="clear" w:color="auto" w:fill="auto"/>
            <w:noWrap/>
            <w:vAlign w:val="bottom"/>
          </w:tcPr>
          <w:p w:rsidR="00F961EA" w:rsidRPr="004B5333" w:rsidRDefault="00F961EA" w:rsidP="00776286">
            <w:pPr>
              <w:jc w:val="center"/>
              <w:rPr>
                <w:rFonts w:ascii="Calibri" w:hAnsi="Calibri"/>
                <w:b/>
                <w:bCs/>
                <w:color w:val="000000"/>
                <w:sz w:val="20"/>
                <w:szCs w:val="20"/>
                <w:lang w:eastAsia="en-AU"/>
              </w:rPr>
            </w:pPr>
          </w:p>
        </w:tc>
      </w:tr>
      <w:tr w:rsidR="00F961EA" w:rsidRPr="004B5333" w:rsidTr="004B5333">
        <w:trPr>
          <w:trHeight w:val="300"/>
        </w:trPr>
        <w:tc>
          <w:tcPr>
            <w:tcW w:w="4977" w:type="dxa"/>
            <w:tcBorders>
              <w:top w:val="single" w:sz="4" w:space="0" w:color="auto"/>
              <w:left w:val="single" w:sz="4" w:space="0" w:color="auto"/>
              <w:bottom w:val="nil"/>
              <w:right w:val="nil"/>
            </w:tcBorders>
            <w:shd w:val="clear" w:color="auto" w:fill="auto"/>
            <w:noWrap/>
            <w:vAlign w:val="bottom"/>
            <w:hideMark/>
          </w:tcPr>
          <w:p w:rsidR="00F961EA" w:rsidRPr="004B5333" w:rsidRDefault="00840A4C" w:rsidP="00EE5BC1">
            <w:pPr>
              <w:rPr>
                <w:rFonts w:ascii="Calibri" w:hAnsi="Calibri"/>
                <w:b/>
                <w:bCs/>
                <w:color w:val="000000"/>
                <w:sz w:val="20"/>
                <w:szCs w:val="20"/>
                <w:lang w:eastAsia="en-AU"/>
              </w:rPr>
            </w:pPr>
            <w:r w:rsidRPr="004B5333">
              <w:rPr>
                <w:rFonts w:ascii="Calibri" w:hAnsi="Calibri"/>
                <w:color w:val="000000"/>
                <w:sz w:val="20"/>
                <w:szCs w:val="20"/>
                <w:u w:val="single"/>
                <w:lang w:eastAsia="en-AU"/>
              </w:rPr>
              <w:t>Fixed Salary Costs</w:t>
            </w:r>
            <w:r w:rsidRPr="004B5333">
              <w:rPr>
                <w:rStyle w:val="FootnoteReference"/>
                <w:rFonts w:ascii="Calibri" w:hAnsi="Calibri"/>
                <w:color w:val="000000"/>
                <w:sz w:val="20"/>
                <w:szCs w:val="20"/>
                <w:u w:val="single"/>
                <w:lang w:eastAsia="en-AU"/>
              </w:rPr>
              <w:footnoteReference w:id="20"/>
            </w:r>
          </w:p>
        </w:tc>
        <w:tc>
          <w:tcPr>
            <w:tcW w:w="1417" w:type="dxa"/>
            <w:tcBorders>
              <w:top w:val="single" w:sz="4" w:space="0" w:color="auto"/>
              <w:left w:val="nil"/>
              <w:bottom w:val="nil"/>
              <w:right w:val="nil"/>
            </w:tcBorders>
            <w:shd w:val="clear" w:color="auto" w:fill="auto"/>
            <w:noWrap/>
            <w:vAlign w:val="bottom"/>
            <w:hideMark/>
          </w:tcPr>
          <w:p w:rsidR="00F961EA" w:rsidRPr="004B5333" w:rsidRDefault="00F961EA" w:rsidP="00776286">
            <w:pPr>
              <w:jc w:val="center"/>
              <w:rPr>
                <w:rFonts w:ascii="Calibri" w:hAnsi="Calibri"/>
                <w:b/>
                <w:bCs/>
                <w:color w:val="000000"/>
                <w:sz w:val="20"/>
                <w:szCs w:val="20"/>
                <w:lang w:eastAsia="en-AU"/>
              </w:rPr>
            </w:pPr>
            <w:r w:rsidRPr="004B5333">
              <w:rPr>
                <w:rFonts w:ascii="Calibri" w:hAnsi="Calibri"/>
                <w:b/>
                <w:bCs/>
                <w:color w:val="000000"/>
                <w:sz w:val="20"/>
                <w:szCs w:val="20"/>
                <w:lang w:eastAsia="en-AU"/>
              </w:rPr>
              <w:t>FTE</w:t>
            </w:r>
          </w:p>
        </w:tc>
        <w:tc>
          <w:tcPr>
            <w:tcW w:w="1580" w:type="dxa"/>
            <w:tcBorders>
              <w:top w:val="single" w:sz="4" w:space="0" w:color="auto"/>
              <w:left w:val="nil"/>
              <w:bottom w:val="nil"/>
              <w:right w:val="single" w:sz="4" w:space="0" w:color="auto"/>
            </w:tcBorders>
            <w:shd w:val="clear" w:color="auto" w:fill="auto"/>
            <w:noWrap/>
            <w:vAlign w:val="bottom"/>
            <w:hideMark/>
          </w:tcPr>
          <w:p w:rsidR="00F961EA" w:rsidRPr="004B5333" w:rsidRDefault="00F961EA" w:rsidP="004B5333">
            <w:pPr>
              <w:ind w:right="44"/>
              <w:jc w:val="center"/>
              <w:rPr>
                <w:rFonts w:ascii="Calibri" w:hAnsi="Calibri"/>
                <w:b/>
                <w:bCs/>
                <w:color w:val="000000"/>
                <w:sz w:val="20"/>
                <w:szCs w:val="20"/>
                <w:lang w:eastAsia="en-AU"/>
              </w:rPr>
            </w:pPr>
            <w:r w:rsidRPr="004B5333">
              <w:rPr>
                <w:rFonts w:ascii="Calibri" w:hAnsi="Calibri"/>
                <w:b/>
                <w:bCs/>
                <w:color w:val="000000"/>
                <w:sz w:val="20"/>
                <w:szCs w:val="20"/>
                <w:lang w:eastAsia="en-AU"/>
              </w:rPr>
              <w:t>Cost</w:t>
            </w:r>
          </w:p>
        </w:tc>
      </w:tr>
      <w:tr w:rsidR="00F961EA" w:rsidRPr="004B5333" w:rsidTr="004B5333">
        <w:trPr>
          <w:trHeight w:val="300"/>
        </w:trPr>
        <w:tc>
          <w:tcPr>
            <w:tcW w:w="4977" w:type="dxa"/>
            <w:tcBorders>
              <w:top w:val="nil"/>
              <w:left w:val="single" w:sz="4" w:space="0" w:color="auto"/>
              <w:bottom w:val="nil"/>
              <w:right w:val="nil"/>
            </w:tcBorders>
            <w:shd w:val="clear" w:color="auto" w:fill="auto"/>
            <w:noWrap/>
            <w:vAlign w:val="bottom"/>
            <w:hideMark/>
          </w:tcPr>
          <w:p w:rsidR="00F961EA" w:rsidRPr="004B5333" w:rsidRDefault="00F961EA" w:rsidP="004B5333">
            <w:pPr>
              <w:ind w:right="44" w:firstLineChars="100" w:firstLine="200"/>
              <w:rPr>
                <w:rFonts w:ascii="Calibri" w:hAnsi="Calibri"/>
                <w:color w:val="000000"/>
                <w:sz w:val="20"/>
                <w:szCs w:val="20"/>
                <w:lang w:eastAsia="en-AU"/>
              </w:rPr>
            </w:pPr>
            <w:r w:rsidRPr="004B5333">
              <w:rPr>
                <w:rFonts w:ascii="Calibri" w:hAnsi="Calibri"/>
                <w:color w:val="000000"/>
                <w:sz w:val="20"/>
                <w:szCs w:val="20"/>
                <w:lang w:eastAsia="en-AU"/>
              </w:rPr>
              <w:t>Customer Service Officer (VPSG – 2)</w:t>
            </w:r>
          </w:p>
        </w:tc>
        <w:tc>
          <w:tcPr>
            <w:tcW w:w="1417" w:type="dxa"/>
            <w:tcBorders>
              <w:top w:val="nil"/>
              <w:left w:val="nil"/>
              <w:bottom w:val="nil"/>
              <w:right w:val="nil"/>
            </w:tcBorders>
            <w:shd w:val="clear" w:color="auto" w:fill="auto"/>
            <w:noWrap/>
            <w:vAlign w:val="bottom"/>
            <w:hideMark/>
          </w:tcPr>
          <w:p w:rsidR="00F961EA" w:rsidRPr="004B5333" w:rsidRDefault="00F961EA" w:rsidP="00776286">
            <w:pPr>
              <w:jc w:val="center"/>
              <w:rPr>
                <w:rFonts w:ascii="Calibri" w:hAnsi="Calibri"/>
                <w:color w:val="000000"/>
                <w:sz w:val="20"/>
                <w:szCs w:val="20"/>
                <w:lang w:eastAsia="en-AU"/>
              </w:rPr>
            </w:pPr>
            <w:r w:rsidRPr="004B5333">
              <w:rPr>
                <w:rFonts w:ascii="Calibri" w:hAnsi="Calibri"/>
                <w:color w:val="000000"/>
                <w:sz w:val="20"/>
                <w:szCs w:val="20"/>
                <w:lang w:eastAsia="en-AU"/>
              </w:rPr>
              <w:t>0</w:t>
            </w:r>
          </w:p>
        </w:tc>
        <w:tc>
          <w:tcPr>
            <w:tcW w:w="1580" w:type="dxa"/>
            <w:tcBorders>
              <w:top w:val="nil"/>
              <w:left w:val="nil"/>
              <w:bottom w:val="nil"/>
              <w:right w:val="single" w:sz="4" w:space="0" w:color="auto"/>
            </w:tcBorders>
            <w:shd w:val="clear" w:color="auto" w:fill="auto"/>
            <w:noWrap/>
            <w:vAlign w:val="bottom"/>
            <w:hideMark/>
          </w:tcPr>
          <w:p w:rsidR="00F961EA" w:rsidRPr="004B5333" w:rsidRDefault="00F961EA" w:rsidP="004B5333">
            <w:pPr>
              <w:ind w:right="44"/>
              <w:jc w:val="right"/>
              <w:rPr>
                <w:rFonts w:ascii="Calibri" w:hAnsi="Calibri"/>
                <w:color w:val="000000"/>
                <w:sz w:val="20"/>
                <w:szCs w:val="20"/>
                <w:lang w:eastAsia="en-AU"/>
              </w:rPr>
            </w:pPr>
            <w:r w:rsidRPr="004B5333">
              <w:rPr>
                <w:rFonts w:ascii="Calibri" w:hAnsi="Calibri"/>
                <w:color w:val="000000"/>
                <w:sz w:val="20"/>
                <w:szCs w:val="20"/>
                <w:lang w:eastAsia="en-AU"/>
              </w:rPr>
              <w:t xml:space="preserve">-   </w:t>
            </w:r>
          </w:p>
        </w:tc>
      </w:tr>
      <w:tr w:rsidR="00F961EA" w:rsidRPr="004B5333" w:rsidTr="004B5333">
        <w:trPr>
          <w:trHeight w:val="300"/>
        </w:trPr>
        <w:tc>
          <w:tcPr>
            <w:tcW w:w="4977" w:type="dxa"/>
            <w:tcBorders>
              <w:top w:val="nil"/>
              <w:left w:val="single" w:sz="4" w:space="0" w:color="auto"/>
              <w:bottom w:val="nil"/>
              <w:right w:val="nil"/>
            </w:tcBorders>
            <w:shd w:val="clear" w:color="auto" w:fill="auto"/>
            <w:noWrap/>
            <w:vAlign w:val="bottom"/>
            <w:hideMark/>
          </w:tcPr>
          <w:p w:rsidR="00F961EA" w:rsidRPr="004B5333" w:rsidRDefault="00F961EA" w:rsidP="004B5333">
            <w:pPr>
              <w:ind w:firstLineChars="100" w:firstLine="200"/>
              <w:rPr>
                <w:rFonts w:ascii="Calibri" w:hAnsi="Calibri"/>
                <w:color w:val="000000"/>
                <w:sz w:val="20"/>
                <w:szCs w:val="20"/>
                <w:lang w:eastAsia="en-AU"/>
              </w:rPr>
            </w:pPr>
            <w:r w:rsidRPr="004B5333">
              <w:rPr>
                <w:rFonts w:ascii="Calibri" w:hAnsi="Calibri"/>
                <w:color w:val="000000"/>
                <w:sz w:val="20"/>
                <w:szCs w:val="20"/>
                <w:lang w:eastAsia="en-AU"/>
              </w:rPr>
              <w:t>Senior Customer Service Officer (VPSG – 3)</w:t>
            </w:r>
          </w:p>
        </w:tc>
        <w:tc>
          <w:tcPr>
            <w:tcW w:w="1417" w:type="dxa"/>
            <w:tcBorders>
              <w:top w:val="nil"/>
              <w:left w:val="nil"/>
              <w:bottom w:val="nil"/>
              <w:right w:val="nil"/>
            </w:tcBorders>
            <w:shd w:val="clear" w:color="auto" w:fill="auto"/>
            <w:noWrap/>
            <w:vAlign w:val="bottom"/>
            <w:hideMark/>
          </w:tcPr>
          <w:p w:rsidR="00F961EA" w:rsidRPr="004B5333" w:rsidRDefault="00F961EA" w:rsidP="00776286">
            <w:pPr>
              <w:jc w:val="center"/>
              <w:rPr>
                <w:rFonts w:ascii="Calibri" w:hAnsi="Calibri"/>
                <w:color w:val="000000"/>
                <w:sz w:val="20"/>
                <w:szCs w:val="20"/>
                <w:lang w:eastAsia="en-AU"/>
              </w:rPr>
            </w:pPr>
            <w:r w:rsidRPr="004B5333">
              <w:rPr>
                <w:rFonts w:ascii="Calibri" w:hAnsi="Calibri"/>
                <w:color w:val="000000"/>
                <w:sz w:val="20"/>
                <w:szCs w:val="20"/>
                <w:lang w:eastAsia="en-AU"/>
              </w:rPr>
              <w:t>1.4</w:t>
            </w:r>
          </w:p>
        </w:tc>
        <w:tc>
          <w:tcPr>
            <w:tcW w:w="1580" w:type="dxa"/>
            <w:tcBorders>
              <w:top w:val="nil"/>
              <w:left w:val="nil"/>
              <w:bottom w:val="nil"/>
              <w:right w:val="single" w:sz="4" w:space="0" w:color="auto"/>
            </w:tcBorders>
            <w:shd w:val="clear" w:color="auto" w:fill="auto"/>
            <w:noWrap/>
            <w:vAlign w:val="bottom"/>
            <w:hideMark/>
          </w:tcPr>
          <w:p w:rsidR="00F961EA" w:rsidRPr="004B5333" w:rsidRDefault="002C3FAB" w:rsidP="004B5333">
            <w:pPr>
              <w:ind w:right="44"/>
              <w:jc w:val="right"/>
              <w:rPr>
                <w:rFonts w:ascii="Calibri" w:hAnsi="Calibri"/>
                <w:color w:val="000000"/>
                <w:sz w:val="20"/>
                <w:szCs w:val="20"/>
                <w:lang w:eastAsia="en-AU"/>
              </w:rPr>
            </w:pPr>
            <w:r w:rsidRPr="004B5333">
              <w:rPr>
                <w:rFonts w:ascii="Calibri" w:hAnsi="Calibri"/>
                <w:color w:val="000000"/>
                <w:sz w:val="20"/>
                <w:szCs w:val="20"/>
                <w:lang w:eastAsia="en-AU"/>
              </w:rPr>
              <w:t>90,874</w:t>
            </w:r>
            <w:r w:rsidR="00F961EA" w:rsidRPr="004B5333">
              <w:rPr>
                <w:rFonts w:ascii="Calibri" w:hAnsi="Calibri"/>
                <w:color w:val="000000"/>
                <w:sz w:val="20"/>
                <w:szCs w:val="20"/>
                <w:lang w:eastAsia="en-AU"/>
              </w:rPr>
              <w:t xml:space="preserve"> </w:t>
            </w:r>
          </w:p>
        </w:tc>
      </w:tr>
      <w:tr w:rsidR="00F961EA" w:rsidRPr="004B5333" w:rsidTr="004B5333">
        <w:trPr>
          <w:trHeight w:val="300"/>
        </w:trPr>
        <w:tc>
          <w:tcPr>
            <w:tcW w:w="4977" w:type="dxa"/>
            <w:tcBorders>
              <w:top w:val="nil"/>
              <w:left w:val="single" w:sz="4" w:space="0" w:color="auto"/>
              <w:bottom w:val="nil"/>
              <w:right w:val="nil"/>
            </w:tcBorders>
            <w:shd w:val="clear" w:color="auto" w:fill="auto"/>
            <w:noWrap/>
            <w:vAlign w:val="bottom"/>
            <w:hideMark/>
          </w:tcPr>
          <w:p w:rsidR="00F961EA" w:rsidRPr="004B5333" w:rsidRDefault="00F961EA" w:rsidP="004B5333">
            <w:pPr>
              <w:ind w:firstLineChars="100" w:firstLine="200"/>
              <w:rPr>
                <w:rFonts w:ascii="Calibri" w:hAnsi="Calibri"/>
                <w:color w:val="000000"/>
                <w:sz w:val="20"/>
                <w:szCs w:val="20"/>
                <w:lang w:eastAsia="en-AU"/>
              </w:rPr>
            </w:pPr>
            <w:r w:rsidRPr="004B5333">
              <w:rPr>
                <w:rFonts w:ascii="Calibri" w:hAnsi="Calibri"/>
                <w:color w:val="000000"/>
                <w:sz w:val="20"/>
                <w:szCs w:val="20"/>
                <w:lang w:eastAsia="en-AU"/>
              </w:rPr>
              <w:t>Branch Technical Officer (VPSG – 4)</w:t>
            </w:r>
          </w:p>
        </w:tc>
        <w:tc>
          <w:tcPr>
            <w:tcW w:w="1417" w:type="dxa"/>
            <w:tcBorders>
              <w:top w:val="nil"/>
              <w:left w:val="nil"/>
              <w:bottom w:val="nil"/>
              <w:right w:val="nil"/>
            </w:tcBorders>
            <w:shd w:val="clear" w:color="auto" w:fill="auto"/>
            <w:noWrap/>
            <w:vAlign w:val="bottom"/>
            <w:hideMark/>
          </w:tcPr>
          <w:p w:rsidR="00F961EA" w:rsidRPr="004B5333" w:rsidRDefault="00F961EA" w:rsidP="00776286">
            <w:pPr>
              <w:jc w:val="center"/>
              <w:rPr>
                <w:rFonts w:ascii="Calibri" w:hAnsi="Calibri"/>
                <w:color w:val="000000"/>
                <w:sz w:val="20"/>
                <w:szCs w:val="20"/>
                <w:lang w:eastAsia="en-AU"/>
              </w:rPr>
            </w:pPr>
            <w:r w:rsidRPr="004B5333">
              <w:rPr>
                <w:rFonts w:ascii="Calibri" w:hAnsi="Calibri"/>
                <w:color w:val="000000"/>
                <w:sz w:val="20"/>
                <w:szCs w:val="20"/>
                <w:lang w:eastAsia="en-AU"/>
              </w:rPr>
              <w:t>2</w:t>
            </w:r>
          </w:p>
        </w:tc>
        <w:tc>
          <w:tcPr>
            <w:tcW w:w="1580" w:type="dxa"/>
            <w:tcBorders>
              <w:top w:val="nil"/>
              <w:left w:val="nil"/>
              <w:bottom w:val="nil"/>
              <w:right w:val="single" w:sz="4" w:space="0" w:color="auto"/>
            </w:tcBorders>
            <w:shd w:val="clear" w:color="auto" w:fill="auto"/>
            <w:noWrap/>
            <w:vAlign w:val="bottom"/>
            <w:hideMark/>
          </w:tcPr>
          <w:p w:rsidR="00F961EA" w:rsidRPr="004B5333" w:rsidRDefault="002C3FAB" w:rsidP="004B5333">
            <w:pPr>
              <w:ind w:right="44"/>
              <w:jc w:val="right"/>
              <w:rPr>
                <w:rFonts w:ascii="Calibri" w:hAnsi="Calibri"/>
                <w:color w:val="000000"/>
                <w:sz w:val="20"/>
                <w:szCs w:val="20"/>
                <w:lang w:eastAsia="en-AU"/>
              </w:rPr>
            </w:pPr>
            <w:r w:rsidRPr="004B5333">
              <w:rPr>
                <w:rFonts w:ascii="Calibri" w:hAnsi="Calibri"/>
                <w:color w:val="000000"/>
                <w:sz w:val="20"/>
                <w:szCs w:val="20"/>
                <w:lang w:eastAsia="en-AU"/>
              </w:rPr>
              <w:t>154,938</w:t>
            </w:r>
            <w:r w:rsidR="00F961EA" w:rsidRPr="004B5333">
              <w:rPr>
                <w:rFonts w:ascii="Calibri" w:hAnsi="Calibri"/>
                <w:color w:val="000000"/>
                <w:sz w:val="20"/>
                <w:szCs w:val="20"/>
                <w:lang w:eastAsia="en-AU"/>
              </w:rPr>
              <w:t xml:space="preserve"> </w:t>
            </w:r>
          </w:p>
        </w:tc>
      </w:tr>
      <w:tr w:rsidR="00F961EA" w:rsidRPr="004B5333" w:rsidTr="004B5333">
        <w:trPr>
          <w:trHeight w:val="300"/>
        </w:trPr>
        <w:tc>
          <w:tcPr>
            <w:tcW w:w="4977" w:type="dxa"/>
            <w:tcBorders>
              <w:top w:val="nil"/>
              <w:left w:val="single" w:sz="4" w:space="0" w:color="auto"/>
              <w:bottom w:val="nil"/>
              <w:right w:val="nil"/>
            </w:tcBorders>
            <w:shd w:val="clear" w:color="auto" w:fill="auto"/>
            <w:noWrap/>
            <w:vAlign w:val="bottom"/>
            <w:hideMark/>
          </w:tcPr>
          <w:p w:rsidR="00F961EA" w:rsidRPr="004B5333" w:rsidRDefault="00F961EA" w:rsidP="004B5333">
            <w:pPr>
              <w:ind w:firstLineChars="100" w:firstLine="200"/>
              <w:rPr>
                <w:rFonts w:ascii="Calibri" w:hAnsi="Calibri"/>
                <w:color w:val="000000"/>
                <w:sz w:val="20"/>
                <w:szCs w:val="20"/>
                <w:lang w:eastAsia="en-AU"/>
              </w:rPr>
            </w:pPr>
            <w:r w:rsidRPr="004B5333">
              <w:rPr>
                <w:rFonts w:ascii="Calibri" w:hAnsi="Calibri"/>
                <w:color w:val="000000"/>
                <w:sz w:val="20"/>
                <w:szCs w:val="20"/>
                <w:lang w:eastAsia="en-AU"/>
              </w:rPr>
              <w:t>Team Leader (VPSG – 5)</w:t>
            </w:r>
          </w:p>
        </w:tc>
        <w:tc>
          <w:tcPr>
            <w:tcW w:w="1417" w:type="dxa"/>
            <w:tcBorders>
              <w:top w:val="nil"/>
              <w:left w:val="nil"/>
              <w:bottom w:val="nil"/>
              <w:right w:val="nil"/>
            </w:tcBorders>
            <w:shd w:val="clear" w:color="auto" w:fill="auto"/>
            <w:noWrap/>
            <w:vAlign w:val="bottom"/>
            <w:hideMark/>
          </w:tcPr>
          <w:p w:rsidR="00F961EA" w:rsidRPr="004B5333" w:rsidRDefault="00F961EA" w:rsidP="00776286">
            <w:pPr>
              <w:jc w:val="center"/>
              <w:rPr>
                <w:rFonts w:ascii="Calibri" w:hAnsi="Calibri"/>
                <w:color w:val="000000"/>
                <w:sz w:val="20"/>
                <w:szCs w:val="20"/>
                <w:lang w:eastAsia="en-AU"/>
              </w:rPr>
            </w:pPr>
            <w:r w:rsidRPr="004B5333">
              <w:rPr>
                <w:rFonts w:ascii="Calibri" w:hAnsi="Calibri"/>
                <w:color w:val="000000"/>
                <w:sz w:val="20"/>
                <w:szCs w:val="20"/>
                <w:lang w:eastAsia="en-AU"/>
              </w:rPr>
              <w:t>0.2</w:t>
            </w:r>
          </w:p>
        </w:tc>
        <w:tc>
          <w:tcPr>
            <w:tcW w:w="1580" w:type="dxa"/>
            <w:tcBorders>
              <w:top w:val="nil"/>
              <w:left w:val="nil"/>
              <w:bottom w:val="nil"/>
              <w:right w:val="single" w:sz="4" w:space="0" w:color="auto"/>
            </w:tcBorders>
            <w:shd w:val="clear" w:color="auto" w:fill="auto"/>
            <w:noWrap/>
            <w:vAlign w:val="bottom"/>
            <w:hideMark/>
          </w:tcPr>
          <w:p w:rsidR="00F961EA" w:rsidRPr="004B5333" w:rsidRDefault="002C3FAB" w:rsidP="004B5333">
            <w:pPr>
              <w:ind w:right="44"/>
              <w:jc w:val="right"/>
              <w:rPr>
                <w:rFonts w:ascii="Calibri" w:hAnsi="Calibri"/>
                <w:color w:val="000000"/>
                <w:sz w:val="20"/>
                <w:szCs w:val="20"/>
                <w:lang w:eastAsia="en-AU"/>
              </w:rPr>
            </w:pPr>
            <w:r w:rsidRPr="004B5333">
              <w:rPr>
                <w:rFonts w:ascii="Calibri" w:hAnsi="Calibri"/>
                <w:color w:val="000000"/>
                <w:sz w:val="20"/>
                <w:szCs w:val="20"/>
                <w:lang w:eastAsia="en-AU"/>
              </w:rPr>
              <w:t>18,508</w:t>
            </w:r>
            <w:r w:rsidR="00F961EA" w:rsidRPr="004B5333">
              <w:rPr>
                <w:rFonts w:ascii="Calibri" w:hAnsi="Calibri"/>
                <w:color w:val="000000"/>
                <w:sz w:val="20"/>
                <w:szCs w:val="20"/>
                <w:lang w:eastAsia="en-AU"/>
              </w:rPr>
              <w:t xml:space="preserve"> </w:t>
            </w:r>
          </w:p>
        </w:tc>
      </w:tr>
      <w:tr w:rsidR="00F961EA" w:rsidRPr="004B5333" w:rsidTr="004B5333">
        <w:trPr>
          <w:trHeight w:val="300"/>
        </w:trPr>
        <w:tc>
          <w:tcPr>
            <w:tcW w:w="4977" w:type="dxa"/>
            <w:tcBorders>
              <w:top w:val="nil"/>
              <w:left w:val="single" w:sz="4" w:space="0" w:color="auto"/>
              <w:bottom w:val="nil"/>
              <w:right w:val="nil"/>
            </w:tcBorders>
            <w:shd w:val="clear" w:color="auto" w:fill="auto"/>
            <w:noWrap/>
            <w:vAlign w:val="bottom"/>
            <w:hideMark/>
          </w:tcPr>
          <w:p w:rsidR="00F961EA" w:rsidRPr="004B5333" w:rsidRDefault="00F961EA" w:rsidP="004B5333">
            <w:pPr>
              <w:ind w:firstLineChars="100" w:firstLine="200"/>
              <w:rPr>
                <w:rFonts w:ascii="Calibri" w:hAnsi="Calibri"/>
                <w:color w:val="000000"/>
                <w:sz w:val="20"/>
                <w:szCs w:val="20"/>
                <w:lang w:eastAsia="en-AU"/>
              </w:rPr>
            </w:pPr>
            <w:r w:rsidRPr="004B5333">
              <w:rPr>
                <w:rFonts w:ascii="Calibri" w:hAnsi="Calibri"/>
                <w:color w:val="000000"/>
                <w:sz w:val="20"/>
                <w:szCs w:val="20"/>
                <w:lang w:eastAsia="en-AU"/>
              </w:rPr>
              <w:t>Branch Manager (VPSG – 6)</w:t>
            </w:r>
          </w:p>
        </w:tc>
        <w:tc>
          <w:tcPr>
            <w:tcW w:w="1417" w:type="dxa"/>
            <w:tcBorders>
              <w:top w:val="nil"/>
              <w:left w:val="nil"/>
              <w:bottom w:val="nil"/>
              <w:right w:val="nil"/>
            </w:tcBorders>
            <w:shd w:val="clear" w:color="auto" w:fill="auto"/>
            <w:noWrap/>
            <w:vAlign w:val="bottom"/>
            <w:hideMark/>
          </w:tcPr>
          <w:p w:rsidR="00F961EA" w:rsidRPr="004B5333" w:rsidRDefault="00F961EA" w:rsidP="00776286">
            <w:pPr>
              <w:jc w:val="center"/>
              <w:rPr>
                <w:rFonts w:ascii="Calibri" w:hAnsi="Calibri"/>
                <w:color w:val="000000"/>
                <w:sz w:val="20"/>
                <w:szCs w:val="20"/>
                <w:lang w:eastAsia="en-AU"/>
              </w:rPr>
            </w:pPr>
            <w:r w:rsidRPr="004B5333">
              <w:rPr>
                <w:rFonts w:ascii="Calibri" w:hAnsi="Calibri"/>
                <w:color w:val="000000"/>
                <w:sz w:val="20"/>
                <w:szCs w:val="20"/>
                <w:lang w:eastAsia="en-AU"/>
              </w:rPr>
              <w:t>0.2</w:t>
            </w:r>
          </w:p>
        </w:tc>
        <w:tc>
          <w:tcPr>
            <w:tcW w:w="1580" w:type="dxa"/>
            <w:tcBorders>
              <w:top w:val="nil"/>
              <w:left w:val="nil"/>
              <w:bottom w:val="nil"/>
              <w:right w:val="single" w:sz="4" w:space="0" w:color="auto"/>
            </w:tcBorders>
            <w:shd w:val="clear" w:color="auto" w:fill="auto"/>
            <w:noWrap/>
            <w:vAlign w:val="bottom"/>
            <w:hideMark/>
          </w:tcPr>
          <w:p w:rsidR="00F961EA" w:rsidRPr="004B5333" w:rsidRDefault="002C3FAB" w:rsidP="004B5333">
            <w:pPr>
              <w:ind w:right="44"/>
              <w:jc w:val="right"/>
              <w:rPr>
                <w:rFonts w:ascii="Calibri" w:hAnsi="Calibri"/>
                <w:color w:val="000000"/>
                <w:sz w:val="20"/>
                <w:szCs w:val="20"/>
                <w:lang w:eastAsia="en-AU"/>
              </w:rPr>
            </w:pPr>
            <w:r w:rsidRPr="004B5333">
              <w:rPr>
                <w:rFonts w:ascii="Calibri" w:hAnsi="Calibri"/>
                <w:color w:val="000000"/>
                <w:sz w:val="20"/>
                <w:szCs w:val="20"/>
                <w:lang w:eastAsia="en-AU"/>
              </w:rPr>
              <w:t>24,019</w:t>
            </w:r>
            <w:r w:rsidR="00F961EA" w:rsidRPr="004B5333">
              <w:rPr>
                <w:rFonts w:ascii="Calibri" w:hAnsi="Calibri"/>
                <w:color w:val="000000"/>
                <w:sz w:val="20"/>
                <w:szCs w:val="20"/>
                <w:lang w:eastAsia="en-AU"/>
              </w:rPr>
              <w:t xml:space="preserve"> </w:t>
            </w:r>
          </w:p>
        </w:tc>
      </w:tr>
      <w:tr w:rsidR="00F961EA" w:rsidRPr="004B5333" w:rsidTr="004B5333">
        <w:trPr>
          <w:trHeight w:val="300"/>
        </w:trPr>
        <w:tc>
          <w:tcPr>
            <w:tcW w:w="4977" w:type="dxa"/>
            <w:tcBorders>
              <w:top w:val="nil"/>
              <w:left w:val="single" w:sz="4" w:space="0" w:color="auto"/>
              <w:bottom w:val="nil"/>
              <w:right w:val="nil"/>
            </w:tcBorders>
            <w:shd w:val="clear" w:color="auto" w:fill="auto"/>
            <w:noWrap/>
            <w:vAlign w:val="bottom"/>
            <w:hideMark/>
          </w:tcPr>
          <w:p w:rsidR="00F961EA" w:rsidRPr="004B5333" w:rsidRDefault="00F961EA" w:rsidP="004B5333">
            <w:pPr>
              <w:ind w:firstLineChars="100" w:firstLine="200"/>
              <w:rPr>
                <w:rFonts w:ascii="Calibri" w:hAnsi="Calibri"/>
                <w:color w:val="000000"/>
                <w:sz w:val="20"/>
                <w:szCs w:val="20"/>
                <w:u w:val="single"/>
                <w:lang w:eastAsia="en-AU"/>
              </w:rPr>
            </w:pPr>
          </w:p>
        </w:tc>
        <w:tc>
          <w:tcPr>
            <w:tcW w:w="1417" w:type="dxa"/>
            <w:tcBorders>
              <w:top w:val="nil"/>
              <w:left w:val="nil"/>
              <w:bottom w:val="nil"/>
              <w:right w:val="nil"/>
            </w:tcBorders>
            <w:shd w:val="clear" w:color="auto" w:fill="auto"/>
            <w:noWrap/>
            <w:vAlign w:val="bottom"/>
            <w:hideMark/>
          </w:tcPr>
          <w:p w:rsidR="00F961EA" w:rsidRPr="004B5333" w:rsidRDefault="00F961EA" w:rsidP="00776286">
            <w:pPr>
              <w:jc w:val="center"/>
              <w:rPr>
                <w:rFonts w:ascii="Calibri" w:hAnsi="Calibri"/>
                <w:b/>
                <w:bCs/>
                <w:color w:val="000000"/>
                <w:sz w:val="20"/>
                <w:szCs w:val="20"/>
                <w:lang w:eastAsia="en-AU"/>
              </w:rPr>
            </w:pPr>
            <w:r w:rsidRPr="004B5333">
              <w:rPr>
                <w:rFonts w:ascii="Calibri" w:hAnsi="Calibri"/>
                <w:b/>
                <w:bCs/>
                <w:color w:val="000000"/>
                <w:sz w:val="20"/>
                <w:szCs w:val="20"/>
                <w:lang w:eastAsia="en-AU"/>
              </w:rPr>
              <w:t>3.8</w:t>
            </w:r>
          </w:p>
        </w:tc>
        <w:tc>
          <w:tcPr>
            <w:tcW w:w="1580" w:type="dxa"/>
            <w:tcBorders>
              <w:top w:val="single" w:sz="4" w:space="0" w:color="auto"/>
              <w:left w:val="nil"/>
              <w:bottom w:val="nil"/>
              <w:right w:val="single" w:sz="4" w:space="0" w:color="auto"/>
            </w:tcBorders>
            <w:shd w:val="clear" w:color="auto" w:fill="auto"/>
            <w:noWrap/>
            <w:vAlign w:val="bottom"/>
            <w:hideMark/>
          </w:tcPr>
          <w:p w:rsidR="00F961EA" w:rsidRPr="004B5333" w:rsidRDefault="002C3FAB" w:rsidP="004B5333">
            <w:pPr>
              <w:ind w:right="44"/>
              <w:jc w:val="right"/>
              <w:rPr>
                <w:rFonts w:ascii="Calibri" w:hAnsi="Calibri"/>
                <w:b/>
                <w:bCs/>
                <w:color w:val="000000"/>
                <w:sz w:val="20"/>
                <w:szCs w:val="20"/>
                <w:lang w:eastAsia="en-AU"/>
              </w:rPr>
            </w:pPr>
            <w:r w:rsidRPr="004B5333">
              <w:rPr>
                <w:rFonts w:ascii="Calibri" w:hAnsi="Calibri"/>
                <w:b/>
                <w:bCs/>
                <w:color w:val="000000"/>
                <w:sz w:val="20"/>
                <w:szCs w:val="20"/>
                <w:lang w:eastAsia="en-AU"/>
              </w:rPr>
              <w:t>288,339</w:t>
            </w:r>
            <w:r w:rsidR="00F961EA" w:rsidRPr="004B5333">
              <w:rPr>
                <w:rFonts w:ascii="Calibri" w:hAnsi="Calibri"/>
                <w:b/>
                <w:bCs/>
                <w:color w:val="000000"/>
                <w:sz w:val="20"/>
                <w:szCs w:val="20"/>
                <w:lang w:eastAsia="en-AU"/>
              </w:rPr>
              <w:t xml:space="preserve"> </w:t>
            </w:r>
          </w:p>
        </w:tc>
      </w:tr>
      <w:tr w:rsidR="002C3FAB" w:rsidRPr="004B5333" w:rsidTr="004B5333">
        <w:trPr>
          <w:trHeight w:val="300"/>
        </w:trPr>
        <w:tc>
          <w:tcPr>
            <w:tcW w:w="4977" w:type="dxa"/>
            <w:tcBorders>
              <w:top w:val="nil"/>
              <w:left w:val="single" w:sz="4" w:space="0" w:color="auto"/>
              <w:bottom w:val="nil"/>
              <w:right w:val="nil"/>
            </w:tcBorders>
            <w:shd w:val="clear" w:color="auto" w:fill="auto"/>
            <w:noWrap/>
            <w:vAlign w:val="center"/>
          </w:tcPr>
          <w:p w:rsidR="002C3FAB" w:rsidRPr="004B5333" w:rsidRDefault="002C3FAB" w:rsidP="00776286">
            <w:pPr>
              <w:rPr>
                <w:rFonts w:ascii="Calibri" w:hAnsi="Calibri"/>
                <w:color w:val="000000"/>
                <w:sz w:val="20"/>
                <w:szCs w:val="20"/>
                <w:lang w:eastAsia="en-AU"/>
              </w:rPr>
            </w:pPr>
            <w:r w:rsidRPr="004B5333">
              <w:rPr>
                <w:rFonts w:ascii="Calibri" w:hAnsi="Calibri"/>
                <w:color w:val="000000"/>
                <w:sz w:val="20"/>
                <w:szCs w:val="20"/>
                <w:lang w:eastAsia="en-AU"/>
              </w:rPr>
              <w:t>On costs @ 20%</w:t>
            </w:r>
          </w:p>
        </w:tc>
        <w:tc>
          <w:tcPr>
            <w:tcW w:w="1417" w:type="dxa"/>
            <w:tcBorders>
              <w:top w:val="nil"/>
              <w:left w:val="nil"/>
              <w:bottom w:val="nil"/>
              <w:right w:val="nil"/>
            </w:tcBorders>
            <w:shd w:val="clear" w:color="auto" w:fill="auto"/>
            <w:noWrap/>
            <w:vAlign w:val="bottom"/>
          </w:tcPr>
          <w:p w:rsidR="002C3FAB" w:rsidRPr="004B5333" w:rsidRDefault="002C3FAB" w:rsidP="00776286">
            <w:pPr>
              <w:jc w:val="right"/>
              <w:rPr>
                <w:rFonts w:ascii="Calibri" w:hAnsi="Calibri"/>
                <w:color w:val="000000"/>
                <w:sz w:val="20"/>
                <w:szCs w:val="20"/>
                <w:lang w:eastAsia="en-AU"/>
              </w:rPr>
            </w:pPr>
          </w:p>
        </w:tc>
        <w:tc>
          <w:tcPr>
            <w:tcW w:w="1580" w:type="dxa"/>
            <w:tcBorders>
              <w:top w:val="nil"/>
              <w:left w:val="nil"/>
              <w:right w:val="single" w:sz="4" w:space="0" w:color="auto"/>
            </w:tcBorders>
            <w:shd w:val="clear" w:color="auto" w:fill="auto"/>
            <w:noWrap/>
            <w:vAlign w:val="bottom"/>
          </w:tcPr>
          <w:p w:rsidR="002C3FAB" w:rsidRPr="004B5333" w:rsidRDefault="002C3FAB" w:rsidP="004B5333">
            <w:pPr>
              <w:ind w:right="44"/>
              <w:jc w:val="right"/>
              <w:rPr>
                <w:rFonts w:ascii="Calibri" w:hAnsi="Calibri"/>
                <w:color w:val="000000"/>
                <w:sz w:val="20"/>
                <w:szCs w:val="20"/>
                <w:lang w:eastAsia="en-AU"/>
              </w:rPr>
            </w:pPr>
            <w:r w:rsidRPr="004B5333">
              <w:rPr>
                <w:rFonts w:ascii="Calibri" w:hAnsi="Calibri"/>
                <w:color w:val="000000"/>
                <w:sz w:val="20"/>
                <w:szCs w:val="20"/>
                <w:lang w:eastAsia="en-AU"/>
              </w:rPr>
              <w:t>57,668</w:t>
            </w:r>
          </w:p>
        </w:tc>
      </w:tr>
      <w:tr w:rsidR="002C3FAB" w:rsidRPr="004B5333" w:rsidTr="004B5333">
        <w:trPr>
          <w:trHeight w:val="300"/>
        </w:trPr>
        <w:tc>
          <w:tcPr>
            <w:tcW w:w="4977" w:type="dxa"/>
            <w:tcBorders>
              <w:top w:val="nil"/>
              <w:left w:val="single" w:sz="4" w:space="0" w:color="auto"/>
              <w:bottom w:val="nil"/>
              <w:right w:val="nil"/>
            </w:tcBorders>
            <w:shd w:val="clear" w:color="auto" w:fill="auto"/>
            <w:noWrap/>
            <w:vAlign w:val="center"/>
          </w:tcPr>
          <w:p w:rsidR="002C3FAB" w:rsidRPr="004B5333" w:rsidRDefault="002C3FAB" w:rsidP="00776286">
            <w:pPr>
              <w:rPr>
                <w:rFonts w:ascii="Calibri" w:hAnsi="Calibri"/>
                <w:color w:val="000000"/>
                <w:sz w:val="20"/>
                <w:szCs w:val="20"/>
                <w:lang w:eastAsia="en-AU"/>
              </w:rPr>
            </w:pPr>
            <w:r w:rsidRPr="004B5333">
              <w:rPr>
                <w:rFonts w:ascii="Calibri" w:hAnsi="Calibri"/>
                <w:color w:val="000000"/>
                <w:sz w:val="20"/>
                <w:szCs w:val="20"/>
                <w:lang w:eastAsia="en-AU"/>
              </w:rPr>
              <w:t>Administration costs and overheads</w:t>
            </w:r>
          </w:p>
        </w:tc>
        <w:tc>
          <w:tcPr>
            <w:tcW w:w="1417" w:type="dxa"/>
            <w:tcBorders>
              <w:top w:val="nil"/>
              <w:left w:val="nil"/>
              <w:bottom w:val="nil"/>
              <w:right w:val="nil"/>
            </w:tcBorders>
            <w:shd w:val="clear" w:color="auto" w:fill="auto"/>
            <w:noWrap/>
            <w:vAlign w:val="bottom"/>
          </w:tcPr>
          <w:p w:rsidR="002C3FAB" w:rsidRPr="004B5333" w:rsidRDefault="002C3FAB" w:rsidP="00776286">
            <w:pPr>
              <w:jc w:val="right"/>
              <w:rPr>
                <w:rFonts w:ascii="Calibri" w:hAnsi="Calibri"/>
                <w:color w:val="000000"/>
                <w:sz w:val="20"/>
                <w:szCs w:val="20"/>
                <w:lang w:eastAsia="en-AU"/>
              </w:rPr>
            </w:pPr>
          </w:p>
        </w:tc>
        <w:tc>
          <w:tcPr>
            <w:tcW w:w="1580" w:type="dxa"/>
            <w:tcBorders>
              <w:top w:val="nil"/>
              <w:left w:val="nil"/>
              <w:bottom w:val="single" w:sz="4" w:space="0" w:color="auto"/>
              <w:right w:val="single" w:sz="4" w:space="0" w:color="auto"/>
            </w:tcBorders>
            <w:shd w:val="clear" w:color="auto" w:fill="auto"/>
            <w:noWrap/>
            <w:vAlign w:val="bottom"/>
          </w:tcPr>
          <w:p w:rsidR="002C3FAB" w:rsidRPr="004B5333" w:rsidRDefault="002C3FAB" w:rsidP="004B5333">
            <w:pPr>
              <w:ind w:right="44"/>
              <w:jc w:val="right"/>
              <w:rPr>
                <w:rFonts w:ascii="Calibri" w:hAnsi="Calibri"/>
                <w:color w:val="000000"/>
                <w:sz w:val="20"/>
                <w:szCs w:val="20"/>
                <w:lang w:eastAsia="en-AU"/>
              </w:rPr>
            </w:pPr>
            <w:r w:rsidRPr="004B5333">
              <w:rPr>
                <w:rFonts w:ascii="Calibri" w:hAnsi="Calibri"/>
                <w:color w:val="000000"/>
                <w:sz w:val="20"/>
                <w:szCs w:val="20"/>
                <w:lang w:eastAsia="en-AU"/>
              </w:rPr>
              <w:t>124,803</w:t>
            </w:r>
          </w:p>
        </w:tc>
      </w:tr>
      <w:tr w:rsidR="002C3FAB" w:rsidRPr="004B5333" w:rsidTr="004B5333">
        <w:trPr>
          <w:trHeight w:val="300"/>
        </w:trPr>
        <w:tc>
          <w:tcPr>
            <w:tcW w:w="4977" w:type="dxa"/>
            <w:tcBorders>
              <w:top w:val="nil"/>
              <w:left w:val="single" w:sz="4" w:space="0" w:color="auto"/>
              <w:bottom w:val="nil"/>
              <w:right w:val="nil"/>
            </w:tcBorders>
            <w:shd w:val="clear" w:color="auto" w:fill="auto"/>
            <w:noWrap/>
            <w:vAlign w:val="center"/>
          </w:tcPr>
          <w:p w:rsidR="002C3FAB" w:rsidRPr="004B5333" w:rsidRDefault="002C3FAB" w:rsidP="0087039D">
            <w:pPr>
              <w:rPr>
                <w:rFonts w:ascii="Calibri" w:hAnsi="Calibri"/>
                <w:color w:val="000000"/>
                <w:sz w:val="20"/>
                <w:szCs w:val="20"/>
                <w:u w:val="single"/>
                <w:lang w:eastAsia="en-AU"/>
              </w:rPr>
            </w:pPr>
            <w:r w:rsidRPr="004B5333">
              <w:rPr>
                <w:rFonts w:ascii="Calibri" w:hAnsi="Calibri"/>
                <w:b/>
                <w:color w:val="000000"/>
                <w:sz w:val="20"/>
                <w:szCs w:val="20"/>
                <w:lang w:eastAsia="en-AU"/>
              </w:rPr>
              <w:t xml:space="preserve">Total </w:t>
            </w:r>
            <w:r w:rsidR="0087039D" w:rsidRPr="004B5333">
              <w:rPr>
                <w:rFonts w:ascii="Calibri" w:hAnsi="Calibri"/>
                <w:b/>
                <w:color w:val="000000"/>
                <w:sz w:val="20"/>
                <w:szCs w:val="20"/>
                <w:lang w:eastAsia="en-AU"/>
              </w:rPr>
              <w:t>Fixed</w:t>
            </w:r>
            <w:r w:rsidRPr="004B5333">
              <w:rPr>
                <w:rFonts w:ascii="Calibri" w:hAnsi="Calibri"/>
                <w:b/>
                <w:color w:val="000000"/>
                <w:sz w:val="20"/>
                <w:szCs w:val="20"/>
                <w:lang w:eastAsia="en-AU"/>
              </w:rPr>
              <w:t xml:space="preserve"> </w:t>
            </w:r>
            <w:r w:rsidR="00C8267C" w:rsidRPr="004B5333">
              <w:rPr>
                <w:rFonts w:ascii="Calibri" w:hAnsi="Calibri"/>
                <w:b/>
                <w:bCs/>
                <w:color w:val="000000"/>
                <w:sz w:val="20"/>
                <w:szCs w:val="20"/>
                <w:lang w:eastAsia="en-AU"/>
              </w:rPr>
              <w:t>salaries,  on costs and overheads</w:t>
            </w:r>
          </w:p>
        </w:tc>
        <w:tc>
          <w:tcPr>
            <w:tcW w:w="1417" w:type="dxa"/>
            <w:tcBorders>
              <w:top w:val="nil"/>
              <w:left w:val="nil"/>
              <w:bottom w:val="nil"/>
              <w:right w:val="nil"/>
            </w:tcBorders>
            <w:shd w:val="clear" w:color="auto" w:fill="auto"/>
            <w:noWrap/>
            <w:vAlign w:val="bottom"/>
          </w:tcPr>
          <w:p w:rsidR="002C3FAB" w:rsidRPr="004B5333" w:rsidRDefault="002C3FAB" w:rsidP="00776286">
            <w:pPr>
              <w:jc w:val="right"/>
              <w:rPr>
                <w:rFonts w:ascii="Calibri" w:hAnsi="Calibri"/>
                <w:color w:val="000000"/>
                <w:sz w:val="20"/>
                <w:szCs w:val="20"/>
                <w:lang w:eastAsia="en-AU"/>
              </w:rPr>
            </w:pPr>
          </w:p>
        </w:tc>
        <w:tc>
          <w:tcPr>
            <w:tcW w:w="1580" w:type="dxa"/>
            <w:tcBorders>
              <w:top w:val="single" w:sz="4" w:space="0" w:color="auto"/>
              <w:left w:val="nil"/>
              <w:right w:val="single" w:sz="4" w:space="0" w:color="auto"/>
            </w:tcBorders>
            <w:shd w:val="clear" w:color="auto" w:fill="auto"/>
            <w:noWrap/>
            <w:vAlign w:val="bottom"/>
          </w:tcPr>
          <w:p w:rsidR="002C3FAB" w:rsidRPr="004B5333" w:rsidRDefault="006A14B8" w:rsidP="004B5333">
            <w:pPr>
              <w:ind w:right="44"/>
              <w:jc w:val="right"/>
              <w:rPr>
                <w:rFonts w:ascii="Calibri" w:hAnsi="Calibri"/>
                <w:b/>
                <w:bCs/>
                <w:color w:val="000000"/>
                <w:sz w:val="20"/>
                <w:szCs w:val="20"/>
                <w:lang w:eastAsia="en-AU"/>
              </w:rPr>
            </w:pPr>
            <w:r w:rsidRPr="004B5333">
              <w:rPr>
                <w:rFonts w:ascii="Calibri" w:hAnsi="Calibri"/>
                <w:b/>
                <w:bCs/>
                <w:color w:val="000000"/>
                <w:sz w:val="20"/>
                <w:szCs w:val="20"/>
                <w:lang w:eastAsia="en-AU"/>
              </w:rPr>
              <w:t>470,810</w:t>
            </w:r>
          </w:p>
        </w:tc>
      </w:tr>
      <w:tr w:rsidR="002C3FAB" w:rsidRPr="004B5333" w:rsidTr="004B5333">
        <w:trPr>
          <w:trHeight w:val="300"/>
        </w:trPr>
        <w:tc>
          <w:tcPr>
            <w:tcW w:w="4977" w:type="dxa"/>
            <w:tcBorders>
              <w:top w:val="nil"/>
              <w:left w:val="single" w:sz="4" w:space="0" w:color="auto"/>
              <w:bottom w:val="nil"/>
              <w:right w:val="nil"/>
            </w:tcBorders>
            <w:shd w:val="clear" w:color="auto" w:fill="auto"/>
            <w:noWrap/>
            <w:vAlign w:val="bottom"/>
            <w:hideMark/>
          </w:tcPr>
          <w:p w:rsidR="002C3FAB" w:rsidRPr="004B5333" w:rsidRDefault="002C3FAB" w:rsidP="00776286">
            <w:pPr>
              <w:rPr>
                <w:rFonts w:ascii="Calibri" w:hAnsi="Calibri"/>
                <w:color w:val="000000"/>
                <w:sz w:val="20"/>
                <w:szCs w:val="20"/>
                <w:lang w:eastAsia="en-AU"/>
              </w:rPr>
            </w:pPr>
            <w:r w:rsidRPr="004B5333">
              <w:rPr>
                <w:rFonts w:ascii="Calibri" w:hAnsi="Calibri"/>
                <w:color w:val="000000"/>
                <w:sz w:val="20"/>
                <w:szCs w:val="20"/>
                <w:lang w:eastAsia="en-AU"/>
              </w:rPr>
              <w:t xml:space="preserve">Indirect Costs </w:t>
            </w:r>
          </w:p>
        </w:tc>
        <w:tc>
          <w:tcPr>
            <w:tcW w:w="1417" w:type="dxa"/>
            <w:tcBorders>
              <w:top w:val="nil"/>
              <w:left w:val="nil"/>
              <w:bottom w:val="nil"/>
              <w:right w:val="nil"/>
            </w:tcBorders>
            <w:shd w:val="clear" w:color="auto" w:fill="auto"/>
            <w:noWrap/>
            <w:vAlign w:val="bottom"/>
            <w:hideMark/>
          </w:tcPr>
          <w:p w:rsidR="002C3FAB" w:rsidRPr="004B5333" w:rsidRDefault="002C3FAB" w:rsidP="00776286">
            <w:pPr>
              <w:jc w:val="right"/>
              <w:rPr>
                <w:rFonts w:ascii="Calibri" w:hAnsi="Calibri"/>
                <w:color w:val="000000"/>
                <w:sz w:val="20"/>
                <w:szCs w:val="20"/>
                <w:lang w:eastAsia="en-AU"/>
              </w:rPr>
            </w:pPr>
          </w:p>
        </w:tc>
        <w:tc>
          <w:tcPr>
            <w:tcW w:w="1580" w:type="dxa"/>
            <w:tcBorders>
              <w:top w:val="nil"/>
              <w:left w:val="nil"/>
              <w:bottom w:val="single" w:sz="4" w:space="0" w:color="auto"/>
              <w:right w:val="single" w:sz="4" w:space="0" w:color="auto"/>
            </w:tcBorders>
            <w:shd w:val="clear" w:color="auto" w:fill="auto"/>
            <w:noWrap/>
            <w:vAlign w:val="bottom"/>
            <w:hideMark/>
          </w:tcPr>
          <w:p w:rsidR="002C3FAB" w:rsidRPr="004B5333" w:rsidRDefault="002C3FAB" w:rsidP="004B5333">
            <w:pPr>
              <w:ind w:right="44"/>
              <w:jc w:val="right"/>
              <w:rPr>
                <w:rFonts w:ascii="Calibri" w:hAnsi="Calibri"/>
                <w:color w:val="000000"/>
                <w:sz w:val="20"/>
                <w:szCs w:val="20"/>
                <w:lang w:eastAsia="en-AU"/>
              </w:rPr>
            </w:pPr>
            <w:r w:rsidRPr="004B5333">
              <w:rPr>
                <w:rFonts w:ascii="Calibri" w:hAnsi="Calibri"/>
                <w:color w:val="000000"/>
                <w:sz w:val="20"/>
                <w:szCs w:val="20"/>
                <w:lang w:eastAsia="en-AU"/>
              </w:rPr>
              <w:t xml:space="preserve">1,902,369 </w:t>
            </w:r>
          </w:p>
        </w:tc>
      </w:tr>
      <w:tr w:rsidR="002C3FAB" w:rsidRPr="004B5333" w:rsidTr="004B5333">
        <w:trPr>
          <w:trHeight w:val="261"/>
        </w:trPr>
        <w:tc>
          <w:tcPr>
            <w:tcW w:w="4977" w:type="dxa"/>
            <w:tcBorders>
              <w:top w:val="nil"/>
              <w:left w:val="single" w:sz="4" w:space="0" w:color="auto"/>
              <w:bottom w:val="nil"/>
              <w:right w:val="nil"/>
            </w:tcBorders>
            <w:shd w:val="clear" w:color="auto" w:fill="auto"/>
            <w:noWrap/>
            <w:vAlign w:val="bottom"/>
          </w:tcPr>
          <w:p w:rsidR="002C3FAB" w:rsidRPr="004B5333" w:rsidRDefault="002C3FAB" w:rsidP="002C3FAB">
            <w:pPr>
              <w:rPr>
                <w:rFonts w:ascii="Calibri" w:hAnsi="Calibri"/>
                <w:b/>
                <w:color w:val="000000"/>
                <w:sz w:val="20"/>
                <w:szCs w:val="20"/>
                <w:lang w:eastAsia="en-AU"/>
              </w:rPr>
            </w:pPr>
            <w:r w:rsidRPr="004B5333">
              <w:rPr>
                <w:rFonts w:ascii="Calibri" w:hAnsi="Calibri"/>
                <w:b/>
                <w:color w:val="000000"/>
                <w:sz w:val="20"/>
                <w:szCs w:val="20"/>
                <w:lang w:eastAsia="en-AU"/>
              </w:rPr>
              <w:t>Total Fixed Cost</w:t>
            </w:r>
          </w:p>
        </w:tc>
        <w:tc>
          <w:tcPr>
            <w:tcW w:w="1417" w:type="dxa"/>
            <w:tcBorders>
              <w:top w:val="nil"/>
              <w:left w:val="nil"/>
              <w:bottom w:val="nil"/>
              <w:right w:val="nil"/>
            </w:tcBorders>
            <w:shd w:val="clear" w:color="auto" w:fill="auto"/>
            <w:noWrap/>
            <w:vAlign w:val="bottom"/>
          </w:tcPr>
          <w:p w:rsidR="002C3FAB" w:rsidRPr="004B5333" w:rsidRDefault="002C3FAB" w:rsidP="00776286">
            <w:pPr>
              <w:rPr>
                <w:rFonts w:ascii="Calibri" w:hAnsi="Calibri"/>
                <w:color w:val="000000"/>
                <w:sz w:val="20"/>
                <w:szCs w:val="20"/>
                <w:lang w:eastAsia="en-AU"/>
              </w:rPr>
            </w:pPr>
          </w:p>
        </w:tc>
        <w:tc>
          <w:tcPr>
            <w:tcW w:w="1580" w:type="dxa"/>
            <w:tcBorders>
              <w:top w:val="single" w:sz="4" w:space="0" w:color="auto"/>
              <w:left w:val="nil"/>
              <w:bottom w:val="single" w:sz="4" w:space="0" w:color="auto"/>
              <w:right w:val="single" w:sz="4" w:space="0" w:color="auto"/>
            </w:tcBorders>
            <w:shd w:val="clear" w:color="auto" w:fill="auto"/>
            <w:noWrap/>
            <w:vAlign w:val="bottom"/>
          </w:tcPr>
          <w:p w:rsidR="002C3FAB" w:rsidRPr="004B5333" w:rsidRDefault="002C3FAB" w:rsidP="004B5333">
            <w:pPr>
              <w:ind w:right="44"/>
              <w:jc w:val="right"/>
              <w:rPr>
                <w:rFonts w:ascii="Calibri" w:hAnsi="Calibri"/>
                <w:b/>
                <w:color w:val="000000"/>
                <w:sz w:val="20"/>
                <w:szCs w:val="20"/>
                <w:lang w:eastAsia="en-AU"/>
              </w:rPr>
            </w:pPr>
            <w:r w:rsidRPr="004B5333">
              <w:rPr>
                <w:rFonts w:ascii="Calibri" w:hAnsi="Calibri"/>
                <w:b/>
                <w:color w:val="000000"/>
                <w:sz w:val="20"/>
                <w:szCs w:val="20"/>
                <w:lang w:eastAsia="en-AU"/>
              </w:rPr>
              <w:t>2,373,179</w:t>
            </w:r>
          </w:p>
        </w:tc>
      </w:tr>
      <w:tr w:rsidR="002C3FAB" w:rsidRPr="004B5333" w:rsidTr="004B5333">
        <w:trPr>
          <w:trHeight w:val="409"/>
        </w:trPr>
        <w:tc>
          <w:tcPr>
            <w:tcW w:w="4977" w:type="dxa"/>
            <w:tcBorders>
              <w:top w:val="nil"/>
              <w:left w:val="single" w:sz="4" w:space="0" w:color="auto"/>
              <w:bottom w:val="single" w:sz="4" w:space="0" w:color="auto"/>
              <w:right w:val="nil"/>
            </w:tcBorders>
            <w:shd w:val="clear" w:color="auto" w:fill="auto"/>
            <w:noWrap/>
            <w:vAlign w:val="bottom"/>
          </w:tcPr>
          <w:p w:rsidR="002C3FAB" w:rsidRPr="004B5333" w:rsidRDefault="002C3FAB" w:rsidP="00E0615A">
            <w:pPr>
              <w:rPr>
                <w:rFonts w:ascii="Calibri" w:hAnsi="Calibri"/>
                <w:b/>
                <w:color w:val="000000"/>
                <w:sz w:val="20"/>
                <w:szCs w:val="20"/>
                <w:lang w:eastAsia="en-AU"/>
              </w:rPr>
            </w:pPr>
            <w:r w:rsidRPr="004B5333">
              <w:rPr>
                <w:rFonts w:ascii="Calibri" w:hAnsi="Calibri"/>
                <w:b/>
                <w:color w:val="000000"/>
                <w:sz w:val="20"/>
                <w:szCs w:val="20"/>
                <w:lang w:eastAsia="en-AU"/>
              </w:rPr>
              <w:t xml:space="preserve">Total fixed cost per </w:t>
            </w:r>
            <w:r w:rsidRPr="004B5333">
              <w:rPr>
                <w:rFonts w:ascii="Calibri" w:hAnsi="Calibri"/>
                <w:b/>
                <w:bCs/>
                <w:color w:val="000000"/>
                <w:sz w:val="20"/>
                <w:szCs w:val="20"/>
                <w:lang w:eastAsia="en-AU"/>
              </w:rPr>
              <w:t>application</w:t>
            </w:r>
            <w:r w:rsidR="00E0615A" w:rsidRPr="004B5333">
              <w:rPr>
                <w:rStyle w:val="FootnoteReference"/>
                <w:rFonts w:ascii="Calibri" w:hAnsi="Calibri"/>
                <w:b/>
                <w:color w:val="000000"/>
                <w:sz w:val="20"/>
                <w:szCs w:val="20"/>
                <w:lang w:eastAsia="en-AU"/>
              </w:rPr>
              <w:footnoteReference w:id="21"/>
            </w:r>
          </w:p>
        </w:tc>
        <w:tc>
          <w:tcPr>
            <w:tcW w:w="1417" w:type="dxa"/>
            <w:tcBorders>
              <w:top w:val="nil"/>
              <w:left w:val="nil"/>
              <w:bottom w:val="single" w:sz="4" w:space="0" w:color="auto"/>
              <w:right w:val="nil"/>
            </w:tcBorders>
            <w:shd w:val="clear" w:color="auto" w:fill="auto"/>
            <w:noWrap/>
            <w:vAlign w:val="bottom"/>
          </w:tcPr>
          <w:p w:rsidR="002C3FAB" w:rsidRPr="004B5333" w:rsidRDefault="002C3FAB" w:rsidP="00776286">
            <w:pPr>
              <w:rPr>
                <w:rFonts w:ascii="Calibri" w:hAnsi="Calibri"/>
                <w:color w:val="000000"/>
                <w:sz w:val="20"/>
                <w:szCs w:val="20"/>
                <w:lang w:eastAsia="en-AU"/>
              </w:rPr>
            </w:pPr>
          </w:p>
        </w:tc>
        <w:tc>
          <w:tcPr>
            <w:tcW w:w="1580" w:type="dxa"/>
            <w:tcBorders>
              <w:top w:val="single" w:sz="4" w:space="0" w:color="auto"/>
              <w:left w:val="nil"/>
              <w:bottom w:val="single" w:sz="4" w:space="0" w:color="auto"/>
              <w:right w:val="single" w:sz="4" w:space="0" w:color="auto"/>
            </w:tcBorders>
            <w:shd w:val="clear" w:color="auto" w:fill="auto"/>
            <w:noWrap/>
            <w:vAlign w:val="bottom"/>
          </w:tcPr>
          <w:p w:rsidR="002C3FAB" w:rsidRPr="004B5333" w:rsidRDefault="002C3FAB" w:rsidP="004B5333">
            <w:pPr>
              <w:ind w:right="44"/>
              <w:jc w:val="right"/>
              <w:rPr>
                <w:rFonts w:ascii="Calibri" w:hAnsi="Calibri"/>
                <w:b/>
                <w:color w:val="000000"/>
                <w:sz w:val="20"/>
                <w:szCs w:val="20"/>
                <w:lang w:eastAsia="en-AU"/>
              </w:rPr>
            </w:pPr>
            <w:r w:rsidRPr="004B5333">
              <w:rPr>
                <w:rFonts w:ascii="Calibri" w:hAnsi="Calibri"/>
                <w:b/>
                <w:color w:val="000000"/>
                <w:sz w:val="20"/>
                <w:szCs w:val="20"/>
                <w:lang w:eastAsia="en-AU"/>
              </w:rPr>
              <w:t>$13.96</w:t>
            </w:r>
          </w:p>
        </w:tc>
      </w:tr>
    </w:tbl>
    <w:p w:rsidR="00225B9C" w:rsidRPr="00225B9C" w:rsidRDefault="00225B9C" w:rsidP="004B5333">
      <w:pPr>
        <w:pStyle w:val="Style14ptJustified"/>
        <w:keepLines/>
        <w:spacing w:before="120" w:after="120" w:line="276" w:lineRule="auto"/>
        <w:jc w:val="left"/>
        <w:rPr>
          <w:rFonts w:asciiTheme="minorHAnsi" w:hAnsiTheme="minorHAnsi"/>
          <w:color w:val="000000"/>
        </w:rPr>
      </w:pPr>
    </w:p>
    <w:sectPr w:rsidR="00225B9C" w:rsidRPr="00225B9C" w:rsidSect="004F607E">
      <w:headerReference w:type="default" r:id="rId12"/>
      <w:footerReference w:type="default" r:id="rId13"/>
      <w:pgSz w:w="11906" w:h="16838"/>
      <w:pgMar w:top="1418"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3DB" w:rsidRDefault="000063DB" w:rsidP="00E14845">
      <w:r>
        <w:separator/>
      </w:r>
    </w:p>
  </w:endnote>
  <w:endnote w:type="continuationSeparator" w:id="0">
    <w:p w:rsidR="000063DB" w:rsidRDefault="000063DB" w:rsidP="00E14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3DB" w:rsidRPr="0010387A" w:rsidRDefault="000063DB" w:rsidP="0010387A">
    <w:pPr>
      <w:pStyle w:val="Footer"/>
      <w:pBdr>
        <w:top w:val="single" w:sz="4" w:space="1" w:color="D9D9D9" w:themeColor="background1" w:themeShade="D9"/>
      </w:pBdr>
      <w:rPr>
        <w:rFonts w:asciiTheme="minorHAnsi" w:hAnsiTheme="minorHAnsi"/>
        <w:spacing w:val="20"/>
        <w:sz w:val="20"/>
        <w:szCs w:val="20"/>
      </w:rPr>
    </w:pPr>
    <w:r w:rsidRPr="0070128A">
      <w:rPr>
        <w:rFonts w:asciiTheme="minorHAnsi" w:hAnsiTheme="minorHAnsi"/>
        <w:spacing w:val="20"/>
        <w:sz w:val="20"/>
        <w:szCs w:val="20"/>
      </w:rPr>
      <w:t xml:space="preserve">Land Tax Regulations 2015 – Regulatory Impact Statement  </w:t>
    </w:r>
    <w:sdt>
      <w:sdtPr>
        <w:rPr>
          <w:rFonts w:asciiTheme="minorHAnsi" w:hAnsiTheme="minorHAnsi"/>
          <w:spacing w:val="20"/>
          <w:sz w:val="20"/>
          <w:szCs w:val="20"/>
        </w:rPr>
        <w:id w:val="-513690666"/>
        <w:docPartObj>
          <w:docPartGallery w:val="Page Numbers (Bottom of Page)"/>
          <w:docPartUnique/>
        </w:docPartObj>
      </w:sdtPr>
      <w:sdtEndPr/>
      <w:sdtContent>
        <w:r w:rsidRPr="0070128A">
          <w:rPr>
            <w:rFonts w:asciiTheme="minorHAnsi" w:hAnsiTheme="minorHAnsi"/>
            <w:spacing w:val="20"/>
            <w:sz w:val="20"/>
            <w:szCs w:val="20"/>
          </w:rPr>
          <w:tab/>
          <w:t xml:space="preserve">| Page </w:t>
        </w:r>
        <w:r>
          <w:rPr>
            <w:rFonts w:asciiTheme="minorHAnsi" w:hAnsiTheme="minorHAnsi"/>
            <w:spacing w:val="20"/>
            <w:sz w:val="20"/>
            <w:szCs w:val="20"/>
          </w:rPr>
          <w:fldChar w:fldCharType="begin"/>
        </w:r>
        <w:r>
          <w:rPr>
            <w:rFonts w:asciiTheme="minorHAnsi" w:hAnsiTheme="minorHAnsi"/>
            <w:spacing w:val="20"/>
            <w:sz w:val="20"/>
            <w:szCs w:val="20"/>
          </w:rPr>
          <w:instrText xml:space="preserve"> PAGE   \* MERGEFORMAT </w:instrText>
        </w:r>
        <w:r>
          <w:rPr>
            <w:rFonts w:asciiTheme="minorHAnsi" w:hAnsiTheme="minorHAnsi"/>
            <w:spacing w:val="20"/>
            <w:sz w:val="20"/>
            <w:szCs w:val="20"/>
          </w:rPr>
          <w:fldChar w:fldCharType="separate"/>
        </w:r>
        <w:r w:rsidR="00F438A0">
          <w:rPr>
            <w:rFonts w:asciiTheme="minorHAnsi" w:hAnsiTheme="minorHAnsi"/>
            <w:noProof/>
            <w:spacing w:val="20"/>
            <w:sz w:val="20"/>
            <w:szCs w:val="20"/>
          </w:rPr>
          <w:t>2</w:t>
        </w:r>
        <w:r>
          <w:rPr>
            <w:rFonts w:asciiTheme="minorHAnsi" w:hAnsiTheme="minorHAnsi"/>
            <w:spacing w:val="20"/>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3DB" w:rsidRDefault="000063DB" w:rsidP="00E14845">
      <w:r>
        <w:separator/>
      </w:r>
    </w:p>
  </w:footnote>
  <w:footnote w:type="continuationSeparator" w:id="0">
    <w:p w:rsidR="000063DB" w:rsidRDefault="000063DB" w:rsidP="00E14845">
      <w:r>
        <w:continuationSeparator/>
      </w:r>
    </w:p>
  </w:footnote>
  <w:footnote w:id="1">
    <w:p w:rsidR="000063DB" w:rsidRPr="004F607E" w:rsidRDefault="000063DB" w:rsidP="004F607E">
      <w:pPr>
        <w:pStyle w:val="FootnoteText"/>
        <w:spacing w:after="120"/>
        <w:rPr>
          <w:rFonts w:ascii="Calibri" w:hAnsi="Calibri"/>
          <w:sz w:val="18"/>
          <w:szCs w:val="18"/>
        </w:rPr>
      </w:pPr>
      <w:r w:rsidRPr="004F607E">
        <w:rPr>
          <w:rStyle w:val="FootnoteReference"/>
          <w:rFonts w:ascii="Calibri" w:hAnsi="Calibri"/>
          <w:sz w:val="18"/>
          <w:szCs w:val="18"/>
        </w:rPr>
        <w:footnoteRef/>
      </w:r>
      <w:r w:rsidRPr="004F607E">
        <w:rPr>
          <w:rFonts w:ascii="Calibri" w:hAnsi="Calibri"/>
          <w:sz w:val="18"/>
          <w:szCs w:val="18"/>
        </w:rPr>
        <w:t xml:space="preserve"> Reg. 5(c): S.R. No. 130/2004.  </w:t>
      </w:r>
    </w:p>
  </w:footnote>
  <w:footnote w:id="2">
    <w:p w:rsidR="000063DB" w:rsidRPr="004F607E" w:rsidRDefault="000063DB" w:rsidP="004F607E">
      <w:pPr>
        <w:pStyle w:val="FootnoteText"/>
        <w:spacing w:after="120"/>
        <w:rPr>
          <w:rFonts w:ascii="Calibri" w:hAnsi="Calibri"/>
          <w:sz w:val="18"/>
          <w:szCs w:val="18"/>
        </w:rPr>
      </w:pPr>
      <w:r w:rsidRPr="004F607E">
        <w:rPr>
          <w:rStyle w:val="FootnoteReference"/>
          <w:rFonts w:ascii="Calibri" w:hAnsi="Calibri"/>
          <w:sz w:val="18"/>
          <w:szCs w:val="18"/>
        </w:rPr>
        <w:footnoteRef/>
      </w:r>
      <w:r w:rsidRPr="004F607E">
        <w:rPr>
          <w:rFonts w:ascii="Calibri" w:hAnsi="Calibri"/>
          <w:sz w:val="18"/>
          <w:szCs w:val="18"/>
        </w:rPr>
        <w:t xml:space="preserve"> </w:t>
      </w:r>
      <w:r w:rsidRPr="000063DB">
        <w:rPr>
          <w:rFonts w:ascii="Calibri" w:hAnsi="Calibri"/>
          <w:sz w:val="18"/>
          <w:szCs w:val="18"/>
        </w:rPr>
        <w:t>S.R. No. 1</w:t>
      </w:r>
      <w:r>
        <w:rPr>
          <w:rFonts w:ascii="Calibri" w:hAnsi="Calibri"/>
          <w:sz w:val="18"/>
          <w:szCs w:val="18"/>
        </w:rPr>
        <w:t>19</w:t>
      </w:r>
      <w:r w:rsidRPr="000063DB">
        <w:rPr>
          <w:rFonts w:ascii="Calibri" w:hAnsi="Calibri"/>
          <w:sz w:val="18"/>
          <w:szCs w:val="18"/>
        </w:rPr>
        <w:t>/2015.</w:t>
      </w:r>
    </w:p>
  </w:footnote>
  <w:footnote w:id="3">
    <w:p w:rsidR="000063DB" w:rsidRPr="006536A4" w:rsidRDefault="000063DB" w:rsidP="006536A4">
      <w:pPr>
        <w:pStyle w:val="Style14ptJustified"/>
        <w:keepLines/>
        <w:spacing w:after="120"/>
        <w:jc w:val="left"/>
        <w:rPr>
          <w:rFonts w:ascii="Calibri" w:eastAsiaTheme="minorHAnsi" w:hAnsi="Calibri"/>
          <w:sz w:val="18"/>
          <w:szCs w:val="18"/>
        </w:rPr>
      </w:pPr>
      <w:r w:rsidRPr="006536A4">
        <w:rPr>
          <w:rStyle w:val="FootnoteReference"/>
          <w:rFonts w:ascii="Calibri" w:hAnsi="Calibri"/>
          <w:sz w:val="18"/>
          <w:szCs w:val="18"/>
        </w:rPr>
        <w:footnoteRef/>
      </w:r>
      <w:r w:rsidRPr="006536A4">
        <w:rPr>
          <w:rFonts w:ascii="Calibri" w:hAnsi="Calibri"/>
          <w:sz w:val="18"/>
          <w:szCs w:val="18"/>
        </w:rPr>
        <w:t xml:space="preserve"> </w:t>
      </w:r>
      <w:r w:rsidRPr="006536A4">
        <w:rPr>
          <w:rFonts w:ascii="Calibri" w:eastAsiaTheme="minorHAnsi" w:hAnsi="Calibri"/>
          <w:sz w:val="18"/>
          <w:szCs w:val="18"/>
        </w:rPr>
        <w:t xml:space="preserve">Further detail on the cost calculation is located in Appendix 1.  </w:t>
      </w:r>
    </w:p>
  </w:footnote>
  <w:footnote w:id="4">
    <w:p w:rsidR="000063DB" w:rsidRPr="006536A4" w:rsidRDefault="000063DB" w:rsidP="006536A4">
      <w:pPr>
        <w:pStyle w:val="FootnoteText"/>
        <w:spacing w:after="120"/>
        <w:rPr>
          <w:rFonts w:ascii="Calibri" w:hAnsi="Calibri"/>
          <w:sz w:val="18"/>
          <w:szCs w:val="18"/>
        </w:rPr>
      </w:pPr>
      <w:r w:rsidRPr="006536A4">
        <w:rPr>
          <w:rStyle w:val="FootnoteReference"/>
          <w:rFonts w:ascii="Calibri" w:hAnsi="Calibri"/>
          <w:sz w:val="18"/>
          <w:szCs w:val="18"/>
        </w:rPr>
        <w:footnoteRef/>
      </w:r>
      <w:r w:rsidRPr="006536A4">
        <w:rPr>
          <w:rFonts w:ascii="Calibri" w:hAnsi="Calibri"/>
          <w:sz w:val="18"/>
          <w:szCs w:val="18"/>
        </w:rPr>
        <w:t xml:space="preserve"> </w:t>
      </w:r>
      <w:r>
        <w:rPr>
          <w:rFonts w:ascii="Calibri" w:hAnsi="Calibri"/>
          <w:sz w:val="18"/>
          <w:szCs w:val="18"/>
        </w:rPr>
        <w:t>Cost per application is</w:t>
      </w:r>
      <w:r w:rsidRPr="006536A4">
        <w:rPr>
          <w:rFonts w:ascii="Calibri" w:hAnsi="Calibri"/>
          <w:sz w:val="18"/>
          <w:szCs w:val="18"/>
        </w:rPr>
        <w:t xml:space="preserve"> based on an average of 170,000 applications per year, which reflects the 10 year average number of certificates issued by the SRO.</w:t>
      </w:r>
    </w:p>
  </w:footnote>
  <w:footnote w:id="5">
    <w:p w:rsidR="000063DB" w:rsidRPr="006536A4" w:rsidRDefault="000063DB" w:rsidP="006536A4">
      <w:pPr>
        <w:pStyle w:val="FootnoteText"/>
        <w:spacing w:after="120"/>
        <w:rPr>
          <w:rFonts w:ascii="Calibri" w:hAnsi="Calibri"/>
          <w:sz w:val="18"/>
          <w:szCs w:val="18"/>
        </w:rPr>
      </w:pPr>
      <w:r w:rsidRPr="006536A4">
        <w:rPr>
          <w:rStyle w:val="FootnoteReference"/>
          <w:rFonts w:ascii="Calibri" w:hAnsi="Calibri"/>
          <w:sz w:val="18"/>
          <w:szCs w:val="18"/>
        </w:rPr>
        <w:footnoteRef/>
      </w:r>
      <w:r w:rsidRPr="006536A4">
        <w:rPr>
          <w:rFonts w:ascii="Calibri" w:hAnsi="Calibri"/>
          <w:sz w:val="18"/>
          <w:szCs w:val="18"/>
        </w:rPr>
        <w:t xml:space="preserve"> These activities have been used to determine the variable number of FTE’s required to process paper applications and online applications as detailed in Appendix 2.  </w:t>
      </w:r>
    </w:p>
  </w:footnote>
  <w:footnote w:id="6">
    <w:p w:rsidR="000063DB" w:rsidRPr="006536A4" w:rsidRDefault="000063DB" w:rsidP="006536A4">
      <w:pPr>
        <w:pStyle w:val="FootnoteText"/>
        <w:spacing w:after="120"/>
        <w:rPr>
          <w:rFonts w:ascii="Calibri" w:hAnsi="Calibri"/>
          <w:sz w:val="18"/>
          <w:szCs w:val="18"/>
        </w:rPr>
      </w:pPr>
      <w:r w:rsidRPr="006536A4">
        <w:rPr>
          <w:rStyle w:val="FootnoteReference"/>
          <w:rFonts w:ascii="Calibri" w:hAnsi="Calibri"/>
          <w:sz w:val="18"/>
          <w:szCs w:val="18"/>
        </w:rPr>
        <w:footnoteRef/>
      </w:r>
      <w:r w:rsidRPr="006536A4">
        <w:rPr>
          <w:rFonts w:ascii="Calibri" w:hAnsi="Calibri"/>
          <w:sz w:val="18"/>
          <w:szCs w:val="18"/>
        </w:rPr>
        <w:t xml:space="preserve"> These activities have been used to determine the fixed number of FTE’s required for the overall clearance certificate service as detailed in Appendix 2.  </w:t>
      </w:r>
    </w:p>
  </w:footnote>
  <w:footnote w:id="7">
    <w:p w:rsidR="000063DB" w:rsidRPr="006A218C" w:rsidRDefault="000063DB">
      <w:pPr>
        <w:pStyle w:val="FootnoteText"/>
        <w:rPr>
          <w:rFonts w:asciiTheme="minorHAnsi" w:eastAsiaTheme="minorHAnsi" w:hAnsiTheme="minorHAnsi"/>
          <w:sz w:val="18"/>
          <w:szCs w:val="18"/>
        </w:rPr>
      </w:pPr>
      <w:r w:rsidRPr="006A218C">
        <w:rPr>
          <w:rStyle w:val="FootnoteReference"/>
          <w:rFonts w:asciiTheme="minorHAnsi" w:hAnsiTheme="minorHAnsi"/>
          <w:sz w:val="18"/>
          <w:szCs w:val="18"/>
        </w:rPr>
        <w:footnoteRef/>
      </w:r>
      <w:r w:rsidRPr="006A218C">
        <w:rPr>
          <w:rFonts w:asciiTheme="minorHAnsi" w:hAnsiTheme="minorHAnsi"/>
          <w:sz w:val="18"/>
          <w:szCs w:val="18"/>
        </w:rPr>
        <w:t xml:space="preserve"> </w:t>
      </w:r>
      <w:r w:rsidRPr="006A218C">
        <w:rPr>
          <w:rFonts w:asciiTheme="minorHAnsi" w:eastAsiaTheme="minorHAnsi" w:hAnsiTheme="minorHAnsi"/>
          <w:sz w:val="18"/>
          <w:szCs w:val="18"/>
        </w:rPr>
        <w:t xml:space="preserve">the value of a fee unit </w:t>
      </w:r>
      <w:r>
        <w:rPr>
          <w:rFonts w:asciiTheme="minorHAnsi" w:eastAsiaTheme="minorHAnsi" w:hAnsiTheme="minorHAnsi"/>
          <w:sz w:val="18"/>
          <w:szCs w:val="18"/>
        </w:rPr>
        <w:t xml:space="preserve">for 2015-16 </w:t>
      </w:r>
      <w:r w:rsidRPr="006A218C">
        <w:rPr>
          <w:rFonts w:asciiTheme="minorHAnsi" w:eastAsiaTheme="minorHAnsi" w:hAnsiTheme="minorHAnsi"/>
          <w:sz w:val="18"/>
          <w:szCs w:val="18"/>
        </w:rPr>
        <w:t>is $13.60</w:t>
      </w:r>
    </w:p>
  </w:footnote>
  <w:footnote w:id="8">
    <w:p w:rsidR="000063DB" w:rsidRPr="00E43483" w:rsidRDefault="000063DB" w:rsidP="004F607E">
      <w:pPr>
        <w:pStyle w:val="Style14ptJustified"/>
        <w:keepLines/>
        <w:spacing w:after="120"/>
        <w:jc w:val="left"/>
        <w:rPr>
          <w:rFonts w:ascii="Calibri" w:hAnsi="Calibri"/>
          <w:sz w:val="18"/>
          <w:szCs w:val="18"/>
        </w:rPr>
      </w:pPr>
      <w:r w:rsidRPr="00E43483">
        <w:rPr>
          <w:rStyle w:val="FootnoteReference"/>
          <w:rFonts w:ascii="Calibri" w:hAnsi="Calibri"/>
          <w:sz w:val="18"/>
          <w:szCs w:val="18"/>
        </w:rPr>
        <w:footnoteRef/>
      </w:r>
      <w:r w:rsidRPr="00E43483">
        <w:rPr>
          <w:rFonts w:ascii="Calibri" w:hAnsi="Calibri"/>
          <w:sz w:val="18"/>
          <w:szCs w:val="18"/>
        </w:rPr>
        <w:t xml:space="preserve"> It is difficult to predict the number of</w:t>
      </w:r>
      <w:r>
        <w:rPr>
          <w:rFonts w:ascii="Calibri" w:hAnsi="Calibri"/>
          <w:sz w:val="18"/>
          <w:szCs w:val="18"/>
        </w:rPr>
        <w:t xml:space="preserve"> land tax clearance certificate applications</w:t>
      </w:r>
      <w:r w:rsidRPr="00E43483">
        <w:rPr>
          <w:rFonts w:ascii="Calibri" w:hAnsi="Calibri"/>
          <w:sz w:val="18"/>
          <w:szCs w:val="18"/>
        </w:rPr>
        <w:t xml:space="preserve"> that are likely to be </w:t>
      </w:r>
      <w:r>
        <w:rPr>
          <w:rFonts w:ascii="Calibri" w:hAnsi="Calibri"/>
          <w:sz w:val="18"/>
          <w:szCs w:val="18"/>
        </w:rPr>
        <w:t>received</w:t>
      </w:r>
      <w:r w:rsidRPr="00E43483">
        <w:rPr>
          <w:rFonts w:ascii="Calibri" w:hAnsi="Calibri"/>
          <w:sz w:val="18"/>
          <w:szCs w:val="18"/>
        </w:rPr>
        <w:t xml:space="preserve"> in future </w:t>
      </w:r>
      <w:proofErr w:type="gramStart"/>
      <w:r w:rsidRPr="00E43483">
        <w:rPr>
          <w:rFonts w:ascii="Calibri" w:hAnsi="Calibri"/>
          <w:sz w:val="18"/>
          <w:szCs w:val="18"/>
        </w:rPr>
        <w:t>year</w:t>
      </w:r>
      <w:r>
        <w:rPr>
          <w:rFonts w:ascii="Calibri" w:hAnsi="Calibri"/>
          <w:sz w:val="18"/>
          <w:szCs w:val="18"/>
        </w:rPr>
        <w:t>s</w:t>
      </w:r>
      <w:r w:rsidRPr="00E43483">
        <w:rPr>
          <w:rFonts w:ascii="Calibri" w:hAnsi="Calibri"/>
          <w:sz w:val="18"/>
          <w:szCs w:val="18"/>
        </w:rPr>
        <w:t>,</w:t>
      </w:r>
      <w:proofErr w:type="gramEnd"/>
      <w:r w:rsidRPr="00E43483">
        <w:rPr>
          <w:rFonts w:ascii="Calibri" w:hAnsi="Calibri"/>
          <w:sz w:val="18"/>
          <w:szCs w:val="18"/>
        </w:rPr>
        <w:t xml:space="preserve"> </w:t>
      </w:r>
      <w:r>
        <w:rPr>
          <w:rFonts w:ascii="Calibri" w:hAnsi="Calibri"/>
          <w:sz w:val="18"/>
          <w:szCs w:val="18"/>
        </w:rPr>
        <w:t>therefore</w:t>
      </w:r>
      <w:r w:rsidRPr="00E43483">
        <w:rPr>
          <w:rFonts w:ascii="Calibri" w:hAnsi="Calibri"/>
          <w:sz w:val="18"/>
          <w:szCs w:val="18"/>
        </w:rPr>
        <w:t xml:space="preserve"> a reasonable estimate </w:t>
      </w:r>
      <w:r>
        <w:rPr>
          <w:rFonts w:ascii="Calibri" w:hAnsi="Calibri"/>
          <w:sz w:val="18"/>
          <w:szCs w:val="18"/>
        </w:rPr>
        <w:t>was</w:t>
      </w:r>
      <w:r w:rsidRPr="00E43483">
        <w:rPr>
          <w:rFonts w:ascii="Calibri" w:hAnsi="Calibri"/>
          <w:sz w:val="18"/>
          <w:szCs w:val="18"/>
        </w:rPr>
        <w:t xml:space="preserve"> drawn from </w:t>
      </w:r>
      <w:r>
        <w:rPr>
          <w:rFonts w:ascii="Calibri" w:hAnsi="Calibri"/>
          <w:sz w:val="18"/>
          <w:szCs w:val="18"/>
        </w:rPr>
        <w:t>SRO r</w:t>
      </w:r>
      <w:r w:rsidRPr="00E43483">
        <w:rPr>
          <w:rFonts w:ascii="Calibri" w:hAnsi="Calibri"/>
          <w:sz w:val="18"/>
          <w:szCs w:val="18"/>
        </w:rPr>
        <w:t xml:space="preserve">ecords of </w:t>
      </w:r>
      <w:r>
        <w:rPr>
          <w:rFonts w:ascii="Calibri" w:hAnsi="Calibri"/>
          <w:sz w:val="18"/>
          <w:szCs w:val="18"/>
        </w:rPr>
        <w:t>applications received</w:t>
      </w:r>
      <w:r w:rsidRPr="00E43483">
        <w:rPr>
          <w:rFonts w:ascii="Calibri" w:hAnsi="Calibri"/>
          <w:sz w:val="18"/>
          <w:szCs w:val="18"/>
        </w:rPr>
        <w:t xml:space="preserve"> for the past ten years</w:t>
      </w:r>
      <w:r>
        <w:rPr>
          <w:rFonts w:ascii="Calibri" w:hAnsi="Calibri"/>
          <w:sz w:val="18"/>
          <w:szCs w:val="18"/>
        </w:rPr>
        <w:t>, which</w:t>
      </w:r>
      <w:r w:rsidRPr="00E43483">
        <w:rPr>
          <w:rFonts w:ascii="Calibri" w:hAnsi="Calibri"/>
          <w:sz w:val="18"/>
          <w:szCs w:val="18"/>
        </w:rPr>
        <w:t xml:space="preserve"> indicate an average of 170,000 </w:t>
      </w:r>
      <w:r>
        <w:rPr>
          <w:rFonts w:ascii="Calibri" w:hAnsi="Calibri"/>
          <w:sz w:val="18"/>
          <w:szCs w:val="18"/>
        </w:rPr>
        <w:t>applications</w:t>
      </w:r>
      <w:r w:rsidRPr="00E43483">
        <w:rPr>
          <w:rFonts w:ascii="Calibri" w:hAnsi="Calibri"/>
          <w:sz w:val="18"/>
          <w:szCs w:val="18"/>
        </w:rPr>
        <w:t xml:space="preserve"> per year. </w:t>
      </w:r>
    </w:p>
  </w:footnote>
  <w:footnote w:id="9">
    <w:p w:rsidR="000063DB" w:rsidRPr="004F607E" w:rsidRDefault="000063DB" w:rsidP="00F766A8">
      <w:pPr>
        <w:pStyle w:val="FootnoteText"/>
        <w:spacing w:after="120"/>
        <w:rPr>
          <w:rFonts w:asciiTheme="minorHAnsi" w:hAnsiTheme="minorHAnsi"/>
          <w:sz w:val="18"/>
          <w:szCs w:val="18"/>
        </w:rPr>
      </w:pPr>
      <w:r w:rsidRPr="004F607E">
        <w:rPr>
          <w:rStyle w:val="FootnoteReference"/>
          <w:rFonts w:asciiTheme="minorHAnsi" w:hAnsiTheme="minorHAnsi"/>
          <w:sz w:val="18"/>
          <w:szCs w:val="18"/>
        </w:rPr>
        <w:footnoteRef/>
      </w:r>
      <w:r w:rsidRPr="004F607E">
        <w:rPr>
          <w:rFonts w:asciiTheme="minorHAnsi" w:hAnsiTheme="minorHAnsi"/>
          <w:sz w:val="18"/>
          <w:szCs w:val="18"/>
        </w:rPr>
        <w:t xml:space="preserve"> The proposed fees were derived by dividing the estimated cost per application by the current value of a fee unit. The value of a fee unit for the financial year commencing 1 July 2015 is $13.60. Therefore, the proposed fee</w:t>
      </w:r>
      <w:r w:rsidR="008F2A5A">
        <w:rPr>
          <w:rFonts w:asciiTheme="minorHAnsi" w:hAnsiTheme="minorHAnsi"/>
          <w:sz w:val="18"/>
          <w:szCs w:val="18"/>
        </w:rPr>
        <w:t>s</w:t>
      </w:r>
      <w:r w:rsidRPr="004F607E">
        <w:rPr>
          <w:rFonts w:asciiTheme="minorHAnsi" w:hAnsiTheme="minorHAnsi"/>
          <w:sz w:val="18"/>
          <w:szCs w:val="18"/>
        </w:rPr>
        <w:t xml:space="preserve"> are $15.74/$13.60 = 1.16 fee units for an online application and $34.42/$13.60 = 2.53 fee units for a paper application</w:t>
      </w:r>
    </w:p>
  </w:footnote>
  <w:footnote w:id="10">
    <w:p w:rsidR="000063DB" w:rsidRPr="004F607E" w:rsidRDefault="000063DB" w:rsidP="004F607E">
      <w:pPr>
        <w:pStyle w:val="Style14ptJustified"/>
        <w:keepLines/>
        <w:spacing w:after="120"/>
        <w:jc w:val="left"/>
        <w:rPr>
          <w:rFonts w:asciiTheme="minorHAnsi" w:eastAsiaTheme="minorHAnsi" w:hAnsiTheme="minorHAnsi"/>
          <w:sz w:val="18"/>
          <w:szCs w:val="18"/>
        </w:rPr>
      </w:pPr>
      <w:r w:rsidRPr="004F607E">
        <w:rPr>
          <w:rStyle w:val="FootnoteReference"/>
          <w:rFonts w:asciiTheme="minorHAnsi" w:hAnsiTheme="minorHAnsi"/>
          <w:sz w:val="18"/>
          <w:szCs w:val="18"/>
        </w:rPr>
        <w:footnoteRef/>
      </w:r>
      <w:r w:rsidRPr="004F607E">
        <w:rPr>
          <w:rFonts w:asciiTheme="minorHAnsi" w:hAnsiTheme="minorHAnsi"/>
          <w:sz w:val="18"/>
          <w:szCs w:val="18"/>
        </w:rPr>
        <w:t xml:space="preserve"> </w:t>
      </w:r>
      <w:r w:rsidRPr="004F607E">
        <w:rPr>
          <w:rFonts w:asciiTheme="minorHAnsi" w:eastAsiaTheme="minorHAnsi" w:hAnsiTheme="minorHAnsi"/>
          <w:sz w:val="18"/>
          <w:szCs w:val="18"/>
        </w:rPr>
        <w:t xml:space="preserve">Further detail on the cost calculation is located in Appendix 2.  </w:t>
      </w:r>
    </w:p>
  </w:footnote>
  <w:footnote w:id="11">
    <w:p w:rsidR="000063DB" w:rsidRPr="004F607E" w:rsidRDefault="000063DB" w:rsidP="004F607E">
      <w:pPr>
        <w:pStyle w:val="FootnoteText"/>
        <w:spacing w:after="120"/>
        <w:rPr>
          <w:rStyle w:val="FootnoteReference"/>
          <w:rFonts w:ascii="Calibri" w:hAnsi="Calibri"/>
          <w:sz w:val="18"/>
          <w:szCs w:val="18"/>
        </w:rPr>
      </w:pPr>
      <w:r w:rsidRPr="004F607E">
        <w:rPr>
          <w:rStyle w:val="FootnoteReference"/>
          <w:rFonts w:ascii="Calibri" w:hAnsi="Calibri"/>
          <w:sz w:val="18"/>
          <w:szCs w:val="18"/>
        </w:rPr>
        <w:footnoteRef/>
      </w:r>
      <w:r w:rsidRPr="004F607E">
        <w:rPr>
          <w:rStyle w:val="FootnoteReference"/>
          <w:rFonts w:ascii="Calibri" w:hAnsi="Calibri"/>
          <w:sz w:val="18"/>
          <w:szCs w:val="18"/>
        </w:rPr>
        <w:t xml:space="preserve"> </w:t>
      </w:r>
      <w:r w:rsidRPr="004F607E">
        <w:rPr>
          <w:rFonts w:ascii="Calibri" w:hAnsi="Calibri"/>
          <w:sz w:val="18"/>
          <w:szCs w:val="18"/>
        </w:rPr>
        <w:t>Refer to Part 6.2 – Estimating the Cost Base</w:t>
      </w:r>
      <w:r w:rsidRPr="004F607E">
        <w:rPr>
          <w:rStyle w:val="FootnoteReference"/>
          <w:rFonts w:ascii="Calibri" w:hAnsi="Calibri"/>
          <w:sz w:val="18"/>
          <w:szCs w:val="18"/>
        </w:rPr>
        <w:t xml:space="preserve"> </w:t>
      </w:r>
    </w:p>
  </w:footnote>
  <w:footnote w:id="12">
    <w:p w:rsidR="000063DB" w:rsidRPr="00127B87" w:rsidRDefault="000063DB" w:rsidP="004F607E">
      <w:pPr>
        <w:pStyle w:val="Style14ptJustified"/>
        <w:keepLines/>
        <w:spacing w:after="120"/>
        <w:jc w:val="left"/>
        <w:rPr>
          <w:rFonts w:asciiTheme="minorHAnsi" w:hAnsiTheme="minorHAnsi"/>
          <w:sz w:val="18"/>
          <w:szCs w:val="18"/>
        </w:rPr>
      </w:pPr>
      <w:r w:rsidRPr="00127B87">
        <w:rPr>
          <w:rStyle w:val="FootnoteReference"/>
          <w:rFonts w:asciiTheme="minorHAnsi" w:hAnsiTheme="minorHAnsi"/>
          <w:sz w:val="18"/>
          <w:szCs w:val="18"/>
        </w:rPr>
        <w:footnoteRef/>
      </w:r>
      <w:r w:rsidRPr="00127B87">
        <w:rPr>
          <w:rFonts w:asciiTheme="minorHAnsi" w:hAnsiTheme="minorHAnsi"/>
          <w:sz w:val="18"/>
          <w:szCs w:val="18"/>
        </w:rPr>
        <w:t xml:space="preserve"> NPV is calculated using a discount rate of 4 per cent.</w:t>
      </w:r>
    </w:p>
  </w:footnote>
  <w:footnote w:id="13">
    <w:p w:rsidR="000063DB" w:rsidRPr="004F607E" w:rsidRDefault="000063DB" w:rsidP="00D70F72">
      <w:pPr>
        <w:pStyle w:val="FootnoteText"/>
        <w:spacing w:after="120"/>
        <w:rPr>
          <w:rFonts w:ascii="Calibri" w:hAnsi="Calibri"/>
          <w:sz w:val="18"/>
          <w:szCs w:val="18"/>
        </w:rPr>
      </w:pPr>
      <w:r w:rsidRPr="004F607E">
        <w:rPr>
          <w:rStyle w:val="FootnoteReference"/>
          <w:rFonts w:ascii="Calibri" w:hAnsi="Calibri"/>
          <w:sz w:val="18"/>
          <w:szCs w:val="18"/>
        </w:rPr>
        <w:footnoteRef/>
      </w:r>
      <w:r w:rsidRPr="004F607E">
        <w:rPr>
          <w:rFonts w:ascii="Calibri" w:hAnsi="Calibri"/>
          <w:sz w:val="18"/>
          <w:szCs w:val="18"/>
        </w:rPr>
        <w:t xml:space="preserve"> This has been taken from the RIS of the Local Government (General) Regulations 2015 which was released for public consultation on 27 August 2015</w:t>
      </w:r>
    </w:p>
  </w:footnote>
  <w:footnote w:id="14">
    <w:p w:rsidR="000063DB" w:rsidRPr="004F607E" w:rsidRDefault="000063DB" w:rsidP="004F607E">
      <w:pPr>
        <w:pStyle w:val="Style14ptJustified"/>
        <w:keepLines/>
        <w:spacing w:after="120"/>
        <w:jc w:val="left"/>
        <w:rPr>
          <w:rFonts w:ascii="Calibri" w:hAnsi="Calibri"/>
          <w:sz w:val="18"/>
          <w:szCs w:val="18"/>
        </w:rPr>
      </w:pPr>
      <w:r w:rsidRPr="004F607E">
        <w:rPr>
          <w:rStyle w:val="FootnoteReference"/>
          <w:rFonts w:ascii="Calibri" w:hAnsi="Calibri"/>
          <w:sz w:val="18"/>
          <w:szCs w:val="18"/>
        </w:rPr>
        <w:footnoteRef/>
      </w:r>
      <w:r w:rsidRPr="004F607E">
        <w:rPr>
          <w:rFonts w:ascii="Calibri" w:hAnsi="Calibri"/>
          <w:sz w:val="18"/>
          <w:szCs w:val="18"/>
        </w:rPr>
        <w:t xml:space="preserve"> The above salaries are inclusive of both fixed and variable salary costs. Salary costs have been calculated by multiplying the midpoint salary by the number of FTE’s. Refer to appendix 2 for a breakdown of the fixed and variable salary costs.</w:t>
      </w:r>
    </w:p>
  </w:footnote>
  <w:footnote w:id="15">
    <w:p w:rsidR="000063DB" w:rsidRPr="004F607E" w:rsidRDefault="000063DB" w:rsidP="004F607E">
      <w:pPr>
        <w:pStyle w:val="FootnoteText"/>
        <w:spacing w:after="120"/>
        <w:rPr>
          <w:rFonts w:ascii="Calibri" w:hAnsi="Calibri"/>
          <w:sz w:val="18"/>
          <w:szCs w:val="18"/>
        </w:rPr>
      </w:pPr>
      <w:r w:rsidRPr="004F607E">
        <w:rPr>
          <w:rStyle w:val="FootnoteReference"/>
          <w:rFonts w:ascii="Calibri" w:hAnsi="Calibri"/>
          <w:sz w:val="18"/>
          <w:szCs w:val="18"/>
        </w:rPr>
        <w:footnoteRef/>
      </w:r>
      <w:r w:rsidRPr="004F607E">
        <w:rPr>
          <w:rFonts w:ascii="Calibri" w:hAnsi="Calibri"/>
          <w:sz w:val="18"/>
          <w:szCs w:val="18"/>
        </w:rPr>
        <w:t xml:space="preserve"> Administration and overhead costs have been determined based on the SRO’s corporate overhead costs as a percentage of total costs, then multiplied by the salaries (including on costs) of staff involved in the clearance certificate process. This equates to an overhead cost of 36 per cent. </w:t>
      </w:r>
    </w:p>
  </w:footnote>
  <w:footnote w:id="16">
    <w:p w:rsidR="000063DB" w:rsidRPr="004F607E" w:rsidRDefault="000063DB" w:rsidP="004F607E">
      <w:pPr>
        <w:autoSpaceDE w:val="0"/>
        <w:autoSpaceDN w:val="0"/>
        <w:adjustRightInd w:val="0"/>
        <w:spacing w:after="120"/>
        <w:rPr>
          <w:rFonts w:ascii="Calibri" w:hAnsi="Calibri"/>
          <w:sz w:val="18"/>
          <w:szCs w:val="18"/>
        </w:rPr>
      </w:pPr>
      <w:r w:rsidRPr="004F607E">
        <w:rPr>
          <w:rStyle w:val="FootnoteReference"/>
          <w:rFonts w:ascii="Calibri" w:hAnsi="Calibri"/>
          <w:sz w:val="18"/>
          <w:szCs w:val="18"/>
        </w:rPr>
        <w:footnoteRef/>
      </w:r>
      <w:r w:rsidRPr="004F607E">
        <w:rPr>
          <w:rFonts w:ascii="Calibri" w:hAnsi="Calibri"/>
          <w:sz w:val="18"/>
          <w:szCs w:val="18"/>
        </w:rPr>
        <w:t xml:space="preserve"> Costings are based on an average of 170,000 applications per year, which reflects the 10 year average number of certificates issued by the SRO. This figure has been used as the number of clearance certificates issued each year fluctuates </w:t>
      </w:r>
      <w:proofErr w:type="gramStart"/>
      <w:r w:rsidRPr="004F607E">
        <w:rPr>
          <w:rFonts w:ascii="Calibri" w:hAnsi="Calibri"/>
          <w:sz w:val="18"/>
          <w:szCs w:val="18"/>
        </w:rPr>
        <w:t>greatly,</w:t>
      </w:r>
      <w:proofErr w:type="gramEnd"/>
      <w:r w:rsidRPr="004F607E">
        <w:rPr>
          <w:rFonts w:ascii="Calibri" w:hAnsi="Calibri"/>
          <w:sz w:val="18"/>
          <w:szCs w:val="18"/>
        </w:rPr>
        <w:t xml:space="preserve"> therefore a reasonable estimate was drawn from the number of certificates issued in previous years. </w:t>
      </w:r>
    </w:p>
  </w:footnote>
  <w:footnote w:id="17">
    <w:p w:rsidR="000063DB" w:rsidRPr="00840A4C" w:rsidRDefault="000063DB" w:rsidP="004F607E">
      <w:pPr>
        <w:pStyle w:val="Style14ptJustified"/>
        <w:keepLines/>
        <w:spacing w:after="120"/>
        <w:jc w:val="left"/>
        <w:rPr>
          <w:rFonts w:ascii="Calibri" w:hAnsi="Calibri"/>
          <w:sz w:val="18"/>
          <w:szCs w:val="18"/>
        </w:rPr>
      </w:pPr>
      <w:r w:rsidRPr="00840A4C">
        <w:rPr>
          <w:rStyle w:val="FootnoteReference"/>
          <w:rFonts w:ascii="Calibri" w:hAnsi="Calibri"/>
          <w:sz w:val="18"/>
          <w:szCs w:val="18"/>
        </w:rPr>
        <w:footnoteRef/>
      </w:r>
      <w:r w:rsidRPr="00840A4C">
        <w:rPr>
          <w:rFonts w:ascii="Calibri" w:hAnsi="Calibri"/>
          <w:sz w:val="18"/>
          <w:szCs w:val="18"/>
        </w:rPr>
        <w:t xml:space="preserve"> Variable salary costs relate to the activities that are directly related to a particular type of application. The variable FTE allocations have been determined based on the time required to </w:t>
      </w:r>
      <w:r>
        <w:rPr>
          <w:rFonts w:ascii="Calibri" w:hAnsi="Calibri"/>
          <w:sz w:val="18"/>
          <w:szCs w:val="18"/>
        </w:rPr>
        <w:t>process</w:t>
      </w:r>
      <w:r w:rsidRPr="00840A4C">
        <w:rPr>
          <w:rFonts w:ascii="Calibri" w:hAnsi="Calibri"/>
          <w:sz w:val="18"/>
          <w:szCs w:val="18"/>
        </w:rPr>
        <w:t xml:space="preserve"> the particular type of application multiplied by the number of </w:t>
      </w:r>
      <w:r>
        <w:rPr>
          <w:rFonts w:ascii="Calibri" w:hAnsi="Calibri"/>
          <w:sz w:val="18"/>
          <w:szCs w:val="18"/>
        </w:rPr>
        <w:t>those</w:t>
      </w:r>
      <w:r w:rsidRPr="00840A4C">
        <w:rPr>
          <w:rFonts w:ascii="Calibri" w:hAnsi="Calibri"/>
          <w:sz w:val="18"/>
          <w:szCs w:val="18"/>
        </w:rPr>
        <w:t xml:space="preserve"> application</w:t>
      </w:r>
      <w:r>
        <w:rPr>
          <w:rFonts w:ascii="Calibri" w:hAnsi="Calibri"/>
          <w:sz w:val="18"/>
          <w:szCs w:val="18"/>
        </w:rPr>
        <w:t>s</w:t>
      </w:r>
      <w:r w:rsidRPr="00840A4C">
        <w:rPr>
          <w:rFonts w:ascii="Calibri" w:hAnsi="Calibri"/>
          <w:sz w:val="18"/>
          <w:szCs w:val="18"/>
        </w:rPr>
        <w:t xml:space="preserve"> received. </w:t>
      </w:r>
    </w:p>
  </w:footnote>
  <w:footnote w:id="18">
    <w:p w:rsidR="000063DB" w:rsidRPr="00840A4C" w:rsidRDefault="000063DB" w:rsidP="004F607E">
      <w:pPr>
        <w:pStyle w:val="FootnoteText"/>
        <w:spacing w:after="120"/>
        <w:rPr>
          <w:rFonts w:ascii="Calibri" w:hAnsi="Calibri"/>
          <w:sz w:val="18"/>
          <w:szCs w:val="18"/>
        </w:rPr>
      </w:pPr>
      <w:r w:rsidRPr="00840A4C">
        <w:rPr>
          <w:rStyle w:val="FootnoteReference"/>
          <w:rFonts w:ascii="Calibri" w:hAnsi="Calibri"/>
          <w:sz w:val="18"/>
          <w:szCs w:val="18"/>
        </w:rPr>
        <w:footnoteRef/>
      </w:r>
      <w:r w:rsidRPr="00840A4C">
        <w:rPr>
          <w:rFonts w:ascii="Calibri" w:hAnsi="Calibri"/>
          <w:sz w:val="18"/>
          <w:szCs w:val="18"/>
        </w:rPr>
        <w:t xml:space="preserve"> Salary costs have been calculated by multiplying the midpoint salary (from appendix 1) by the number of FTE’s. </w:t>
      </w:r>
    </w:p>
  </w:footnote>
  <w:footnote w:id="19">
    <w:p w:rsidR="000063DB" w:rsidRPr="00840A4C" w:rsidRDefault="000063DB" w:rsidP="004F607E">
      <w:pPr>
        <w:pStyle w:val="FootnoteText"/>
        <w:spacing w:after="120"/>
        <w:rPr>
          <w:rFonts w:ascii="Calibri" w:hAnsi="Calibri"/>
          <w:sz w:val="18"/>
          <w:szCs w:val="18"/>
        </w:rPr>
      </w:pPr>
      <w:r w:rsidRPr="00840A4C">
        <w:rPr>
          <w:rStyle w:val="FootnoteReference"/>
          <w:rFonts w:ascii="Calibri" w:hAnsi="Calibri"/>
          <w:sz w:val="18"/>
          <w:szCs w:val="18"/>
        </w:rPr>
        <w:footnoteRef/>
      </w:r>
      <w:r w:rsidRPr="00840A4C">
        <w:rPr>
          <w:rFonts w:ascii="Calibri" w:hAnsi="Calibri"/>
          <w:sz w:val="18"/>
          <w:szCs w:val="18"/>
        </w:rPr>
        <w:t xml:space="preserve"> Cost per application </w:t>
      </w:r>
      <w:r>
        <w:rPr>
          <w:rFonts w:ascii="Calibri" w:hAnsi="Calibri"/>
          <w:sz w:val="18"/>
          <w:szCs w:val="18"/>
        </w:rPr>
        <w:t xml:space="preserve">has been determined </w:t>
      </w:r>
      <w:r w:rsidRPr="00840A4C">
        <w:rPr>
          <w:rFonts w:ascii="Calibri" w:hAnsi="Calibri"/>
          <w:sz w:val="18"/>
          <w:szCs w:val="18"/>
        </w:rPr>
        <w:t>on the basis that the SRO receives on average 170,000 applications each year</w:t>
      </w:r>
      <w:r>
        <w:rPr>
          <w:rFonts w:ascii="Calibri" w:hAnsi="Calibri"/>
          <w:sz w:val="18"/>
          <w:szCs w:val="18"/>
        </w:rPr>
        <w:t xml:space="preserve"> of which 0.3 per cent of applications received in 2014-15 were </w:t>
      </w:r>
      <w:r w:rsidRPr="00840A4C">
        <w:rPr>
          <w:rFonts w:ascii="Calibri" w:hAnsi="Calibri"/>
          <w:sz w:val="18"/>
          <w:szCs w:val="18"/>
        </w:rPr>
        <w:t xml:space="preserve">paper </w:t>
      </w:r>
      <w:r>
        <w:rPr>
          <w:rFonts w:ascii="Calibri" w:hAnsi="Calibri"/>
          <w:sz w:val="18"/>
          <w:szCs w:val="18"/>
        </w:rPr>
        <w:t>applications (570)</w:t>
      </w:r>
      <w:r w:rsidRPr="00840A4C">
        <w:rPr>
          <w:rFonts w:ascii="Calibri" w:hAnsi="Calibri"/>
          <w:sz w:val="18"/>
          <w:szCs w:val="18"/>
        </w:rPr>
        <w:t xml:space="preserve"> </w:t>
      </w:r>
      <w:r>
        <w:rPr>
          <w:rFonts w:ascii="Calibri" w:hAnsi="Calibri"/>
          <w:sz w:val="18"/>
          <w:szCs w:val="18"/>
        </w:rPr>
        <w:t>and the remaining 99.7 per cent were online applications</w:t>
      </w:r>
      <w:r w:rsidRPr="00840A4C">
        <w:rPr>
          <w:rFonts w:ascii="Calibri" w:hAnsi="Calibri"/>
          <w:sz w:val="18"/>
          <w:szCs w:val="18"/>
        </w:rPr>
        <w:t xml:space="preserve">. </w:t>
      </w:r>
    </w:p>
  </w:footnote>
  <w:footnote w:id="20">
    <w:p w:rsidR="000063DB" w:rsidRPr="00840A4C" w:rsidRDefault="000063DB" w:rsidP="004F607E">
      <w:pPr>
        <w:pStyle w:val="Style14ptJustified"/>
        <w:keepLines/>
        <w:spacing w:after="120"/>
        <w:jc w:val="left"/>
        <w:rPr>
          <w:rFonts w:ascii="Calibri" w:hAnsi="Calibri"/>
          <w:sz w:val="18"/>
          <w:szCs w:val="18"/>
        </w:rPr>
      </w:pPr>
      <w:r w:rsidRPr="00840A4C">
        <w:rPr>
          <w:rStyle w:val="FootnoteReference"/>
          <w:rFonts w:ascii="Calibri" w:hAnsi="Calibri"/>
          <w:sz w:val="18"/>
          <w:szCs w:val="18"/>
        </w:rPr>
        <w:footnoteRef/>
      </w:r>
      <w:r w:rsidRPr="00840A4C">
        <w:rPr>
          <w:rFonts w:ascii="Calibri" w:hAnsi="Calibri"/>
          <w:sz w:val="18"/>
          <w:szCs w:val="18"/>
        </w:rPr>
        <w:t xml:space="preserve"> Fixed salary costs relate to other activities not directly related to a particular type of application, but to </w:t>
      </w:r>
      <w:r>
        <w:rPr>
          <w:rFonts w:ascii="Calibri" w:hAnsi="Calibri"/>
          <w:sz w:val="18"/>
          <w:szCs w:val="18"/>
        </w:rPr>
        <w:t xml:space="preserve">the </w:t>
      </w:r>
      <w:r w:rsidRPr="00840A4C">
        <w:rPr>
          <w:rFonts w:ascii="Calibri" w:hAnsi="Calibri"/>
          <w:sz w:val="18"/>
          <w:szCs w:val="18"/>
        </w:rPr>
        <w:t>clearance</w:t>
      </w:r>
      <w:r>
        <w:rPr>
          <w:rFonts w:ascii="Calibri" w:hAnsi="Calibri"/>
          <w:sz w:val="18"/>
          <w:szCs w:val="18"/>
        </w:rPr>
        <w:t xml:space="preserve"> certificate service</w:t>
      </w:r>
      <w:r w:rsidRPr="00840A4C">
        <w:rPr>
          <w:rFonts w:ascii="Calibri" w:hAnsi="Calibri"/>
          <w:sz w:val="18"/>
          <w:szCs w:val="18"/>
        </w:rPr>
        <w:t xml:space="preserve"> more generally. </w:t>
      </w:r>
      <w:r>
        <w:rPr>
          <w:rFonts w:ascii="Calibri" w:hAnsi="Calibri"/>
          <w:sz w:val="18"/>
          <w:szCs w:val="18"/>
        </w:rPr>
        <w:t xml:space="preserve">For example, responding to customer enquiries. </w:t>
      </w:r>
    </w:p>
  </w:footnote>
  <w:footnote w:id="21">
    <w:p w:rsidR="000063DB" w:rsidRPr="00840A4C" w:rsidRDefault="000063DB" w:rsidP="004F607E">
      <w:pPr>
        <w:pStyle w:val="FootnoteText"/>
        <w:spacing w:after="120"/>
        <w:rPr>
          <w:rFonts w:ascii="Calibri" w:hAnsi="Calibri"/>
          <w:sz w:val="18"/>
          <w:szCs w:val="18"/>
        </w:rPr>
      </w:pPr>
      <w:r w:rsidRPr="00840A4C">
        <w:rPr>
          <w:rStyle w:val="FootnoteReference"/>
          <w:rFonts w:ascii="Calibri" w:hAnsi="Calibri"/>
          <w:sz w:val="18"/>
          <w:szCs w:val="18"/>
        </w:rPr>
        <w:footnoteRef/>
      </w:r>
      <w:r w:rsidRPr="00840A4C">
        <w:rPr>
          <w:rFonts w:ascii="Calibri" w:hAnsi="Calibri"/>
          <w:sz w:val="18"/>
          <w:szCs w:val="18"/>
        </w:rPr>
        <w:t xml:space="preserve"> Costings are based on an average of 170,000 applications being received each year.</w:t>
      </w:r>
      <w:r>
        <w:rPr>
          <w:rFonts w:ascii="Calibri" w:hAnsi="Calibri"/>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3DB" w:rsidRDefault="000063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A3A0F3E"/>
    <w:lvl w:ilvl="0">
      <w:numFmt w:val="bullet"/>
      <w:lvlText w:val="*"/>
      <w:lvlJc w:val="left"/>
    </w:lvl>
  </w:abstractNum>
  <w:abstractNum w:abstractNumId="1">
    <w:nsid w:val="01570D55"/>
    <w:multiLevelType w:val="hybridMultilevel"/>
    <w:tmpl w:val="7674B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AB57B64"/>
    <w:multiLevelType w:val="hybridMultilevel"/>
    <w:tmpl w:val="2370E9F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064038"/>
    <w:multiLevelType w:val="hybridMultilevel"/>
    <w:tmpl w:val="CFBCE7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192401"/>
    <w:multiLevelType w:val="hybridMultilevel"/>
    <w:tmpl w:val="CC92AE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5D53101"/>
    <w:multiLevelType w:val="hybridMultilevel"/>
    <w:tmpl w:val="66764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8CB5B45"/>
    <w:multiLevelType w:val="hybridMultilevel"/>
    <w:tmpl w:val="846EC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ED057CE"/>
    <w:multiLevelType w:val="hybridMultilevel"/>
    <w:tmpl w:val="A886C09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593424E"/>
    <w:multiLevelType w:val="hybridMultilevel"/>
    <w:tmpl w:val="F11A0F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AEE25B1"/>
    <w:multiLevelType w:val="hybridMultilevel"/>
    <w:tmpl w:val="13E80D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D63A76"/>
    <w:multiLevelType w:val="hybridMultilevel"/>
    <w:tmpl w:val="0B864F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7E32E5B"/>
    <w:multiLevelType w:val="hybridMultilevel"/>
    <w:tmpl w:val="4F0272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AEC299A"/>
    <w:multiLevelType w:val="hybridMultilevel"/>
    <w:tmpl w:val="4434F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3670807"/>
    <w:multiLevelType w:val="hybridMultilevel"/>
    <w:tmpl w:val="4496A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8D139BB"/>
    <w:multiLevelType w:val="hybridMultilevel"/>
    <w:tmpl w:val="EB2CADA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D0C6699"/>
    <w:multiLevelType w:val="hybridMultilevel"/>
    <w:tmpl w:val="70D2C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0A55D6F"/>
    <w:multiLevelType w:val="hybridMultilevel"/>
    <w:tmpl w:val="2370E9F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1A93788"/>
    <w:multiLevelType w:val="hybridMultilevel"/>
    <w:tmpl w:val="0B3696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B9FEEF3E">
      <w:numFmt w:val="bullet"/>
      <w:lvlText w:val="·"/>
      <w:lvlJc w:val="left"/>
      <w:pPr>
        <w:ind w:left="2160" w:hanging="360"/>
      </w:pPr>
      <w:rPr>
        <w:rFonts w:ascii="Calibri" w:eastAsiaTheme="minorHAnsi" w:hAnsi="Calibri" w:cs="Aria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2"/>
  </w:num>
  <w:num w:numId="4">
    <w:abstractNumId w:val="15"/>
  </w:num>
  <w:num w:numId="5">
    <w:abstractNumId w:val="2"/>
  </w:num>
  <w:num w:numId="6">
    <w:abstractNumId w:val="14"/>
  </w:num>
  <w:num w:numId="7">
    <w:abstractNumId w:val="16"/>
  </w:num>
  <w:num w:numId="8">
    <w:abstractNumId w:val="7"/>
  </w:num>
  <w:num w:numId="9">
    <w:abstractNumId w:val="3"/>
  </w:num>
  <w:num w:numId="10">
    <w:abstractNumId w:val="17"/>
  </w:num>
  <w:num w:numId="11">
    <w:abstractNumId w:val="9"/>
  </w:num>
  <w:num w:numId="12">
    <w:abstractNumId w:val="6"/>
  </w:num>
  <w:num w:numId="13">
    <w:abstractNumId w:val="11"/>
  </w:num>
  <w:num w:numId="14">
    <w:abstractNumId w:val="4"/>
  </w:num>
  <w:num w:numId="15">
    <w:abstractNumId w:val="10"/>
  </w:num>
  <w:num w:numId="16">
    <w:abstractNumId w:val="8"/>
  </w:num>
  <w:num w:numId="17">
    <w:abstractNumId w:val="1"/>
  </w:num>
  <w:num w:numId="18">
    <w:abstractNumId w:val="0"/>
    <w:lvlOverride w:ilvl="0">
      <w:lvl w:ilvl="0">
        <w:numFmt w:val="bullet"/>
        <w:lvlText w:val=""/>
        <w:legacy w:legacy="1" w:legacySpace="0" w:legacyIndent="0"/>
        <w:lvlJc w:val="left"/>
        <w:rPr>
          <w:rFonts w:ascii="Symbol" w:hAnsi="Symbol" w:hint="default"/>
          <w:sz w:val="22"/>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Formatting/>
  <w:documentProtection w:edit="readOnly" w:enforcement="1" w:cryptProviderType="rsaFull" w:cryptAlgorithmClass="hash" w:cryptAlgorithmType="typeAny" w:cryptAlgorithmSid="4" w:cryptSpinCount="100000" w:hash="ImRnhO7nLp+pJq6j4ELQzu/yonU=" w:salt="IdZKnBRSKj0ljxcl7okjLQ=="/>
  <w:defaultTabStop w:val="720"/>
  <w:characterSpacingControl w:val="doNotCompress"/>
  <w:hdrShapeDefaults>
    <o:shapedefaults v:ext="edit" spidmax="686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8D3"/>
    <w:rsid w:val="00001337"/>
    <w:rsid w:val="00001ACE"/>
    <w:rsid w:val="00003984"/>
    <w:rsid w:val="00005E40"/>
    <w:rsid w:val="000062C0"/>
    <w:rsid w:val="000063DB"/>
    <w:rsid w:val="00007EFD"/>
    <w:rsid w:val="000108D3"/>
    <w:rsid w:val="00011FEE"/>
    <w:rsid w:val="0001439D"/>
    <w:rsid w:val="000335CB"/>
    <w:rsid w:val="000348E5"/>
    <w:rsid w:val="00035273"/>
    <w:rsid w:val="000520C3"/>
    <w:rsid w:val="00055E58"/>
    <w:rsid w:val="000637F8"/>
    <w:rsid w:val="000638D1"/>
    <w:rsid w:val="00064F53"/>
    <w:rsid w:val="000657BC"/>
    <w:rsid w:val="000718CF"/>
    <w:rsid w:val="000731EF"/>
    <w:rsid w:val="000732E3"/>
    <w:rsid w:val="00073305"/>
    <w:rsid w:val="00080ACE"/>
    <w:rsid w:val="00081D97"/>
    <w:rsid w:val="00086F09"/>
    <w:rsid w:val="00094AE8"/>
    <w:rsid w:val="000967AA"/>
    <w:rsid w:val="000A53FF"/>
    <w:rsid w:val="000B5B0A"/>
    <w:rsid w:val="000B685D"/>
    <w:rsid w:val="000B6A9E"/>
    <w:rsid w:val="000D4B65"/>
    <w:rsid w:val="000E337C"/>
    <w:rsid w:val="000E47B2"/>
    <w:rsid w:val="000E6628"/>
    <w:rsid w:val="000E7623"/>
    <w:rsid w:val="00102940"/>
    <w:rsid w:val="0010387A"/>
    <w:rsid w:val="00106B88"/>
    <w:rsid w:val="00107C7C"/>
    <w:rsid w:val="001215C8"/>
    <w:rsid w:val="00122498"/>
    <w:rsid w:val="00125172"/>
    <w:rsid w:val="00125E96"/>
    <w:rsid w:val="00127B87"/>
    <w:rsid w:val="00133B89"/>
    <w:rsid w:val="00140E28"/>
    <w:rsid w:val="00142D66"/>
    <w:rsid w:val="00150D2C"/>
    <w:rsid w:val="00155793"/>
    <w:rsid w:val="001563A2"/>
    <w:rsid w:val="001578D0"/>
    <w:rsid w:val="00162550"/>
    <w:rsid w:val="001671CC"/>
    <w:rsid w:val="001715F3"/>
    <w:rsid w:val="001720B2"/>
    <w:rsid w:val="00172D9C"/>
    <w:rsid w:val="0017482E"/>
    <w:rsid w:val="00177D09"/>
    <w:rsid w:val="00187520"/>
    <w:rsid w:val="00192529"/>
    <w:rsid w:val="001935A2"/>
    <w:rsid w:val="0019396A"/>
    <w:rsid w:val="001A0A96"/>
    <w:rsid w:val="001A228E"/>
    <w:rsid w:val="001B237F"/>
    <w:rsid w:val="001B6EBD"/>
    <w:rsid w:val="001C17AC"/>
    <w:rsid w:val="001C40E3"/>
    <w:rsid w:val="001C4F01"/>
    <w:rsid w:val="001C4FC4"/>
    <w:rsid w:val="001C5E3D"/>
    <w:rsid w:val="001D0F37"/>
    <w:rsid w:val="001D160F"/>
    <w:rsid w:val="001D3507"/>
    <w:rsid w:val="001D4F6B"/>
    <w:rsid w:val="001E228F"/>
    <w:rsid w:val="001E34CB"/>
    <w:rsid w:val="001E68AC"/>
    <w:rsid w:val="001F111B"/>
    <w:rsid w:val="001F496E"/>
    <w:rsid w:val="00202AAC"/>
    <w:rsid w:val="0020771B"/>
    <w:rsid w:val="00207BDF"/>
    <w:rsid w:val="002104CB"/>
    <w:rsid w:val="00213205"/>
    <w:rsid w:val="00213824"/>
    <w:rsid w:val="00221BF8"/>
    <w:rsid w:val="00225B9C"/>
    <w:rsid w:val="00232F93"/>
    <w:rsid w:val="002334E0"/>
    <w:rsid w:val="00233934"/>
    <w:rsid w:val="00233C18"/>
    <w:rsid w:val="002430DA"/>
    <w:rsid w:val="002444DB"/>
    <w:rsid w:val="0024488F"/>
    <w:rsid w:val="002449F2"/>
    <w:rsid w:val="00245DF4"/>
    <w:rsid w:val="00246B7A"/>
    <w:rsid w:val="00261ADB"/>
    <w:rsid w:val="00272406"/>
    <w:rsid w:val="00276DAC"/>
    <w:rsid w:val="00284D1D"/>
    <w:rsid w:val="00285A7F"/>
    <w:rsid w:val="002868AA"/>
    <w:rsid w:val="00295934"/>
    <w:rsid w:val="00297D9A"/>
    <w:rsid w:val="002A1B37"/>
    <w:rsid w:val="002A600E"/>
    <w:rsid w:val="002C0CCF"/>
    <w:rsid w:val="002C3BB5"/>
    <w:rsid w:val="002C3FAB"/>
    <w:rsid w:val="002D2CF1"/>
    <w:rsid w:val="002D391B"/>
    <w:rsid w:val="002D3C09"/>
    <w:rsid w:val="002D4B12"/>
    <w:rsid w:val="002D5F75"/>
    <w:rsid w:val="002E2EC3"/>
    <w:rsid w:val="002E43CF"/>
    <w:rsid w:val="002E49D7"/>
    <w:rsid w:val="002E67B0"/>
    <w:rsid w:val="002E6EB2"/>
    <w:rsid w:val="002F1E74"/>
    <w:rsid w:val="002F3A24"/>
    <w:rsid w:val="002F43A2"/>
    <w:rsid w:val="002F6E7C"/>
    <w:rsid w:val="002F77C7"/>
    <w:rsid w:val="002F7A3E"/>
    <w:rsid w:val="00304F8D"/>
    <w:rsid w:val="00305D5E"/>
    <w:rsid w:val="00312050"/>
    <w:rsid w:val="003122AA"/>
    <w:rsid w:val="00315DD8"/>
    <w:rsid w:val="00322B96"/>
    <w:rsid w:val="00322D9C"/>
    <w:rsid w:val="0032319B"/>
    <w:rsid w:val="003303CB"/>
    <w:rsid w:val="00336AB3"/>
    <w:rsid w:val="0034079D"/>
    <w:rsid w:val="00341235"/>
    <w:rsid w:val="00343F65"/>
    <w:rsid w:val="00344E4E"/>
    <w:rsid w:val="003450EE"/>
    <w:rsid w:val="0034545C"/>
    <w:rsid w:val="0034747A"/>
    <w:rsid w:val="00350B52"/>
    <w:rsid w:val="00352985"/>
    <w:rsid w:val="003536F4"/>
    <w:rsid w:val="00355FAC"/>
    <w:rsid w:val="00360556"/>
    <w:rsid w:val="00362079"/>
    <w:rsid w:val="00364E41"/>
    <w:rsid w:val="003654A1"/>
    <w:rsid w:val="0037205B"/>
    <w:rsid w:val="003720A9"/>
    <w:rsid w:val="00376346"/>
    <w:rsid w:val="003831DC"/>
    <w:rsid w:val="00386EB4"/>
    <w:rsid w:val="00387BC8"/>
    <w:rsid w:val="00387F04"/>
    <w:rsid w:val="003949F7"/>
    <w:rsid w:val="00396221"/>
    <w:rsid w:val="003966EB"/>
    <w:rsid w:val="003A246B"/>
    <w:rsid w:val="003A67E6"/>
    <w:rsid w:val="003B7C09"/>
    <w:rsid w:val="003C2705"/>
    <w:rsid w:val="003D1FB4"/>
    <w:rsid w:val="003D5EE9"/>
    <w:rsid w:val="003D63AC"/>
    <w:rsid w:val="003E1261"/>
    <w:rsid w:val="003E5B08"/>
    <w:rsid w:val="003F1348"/>
    <w:rsid w:val="00405B85"/>
    <w:rsid w:val="0040607B"/>
    <w:rsid w:val="00406388"/>
    <w:rsid w:val="00406887"/>
    <w:rsid w:val="00414345"/>
    <w:rsid w:val="00423801"/>
    <w:rsid w:val="00431410"/>
    <w:rsid w:val="0043532C"/>
    <w:rsid w:val="00437AB9"/>
    <w:rsid w:val="00443218"/>
    <w:rsid w:val="00443A55"/>
    <w:rsid w:val="00446289"/>
    <w:rsid w:val="0045403B"/>
    <w:rsid w:val="00454061"/>
    <w:rsid w:val="00454B73"/>
    <w:rsid w:val="0045664B"/>
    <w:rsid w:val="004627D3"/>
    <w:rsid w:val="00471F48"/>
    <w:rsid w:val="00480A29"/>
    <w:rsid w:val="004815EB"/>
    <w:rsid w:val="00483D4E"/>
    <w:rsid w:val="004905BB"/>
    <w:rsid w:val="00490816"/>
    <w:rsid w:val="00490CBC"/>
    <w:rsid w:val="00495109"/>
    <w:rsid w:val="004955A9"/>
    <w:rsid w:val="004B0C8F"/>
    <w:rsid w:val="004B38CE"/>
    <w:rsid w:val="004B5333"/>
    <w:rsid w:val="004D1768"/>
    <w:rsid w:val="004D209D"/>
    <w:rsid w:val="004D36C1"/>
    <w:rsid w:val="004D7128"/>
    <w:rsid w:val="004D72D7"/>
    <w:rsid w:val="004E21AB"/>
    <w:rsid w:val="004E2AF8"/>
    <w:rsid w:val="004F0791"/>
    <w:rsid w:val="004F12C7"/>
    <w:rsid w:val="004F4C76"/>
    <w:rsid w:val="004F607E"/>
    <w:rsid w:val="004F60C3"/>
    <w:rsid w:val="00500FA1"/>
    <w:rsid w:val="00502F67"/>
    <w:rsid w:val="005051E7"/>
    <w:rsid w:val="0051358A"/>
    <w:rsid w:val="00514E90"/>
    <w:rsid w:val="00523714"/>
    <w:rsid w:val="0052406E"/>
    <w:rsid w:val="00524827"/>
    <w:rsid w:val="005304DB"/>
    <w:rsid w:val="00531A05"/>
    <w:rsid w:val="00532B8C"/>
    <w:rsid w:val="00543850"/>
    <w:rsid w:val="005458B6"/>
    <w:rsid w:val="0055137B"/>
    <w:rsid w:val="00551509"/>
    <w:rsid w:val="00551B43"/>
    <w:rsid w:val="0055678A"/>
    <w:rsid w:val="00556862"/>
    <w:rsid w:val="00557028"/>
    <w:rsid w:val="0056021B"/>
    <w:rsid w:val="00560E20"/>
    <w:rsid w:val="00561FB4"/>
    <w:rsid w:val="00566D03"/>
    <w:rsid w:val="0057295C"/>
    <w:rsid w:val="00573F2F"/>
    <w:rsid w:val="00574819"/>
    <w:rsid w:val="00575730"/>
    <w:rsid w:val="005770F5"/>
    <w:rsid w:val="00582D42"/>
    <w:rsid w:val="00585B20"/>
    <w:rsid w:val="00595BCD"/>
    <w:rsid w:val="0059701C"/>
    <w:rsid w:val="00597099"/>
    <w:rsid w:val="005A007C"/>
    <w:rsid w:val="005A07A3"/>
    <w:rsid w:val="005A3D9A"/>
    <w:rsid w:val="005A6062"/>
    <w:rsid w:val="005A6A7E"/>
    <w:rsid w:val="005B0557"/>
    <w:rsid w:val="005B17F2"/>
    <w:rsid w:val="005B2F1D"/>
    <w:rsid w:val="005B5015"/>
    <w:rsid w:val="005B5476"/>
    <w:rsid w:val="005B6C8B"/>
    <w:rsid w:val="005B6E05"/>
    <w:rsid w:val="005B7485"/>
    <w:rsid w:val="005C38C0"/>
    <w:rsid w:val="005C5F03"/>
    <w:rsid w:val="005D1A9B"/>
    <w:rsid w:val="005F56F6"/>
    <w:rsid w:val="005F738F"/>
    <w:rsid w:val="00603DAA"/>
    <w:rsid w:val="0061584C"/>
    <w:rsid w:val="006164E2"/>
    <w:rsid w:val="006277C4"/>
    <w:rsid w:val="006326F6"/>
    <w:rsid w:val="00633204"/>
    <w:rsid w:val="0063684E"/>
    <w:rsid w:val="00636891"/>
    <w:rsid w:val="00651352"/>
    <w:rsid w:val="006536A4"/>
    <w:rsid w:val="00655D0A"/>
    <w:rsid w:val="006578CC"/>
    <w:rsid w:val="00661F5D"/>
    <w:rsid w:val="00663E70"/>
    <w:rsid w:val="00671BB7"/>
    <w:rsid w:val="006750D3"/>
    <w:rsid w:val="006750D4"/>
    <w:rsid w:val="00680E18"/>
    <w:rsid w:val="00690E81"/>
    <w:rsid w:val="00692815"/>
    <w:rsid w:val="006A14B8"/>
    <w:rsid w:val="006A218C"/>
    <w:rsid w:val="006A30E5"/>
    <w:rsid w:val="006A653D"/>
    <w:rsid w:val="006B056E"/>
    <w:rsid w:val="006B17A3"/>
    <w:rsid w:val="006B41B4"/>
    <w:rsid w:val="006B6813"/>
    <w:rsid w:val="006C1BC0"/>
    <w:rsid w:val="006C25CA"/>
    <w:rsid w:val="006C260A"/>
    <w:rsid w:val="006C32CF"/>
    <w:rsid w:val="006C70EE"/>
    <w:rsid w:val="006C759E"/>
    <w:rsid w:val="006D2102"/>
    <w:rsid w:val="006D4C6D"/>
    <w:rsid w:val="006E2F3A"/>
    <w:rsid w:val="006E3B14"/>
    <w:rsid w:val="006E58C6"/>
    <w:rsid w:val="006F44AA"/>
    <w:rsid w:val="006F742D"/>
    <w:rsid w:val="0070128A"/>
    <w:rsid w:val="00704A0E"/>
    <w:rsid w:val="00705312"/>
    <w:rsid w:val="00705C7A"/>
    <w:rsid w:val="00714B51"/>
    <w:rsid w:val="00722202"/>
    <w:rsid w:val="00722C46"/>
    <w:rsid w:val="007232E7"/>
    <w:rsid w:val="00724ED3"/>
    <w:rsid w:val="00731700"/>
    <w:rsid w:val="00735805"/>
    <w:rsid w:val="00736413"/>
    <w:rsid w:val="00742751"/>
    <w:rsid w:val="00743721"/>
    <w:rsid w:val="007479BB"/>
    <w:rsid w:val="00760A33"/>
    <w:rsid w:val="00763556"/>
    <w:rsid w:val="00765284"/>
    <w:rsid w:val="0077432E"/>
    <w:rsid w:val="0077528A"/>
    <w:rsid w:val="00776286"/>
    <w:rsid w:val="00782022"/>
    <w:rsid w:val="007A1929"/>
    <w:rsid w:val="007A2F04"/>
    <w:rsid w:val="007A7000"/>
    <w:rsid w:val="007B063B"/>
    <w:rsid w:val="007B0AC2"/>
    <w:rsid w:val="007B5273"/>
    <w:rsid w:val="007B58DA"/>
    <w:rsid w:val="007C448C"/>
    <w:rsid w:val="007C6523"/>
    <w:rsid w:val="007C71DA"/>
    <w:rsid w:val="007D2D21"/>
    <w:rsid w:val="007D2F17"/>
    <w:rsid w:val="007E0769"/>
    <w:rsid w:val="007E1736"/>
    <w:rsid w:val="007E4FAE"/>
    <w:rsid w:val="007E569D"/>
    <w:rsid w:val="007E5BC9"/>
    <w:rsid w:val="007F10E2"/>
    <w:rsid w:val="007F479E"/>
    <w:rsid w:val="00800320"/>
    <w:rsid w:val="008015F1"/>
    <w:rsid w:val="0080450E"/>
    <w:rsid w:val="00804D74"/>
    <w:rsid w:val="008051BF"/>
    <w:rsid w:val="00807918"/>
    <w:rsid w:val="00815AFC"/>
    <w:rsid w:val="00815E7D"/>
    <w:rsid w:val="00820DA1"/>
    <w:rsid w:val="00822A59"/>
    <w:rsid w:val="00824535"/>
    <w:rsid w:val="00824C8F"/>
    <w:rsid w:val="00824DBE"/>
    <w:rsid w:val="00832D4E"/>
    <w:rsid w:val="00836CCE"/>
    <w:rsid w:val="00840A4C"/>
    <w:rsid w:val="00841201"/>
    <w:rsid w:val="008419A3"/>
    <w:rsid w:val="00842217"/>
    <w:rsid w:val="0084480E"/>
    <w:rsid w:val="0084752C"/>
    <w:rsid w:val="0085221B"/>
    <w:rsid w:val="00852D0D"/>
    <w:rsid w:val="008540A3"/>
    <w:rsid w:val="00855436"/>
    <w:rsid w:val="008561C9"/>
    <w:rsid w:val="00860F2D"/>
    <w:rsid w:val="00864C37"/>
    <w:rsid w:val="00865187"/>
    <w:rsid w:val="00866EEE"/>
    <w:rsid w:val="0086706B"/>
    <w:rsid w:val="0087039D"/>
    <w:rsid w:val="00870D62"/>
    <w:rsid w:val="00875FBE"/>
    <w:rsid w:val="00883113"/>
    <w:rsid w:val="00884197"/>
    <w:rsid w:val="00890EFC"/>
    <w:rsid w:val="00896218"/>
    <w:rsid w:val="008A05B7"/>
    <w:rsid w:val="008A16C8"/>
    <w:rsid w:val="008A26A7"/>
    <w:rsid w:val="008A4BB6"/>
    <w:rsid w:val="008B113F"/>
    <w:rsid w:val="008B209F"/>
    <w:rsid w:val="008B2EB8"/>
    <w:rsid w:val="008B57C4"/>
    <w:rsid w:val="008B7969"/>
    <w:rsid w:val="008C1C84"/>
    <w:rsid w:val="008C59FB"/>
    <w:rsid w:val="008C7B4F"/>
    <w:rsid w:val="008C7EE3"/>
    <w:rsid w:val="008D0952"/>
    <w:rsid w:val="008E60D5"/>
    <w:rsid w:val="008F1FF6"/>
    <w:rsid w:val="008F2A5A"/>
    <w:rsid w:val="009017C0"/>
    <w:rsid w:val="00904C3D"/>
    <w:rsid w:val="00906642"/>
    <w:rsid w:val="00910B35"/>
    <w:rsid w:val="00913CDA"/>
    <w:rsid w:val="009145A3"/>
    <w:rsid w:val="009178D0"/>
    <w:rsid w:val="009179C7"/>
    <w:rsid w:val="00923639"/>
    <w:rsid w:val="00923CD8"/>
    <w:rsid w:val="00924092"/>
    <w:rsid w:val="00926E6E"/>
    <w:rsid w:val="0093466A"/>
    <w:rsid w:val="009405FA"/>
    <w:rsid w:val="00941AA4"/>
    <w:rsid w:val="00943DE3"/>
    <w:rsid w:val="0095690E"/>
    <w:rsid w:val="00973A20"/>
    <w:rsid w:val="00975A97"/>
    <w:rsid w:val="00983246"/>
    <w:rsid w:val="009844BE"/>
    <w:rsid w:val="00992D36"/>
    <w:rsid w:val="00993F51"/>
    <w:rsid w:val="00997BF3"/>
    <w:rsid w:val="009A0C7F"/>
    <w:rsid w:val="009A2865"/>
    <w:rsid w:val="009A2E44"/>
    <w:rsid w:val="009A4FCD"/>
    <w:rsid w:val="009A794D"/>
    <w:rsid w:val="009C0891"/>
    <w:rsid w:val="009C759B"/>
    <w:rsid w:val="009D097D"/>
    <w:rsid w:val="009D3BD6"/>
    <w:rsid w:val="009E7C79"/>
    <w:rsid w:val="009F0974"/>
    <w:rsid w:val="009F12F5"/>
    <w:rsid w:val="009F1B3F"/>
    <w:rsid w:val="009F63CD"/>
    <w:rsid w:val="00A13A3B"/>
    <w:rsid w:val="00A14206"/>
    <w:rsid w:val="00A15CB1"/>
    <w:rsid w:val="00A2218F"/>
    <w:rsid w:val="00A2797F"/>
    <w:rsid w:val="00A4069C"/>
    <w:rsid w:val="00A426D2"/>
    <w:rsid w:val="00A42993"/>
    <w:rsid w:val="00A43F86"/>
    <w:rsid w:val="00A45009"/>
    <w:rsid w:val="00A46888"/>
    <w:rsid w:val="00A523A7"/>
    <w:rsid w:val="00A56CDA"/>
    <w:rsid w:val="00A62BEE"/>
    <w:rsid w:val="00A717A5"/>
    <w:rsid w:val="00A7768E"/>
    <w:rsid w:val="00A818D6"/>
    <w:rsid w:val="00A83C24"/>
    <w:rsid w:val="00A87F2A"/>
    <w:rsid w:val="00A904FE"/>
    <w:rsid w:val="00A9381A"/>
    <w:rsid w:val="00A95EDD"/>
    <w:rsid w:val="00AA20E0"/>
    <w:rsid w:val="00AB036B"/>
    <w:rsid w:val="00AB4FF1"/>
    <w:rsid w:val="00AB66D2"/>
    <w:rsid w:val="00AB66F5"/>
    <w:rsid w:val="00AB78EB"/>
    <w:rsid w:val="00AC0F3E"/>
    <w:rsid w:val="00AC254C"/>
    <w:rsid w:val="00AC28DB"/>
    <w:rsid w:val="00AC2A46"/>
    <w:rsid w:val="00AC4B7C"/>
    <w:rsid w:val="00AC59DB"/>
    <w:rsid w:val="00AC7570"/>
    <w:rsid w:val="00AD3CFF"/>
    <w:rsid w:val="00AD486D"/>
    <w:rsid w:val="00AE25A8"/>
    <w:rsid w:val="00AE3C65"/>
    <w:rsid w:val="00AE3E01"/>
    <w:rsid w:val="00AE4CFF"/>
    <w:rsid w:val="00AE6402"/>
    <w:rsid w:val="00AE6536"/>
    <w:rsid w:val="00AE74B2"/>
    <w:rsid w:val="00AE7D9F"/>
    <w:rsid w:val="00AF4B72"/>
    <w:rsid w:val="00AF50F6"/>
    <w:rsid w:val="00B06E15"/>
    <w:rsid w:val="00B16622"/>
    <w:rsid w:val="00B177CD"/>
    <w:rsid w:val="00B20745"/>
    <w:rsid w:val="00B21208"/>
    <w:rsid w:val="00B2248E"/>
    <w:rsid w:val="00B2277D"/>
    <w:rsid w:val="00B22DBD"/>
    <w:rsid w:val="00B23A74"/>
    <w:rsid w:val="00B25661"/>
    <w:rsid w:val="00B33676"/>
    <w:rsid w:val="00B368E7"/>
    <w:rsid w:val="00B40884"/>
    <w:rsid w:val="00B408E6"/>
    <w:rsid w:val="00B47241"/>
    <w:rsid w:val="00B52A87"/>
    <w:rsid w:val="00B53451"/>
    <w:rsid w:val="00B53840"/>
    <w:rsid w:val="00B57DBA"/>
    <w:rsid w:val="00B62464"/>
    <w:rsid w:val="00B72EB5"/>
    <w:rsid w:val="00B773CE"/>
    <w:rsid w:val="00B77856"/>
    <w:rsid w:val="00B804D6"/>
    <w:rsid w:val="00B80B00"/>
    <w:rsid w:val="00B84C53"/>
    <w:rsid w:val="00B85639"/>
    <w:rsid w:val="00B872C4"/>
    <w:rsid w:val="00B9191D"/>
    <w:rsid w:val="00B9495D"/>
    <w:rsid w:val="00B969BD"/>
    <w:rsid w:val="00B97127"/>
    <w:rsid w:val="00BA0AC1"/>
    <w:rsid w:val="00BA2780"/>
    <w:rsid w:val="00BA7B38"/>
    <w:rsid w:val="00BB0EAB"/>
    <w:rsid w:val="00BC75D6"/>
    <w:rsid w:val="00BD3675"/>
    <w:rsid w:val="00BE05FB"/>
    <w:rsid w:val="00BE265F"/>
    <w:rsid w:val="00BE77BA"/>
    <w:rsid w:val="00BF02C7"/>
    <w:rsid w:val="00BF1B88"/>
    <w:rsid w:val="00BF3C30"/>
    <w:rsid w:val="00C03546"/>
    <w:rsid w:val="00C05851"/>
    <w:rsid w:val="00C07537"/>
    <w:rsid w:val="00C07AE4"/>
    <w:rsid w:val="00C103E1"/>
    <w:rsid w:val="00C10A0A"/>
    <w:rsid w:val="00C10B54"/>
    <w:rsid w:val="00C21722"/>
    <w:rsid w:val="00C24607"/>
    <w:rsid w:val="00C2480C"/>
    <w:rsid w:val="00C25EA4"/>
    <w:rsid w:val="00C25EC0"/>
    <w:rsid w:val="00C27406"/>
    <w:rsid w:val="00C31AD3"/>
    <w:rsid w:val="00C322BE"/>
    <w:rsid w:val="00C46BCC"/>
    <w:rsid w:val="00C50096"/>
    <w:rsid w:val="00C51A1E"/>
    <w:rsid w:val="00C524FA"/>
    <w:rsid w:val="00C53CB7"/>
    <w:rsid w:val="00C555B5"/>
    <w:rsid w:val="00C5658E"/>
    <w:rsid w:val="00C60B8B"/>
    <w:rsid w:val="00C6522F"/>
    <w:rsid w:val="00C652B1"/>
    <w:rsid w:val="00C7074E"/>
    <w:rsid w:val="00C8267C"/>
    <w:rsid w:val="00C922CE"/>
    <w:rsid w:val="00C926D8"/>
    <w:rsid w:val="00C94598"/>
    <w:rsid w:val="00CA3781"/>
    <w:rsid w:val="00CA69C1"/>
    <w:rsid w:val="00CB1F39"/>
    <w:rsid w:val="00CB3271"/>
    <w:rsid w:val="00CB75B5"/>
    <w:rsid w:val="00CC0B23"/>
    <w:rsid w:val="00CC32C0"/>
    <w:rsid w:val="00CC341E"/>
    <w:rsid w:val="00CC61CC"/>
    <w:rsid w:val="00CC6577"/>
    <w:rsid w:val="00CD0B52"/>
    <w:rsid w:val="00CE0732"/>
    <w:rsid w:val="00CE0A40"/>
    <w:rsid w:val="00CE0DC1"/>
    <w:rsid w:val="00CE139F"/>
    <w:rsid w:val="00CE47C0"/>
    <w:rsid w:val="00CE4F28"/>
    <w:rsid w:val="00CF1275"/>
    <w:rsid w:val="00CF1638"/>
    <w:rsid w:val="00CF4E7A"/>
    <w:rsid w:val="00CF7515"/>
    <w:rsid w:val="00D017E8"/>
    <w:rsid w:val="00D0525F"/>
    <w:rsid w:val="00D121BE"/>
    <w:rsid w:val="00D12964"/>
    <w:rsid w:val="00D16CEA"/>
    <w:rsid w:val="00D22C1D"/>
    <w:rsid w:val="00D23B96"/>
    <w:rsid w:val="00D25570"/>
    <w:rsid w:val="00D27E7F"/>
    <w:rsid w:val="00D3385A"/>
    <w:rsid w:val="00D408B6"/>
    <w:rsid w:val="00D41A09"/>
    <w:rsid w:val="00D52824"/>
    <w:rsid w:val="00D61E7B"/>
    <w:rsid w:val="00D70F72"/>
    <w:rsid w:val="00D72109"/>
    <w:rsid w:val="00D75EC3"/>
    <w:rsid w:val="00D904AD"/>
    <w:rsid w:val="00D90BB1"/>
    <w:rsid w:val="00D97A70"/>
    <w:rsid w:val="00D97C31"/>
    <w:rsid w:val="00DA070B"/>
    <w:rsid w:val="00DA3D52"/>
    <w:rsid w:val="00DB1ACF"/>
    <w:rsid w:val="00DB23FB"/>
    <w:rsid w:val="00DB2AE9"/>
    <w:rsid w:val="00DB3210"/>
    <w:rsid w:val="00DC5191"/>
    <w:rsid w:val="00DC573C"/>
    <w:rsid w:val="00DD3BE6"/>
    <w:rsid w:val="00DD68F2"/>
    <w:rsid w:val="00DE52F3"/>
    <w:rsid w:val="00DE5B23"/>
    <w:rsid w:val="00E00495"/>
    <w:rsid w:val="00E01441"/>
    <w:rsid w:val="00E01E5A"/>
    <w:rsid w:val="00E02571"/>
    <w:rsid w:val="00E046AB"/>
    <w:rsid w:val="00E0615A"/>
    <w:rsid w:val="00E07C67"/>
    <w:rsid w:val="00E10DB8"/>
    <w:rsid w:val="00E11682"/>
    <w:rsid w:val="00E12449"/>
    <w:rsid w:val="00E14845"/>
    <w:rsid w:val="00E16E07"/>
    <w:rsid w:val="00E20D27"/>
    <w:rsid w:val="00E31244"/>
    <w:rsid w:val="00E43483"/>
    <w:rsid w:val="00E47748"/>
    <w:rsid w:val="00E51009"/>
    <w:rsid w:val="00E55519"/>
    <w:rsid w:val="00E55C1E"/>
    <w:rsid w:val="00E659BA"/>
    <w:rsid w:val="00E72895"/>
    <w:rsid w:val="00E80B90"/>
    <w:rsid w:val="00E83990"/>
    <w:rsid w:val="00E848D7"/>
    <w:rsid w:val="00E86ACE"/>
    <w:rsid w:val="00E87A89"/>
    <w:rsid w:val="00E91F82"/>
    <w:rsid w:val="00E92826"/>
    <w:rsid w:val="00E93C81"/>
    <w:rsid w:val="00E9432B"/>
    <w:rsid w:val="00EA081D"/>
    <w:rsid w:val="00EA1FFB"/>
    <w:rsid w:val="00EA3C23"/>
    <w:rsid w:val="00EA55A4"/>
    <w:rsid w:val="00EA7F8F"/>
    <w:rsid w:val="00EB42F2"/>
    <w:rsid w:val="00EB66C0"/>
    <w:rsid w:val="00EB765D"/>
    <w:rsid w:val="00EC05BA"/>
    <w:rsid w:val="00EC45CA"/>
    <w:rsid w:val="00EC480A"/>
    <w:rsid w:val="00ED0BE8"/>
    <w:rsid w:val="00ED2DEA"/>
    <w:rsid w:val="00ED3BCE"/>
    <w:rsid w:val="00ED3FA2"/>
    <w:rsid w:val="00ED6140"/>
    <w:rsid w:val="00EE0941"/>
    <w:rsid w:val="00EE2318"/>
    <w:rsid w:val="00EE2E82"/>
    <w:rsid w:val="00EE5BC1"/>
    <w:rsid w:val="00EE6CAA"/>
    <w:rsid w:val="00EF7875"/>
    <w:rsid w:val="00F00818"/>
    <w:rsid w:val="00F01579"/>
    <w:rsid w:val="00F07EAC"/>
    <w:rsid w:val="00F120AE"/>
    <w:rsid w:val="00F14F02"/>
    <w:rsid w:val="00F22B68"/>
    <w:rsid w:val="00F267FB"/>
    <w:rsid w:val="00F33C8E"/>
    <w:rsid w:val="00F42067"/>
    <w:rsid w:val="00F438A0"/>
    <w:rsid w:val="00F44C0B"/>
    <w:rsid w:val="00F47A06"/>
    <w:rsid w:val="00F47DC1"/>
    <w:rsid w:val="00F50319"/>
    <w:rsid w:val="00F52ACD"/>
    <w:rsid w:val="00F5541F"/>
    <w:rsid w:val="00F55D5A"/>
    <w:rsid w:val="00F566B9"/>
    <w:rsid w:val="00F62242"/>
    <w:rsid w:val="00F63BB5"/>
    <w:rsid w:val="00F65454"/>
    <w:rsid w:val="00F7444A"/>
    <w:rsid w:val="00F744FD"/>
    <w:rsid w:val="00F766A8"/>
    <w:rsid w:val="00F77476"/>
    <w:rsid w:val="00F77ED8"/>
    <w:rsid w:val="00F77FC0"/>
    <w:rsid w:val="00F8252A"/>
    <w:rsid w:val="00F84E24"/>
    <w:rsid w:val="00F91405"/>
    <w:rsid w:val="00F92670"/>
    <w:rsid w:val="00F92E54"/>
    <w:rsid w:val="00F9314C"/>
    <w:rsid w:val="00F95EBE"/>
    <w:rsid w:val="00F961EA"/>
    <w:rsid w:val="00F9620C"/>
    <w:rsid w:val="00FA5AB5"/>
    <w:rsid w:val="00FB1005"/>
    <w:rsid w:val="00FB39F5"/>
    <w:rsid w:val="00FC019D"/>
    <w:rsid w:val="00FC1ECE"/>
    <w:rsid w:val="00FC6490"/>
    <w:rsid w:val="00FC671F"/>
    <w:rsid w:val="00FD2FAD"/>
    <w:rsid w:val="00FE4030"/>
    <w:rsid w:val="00FF0AA2"/>
    <w:rsid w:val="00FF5AF5"/>
    <w:rsid w:val="00FF5F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86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8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8D3"/>
    <w:pPr>
      <w:keepNext/>
      <w:jc w:val="center"/>
      <w:outlineLvl w:val="0"/>
    </w:pPr>
    <w:rPr>
      <w:b/>
      <w:bCs/>
    </w:rPr>
  </w:style>
  <w:style w:type="paragraph" w:styleId="Heading2">
    <w:name w:val="heading 2"/>
    <w:basedOn w:val="Normal"/>
    <w:next w:val="Normal"/>
    <w:link w:val="Heading2Char"/>
    <w:uiPriority w:val="9"/>
    <w:semiHidden/>
    <w:unhideWhenUsed/>
    <w:qFormat/>
    <w:rsid w:val="007635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35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8D3"/>
    <w:rPr>
      <w:rFonts w:ascii="Times New Roman" w:eastAsia="Times New Roman" w:hAnsi="Times New Roman" w:cs="Times New Roman"/>
      <w:b/>
      <w:bCs/>
      <w:sz w:val="24"/>
      <w:szCs w:val="24"/>
    </w:rPr>
  </w:style>
  <w:style w:type="paragraph" w:styleId="BodyText">
    <w:name w:val="Body Text"/>
    <w:basedOn w:val="Normal"/>
    <w:link w:val="BodyTextChar"/>
    <w:rsid w:val="000108D3"/>
    <w:pPr>
      <w:jc w:val="both"/>
    </w:pPr>
  </w:style>
  <w:style w:type="character" w:customStyle="1" w:styleId="BodyTextChar">
    <w:name w:val="Body Text Char"/>
    <w:basedOn w:val="DefaultParagraphFont"/>
    <w:link w:val="BodyText"/>
    <w:rsid w:val="000108D3"/>
    <w:rPr>
      <w:rFonts w:ascii="Times New Roman" w:eastAsia="Times New Roman" w:hAnsi="Times New Roman" w:cs="Times New Roman"/>
      <w:sz w:val="24"/>
      <w:szCs w:val="24"/>
    </w:rPr>
  </w:style>
  <w:style w:type="character" w:styleId="Hyperlink">
    <w:name w:val="Hyperlink"/>
    <w:basedOn w:val="DefaultParagraphFont"/>
    <w:uiPriority w:val="99"/>
    <w:rsid w:val="000108D3"/>
    <w:rPr>
      <w:color w:val="0000FF"/>
      <w:u w:val="single"/>
    </w:rPr>
  </w:style>
  <w:style w:type="paragraph" w:customStyle="1" w:styleId="Default">
    <w:name w:val="Default"/>
    <w:rsid w:val="000108D3"/>
    <w:pPr>
      <w:autoSpaceDE w:val="0"/>
      <w:autoSpaceDN w:val="0"/>
      <w:adjustRightInd w:val="0"/>
      <w:spacing w:after="0" w:line="240" w:lineRule="auto"/>
    </w:pPr>
    <w:rPr>
      <w:rFonts w:ascii="Verdana" w:hAnsi="Verdana" w:cs="Verdana"/>
      <w:color w:val="000000"/>
      <w:sz w:val="24"/>
      <w:szCs w:val="24"/>
    </w:rPr>
  </w:style>
  <w:style w:type="paragraph" w:styleId="TOCHeading">
    <w:name w:val="TOC Heading"/>
    <w:basedOn w:val="Heading1"/>
    <w:next w:val="Normal"/>
    <w:uiPriority w:val="39"/>
    <w:semiHidden/>
    <w:unhideWhenUsed/>
    <w:qFormat/>
    <w:rsid w:val="00E14845"/>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ja-JP"/>
    </w:rPr>
  </w:style>
  <w:style w:type="paragraph" w:styleId="TOC2">
    <w:name w:val="toc 2"/>
    <w:basedOn w:val="Normal"/>
    <w:next w:val="Normal"/>
    <w:autoRedefine/>
    <w:uiPriority w:val="39"/>
    <w:unhideWhenUsed/>
    <w:qFormat/>
    <w:rsid w:val="00E14845"/>
    <w:pPr>
      <w:spacing w:after="100" w:line="276" w:lineRule="auto"/>
      <w:ind w:left="220"/>
    </w:pPr>
    <w:rPr>
      <w:rFonts w:asciiTheme="minorHAnsi" w:eastAsiaTheme="minorEastAsia" w:hAnsiTheme="minorHAnsi" w:cstheme="minorBidi"/>
      <w:sz w:val="22"/>
      <w:szCs w:val="22"/>
      <w:lang w:val="en-US" w:eastAsia="ja-JP"/>
    </w:rPr>
  </w:style>
  <w:style w:type="paragraph" w:styleId="TOC1">
    <w:name w:val="toc 1"/>
    <w:basedOn w:val="Normal"/>
    <w:next w:val="Normal"/>
    <w:autoRedefine/>
    <w:uiPriority w:val="39"/>
    <w:unhideWhenUsed/>
    <w:qFormat/>
    <w:rsid w:val="00E14845"/>
    <w:pPr>
      <w:spacing w:after="100" w:line="276" w:lineRule="auto"/>
    </w:pPr>
    <w:rPr>
      <w:rFonts w:asciiTheme="minorHAnsi" w:eastAsiaTheme="minorEastAsia" w:hAnsiTheme="minorHAnsi" w:cstheme="minorBidi"/>
      <w:sz w:val="22"/>
      <w:szCs w:val="22"/>
      <w:lang w:val="en-US" w:eastAsia="ja-JP"/>
    </w:rPr>
  </w:style>
  <w:style w:type="paragraph" w:styleId="TOC3">
    <w:name w:val="toc 3"/>
    <w:basedOn w:val="Normal"/>
    <w:next w:val="Normal"/>
    <w:autoRedefine/>
    <w:uiPriority w:val="39"/>
    <w:unhideWhenUsed/>
    <w:qFormat/>
    <w:rsid w:val="005B17F2"/>
    <w:pPr>
      <w:spacing w:after="100" w:line="276" w:lineRule="auto"/>
    </w:pPr>
    <w:rPr>
      <w:rFonts w:asciiTheme="minorHAnsi" w:eastAsiaTheme="minorEastAsia" w:hAnsiTheme="minorHAnsi" w:cstheme="minorBidi"/>
      <w:b/>
      <w:i/>
      <w:szCs w:val="22"/>
      <w:lang w:val="en-US" w:eastAsia="ja-JP"/>
    </w:rPr>
  </w:style>
  <w:style w:type="paragraph" w:styleId="BalloonText">
    <w:name w:val="Balloon Text"/>
    <w:basedOn w:val="Normal"/>
    <w:link w:val="BalloonTextChar"/>
    <w:uiPriority w:val="99"/>
    <w:semiHidden/>
    <w:unhideWhenUsed/>
    <w:rsid w:val="00E14845"/>
    <w:rPr>
      <w:rFonts w:ascii="Tahoma" w:hAnsi="Tahoma" w:cs="Tahoma"/>
      <w:sz w:val="16"/>
      <w:szCs w:val="16"/>
    </w:rPr>
  </w:style>
  <w:style w:type="character" w:customStyle="1" w:styleId="BalloonTextChar">
    <w:name w:val="Balloon Text Char"/>
    <w:basedOn w:val="DefaultParagraphFont"/>
    <w:link w:val="BalloonText"/>
    <w:uiPriority w:val="99"/>
    <w:semiHidden/>
    <w:rsid w:val="00E14845"/>
    <w:rPr>
      <w:rFonts w:ascii="Tahoma" w:eastAsia="Times New Roman" w:hAnsi="Tahoma" w:cs="Tahoma"/>
      <w:sz w:val="16"/>
      <w:szCs w:val="16"/>
    </w:rPr>
  </w:style>
  <w:style w:type="paragraph" w:styleId="Header">
    <w:name w:val="header"/>
    <w:basedOn w:val="Normal"/>
    <w:link w:val="HeaderChar"/>
    <w:uiPriority w:val="99"/>
    <w:unhideWhenUsed/>
    <w:rsid w:val="00E14845"/>
    <w:pPr>
      <w:tabs>
        <w:tab w:val="center" w:pos="4513"/>
        <w:tab w:val="right" w:pos="9026"/>
      </w:tabs>
    </w:pPr>
  </w:style>
  <w:style w:type="character" w:customStyle="1" w:styleId="HeaderChar">
    <w:name w:val="Header Char"/>
    <w:basedOn w:val="DefaultParagraphFont"/>
    <w:link w:val="Header"/>
    <w:uiPriority w:val="99"/>
    <w:rsid w:val="00E1484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14845"/>
    <w:pPr>
      <w:tabs>
        <w:tab w:val="center" w:pos="4513"/>
        <w:tab w:val="right" w:pos="9026"/>
      </w:tabs>
    </w:pPr>
  </w:style>
  <w:style w:type="character" w:customStyle="1" w:styleId="FooterChar">
    <w:name w:val="Footer Char"/>
    <w:basedOn w:val="DefaultParagraphFont"/>
    <w:link w:val="Footer"/>
    <w:uiPriority w:val="99"/>
    <w:rsid w:val="00E14845"/>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635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63556"/>
    <w:rPr>
      <w:rFonts w:asciiTheme="majorHAnsi" w:eastAsiaTheme="majorEastAsia" w:hAnsiTheme="majorHAnsi" w:cstheme="majorBidi"/>
      <w:b/>
      <w:bCs/>
      <w:color w:val="4F81BD" w:themeColor="accent1"/>
      <w:sz w:val="24"/>
      <w:szCs w:val="24"/>
    </w:rPr>
  </w:style>
  <w:style w:type="paragraph" w:customStyle="1" w:styleId="Text">
    <w:name w:val="Text"/>
    <w:basedOn w:val="Default"/>
    <w:next w:val="Default"/>
    <w:uiPriority w:val="99"/>
    <w:rsid w:val="000B685D"/>
    <w:rPr>
      <w:rFonts w:ascii="Arial" w:hAnsi="Arial" w:cs="Arial"/>
      <w:color w:val="auto"/>
    </w:rPr>
  </w:style>
  <w:style w:type="paragraph" w:styleId="ListParagraph">
    <w:name w:val="List Paragraph"/>
    <w:basedOn w:val="Normal"/>
    <w:uiPriority w:val="34"/>
    <w:qFormat/>
    <w:rsid w:val="00F42067"/>
    <w:pPr>
      <w:ind w:left="720"/>
      <w:contextualSpacing/>
    </w:pPr>
  </w:style>
  <w:style w:type="paragraph" w:styleId="FootnoteText">
    <w:name w:val="footnote text"/>
    <w:basedOn w:val="Normal"/>
    <w:link w:val="FootnoteTextChar"/>
    <w:uiPriority w:val="99"/>
    <w:semiHidden/>
    <w:unhideWhenUsed/>
    <w:rsid w:val="007F479E"/>
    <w:rPr>
      <w:sz w:val="20"/>
      <w:szCs w:val="20"/>
    </w:rPr>
  </w:style>
  <w:style w:type="character" w:customStyle="1" w:styleId="FootnoteTextChar">
    <w:name w:val="Footnote Text Char"/>
    <w:basedOn w:val="DefaultParagraphFont"/>
    <w:link w:val="FootnoteText"/>
    <w:uiPriority w:val="99"/>
    <w:semiHidden/>
    <w:rsid w:val="007F479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F479E"/>
    <w:rPr>
      <w:vertAlign w:val="superscript"/>
    </w:rPr>
  </w:style>
  <w:style w:type="paragraph" w:customStyle="1" w:styleId="TextDotPoint">
    <w:name w:val="Text Dot Point"/>
    <w:basedOn w:val="Default"/>
    <w:next w:val="Default"/>
    <w:uiPriority w:val="99"/>
    <w:rsid w:val="00C524FA"/>
    <w:rPr>
      <w:rFonts w:ascii="Arial" w:hAnsi="Arial" w:cs="Arial"/>
      <w:color w:val="auto"/>
    </w:rPr>
  </w:style>
  <w:style w:type="paragraph" w:customStyle="1" w:styleId="Style14ptJustified">
    <w:name w:val="Style 14 pt Justified"/>
    <w:basedOn w:val="Normal"/>
    <w:rsid w:val="00860F2D"/>
    <w:pPr>
      <w:spacing w:after="200"/>
      <w:jc w:val="both"/>
    </w:pPr>
    <w:rPr>
      <w:sz w:val="28"/>
      <w:szCs w:val="20"/>
    </w:rPr>
  </w:style>
  <w:style w:type="table" w:customStyle="1" w:styleId="LightShading-Accent12">
    <w:name w:val="Light Shading - Accent 12"/>
    <w:basedOn w:val="TableNormal"/>
    <w:next w:val="LightShading-Accent1"/>
    <w:uiPriority w:val="60"/>
    <w:rsid w:val="003D63AC"/>
    <w:pPr>
      <w:spacing w:after="0" w:line="240" w:lineRule="auto"/>
    </w:pPr>
    <w:rPr>
      <w:rFonts w:ascii="Calibri" w:eastAsia="Times New Roman" w:hAnsi="Calibri" w:cs="Times New Roman"/>
      <w:color w:val="4F81BD"/>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1">
    <w:name w:val="Light Shading Accent 1"/>
    <w:basedOn w:val="TableNormal"/>
    <w:uiPriority w:val="60"/>
    <w:rsid w:val="003D63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A717A5"/>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EndnoteReference">
    <w:name w:val="endnote reference"/>
    <w:basedOn w:val="DefaultParagraphFont"/>
    <w:uiPriority w:val="99"/>
    <w:semiHidden/>
    <w:unhideWhenUsed/>
    <w:rsid w:val="00A717A5"/>
    <w:rPr>
      <w:vertAlign w:val="superscript"/>
    </w:rPr>
  </w:style>
  <w:style w:type="paragraph" w:customStyle="1" w:styleId="BodySectionSub">
    <w:name w:val="Body Section (Sub)"/>
    <w:next w:val="Normal"/>
    <w:link w:val="BodySectionSubChar"/>
    <w:rsid w:val="0095690E"/>
    <w:pPr>
      <w:overflowPunct w:val="0"/>
      <w:autoSpaceDE w:val="0"/>
      <w:autoSpaceDN w:val="0"/>
      <w:adjustRightInd w:val="0"/>
      <w:spacing w:before="120" w:after="0" w:line="240" w:lineRule="auto"/>
      <w:ind w:left="1361"/>
      <w:textAlignment w:val="baseline"/>
    </w:pPr>
    <w:rPr>
      <w:rFonts w:ascii="Times New Roman" w:eastAsia="Times New Roman" w:hAnsi="Times New Roman" w:cs="Times New Roman"/>
      <w:sz w:val="24"/>
      <w:szCs w:val="20"/>
    </w:rPr>
  </w:style>
  <w:style w:type="paragraph" w:customStyle="1" w:styleId="DraftHeading3">
    <w:name w:val="Draft Heading 3"/>
    <w:basedOn w:val="Normal"/>
    <w:next w:val="Normal"/>
    <w:rsid w:val="0095690E"/>
    <w:pPr>
      <w:overflowPunct w:val="0"/>
      <w:autoSpaceDE w:val="0"/>
      <w:autoSpaceDN w:val="0"/>
      <w:adjustRightInd w:val="0"/>
      <w:spacing w:before="120"/>
      <w:textAlignment w:val="baseline"/>
    </w:pPr>
    <w:rPr>
      <w:szCs w:val="20"/>
    </w:rPr>
  </w:style>
  <w:style w:type="paragraph" w:styleId="EndnoteText">
    <w:name w:val="endnote text"/>
    <w:basedOn w:val="Normal"/>
    <w:link w:val="EndnoteTextChar"/>
    <w:semiHidden/>
    <w:rsid w:val="0095690E"/>
    <w:pPr>
      <w:suppressLineNumbers/>
      <w:tabs>
        <w:tab w:val="left" w:pos="426"/>
      </w:tabs>
      <w:overflowPunct w:val="0"/>
      <w:autoSpaceDE w:val="0"/>
      <w:autoSpaceDN w:val="0"/>
      <w:adjustRightInd w:val="0"/>
      <w:spacing w:before="120"/>
      <w:textAlignment w:val="baseline"/>
    </w:pPr>
    <w:rPr>
      <w:sz w:val="20"/>
      <w:szCs w:val="20"/>
    </w:rPr>
  </w:style>
  <w:style w:type="character" w:customStyle="1" w:styleId="EndnoteTextChar">
    <w:name w:val="Endnote Text Char"/>
    <w:basedOn w:val="DefaultParagraphFont"/>
    <w:link w:val="EndnoteText"/>
    <w:semiHidden/>
    <w:rsid w:val="0095690E"/>
    <w:rPr>
      <w:rFonts w:ascii="Times New Roman" w:eastAsia="Times New Roman" w:hAnsi="Times New Roman" w:cs="Times New Roman"/>
      <w:sz w:val="20"/>
      <w:szCs w:val="20"/>
    </w:rPr>
  </w:style>
  <w:style w:type="character" w:customStyle="1" w:styleId="BodySectionSubChar">
    <w:name w:val="Body Section (Sub) Char"/>
    <w:basedOn w:val="DefaultParagraphFont"/>
    <w:link w:val="BodySectionSub"/>
    <w:rsid w:val="0095690E"/>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D017E8"/>
    <w:pPr>
      <w:spacing w:after="120"/>
      <w:ind w:left="283"/>
    </w:pPr>
  </w:style>
  <w:style w:type="character" w:customStyle="1" w:styleId="BodyTextIndentChar">
    <w:name w:val="Body Text Indent Char"/>
    <w:basedOn w:val="DefaultParagraphFont"/>
    <w:link w:val="BodyTextIndent"/>
    <w:uiPriority w:val="99"/>
    <w:semiHidden/>
    <w:rsid w:val="00D017E8"/>
    <w:rPr>
      <w:rFonts w:ascii="Times New Roman" w:eastAsia="Times New Roman" w:hAnsi="Times New Roman" w:cs="Times New Roman"/>
      <w:sz w:val="24"/>
      <w:szCs w:val="24"/>
    </w:rPr>
  </w:style>
  <w:style w:type="table" w:styleId="TableGrid">
    <w:name w:val="Table Grid"/>
    <w:basedOn w:val="TableNormal"/>
    <w:uiPriority w:val="59"/>
    <w:rsid w:val="0094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0E20"/>
    <w:rPr>
      <w:sz w:val="16"/>
      <w:szCs w:val="16"/>
    </w:rPr>
  </w:style>
  <w:style w:type="paragraph" w:styleId="CommentText">
    <w:name w:val="annotation text"/>
    <w:basedOn w:val="Normal"/>
    <w:link w:val="CommentTextChar"/>
    <w:uiPriority w:val="99"/>
    <w:semiHidden/>
    <w:unhideWhenUsed/>
    <w:rsid w:val="00560E20"/>
    <w:rPr>
      <w:sz w:val="20"/>
      <w:szCs w:val="20"/>
    </w:rPr>
  </w:style>
  <w:style w:type="character" w:customStyle="1" w:styleId="CommentTextChar">
    <w:name w:val="Comment Text Char"/>
    <w:basedOn w:val="DefaultParagraphFont"/>
    <w:link w:val="CommentText"/>
    <w:uiPriority w:val="99"/>
    <w:semiHidden/>
    <w:rsid w:val="00560E2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60E20"/>
    <w:rPr>
      <w:b/>
      <w:bCs/>
    </w:rPr>
  </w:style>
  <w:style w:type="character" w:customStyle="1" w:styleId="CommentSubjectChar">
    <w:name w:val="Comment Subject Char"/>
    <w:basedOn w:val="CommentTextChar"/>
    <w:link w:val="CommentSubject"/>
    <w:uiPriority w:val="99"/>
    <w:semiHidden/>
    <w:rsid w:val="00560E20"/>
    <w:rPr>
      <w:rFonts w:ascii="Times New Roman" w:eastAsia="Times New Roman" w:hAnsi="Times New Roman" w:cs="Times New Roman"/>
      <w:b/>
      <w:bCs/>
      <w:sz w:val="20"/>
      <w:szCs w:val="20"/>
    </w:rPr>
  </w:style>
  <w:style w:type="paragraph" w:styleId="Revision">
    <w:name w:val="Revision"/>
    <w:hidden/>
    <w:uiPriority w:val="99"/>
    <w:semiHidden/>
    <w:rsid w:val="00560E20"/>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8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08D3"/>
    <w:pPr>
      <w:keepNext/>
      <w:jc w:val="center"/>
      <w:outlineLvl w:val="0"/>
    </w:pPr>
    <w:rPr>
      <w:b/>
      <w:bCs/>
    </w:rPr>
  </w:style>
  <w:style w:type="paragraph" w:styleId="Heading2">
    <w:name w:val="heading 2"/>
    <w:basedOn w:val="Normal"/>
    <w:next w:val="Normal"/>
    <w:link w:val="Heading2Char"/>
    <w:uiPriority w:val="9"/>
    <w:semiHidden/>
    <w:unhideWhenUsed/>
    <w:qFormat/>
    <w:rsid w:val="007635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35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8D3"/>
    <w:rPr>
      <w:rFonts w:ascii="Times New Roman" w:eastAsia="Times New Roman" w:hAnsi="Times New Roman" w:cs="Times New Roman"/>
      <w:b/>
      <w:bCs/>
      <w:sz w:val="24"/>
      <w:szCs w:val="24"/>
    </w:rPr>
  </w:style>
  <w:style w:type="paragraph" w:styleId="BodyText">
    <w:name w:val="Body Text"/>
    <w:basedOn w:val="Normal"/>
    <w:link w:val="BodyTextChar"/>
    <w:rsid w:val="000108D3"/>
    <w:pPr>
      <w:jc w:val="both"/>
    </w:pPr>
  </w:style>
  <w:style w:type="character" w:customStyle="1" w:styleId="BodyTextChar">
    <w:name w:val="Body Text Char"/>
    <w:basedOn w:val="DefaultParagraphFont"/>
    <w:link w:val="BodyText"/>
    <w:rsid w:val="000108D3"/>
    <w:rPr>
      <w:rFonts w:ascii="Times New Roman" w:eastAsia="Times New Roman" w:hAnsi="Times New Roman" w:cs="Times New Roman"/>
      <w:sz w:val="24"/>
      <w:szCs w:val="24"/>
    </w:rPr>
  </w:style>
  <w:style w:type="character" w:styleId="Hyperlink">
    <w:name w:val="Hyperlink"/>
    <w:basedOn w:val="DefaultParagraphFont"/>
    <w:uiPriority w:val="99"/>
    <w:rsid w:val="000108D3"/>
    <w:rPr>
      <w:color w:val="0000FF"/>
      <w:u w:val="single"/>
    </w:rPr>
  </w:style>
  <w:style w:type="paragraph" w:customStyle="1" w:styleId="Default">
    <w:name w:val="Default"/>
    <w:rsid w:val="000108D3"/>
    <w:pPr>
      <w:autoSpaceDE w:val="0"/>
      <w:autoSpaceDN w:val="0"/>
      <w:adjustRightInd w:val="0"/>
      <w:spacing w:after="0" w:line="240" w:lineRule="auto"/>
    </w:pPr>
    <w:rPr>
      <w:rFonts w:ascii="Verdana" w:hAnsi="Verdana" w:cs="Verdana"/>
      <w:color w:val="000000"/>
      <w:sz w:val="24"/>
      <w:szCs w:val="24"/>
    </w:rPr>
  </w:style>
  <w:style w:type="paragraph" w:styleId="TOCHeading">
    <w:name w:val="TOC Heading"/>
    <w:basedOn w:val="Heading1"/>
    <w:next w:val="Normal"/>
    <w:uiPriority w:val="39"/>
    <w:semiHidden/>
    <w:unhideWhenUsed/>
    <w:qFormat/>
    <w:rsid w:val="00E14845"/>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ja-JP"/>
    </w:rPr>
  </w:style>
  <w:style w:type="paragraph" w:styleId="TOC2">
    <w:name w:val="toc 2"/>
    <w:basedOn w:val="Normal"/>
    <w:next w:val="Normal"/>
    <w:autoRedefine/>
    <w:uiPriority w:val="39"/>
    <w:unhideWhenUsed/>
    <w:qFormat/>
    <w:rsid w:val="00E14845"/>
    <w:pPr>
      <w:spacing w:after="100" w:line="276" w:lineRule="auto"/>
      <w:ind w:left="220"/>
    </w:pPr>
    <w:rPr>
      <w:rFonts w:asciiTheme="minorHAnsi" w:eastAsiaTheme="minorEastAsia" w:hAnsiTheme="minorHAnsi" w:cstheme="minorBidi"/>
      <w:sz w:val="22"/>
      <w:szCs w:val="22"/>
      <w:lang w:val="en-US" w:eastAsia="ja-JP"/>
    </w:rPr>
  </w:style>
  <w:style w:type="paragraph" w:styleId="TOC1">
    <w:name w:val="toc 1"/>
    <w:basedOn w:val="Normal"/>
    <w:next w:val="Normal"/>
    <w:autoRedefine/>
    <w:uiPriority w:val="39"/>
    <w:unhideWhenUsed/>
    <w:qFormat/>
    <w:rsid w:val="00E14845"/>
    <w:pPr>
      <w:spacing w:after="100" w:line="276" w:lineRule="auto"/>
    </w:pPr>
    <w:rPr>
      <w:rFonts w:asciiTheme="minorHAnsi" w:eastAsiaTheme="minorEastAsia" w:hAnsiTheme="minorHAnsi" w:cstheme="minorBidi"/>
      <w:sz w:val="22"/>
      <w:szCs w:val="22"/>
      <w:lang w:val="en-US" w:eastAsia="ja-JP"/>
    </w:rPr>
  </w:style>
  <w:style w:type="paragraph" w:styleId="TOC3">
    <w:name w:val="toc 3"/>
    <w:basedOn w:val="Normal"/>
    <w:next w:val="Normal"/>
    <w:autoRedefine/>
    <w:uiPriority w:val="39"/>
    <w:unhideWhenUsed/>
    <w:qFormat/>
    <w:rsid w:val="005B17F2"/>
    <w:pPr>
      <w:spacing w:after="100" w:line="276" w:lineRule="auto"/>
    </w:pPr>
    <w:rPr>
      <w:rFonts w:asciiTheme="minorHAnsi" w:eastAsiaTheme="minorEastAsia" w:hAnsiTheme="minorHAnsi" w:cstheme="minorBidi"/>
      <w:b/>
      <w:i/>
      <w:szCs w:val="22"/>
      <w:lang w:val="en-US" w:eastAsia="ja-JP"/>
    </w:rPr>
  </w:style>
  <w:style w:type="paragraph" w:styleId="BalloonText">
    <w:name w:val="Balloon Text"/>
    <w:basedOn w:val="Normal"/>
    <w:link w:val="BalloonTextChar"/>
    <w:uiPriority w:val="99"/>
    <w:semiHidden/>
    <w:unhideWhenUsed/>
    <w:rsid w:val="00E14845"/>
    <w:rPr>
      <w:rFonts w:ascii="Tahoma" w:hAnsi="Tahoma" w:cs="Tahoma"/>
      <w:sz w:val="16"/>
      <w:szCs w:val="16"/>
    </w:rPr>
  </w:style>
  <w:style w:type="character" w:customStyle="1" w:styleId="BalloonTextChar">
    <w:name w:val="Balloon Text Char"/>
    <w:basedOn w:val="DefaultParagraphFont"/>
    <w:link w:val="BalloonText"/>
    <w:uiPriority w:val="99"/>
    <w:semiHidden/>
    <w:rsid w:val="00E14845"/>
    <w:rPr>
      <w:rFonts w:ascii="Tahoma" w:eastAsia="Times New Roman" w:hAnsi="Tahoma" w:cs="Tahoma"/>
      <w:sz w:val="16"/>
      <w:szCs w:val="16"/>
    </w:rPr>
  </w:style>
  <w:style w:type="paragraph" w:styleId="Header">
    <w:name w:val="header"/>
    <w:basedOn w:val="Normal"/>
    <w:link w:val="HeaderChar"/>
    <w:uiPriority w:val="99"/>
    <w:unhideWhenUsed/>
    <w:rsid w:val="00E14845"/>
    <w:pPr>
      <w:tabs>
        <w:tab w:val="center" w:pos="4513"/>
        <w:tab w:val="right" w:pos="9026"/>
      </w:tabs>
    </w:pPr>
  </w:style>
  <w:style w:type="character" w:customStyle="1" w:styleId="HeaderChar">
    <w:name w:val="Header Char"/>
    <w:basedOn w:val="DefaultParagraphFont"/>
    <w:link w:val="Header"/>
    <w:uiPriority w:val="99"/>
    <w:rsid w:val="00E1484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14845"/>
    <w:pPr>
      <w:tabs>
        <w:tab w:val="center" w:pos="4513"/>
        <w:tab w:val="right" w:pos="9026"/>
      </w:tabs>
    </w:pPr>
  </w:style>
  <w:style w:type="character" w:customStyle="1" w:styleId="FooterChar">
    <w:name w:val="Footer Char"/>
    <w:basedOn w:val="DefaultParagraphFont"/>
    <w:link w:val="Footer"/>
    <w:uiPriority w:val="99"/>
    <w:rsid w:val="00E14845"/>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635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63556"/>
    <w:rPr>
      <w:rFonts w:asciiTheme="majorHAnsi" w:eastAsiaTheme="majorEastAsia" w:hAnsiTheme="majorHAnsi" w:cstheme="majorBidi"/>
      <w:b/>
      <w:bCs/>
      <w:color w:val="4F81BD" w:themeColor="accent1"/>
      <w:sz w:val="24"/>
      <w:szCs w:val="24"/>
    </w:rPr>
  </w:style>
  <w:style w:type="paragraph" w:customStyle="1" w:styleId="Text">
    <w:name w:val="Text"/>
    <w:basedOn w:val="Default"/>
    <w:next w:val="Default"/>
    <w:uiPriority w:val="99"/>
    <w:rsid w:val="000B685D"/>
    <w:rPr>
      <w:rFonts w:ascii="Arial" w:hAnsi="Arial" w:cs="Arial"/>
      <w:color w:val="auto"/>
    </w:rPr>
  </w:style>
  <w:style w:type="paragraph" w:styleId="ListParagraph">
    <w:name w:val="List Paragraph"/>
    <w:basedOn w:val="Normal"/>
    <w:uiPriority w:val="34"/>
    <w:qFormat/>
    <w:rsid w:val="00F42067"/>
    <w:pPr>
      <w:ind w:left="720"/>
      <w:contextualSpacing/>
    </w:pPr>
  </w:style>
  <w:style w:type="paragraph" w:styleId="FootnoteText">
    <w:name w:val="footnote text"/>
    <w:basedOn w:val="Normal"/>
    <w:link w:val="FootnoteTextChar"/>
    <w:uiPriority w:val="99"/>
    <w:semiHidden/>
    <w:unhideWhenUsed/>
    <w:rsid w:val="007F479E"/>
    <w:rPr>
      <w:sz w:val="20"/>
      <w:szCs w:val="20"/>
    </w:rPr>
  </w:style>
  <w:style w:type="character" w:customStyle="1" w:styleId="FootnoteTextChar">
    <w:name w:val="Footnote Text Char"/>
    <w:basedOn w:val="DefaultParagraphFont"/>
    <w:link w:val="FootnoteText"/>
    <w:uiPriority w:val="99"/>
    <w:semiHidden/>
    <w:rsid w:val="007F479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F479E"/>
    <w:rPr>
      <w:vertAlign w:val="superscript"/>
    </w:rPr>
  </w:style>
  <w:style w:type="paragraph" w:customStyle="1" w:styleId="TextDotPoint">
    <w:name w:val="Text Dot Point"/>
    <w:basedOn w:val="Default"/>
    <w:next w:val="Default"/>
    <w:uiPriority w:val="99"/>
    <w:rsid w:val="00C524FA"/>
    <w:rPr>
      <w:rFonts w:ascii="Arial" w:hAnsi="Arial" w:cs="Arial"/>
      <w:color w:val="auto"/>
    </w:rPr>
  </w:style>
  <w:style w:type="paragraph" w:customStyle="1" w:styleId="Style14ptJustified">
    <w:name w:val="Style 14 pt Justified"/>
    <w:basedOn w:val="Normal"/>
    <w:rsid w:val="00860F2D"/>
    <w:pPr>
      <w:spacing w:after="200"/>
      <w:jc w:val="both"/>
    </w:pPr>
    <w:rPr>
      <w:sz w:val="28"/>
      <w:szCs w:val="20"/>
    </w:rPr>
  </w:style>
  <w:style w:type="table" w:customStyle="1" w:styleId="LightShading-Accent12">
    <w:name w:val="Light Shading - Accent 12"/>
    <w:basedOn w:val="TableNormal"/>
    <w:next w:val="LightShading-Accent1"/>
    <w:uiPriority w:val="60"/>
    <w:rsid w:val="003D63AC"/>
    <w:pPr>
      <w:spacing w:after="0" w:line="240" w:lineRule="auto"/>
    </w:pPr>
    <w:rPr>
      <w:rFonts w:ascii="Calibri" w:eastAsia="Times New Roman" w:hAnsi="Calibri" w:cs="Times New Roman"/>
      <w:color w:val="4F81BD"/>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1">
    <w:name w:val="Light Shading Accent 1"/>
    <w:basedOn w:val="TableNormal"/>
    <w:uiPriority w:val="60"/>
    <w:rsid w:val="003D63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A717A5"/>
    <w:pPr>
      <w:spacing w:after="0" w:line="240" w:lineRule="auto"/>
    </w:pPr>
    <w:rPr>
      <w:rFonts w:asciiTheme="majorHAnsi" w:eastAsiaTheme="majorEastAsia" w:hAnsiTheme="majorHAnsi" w:cstheme="majorBidi"/>
      <w:color w:val="000000" w:themeColor="text1"/>
      <w:sz w:val="20"/>
      <w:szCs w:val="20"/>
      <w:lang w:eastAsia="en-AU"/>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EndnoteReference">
    <w:name w:val="endnote reference"/>
    <w:basedOn w:val="DefaultParagraphFont"/>
    <w:uiPriority w:val="99"/>
    <w:semiHidden/>
    <w:unhideWhenUsed/>
    <w:rsid w:val="00A717A5"/>
    <w:rPr>
      <w:vertAlign w:val="superscript"/>
    </w:rPr>
  </w:style>
  <w:style w:type="paragraph" w:customStyle="1" w:styleId="BodySectionSub">
    <w:name w:val="Body Section (Sub)"/>
    <w:next w:val="Normal"/>
    <w:link w:val="BodySectionSubChar"/>
    <w:rsid w:val="0095690E"/>
    <w:pPr>
      <w:overflowPunct w:val="0"/>
      <w:autoSpaceDE w:val="0"/>
      <w:autoSpaceDN w:val="0"/>
      <w:adjustRightInd w:val="0"/>
      <w:spacing w:before="120" w:after="0" w:line="240" w:lineRule="auto"/>
      <w:ind w:left="1361"/>
      <w:textAlignment w:val="baseline"/>
    </w:pPr>
    <w:rPr>
      <w:rFonts w:ascii="Times New Roman" w:eastAsia="Times New Roman" w:hAnsi="Times New Roman" w:cs="Times New Roman"/>
      <w:sz w:val="24"/>
      <w:szCs w:val="20"/>
    </w:rPr>
  </w:style>
  <w:style w:type="paragraph" w:customStyle="1" w:styleId="DraftHeading3">
    <w:name w:val="Draft Heading 3"/>
    <w:basedOn w:val="Normal"/>
    <w:next w:val="Normal"/>
    <w:rsid w:val="0095690E"/>
    <w:pPr>
      <w:overflowPunct w:val="0"/>
      <w:autoSpaceDE w:val="0"/>
      <w:autoSpaceDN w:val="0"/>
      <w:adjustRightInd w:val="0"/>
      <w:spacing w:before="120"/>
      <w:textAlignment w:val="baseline"/>
    </w:pPr>
    <w:rPr>
      <w:szCs w:val="20"/>
    </w:rPr>
  </w:style>
  <w:style w:type="paragraph" w:styleId="EndnoteText">
    <w:name w:val="endnote text"/>
    <w:basedOn w:val="Normal"/>
    <w:link w:val="EndnoteTextChar"/>
    <w:semiHidden/>
    <w:rsid w:val="0095690E"/>
    <w:pPr>
      <w:suppressLineNumbers/>
      <w:tabs>
        <w:tab w:val="left" w:pos="426"/>
      </w:tabs>
      <w:overflowPunct w:val="0"/>
      <w:autoSpaceDE w:val="0"/>
      <w:autoSpaceDN w:val="0"/>
      <w:adjustRightInd w:val="0"/>
      <w:spacing w:before="120"/>
      <w:textAlignment w:val="baseline"/>
    </w:pPr>
    <w:rPr>
      <w:sz w:val="20"/>
      <w:szCs w:val="20"/>
    </w:rPr>
  </w:style>
  <w:style w:type="character" w:customStyle="1" w:styleId="EndnoteTextChar">
    <w:name w:val="Endnote Text Char"/>
    <w:basedOn w:val="DefaultParagraphFont"/>
    <w:link w:val="EndnoteText"/>
    <w:semiHidden/>
    <w:rsid w:val="0095690E"/>
    <w:rPr>
      <w:rFonts w:ascii="Times New Roman" w:eastAsia="Times New Roman" w:hAnsi="Times New Roman" w:cs="Times New Roman"/>
      <w:sz w:val="20"/>
      <w:szCs w:val="20"/>
    </w:rPr>
  </w:style>
  <w:style w:type="character" w:customStyle="1" w:styleId="BodySectionSubChar">
    <w:name w:val="Body Section (Sub) Char"/>
    <w:basedOn w:val="DefaultParagraphFont"/>
    <w:link w:val="BodySectionSub"/>
    <w:rsid w:val="0095690E"/>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D017E8"/>
    <w:pPr>
      <w:spacing w:after="120"/>
      <w:ind w:left="283"/>
    </w:pPr>
  </w:style>
  <w:style w:type="character" w:customStyle="1" w:styleId="BodyTextIndentChar">
    <w:name w:val="Body Text Indent Char"/>
    <w:basedOn w:val="DefaultParagraphFont"/>
    <w:link w:val="BodyTextIndent"/>
    <w:uiPriority w:val="99"/>
    <w:semiHidden/>
    <w:rsid w:val="00D017E8"/>
    <w:rPr>
      <w:rFonts w:ascii="Times New Roman" w:eastAsia="Times New Roman" w:hAnsi="Times New Roman" w:cs="Times New Roman"/>
      <w:sz w:val="24"/>
      <w:szCs w:val="24"/>
    </w:rPr>
  </w:style>
  <w:style w:type="table" w:styleId="TableGrid">
    <w:name w:val="Table Grid"/>
    <w:basedOn w:val="TableNormal"/>
    <w:uiPriority w:val="59"/>
    <w:rsid w:val="0094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0E20"/>
    <w:rPr>
      <w:sz w:val="16"/>
      <w:szCs w:val="16"/>
    </w:rPr>
  </w:style>
  <w:style w:type="paragraph" w:styleId="CommentText">
    <w:name w:val="annotation text"/>
    <w:basedOn w:val="Normal"/>
    <w:link w:val="CommentTextChar"/>
    <w:uiPriority w:val="99"/>
    <w:semiHidden/>
    <w:unhideWhenUsed/>
    <w:rsid w:val="00560E20"/>
    <w:rPr>
      <w:sz w:val="20"/>
      <w:szCs w:val="20"/>
    </w:rPr>
  </w:style>
  <w:style w:type="character" w:customStyle="1" w:styleId="CommentTextChar">
    <w:name w:val="Comment Text Char"/>
    <w:basedOn w:val="DefaultParagraphFont"/>
    <w:link w:val="CommentText"/>
    <w:uiPriority w:val="99"/>
    <w:semiHidden/>
    <w:rsid w:val="00560E2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60E20"/>
    <w:rPr>
      <w:b/>
      <w:bCs/>
    </w:rPr>
  </w:style>
  <w:style w:type="character" w:customStyle="1" w:styleId="CommentSubjectChar">
    <w:name w:val="Comment Subject Char"/>
    <w:basedOn w:val="CommentTextChar"/>
    <w:link w:val="CommentSubject"/>
    <w:uiPriority w:val="99"/>
    <w:semiHidden/>
    <w:rsid w:val="00560E20"/>
    <w:rPr>
      <w:rFonts w:ascii="Times New Roman" w:eastAsia="Times New Roman" w:hAnsi="Times New Roman" w:cs="Times New Roman"/>
      <w:b/>
      <w:bCs/>
      <w:sz w:val="20"/>
      <w:szCs w:val="20"/>
    </w:rPr>
  </w:style>
  <w:style w:type="paragraph" w:styleId="Revision">
    <w:name w:val="Revision"/>
    <w:hidden/>
    <w:uiPriority w:val="99"/>
    <w:semiHidden/>
    <w:rsid w:val="00560E2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25753">
      <w:bodyDiv w:val="1"/>
      <w:marLeft w:val="0"/>
      <w:marRight w:val="0"/>
      <w:marTop w:val="0"/>
      <w:marBottom w:val="0"/>
      <w:divBdr>
        <w:top w:val="none" w:sz="0" w:space="0" w:color="auto"/>
        <w:left w:val="none" w:sz="0" w:space="0" w:color="auto"/>
        <w:bottom w:val="none" w:sz="0" w:space="0" w:color="auto"/>
        <w:right w:val="none" w:sz="0" w:space="0" w:color="auto"/>
      </w:divBdr>
    </w:div>
    <w:div w:id="1004893467">
      <w:bodyDiv w:val="1"/>
      <w:marLeft w:val="0"/>
      <w:marRight w:val="0"/>
      <w:marTop w:val="0"/>
      <w:marBottom w:val="0"/>
      <w:divBdr>
        <w:top w:val="none" w:sz="0" w:space="0" w:color="auto"/>
        <w:left w:val="none" w:sz="0" w:space="0" w:color="auto"/>
        <w:bottom w:val="none" w:sz="0" w:space="0" w:color="auto"/>
        <w:right w:val="none" w:sz="0" w:space="0" w:color="auto"/>
      </w:divBdr>
    </w:div>
    <w:div w:id="1309213239">
      <w:bodyDiv w:val="1"/>
      <w:marLeft w:val="0"/>
      <w:marRight w:val="0"/>
      <w:marTop w:val="0"/>
      <w:marBottom w:val="0"/>
      <w:divBdr>
        <w:top w:val="none" w:sz="0" w:space="0" w:color="auto"/>
        <w:left w:val="none" w:sz="0" w:space="0" w:color="auto"/>
        <w:bottom w:val="none" w:sz="0" w:space="0" w:color="auto"/>
        <w:right w:val="none" w:sz="0" w:space="0" w:color="auto"/>
      </w:divBdr>
    </w:div>
    <w:div w:id="1467234109">
      <w:bodyDiv w:val="1"/>
      <w:marLeft w:val="0"/>
      <w:marRight w:val="0"/>
      <w:marTop w:val="0"/>
      <w:marBottom w:val="0"/>
      <w:divBdr>
        <w:top w:val="none" w:sz="0" w:space="0" w:color="auto"/>
        <w:left w:val="none" w:sz="0" w:space="0" w:color="auto"/>
        <w:bottom w:val="none" w:sz="0" w:space="0" w:color="auto"/>
        <w:right w:val="none" w:sz="0" w:space="0" w:color="auto"/>
      </w:divBdr>
    </w:div>
    <w:div w:id="1651595207">
      <w:bodyDiv w:val="1"/>
      <w:marLeft w:val="0"/>
      <w:marRight w:val="0"/>
      <w:marTop w:val="0"/>
      <w:marBottom w:val="0"/>
      <w:divBdr>
        <w:top w:val="none" w:sz="0" w:space="0" w:color="auto"/>
        <w:left w:val="none" w:sz="0" w:space="0" w:color="auto"/>
        <w:bottom w:val="none" w:sz="0" w:space="0" w:color="auto"/>
        <w:right w:val="none" w:sz="0" w:space="0" w:color="auto"/>
      </w:divBdr>
    </w:div>
    <w:div w:id="198365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andtaxregulations@sro.vic.gov.a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andtaxregulations@sro.vic.gov.a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D26AF-92F5-4B7A-8433-5E0B29A54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10118</Words>
  <Characters>57677</Characters>
  <Application>Microsoft Office Word</Application>
  <DocSecurity>12</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State Revenue Office</Company>
  <LinksUpToDate>false</LinksUpToDate>
  <CharactersWithSpaces>67660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Biggin</dc:creator>
  <cp:lastModifiedBy>Emily Biggin</cp:lastModifiedBy>
  <cp:revision>2</cp:revision>
  <cp:lastPrinted>2015-10-12T03:39:00Z</cp:lastPrinted>
  <dcterms:created xsi:type="dcterms:W3CDTF">2015-10-28T04:38:00Z</dcterms:created>
  <dcterms:modified xsi:type="dcterms:W3CDTF">2015-10-28T04:38:00Z</dcterms:modified>
</cp:coreProperties>
</file>