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5.xml" ContentType="application/vnd.openxmlformats-officedocument.wordprocessingml.header+xml"/>
  <Override PartName="/word/footer1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6.xml" ContentType="application/vnd.openxmlformats-officedocument.wordprocessingml.header+xml"/>
  <Override PartName="/word/header1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8.xml" ContentType="application/vnd.openxmlformats-officedocument.wordprocessingml.header+xml"/>
  <Override PartName="/word/footer16.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2.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3AE" w:rsidRPr="00DD7BCE" w:rsidRDefault="00BE03AE" w:rsidP="000A3B6C">
      <w:pPr>
        <w:pStyle w:val="CoverOutcomeHeadline"/>
        <w:numPr>
          <w:ilvl w:val="0"/>
          <w:numId w:val="26"/>
        </w:numPr>
        <w:spacing w:before="0"/>
        <w:rPr>
          <w:color w:val="auto"/>
          <w:sz w:val="52"/>
          <w:szCs w:val="52"/>
          <w:highlight w:val="yellow"/>
        </w:rPr>
      </w:pPr>
      <w:bookmarkStart w:id="0" w:name="_GoBack"/>
      <w:bookmarkEnd w:id="0"/>
      <w:r w:rsidRPr="00FC724A">
        <w:rPr>
          <w:sz w:val="68"/>
          <w:szCs w:val="68"/>
        </w:rPr>
        <w:t>R</w:t>
      </w:r>
      <w:r w:rsidR="005C5CE7" w:rsidRPr="00FC724A">
        <w:rPr>
          <w:sz w:val="68"/>
          <w:szCs w:val="68"/>
        </w:rPr>
        <w:t>egulatory Impact Statement</w:t>
      </w:r>
      <w:r w:rsidRPr="00FC724A">
        <w:rPr>
          <w:sz w:val="68"/>
          <w:szCs w:val="68"/>
        </w:rPr>
        <w:t xml:space="preserve"> on proposed new public holidays in Victoria</w:t>
      </w:r>
    </w:p>
    <w:p w:rsidR="00BE03AE" w:rsidRPr="009955A6" w:rsidRDefault="00BE03AE" w:rsidP="00BE03AE">
      <w:pPr>
        <w:pStyle w:val="Covertitle"/>
        <w:framePr w:wrap="notBeside"/>
      </w:pPr>
      <w:r w:rsidRPr="009955A6">
        <w:t>Department of Economic Development, Jobs, Transport and Resources</w:t>
      </w:r>
    </w:p>
    <w:p w:rsidR="00BE03AE" w:rsidRPr="009955A6" w:rsidRDefault="00BE03AE" w:rsidP="00BE03AE">
      <w:pPr>
        <w:pStyle w:val="Coversubtitle"/>
        <w:framePr w:wrap="notBeside"/>
      </w:pPr>
    </w:p>
    <w:p w:rsidR="00E27E5B" w:rsidRPr="009955A6" w:rsidRDefault="00602F76" w:rsidP="00BE03AE">
      <w:pPr>
        <w:pStyle w:val="CoverDate"/>
        <w:framePr w:wrap="notBeside"/>
      </w:pPr>
      <w:r w:rsidRPr="009955A6">
        <w:t>July</w:t>
      </w:r>
      <w:r w:rsidR="00BE03AE" w:rsidRPr="009955A6">
        <w:t xml:space="preserve"> 2015</w:t>
      </w:r>
    </w:p>
    <w:p w:rsidR="00E27E5B" w:rsidRPr="009955A6" w:rsidRDefault="00E27E5B" w:rsidP="007625E6">
      <w:pPr>
        <w:pStyle w:val="Coverpulloutframe"/>
        <w:framePr w:wrap="notBeside"/>
      </w:pPr>
    </w:p>
    <w:p w:rsidR="009B3E02" w:rsidRPr="009955A6" w:rsidRDefault="009B3E02" w:rsidP="00275248">
      <w:pPr>
        <w:pStyle w:val="PwCNormal"/>
        <w:numPr>
          <w:ilvl w:val="0"/>
          <w:numId w:val="0"/>
        </w:numPr>
      </w:pPr>
    </w:p>
    <w:p w:rsidR="00695B02" w:rsidRPr="009955A6" w:rsidRDefault="00695B02" w:rsidP="00695B02">
      <w:pPr>
        <w:pStyle w:val="PwCNormal"/>
        <w:numPr>
          <w:ilvl w:val="0"/>
          <w:numId w:val="0"/>
        </w:numPr>
        <w:sectPr w:rsidR="00695B02" w:rsidRPr="009955A6" w:rsidSect="00F81690">
          <w:headerReference w:type="even" r:id="rId9"/>
          <w:headerReference w:type="default" r:id="rId10"/>
          <w:headerReference w:type="first" r:id="rId11"/>
          <w:footerReference w:type="first" r:id="rId12"/>
          <w:pgSz w:w="11907" w:h="16840" w:code="9"/>
          <w:pgMar w:top="2552" w:right="1021" w:bottom="1134" w:left="3317" w:header="397" w:footer="567" w:gutter="227"/>
          <w:pgNumType w:start="1"/>
          <w:cols w:space="708"/>
          <w:titlePg/>
          <w:docGrid w:linePitch="360"/>
        </w:sectPr>
      </w:pPr>
    </w:p>
    <w:p w:rsidR="003711BD" w:rsidRDefault="003711BD" w:rsidP="003711BD">
      <w:pPr>
        <w:pStyle w:val="PrefaceTitle"/>
      </w:pPr>
      <w:bookmarkStart w:id="1" w:name="_Toc423453461"/>
      <w:bookmarkStart w:id="2" w:name="_Toc290460141"/>
      <w:bookmarkStart w:id="3" w:name="_Toc292795890"/>
      <w:bookmarkStart w:id="4" w:name="_Toc292795900"/>
      <w:bookmarkStart w:id="5" w:name="_Toc292795947"/>
      <w:bookmarkStart w:id="6" w:name="_Toc292795954"/>
      <w:bookmarkStart w:id="7" w:name="_Toc294534323"/>
      <w:bookmarkStart w:id="8" w:name="_Toc326144379"/>
      <w:bookmarkStart w:id="9" w:name="_Toc326144425"/>
      <w:bookmarkStart w:id="10" w:name="_Toc326144496"/>
      <w:bookmarkStart w:id="11" w:name="_Toc326144518"/>
      <w:bookmarkStart w:id="12" w:name="_Toc326144577"/>
      <w:bookmarkStart w:id="13" w:name="_Toc326144612"/>
      <w:bookmarkStart w:id="14" w:name="_Toc326144706"/>
      <w:bookmarkStart w:id="15" w:name="ExecSum"/>
      <w:r>
        <w:lastRenderedPageBreak/>
        <w:t>Disclaimer</w:t>
      </w:r>
      <w:bookmarkEnd w:id="1"/>
    </w:p>
    <w:p w:rsidR="001312FD" w:rsidRDefault="001312FD" w:rsidP="001312FD">
      <w:pPr>
        <w:pStyle w:val="StylePwCNormalnmajNormalnotetextcvteCNormalnotetext1"/>
      </w:pPr>
      <w:r w:rsidRPr="001312FD">
        <w:t>This Report has been prepared by PricewaterhouseCoopers</w:t>
      </w:r>
      <w:r>
        <w:t xml:space="preserve"> Australia</w:t>
      </w:r>
      <w:r w:rsidRPr="001312FD">
        <w:t xml:space="preserve"> (PwC) in </w:t>
      </w:r>
      <w:r w:rsidR="00582348">
        <w:t>its</w:t>
      </w:r>
      <w:r w:rsidR="00582348" w:rsidRPr="001312FD">
        <w:t xml:space="preserve"> </w:t>
      </w:r>
      <w:r w:rsidRPr="001312FD">
        <w:t xml:space="preserve">capacity as advisor to </w:t>
      </w:r>
      <w:r>
        <w:t xml:space="preserve">the Victorian Department of Economic Development, Jobs, Transport and Resources (the Department) </w:t>
      </w:r>
      <w:r w:rsidRPr="001312FD">
        <w:t>in accordance with</w:t>
      </w:r>
      <w:r>
        <w:t xml:space="preserve"> </w:t>
      </w:r>
      <w:r w:rsidR="00582348">
        <w:t>the</w:t>
      </w:r>
      <w:r w:rsidR="00582348" w:rsidRPr="001312FD">
        <w:t xml:space="preserve"> </w:t>
      </w:r>
      <w:r w:rsidRPr="001312FD">
        <w:t>engagement letter dated</w:t>
      </w:r>
      <w:r>
        <w:t xml:space="preserve"> 22</w:t>
      </w:r>
      <w:r w:rsidR="00E82EE4">
        <w:t> </w:t>
      </w:r>
      <w:r>
        <w:t>January</w:t>
      </w:r>
      <w:r w:rsidR="00E82EE4">
        <w:t> </w:t>
      </w:r>
      <w:r>
        <w:t>2015.</w:t>
      </w:r>
    </w:p>
    <w:p w:rsidR="001312FD" w:rsidRDefault="001312FD" w:rsidP="001312FD">
      <w:pPr>
        <w:pStyle w:val="StylePwCNormalnmajNormalnotetextcvteCNormalnotetext1"/>
      </w:pPr>
      <w:r>
        <w:t>The information, statements, statistics, material and commentary (together the “Information”) in this Report have been prepared by PwC from publicly available material and from discussions held with a range of stakeholders. PwC has relied upon the accuracy, currency and completeness of the Information provided to it by the</w:t>
      </w:r>
      <w:r w:rsidR="00E82EE4">
        <w:t xml:space="preserve"> Department and</w:t>
      </w:r>
      <w:r>
        <w:t xml:space="preserve"> consulted stakeholders and takes no responsibility for the accuracy, currency, reliability or correctness of the Information and acknowledges that changes in circumstances after the time of publication may impact on the accuracy of the Information. The Information may change without notice and PwC is not in any way liable for the accuracy of any information used or relied upon by a third party. </w:t>
      </w:r>
    </w:p>
    <w:p w:rsidR="001312FD" w:rsidRDefault="001312FD" w:rsidP="001312FD">
      <w:pPr>
        <w:pStyle w:val="StylePwCNormalnmajNormalnotetextcvteCNormalnotetext1"/>
      </w:pPr>
      <w:r>
        <w:t>Furthermore PwC has not independently validated or verified the Information provided to it for the purpose of the Report and the content of this Report does not in any way constitute an audit or assurance of any of the Information contained herein.</w:t>
      </w:r>
    </w:p>
    <w:p w:rsidR="001312FD" w:rsidRDefault="001312FD" w:rsidP="001312FD">
      <w:pPr>
        <w:pStyle w:val="StylePwCNormalnmajNormalnotetextcvteCNormalnotetext1"/>
      </w:pPr>
      <w:r>
        <w:t>PwC has provided this advice solely for the benefit of the Department and disclaims all liability and responsibility (including arising from its negligence) to any other parties for any loss, damage, cost or expense incurred or arising out of any person using or relying upon the Information.</w:t>
      </w:r>
    </w:p>
    <w:p w:rsidR="00BE03AE" w:rsidRDefault="001312FD" w:rsidP="001312FD">
      <w:pPr>
        <w:pStyle w:val="StylePwCNormalnmajNormalnotetextcvteCNormalnotetext1"/>
      </w:pPr>
      <w:r>
        <w:t>Liability limited by a scheme approved under Professional Standards legislation</w:t>
      </w:r>
      <w:r w:rsidR="001533FB">
        <w:t>.</w:t>
      </w:r>
    </w:p>
    <w:p w:rsidR="00051D12" w:rsidRDefault="00051D12" w:rsidP="00C270FB">
      <w:pPr>
        <w:pStyle w:val="PwCNormal"/>
        <w:kinsoku/>
        <w:overflowPunct/>
        <w:autoSpaceDE/>
        <w:autoSpaceDN/>
        <w:adjustRightInd/>
        <w:snapToGrid/>
        <w:spacing w:before="0" w:after="240"/>
        <w:sectPr w:rsidR="00051D12" w:rsidSect="00F81690">
          <w:headerReference w:type="even" r:id="rId13"/>
          <w:headerReference w:type="default" r:id="rId14"/>
          <w:footerReference w:type="even" r:id="rId15"/>
          <w:footerReference w:type="default" r:id="rId16"/>
          <w:headerReference w:type="first" r:id="rId17"/>
          <w:footerReference w:type="first" r:id="rId18"/>
          <w:type w:val="oddPage"/>
          <w:pgSz w:w="11907" w:h="16840" w:code="9"/>
          <w:pgMar w:top="1588" w:right="1843" w:bottom="1418" w:left="1843" w:header="567" w:footer="567" w:gutter="0"/>
          <w:pgNumType w:fmt="lowerRoman" w:start="1"/>
          <w:cols w:space="227"/>
          <w:titlePg/>
          <w:docGrid w:linePitch="286"/>
        </w:sectPr>
      </w:pPr>
    </w:p>
    <w:p w:rsidR="00C270FB" w:rsidRPr="003F01BE" w:rsidRDefault="00C270FB" w:rsidP="003F01BE">
      <w:pPr>
        <w:pStyle w:val="PrefaceTitle"/>
      </w:pPr>
      <w:bookmarkStart w:id="16" w:name="_Toc423453462"/>
      <w:r w:rsidRPr="003F01BE">
        <w:lastRenderedPageBreak/>
        <w:t>Executive summary</w:t>
      </w:r>
      <w:bookmarkEnd w:id="2"/>
      <w:bookmarkEnd w:id="3"/>
      <w:bookmarkEnd w:id="4"/>
      <w:bookmarkEnd w:id="5"/>
      <w:bookmarkEnd w:id="6"/>
      <w:bookmarkEnd w:id="7"/>
      <w:bookmarkEnd w:id="8"/>
      <w:bookmarkEnd w:id="9"/>
      <w:bookmarkEnd w:id="10"/>
      <w:bookmarkEnd w:id="11"/>
      <w:bookmarkEnd w:id="12"/>
      <w:bookmarkEnd w:id="13"/>
      <w:bookmarkEnd w:id="14"/>
      <w:bookmarkEnd w:id="16"/>
    </w:p>
    <w:p w:rsidR="00CE5CC7" w:rsidRDefault="00CE5CC7" w:rsidP="00CE5CC7">
      <w:pPr>
        <w:pStyle w:val="Majorheading"/>
      </w:pPr>
      <w:r>
        <w:t>Key points</w:t>
      </w:r>
    </w:p>
    <w:p w:rsidR="00CE5CC7" w:rsidRPr="00091AF8" w:rsidRDefault="00CE5CC7">
      <w:pPr>
        <w:pStyle w:val="ListBullet"/>
        <w:rPr>
          <w:b/>
        </w:rPr>
      </w:pPr>
      <w:r w:rsidRPr="00091AF8">
        <w:t>The Victorian Government made a commitment in its 2014 State election platform to declare Easter Sunday and the Friday before the AFL Grand Final as public holidays.</w:t>
      </w:r>
    </w:p>
    <w:p w:rsidR="00CE5CC7" w:rsidRPr="00091AF8" w:rsidRDefault="00CE5CC7">
      <w:pPr>
        <w:pStyle w:val="ListBullet"/>
        <w:rPr>
          <w:b/>
        </w:rPr>
      </w:pPr>
      <w:r w:rsidRPr="00091AF8">
        <w:t xml:space="preserve">The </w:t>
      </w:r>
      <w:r w:rsidRPr="00091AF8">
        <w:rPr>
          <w:i/>
        </w:rPr>
        <w:t>Subordinate Legislation Act 1994</w:t>
      </w:r>
      <w:r w:rsidRPr="00091AF8">
        <w:t xml:space="preserve"> requires that a Regulatory Impact Statement (RIS) be prepared to consider the impacts of the Government’s policy. </w:t>
      </w:r>
    </w:p>
    <w:p w:rsidR="00CE5CC7" w:rsidRPr="00091AF8" w:rsidRDefault="00CE5CC7">
      <w:pPr>
        <w:pStyle w:val="ListBullet"/>
        <w:rPr>
          <w:b/>
        </w:rPr>
      </w:pPr>
      <w:r w:rsidRPr="00091AF8">
        <w:t>This RIS assesses the effects of implementing the Government’s commitment in terms of the benefits and costs to the Victorian community as a whole.</w:t>
      </w:r>
    </w:p>
    <w:p w:rsidR="00CE5CC7" w:rsidRPr="00091AF8" w:rsidRDefault="00CE5CC7">
      <w:pPr>
        <w:pStyle w:val="ListBullet"/>
        <w:rPr>
          <w:b/>
        </w:rPr>
      </w:pPr>
      <w:r w:rsidRPr="00091AF8">
        <w:t xml:space="preserve">As required by the </w:t>
      </w:r>
      <w:r w:rsidRPr="00091AF8">
        <w:rPr>
          <w:i/>
        </w:rPr>
        <w:t>Subordinate Legislation Act 1994</w:t>
      </w:r>
      <w:r w:rsidRPr="00091AF8">
        <w:t xml:space="preserve">, this RIS also considers the impacts of some alternative ways of providing public holidays which are consistent with the principles contained in the Government’s 2014 State election platform. </w:t>
      </w:r>
    </w:p>
    <w:p w:rsidR="00CE5CC7" w:rsidRPr="00091AF8" w:rsidRDefault="00CE5CC7">
      <w:pPr>
        <w:pStyle w:val="ListBullet"/>
        <w:rPr>
          <w:b/>
        </w:rPr>
      </w:pPr>
      <w:r>
        <w:t>E</w:t>
      </w:r>
      <w:r w:rsidRPr="00091AF8">
        <w:t xml:space="preserve">stimating the benefits and costs </w:t>
      </w:r>
      <w:r>
        <w:t>of</w:t>
      </w:r>
      <w:r w:rsidRPr="00091AF8">
        <w:t xml:space="preserve"> the </w:t>
      </w:r>
      <w:r>
        <w:t xml:space="preserve">proposed </w:t>
      </w:r>
      <w:r w:rsidRPr="00091AF8">
        <w:t xml:space="preserve">new public holidays is difficult given </w:t>
      </w:r>
      <w:r>
        <w:t xml:space="preserve">the potential for varied </w:t>
      </w:r>
      <w:r w:rsidRPr="00091AF8">
        <w:t>behavioural responses of different individuals, business</w:t>
      </w:r>
      <w:r w:rsidRPr="003265FF">
        <w:t>es</w:t>
      </w:r>
      <w:r w:rsidRPr="00091AF8">
        <w:t xml:space="preserve"> and groups throughout Victoria</w:t>
      </w:r>
      <w:r>
        <w:t xml:space="preserve"> and the challenges of aggregating these potentially diverse effects</w:t>
      </w:r>
      <w:r w:rsidRPr="00091AF8">
        <w:t xml:space="preserve">. </w:t>
      </w:r>
    </w:p>
    <w:p w:rsidR="00CE5CC7" w:rsidRPr="00A436C4" w:rsidRDefault="00CE5CC7">
      <w:pPr>
        <w:pStyle w:val="ListBullet"/>
        <w:rPr>
          <w:b/>
        </w:rPr>
      </w:pPr>
      <w:r w:rsidRPr="00A436C4">
        <w:t>The</w:t>
      </w:r>
      <w:r w:rsidRPr="006F688A">
        <w:t xml:space="preserve"> RIS </w:t>
      </w:r>
      <w:r w:rsidRPr="00CB09C0">
        <w:t>considers the net impacts of the Government’s commitment by comparing the cost of foregone economic activity as a result of the new public holidays against the value of individual leisure time.</w:t>
      </w:r>
    </w:p>
    <w:p w:rsidR="00CE5CC7" w:rsidRDefault="00CE5CC7">
      <w:pPr>
        <w:pStyle w:val="ListBullet"/>
        <w:rPr>
          <w:b/>
        </w:rPr>
      </w:pPr>
      <w:r w:rsidRPr="005D13B6">
        <w:t xml:space="preserve">The </w:t>
      </w:r>
      <w:r>
        <w:t xml:space="preserve">proposed public holidays would provide </w:t>
      </w:r>
      <w:r w:rsidRPr="005D13B6">
        <w:t>an estimated additional 1.5 million days off work across Victoria</w:t>
      </w:r>
      <w:r>
        <w:t xml:space="preserve"> annually. </w:t>
      </w:r>
    </w:p>
    <w:p w:rsidR="00CE5CC7" w:rsidRPr="00DB5192" w:rsidRDefault="00CE5CC7">
      <w:pPr>
        <w:pStyle w:val="ListBullet"/>
        <w:rPr>
          <w:b/>
        </w:rPr>
      </w:pPr>
      <w:r>
        <w:t>The benefit of this additional leisure time</w:t>
      </w:r>
      <w:r w:rsidRPr="005D13B6">
        <w:t xml:space="preserve"> </w:t>
      </w:r>
      <w:r>
        <w:t>equates to</w:t>
      </w:r>
      <w:r w:rsidRPr="005D13B6">
        <w:t xml:space="preserve"> between</w:t>
      </w:r>
      <w:r w:rsidRPr="00343317">
        <w:t xml:space="preserve"> $156 million </w:t>
      </w:r>
      <w:r w:rsidRPr="00731989">
        <w:t>and</w:t>
      </w:r>
      <w:r w:rsidRPr="00343317">
        <w:t xml:space="preserve"> $312 </w:t>
      </w:r>
      <w:r w:rsidRPr="00731989">
        <w:t>million annually</w:t>
      </w:r>
      <w:r>
        <w:t xml:space="preserve"> (excluding any benefits associated with coordinated leisure time)</w:t>
      </w:r>
      <w:r w:rsidRPr="00343317">
        <w:t>.</w:t>
      </w:r>
    </w:p>
    <w:p w:rsidR="00CE5CC7" w:rsidRPr="00DB5192" w:rsidRDefault="00CE5CC7">
      <w:pPr>
        <w:pStyle w:val="ListBullet"/>
        <w:rPr>
          <w:b/>
        </w:rPr>
      </w:pPr>
      <w:r>
        <w:t>Other</w:t>
      </w:r>
      <w:r w:rsidRPr="00343317">
        <w:t xml:space="preserve"> </w:t>
      </w:r>
      <w:r>
        <w:t xml:space="preserve">benefits relate to the potential for increased tourism and related expenditure.  </w:t>
      </w:r>
    </w:p>
    <w:p w:rsidR="00CE5CC7" w:rsidRDefault="00CE5CC7" w:rsidP="00DD7BCE">
      <w:pPr>
        <w:pStyle w:val="ListBullet"/>
        <w:rPr>
          <w:b/>
        </w:rPr>
      </w:pPr>
      <w:r w:rsidRPr="00091AF8">
        <w:t xml:space="preserve">Tourism Victoria has indicated that increased travel by Melburnians to </w:t>
      </w:r>
      <w:r>
        <w:t>regional Victoria</w:t>
      </w:r>
      <w:r w:rsidRPr="00091AF8">
        <w:t xml:space="preserve"> during </w:t>
      </w:r>
      <w:r>
        <w:t xml:space="preserve">a </w:t>
      </w:r>
      <w:r w:rsidRPr="00091AF8">
        <w:t xml:space="preserve">new </w:t>
      </w:r>
      <w:r>
        <w:t xml:space="preserve">long weekend </w:t>
      </w:r>
      <w:r w:rsidRPr="00091AF8">
        <w:t>has the potential to increase tourism expenditure in regional Victoria by between</w:t>
      </w:r>
      <w:r w:rsidRPr="003265FF">
        <w:t xml:space="preserve"> </w:t>
      </w:r>
      <w:r w:rsidRPr="00CC236C">
        <w:t>$17 million</w:t>
      </w:r>
      <w:r w:rsidRPr="00BD7060">
        <w:t xml:space="preserve"> </w:t>
      </w:r>
      <w:r w:rsidRPr="00091AF8">
        <w:t>and</w:t>
      </w:r>
      <w:r w:rsidRPr="00BD7060">
        <w:t xml:space="preserve"> </w:t>
      </w:r>
      <w:r w:rsidRPr="00CC236C">
        <w:t>$51 million</w:t>
      </w:r>
      <w:r w:rsidRPr="00BD7060">
        <w:t xml:space="preserve"> </w:t>
      </w:r>
      <w:r w:rsidRPr="00091AF8">
        <w:t>annually.</w:t>
      </w:r>
    </w:p>
    <w:p w:rsidR="00CE5CC7" w:rsidRPr="00091AF8" w:rsidRDefault="00CE5CC7" w:rsidP="00DD7BCE">
      <w:pPr>
        <w:pStyle w:val="ListBullet"/>
        <w:rPr>
          <w:b/>
        </w:rPr>
      </w:pPr>
      <w:r>
        <w:t xml:space="preserve">Studies indicate that a complementary sports-related event could potentially contribute between </w:t>
      </w:r>
      <w:r w:rsidRPr="00091AF8">
        <w:t>$7 million</w:t>
      </w:r>
      <w:r>
        <w:t xml:space="preserve"> and </w:t>
      </w:r>
      <w:r w:rsidRPr="00091AF8">
        <w:t>$49 million</w:t>
      </w:r>
      <w:r>
        <w:t xml:space="preserve"> annually to the Victorian economy.</w:t>
      </w:r>
    </w:p>
    <w:p w:rsidR="00CE5CC7" w:rsidRPr="00091AF8" w:rsidRDefault="00CE5CC7">
      <w:pPr>
        <w:pStyle w:val="ListBullet"/>
        <w:rPr>
          <w:b/>
        </w:rPr>
      </w:pPr>
      <w:r>
        <w:t xml:space="preserve">The lost production (or economic cost) from the new public holidays is estimated to be between </w:t>
      </w:r>
      <w:r w:rsidRPr="00854E4C">
        <w:t>$</w:t>
      </w:r>
      <w:r>
        <w:t>717</w:t>
      </w:r>
      <w:r w:rsidRPr="00854E4C">
        <w:t xml:space="preserve"> million</w:t>
      </w:r>
      <w:r>
        <w:t xml:space="preserve"> and </w:t>
      </w:r>
      <w:r w:rsidRPr="00854E4C">
        <w:t>$</w:t>
      </w:r>
      <w:r>
        <w:t>898</w:t>
      </w:r>
      <w:r w:rsidRPr="00854E4C">
        <w:t xml:space="preserve"> million</w:t>
      </w:r>
      <w:r>
        <w:t xml:space="preserve"> annually.</w:t>
      </w:r>
    </w:p>
    <w:p w:rsidR="00CE5CC7" w:rsidRDefault="00CE5CC7">
      <w:pPr>
        <w:pStyle w:val="ListBullet"/>
        <w:rPr>
          <w:b/>
        </w:rPr>
      </w:pPr>
      <w:r>
        <w:t xml:space="preserve">The new public holidays would also result in increased wage payments of between </w:t>
      </w:r>
      <w:r w:rsidRPr="00854E4C">
        <w:t>$25</w:t>
      </w:r>
      <w:r>
        <w:t>2 </w:t>
      </w:r>
      <w:r w:rsidRPr="00854E4C">
        <w:t>million</w:t>
      </w:r>
      <w:r>
        <w:t xml:space="preserve"> and </w:t>
      </w:r>
      <w:r w:rsidRPr="00854E4C">
        <w:t>$28</w:t>
      </w:r>
      <w:r>
        <w:t>6</w:t>
      </w:r>
      <w:r w:rsidRPr="00854E4C">
        <w:t xml:space="preserve"> million</w:t>
      </w:r>
      <w:r>
        <w:t xml:space="preserve"> annually to those people who work on the public holidays. This amount represents a transfer from employers to employees, rather than a net impact on the Victorian economy.</w:t>
      </w:r>
    </w:p>
    <w:p w:rsidR="00CE5CC7" w:rsidRDefault="00CE5CC7">
      <w:pPr>
        <w:pStyle w:val="ListBullet"/>
        <w:rPr>
          <w:b/>
        </w:rPr>
      </w:pPr>
      <w:r>
        <w:t>Overall, t</w:t>
      </w:r>
      <w:r w:rsidRPr="00091AF8">
        <w:t xml:space="preserve">he estimated costs of the new public holidays outweigh the </w:t>
      </w:r>
      <w:r>
        <w:t xml:space="preserve">quantified </w:t>
      </w:r>
      <w:r w:rsidRPr="00091AF8">
        <w:t>benefits</w:t>
      </w:r>
      <w:r>
        <w:t xml:space="preserve">; however, </w:t>
      </w:r>
      <w:r w:rsidRPr="003265FF">
        <w:t>t</w:t>
      </w:r>
      <w:r w:rsidRPr="00091AF8">
        <w:t xml:space="preserve">here </w:t>
      </w:r>
      <w:r>
        <w:t xml:space="preserve">is the potential for </w:t>
      </w:r>
      <w:r w:rsidRPr="00091AF8">
        <w:t xml:space="preserve">wider benefits </w:t>
      </w:r>
      <w:r>
        <w:t>to</w:t>
      </w:r>
      <w:r w:rsidRPr="00091AF8">
        <w:t xml:space="preserve"> accrue to families and the broader community </w:t>
      </w:r>
      <w:r>
        <w:t>associated with coordinated leisure time</w:t>
      </w:r>
      <w:r w:rsidRPr="00091AF8">
        <w:t xml:space="preserve">. </w:t>
      </w:r>
      <w:r>
        <w:t>The benefits of coordinated leisure time have not been estimated in this RIS due to a lack of available, robust information on their potential size in this context.</w:t>
      </w:r>
    </w:p>
    <w:p w:rsidR="00FB1DC2" w:rsidRDefault="00CE5CC7" w:rsidP="00DD7BCE">
      <w:pPr>
        <w:pStyle w:val="ListBullet"/>
      </w:pPr>
      <w:r>
        <w:t>This RIS is seeking the community’s feedback on the proposed Easter Sunday and the Friday before the AFL Grand Final public holidays and their supporting analysis. It is also seeking feedback on the likelihood that the community would sufficiently value the additional coordinated leisure time created by the new public holidays to support the overall proposal.</w:t>
      </w:r>
    </w:p>
    <w:p w:rsidR="00CE5CC7" w:rsidRDefault="00CE5CC7" w:rsidP="00BE03AE">
      <w:pPr>
        <w:pStyle w:val="Majorheading"/>
      </w:pPr>
      <w:r>
        <w:br w:type="page"/>
      </w:r>
    </w:p>
    <w:p w:rsidR="00BE03AE" w:rsidRPr="00B663E2" w:rsidRDefault="00BE03AE" w:rsidP="00BE03AE">
      <w:pPr>
        <w:pStyle w:val="Majorheading"/>
      </w:pPr>
      <w:r>
        <w:t>Introduction</w:t>
      </w:r>
    </w:p>
    <w:p w:rsidR="00BE03AE" w:rsidRDefault="00BE03AE" w:rsidP="00091AF8">
      <w:pPr>
        <w:pStyle w:val="StylePwCNormalnmajNormalnotetextcvteCNormalnotetext2"/>
      </w:pPr>
      <w:r>
        <w:t>The</w:t>
      </w:r>
      <w:r w:rsidRPr="00DA3F2E">
        <w:rPr>
          <w:rFonts w:cs="Georgia"/>
        </w:rPr>
        <w:t xml:space="preserve"> Department of Economic Development, Jobs, Transport and Resources</w:t>
      </w:r>
      <w:r>
        <w:rPr>
          <w:rFonts w:cs="Georgia"/>
        </w:rPr>
        <w:t xml:space="preserve"> (the Department) has engaged PricewaterhouseCoopers Australia (PwC)</w:t>
      </w:r>
      <w:r w:rsidRPr="00DA3F2E">
        <w:rPr>
          <w:rFonts w:cs="Georgia"/>
        </w:rPr>
        <w:t xml:space="preserve"> to prepare a Regulatory Impact Statement (RIS) for the proposed gazettal of two new public holidays under the </w:t>
      </w:r>
      <w:r w:rsidRPr="00DA3F2E">
        <w:rPr>
          <w:rFonts w:cs="Georgia"/>
          <w:i/>
        </w:rPr>
        <w:t>Public Holidays Act 199</w:t>
      </w:r>
      <w:r>
        <w:rPr>
          <w:rFonts w:cs="Georgia"/>
          <w:i/>
        </w:rPr>
        <w:t xml:space="preserve">3 </w:t>
      </w:r>
      <w:r>
        <w:rPr>
          <w:rFonts w:cs="Georgia"/>
        </w:rPr>
        <w:t>(the Act)</w:t>
      </w:r>
      <w:r>
        <w:rPr>
          <w:rFonts w:cs="Georgia"/>
          <w:i/>
        </w:rPr>
        <w:t>.</w:t>
      </w:r>
      <w:r w:rsidRPr="00DD2A57">
        <w:t xml:space="preserve"> </w:t>
      </w:r>
      <w:r>
        <w:t xml:space="preserve">Under the Act, Victoria currently has 11 public holidays. </w:t>
      </w:r>
      <w:r w:rsidR="009C6633">
        <w:t>I</w:t>
      </w:r>
      <w:r w:rsidR="00344D46">
        <w:t>n its 2014 State election platform, t</w:t>
      </w:r>
      <w:r>
        <w:t xml:space="preserve">he </w:t>
      </w:r>
      <w:r w:rsidR="009C6633">
        <w:t xml:space="preserve">Government made a commitment to declare two </w:t>
      </w:r>
      <w:r>
        <w:t>additional public holidays:</w:t>
      </w:r>
    </w:p>
    <w:p w:rsidR="00BE03AE" w:rsidRDefault="00BE03AE" w:rsidP="00091AF8">
      <w:pPr>
        <w:pStyle w:val="ListBullet"/>
      </w:pPr>
      <w:r>
        <w:t>Easter Sunday</w:t>
      </w:r>
    </w:p>
    <w:p w:rsidR="00BE03AE" w:rsidRDefault="00BE03AE" w:rsidP="00091AF8">
      <w:pPr>
        <w:pStyle w:val="ListBullet"/>
      </w:pPr>
      <w:proofErr w:type="gramStart"/>
      <w:r w:rsidRPr="00C52352">
        <w:t>the</w:t>
      </w:r>
      <w:proofErr w:type="gramEnd"/>
      <w:r w:rsidRPr="00C52352">
        <w:t xml:space="preserve"> Friday before the Australian Football League </w:t>
      </w:r>
      <w:r>
        <w:t xml:space="preserve">(AFL) </w:t>
      </w:r>
      <w:r w:rsidRPr="00C52352">
        <w:t>Grand Final</w:t>
      </w:r>
      <w:r>
        <w:t>.</w:t>
      </w:r>
    </w:p>
    <w:p w:rsidR="00344D46" w:rsidRPr="009E0DFD" w:rsidRDefault="00344D46" w:rsidP="00C076DA">
      <w:pPr>
        <w:pStyle w:val="StylePwCNormalnmajNormalnotetextcvteCNormalnotetext2"/>
      </w:pPr>
      <w:r w:rsidRPr="00E71945">
        <w:t>In the same platform, the Government outlined the</w:t>
      </w:r>
      <w:r w:rsidR="00A54C79">
        <w:t xml:space="preserve"> following</w:t>
      </w:r>
      <w:r w:rsidRPr="00E71945">
        <w:t xml:space="preserve"> principles on which this commitment </w:t>
      </w:r>
      <w:r w:rsidR="00A54C79">
        <w:t>was</w:t>
      </w:r>
      <w:r w:rsidR="00A54C79" w:rsidRPr="00E71945">
        <w:t xml:space="preserve"> </w:t>
      </w:r>
      <w:r w:rsidRPr="00E71945">
        <w:t>based:</w:t>
      </w:r>
    </w:p>
    <w:p w:rsidR="00344D46" w:rsidRDefault="00344D46" w:rsidP="00344D46">
      <w:pPr>
        <w:pStyle w:val="ListBullet"/>
      </w:pPr>
      <w:r>
        <w:t>providing fair pay to those working on Easter Sunday</w:t>
      </w:r>
    </w:p>
    <w:p w:rsidR="00344D46" w:rsidRDefault="00344D46" w:rsidP="00344D46">
      <w:pPr>
        <w:pStyle w:val="ListBullet"/>
      </w:pPr>
      <w:r>
        <w:t xml:space="preserve">increasing opportunities for </w:t>
      </w:r>
      <w:r w:rsidRPr="00083471">
        <w:t>Victorians</w:t>
      </w:r>
      <w:r>
        <w:t xml:space="preserve"> to enjoy coordinated leisure time</w:t>
      </w:r>
    </w:p>
    <w:p w:rsidR="00344D46" w:rsidRDefault="00344D46" w:rsidP="00344D46">
      <w:pPr>
        <w:pStyle w:val="ListBullet"/>
      </w:pPr>
      <w:proofErr w:type="gramStart"/>
      <w:r>
        <w:t>enhancing</w:t>
      </w:r>
      <w:proofErr w:type="gramEnd"/>
      <w:r>
        <w:t xml:space="preserve"> </w:t>
      </w:r>
      <w:r w:rsidRPr="00083471">
        <w:t xml:space="preserve">the important role </w:t>
      </w:r>
      <w:r>
        <w:t>performed by</w:t>
      </w:r>
      <w:r w:rsidRPr="00083471">
        <w:t xml:space="preserve"> public holidays on significant religious and state occasions in uniting the community</w:t>
      </w:r>
      <w:r>
        <w:t>.</w:t>
      </w:r>
      <w:r w:rsidR="002C53DA">
        <w:rPr>
          <w:rStyle w:val="FootnoteReference"/>
        </w:rPr>
        <w:footnoteReference w:id="2"/>
      </w:r>
    </w:p>
    <w:p w:rsidR="00344D46" w:rsidRDefault="00344D46" w:rsidP="00AD4F44">
      <w:pPr>
        <w:pStyle w:val="StylePwCNormalnmajNormalnotetextcvteCNormalnotetext2"/>
      </w:pPr>
      <w:r>
        <w:t xml:space="preserve">The </w:t>
      </w:r>
      <w:r w:rsidRPr="000D6E9A">
        <w:rPr>
          <w:i/>
        </w:rPr>
        <w:t>Subordinate Legislation Act 1994</w:t>
      </w:r>
      <w:r>
        <w:t xml:space="preserve"> requires that a RIS be prepared to consider the impacts of the Government’s policy. It also requires that the impacts of other means of achieving the Government’s objectives </w:t>
      </w:r>
      <w:r w:rsidR="009C5463">
        <w:t xml:space="preserve">are </w:t>
      </w:r>
      <w:r>
        <w:t>considered.</w:t>
      </w:r>
    </w:p>
    <w:p w:rsidR="00947419" w:rsidRDefault="00483CF7" w:rsidP="00091AF8">
      <w:pPr>
        <w:pStyle w:val="StylePwCNormalnmajNormalnotetextcvteCNormalnotetext2"/>
      </w:pPr>
      <w:r>
        <w:t xml:space="preserve">This RIS considers the range of impacts that are generated by public holidays and estimates the net impacts of the Government’s proposal and the alternatives considered.  </w:t>
      </w:r>
    </w:p>
    <w:p w:rsidR="00746A07" w:rsidRDefault="00746A07" w:rsidP="00091AF8">
      <w:pPr>
        <w:pStyle w:val="StylePwCNormalnmajNormalnotetextcvteCNormalnotetext2"/>
      </w:pPr>
      <w:r>
        <w:t>T</w:t>
      </w:r>
      <w:r w:rsidR="00BE03AE">
        <w:t xml:space="preserve">his RIS is </w:t>
      </w:r>
      <w:r>
        <w:t xml:space="preserve">designed to facilitate </w:t>
      </w:r>
      <w:r w:rsidR="00A54C79">
        <w:t xml:space="preserve">consultation </w:t>
      </w:r>
      <w:r w:rsidR="00BE03AE">
        <w:t xml:space="preserve">with the community and </w:t>
      </w:r>
      <w:r w:rsidR="002373A0">
        <w:t xml:space="preserve">to </w:t>
      </w:r>
      <w:r w:rsidR="00BE03AE">
        <w:t>inform the</w:t>
      </w:r>
      <w:r w:rsidR="002373A0">
        <w:t xml:space="preserve"> Government in its</w:t>
      </w:r>
      <w:r w:rsidR="00BE03AE">
        <w:t xml:space="preserve"> official notification in the Victorian Government Gazette that Easter Sunday and the Friday before the AFL Grand Final are public holidays in Victoria. </w:t>
      </w:r>
    </w:p>
    <w:p w:rsidR="00BE03AE" w:rsidRDefault="00BE03AE" w:rsidP="00091AF8">
      <w:pPr>
        <w:pStyle w:val="StylePwCNormalnmajNormalnotetextcvteCNormalnotetext2"/>
      </w:pPr>
      <w:r>
        <w:t>The RIS has been informed by consultation with business, business associations, employee representatives</w:t>
      </w:r>
      <w:r w:rsidR="00394798">
        <w:t>,</w:t>
      </w:r>
      <w:r>
        <w:t xml:space="preserve"> community groups</w:t>
      </w:r>
      <w:r w:rsidR="00394798">
        <w:t xml:space="preserve"> and government agencies</w:t>
      </w:r>
      <w:r>
        <w:t>.</w:t>
      </w:r>
    </w:p>
    <w:p w:rsidR="00BE03AE" w:rsidRDefault="00BE03AE" w:rsidP="00BE03AE">
      <w:pPr>
        <w:pStyle w:val="Majorheading"/>
      </w:pPr>
      <w:r>
        <w:t>Impacts of public holidays</w:t>
      </w:r>
    </w:p>
    <w:p w:rsidR="00BE03AE" w:rsidRDefault="00BE03AE" w:rsidP="00BE03AE">
      <w:pPr>
        <w:pStyle w:val="PwCNormal"/>
        <w:spacing w:before="0" w:after="240"/>
      </w:pPr>
      <w:r>
        <w:t>Public holidays generate a range of impacts on the Victorian community and economy. These include:</w:t>
      </w:r>
    </w:p>
    <w:p w:rsidR="00BE03AE" w:rsidRDefault="00BE03AE" w:rsidP="00091AF8">
      <w:pPr>
        <w:pStyle w:val="ListBullet"/>
      </w:pPr>
      <w:r>
        <w:rPr>
          <w:b/>
        </w:rPr>
        <w:t xml:space="preserve">Increased wages for employees – </w:t>
      </w:r>
      <w:r w:rsidRPr="00D113FD">
        <w:t>Increased wages</w:t>
      </w:r>
      <w:r>
        <w:t xml:space="preserve"> are paid to those employees who work on public holidays, with penalty rates often providing an additional 50 per cent to 1</w:t>
      </w:r>
      <w:r w:rsidR="00DC0427">
        <w:t>5</w:t>
      </w:r>
      <w:r>
        <w:t xml:space="preserve">0 per cent loading beyond the </w:t>
      </w:r>
      <w:r w:rsidR="001F25E8">
        <w:t>rate</w:t>
      </w:r>
      <w:r w:rsidR="00570066">
        <w:t xml:space="preserve"> </w:t>
      </w:r>
      <w:r>
        <w:t xml:space="preserve">that would otherwise be applied on those days. </w:t>
      </w:r>
    </w:p>
    <w:p w:rsidR="00BE03AE" w:rsidRDefault="00BE03AE" w:rsidP="00091AF8">
      <w:pPr>
        <w:pStyle w:val="ListBullet"/>
      </w:pPr>
      <w:r w:rsidRPr="00D113FD">
        <w:rPr>
          <w:b/>
        </w:rPr>
        <w:t>Increased labour costs for employers</w:t>
      </w:r>
      <w:r>
        <w:t xml:space="preserve"> – While increased wages provide a benefit to employees, those employers that continue to operate on a public holiday are subject to </w:t>
      </w:r>
      <w:r w:rsidRPr="00D113FD">
        <w:t>increased labour costs</w:t>
      </w:r>
      <w:r>
        <w:t xml:space="preserve">.  These costs are </w:t>
      </w:r>
      <w:r w:rsidR="00BF2CB8">
        <w:t xml:space="preserve">broadly </w:t>
      </w:r>
      <w:r>
        <w:t>equivalent to the increased wages received by employees. This impact tends to be concentrated in those industries that operate across the entire week, such as retail, hospitality, accommodation and essential emergency and community services.</w:t>
      </w:r>
      <w:r w:rsidR="00172862">
        <w:t xml:space="preserve"> Some employers may be able to pass on a portion of these labour costs to customers through surcharges.</w:t>
      </w:r>
    </w:p>
    <w:p w:rsidR="00BE03AE" w:rsidRDefault="00BE03AE" w:rsidP="00091AF8">
      <w:pPr>
        <w:pStyle w:val="ListBullet"/>
      </w:pPr>
      <w:r w:rsidRPr="006C23B1">
        <w:rPr>
          <w:b/>
        </w:rPr>
        <w:t>Additional leisure time</w:t>
      </w:r>
      <w:r>
        <w:t xml:space="preserve"> – Employees who are not required to work on the public holiday receive </w:t>
      </w:r>
      <w:r w:rsidRPr="006C23B1">
        <w:t>additional leisure time</w:t>
      </w:r>
      <w:r>
        <w:t xml:space="preserve"> to spend with their family and friends. Where a public holiday falls on a day of significance for the community, such as Easter Sunday, it further provides benefits in terms of bringing the broader community together to observe the special occasion.</w:t>
      </w:r>
    </w:p>
    <w:p w:rsidR="00570066" w:rsidRPr="0036733E" w:rsidRDefault="00570066" w:rsidP="000D6E9A">
      <w:pPr>
        <w:pStyle w:val="ListBullet"/>
        <w:numPr>
          <w:ilvl w:val="0"/>
          <w:numId w:val="0"/>
        </w:numPr>
        <w:ind w:left="284"/>
      </w:pPr>
      <w:r w:rsidRPr="000D6E9A">
        <w:t>For those employed on casual arrangements</w:t>
      </w:r>
      <w:r w:rsidR="009E2570">
        <w:t>,</w:t>
      </w:r>
      <w:r>
        <w:t xml:space="preserve"> this additional leisure time </w:t>
      </w:r>
      <w:r w:rsidR="009E2570">
        <w:t>would result in</w:t>
      </w:r>
      <w:r>
        <w:t xml:space="preserve"> reduced </w:t>
      </w:r>
      <w:r w:rsidR="009E2570">
        <w:t>income</w:t>
      </w:r>
      <w:r>
        <w:t xml:space="preserve"> as </w:t>
      </w:r>
      <w:r w:rsidR="009E2570">
        <w:t>these</w:t>
      </w:r>
      <w:r w:rsidR="00662090">
        <w:t xml:space="preserve"> individuals</w:t>
      </w:r>
      <w:r>
        <w:t xml:space="preserve"> </w:t>
      </w:r>
      <w:r w:rsidR="00624F4E">
        <w:t>are only</w:t>
      </w:r>
      <w:r>
        <w:t xml:space="preserve"> paid </w:t>
      </w:r>
      <w:r w:rsidR="00624F4E">
        <w:t>for those days that they work</w:t>
      </w:r>
      <w:r>
        <w:t xml:space="preserve">. </w:t>
      </w:r>
    </w:p>
    <w:p w:rsidR="00BE03AE" w:rsidRDefault="00BE03AE" w:rsidP="00091AF8">
      <w:pPr>
        <w:pStyle w:val="ListBullet"/>
      </w:pPr>
      <w:r w:rsidRPr="005C1332">
        <w:rPr>
          <w:b/>
        </w:rPr>
        <w:t>Increased tourism and enhanced sporting reputation</w:t>
      </w:r>
      <w:r w:rsidRPr="005C1332">
        <w:t xml:space="preserve"> – </w:t>
      </w:r>
      <w:r w:rsidR="00DC0427" w:rsidRPr="005C1332">
        <w:t xml:space="preserve">Public holidays </w:t>
      </w:r>
      <w:r w:rsidR="009C78D5" w:rsidRPr="005C1332">
        <w:t xml:space="preserve">can </w:t>
      </w:r>
      <w:r w:rsidR="00DC0427" w:rsidRPr="005C1332">
        <w:t>p</w:t>
      </w:r>
      <w:r w:rsidRPr="005C1332">
        <w:t>rovide opportunities to increase tourism. This provides potential opportunities to Victorian employers engaged in associated industries such as retail, hospitality and accommodation</w:t>
      </w:r>
      <w:r w:rsidR="00D3323C">
        <w:t>, though this is likely to be at least partially offset by reduced expenditure elsewhere.</w:t>
      </w:r>
    </w:p>
    <w:p w:rsidR="00570066" w:rsidRDefault="00BE03AE" w:rsidP="0036733E">
      <w:pPr>
        <w:pStyle w:val="ListBullet"/>
      </w:pPr>
      <w:r w:rsidRPr="006C23B1">
        <w:rPr>
          <w:b/>
        </w:rPr>
        <w:t>Reduced economic activity</w:t>
      </w:r>
      <w:r>
        <w:t xml:space="preserve"> – For those employers who choose not to operate on </w:t>
      </w:r>
      <w:r w:rsidR="009C78D5">
        <w:t xml:space="preserve">a </w:t>
      </w:r>
      <w:r>
        <w:t xml:space="preserve">public holiday, there is a </w:t>
      </w:r>
      <w:r w:rsidRPr="006C23B1">
        <w:t xml:space="preserve">loss </w:t>
      </w:r>
      <w:r w:rsidR="00972A4E">
        <w:t>of</w:t>
      </w:r>
      <w:r w:rsidR="00972A4E" w:rsidRPr="006C23B1">
        <w:t xml:space="preserve"> </w:t>
      </w:r>
      <w:r w:rsidRPr="006C23B1">
        <w:t>economic activity or output</w:t>
      </w:r>
      <w:r w:rsidRPr="00EB0B06">
        <w:rPr>
          <w:b/>
        </w:rPr>
        <w:t xml:space="preserve"> </w:t>
      </w:r>
      <w:r>
        <w:t>(as these employers operate for fewer days in the year than they would otherwise). This effect leads to reduced gross state product</w:t>
      </w:r>
      <w:r w:rsidR="005C5CE7">
        <w:t xml:space="preserve"> (GSP)</w:t>
      </w:r>
      <w:r>
        <w:t xml:space="preserve"> for Victoria.</w:t>
      </w:r>
    </w:p>
    <w:p w:rsidR="00BE03AE" w:rsidRDefault="00BE03AE" w:rsidP="00BE03AE">
      <w:pPr>
        <w:pStyle w:val="Majorheading"/>
      </w:pPr>
      <w:r>
        <w:t>Approach to assessing the impacts</w:t>
      </w:r>
    </w:p>
    <w:p w:rsidR="00BE03AE" w:rsidRDefault="00BE03AE" w:rsidP="00BE03AE">
      <w:pPr>
        <w:pStyle w:val="StylePwCNormalnmajNormalnotetextcvteCNormalnotetext"/>
        <w:numPr>
          <w:ilvl w:val="0"/>
          <w:numId w:val="26"/>
        </w:numPr>
      </w:pPr>
      <w:r>
        <w:t>An important distinction relates to the nature of the impacts of public holidays. There are two distinct types of impacts</w:t>
      </w:r>
      <w:r w:rsidR="005C5CE7">
        <w:t>:</w:t>
      </w:r>
    </w:p>
    <w:p w:rsidR="00BE03AE" w:rsidRDefault="00BE03AE" w:rsidP="00091AF8">
      <w:pPr>
        <w:pStyle w:val="ListBullet"/>
      </w:pPr>
      <w:r w:rsidRPr="00B663E2">
        <w:rPr>
          <w:b/>
        </w:rPr>
        <w:t>Transfer</w:t>
      </w:r>
      <w:r w:rsidRPr="00CA3E6E">
        <w:rPr>
          <w:b/>
        </w:rPr>
        <w:t>s</w:t>
      </w:r>
      <w:r w:rsidRPr="00E454ED">
        <w:rPr>
          <w:b/>
        </w:rPr>
        <w:t xml:space="preserve"> </w:t>
      </w:r>
      <w:r>
        <w:t xml:space="preserve">relate to the financial transfers from one group to another in the economy, such as the payment of penalty wage rates by employers to employees. These transfers </w:t>
      </w:r>
      <w:r w:rsidR="00972A4E">
        <w:t xml:space="preserve">relate to </w:t>
      </w:r>
      <w:r>
        <w:t>distributional impacts only. In themselves, they have no</w:t>
      </w:r>
      <w:r w:rsidR="00972A4E">
        <w:t xml:space="preserve"> net</w:t>
      </w:r>
      <w:r>
        <w:t xml:space="preserve"> impact </w:t>
      </w:r>
      <w:r w:rsidR="00972A4E">
        <w:t>on</w:t>
      </w:r>
      <w:r>
        <w:t xml:space="preserve"> the Victorian economy. While this transfer effect is relevant for both public holidays, it is most relevant for the Friday before the AFL Grand Final public holiday.</w:t>
      </w:r>
    </w:p>
    <w:p w:rsidR="00BE03AE" w:rsidRDefault="00BE03AE" w:rsidP="00091AF8">
      <w:pPr>
        <w:pStyle w:val="ListBullet"/>
      </w:pPr>
      <w:r w:rsidRPr="00B663E2">
        <w:rPr>
          <w:b/>
        </w:rPr>
        <w:t>Net impacts</w:t>
      </w:r>
      <w:r>
        <w:t xml:space="preserve"> refer to those impacts that have an overall effect on the Victorian community, such as lost production</w:t>
      </w:r>
      <w:r w:rsidR="00AD3981">
        <w:t>,</w:t>
      </w:r>
      <w:r>
        <w:t xml:space="preserve"> output and economic activity </w:t>
      </w:r>
      <w:r w:rsidR="00AD3981">
        <w:t>given</w:t>
      </w:r>
      <w:r>
        <w:t xml:space="preserve"> there </w:t>
      </w:r>
      <w:r w:rsidR="00AD3981">
        <w:t xml:space="preserve">would be </w:t>
      </w:r>
      <w:r>
        <w:t xml:space="preserve">fewer working days in a year. This is particularly relevant for the proposed public holiday on the Friday before the AFL Grand Final as </w:t>
      </w:r>
      <w:r w:rsidR="00D3323C">
        <w:t xml:space="preserve">it is expected that </w:t>
      </w:r>
      <w:r>
        <w:t>more employers would normally operate on a Friday compared with Easter Sunday</w:t>
      </w:r>
      <w:r w:rsidR="00AD3981">
        <w:t>.</w:t>
      </w:r>
    </w:p>
    <w:p w:rsidR="00BE03AE" w:rsidRDefault="00BE03AE" w:rsidP="00BE03AE">
      <w:pPr>
        <w:pStyle w:val="PwCNormal"/>
        <w:spacing w:before="0" w:after="240"/>
      </w:pPr>
      <w:r>
        <w:fldChar w:fldCharType="begin"/>
      </w:r>
      <w:r>
        <w:instrText xml:space="preserve"> REF _Ref416705757 \h </w:instrText>
      </w:r>
      <w:r>
        <w:fldChar w:fldCharType="separate"/>
      </w:r>
      <w:r w:rsidR="00250375">
        <w:t xml:space="preserve">Figure </w:t>
      </w:r>
      <w:r w:rsidR="00250375">
        <w:rPr>
          <w:noProof/>
        </w:rPr>
        <w:t>1</w:t>
      </w:r>
      <w:r>
        <w:fldChar w:fldCharType="end"/>
      </w:r>
      <w:r>
        <w:t xml:space="preserve"> illustrates which of the impacts discussed above falls within each category. </w:t>
      </w:r>
    </w:p>
    <w:p w:rsidR="00BE03AE" w:rsidRDefault="00BE03AE" w:rsidP="00BE03AE">
      <w:pPr>
        <w:pStyle w:val="Caption"/>
      </w:pPr>
      <w:bookmarkStart w:id="17" w:name="_Ref416705757"/>
      <w:r>
        <w:t xml:space="preserve">Figure </w:t>
      </w:r>
      <w:r w:rsidR="00663565">
        <w:fldChar w:fldCharType="begin"/>
      </w:r>
      <w:r w:rsidR="00663565">
        <w:instrText xml:space="preserve"> SEQ Figure \* ARABIC </w:instrText>
      </w:r>
      <w:r w:rsidR="00663565">
        <w:fldChar w:fldCharType="separate"/>
      </w:r>
      <w:r w:rsidR="00250375">
        <w:rPr>
          <w:noProof/>
        </w:rPr>
        <w:t>1</w:t>
      </w:r>
      <w:r w:rsidR="00663565">
        <w:rPr>
          <w:noProof/>
        </w:rPr>
        <w:fldChar w:fldCharType="end"/>
      </w:r>
      <w:bookmarkEnd w:id="17"/>
      <w:r>
        <w:t xml:space="preserve">: </w:t>
      </w:r>
      <w:r w:rsidRPr="004F6456">
        <w:t>Potential impacts of the options</w:t>
      </w:r>
    </w:p>
    <w:p w:rsidR="00BE03AE" w:rsidRDefault="00DC0427" w:rsidP="00C34848">
      <w:pPr>
        <w:pStyle w:val="Sources"/>
      </w:pPr>
      <w:r>
        <w:rPr>
          <w:noProof/>
          <w:snapToGrid/>
          <w:lang w:eastAsia="en-AU"/>
        </w:rPr>
        <w:drawing>
          <wp:inline distT="0" distB="0" distL="0" distR="0" wp14:anchorId="2EE71E49" wp14:editId="7381A50B">
            <wp:extent cx="5190133" cy="3648075"/>
            <wp:effectExtent l="0" t="0" r="0" b="0"/>
            <wp:docPr id="132" name="Picture 132" descr="The figure outlines the various impacts of public holidays, split by those impacts that are transfers and those impacts that are net effects. The transfer impacts are the additional wages paid by some employers and the addtional wages received by some employees.  The net impacts are the social and community benefits, tourism and sport, and reduced economic activity. Please refer to the two bullet points immediately above for discussion of the potential impacts of the options. These potential impacts are further described in Chapter 4." title="Potential impacts of th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7509" cy="3653260"/>
                    </a:xfrm>
                    <a:prstGeom prst="rect">
                      <a:avLst/>
                    </a:prstGeom>
                    <a:noFill/>
                  </pic:spPr>
                </pic:pic>
              </a:graphicData>
            </a:graphic>
          </wp:inline>
        </w:drawing>
      </w:r>
      <w:r w:rsidR="001312FD">
        <w:t>Source: PwC</w:t>
      </w:r>
    </w:p>
    <w:p w:rsidR="00BE03AE" w:rsidRDefault="002373A0" w:rsidP="00BE03AE">
      <w:pPr>
        <w:pStyle w:val="Majorheading"/>
      </w:pPr>
      <w:r>
        <w:t xml:space="preserve">Alternatives </w:t>
      </w:r>
      <w:r w:rsidR="00BE03AE">
        <w:t>considered</w:t>
      </w:r>
    </w:p>
    <w:p w:rsidR="001B3161" w:rsidRPr="009E0DFD" w:rsidDel="00344D46" w:rsidRDefault="001B3161" w:rsidP="001B3161">
      <w:pPr>
        <w:pStyle w:val="StylePwCNormalnmajNormalnotetextcvteCNormalnotetext2"/>
      </w:pPr>
      <w:r>
        <w:t xml:space="preserve">As required by the </w:t>
      </w:r>
      <w:r w:rsidR="001F25E8" w:rsidRPr="006101FF">
        <w:rPr>
          <w:i/>
        </w:rPr>
        <w:t>Subordinate Legislation Act 1994</w:t>
      </w:r>
      <w:r>
        <w:t xml:space="preserve">, this RIS considers the impacts of some alternative ways of providing additional public holidays which are consistent with the </w:t>
      </w:r>
      <w:r w:rsidR="00FB4918">
        <w:t xml:space="preserve">relevant </w:t>
      </w:r>
      <w:r>
        <w:t>principles contained in the Government’s 2014 State election platform.</w:t>
      </w:r>
    </w:p>
    <w:p w:rsidR="00BE03AE" w:rsidRDefault="00BE03AE" w:rsidP="00BE03AE">
      <w:pPr>
        <w:pStyle w:val="StylePwCNormalnmajNormalnotetextcvteCNormalnotetext1"/>
        <w:tabs>
          <w:tab w:val="clear" w:pos="0"/>
        </w:tabs>
      </w:pPr>
      <w:r>
        <w:t xml:space="preserve">The </w:t>
      </w:r>
      <w:r w:rsidR="002373A0">
        <w:t xml:space="preserve">alternative approaches </w:t>
      </w:r>
      <w:r w:rsidR="00AD3981">
        <w:t>considered are</w:t>
      </w:r>
      <w:r>
        <w:t>:</w:t>
      </w:r>
    </w:p>
    <w:p w:rsidR="00BE03AE" w:rsidRDefault="00BE03AE" w:rsidP="00091AF8">
      <w:pPr>
        <w:pStyle w:val="ListBullet"/>
      </w:pPr>
      <w:r>
        <w:t xml:space="preserve">Option 1: Introduction of </w:t>
      </w:r>
      <w:r>
        <w:rPr>
          <w:lang w:eastAsia="en-AU"/>
        </w:rPr>
        <w:t xml:space="preserve">Easter Sunday and </w:t>
      </w:r>
      <w:r w:rsidR="00307783">
        <w:rPr>
          <w:lang w:eastAsia="en-AU"/>
        </w:rPr>
        <w:t>the Friday before the</w:t>
      </w:r>
      <w:r w:rsidR="00F51110">
        <w:rPr>
          <w:lang w:eastAsia="en-AU"/>
        </w:rPr>
        <w:t xml:space="preserve"> AFL</w:t>
      </w:r>
      <w:r w:rsidR="00307783">
        <w:rPr>
          <w:lang w:eastAsia="en-AU"/>
        </w:rPr>
        <w:t xml:space="preserve"> Grand Final</w:t>
      </w:r>
      <w:r>
        <w:rPr>
          <w:lang w:eastAsia="en-AU"/>
        </w:rPr>
        <w:t xml:space="preserve"> public holidays from 2015 (the Government’s </w:t>
      </w:r>
      <w:r w:rsidR="00F846C0">
        <w:rPr>
          <w:lang w:eastAsia="en-AU"/>
        </w:rPr>
        <w:t>commitment</w:t>
      </w:r>
      <w:r>
        <w:rPr>
          <w:lang w:eastAsia="en-AU"/>
        </w:rPr>
        <w:t>)</w:t>
      </w:r>
      <w:r w:rsidR="0078042A">
        <w:rPr>
          <w:rStyle w:val="FootnoteReference"/>
          <w:lang w:eastAsia="en-AU"/>
        </w:rPr>
        <w:footnoteReference w:id="3"/>
      </w:r>
    </w:p>
    <w:p w:rsidR="00BE03AE" w:rsidRDefault="00BE03AE" w:rsidP="00091AF8">
      <w:pPr>
        <w:pStyle w:val="ListBullet"/>
      </w:pPr>
      <w:r>
        <w:t xml:space="preserve">Option 2: Introduction of Easter Sunday from 2015 and delayed implementation of </w:t>
      </w:r>
      <w:r w:rsidR="00307783">
        <w:t xml:space="preserve">the Friday before the </w:t>
      </w:r>
      <w:r w:rsidR="00F51110">
        <w:t xml:space="preserve">AFL </w:t>
      </w:r>
      <w:r w:rsidR="00307783">
        <w:t>Grand Final</w:t>
      </w:r>
      <w:r>
        <w:t xml:space="preserve"> </w:t>
      </w:r>
      <w:r w:rsidR="00307783">
        <w:t xml:space="preserve">holiday </w:t>
      </w:r>
      <w:r>
        <w:t xml:space="preserve">until 2016 </w:t>
      </w:r>
    </w:p>
    <w:p w:rsidR="00BE03AE" w:rsidRDefault="00BE03AE" w:rsidP="00091AF8">
      <w:pPr>
        <w:pStyle w:val="ListBullet"/>
      </w:pPr>
      <w:r>
        <w:t xml:space="preserve">Option 3: </w:t>
      </w:r>
      <w:r w:rsidRPr="00537BBE">
        <w:t xml:space="preserve">Transfer of public holiday status from </w:t>
      </w:r>
      <w:r>
        <w:t>the Saturday before Easter Sunday</w:t>
      </w:r>
      <w:r w:rsidRPr="00537BBE">
        <w:t xml:space="preserve"> to Easter Sunday</w:t>
      </w:r>
      <w:r>
        <w:t xml:space="preserve">, in addition to implementation of </w:t>
      </w:r>
      <w:r w:rsidR="00FB4918">
        <w:t>the</w:t>
      </w:r>
      <w:r>
        <w:t xml:space="preserve"> </w:t>
      </w:r>
      <w:r w:rsidR="00307783">
        <w:t xml:space="preserve">Friday before the </w:t>
      </w:r>
      <w:r w:rsidR="00F51110">
        <w:t xml:space="preserve">AFL </w:t>
      </w:r>
      <w:r w:rsidR="00307783">
        <w:t>Grand Final</w:t>
      </w:r>
      <w:r>
        <w:t xml:space="preserve"> </w:t>
      </w:r>
      <w:r w:rsidR="00FB4918">
        <w:t xml:space="preserve">public </w:t>
      </w:r>
      <w:r>
        <w:t>holiday</w:t>
      </w:r>
      <w:r w:rsidR="00B313E5">
        <w:t>.</w:t>
      </w:r>
    </w:p>
    <w:p w:rsidR="00D3323C" w:rsidRDefault="00D3323C" w:rsidP="00091AF8">
      <w:pPr>
        <w:pStyle w:val="StylePwCNormalnmajNormalnotetextcvteCNormalnotetext2"/>
      </w:pPr>
      <w:r>
        <w:t xml:space="preserve">These options are compared against </w:t>
      </w:r>
      <w:r w:rsidR="005C5F8A">
        <w:t>a base case of</w:t>
      </w:r>
      <w:r w:rsidR="002C1A06">
        <w:t xml:space="preserve"> </w:t>
      </w:r>
      <w:r>
        <w:t xml:space="preserve">no changes to existing public holidays. </w:t>
      </w:r>
    </w:p>
    <w:p w:rsidR="00BE03AE" w:rsidRDefault="00BE03AE" w:rsidP="00091AF8">
      <w:pPr>
        <w:pStyle w:val="StylePwCNormalnmajNormalnotetextcvteCNormalnotetext2"/>
      </w:pPr>
      <w:r>
        <w:t xml:space="preserve">Options 2 and 3 reflect variations </w:t>
      </w:r>
      <w:r w:rsidR="00FB4918">
        <w:t xml:space="preserve">of </w:t>
      </w:r>
      <w:r>
        <w:t xml:space="preserve">the Government’s election commitment (option 1) but </w:t>
      </w:r>
      <w:r w:rsidR="009C78D5">
        <w:t>are</w:t>
      </w:r>
      <w:r>
        <w:t xml:space="preserve"> designed to result in lower costs</w:t>
      </w:r>
      <w:r w:rsidR="00FB4918">
        <w:t xml:space="preserve"> to the Victorian economy</w:t>
      </w:r>
      <w:r>
        <w:t>.</w:t>
      </w:r>
    </w:p>
    <w:p w:rsidR="007555B0" w:rsidRDefault="00510F61" w:rsidP="00C56D87">
      <w:pPr>
        <w:pStyle w:val="StylePwCNormalnmajNormalnotetextcvteCNormalnotetext2"/>
      </w:pPr>
      <w:r>
        <w:t xml:space="preserve">The </w:t>
      </w:r>
      <w:r w:rsidR="00FB4918">
        <w:t>alternatives considered</w:t>
      </w:r>
      <w:r>
        <w:t xml:space="preserve"> in </w:t>
      </w:r>
      <w:r w:rsidR="00FB4918">
        <w:t>this</w:t>
      </w:r>
      <w:r>
        <w:t xml:space="preserve"> RIS were provided by the Department. </w:t>
      </w:r>
      <w:r w:rsidR="00FB4918">
        <w:t xml:space="preserve">Other </w:t>
      </w:r>
      <w:r w:rsidR="00830A30">
        <w:t xml:space="preserve">possible </w:t>
      </w:r>
      <w:r w:rsidR="00FB4918">
        <w:t>alternatives were</w:t>
      </w:r>
      <w:r>
        <w:t xml:space="preserve"> excluded </w:t>
      </w:r>
      <w:r w:rsidR="00FB4918">
        <w:t xml:space="preserve">from the analysis based </w:t>
      </w:r>
      <w:r>
        <w:t xml:space="preserve">on the </w:t>
      </w:r>
      <w:r w:rsidR="0047783B">
        <w:t xml:space="preserve">advice </w:t>
      </w:r>
      <w:r w:rsidR="00FB4918">
        <w:t>of</w:t>
      </w:r>
      <w:r w:rsidR="0047783B">
        <w:t xml:space="preserve"> the Department </w:t>
      </w:r>
      <w:r>
        <w:t>that</w:t>
      </w:r>
      <w:r w:rsidR="00FB4918">
        <w:t xml:space="preserve"> they</w:t>
      </w:r>
      <w:r w:rsidR="00214D0A">
        <w:t xml:space="preserve"> w</w:t>
      </w:r>
      <w:r>
        <w:t>ere not in line with the Government’s objectives</w:t>
      </w:r>
      <w:r w:rsidR="00214D0A">
        <w:t xml:space="preserve">. </w:t>
      </w:r>
      <w:r w:rsidR="007555B0">
        <w:t xml:space="preserve">Further discussion of </w:t>
      </w:r>
      <w:r w:rsidR="00FB4918">
        <w:t>the</w:t>
      </w:r>
      <w:r w:rsidR="002373AD">
        <w:t>se alternatives</w:t>
      </w:r>
      <w:r w:rsidR="007555B0">
        <w:t xml:space="preserve"> is provided in Section</w:t>
      </w:r>
      <w:r w:rsidR="009B335F">
        <w:t xml:space="preserve"> </w:t>
      </w:r>
      <w:r w:rsidR="009B335F">
        <w:fldChar w:fldCharType="begin"/>
      </w:r>
      <w:r w:rsidR="009B335F">
        <w:instrText xml:space="preserve"> REF _Ref421723584 \n \h </w:instrText>
      </w:r>
      <w:r w:rsidR="009B335F">
        <w:fldChar w:fldCharType="separate"/>
      </w:r>
      <w:r w:rsidR="00250375">
        <w:t>3.1</w:t>
      </w:r>
      <w:r w:rsidR="009B335F">
        <w:fldChar w:fldCharType="end"/>
      </w:r>
      <w:r w:rsidR="007555B0">
        <w:t xml:space="preserve">. </w:t>
      </w:r>
    </w:p>
    <w:p w:rsidR="00BE03AE" w:rsidRDefault="00BE03AE" w:rsidP="00BE03AE">
      <w:pPr>
        <w:pStyle w:val="Majorheading"/>
      </w:pPr>
      <w:r>
        <w:t>Assessing the options</w:t>
      </w:r>
    </w:p>
    <w:p w:rsidR="00BE03AE" w:rsidRDefault="00BE03AE" w:rsidP="00091AF8">
      <w:pPr>
        <w:pStyle w:val="StylePwCNormalnmajNormalnotetextcvteCNormalnotetext2"/>
      </w:pPr>
      <w:r>
        <w:t xml:space="preserve">The </w:t>
      </w:r>
      <w:r w:rsidR="00F846C0">
        <w:t xml:space="preserve">Government’s commitment and the alternative </w:t>
      </w:r>
      <w:r w:rsidR="00121879">
        <w:t xml:space="preserve">options </w:t>
      </w:r>
      <w:r>
        <w:t xml:space="preserve">have been assessed using information provided by stakeholders and other publicly available information. Where there is sufficient data available, </w:t>
      </w:r>
      <w:r w:rsidR="00121879">
        <w:t>the RIS provides</w:t>
      </w:r>
      <w:r>
        <w:t xml:space="preserve"> quantitative estimates of the impacts. </w:t>
      </w:r>
    </w:p>
    <w:p w:rsidR="00947419" w:rsidRDefault="00947419" w:rsidP="00091AF8">
      <w:pPr>
        <w:pStyle w:val="StylePwCNormalnmajNormalnotetextcvteCNormalnotetext2"/>
      </w:pPr>
      <w:r>
        <w:t xml:space="preserve">While the costs of foregone economic activity and the benefits of increased leisure time have been measured, the wider benefits which can accrue to families and the broader community have not been quantified. </w:t>
      </w:r>
    </w:p>
    <w:p w:rsidR="00BE03AE" w:rsidRDefault="00BE03AE" w:rsidP="00091AF8">
      <w:pPr>
        <w:pStyle w:val="StylePwCNormalnmajNormalnotetextcvteCNormalnotetext2"/>
      </w:pPr>
      <w:r>
        <w:t>The quanti</w:t>
      </w:r>
      <w:r w:rsidR="00830A30">
        <w:t>fied</w:t>
      </w:r>
      <w:r>
        <w:t xml:space="preserve"> impacts have been split into those that reflect a transfer between employers and employees and those that are expected to result in a net impact on the Victorian economy.</w:t>
      </w:r>
    </w:p>
    <w:p w:rsidR="00BE03AE" w:rsidRPr="00EB0B06" w:rsidRDefault="00BE03AE" w:rsidP="00BE03AE">
      <w:pPr>
        <w:pStyle w:val="Minorheading2"/>
      </w:pPr>
      <w:r>
        <w:t>Distributional impacts</w:t>
      </w:r>
      <w:r w:rsidRPr="00EB0B06">
        <w:t xml:space="preserve"> (wage payments)</w:t>
      </w:r>
    </w:p>
    <w:p w:rsidR="00BE03AE" w:rsidRDefault="00BE03AE" w:rsidP="00BE03AE">
      <w:pPr>
        <w:pStyle w:val="StylePwCNormalnmajNormalnotetextcvteCNormalnotetext"/>
        <w:numPr>
          <w:ilvl w:val="0"/>
          <w:numId w:val="26"/>
        </w:numPr>
      </w:pPr>
      <w:r>
        <w:t>Distributional impacts relat</w:t>
      </w:r>
      <w:r w:rsidR="005C5CE7">
        <w:t>e</w:t>
      </w:r>
      <w:r>
        <w:t xml:space="preserve"> to </w:t>
      </w:r>
      <w:r w:rsidRPr="00542548">
        <w:rPr>
          <w:i/>
        </w:rPr>
        <w:t>additional</w:t>
      </w:r>
      <w:r>
        <w:t xml:space="preserve"> wages paid by employers to employees due to public holiday penalty rates. </w:t>
      </w:r>
    </w:p>
    <w:p w:rsidR="00BE03AE" w:rsidRDefault="00BE03AE" w:rsidP="00BE03AE">
      <w:pPr>
        <w:pStyle w:val="StylePwCNormalnmajNormalnotetextcvteCNormalnotetext"/>
        <w:tabs>
          <w:tab w:val="clear" w:pos="0"/>
        </w:tabs>
      </w:pPr>
      <w:r>
        <w:t xml:space="preserve">The level of wage transfers that occurs under each option differs depending on the number of additional public holidays </w:t>
      </w:r>
      <w:r w:rsidR="00662090">
        <w:t>create</w:t>
      </w:r>
      <w:r w:rsidR="00571BE1">
        <w:t>d</w:t>
      </w:r>
      <w:r>
        <w:t xml:space="preserve">, the date of the new </w:t>
      </w:r>
      <w:r w:rsidR="00121879">
        <w:t xml:space="preserve">public </w:t>
      </w:r>
      <w:r>
        <w:t>holidays’ implementation and the days of the week on which the holiday fall</w:t>
      </w:r>
      <w:r w:rsidR="00A02FDD">
        <w:t>s</w:t>
      </w:r>
      <w:r>
        <w:t xml:space="preserve">. </w:t>
      </w:r>
      <w:r w:rsidR="005C5CE7">
        <w:fldChar w:fldCharType="begin"/>
      </w:r>
      <w:r w:rsidR="005C5CE7">
        <w:instrText xml:space="preserve"> REF _Ref417390935 \h </w:instrText>
      </w:r>
      <w:r w:rsidR="005C5CE7">
        <w:fldChar w:fldCharType="separate"/>
      </w:r>
      <w:r w:rsidR="00250375">
        <w:t xml:space="preserve">Table </w:t>
      </w:r>
      <w:r w:rsidR="00250375">
        <w:rPr>
          <w:noProof/>
        </w:rPr>
        <w:t>1</w:t>
      </w:r>
      <w:r w:rsidR="005C5CE7">
        <w:fldChar w:fldCharType="end"/>
      </w:r>
      <w:r>
        <w:t xml:space="preserve"> provides a summary of the estimated wage transfers associated with each option. </w:t>
      </w:r>
    </w:p>
    <w:p w:rsidR="00BE03AE" w:rsidRDefault="00BE03AE" w:rsidP="00BE03AE">
      <w:pPr>
        <w:pStyle w:val="StylePwCNormalnmajNormalnotetextcvteCNormalnotetext"/>
        <w:tabs>
          <w:tab w:val="clear" w:pos="0"/>
        </w:tabs>
      </w:pPr>
      <w:r>
        <w:t xml:space="preserve">The analysis indicates that </w:t>
      </w:r>
      <w:r w:rsidR="00F846C0">
        <w:t>the Government’s commitment (</w:t>
      </w:r>
      <w:r>
        <w:t>option 1</w:t>
      </w:r>
      <w:r w:rsidR="00F846C0">
        <w:t>)</w:t>
      </w:r>
      <w:r>
        <w:t xml:space="preserve"> would result in </w:t>
      </w:r>
      <w:r w:rsidR="00A02FDD">
        <w:t xml:space="preserve">an annualised </w:t>
      </w:r>
      <w:r>
        <w:t>increase</w:t>
      </w:r>
      <w:r w:rsidR="00A02FDD">
        <w:t xml:space="preserve"> in</w:t>
      </w:r>
      <w:r>
        <w:t xml:space="preserve"> wage payments of between </w:t>
      </w:r>
      <w:r w:rsidRPr="003E7E0A">
        <w:rPr>
          <w:b/>
        </w:rPr>
        <w:t>$2</w:t>
      </w:r>
      <w:r w:rsidR="00C25BC3" w:rsidRPr="003E7E0A">
        <w:rPr>
          <w:b/>
        </w:rPr>
        <w:t>5</w:t>
      </w:r>
      <w:r w:rsidR="00325BAE">
        <w:rPr>
          <w:b/>
        </w:rPr>
        <w:t>2</w:t>
      </w:r>
      <w:r w:rsidRPr="003E7E0A">
        <w:rPr>
          <w:b/>
        </w:rPr>
        <w:t> million</w:t>
      </w:r>
      <w:r>
        <w:t xml:space="preserve"> and </w:t>
      </w:r>
      <w:r w:rsidRPr="003E7E0A">
        <w:rPr>
          <w:b/>
        </w:rPr>
        <w:t>$2</w:t>
      </w:r>
      <w:r w:rsidR="00C25BC3" w:rsidRPr="003E7E0A">
        <w:rPr>
          <w:b/>
        </w:rPr>
        <w:t>8</w:t>
      </w:r>
      <w:r w:rsidR="00325BAE">
        <w:rPr>
          <w:b/>
        </w:rPr>
        <w:t>6</w:t>
      </w:r>
      <w:r w:rsidRPr="003E7E0A">
        <w:rPr>
          <w:b/>
        </w:rPr>
        <w:t> million</w:t>
      </w:r>
      <w:r>
        <w:t xml:space="preserve">. This amount reflects </w:t>
      </w:r>
      <w:r w:rsidR="00F27874">
        <w:t>monies for</w:t>
      </w:r>
      <w:r>
        <w:t>:</w:t>
      </w:r>
    </w:p>
    <w:p w:rsidR="00BE03AE" w:rsidRDefault="00BE03AE" w:rsidP="00091AF8">
      <w:pPr>
        <w:pStyle w:val="ListBullet"/>
      </w:pPr>
      <w:r>
        <w:t xml:space="preserve">those employees that would work on the proposed public holidays and receive a financial benefit </w:t>
      </w:r>
    </w:p>
    <w:p w:rsidR="00BE03AE" w:rsidRDefault="00BE03AE" w:rsidP="00091AF8">
      <w:pPr>
        <w:pStyle w:val="ListBullet"/>
      </w:pPr>
      <w:proofErr w:type="gramStart"/>
      <w:r>
        <w:t>those</w:t>
      </w:r>
      <w:proofErr w:type="gramEnd"/>
      <w:r>
        <w:t xml:space="preserve"> employers that continue to operate on the public holidays and now incur increased labour costs of an equivalent amount</w:t>
      </w:r>
      <w:r w:rsidR="00AD6054">
        <w:t xml:space="preserve"> (to the financial benefit</w:t>
      </w:r>
      <w:r w:rsidR="000138E1">
        <w:t xml:space="preserve"> received by</w:t>
      </w:r>
      <w:r w:rsidR="00AD6054">
        <w:t xml:space="preserve"> employees)</w:t>
      </w:r>
      <w:r>
        <w:t>.</w:t>
      </w:r>
    </w:p>
    <w:p w:rsidR="00BE03AE" w:rsidRDefault="00BE03AE" w:rsidP="00BE03AE">
      <w:pPr>
        <w:pStyle w:val="StylePwCNormalnmajNormalnotetextcvteCNormalnotetext"/>
        <w:numPr>
          <w:ilvl w:val="0"/>
          <w:numId w:val="26"/>
        </w:numPr>
      </w:pPr>
      <w:r>
        <w:t xml:space="preserve">Of the options considered, option 3 would result in the </w:t>
      </w:r>
      <w:r w:rsidR="000138E1">
        <w:t xml:space="preserve">smallest </w:t>
      </w:r>
      <w:r>
        <w:t xml:space="preserve">wage transfer because it would create only one additional public holiday (as the Easter Sunday public holiday would replace the existing Saturday before Easter Sunday public holiday). </w:t>
      </w:r>
      <w:r w:rsidR="004723D5">
        <w:t>O</w:t>
      </w:r>
      <w:r>
        <w:t xml:space="preserve">ption 2 has slightly smaller wage transfers </w:t>
      </w:r>
      <w:r w:rsidR="004723D5">
        <w:t xml:space="preserve">than option 1 (the Government’s commitment) </w:t>
      </w:r>
      <w:r>
        <w:t xml:space="preserve">as it would delay the implementation of the </w:t>
      </w:r>
      <w:r w:rsidR="00307783">
        <w:t xml:space="preserve">Friday before the </w:t>
      </w:r>
      <w:r w:rsidR="00F51110">
        <w:t xml:space="preserve">AFL </w:t>
      </w:r>
      <w:r w:rsidR="00307783">
        <w:t>Grand Final</w:t>
      </w:r>
      <w:r>
        <w:t xml:space="preserve"> public holiday by one year. </w:t>
      </w:r>
    </w:p>
    <w:p w:rsidR="00BE03AE" w:rsidRDefault="00BE03AE">
      <w:pPr>
        <w:pStyle w:val="Caption"/>
      </w:pPr>
      <w:bookmarkStart w:id="18" w:name="_Ref417390935"/>
      <w:r>
        <w:t xml:space="preserve">Table </w:t>
      </w:r>
      <w:r w:rsidR="00663565">
        <w:fldChar w:fldCharType="begin"/>
      </w:r>
      <w:r w:rsidR="00663565">
        <w:instrText xml:space="preserve"> SEQ Table \* ARABIC </w:instrText>
      </w:r>
      <w:r w:rsidR="00663565">
        <w:fldChar w:fldCharType="separate"/>
      </w:r>
      <w:r w:rsidR="00250375">
        <w:rPr>
          <w:noProof/>
        </w:rPr>
        <w:t>1</w:t>
      </w:r>
      <w:r w:rsidR="00663565">
        <w:rPr>
          <w:noProof/>
        </w:rPr>
        <w:fldChar w:fldCharType="end"/>
      </w:r>
      <w:bookmarkEnd w:id="18"/>
      <w:r>
        <w:t xml:space="preserve">: </w:t>
      </w:r>
      <w:r w:rsidRPr="005345BB">
        <w:t>Estimated transfer impacts of the options</w:t>
      </w:r>
    </w:p>
    <w:tbl>
      <w:tblPr>
        <w:tblStyle w:val="Tables-APBase"/>
        <w:tblW w:w="5000" w:type="pct"/>
        <w:tblLook w:val="04A0" w:firstRow="1" w:lastRow="0" w:firstColumn="1" w:lastColumn="0" w:noHBand="0" w:noVBand="1"/>
        <w:tblCaption w:val="Estimated transfer impacts of the options"/>
        <w:tblDescription w:val="This table provides the annualised estimates of the transfer impacts (that is, the addtional wage transfers) of each of the considered options. The estimates are presented in Australian dollar millions annually. Option 1 has an estimated range from $252 million to $286 million. Option 2 has an estimated range from $219 million to $247 million. Option 3 has an estimated range from $117 million to $147 million."/>
      </w:tblPr>
      <w:tblGrid>
        <w:gridCol w:w="2720"/>
        <w:gridCol w:w="2717"/>
        <w:gridCol w:w="3000"/>
      </w:tblGrid>
      <w:tr w:rsidR="00BE03AE" w:rsidRPr="00204ABD" w:rsidTr="00091AF8">
        <w:trPr>
          <w:cnfStyle w:val="100000000000" w:firstRow="1" w:lastRow="0" w:firstColumn="0" w:lastColumn="0" w:oddVBand="0" w:evenVBand="0" w:oddHBand="0" w:evenHBand="0" w:firstRowFirstColumn="0" w:firstRowLastColumn="0" w:lastRowFirstColumn="0" w:lastRowLastColumn="0"/>
          <w:trHeight w:val="283"/>
        </w:trPr>
        <w:tc>
          <w:tcPr>
            <w:cnfStyle w:val="000000000100" w:firstRow="0" w:lastRow="0" w:firstColumn="0" w:lastColumn="0" w:oddVBand="0" w:evenVBand="0" w:oddHBand="0" w:evenHBand="0" w:firstRowFirstColumn="1" w:firstRowLastColumn="0" w:lastRowFirstColumn="0" w:lastRowLastColumn="0"/>
            <w:tcW w:w="1612" w:type="pct"/>
            <w:vMerge w:val="restart"/>
            <w:vAlign w:val="center"/>
            <w:hideMark/>
          </w:tcPr>
          <w:p w:rsidR="00BE03AE" w:rsidRPr="00204ABD" w:rsidRDefault="00BE03AE">
            <w:pPr>
              <w:keepNext/>
              <w:keepLines/>
              <w:kinsoku/>
              <w:overflowPunct/>
              <w:autoSpaceDE/>
              <w:autoSpaceDN/>
              <w:adjustRightInd/>
              <w:snapToGrid/>
              <w:jc w:val="center"/>
              <w:rPr>
                <w:rFonts w:ascii="Arial" w:hAnsi="Arial"/>
                <w:b/>
                <w:bCs/>
                <w:snapToGrid/>
                <w:color w:val="A32020"/>
                <w:sz w:val="16"/>
                <w:szCs w:val="16"/>
                <w:lang w:eastAsia="en-AU"/>
              </w:rPr>
            </w:pPr>
            <w:r w:rsidRPr="00204ABD">
              <w:rPr>
                <w:rFonts w:ascii="Arial" w:hAnsi="Arial"/>
                <w:b/>
                <w:bCs/>
                <w:snapToGrid/>
                <w:color w:val="A32020"/>
                <w:sz w:val="16"/>
                <w:szCs w:val="16"/>
                <w:lang w:eastAsia="en-AU"/>
              </w:rPr>
              <w:t>Optio</w:t>
            </w:r>
            <w:r w:rsidR="005C5CE7">
              <w:rPr>
                <w:rFonts w:ascii="Arial" w:hAnsi="Arial"/>
                <w:b/>
                <w:bCs/>
                <w:snapToGrid/>
                <w:color w:val="A32020"/>
                <w:sz w:val="16"/>
                <w:szCs w:val="16"/>
                <w:lang w:eastAsia="en-AU"/>
              </w:rPr>
              <w:t>n</w:t>
            </w:r>
          </w:p>
        </w:tc>
        <w:tc>
          <w:tcPr>
            <w:tcW w:w="3388" w:type="pct"/>
            <w:gridSpan w:val="2"/>
            <w:hideMark/>
          </w:tcPr>
          <w:p w:rsidR="00BE03AE" w:rsidRPr="00204ABD" w:rsidRDefault="00BE03AE">
            <w:pPr>
              <w:keepNext/>
              <w:keepLines/>
              <w:kinsoku/>
              <w:overflowPunct/>
              <w:autoSpaceDE/>
              <w:autoSpaceDN/>
              <w:adjustRightInd/>
              <w:snapToGrid/>
              <w:cnfStyle w:val="100000000000" w:firstRow="1" w:lastRow="0" w:firstColumn="0" w:lastColumn="0" w:oddVBand="0" w:evenVBand="0" w:oddHBand="0" w:evenHBand="0" w:firstRowFirstColumn="0" w:firstRowLastColumn="0" w:lastRowFirstColumn="0" w:lastRowLastColumn="0"/>
              <w:rPr>
                <w:rFonts w:ascii="Arial" w:hAnsi="Arial"/>
                <w:b/>
                <w:bCs/>
                <w:snapToGrid/>
                <w:color w:val="A32020"/>
                <w:sz w:val="16"/>
                <w:szCs w:val="16"/>
                <w:lang w:eastAsia="en-AU"/>
              </w:rPr>
            </w:pPr>
            <w:r>
              <w:rPr>
                <w:rFonts w:ascii="Arial" w:hAnsi="Arial"/>
                <w:b/>
                <w:bCs/>
                <w:snapToGrid/>
                <w:color w:val="A32020"/>
                <w:sz w:val="16"/>
                <w:szCs w:val="16"/>
                <w:lang w:eastAsia="en-AU"/>
              </w:rPr>
              <w:t>Additional</w:t>
            </w:r>
            <w:r w:rsidRPr="00204ABD">
              <w:rPr>
                <w:rFonts w:ascii="Arial" w:hAnsi="Arial"/>
                <w:b/>
                <w:bCs/>
                <w:snapToGrid/>
                <w:color w:val="A32020"/>
                <w:sz w:val="16"/>
                <w:szCs w:val="16"/>
                <w:lang w:eastAsia="en-AU"/>
              </w:rPr>
              <w:t xml:space="preserve"> wage transfers, annualised $m</w:t>
            </w:r>
          </w:p>
        </w:tc>
      </w:tr>
      <w:tr w:rsidR="00BE03AE" w:rsidRPr="00204ABD" w:rsidTr="00091AF8">
        <w:trPr>
          <w:trHeight w:val="454"/>
        </w:trPr>
        <w:tc>
          <w:tcPr>
            <w:tcW w:w="1612" w:type="pct"/>
            <w:vMerge/>
            <w:hideMark/>
          </w:tcPr>
          <w:p w:rsidR="00BE03AE" w:rsidRPr="00204ABD" w:rsidRDefault="00BE03AE" w:rsidP="00091AF8">
            <w:pPr>
              <w:keepNext/>
              <w:kinsoku/>
              <w:overflowPunct/>
              <w:autoSpaceDE/>
              <w:autoSpaceDN/>
              <w:adjustRightInd/>
              <w:snapToGrid/>
              <w:jc w:val="center"/>
              <w:rPr>
                <w:rFonts w:ascii="Arial" w:hAnsi="Arial"/>
                <w:b/>
                <w:bCs/>
                <w:snapToGrid/>
                <w:color w:val="A32020"/>
                <w:sz w:val="16"/>
                <w:szCs w:val="16"/>
                <w:lang w:eastAsia="en-AU"/>
              </w:rPr>
            </w:pPr>
          </w:p>
        </w:tc>
        <w:tc>
          <w:tcPr>
            <w:tcW w:w="1610" w:type="pct"/>
            <w:vAlign w:val="center"/>
            <w:hideMark/>
          </w:tcPr>
          <w:p w:rsidR="00BE03AE" w:rsidRPr="00204ABD" w:rsidRDefault="00BE03AE" w:rsidP="00091AF8">
            <w:pPr>
              <w:keepNext/>
              <w:kinsoku/>
              <w:overflowPunct/>
              <w:autoSpaceDE/>
              <w:autoSpaceDN/>
              <w:adjustRightInd/>
              <w:snapToGrid/>
              <w:jc w:val="center"/>
              <w:rPr>
                <w:rFonts w:ascii="Arial" w:hAnsi="Arial"/>
                <w:b/>
                <w:bCs/>
                <w:snapToGrid/>
                <w:color w:val="A32020"/>
                <w:sz w:val="16"/>
                <w:szCs w:val="16"/>
                <w:lang w:eastAsia="en-AU"/>
              </w:rPr>
            </w:pPr>
            <w:r>
              <w:rPr>
                <w:rFonts w:ascii="Arial" w:hAnsi="Arial"/>
                <w:b/>
                <w:bCs/>
                <w:snapToGrid/>
                <w:color w:val="A32020"/>
                <w:sz w:val="16"/>
                <w:szCs w:val="16"/>
                <w:lang w:eastAsia="en-AU"/>
              </w:rPr>
              <w:t>Low estimate</w:t>
            </w:r>
          </w:p>
        </w:tc>
        <w:tc>
          <w:tcPr>
            <w:tcW w:w="1778" w:type="pct"/>
            <w:vAlign w:val="center"/>
            <w:hideMark/>
          </w:tcPr>
          <w:p w:rsidR="00BE03AE" w:rsidRPr="00204ABD" w:rsidRDefault="00BE03AE" w:rsidP="00091AF8">
            <w:pPr>
              <w:keepNext/>
              <w:kinsoku/>
              <w:overflowPunct/>
              <w:autoSpaceDE/>
              <w:autoSpaceDN/>
              <w:adjustRightInd/>
              <w:snapToGrid/>
              <w:jc w:val="center"/>
              <w:rPr>
                <w:rFonts w:ascii="Arial" w:hAnsi="Arial"/>
                <w:b/>
                <w:bCs/>
                <w:snapToGrid/>
                <w:color w:val="A32020"/>
                <w:sz w:val="16"/>
                <w:szCs w:val="16"/>
                <w:lang w:eastAsia="en-AU"/>
              </w:rPr>
            </w:pPr>
            <w:r>
              <w:rPr>
                <w:rFonts w:ascii="Arial" w:hAnsi="Arial"/>
                <w:b/>
                <w:bCs/>
                <w:snapToGrid/>
                <w:color w:val="A32020"/>
                <w:sz w:val="16"/>
                <w:szCs w:val="16"/>
                <w:lang w:eastAsia="en-AU"/>
              </w:rPr>
              <w:t>High estimate</w:t>
            </w:r>
          </w:p>
        </w:tc>
      </w:tr>
      <w:tr w:rsidR="00325BAE" w:rsidRPr="00204ABD" w:rsidTr="000D6E9A">
        <w:trPr>
          <w:trHeight w:val="283"/>
        </w:trPr>
        <w:tc>
          <w:tcPr>
            <w:tcW w:w="1612" w:type="pct"/>
            <w:vAlign w:val="center"/>
            <w:hideMark/>
          </w:tcPr>
          <w:p w:rsidR="00325BAE" w:rsidRPr="00204ABD" w:rsidRDefault="00325BAE" w:rsidP="00091AF8">
            <w:pPr>
              <w:keepNext/>
              <w:kinsoku/>
              <w:overflowPunct/>
              <w:autoSpaceDE/>
              <w:autoSpaceDN/>
              <w:adjustRightInd/>
              <w:snapToGrid/>
              <w:jc w:val="center"/>
              <w:rPr>
                <w:rFonts w:ascii="Arial" w:hAnsi="Arial"/>
                <w:snapToGrid/>
                <w:color w:val="000000"/>
                <w:sz w:val="16"/>
                <w:szCs w:val="16"/>
                <w:lang w:eastAsia="en-AU"/>
              </w:rPr>
            </w:pPr>
            <w:r w:rsidRPr="00204ABD">
              <w:rPr>
                <w:rFonts w:ascii="Arial" w:hAnsi="Arial"/>
                <w:snapToGrid/>
                <w:color w:val="000000"/>
                <w:sz w:val="16"/>
                <w:szCs w:val="16"/>
                <w:lang w:eastAsia="en-AU"/>
              </w:rPr>
              <w:t>1</w:t>
            </w:r>
          </w:p>
        </w:tc>
        <w:tc>
          <w:tcPr>
            <w:tcW w:w="1610" w:type="pct"/>
            <w:vAlign w:val="center"/>
            <w:hideMark/>
          </w:tcPr>
          <w:p w:rsidR="00325BAE" w:rsidRPr="002D64B2" w:rsidRDefault="00325BAE" w:rsidP="00223124">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 xml:space="preserve">252 </w:t>
            </w:r>
          </w:p>
        </w:tc>
        <w:tc>
          <w:tcPr>
            <w:tcW w:w="1778" w:type="pct"/>
            <w:vAlign w:val="center"/>
            <w:hideMark/>
          </w:tcPr>
          <w:p w:rsidR="00325BAE" w:rsidRPr="002D64B2" w:rsidRDefault="00325BAE">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 xml:space="preserve">286 </w:t>
            </w:r>
          </w:p>
        </w:tc>
      </w:tr>
      <w:tr w:rsidR="00325BAE" w:rsidRPr="00204ABD" w:rsidTr="000D6E9A">
        <w:trPr>
          <w:trHeight w:val="283"/>
        </w:trPr>
        <w:tc>
          <w:tcPr>
            <w:tcW w:w="1612" w:type="pct"/>
            <w:vAlign w:val="center"/>
            <w:hideMark/>
          </w:tcPr>
          <w:p w:rsidR="00325BAE" w:rsidRPr="00204ABD" w:rsidRDefault="00325BAE" w:rsidP="00091AF8">
            <w:pPr>
              <w:keepNext/>
              <w:kinsoku/>
              <w:overflowPunct/>
              <w:autoSpaceDE/>
              <w:autoSpaceDN/>
              <w:adjustRightInd/>
              <w:snapToGrid/>
              <w:jc w:val="center"/>
              <w:rPr>
                <w:rFonts w:ascii="Arial" w:hAnsi="Arial"/>
                <w:snapToGrid/>
                <w:color w:val="000000"/>
                <w:sz w:val="16"/>
                <w:szCs w:val="16"/>
                <w:lang w:eastAsia="en-AU"/>
              </w:rPr>
            </w:pPr>
            <w:r w:rsidRPr="00204ABD">
              <w:rPr>
                <w:rFonts w:ascii="Arial" w:hAnsi="Arial"/>
                <w:snapToGrid/>
                <w:color w:val="000000"/>
                <w:sz w:val="16"/>
                <w:szCs w:val="16"/>
                <w:lang w:eastAsia="en-AU"/>
              </w:rPr>
              <w:t>2</w:t>
            </w:r>
          </w:p>
        </w:tc>
        <w:tc>
          <w:tcPr>
            <w:tcW w:w="1610" w:type="pct"/>
            <w:vAlign w:val="center"/>
            <w:hideMark/>
          </w:tcPr>
          <w:p w:rsidR="00325BAE" w:rsidRPr="002D64B2" w:rsidRDefault="00325BAE" w:rsidP="00223124">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 xml:space="preserve">219 </w:t>
            </w:r>
          </w:p>
        </w:tc>
        <w:tc>
          <w:tcPr>
            <w:tcW w:w="1778" w:type="pct"/>
            <w:vAlign w:val="center"/>
            <w:hideMark/>
          </w:tcPr>
          <w:p w:rsidR="00325BAE" w:rsidRPr="002D64B2" w:rsidRDefault="00325BAE">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 xml:space="preserve">247 </w:t>
            </w:r>
          </w:p>
        </w:tc>
      </w:tr>
      <w:tr w:rsidR="00325BAE" w:rsidRPr="00204ABD" w:rsidTr="000D6E9A">
        <w:trPr>
          <w:trHeight w:val="283"/>
        </w:trPr>
        <w:tc>
          <w:tcPr>
            <w:tcW w:w="1612" w:type="pct"/>
            <w:vAlign w:val="center"/>
            <w:hideMark/>
          </w:tcPr>
          <w:p w:rsidR="00325BAE" w:rsidRPr="00204ABD" w:rsidRDefault="00325BAE" w:rsidP="00091AF8">
            <w:pPr>
              <w:keepNext/>
              <w:kinsoku/>
              <w:overflowPunct/>
              <w:autoSpaceDE/>
              <w:autoSpaceDN/>
              <w:adjustRightInd/>
              <w:snapToGrid/>
              <w:jc w:val="center"/>
              <w:rPr>
                <w:rFonts w:ascii="Arial" w:hAnsi="Arial"/>
                <w:snapToGrid/>
                <w:color w:val="000000"/>
                <w:sz w:val="16"/>
                <w:szCs w:val="16"/>
                <w:lang w:eastAsia="en-AU"/>
              </w:rPr>
            </w:pPr>
            <w:r w:rsidRPr="00204ABD">
              <w:rPr>
                <w:rFonts w:ascii="Arial" w:hAnsi="Arial"/>
                <w:snapToGrid/>
                <w:color w:val="000000"/>
                <w:sz w:val="16"/>
                <w:szCs w:val="16"/>
                <w:lang w:eastAsia="en-AU"/>
              </w:rPr>
              <w:t>3</w:t>
            </w:r>
          </w:p>
        </w:tc>
        <w:tc>
          <w:tcPr>
            <w:tcW w:w="1610" w:type="pct"/>
            <w:vAlign w:val="center"/>
            <w:hideMark/>
          </w:tcPr>
          <w:p w:rsidR="00325BAE" w:rsidRPr="002D64B2" w:rsidRDefault="00325BAE" w:rsidP="00223124">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 xml:space="preserve">117 </w:t>
            </w:r>
          </w:p>
        </w:tc>
        <w:tc>
          <w:tcPr>
            <w:tcW w:w="1778" w:type="pct"/>
            <w:vAlign w:val="center"/>
            <w:hideMark/>
          </w:tcPr>
          <w:p w:rsidR="00325BAE" w:rsidRPr="002D64B2" w:rsidRDefault="00325BAE">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 xml:space="preserve">147 </w:t>
            </w:r>
          </w:p>
        </w:tc>
      </w:tr>
    </w:tbl>
    <w:p w:rsidR="00BE03AE" w:rsidRDefault="00BE03AE" w:rsidP="00091AF8">
      <w:pPr>
        <w:pStyle w:val="Sources"/>
        <w:keepNext/>
      </w:pPr>
      <w:r>
        <w:t>Source: PwC analysis.</w:t>
      </w:r>
      <w:r w:rsidRPr="006947CF">
        <w:t xml:space="preserve"> </w:t>
      </w:r>
      <w:r>
        <w:t xml:space="preserve">Annualised figures are averaged over </w:t>
      </w:r>
      <w:r w:rsidR="00A72773">
        <w:t>1</w:t>
      </w:r>
      <w:r>
        <w:t>0 year</w:t>
      </w:r>
      <w:r w:rsidR="00A72773">
        <w:t>s</w:t>
      </w:r>
      <w:r>
        <w:t>.</w:t>
      </w:r>
    </w:p>
    <w:p w:rsidR="00BE03AE" w:rsidRDefault="00BE03AE">
      <w:pPr>
        <w:pStyle w:val="StylePwCNormalnmajNormalnotetextcvteCNormalnotetext2"/>
      </w:pPr>
      <w:r>
        <w:t>To the extent that employers (businesses, not-for-profits and the government sector) factor these additional wage costs into future wage agreements in the form of lower than otherwise wage offers, it</w:t>
      </w:r>
      <w:r w:rsidR="0078042A">
        <w:t xml:space="preserve"> is</w:t>
      </w:r>
      <w:r>
        <w:t xml:space="preserve"> possible that</w:t>
      </w:r>
      <w:r w:rsidR="009405FA">
        <w:t xml:space="preserve"> some</w:t>
      </w:r>
      <w:r>
        <w:t xml:space="preserve"> employers may be able to reduce the size of the wage transfers in the future.</w:t>
      </w:r>
    </w:p>
    <w:p w:rsidR="00BE03AE" w:rsidRDefault="00BE03AE" w:rsidP="000D6E9A">
      <w:pPr>
        <w:pStyle w:val="StylePwCNormalnmajNormalnotetextcvteCNormalnotetext2"/>
      </w:pPr>
      <w:r>
        <w:t>Further, while employers</w:t>
      </w:r>
      <w:r w:rsidR="00E63B9F">
        <w:t xml:space="preserve"> </w:t>
      </w:r>
      <w:r>
        <w:t xml:space="preserve">bear the additional wage costs in the first instance, it is possible that </w:t>
      </w:r>
      <w:r w:rsidR="000138E1">
        <w:t>some</w:t>
      </w:r>
      <w:r w:rsidR="00E63B9F">
        <w:t xml:space="preserve"> of these</w:t>
      </w:r>
      <w:r>
        <w:t xml:space="preserve"> </w:t>
      </w:r>
      <w:r w:rsidR="000138E1">
        <w:t xml:space="preserve">wage </w:t>
      </w:r>
      <w:r>
        <w:t xml:space="preserve">costs may be passed onto consumers in the form of higher prices for goods and services. </w:t>
      </w:r>
    </w:p>
    <w:p w:rsidR="00BE03AE" w:rsidRPr="00EB0B06" w:rsidRDefault="00BE03AE" w:rsidP="00BE03AE">
      <w:pPr>
        <w:pStyle w:val="Minorheading2"/>
      </w:pPr>
      <w:r w:rsidRPr="00EB0B06">
        <w:t xml:space="preserve">Benefits of </w:t>
      </w:r>
      <w:r>
        <w:t xml:space="preserve">proposed </w:t>
      </w:r>
      <w:r w:rsidRPr="00EB0B06">
        <w:t>public holidays</w:t>
      </w:r>
    </w:p>
    <w:p w:rsidR="00BE03AE" w:rsidRDefault="00F27874" w:rsidP="000D6E9A">
      <w:pPr>
        <w:pStyle w:val="StylePwCNormalnmajNormalnotetextcvteCNormalnotetext2"/>
      </w:pPr>
      <w:r>
        <w:t>T</w:t>
      </w:r>
      <w:r w:rsidR="00BE03AE">
        <w:t>he economic analysis needs to consider the total impact of the proposed public holidays on Victoria, of which there are a series of potential benefits and costs.</w:t>
      </w:r>
      <w:r w:rsidR="00D553E7">
        <w:t xml:space="preserve"> The potential benefits are discussed below.</w:t>
      </w:r>
    </w:p>
    <w:p w:rsidR="00BE03AE" w:rsidRPr="00604D40" w:rsidRDefault="00BE03AE" w:rsidP="00BE03AE">
      <w:pPr>
        <w:pStyle w:val="Minorheading3"/>
      </w:pPr>
      <w:r w:rsidRPr="00604D40">
        <w:t>Benefits to the community</w:t>
      </w:r>
    </w:p>
    <w:p w:rsidR="00BE03AE" w:rsidRDefault="00BE03AE" w:rsidP="00BE03AE">
      <w:pPr>
        <w:pStyle w:val="StylePwCNormalnmajNormalnotetextcvteCNormalnotetext"/>
        <w:numPr>
          <w:ilvl w:val="0"/>
          <w:numId w:val="26"/>
        </w:numPr>
      </w:pPr>
      <w:r>
        <w:t xml:space="preserve">The social and cultural benefits of the options are enjoyed by the Victorian community in the form of additional leisure time. </w:t>
      </w:r>
    </w:p>
    <w:p w:rsidR="0013700E" w:rsidRDefault="00E3381D" w:rsidP="00FA0DC6">
      <w:pPr>
        <w:pStyle w:val="StylePwCNormalnmajNormalnotetextcvteCNormalnotetext"/>
        <w:numPr>
          <w:ilvl w:val="0"/>
          <w:numId w:val="26"/>
        </w:numPr>
      </w:pPr>
      <w:r>
        <w:t xml:space="preserve">Our analysis </w:t>
      </w:r>
      <w:r w:rsidR="000138E1">
        <w:t>estimates</w:t>
      </w:r>
      <w:r>
        <w:t xml:space="preserve"> </w:t>
      </w:r>
      <w:r w:rsidR="003A31A1">
        <w:t xml:space="preserve">that </w:t>
      </w:r>
      <w:r>
        <w:t>this equates to an additional 1.</w:t>
      </w:r>
      <w:r w:rsidR="00A566C9">
        <w:t>5</w:t>
      </w:r>
      <w:r>
        <w:t xml:space="preserve"> million days off for Victorians collectively. </w:t>
      </w:r>
      <w:r w:rsidR="000138E1">
        <w:t>The</w:t>
      </w:r>
      <w:r w:rsidR="00BE03AE">
        <w:t xml:space="preserve"> potential value of </w:t>
      </w:r>
      <w:r w:rsidR="000138E1">
        <w:t xml:space="preserve">this </w:t>
      </w:r>
      <w:r w:rsidR="00BE03AE">
        <w:t>additional leisure time</w:t>
      </w:r>
      <w:r w:rsidR="009A560C">
        <w:t xml:space="preserve"> </w:t>
      </w:r>
      <w:r w:rsidR="000138E1">
        <w:t>is estimated at</w:t>
      </w:r>
      <w:r w:rsidR="00BE03AE">
        <w:t xml:space="preserve"> between </w:t>
      </w:r>
      <w:r w:rsidR="00BE03AE" w:rsidRPr="003E7E0A">
        <w:rPr>
          <w:b/>
        </w:rPr>
        <w:t>$</w:t>
      </w:r>
      <w:r w:rsidR="00325BAE">
        <w:rPr>
          <w:b/>
        </w:rPr>
        <w:t>156</w:t>
      </w:r>
      <w:r w:rsidR="00325BAE" w:rsidRPr="003E7E0A">
        <w:rPr>
          <w:b/>
        </w:rPr>
        <w:t> </w:t>
      </w:r>
      <w:r w:rsidR="00BE03AE" w:rsidRPr="003E7E0A">
        <w:rPr>
          <w:b/>
        </w:rPr>
        <w:t>million</w:t>
      </w:r>
      <w:r w:rsidR="00BE03AE">
        <w:t xml:space="preserve"> and </w:t>
      </w:r>
      <w:r w:rsidR="00BE03AE" w:rsidRPr="003E7E0A">
        <w:rPr>
          <w:b/>
        </w:rPr>
        <w:t>$</w:t>
      </w:r>
      <w:r w:rsidR="00325BAE">
        <w:rPr>
          <w:b/>
        </w:rPr>
        <w:t>312</w:t>
      </w:r>
      <w:r w:rsidR="00325BAE" w:rsidRPr="003E7E0A">
        <w:rPr>
          <w:b/>
        </w:rPr>
        <w:t> </w:t>
      </w:r>
      <w:r w:rsidR="00BE03AE" w:rsidRPr="003E7E0A">
        <w:rPr>
          <w:b/>
        </w:rPr>
        <w:t>million</w:t>
      </w:r>
      <w:r w:rsidR="00BE03AE">
        <w:t xml:space="preserve"> annually. </w:t>
      </w:r>
    </w:p>
    <w:p w:rsidR="005A2D93" w:rsidRDefault="001279ED" w:rsidP="00FA0DC6">
      <w:pPr>
        <w:pStyle w:val="StylePwCNormalnmajNormalnotetextcvteCNormalnotetext"/>
        <w:numPr>
          <w:ilvl w:val="0"/>
          <w:numId w:val="26"/>
        </w:numPr>
      </w:pPr>
      <w:r>
        <w:t>T</w:t>
      </w:r>
      <w:r w:rsidR="005A2D93">
        <w:t>hese values relate to individual leisure time</w:t>
      </w:r>
      <w:r w:rsidR="003A31A1">
        <w:t xml:space="preserve"> only. Including the </w:t>
      </w:r>
      <w:r w:rsidR="009C78D5">
        <w:t>additional</w:t>
      </w:r>
      <w:r w:rsidR="002A205C">
        <w:t xml:space="preserve"> </w:t>
      </w:r>
      <w:r w:rsidR="005A2D93">
        <w:t xml:space="preserve">benefits associated with the provision of coordinated </w:t>
      </w:r>
      <w:r w:rsidR="009C78D5">
        <w:t>leisure time</w:t>
      </w:r>
      <w:r w:rsidR="005A2D93">
        <w:t xml:space="preserve"> associated with public holidays</w:t>
      </w:r>
      <w:r w:rsidR="003A31A1">
        <w:t xml:space="preserve"> would</w:t>
      </w:r>
      <w:r>
        <w:t xml:space="preserve"> further</w:t>
      </w:r>
      <w:r w:rsidR="003A31A1">
        <w:t xml:space="preserve"> increase the benefits</w:t>
      </w:r>
      <w:r>
        <w:t>.</w:t>
      </w:r>
      <w:r w:rsidR="005A2D93">
        <w:t xml:space="preserve"> </w:t>
      </w:r>
      <w:r w:rsidR="003A31A1">
        <w:t xml:space="preserve">In </w:t>
      </w:r>
      <w:r w:rsidR="000138E1">
        <w:t>considering the benefits of the new public holidays</w:t>
      </w:r>
      <w:r w:rsidR="003A31A1">
        <w:t>, readers are asked to consider the extent to which they will derive additional benefits from having coordinated leisure time with their family and friends.</w:t>
      </w:r>
    </w:p>
    <w:p w:rsidR="00BE03AE" w:rsidRPr="00604D40" w:rsidRDefault="00BE03AE" w:rsidP="00BE03AE">
      <w:pPr>
        <w:pStyle w:val="Minorheading3"/>
      </w:pPr>
      <w:r w:rsidRPr="00604D40">
        <w:t>Benefits to business and the economy</w:t>
      </w:r>
    </w:p>
    <w:p w:rsidR="002373AD" w:rsidRDefault="001279ED" w:rsidP="00091AF8">
      <w:pPr>
        <w:pStyle w:val="StylePwCNormalnmajNormalnotetextcvteCNormalnotetext2"/>
      </w:pPr>
      <w:r>
        <w:t>T</w:t>
      </w:r>
      <w:r w:rsidR="0042168A">
        <w:t xml:space="preserve">he two new public holidays </w:t>
      </w:r>
      <w:r>
        <w:t>are expected to increase</w:t>
      </w:r>
      <w:r w:rsidR="00BE03AE" w:rsidRPr="005C1332">
        <w:t xml:space="preserve"> tourism and related expenditure</w:t>
      </w:r>
      <w:r>
        <w:t>.</w:t>
      </w:r>
      <w:r w:rsidR="00BE03AE" w:rsidRPr="005C1332">
        <w:t xml:space="preserve"> </w:t>
      </w:r>
      <w:r w:rsidR="00035B39" w:rsidRPr="005C1332">
        <w:t>This, however, would be at least partly offset by the additional wage costs</w:t>
      </w:r>
      <w:r w:rsidR="0042168A">
        <w:t xml:space="preserve"> incurred by </w:t>
      </w:r>
      <w:r w:rsidR="002373AD">
        <w:t xml:space="preserve">those </w:t>
      </w:r>
      <w:r w:rsidR="0042168A">
        <w:t>employers</w:t>
      </w:r>
      <w:r w:rsidR="00035B39" w:rsidRPr="005C1332">
        <w:t xml:space="preserve"> on public holidays</w:t>
      </w:r>
      <w:r w:rsidR="0042168A">
        <w:t xml:space="preserve">. Further, it is </w:t>
      </w:r>
      <w:r w:rsidR="002C1A06">
        <w:t xml:space="preserve">likely </w:t>
      </w:r>
      <w:r w:rsidR="0042168A">
        <w:t>that the additional expenditure by consumers on these days is partly offset</w:t>
      </w:r>
      <w:r w:rsidR="00057EA6" w:rsidRPr="005C1332">
        <w:t xml:space="preserve"> by reduced consumption across the rest of the year.</w:t>
      </w:r>
      <w:r w:rsidR="00A72773">
        <w:t xml:space="preserve"> </w:t>
      </w:r>
    </w:p>
    <w:p w:rsidR="00603AF8" w:rsidRDefault="00B24F37" w:rsidP="00091AF8">
      <w:pPr>
        <w:pStyle w:val="StylePwCNormalnmajNormalnotetextcvteCNormalnotetext2"/>
      </w:pPr>
      <w:r>
        <w:t>The analysis has considered</w:t>
      </w:r>
      <w:r w:rsidR="00603AF8">
        <w:t xml:space="preserve"> two main drivers of increased tourism </w:t>
      </w:r>
      <w:r>
        <w:t>from public holidays</w:t>
      </w:r>
      <w:r w:rsidR="00603AF8">
        <w:t xml:space="preserve">. These relate to enhancing Victoria’s reputation as a destination for sports fans and encouraging more visitors to Victoria’s regions. </w:t>
      </w:r>
    </w:p>
    <w:p w:rsidR="00603AF8" w:rsidRDefault="00603AF8" w:rsidP="00603AF8">
      <w:pPr>
        <w:pStyle w:val="ListBullet"/>
      </w:pPr>
      <w:r w:rsidRPr="00091AF8">
        <w:rPr>
          <w:b/>
        </w:rPr>
        <w:t>Enhancing the sporting reputation of Victoria</w:t>
      </w:r>
      <w:r w:rsidRPr="005C1332">
        <w:t>. This occurs to the extent t</w:t>
      </w:r>
      <w:r w:rsidR="00D228E4">
        <w:t xml:space="preserve">hat </w:t>
      </w:r>
      <w:r w:rsidR="00B24F37">
        <w:t>the Friday before the AFL Grand Final public holiday</w:t>
      </w:r>
      <w:r w:rsidR="00D228E4">
        <w:t xml:space="preserve"> provides</w:t>
      </w:r>
      <w:r w:rsidRPr="005C1332">
        <w:t xml:space="preserve"> </w:t>
      </w:r>
      <w:r w:rsidR="00B24F37">
        <w:t xml:space="preserve">the potential </w:t>
      </w:r>
      <w:r w:rsidRPr="005C1332">
        <w:t xml:space="preserve">for the creation of </w:t>
      </w:r>
      <w:r w:rsidR="002C1A06">
        <w:t>complementary</w:t>
      </w:r>
      <w:r w:rsidR="002C1A06" w:rsidRPr="005C1332">
        <w:t xml:space="preserve"> </w:t>
      </w:r>
      <w:r w:rsidRPr="005C1332">
        <w:t>sporting or cultural events alongside the AFL Grand Final</w:t>
      </w:r>
      <w:r w:rsidR="002373AD">
        <w:t xml:space="preserve"> and the Grand Final Parade</w:t>
      </w:r>
      <w:r>
        <w:t>.</w:t>
      </w:r>
      <w:r w:rsidR="00751662">
        <w:t xml:space="preserve"> </w:t>
      </w:r>
    </w:p>
    <w:p w:rsidR="00751662" w:rsidRDefault="00751662" w:rsidP="00091AF8">
      <w:pPr>
        <w:pStyle w:val="ListBullet"/>
        <w:numPr>
          <w:ilvl w:val="0"/>
          <w:numId w:val="0"/>
        </w:numPr>
        <w:ind w:left="284"/>
      </w:pPr>
      <w:r w:rsidRPr="005C1332">
        <w:t xml:space="preserve">Due to uncertainty around the potential values associated with </w:t>
      </w:r>
      <w:r w:rsidR="002373AD">
        <w:t>further</w:t>
      </w:r>
      <w:r w:rsidR="002373AD" w:rsidRPr="005C1332">
        <w:t xml:space="preserve"> </w:t>
      </w:r>
      <w:r w:rsidRPr="005C1332">
        <w:t>events</w:t>
      </w:r>
      <w:r w:rsidR="00B24F37">
        <w:t xml:space="preserve"> </w:t>
      </w:r>
      <w:r w:rsidR="002373AD">
        <w:t xml:space="preserve">related to </w:t>
      </w:r>
      <w:r w:rsidR="00B24F37">
        <w:t>the AFL Grand Final</w:t>
      </w:r>
      <w:r w:rsidRPr="005C1332">
        <w:t>, th</w:t>
      </w:r>
      <w:r w:rsidR="00B24F37">
        <w:t>e size of this benefit has not been estimated</w:t>
      </w:r>
      <w:r w:rsidRPr="005C1332">
        <w:t>.</w:t>
      </w:r>
    </w:p>
    <w:p w:rsidR="00603AF8" w:rsidRDefault="00603AF8" w:rsidP="00091AF8">
      <w:pPr>
        <w:pStyle w:val="ListBullet"/>
        <w:numPr>
          <w:ilvl w:val="0"/>
          <w:numId w:val="0"/>
        </w:numPr>
        <w:ind w:left="284"/>
      </w:pPr>
      <w:r w:rsidRPr="005C1332">
        <w:t xml:space="preserve">There are </w:t>
      </w:r>
      <w:r w:rsidR="00751662">
        <w:t>however</w:t>
      </w:r>
      <w:r w:rsidRPr="005C1332">
        <w:t xml:space="preserve"> studies of the economic contribution of football and like events </w:t>
      </w:r>
      <w:r w:rsidR="00B24F37">
        <w:t xml:space="preserve">that </w:t>
      </w:r>
      <w:r w:rsidRPr="005C1332">
        <w:t>provide context around the potential benefits to Victorian</w:t>
      </w:r>
      <w:r w:rsidR="002B36CA">
        <w:t xml:space="preserve"> sports-related</w:t>
      </w:r>
      <w:r w:rsidRPr="005C1332">
        <w:t xml:space="preserve"> tourism. These studies suggest that such events could </w:t>
      </w:r>
      <w:r w:rsidR="002B36CA">
        <w:t xml:space="preserve">potentially </w:t>
      </w:r>
      <w:r w:rsidRPr="005C1332">
        <w:t xml:space="preserve">contribute between </w:t>
      </w:r>
      <w:r w:rsidRPr="005C1332">
        <w:rPr>
          <w:b/>
        </w:rPr>
        <w:t>$7 million</w:t>
      </w:r>
      <w:r w:rsidRPr="005C1332">
        <w:t xml:space="preserve"> and </w:t>
      </w:r>
      <w:r w:rsidRPr="005C1332">
        <w:rPr>
          <w:b/>
        </w:rPr>
        <w:t>$49 million</w:t>
      </w:r>
      <w:r w:rsidRPr="005C1332">
        <w:t xml:space="preserve"> annually to the Victorian economy.</w:t>
      </w:r>
      <w:r w:rsidR="00A55955">
        <w:t xml:space="preserve"> </w:t>
      </w:r>
    </w:p>
    <w:p w:rsidR="005E1671" w:rsidRDefault="005E1671" w:rsidP="0036733E">
      <w:pPr>
        <w:pStyle w:val="ListBullet"/>
        <w:numPr>
          <w:ilvl w:val="0"/>
          <w:numId w:val="0"/>
        </w:numPr>
        <w:ind w:left="284"/>
      </w:pPr>
      <w:r>
        <w:t>W</w:t>
      </w:r>
      <w:r w:rsidRPr="000D6E9A">
        <w:t xml:space="preserve">hile </w:t>
      </w:r>
      <w:r>
        <w:t xml:space="preserve">some of </w:t>
      </w:r>
      <w:r w:rsidRPr="000D6E9A">
        <w:t>the above studies relate to sporting events that are not connected with public holidays they</w:t>
      </w:r>
      <w:r>
        <w:t xml:space="preserve"> have </w:t>
      </w:r>
      <w:r w:rsidRPr="000D6E9A">
        <w:t>been incl</w:t>
      </w:r>
      <w:r w:rsidRPr="0036733E">
        <w:t xml:space="preserve">uded </w:t>
      </w:r>
      <w:r w:rsidR="001279ED">
        <w:t>to illustrate</w:t>
      </w:r>
      <w:r w:rsidRPr="0036733E">
        <w:t xml:space="preserve"> </w:t>
      </w:r>
      <w:r w:rsidRPr="000D6E9A">
        <w:t xml:space="preserve">the potential benefits </w:t>
      </w:r>
      <w:r>
        <w:t xml:space="preserve">that </w:t>
      </w:r>
      <w:r w:rsidR="00BA45EA">
        <w:t xml:space="preserve">might </w:t>
      </w:r>
      <w:r w:rsidR="00D553E7">
        <w:t>occur</w:t>
      </w:r>
      <w:r w:rsidR="001279ED">
        <w:t>.</w:t>
      </w:r>
      <w:r w:rsidR="00627804">
        <w:t xml:space="preserve"> </w:t>
      </w:r>
    </w:p>
    <w:p w:rsidR="00A72773" w:rsidRDefault="00603AF8" w:rsidP="00751662">
      <w:pPr>
        <w:pStyle w:val="ListBullet"/>
      </w:pPr>
      <w:r w:rsidRPr="00091AF8">
        <w:rPr>
          <w:b/>
        </w:rPr>
        <w:t xml:space="preserve">Encouraging </w:t>
      </w:r>
      <w:r>
        <w:rPr>
          <w:b/>
        </w:rPr>
        <w:t xml:space="preserve">more </w:t>
      </w:r>
      <w:r w:rsidRPr="00091AF8">
        <w:rPr>
          <w:b/>
        </w:rPr>
        <w:t>visitors to Victoria’s regions</w:t>
      </w:r>
      <w:r>
        <w:t xml:space="preserve">. </w:t>
      </w:r>
      <w:r w:rsidR="00B44ED0">
        <w:t>Additional</w:t>
      </w:r>
      <w:r w:rsidR="00C41871">
        <w:t xml:space="preserve"> public holidays </w:t>
      </w:r>
      <w:r w:rsidR="00B44ED0">
        <w:t xml:space="preserve">could </w:t>
      </w:r>
      <w:r w:rsidR="00751662" w:rsidRPr="00751662">
        <w:t xml:space="preserve">also </w:t>
      </w:r>
      <w:r w:rsidR="00C41871">
        <w:t>provide tourism-related</w:t>
      </w:r>
      <w:r w:rsidR="00751662" w:rsidRPr="00751662">
        <w:t xml:space="preserve"> benefit</w:t>
      </w:r>
      <w:r w:rsidR="00C41871">
        <w:t>s</w:t>
      </w:r>
      <w:r w:rsidR="00751662" w:rsidRPr="00751662">
        <w:t xml:space="preserve"> to regional Victoria and </w:t>
      </w:r>
      <w:r w:rsidR="00A50588">
        <w:t xml:space="preserve">the </w:t>
      </w:r>
      <w:r w:rsidR="00751662" w:rsidRPr="00751662">
        <w:t>businesses</w:t>
      </w:r>
      <w:r w:rsidR="00C41871">
        <w:t xml:space="preserve"> in those regions</w:t>
      </w:r>
      <w:r w:rsidR="00751662" w:rsidRPr="00751662">
        <w:t xml:space="preserve">.  </w:t>
      </w:r>
    </w:p>
    <w:p w:rsidR="00751662" w:rsidRDefault="00751662" w:rsidP="000D6E9A">
      <w:pPr>
        <w:pStyle w:val="ListBullet"/>
        <w:numPr>
          <w:ilvl w:val="0"/>
          <w:numId w:val="0"/>
        </w:numPr>
        <w:ind w:left="284"/>
      </w:pPr>
      <w:r w:rsidRPr="00751662">
        <w:t>Several stakeholders noted that long weekends can provide opportunities for towns in regional Victoria to hold events and festivals to attract more visitors to the region. To the extent that additional events and festivals are established, then the benefits would likely be similar to those experienced during existing long</w:t>
      </w:r>
      <w:r w:rsidR="005A5B49">
        <w:t xml:space="preserve"> </w:t>
      </w:r>
      <w:r w:rsidRPr="00751662">
        <w:t xml:space="preserve">weekend public holidays such as the Labour Day and Queen’s Birthday public holidays. </w:t>
      </w:r>
    </w:p>
    <w:p w:rsidR="00A55955" w:rsidRDefault="00751662" w:rsidP="00091AF8">
      <w:pPr>
        <w:pStyle w:val="ListBullet"/>
        <w:numPr>
          <w:ilvl w:val="0"/>
          <w:numId w:val="0"/>
        </w:numPr>
        <w:ind w:left="284"/>
      </w:pPr>
      <w:r>
        <w:t xml:space="preserve">Tourism Victoria has indicated that a targeted campaign to encourage Melburnians to travel to the regions </w:t>
      </w:r>
      <w:r w:rsidR="00B5108B">
        <w:t xml:space="preserve">on a new long weekend </w:t>
      </w:r>
      <w:r>
        <w:t xml:space="preserve">could result in additional tourism expenditure in regional Victoria of between </w:t>
      </w:r>
      <w:r w:rsidRPr="00813481">
        <w:rPr>
          <w:b/>
        </w:rPr>
        <w:t>$17 million</w:t>
      </w:r>
      <w:r>
        <w:t xml:space="preserve"> and </w:t>
      </w:r>
      <w:r w:rsidRPr="00813481">
        <w:rPr>
          <w:b/>
        </w:rPr>
        <w:t>$51 million</w:t>
      </w:r>
      <w:r>
        <w:t xml:space="preserve"> annually. </w:t>
      </w:r>
    </w:p>
    <w:p w:rsidR="0042168A" w:rsidRPr="005C1332" w:rsidRDefault="002373AD" w:rsidP="00C873BE">
      <w:pPr>
        <w:pStyle w:val="ListBullet"/>
        <w:numPr>
          <w:ilvl w:val="0"/>
          <w:numId w:val="0"/>
        </w:numPr>
        <w:ind w:left="284"/>
      </w:pPr>
      <w:r>
        <w:t>T</w:t>
      </w:r>
      <w:r w:rsidR="00751662">
        <w:t>hese benefits</w:t>
      </w:r>
      <w:r w:rsidR="00B44ED0">
        <w:t>,</w:t>
      </w:r>
      <w:r w:rsidR="00751662">
        <w:t xml:space="preserve"> </w:t>
      </w:r>
      <w:r>
        <w:t>however</w:t>
      </w:r>
      <w:r w:rsidR="00B44ED0">
        <w:t>,</w:t>
      </w:r>
      <w:r>
        <w:t xml:space="preserve"> </w:t>
      </w:r>
      <w:r w:rsidR="00751662">
        <w:t>would be offset by reduced expenditure by Victorians in metropolitan areas</w:t>
      </w:r>
      <w:r w:rsidR="00C925C7">
        <w:t xml:space="preserve">. </w:t>
      </w:r>
      <w:r w:rsidR="00A55955">
        <w:t xml:space="preserve">Therefore, they have not been treated as net economic benefits to Victoria for the purpose of this RIS. </w:t>
      </w:r>
      <w:r w:rsidR="00814E94">
        <w:t xml:space="preserve">It is possible </w:t>
      </w:r>
      <w:proofErr w:type="gramStart"/>
      <w:r w:rsidR="00814E94">
        <w:t>that c</w:t>
      </w:r>
      <w:r w:rsidR="00A55955">
        <w:t>apacity constraints</w:t>
      </w:r>
      <w:proofErr w:type="gramEnd"/>
      <w:r w:rsidR="00A55955">
        <w:t xml:space="preserve"> could also limit the tourism benefits </w:t>
      </w:r>
      <w:r w:rsidR="00450728">
        <w:t xml:space="preserve">and </w:t>
      </w:r>
      <w:r w:rsidR="008F4B7F">
        <w:t xml:space="preserve">that </w:t>
      </w:r>
      <w:r w:rsidR="00450728">
        <w:t xml:space="preserve">some </w:t>
      </w:r>
      <w:r w:rsidR="008F4B7F">
        <w:t xml:space="preserve">Victorians </w:t>
      </w:r>
      <w:r w:rsidR="00450728">
        <w:t xml:space="preserve">will </w:t>
      </w:r>
      <w:r w:rsidR="008F4B7F">
        <w:t>travel interstate on a long weekend</w:t>
      </w:r>
      <w:r w:rsidR="00CC567F">
        <w:t>.</w:t>
      </w:r>
      <w:r w:rsidR="008F4B7F">
        <w:t xml:space="preserve"> </w:t>
      </w:r>
    </w:p>
    <w:p w:rsidR="00BE03AE" w:rsidRPr="00EB0B06" w:rsidRDefault="00BE03AE" w:rsidP="00BE03AE">
      <w:pPr>
        <w:pStyle w:val="Minorheading2"/>
      </w:pPr>
      <w:r w:rsidRPr="006C23B1">
        <w:t>Costs to the Victorian economy</w:t>
      </w:r>
      <w:r w:rsidRPr="00EB0B06">
        <w:t xml:space="preserve"> (</w:t>
      </w:r>
      <w:r>
        <w:t>reduced economic activity</w:t>
      </w:r>
      <w:r w:rsidRPr="00EB0B06">
        <w:t>)</w:t>
      </w:r>
    </w:p>
    <w:p w:rsidR="00BE03AE" w:rsidRDefault="00450728" w:rsidP="00091AF8">
      <w:pPr>
        <w:pStyle w:val="StylePwCNormalnmajNormalnotetextcvteCNormalnotetext2"/>
      </w:pPr>
      <w:r>
        <w:t>A</w:t>
      </w:r>
      <w:r w:rsidR="00350BE0">
        <w:t>dditional public holidays</w:t>
      </w:r>
      <w:r>
        <w:t xml:space="preserve"> will result in </w:t>
      </w:r>
      <w:r w:rsidR="00BE03AE">
        <w:t xml:space="preserve">a cost to </w:t>
      </w:r>
      <w:r w:rsidR="00350BE0">
        <w:t xml:space="preserve">Victoria’s </w:t>
      </w:r>
      <w:r w:rsidR="00BE03AE">
        <w:t xml:space="preserve">economic output </w:t>
      </w:r>
      <w:r w:rsidR="002373AD">
        <w:t xml:space="preserve">in the form of </w:t>
      </w:r>
      <w:r w:rsidR="00350BE0">
        <w:t>foregone production</w:t>
      </w:r>
      <w:r w:rsidR="00BE03AE">
        <w:t xml:space="preserve">. </w:t>
      </w:r>
    </w:p>
    <w:p w:rsidR="00BE03AE" w:rsidRDefault="002373AD" w:rsidP="00091AF8">
      <w:pPr>
        <w:pStyle w:val="StylePwCNormalnmajNormalnotetextcvteCNormalnotetext2"/>
      </w:pPr>
      <w:r>
        <w:t>Employers that do not operate on one or both of the proposed public holidays</w:t>
      </w:r>
      <w:r w:rsidR="002653BE">
        <w:t xml:space="preserve"> (but would otherwise have operated)</w:t>
      </w:r>
      <w:r>
        <w:t xml:space="preserve"> would produce less output for the year. </w:t>
      </w:r>
      <w:r w:rsidR="00FC1A2C">
        <w:t>For these employers, i</w:t>
      </w:r>
      <w:r w:rsidR="00166E6F">
        <w:t>t is</w:t>
      </w:r>
      <w:r w:rsidR="00BE03AE">
        <w:t xml:space="preserve"> estimated that up to 0.4 per cent of their annual output</w:t>
      </w:r>
      <w:r w:rsidR="00FC1A2C">
        <w:t xml:space="preserve"> could be foregone for each proposed public holiday </w:t>
      </w:r>
      <w:r w:rsidR="00BE03AE">
        <w:t xml:space="preserve">(for those employers that operate </w:t>
      </w:r>
      <w:r w:rsidR="00166E6F">
        <w:t xml:space="preserve">approximately </w:t>
      </w:r>
      <w:r w:rsidR="00BE03AE">
        <w:t>250 days per year)</w:t>
      </w:r>
      <w:r w:rsidR="009405FA">
        <w:t>:</w:t>
      </w:r>
    </w:p>
    <w:p w:rsidR="00BE03AE" w:rsidRDefault="00BE03AE" w:rsidP="00091AF8">
      <w:pPr>
        <w:pStyle w:val="ListBullet"/>
      </w:pPr>
      <w:r>
        <w:t xml:space="preserve">Some employers would not operate on </w:t>
      </w:r>
      <w:r w:rsidR="00307783">
        <w:t>the Friday before the</w:t>
      </w:r>
      <w:r w:rsidR="00F51110">
        <w:t xml:space="preserve"> AFL</w:t>
      </w:r>
      <w:r w:rsidR="00307783">
        <w:t xml:space="preserve"> Grand Final</w:t>
      </w:r>
      <w:r>
        <w:t>, but would not be affected by Easter Sunday if that is not a normal working day for them.</w:t>
      </w:r>
    </w:p>
    <w:p w:rsidR="00BE03AE" w:rsidRDefault="00BE03AE" w:rsidP="00091AF8">
      <w:pPr>
        <w:pStyle w:val="ListBullet"/>
      </w:pPr>
      <w:r>
        <w:t>Other employers may be affected by both proposed public holidays, either by electing not to operate on those days or reducing their hours of operation.</w:t>
      </w:r>
    </w:p>
    <w:p w:rsidR="00BE03AE" w:rsidRDefault="00BE03AE" w:rsidP="000D6E9A">
      <w:pPr>
        <w:pStyle w:val="StylePwCNormalnmajNormalnotetextcvteCNormalnotetext2"/>
      </w:pPr>
      <w:r>
        <w:t xml:space="preserve">Discussions with business groups indicated that the increase in labour costs due to paying additional penalty rates on these days would result in some businesses closing in order to avoid making a financial loss.  </w:t>
      </w:r>
    </w:p>
    <w:p w:rsidR="00450728" w:rsidRDefault="00BE03AE" w:rsidP="00C56D87">
      <w:pPr>
        <w:pStyle w:val="StylePwCNormalnmajNormalnotetextcvteCNormalnotetext2"/>
      </w:pPr>
      <w:r>
        <w:fldChar w:fldCharType="begin"/>
      </w:r>
      <w:r>
        <w:instrText xml:space="preserve"> REF _Ref416428103 \h </w:instrText>
      </w:r>
      <w:r>
        <w:fldChar w:fldCharType="separate"/>
      </w:r>
      <w:r w:rsidR="00250375">
        <w:t xml:space="preserve">Table </w:t>
      </w:r>
      <w:r w:rsidR="00250375">
        <w:rPr>
          <w:noProof/>
        </w:rPr>
        <w:t>2</w:t>
      </w:r>
      <w:r>
        <w:fldChar w:fldCharType="end"/>
      </w:r>
      <w:r>
        <w:t xml:space="preserve"> provides estimates of the reduced economic activity </w:t>
      </w:r>
      <w:r w:rsidR="00166E6F">
        <w:t xml:space="preserve">in </w:t>
      </w:r>
      <w:r>
        <w:t xml:space="preserve">Victoria under each of the options considered.  It shows that under option 1, the lost production resulting from the two additional public holidays </w:t>
      </w:r>
      <w:r w:rsidR="00166E6F">
        <w:t xml:space="preserve">would equate </w:t>
      </w:r>
      <w:r>
        <w:t xml:space="preserve">to between </w:t>
      </w:r>
      <w:r w:rsidRPr="003E7E0A">
        <w:rPr>
          <w:b/>
        </w:rPr>
        <w:t>$</w:t>
      </w:r>
      <w:r w:rsidR="00325BAE">
        <w:rPr>
          <w:b/>
        </w:rPr>
        <w:t>717</w:t>
      </w:r>
      <w:r w:rsidR="00325BAE" w:rsidRPr="003E7E0A">
        <w:rPr>
          <w:b/>
        </w:rPr>
        <w:t> </w:t>
      </w:r>
      <w:r w:rsidRPr="003E7E0A">
        <w:rPr>
          <w:b/>
        </w:rPr>
        <w:t>million</w:t>
      </w:r>
      <w:r>
        <w:t xml:space="preserve"> and </w:t>
      </w:r>
      <w:r w:rsidRPr="003E7E0A">
        <w:rPr>
          <w:b/>
        </w:rPr>
        <w:t>$</w:t>
      </w:r>
      <w:r w:rsidR="00325BAE">
        <w:rPr>
          <w:b/>
        </w:rPr>
        <w:t>898</w:t>
      </w:r>
      <w:r w:rsidR="00325BAE" w:rsidRPr="003E7E0A">
        <w:rPr>
          <w:b/>
        </w:rPr>
        <w:t> </w:t>
      </w:r>
      <w:r w:rsidRPr="003E7E0A">
        <w:rPr>
          <w:b/>
        </w:rPr>
        <w:t>million</w:t>
      </w:r>
      <w:r>
        <w:t xml:space="preserve"> on an annualised basis. </w:t>
      </w:r>
      <w:r w:rsidR="002C1A06">
        <w:t>Accurately estimating these costs is difficult given the potential for varied behavioural responses of different individuals, businesses and groups.</w:t>
      </w:r>
      <w:r>
        <w:t xml:space="preserve"> </w:t>
      </w:r>
    </w:p>
    <w:p w:rsidR="00BE03AE" w:rsidRDefault="00BE03AE" w:rsidP="00C56D87">
      <w:pPr>
        <w:pStyle w:val="StylePwCNormalnmajNormalnotetextcvteCNormalnotetext2"/>
      </w:pPr>
      <w:r>
        <w:t xml:space="preserve">Splitting </w:t>
      </w:r>
      <w:r w:rsidR="002C1A06">
        <w:t xml:space="preserve">the cost estimates </w:t>
      </w:r>
      <w:r>
        <w:t>across the two proposed public holidays:</w:t>
      </w:r>
    </w:p>
    <w:p w:rsidR="00BE03AE" w:rsidRDefault="00BE03AE" w:rsidP="00091AF8">
      <w:pPr>
        <w:pStyle w:val="ListBullet"/>
      </w:pPr>
      <w:r w:rsidRPr="00197602">
        <w:t xml:space="preserve">The </w:t>
      </w:r>
      <w:r w:rsidR="00450728">
        <w:t>loss of</w:t>
      </w:r>
      <w:r w:rsidRPr="00197602">
        <w:t xml:space="preserve"> economic </w:t>
      </w:r>
      <w:r w:rsidR="00450728">
        <w:t>output</w:t>
      </w:r>
      <w:r w:rsidR="00450728" w:rsidRPr="00197602">
        <w:t xml:space="preserve"> </w:t>
      </w:r>
      <w:r w:rsidRPr="00197602">
        <w:t>from the Easter Sunday</w:t>
      </w:r>
      <w:r>
        <w:t xml:space="preserve"> public holiday is estimated to be between </w:t>
      </w:r>
      <w:r w:rsidRPr="002D64B2">
        <w:t>$</w:t>
      </w:r>
      <w:r w:rsidR="00325BAE">
        <w:t>37</w:t>
      </w:r>
      <w:r w:rsidR="00325BAE" w:rsidRPr="002D64B2">
        <w:t> </w:t>
      </w:r>
      <w:r w:rsidRPr="002D64B2">
        <w:t>million</w:t>
      </w:r>
      <w:r>
        <w:t xml:space="preserve"> and $</w:t>
      </w:r>
      <w:r w:rsidR="00325BAE">
        <w:t>46 </w:t>
      </w:r>
      <w:r>
        <w:t xml:space="preserve">million </w:t>
      </w:r>
      <w:r w:rsidR="00450728">
        <w:t>annually</w:t>
      </w:r>
      <w:r>
        <w:t>.</w:t>
      </w:r>
    </w:p>
    <w:p w:rsidR="00BE03AE" w:rsidRDefault="00BE03AE" w:rsidP="00091AF8">
      <w:pPr>
        <w:pStyle w:val="ListBullet"/>
      </w:pPr>
      <w:r w:rsidRPr="00197602">
        <w:t xml:space="preserve">The </w:t>
      </w:r>
      <w:r w:rsidR="00450728">
        <w:t>loss of</w:t>
      </w:r>
      <w:r w:rsidRPr="00197602">
        <w:t xml:space="preserve"> economic </w:t>
      </w:r>
      <w:r w:rsidR="00450728">
        <w:t>output</w:t>
      </w:r>
      <w:r w:rsidR="00450728" w:rsidRPr="00197602">
        <w:t xml:space="preserve"> </w:t>
      </w:r>
      <w:r w:rsidRPr="00197602">
        <w:t xml:space="preserve">from the </w:t>
      </w:r>
      <w:r w:rsidR="00307783">
        <w:t xml:space="preserve">Friday before the </w:t>
      </w:r>
      <w:r w:rsidR="00F51110">
        <w:t xml:space="preserve">AFL </w:t>
      </w:r>
      <w:r w:rsidR="00307783">
        <w:t>Grand Final</w:t>
      </w:r>
      <w:r>
        <w:t xml:space="preserve"> public holiday is </w:t>
      </w:r>
      <w:r w:rsidR="00FC1A2C">
        <w:t xml:space="preserve">estimated to be </w:t>
      </w:r>
      <w:r>
        <w:t>significantly higher at between $</w:t>
      </w:r>
      <w:r w:rsidR="00325BAE">
        <w:t>680 </w:t>
      </w:r>
      <w:r>
        <w:t>million and $</w:t>
      </w:r>
      <w:r w:rsidR="00C25BC3">
        <w:t>8</w:t>
      </w:r>
      <w:r w:rsidR="00325BAE">
        <w:t>52</w:t>
      </w:r>
      <w:r>
        <w:t xml:space="preserve"> million. This </w:t>
      </w:r>
      <w:r w:rsidR="00FC1A2C">
        <w:t xml:space="preserve">relatively higher cost </w:t>
      </w:r>
      <w:r>
        <w:t xml:space="preserve">is driven by the fact that a greater number of businesses would normally operate on a Friday compared with a Sunday.  </w:t>
      </w:r>
    </w:p>
    <w:p w:rsidR="00BE03AE" w:rsidRDefault="00BE03AE" w:rsidP="00BE03AE">
      <w:pPr>
        <w:pStyle w:val="Caption"/>
      </w:pPr>
      <w:bookmarkStart w:id="19" w:name="_Ref416428103"/>
      <w:r>
        <w:t xml:space="preserve">Table </w:t>
      </w:r>
      <w:r w:rsidR="00663565">
        <w:fldChar w:fldCharType="begin"/>
      </w:r>
      <w:r w:rsidR="00663565">
        <w:instrText xml:space="preserve"> SEQ Table \* ARABIC </w:instrText>
      </w:r>
      <w:r w:rsidR="00663565">
        <w:fldChar w:fldCharType="separate"/>
      </w:r>
      <w:r w:rsidR="00250375">
        <w:rPr>
          <w:noProof/>
        </w:rPr>
        <w:t>2</w:t>
      </w:r>
      <w:r w:rsidR="00663565">
        <w:rPr>
          <w:noProof/>
        </w:rPr>
        <w:fldChar w:fldCharType="end"/>
      </w:r>
      <w:bookmarkEnd w:id="19"/>
      <w:r>
        <w:t xml:space="preserve">: </w:t>
      </w:r>
      <w:r w:rsidRPr="00241F6D">
        <w:t xml:space="preserve">Estimated </w:t>
      </w:r>
      <w:r>
        <w:t>reduction in economic activity</w:t>
      </w:r>
    </w:p>
    <w:tbl>
      <w:tblPr>
        <w:tblStyle w:val="Tables-APBase"/>
        <w:tblW w:w="5000" w:type="pct"/>
        <w:tblLook w:val="04A0" w:firstRow="1" w:lastRow="0" w:firstColumn="1" w:lastColumn="0" w:noHBand="0" w:noVBand="1"/>
        <w:tblCaption w:val="Estimated reduction in economic activity"/>
        <w:tblDescription w:val="This table provides estimates of the impact of the reduction in economic activity associated with each of the considered options, respectively.The estimates are presented in Australian dollar millions annually. Option 1 has a net cost impact range of $717 million to $898 million.  Option 2 has a range of $656 million to $822 million. Option 3 has a range of $679 million to $852 million."/>
      </w:tblPr>
      <w:tblGrid>
        <w:gridCol w:w="2691"/>
        <w:gridCol w:w="2685"/>
        <w:gridCol w:w="2968"/>
        <w:gridCol w:w="93"/>
      </w:tblGrid>
      <w:tr w:rsidR="00BE03AE" w:rsidRPr="00B417D5" w:rsidTr="00091AF8">
        <w:trPr>
          <w:cnfStyle w:val="100000000000" w:firstRow="1" w:lastRow="0" w:firstColumn="0" w:lastColumn="0" w:oddVBand="0" w:evenVBand="0" w:oddHBand="0" w:evenHBand="0" w:firstRowFirstColumn="0" w:firstRowLastColumn="0" w:lastRowFirstColumn="0" w:lastRowLastColumn="0"/>
          <w:trHeight w:val="397"/>
        </w:trPr>
        <w:tc>
          <w:tcPr>
            <w:cnfStyle w:val="000000000100" w:firstRow="0" w:lastRow="0" w:firstColumn="0" w:lastColumn="0" w:oddVBand="0" w:evenVBand="0" w:oddHBand="0" w:evenHBand="0" w:firstRowFirstColumn="1" w:firstRowLastColumn="0" w:lastRowFirstColumn="0" w:lastRowLastColumn="0"/>
            <w:tcW w:w="1595" w:type="pct"/>
            <w:vMerge w:val="restart"/>
            <w:vAlign w:val="center"/>
            <w:hideMark/>
          </w:tcPr>
          <w:p w:rsidR="00BE03AE" w:rsidRPr="00B417D5" w:rsidRDefault="00BE03AE">
            <w:pPr>
              <w:pStyle w:val="PwCNormal"/>
              <w:keepNext/>
              <w:spacing w:before="0" w:after="240"/>
              <w:jc w:val="center"/>
              <w:rPr>
                <w:snapToGrid/>
                <w:lang w:eastAsia="en-AU"/>
              </w:rPr>
            </w:pPr>
            <w:r w:rsidRPr="00E96627">
              <w:rPr>
                <w:rFonts w:ascii="Arial" w:hAnsi="Arial"/>
                <w:b/>
                <w:bCs/>
                <w:snapToGrid/>
                <w:color w:val="A32020"/>
                <w:sz w:val="16"/>
                <w:szCs w:val="16"/>
                <w:lang w:eastAsia="en-AU"/>
              </w:rPr>
              <w:t>Option</w:t>
            </w:r>
          </w:p>
        </w:tc>
        <w:tc>
          <w:tcPr>
            <w:tcW w:w="3405" w:type="pct"/>
            <w:gridSpan w:val="3"/>
            <w:vAlign w:val="center"/>
          </w:tcPr>
          <w:p w:rsidR="00BE03AE" w:rsidRPr="00B417D5" w:rsidRDefault="00BE03AE">
            <w:pPr>
              <w:keepNext/>
              <w:kinsoku/>
              <w:overflowPunct/>
              <w:autoSpaceDE/>
              <w:autoSpaceDN/>
              <w:adjustRightInd/>
              <w:snapToGrid/>
              <w:cnfStyle w:val="100000000000" w:firstRow="1" w:lastRow="0" w:firstColumn="0" w:lastColumn="0" w:oddVBand="0" w:evenVBand="0" w:oddHBand="0" w:evenHBand="0" w:firstRowFirstColumn="0" w:firstRowLastColumn="0" w:lastRowFirstColumn="0" w:lastRowLastColumn="0"/>
              <w:rPr>
                <w:rFonts w:ascii="Arial" w:hAnsi="Arial"/>
                <w:b/>
                <w:bCs/>
                <w:snapToGrid/>
                <w:color w:val="A32020"/>
                <w:sz w:val="16"/>
                <w:szCs w:val="16"/>
                <w:lang w:eastAsia="en-AU"/>
              </w:rPr>
            </w:pPr>
            <w:r>
              <w:rPr>
                <w:rFonts w:ascii="Arial" w:hAnsi="Arial"/>
                <w:b/>
                <w:bCs/>
                <w:snapToGrid/>
                <w:color w:val="A32020"/>
                <w:sz w:val="16"/>
                <w:szCs w:val="16"/>
                <w:lang w:eastAsia="en-AU"/>
              </w:rPr>
              <w:t>Estimated annualised net cost impact</w:t>
            </w:r>
            <w:r w:rsidRPr="00B417D5">
              <w:rPr>
                <w:rFonts w:ascii="Arial" w:hAnsi="Arial"/>
                <w:b/>
                <w:bCs/>
                <w:snapToGrid/>
                <w:color w:val="A32020"/>
                <w:sz w:val="16"/>
                <w:szCs w:val="16"/>
                <w:lang w:eastAsia="en-AU"/>
              </w:rPr>
              <w:t xml:space="preserve"> </w:t>
            </w:r>
            <w:r>
              <w:rPr>
                <w:rFonts w:ascii="Arial" w:hAnsi="Arial"/>
                <w:b/>
                <w:bCs/>
                <w:snapToGrid/>
                <w:color w:val="A32020"/>
                <w:sz w:val="16"/>
                <w:szCs w:val="16"/>
                <w:lang w:eastAsia="en-AU"/>
              </w:rPr>
              <w:t>(</w:t>
            </w:r>
            <w:r w:rsidRPr="00B417D5">
              <w:rPr>
                <w:rFonts w:ascii="Arial" w:hAnsi="Arial"/>
                <w:b/>
                <w:bCs/>
                <w:snapToGrid/>
                <w:color w:val="A32020"/>
                <w:sz w:val="16"/>
                <w:szCs w:val="16"/>
                <w:lang w:eastAsia="en-AU"/>
              </w:rPr>
              <w:t>$m</w:t>
            </w:r>
            <w:r>
              <w:rPr>
                <w:rFonts w:ascii="Arial" w:hAnsi="Arial"/>
                <w:b/>
                <w:bCs/>
                <w:snapToGrid/>
                <w:color w:val="A32020"/>
                <w:sz w:val="16"/>
                <w:szCs w:val="16"/>
                <w:lang w:eastAsia="en-AU"/>
              </w:rPr>
              <w:t>)</w:t>
            </w:r>
          </w:p>
        </w:tc>
      </w:tr>
      <w:tr w:rsidR="00BE03AE" w:rsidRPr="00B417D5" w:rsidTr="00091AF8">
        <w:trPr>
          <w:gridAfter w:val="1"/>
          <w:wAfter w:w="55" w:type="pct"/>
          <w:trHeight w:val="397"/>
        </w:trPr>
        <w:tc>
          <w:tcPr>
            <w:tcW w:w="1595" w:type="pct"/>
            <w:vMerge/>
            <w:vAlign w:val="center"/>
            <w:hideMark/>
          </w:tcPr>
          <w:p w:rsidR="00BE03AE" w:rsidRPr="00B417D5" w:rsidRDefault="00BE03AE" w:rsidP="00091AF8">
            <w:pPr>
              <w:keepNext/>
              <w:kinsoku/>
              <w:overflowPunct/>
              <w:autoSpaceDE/>
              <w:autoSpaceDN/>
              <w:adjustRightInd/>
              <w:snapToGrid/>
              <w:jc w:val="center"/>
              <w:rPr>
                <w:rFonts w:ascii="Arial" w:hAnsi="Arial"/>
                <w:b/>
                <w:bCs/>
                <w:snapToGrid/>
                <w:color w:val="A32020"/>
                <w:sz w:val="16"/>
                <w:szCs w:val="16"/>
                <w:lang w:eastAsia="en-AU"/>
              </w:rPr>
            </w:pPr>
          </w:p>
        </w:tc>
        <w:tc>
          <w:tcPr>
            <w:tcW w:w="1591" w:type="pct"/>
            <w:vAlign w:val="center"/>
            <w:hideMark/>
          </w:tcPr>
          <w:p w:rsidR="00BE03AE" w:rsidRPr="00B417D5" w:rsidRDefault="00BE03AE">
            <w:pPr>
              <w:keepNext/>
              <w:kinsoku/>
              <w:overflowPunct/>
              <w:autoSpaceDE/>
              <w:autoSpaceDN/>
              <w:adjustRightInd/>
              <w:snapToGrid/>
              <w:jc w:val="center"/>
              <w:rPr>
                <w:rFonts w:ascii="Arial" w:hAnsi="Arial"/>
                <w:b/>
                <w:bCs/>
                <w:snapToGrid/>
                <w:color w:val="A32020"/>
                <w:sz w:val="16"/>
                <w:szCs w:val="16"/>
                <w:lang w:eastAsia="en-AU"/>
              </w:rPr>
            </w:pPr>
            <w:r>
              <w:rPr>
                <w:rFonts w:ascii="Arial" w:hAnsi="Arial"/>
                <w:b/>
                <w:bCs/>
                <w:snapToGrid/>
                <w:color w:val="A32020"/>
                <w:sz w:val="16"/>
                <w:szCs w:val="16"/>
                <w:lang w:eastAsia="en-AU"/>
              </w:rPr>
              <w:t>Low estimate</w:t>
            </w:r>
          </w:p>
        </w:tc>
        <w:tc>
          <w:tcPr>
            <w:tcW w:w="1759" w:type="pct"/>
            <w:vAlign w:val="center"/>
            <w:hideMark/>
          </w:tcPr>
          <w:p w:rsidR="00BE03AE" w:rsidRPr="00B417D5" w:rsidRDefault="00BE03AE">
            <w:pPr>
              <w:keepNext/>
              <w:kinsoku/>
              <w:overflowPunct/>
              <w:autoSpaceDE/>
              <w:autoSpaceDN/>
              <w:adjustRightInd/>
              <w:snapToGrid/>
              <w:jc w:val="center"/>
              <w:rPr>
                <w:rFonts w:ascii="Arial" w:hAnsi="Arial"/>
                <w:b/>
                <w:bCs/>
                <w:snapToGrid/>
                <w:color w:val="A32020"/>
                <w:sz w:val="16"/>
                <w:szCs w:val="16"/>
                <w:lang w:eastAsia="en-AU"/>
              </w:rPr>
            </w:pPr>
            <w:r>
              <w:rPr>
                <w:rFonts w:ascii="Arial" w:hAnsi="Arial"/>
                <w:b/>
                <w:bCs/>
                <w:snapToGrid/>
                <w:color w:val="A32020"/>
                <w:sz w:val="16"/>
                <w:szCs w:val="16"/>
                <w:lang w:eastAsia="en-AU"/>
              </w:rPr>
              <w:t>High estimate</w:t>
            </w:r>
          </w:p>
        </w:tc>
      </w:tr>
      <w:tr w:rsidR="00325BAE" w:rsidRPr="00B417D5" w:rsidTr="000D6E9A">
        <w:trPr>
          <w:gridAfter w:val="1"/>
          <w:wAfter w:w="55" w:type="pct"/>
          <w:trHeight w:val="283"/>
        </w:trPr>
        <w:tc>
          <w:tcPr>
            <w:tcW w:w="1595" w:type="pct"/>
            <w:vAlign w:val="center"/>
            <w:hideMark/>
          </w:tcPr>
          <w:p w:rsidR="00325BAE" w:rsidRPr="00B417D5" w:rsidRDefault="00325BAE">
            <w:pPr>
              <w:keepNext/>
              <w:kinsoku/>
              <w:overflowPunct/>
              <w:autoSpaceDE/>
              <w:autoSpaceDN/>
              <w:adjustRightInd/>
              <w:snapToGrid/>
              <w:jc w:val="center"/>
              <w:rPr>
                <w:rFonts w:ascii="Arial" w:hAnsi="Arial"/>
                <w:snapToGrid/>
                <w:color w:val="000000"/>
                <w:sz w:val="16"/>
                <w:szCs w:val="16"/>
                <w:lang w:eastAsia="en-AU"/>
              </w:rPr>
            </w:pPr>
            <w:r w:rsidRPr="00B417D5">
              <w:rPr>
                <w:rFonts w:ascii="Arial" w:hAnsi="Arial"/>
                <w:snapToGrid/>
                <w:color w:val="000000"/>
                <w:sz w:val="16"/>
                <w:szCs w:val="16"/>
                <w:lang w:eastAsia="en-AU"/>
              </w:rPr>
              <w:t>1</w:t>
            </w:r>
          </w:p>
        </w:tc>
        <w:tc>
          <w:tcPr>
            <w:tcW w:w="1591" w:type="pct"/>
            <w:vAlign w:val="center"/>
            <w:hideMark/>
          </w:tcPr>
          <w:p w:rsidR="00325BAE" w:rsidRPr="002D64B2" w:rsidRDefault="00325BAE" w:rsidP="00223124">
            <w:pPr>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 xml:space="preserve">717 </w:t>
            </w:r>
          </w:p>
        </w:tc>
        <w:tc>
          <w:tcPr>
            <w:tcW w:w="1759" w:type="pct"/>
            <w:vAlign w:val="center"/>
            <w:hideMark/>
          </w:tcPr>
          <w:p w:rsidR="00325BAE" w:rsidRPr="002D64B2" w:rsidRDefault="00325BAE">
            <w:pPr>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 xml:space="preserve">898 </w:t>
            </w:r>
          </w:p>
        </w:tc>
      </w:tr>
      <w:tr w:rsidR="00325BAE" w:rsidRPr="00B417D5" w:rsidTr="000D6E9A">
        <w:trPr>
          <w:gridAfter w:val="1"/>
          <w:wAfter w:w="55" w:type="pct"/>
          <w:trHeight w:val="283"/>
        </w:trPr>
        <w:tc>
          <w:tcPr>
            <w:tcW w:w="1595" w:type="pct"/>
            <w:vAlign w:val="center"/>
            <w:hideMark/>
          </w:tcPr>
          <w:p w:rsidR="00325BAE" w:rsidRPr="00B417D5" w:rsidRDefault="00325BAE">
            <w:pPr>
              <w:keepNext/>
              <w:kinsoku/>
              <w:overflowPunct/>
              <w:autoSpaceDE/>
              <w:autoSpaceDN/>
              <w:adjustRightInd/>
              <w:snapToGrid/>
              <w:jc w:val="center"/>
              <w:rPr>
                <w:rFonts w:ascii="Arial" w:hAnsi="Arial"/>
                <w:snapToGrid/>
                <w:color w:val="000000"/>
                <w:sz w:val="16"/>
                <w:szCs w:val="16"/>
                <w:lang w:eastAsia="en-AU"/>
              </w:rPr>
            </w:pPr>
            <w:r w:rsidRPr="00B417D5">
              <w:rPr>
                <w:rFonts w:ascii="Arial" w:hAnsi="Arial"/>
                <w:snapToGrid/>
                <w:color w:val="000000"/>
                <w:sz w:val="16"/>
                <w:szCs w:val="16"/>
                <w:lang w:eastAsia="en-AU"/>
              </w:rPr>
              <w:t>2</w:t>
            </w:r>
          </w:p>
        </w:tc>
        <w:tc>
          <w:tcPr>
            <w:tcW w:w="1591" w:type="pct"/>
            <w:vAlign w:val="center"/>
            <w:hideMark/>
          </w:tcPr>
          <w:p w:rsidR="00325BAE" w:rsidRPr="002D64B2" w:rsidRDefault="00325BAE" w:rsidP="00223124">
            <w:pPr>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 xml:space="preserve">656 </w:t>
            </w:r>
          </w:p>
        </w:tc>
        <w:tc>
          <w:tcPr>
            <w:tcW w:w="1759" w:type="pct"/>
            <w:vAlign w:val="center"/>
            <w:hideMark/>
          </w:tcPr>
          <w:p w:rsidR="00325BAE" w:rsidRPr="002D64B2" w:rsidRDefault="00325BAE">
            <w:pPr>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 xml:space="preserve">822 </w:t>
            </w:r>
          </w:p>
        </w:tc>
      </w:tr>
      <w:tr w:rsidR="00325BAE" w:rsidRPr="00B417D5" w:rsidTr="000D6E9A">
        <w:trPr>
          <w:gridAfter w:val="1"/>
          <w:wAfter w:w="55" w:type="pct"/>
          <w:trHeight w:val="283"/>
        </w:trPr>
        <w:tc>
          <w:tcPr>
            <w:tcW w:w="1595" w:type="pct"/>
            <w:vAlign w:val="center"/>
            <w:hideMark/>
          </w:tcPr>
          <w:p w:rsidR="00325BAE" w:rsidRPr="00B417D5" w:rsidRDefault="00325BAE">
            <w:pPr>
              <w:keepNext/>
              <w:kinsoku/>
              <w:overflowPunct/>
              <w:autoSpaceDE/>
              <w:autoSpaceDN/>
              <w:adjustRightInd/>
              <w:snapToGrid/>
              <w:jc w:val="center"/>
              <w:rPr>
                <w:rFonts w:ascii="Arial" w:hAnsi="Arial"/>
                <w:snapToGrid/>
                <w:color w:val="000000"/>
                <w:sz w:val="16"/>
                <w:szCs w:val="16"/>
                <w:lang w:eastAsia="en-AU"/>
              </w:rPr>
            </w:pPr>
            <w:r w:rsidRPr="00B417D5">
              <w:rPr>
                <w:rFonts w:ascii="Arial" w:hAnsi="Arial"/>
                <w:snapToGrid/>
                <w:color w:val="000000"/>
                <w:sz w:val="16"/>
                <w:szCs w:val="16"/>
                <w:lang w:eastAsia="en-AU"/>
              </w:rPr>
              <w:t>3</w:t>
            </w:r>
          </w:p>
        </w:tc>
        <w:tc>
          <w:tcPr>
            <w:tcW w:w="1591" w:type="pct"/>
            <w:vAlign w:val="center"/>
            <w:hideMark/>
          </w:tcPr>
          <w:p w:rsidR="00325BAE" w:rsidRPr="002D64B2" w:rsidRDefault="00325BAE" w:rsidP="00223124">
            <w:pPr>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 xml:space="preserve">679 </w:t>
            </w:r>
          </w:p>
        </w:tc>
        <w:tc>
          <w:tcPr>
            <w:tcW w:w="1759" w:type="pct"/>
            <w:vAlign w:val="center"/>
            <w:hideMark/>
          </w:tcPr>
          <w:p w:rsidR="00325BAE" w:rsidRPr="002D64B2" w:rsidRDefault="00325BAE">
            <w:pPr>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 xml:space="preserve">852 </w:t>
            </w:r>
          </w:p>
        </w:tc>
      </w:tr>
    </w:tbl>
    <w:p w:rsidR="00BE03AE" w:rsidRDefault="00BE03AE" w:rsidP="00BE03AE">
      <w:pPr>
        <w:pStyle w:val="Sources"/>
        <w:keepNext/>
      </w:pPr>
      <w:r>
        <w:t>Source: PwC analysis. Annualised figures are averaged over a 10 year analysis period.</w:t>
      </w:r>
    </w:p>
    <w:p w:rsidR="00BE03AE" w:rsidRDefault="00BE03AE" w:rsidP="00BE03AE">
      <w:pPr>
        <w:pStyle w:val="Majorheading"/>
      </w:pPr>
      <w:r>
        <w:t>The proposed policy</w:t>
      </w:r>
    </w:p>
    <w:p w:rsidR="00BE03AE" w:rsidRDefault="00166E6F" w:rsidP="00BE03AE">
      <w:pPr>
        <w:pStyle w:val="StylePwCNormalnmajNormalnotetextcvteCNormalnotetext"/>
        <w:tabs>
          <w:tab w:val="clear" w:pos="0"/>
        </w:tabs>
      </w:pPr>
      <w:r>
        <w:t>T</w:t>
      </w:r>
      <w:r w:rsidR="00BE03AE">
        <w:t>he Government’s proposed policy (option 1</w:t>
      </w:r>
      <w:r w:rsidR="009A560C">
        <w:t xml:space="preserve"> </w:t>
      </w:r>
      <w:r w:rsidR="00895052">
        <w:t>–</w:t>
      </w:r>
      <w:r w:rsidR="009A560C">
        <w:t xml:space="preserve"> a public holiday on both Easter Sunday and the Friday before the AFL Grand Final</w:t>
      </w:r>
      <w:r w:rsidR="00BE03AE">
        <w:t xml:space="preserve">) </w:t>
      </w:r>
      <w:r w:rsidR="00F86129">
        <w:t xml:space="preserve">aligns </w:t>
      </w:r>
      <w:r w:rsidR="00BE03AE">
        <w:t xml:space="preserve">most closely </w:t>
      </w:r>
      <w:r w:rsidR="009405FA">
        <w:t xml:space="preserve">with </w:t>
      </w:r>
      <w:r w:rsidR="00F86129">
        <w:t>the principles contained in its 2014 State election platform, specifically in terms of</w:t>
      </w:r>
      <w:r w:rsidR="00BE03AE">
        <w:t>:</w:t>
      </w:r>
    </w:p>
    <w:p w:rsidR="00BE03AE" w:rsidRDefault="00BE03AE" w:rsidP="00091AF8">
      <w:pPr>
        <w:pStyle w:val="ListBullet"/>
      </w:pPr>
      <w:r>
        <w:t>providing fair pay to those working on Easter Sunday</w:t>
      </w:r>
    </w:p>
    <w:p w:rsidR="00BE03AE" w:rsidRDefault="00BE03AE" w:rsidP="00091AF8">
      <w:pPr>
        <w:pStyle w:val="ListBullet"/>
      </w:pPr>
      <w:r>
        <w:t>increasing opportunities for Victorians to enjoy coordinated leisure time</w:t>
      </w:r>
    </w:p>
    <w:p w:rsidR="00BE03AE" w:rsidRDefault="00BE03AE" w:rsidP="00091AF8">
      <w:pPr>
        <w:pStyle w:val="ListBullet"/>
      </w:pPr>
      <w:proofErr w:type="gramStart"/>
      <w:r>
        <w:t>acknowledging</w:t>
      </w:r>
      <w:proofErr w:type="gramEnd"/>
      <w:r>
        <w:t xml:space="preserve"> the important role performed by public holidays on significant religious and state occasions in uniting the community</w:t>
      </w:r>
      <w:r w:rsidR="004D07AC">
        <w:t>.</w:t>
      </w:r>
    </w:p>
    <w:p w:rsidR="00BE03AE" w:rsidRDefault="00234DEB" w:rsidP="00091AF8">
      <w:pPr>
        <w:pStyle w:val="StylePwCNormalnmajNormalnotetextcvteCNormalnotetext2"/>
      </w:pPr>
      <w:r>
        <w:t>O</w:t>
      </w:r>
      <w:r w:rsidR="004D07AC">
        <w:t>ption 1 also provides for the greatest opportunity to e</w:t>
      </w:r>
      <w:r w:rsidR="00BE03AE">
        <w:t>nhanc</w:t>
      </w:r>
      <w:r w:rsidR="004D07AC">
        <w:t>e</w:t>
      </w:r>
      <w:r w:rsidR="00BE03AE">
        <w:t xml:space="preserve"> Victoria’s reputation as a sporting state</w:t>
      </w:r>
      <w:r w:rsidR="004D07AC">
        <w:t xml:space="preserve"> and to boost</w:t>
      </w:r>
      <w:r w:rsidR="00BE03AE">
        <w:t xml:space="preserve"> Victorian tourism. </w:t>
      </w:r>
    </w:p>
    <w:p w:rsidR="001176D8" w:rsidRDefault="001176D8" w:rsidP="00BE03AE">
      <w:pPr>
        <w:pStyle w:val="StylePwCNormalnmajNormalnotetextcvteCNormalnotetext"/>
        <w:tabs>
          <w:tab w:val="clear" w:pos="0"/>
        </w:tabs>
      </w:pPr>
      <w:r>
        <w:t>The proposed policy is expected to affect Victorian employers and employees differently. Examples of the expected impacts on</w:t>
      </w:r>
      <w:r w:rsidR="0046605B" w:rsidRPr="0046605B">
        <w:t xml:space="preserve"> </w:t>
      </w:r>
      <w:r w:rsidR="0046605B">
        <w:t>illustrative</w:t>
      </w:r>
      <w:r>
        <w:t xml:space="preserve"> businesses and employees </w:t>
      </w:r>
      <w:r w:rsidR="00234DEB">
        <w:t xml:space="preserve">in selected industries </w:t>
      </w:r>
      <w:r>
        <w:t xml:space="preserve">are provided in </w:t>
      </w:r>
      <w:r>
        <w:fldChar w:fldCharType="begin"/>
      </w:r>
      <w:r>
        <w:instrText xml:space="preserve"> REF _Ref421607764 \h </w:instrText>
      </w:r>
      <w:r>
        <w:fldChar w:fldCharType="separate"/>
      </w:r>
      <w:r w:rsidR="00250375">
        <w:t xml:space="preserve">Table </w:t>
      </w:r>
      <w:r w:rsidR="00250375">
        <w:rPr>
          <w:noProof/>
        </w:rPr>
        <w:t>3</w:t>
      </w:r>
      <w:r>
        <w:fldChar w:fldCharType="end"/>
      </w:r>
      <w:r>
        <w:t xml:space="preserve">. </w:t>
      </w:r>
    </w:p>
    <w:p w:rsidR="001176D8" w:rsidRDefault="001176D8" w:rsidP="00091AF8">
      <w:pPr>
        <w:pStyle w:val="Caption"/>
      </w:pPr>
      <w:bookmarkStart w:id="20" w:name="_Ref421607764"/>
      <w:r>
        <w:t xml:space="preserve">Table </w:t>
      </w:r>
      <w:r w:rsidR="00663565">
        <w:fldChar w:fldCharType="begin"/>
      </w:r>
      <w:r w:rsidR="00663565">
        <w:instrText xml:space="preserve"> SEQ Table \* ARABIC </w:instrText>
      </w:r>
      <w:r w:rsidR="00663565">
        <w:fldChar w:fldCharType="separate"/>
      </w:r>
      <w:r w:rsidR="00250375">
        <w:rPr>
          <w:noProof/>
        </w:rPr>
        <w:t>3</w:t>
      </w:r>
      <w:r w:rsidR="00663565">
        <w:rPr>
          <w:noProof/>
        </w:rPr>
        <w:fldChar w:fldCharType="end"/>
      </w:r>
      <w:bookmarkEnd w:id="20"/>
      <w:r>
        <w:t>: Illustrative impacts</w:t>
      </w:r>
      <w:r w:rsidRPr="001176D8">
        <w:t xml:space="preserve"> </w:t>
      </w:r>
      <w:r>
        <w:t>of the proposed policy on Victorian employers and employees</w:t>
      </w:r>
      <w:r w:rsidR="00172826">
        <w:t xml:space="preserve"> in selected sectors</w:t>
      </w:r>
    </w:p>
    <w:tbl>
      <w:tblPr>
        <w:tblStyle w:val="Tables-APBase"/>
        <w:tblW w:w="5000" w:type="pct"/>
        <w:tblLayout w:type="fixed"/>
        <w:tblLook w:val="04A0" w:firstRow="1" w:lastRow="0" w:firstColumn="1" w:lastColumn="0" w:noHBand="0" w:noVBand="1"/>
        <w:tblCaption w:val="Illustrative impacts of the proposed policy on Victorian employers and employees in selected sectors"/>
        <w:tblDescription w:val="This table provides illustrative potential impacts of the proposed policy on Victorian employers and employees in several selected sectors. The illustrative employers are a financial institution, manufacturing business, hospital and cafe.  The table contents discuss the impacts of each of the proposed new public holidays.  That is, easter sunday and the friday before the AFL grand final."/>
      </w:tblPr>
      <w:tblGrid>
        <w:gridCol w:w="1384"/>
        <w:gridCol w:w="3402"/>
        <w:gridCol w:w="3651"/>
      </w:tblGrid>
      <w:tr w:rsidR="001176D8" w:rsidTr="00091AF8">
        <w:trPr>
          <w:cnfStyle w:val="100000000000" w:firstRow="1" w:lastRow="0" w:firstColumn="0" w:lastColumn="0" w:oddVBand="0" w:evenVBand="0" w:oddHBand="0" w:evenHBand="0" w:firstRowFirstColumn="0" w:firstRowLastColumn="0" w:lastRowFirstColumn="0" w:lastRowLastColumn="0"/>
          <w:trHeight w:val="248"/>
        </w:trPr>
        <w:tc>
          <w:tcPr>
            <w:cnfStyle w:val="000000000100" w:firstRow="0" w:lastRow="0" w:firstColumn="0" w:lastColumn="0" w:oddVBand="0" w:evenVBand="0" w:oddHBand="0" w:evenHBand="0" w:firstRowFirstColumn="1" w:firstRowLastColumn="0" w:lastRowFirstColumn="0" w:lastRowLastColumn="0"/>
            <w:tcW w:w="1384" w:type="dxa"/>
            <w:vMerge w:val="restart"/>
            <w:vAlign w:val="center"/>
          </w:tcPr>
          <w:p w:rsidR="001176D8" w:rsidRPr="000E492D" w:rsidRDefault="001176D8" w:rsidP="00DF4781">
            <w:pPr>
              <w:pStyle w:val="TableColumnHeadingSmall"/>
            </w:pPr>
            <w:r w:rsidRPr="000E492D">
              <w:t>Illustrative employer</w:t>
            </w:r>
            <w:r>
              <w:t>*</w:t>
            </w:r>
          </w:p>
        </w:tc>
        <w:tc>
          <w:tcPr>
            <w:tcW w:w="7053" w:type="dxa"/>
            <w:gridSpan w:val="2"/>
          </w:tcPr>
          <w:p w:rsidR="001176D8" w:rsidRDefault="001176D8" w:rsidP="003265FF">
            <w:pPr>
              <w:pStyle w:val="TableColumnHeadingSmall"/>
              <w:cnfStyle w:val="100000000000" w:firstRow="1" w:lastRow="0" w:firstColumn="0" w:lastColumn="0" w:oddVBand="0" w:evenVBand="0" w:oddHBand="0" w:evenHBand="0" w:firstRowFirstColumn="0" w:firstRowLastColumn="0" w:lastRowFirstColumn="0" w:lastRowLastColumn="0"/>
            </w:pPr>
            <w:r>
              <w:t xml:space="preserve">Expected impact of </w:t>
            </w:r>
            <w:r w:rsidR="00172826">
              <w:t>proposed new</w:t>
            </w:r>
            <w:r>
              <w:t xml:space="preserve"> public holidays</w:t>
            </w:r>
          </w:p>
        </w:tc>
      </w:tr>
      <w:tr w:rsidR="001176D8" w:rsidTr="00091AF8">
        <w:trPr>
          <w:trHeight w:val="247"/>
        </w:trPr>
        <w:tc>
          <w:tcPr>
            <w:tcW w:w="1384" w:type="dxa"/>
            <w:vMerge/>
          </w:tcPr>
          <w:p w:rsidR="001176D8" w:rsidRDefault="001176D8" w:rsidP="00DF4781">
            <w:pPr>
              <w:pStyle w:val="TableColumnHeadingSmall"/>
            </w:pPr>
          </w:p>
        </w:tc>
        <w:tc>
          <w:tcPr>
            <w:tcW w:w="3402" w:type="dxa"/>
            <w:vAlign w:val="center"/>
          </w:tcPr>
          <w:p w:rsidR="001176D8" w:rsidRDefault="001176D8" w:rsidP="00DF4781">
            <w:pPr>
              <w:pStyle w:val="TableColumnHeadingSmall"/>
              <w:jc w:val="center"/>
            </w:pPr>
            <w:r>
              <w:t>Easter Sunday</w:t>
            </w:r>
          </w:p>
        </w:tc>
        <w:tc>
          <w:tcPr>
            <w:tcW w:w="3651" w:type="dxa"/>
            <w:vAlign w:val="center"/>
          </w:tcPr>
          <w:p w:rsidR="001176D8" w:rsidRDefault="001176D8" w:rsidP="00DF4781">
            <w:pPr>
              <w:pStyle w:val="TableColumnHeadingSmall"/>
              <w:jc w:val="center"/>
            </w:pPr>
            <w:r w:rsidRPr="00EF60DB">
              <w:t>Friday before the AFL Grand Final</w:t>
            </w:r>
          </w:p>
        </w:tc>
      </w:tr>
      <w:tr w:rsidR="001176D8" w:rsidTr="00091AF8">
        <w:tc>
          <w:tcPr>
            <w:tcW w:w="1384" w:type="dxa"/>
          </w:tcPr>
          <w:p w:rsidR="001176D8" w:rsidRPr="000E492D" w:rsidRDefault="001176D8" w:rsidP="00091AF8">
            <w:pPr>
              <w:pStyle w:val="TableTextSmall"/>
              <w:keepNext/>
              <w:rPr>
                <w:b/>
              </w:rPr>
            </w:pPr>
            <w:r w:rsidRPr="000E492D">
              <w:rPr>
                <w:b/>
              </w:rPr>
              <w:t>Financial institution</w:t>
            </w:r>
          </w:p>
        </w:tc>
        <w:tc>
          <w:tcPr>
            <w:tcW w:w="3402" w:type="dxa"/>
          </w:tcPr>
          <w:p w:rsidR="001176D8" w:rsidRPr="000E492D" w:rsidRDefault="001176D8" w:rsidP="00091AF8">
            <w:pPr>
              <w:pStyle w:val="TableTextSmall"/>
              <w:keepNext/>
              <w:rPr>
                <w:b/>
              </w:rPr>
            </w:pPr>
            <w:r w:rsidRPr="000E492D">
              <w:rPr>
                <w:b/>
              </w:rPr>
              <w:t>No impact expected</w:t>
            </w:r>
          </w:p>
          <w:p w:rsidR="001176D8" w:rsidRDefault="001176D8" w:rsidP="00091AF8">
            <w:pPr>
              <w:pStyle w:val="TableTextSmall"/>
              <w:keepNext/>
            </w:pPr>
            <w:r>
              <w:t xml:space="preserve">As financial institutions do not generally operate on Easter Sunday, there would be no impact on their </w:t>
            </w:r>
            <w:r w:rsidR="00172826">
              <w:t xml:space="preserve">operations </w:t>
            </w:r>
            <w:r>
              <w:t>or their employees.</w:t>
            </w:r>
          </w:p>
        </w:tc>
        <w:tc>
          <w:tcPr>
            <w:tcW w:w="3651" w:type="dxa"/>
          </w:tcPr>
          <w:p w:rsidR="001176D8" w:rsidRPr="000E492D" w:rsidRDefault="001176D8" w:rsidP="00091AF8">
            <w:pPr>
              <w:pStyle w:val="TableTextSmall"/>
              <w:keepNext/>
              <w:rPr>
                <w:b/>
              </w:rPr>
            </w:pPr>
            <w:r w:rsidRPr="000E492D">
              <w:rPr>
                <w:b/>
              </w:rPr>
              <w:t>Lost day of production and employees receive an extra paid day off work</w:t>
            </w:r>
          </w:p>
          <w:p w:rsidR="00662090" w:rsidRDefault="001176D8" w:rsidP="0036733E">
            <w:pPr>
              <w:pStyle w:val="TableTextSmall"/>
              <w:keepNext/>
            </w:pPr>
            <w:r>
              <w:t xml:space="preserve">This impact occurs because most financial institutions would not operate on the Friday public holiday. </w:t>
            </w:r>
          </w:p>
          <w:p w:rsidR="001176D8" w:rsidRDefault="001176D8" w:rsidP="0036733E">
            <w:pPr>
              <w:pStyle w:val="TableTextSmall"/>
              <w:keepNext/>
            </w:pPr>
            <w:r>
              <w:t>It is possible that less than a full day’s production is lost as some employees may increase their output on the adjacent work days to partly offset the impact of not working on the Friday public holiday.</w:t>
            </w:r>
          </w:p>
        </w:tc>
      </w:tr>
      <w:tr w:rsidR="00996EC2" w:rsidTr="00091AF8">
        <w:tc>
          <w:tcPr>
            <w:tcW w:w="1384" w:type="dxa"/>
          </w:tcPr>
          <w:p w:rsidR="00996EC2" w:rsidRPr="000E492D" w:rsidRDefault="00996EC2">
            <w:pPr>
              <w:pStyle w:val="TableTextSmall"/>
              <w:keepNext/>
              <w:rPr>
                <w:b/>
              </w:rPr>
            </w:pPr>
            <w:r>
              <w:rPr>
                <w:b/>
              </w:rPr>
              <w:t>Manufacturing business</w:t>
            </w:r>
          </w:p>
        </w:tc>
        <w:tc>
          <w:tcPr>
            <w:tcW w:w="3402" w:type="dxa"/>
          </w:tcPr>
          <w:p w:rsidR="002D1D5A" w:rsidRPr="000E492D" w:rsidRDefault="002D1D5A" w:rsidP="002D1D5A">
            <w:pPr>
              <w:pStyle w:val="TableTextSmall"/>
              <w:keepNext/>
              <w:rPr>
                <w:b/>
              </w:rPr>
            </w:pPr>
            <w:r w:rsidRPr="000E492D">
              <w:rPr>
                <w:b/>
              </w:rPr>
              <w:t>No impact expected</w:t>
            </w:r>
          </w:p>
          <w:p w:rsidR="00996EC2" w:rsidRPr="000E492D" w:rsidRDefault="002D1D5A" w:rsidP="003265FF">
            <w:pPr>
              <w:pStyle w:val="TableTextSmall"/>
              <w:keepNext/>
              <w:rPr>
                <w:b/>
              </w:rPr>
            </w:pPr>
            <w:r>
              <w:t xml:space="preserve">As manufacturers do not generally operate on Easter Sunday, there would be no impact on their </w:t>
            </w:r>
            <w:r w:rsidR="00172826">
              <w:t xml:space="preserve">operations </w:t>
            </w:r>
            <w:r>
              <w:t>or their employees.</w:t>
            </w:r>
          </w:p>
        </w:tc>
        <w:tc>
          <w:tcPr>
            <w:tcW w:w="3651" w:type="dxa"/>
          </w:tcPr>
          <w:p w:rsidR="002D1D5A" w:rsidRPr="000E492D" w:rsidRDefault="002D1D5A" w:rsidP="002D1D5A">
            <w:pPr>
              <w:pStyle w:val="TableTextSmall"/>
              <w:keepNext/>
              <w:rPr>
                <w:b/>
              </w:rPr>
            </w:pPr>
            <w:r w:rsidRPr="000E492D">
              <w:rPr>
                <w:b/>
              </w:rPr>
              <w:t>Lost day of production and employees receive an extra paid day off work</w:t>
            </w:r>
          </w:p>
          <w:p w:rsidR="00662090" w:rsidRDefault="00172826" w:rsidP="0036733E">
            <w:pPr>
              <w:pStyle w:val="TableTextSmall"/>
              <w:keepNext/>
            </w:pPr>
            <w:r>
              <w:t xml:space="preserve">This impact occurs because most </w:t>
            </w:r>
            <w:r w:rsidR="00FC1A2C">
              <w:t xml:space="preserve">manufacturing businesses </w:t>
            </w:r>
            <w:r>
              <w:t>would not operate on the Friday public holiday</w:t>
            </w:r>
            <w:r w:rsidR="002D1D5A">
              <w:t>.</w:t>
            </w:r>
            <w:r>
              <w:t xml:space="preserve"> </w:t>
            </w:r>
          </w:p>
          <w:p w:rsidR="00996EC2" w:rsidRPr="000E492D" w:rsidRDefault="002D1D5A" w:rsidP="0036733E">
            <w:pPr>
              <w:pStyle w:val="TableTextSmall"/>
              <w:keepNext/>
              <w:rPr>
                <w:b/>
              </w:rPr>
            </w:pPr>
            <w:r>
              <w:t xml:space="preserve">It is possible that less than a full day’s production is lost as some additional shifts and/or overtime may be rostered on the adjacent work days to partly offset the impact of not working on the Friday public holiday. </w:t>
            </w:r>
          </w:p>
        </w:tc>
      </w:tr>
      <w:tr w:rsidR="001176D8" w:rsidTr="000D6E9A">
        <w:trPr>
          <w:trHeight w:val="3461"/>
        </w:trPr>
        <w:tc>
          <w:tcPr>
            <w:tcW w:w="1384" w:type="dxa"/>
          </w:tcPr>
          <w:p w:rsidR="001176D8" w:rsidRPr="000E492D" w:rsidRDefault="001176D8" w:rsidP="00091AF8">
            <w:pPr>
              <w:pStyle w:val="TableTextSmall"/>
              <w:keepNext/>
              <w:rPr>
                <w:b/>
              </w:rPr>
            </w:pPr>
            <w:r w:rsidRPr="000E492D">
              <w:rPr>
                <w:b/>
              </w:rPr>
              <w:t>Hospital</w:t>
            </w:r>
          </w:p>
        </w:tc>
        <w:tc>
          <w:tcPr>
            <w:tcW w:w="3402" w:type="dxa"/>
          </w:tcPr>
          <w:p w:rsidR="002D1D5A" w:rsidRPr="000E492D" w:rsidRDefault="002D1D5A" w:rsidP="002D1D5A">
            <w:pPr>
              <w:pStyle w:val="TableTextSmall"/>
              <w:keepNext/>
              <w:rPr>
                <w:b/>
              </w:rPr>
            </w:pPr>
            <w:r w:rsidRPr="000E492D">
              <w:rPr>
                <w:b/>
              </w:rPr>
              <w:t xml:space="preserve">Some impact </w:t>
            </w:r>
            <w:r w:rsidR="00172826">
              <w:rPr>
                <w:b/>
              </w:rPr>
              <w:t>on output</w:t>
            </w:r>
            <w:r w:rsidRPr="000E492D">
              <w:rPr>
                <w:b/>
              </w:rPr>
              <w:t xml:space="preserve"> expected. Many employees receive additional wages</w:t>
            </w:r>
            <w:r>
              <w:rPr>
                <w:b/>
              </w:rPr>
              <w:t xml:space="preserve"> or an extra paid day off</w:t>
            </w:r>
            <w:r w:rsidRPr="000E492D">
              <w:rPr>
                <w:b/>
              </w:rPr>
              <w:t xml:space="preserve">  </w:t>
            </w:r>
          </w:p>
          <w:p w:rsidR="001176D8" w:rsidRDefault="001176D8" w:rsidP="00091AF8">
            <w:pPr>
              <w:pStyle w:val="TableTextSmall"/>
              <w:keepNext/>
            </w:pPr>
            <w:r w:rsidRPr="00410330">
              <w:t xml:space="preserve">Hospitals may offer reduced services </w:t>
            </w:r>
            <w:r w:rsidR="00FC1A2C">
              <w:t>on this day</w:t>
            </w:r>
            <w:r w:rsidRPr="00410330">
              <w:t xml:space="preserve">. </w:t>
            </w:r>
          </w:p>
          <w:p w:rsidR="00662090" w:rsidRDefault="00172826" w:rsidP="00091AF8">
            <w:pPr>
              <w:pStyle w:val="TableTextSmall"/>
              <w:keepNext/>
            </w:pPr>
            <w:r>
              <w:t>S</w:t>
            </w:r>
            <w:r w:rsidR="001176D8" w:rsidRPr="00410330">
              <w:t>taff required to work would be paid additional wages due to penalty rates, representing an increased cost for employers.</w:t>
            </w:r>
          </w:p>
          <w:p w:rsidR="00D17259" w:rsidRDefault="00383B49" w:rsidP="00091AF8">
            <w:pPr>
              <w:pStyle w:val="TableTextSmall"/>
              <w:keepNext/>
            </w:pPr>
            <w:r>
              <w:t xml:space="preserve">Others may be entitled to a paid day off. </w:t>
            </w:r>
            <w:r w:rsidR="002D1D5A">
              <w:t>Casual employees no longer required to work that day receive an unpaid day off, representing reduced employment.</w:t>
            </w:r>
          </w:p>
          <w:p w:rsidR="001176D8" w:rsidRDefault="001176D8" w:rsidP="00091AF8">
            <w:pPr>
              <w:pStyle w:val="TableTextSmall"/>
              <w:keepNext/>
            </w:pPr>
            <w:r w:rsidRPr="00410330">
              <w:t>If the holiday falls on a rostered day off, many Victorian nurses are entitled to a day’s ordinary pay despite not working.</w:t>
            </w:r>
          </w:p>
        </w:tc>
        <w:tc>
          <w:tcPr>
            <w:tcW w:w="3651" w:type="dxa"/>
          </w:tcPr>
          <w:p w:rsidR="002D1D5A" w:rsidRPr="000E492D" w:rsidRDefault="002D1D5A" w:rsidP="002D1D5A">
            <w:pPr>
              <w:pStyle w:val="TableTextSmall"/>
              <w:keepNext/>
              <w:rPr>
                <w:b/>
              </w:rPr>
            </w:pPr>
            <w:r w:rsidRPr="000E492D">
              <w:rPr>
                <w:b/>
              </w:rPr>
              <w:t xml:space="preserve">Some impact to </w:t>
            </w:r>
            <w:r w:rsidR="00940534">
              <w:rPr>
                <w:b/>
              </w:rPr>
              <w:t>output expected</w:t>
            </w:r>
            <w:r w:rsidRPr="000E492D">
              <w:rPr>
                <w:b/>
              </w:rPr>
              <w:t>. Many employees receive additional wages</w:t>
            </w:r>
            <w:r>
              <w:rPr>
                <w:b/>
              </w:rPr>
              <w:t xml:space="preserve"> or an extra paid day off</w:t>
            </w:r>
          </w:p>
          <w:p w:rsidR="007A43ED" w:rsidRDefault="007A43ED" w:rsidP="00091AF8">
            <w:pPr>
              <w:pStyle w:val="TableTextSmall"/>
              <w:keepNext/>
            </w:pPr>
            <w:r>
              <w:t xml:space="preserve">Hospitals are expected to experience </w:t>
            </w:r>
            <w:r w:rsidR="002653BE">
              <w:t xml:space="preserve">broadly </w:t>
            </w:r>
            <w:r>
              <w:t xml:space="preserve">similar impacts on the Friday holiday as on the Easter Sunday holiday, though </w:t>
            </w:r>
            <w:r w:rsidR="00397918">
              <w:t xml:space="preserve">the magnitude </w:t>
            </w:r>
            <w:r w:rsidR="002653BE">
              <w:t xml:space="preserve">of the impact </w:t>
            </w:r>
            <w:r w:rsidR="00397918">
              <w:t xml:space="preserve">would likely be greater on the Friday. </w:t>
            </w:r>
          </w:p>
          <w:p w:rsidR="00397918" w:rsidRDefault="00397918" w:rsidP="00091AF8">
            <w:pPr>
              <w:pStyle w:val="TableTextSmall"/>
              <w:keepNext/>
            </w:pPr>
            <w:r>
              <w:t>This is because:</w:t>
            </w:r>
          </w:p>
          <w:p w:rsidR="00397918" w:rsidRDefault="00EC198D" w:rsidP="000D6E9A">
            <w:pPr>
              <w:pStyle w:val="TableTextSmall"/>
              <w:keepNext/>
              <w:numPr>
                <w:ilvl w:val="0"/>
                <w:numId w:val="37"/>
              </w:numPr>
            </w:pPr>
            <w:r>
              <w:t>the normal level of services offered is greater on a Friday than on Easter Sunday, meaning a public holiday on a Friday creates a greater disruption to services</w:t>
            </w:r>
          </w:p>
          <w:p w:rsidR="00383B49" w:rsidRDefault="00B22FD2" w:rsidP="00C873BE">
            <w:pPr>
              <w:pStyle w:val="TableTextSmall"/>
              <w:keepNext/>
              <w:numPr>
                <w:ilvl w:val="0"/>
                <w:numId w:val="37"/>
              </w:numPr>
            </w:pPr>
            <w:r>
              <w:t xml:space="preserve">Public holiday penalty rates add in </w:t>
            </w:r>
            <w:r w:rsidR="004E6197">
              <w:t>some</w:t>
            </w:r>
            <w:r>
              <w:t xml:space="preserve"> cases about 150% to the Friday wage rate </w:t>
            </w:r>
            <w:r w:rsidR="003F7BA1">
              <w:t>but only about 50% on top of the Sunday wage rate. This means the additional wages are greater on a Friday public holiday.</w:t>
            </w:r>
          </w:p>
        </w:tc>
      </w:tr>
      <w:tr w:rsidR="001176D8" w:rsidTr="00091AF8">
        <w:tc>
          <w:tcPr>
            <w:tcW w:w="1384" w:type="dxa"/>
          </w:tcPr>
          <w:p w:rsidR="001176D8" w:rsidRPr="000E492D" w:rsidRDefault="001176D8" w:rsidP="00091AF8">
            <w:pPr>
              <w:pStyle w:val="TableTextSmall"/>
              <w:keepNext/>
              <w:rPr>
                <w:b/>
              </w:rPr>
            </w:pPr>
            <w:r w:rsidRPr="000E492D">
              <w:rPr>
                <w:b/>
              </w:rPr>
              <w:t>Café</w:t>
            </w:r>
          </w:p>
        </w:tc>
        <w:tc>
          <w:tcPr>
            <w:tcW w:w="3402" w:type="dxa"/>
          </w:tcPr>
          <w:p w:rsidR="001176D8" w:rsidRPr="000E492D" w:rsidRDefault="001176D8" w:rsidP="00091AF8">
            <w:pPr>
              <w:pStyle w:val="TableTextSmall"/>
              <w:keepNext/>
              <w:rPr>
                <w:b/>
              </w:rPr>
            </w:pPr>
            <w:r w:rsidRPr="000E492D">
              <w:rPr>
                <w:b/>
              </w:rPr>
              <w:t xml:space="preserve">Some impact to </w:t>
            </w:r>
            <w:r w:rsidR="00940534">
              <w:rPr>
                <w:b/>
              </w:rPr>
              <w:t>output</w:t>
            </w:r>
            <w:r w:rsidRPr="000E492D">
              <w:rPr>
                <w:b/>
              </w:rPr>
              <w:t xml:space="preserve"> and to employment expected. Many employees receive additional wages</w:t>
            </w:r>
            <w:r>
              <w:rPr>
                <w:b/>
              </w:rPr>
              <w:t xml:space="preserve"> or an extra paid day off</w:t>
            </w:r>
            <w:r w:rsidRPr="000E492D">
              <w:rPr>
                <w:b/>
              </w:rPr>
              <w:t xml:space="preserve">  </w:t>
            </w:r>
          </w:p>
          <w:p w:rsidR="001176D8" w:rsidRDefault="001176D8" w:rsidP="00091AF8">
            <w:pPr>
              <w:pStyle w:val="TableTextSmall"/>
              <w:keepNext/>
            </w:pPr>
            <w:r>
              <w:t xml:space="preserve">Some cafés would close </w:t>
            </w:r>
            <w:r w:rsidR="00D17259">
              <w:t>due to</w:t>
            </w:r>
            <w:r>
              <w:t xml:space="preserve"> an Easter Sunday public holiday, representing approximately one day’s lost production. For casual café employees who would otherwise have worked, this represents lower employment. Permanent employees may get an extra paid day off.</w:t>
            </w:r>
          </w:p>
          <w:p w:rsidR="002D1D5A" w:rsidRDefault="001176D8" w:rsidP="00091AF8">
            <w:pPr>
              <w:pStyle w:val="TableTextSmall"/>
              <w:keepNext/>
            </w:pPr>
            <w:r>
              <w:t xml:space="preserve">Cafés that </w:t>
            </w:r>
            <w:r w:rsidR="00172826">
              <w:t xml:space="preserve">remain </w:t>
            </w:r>
            <w:r>
              <w:t>open would pay employees higher wages due to penalty rates, meaning increased income for some workers. Some employers could apply public holiday surcharges to help recoup some of the</w:t>
            </w:r>
            <w:r w:rsidR="00801EA7">
              <w:t>se</w:t>
            </w:r>
            <w:r>
              <w:t xml:space="preserve"> additional wage costs.</w:t>
            </w:r>
            <w:r w:rsidR="00383B49">
              <w:t xml:space="preserve"> </w:t>
            </w:r>
          </w:p>
          <w:p w:rsidR="00383B49" w:rsidRDefault="00383B49" w:rsidP="00091AF8">
            <w:pPr>
              <w:pStyle w:val="TableTextSmall"/>
              <w:keepNext/>
            </w:pPr>
            <w:r>
              <w:t xml:space="preserve">Some </w:t>
            </w:r>
            <w:r w:rsidR="002D1D5A">
              <w:t xml:space="preserve">employers </w:t>
            </w:r>
            <w:r>
              <w:t xml:space="preserve">may be able to adjust their staffing mix toward juniors and permanent staff rather than casuals in an effort to </w:t>
            </w:r>
            <w:r w:rsidR="00172826">
              <w:t>limit wage cost increases</w:t>
            </w:r>
            <w:r>
              <w:t>.</w:t>
            </w:r>
          </w:p>
        </w:tc>
        <w:tc>
          <w:tcPr>
            <w:tcW w:w="3651" w:type="dxa"/>
          </w:tcPr>
          <w:p w:rsidR="001176D8" w:rsidRPr="000E492D" w:rsidRDefault="001176D8" w:rsidP="00091AF8">
            <w:pPr>
              <w:pStyle w:val="TableTextSmall"/>
              <w:keepNext/>
              <w:rPr>
                <w:b/>
              </w:rPr>
            </w:pPr>
            <w:r w:rsidRPr="000E492D">
              <w:rPr>
                <w:b/>
              </w:rPr>
              <w:t xml:space="preserve">Some impact </w:t>
            </w:r>
            <w:r w:rsidR="00940534">
              <w:rPr>
                <w:b/>
              </w:rPr>
              <w:t>to output</w:t>
            </w:r>
            <w:r w:rsidRPr="000E492D">
              <w:rPr>
                <w:b/>
              </w:rPr>
              <w:t xml:space="preserve"> and to employment expected. Many employees receive additional wages</w:t>
            </w:r>
            <w:r>
              <w:rPr>
                <w:b/>
              </w:rPr>
              <w:t xml:space="preserve"> or an extra paid day off</w:t>
            </w:r>
          </w:p>
          <w:p w:rsidR="00A707BC" w:rsidRDefault="00A707BC" w:rsidP="00091AF8">
            <w:pPr>
              <w:pStyle w:val="TableTextSmall"/>
              <w:keepNext/>
            </w:pPr>
            <w:r>
              <w:t>Cafés would likely experience similar impacts on the Friday holiday as on the Easter Sunday holiday, though the magnitude</w:t>
            </w:r>
            <w:r w:rsidR="004E6197">
              <w:t xml:space="preserve"> of the impact</w:t>
            </w:r>
            <w:r>
              <w:t xml:space="preserve"> is expected to be greater on the Friday because:</w:t>
            </w:r>
          </w:p>
          <w:p w:rsidR="00A707BC" w:rsidRDefault="00A707BC" w:rsidP="000D6E9A">
            <w:pPr>
              <w:pStyle w:val="TableTextSmall"/>
              <w:keepNext/>
              <w:numPr>
                <w:ilvl w:val="0"/>
                <w:numId w:val="38"/>
              </w:numPr>
            </w:pPr>
            <w:proofErr w:type="gramStart"/>
            <w:r>
              <w:t>many</w:t>
            </w:r>
            <w:proofErr w:type="gramEnd"/>
            <w:r>
              <w:t xml:space="preserve"> cafés would already close on Easter Sunday meaning output is already </w:t>
            </w:r>
            <w:r w:rsidR="00EC198D">
              <w:t>lower</w:t>
            </w:r>
            <w:r>
              <w:t xml:space="preserve"> on that day under current arrangements. On a Friday however most cafés would </w:t>
            </w:r>
            <w:r w:rsidR="004E6197">
              <w:t>be expected to be</w:t>
            </w:r>
            <w:r>
              <w:t xml:space="preserve"> open </w:t>
            </w:r>
          </w:p>
          <w:p w:rsidR="003F7BA1" w:rsidRDefault="003F7BA1" w:rsidP="003F7BA1">
            <w:pPr>
              <w:pStyle w:val="TableTextSmall"/>
              <w:keepNext/>
              <w:numPr>
                <w:ilvl w:val="0"/>
                <w:numId w:val="38"/>
              </w:numPr>
            </w:pPr>
            <w:r>
              <w:t xml:space="preserve">Public holiday penalty rates add in </w:t>
            </w:r>
            <w:r w:rsidR="004E6197">
              <w:t>some</w:t>
            </w:r>
            <w:r>
              <w:t xml:space="preserve"> cases about 150% to the Friday wage rate but only about 50% on top of the Sunday wage rate. This means the additional wages are greater on a Friday public holiday.</w:t>
            </w:r>
          </w:p>
          <w:p w:rsidR="001176D8" w:rsidRDefault="00383B49" w:rsidP="00091AF8">
            <w:pPr>
              <w:pStyle w:val="TableTextSmall"/>
              <w:keepNext/>
            </w:pPr>
            <w:r>
              <w:t xml:space="preserve"> </w:t>
            </w:r>
          </w:p>
        </w:tc>
      </w:tr>
    </w:tbl>
    <w:p w:rsidR="001176D8" w:rsidRDefault="001176D8" w:rsidP="00091AF8">
      <w:pPr>
        <w:pStyle w:val="Sources"/>
      </w:pPr>
      <w:r>
        <w:t>Source: PwC</w:t>
      </w:r>
      <w:r w:rsidR="00172826">
        <w:t>. *</w:t>
      </w:r>
      <w:proofErr w:type="gramStart"/>
      <w:r w:rsidR="00172826">
        <w:t>S</w:t>
      </w:r>
      <w:r>
        <w:t>ome</w:t>
      </w:r>
      <w:proofErr w:type="gramEnd"/>
      <w:r>
        <w:t xml:space="preserve"> employers falling within these descriptions would </w:t>
      </w:r>
      <w:r w:rsidR="00172826">
        <w:t>experience different impacts. T</w:t>
      </w:r>
      <w:r>
        <w:t xml:space="preserve">he expected impacts provided in the table are illustrative only. </w:t>
      </w:r>
    </w:p>
    <w:p w:rsidR="002D1D5A" w:rsidRPr="00EB0B06" w:rsidRDefault="00940534" w:rsidP="002D1D5A">
      <w:pPr>
        <w:pStyle w:val="Minorheading2"/>
      </w:pPr>
      <w:r>
        <w:br w:type="page"/>
      </w:r>
      <w:r w:rsidR="002D1D5A">
        <w:t>Impacts of the proposed policy</w:t>
      </w:r>
    </w:p>
    <w:p w:rsidR="00BE03AE" w:rsidRDefault="00BE03AE" w:rsidP="00BE03AE">
      <w:pPr>
        <w:pStyle w:val="StylePwCNormalnmajNormalnotetextcvteCNormalnotetext"/>
        <w:tabs>
          <w:tab w:val="clear" w:pos="0"/>
        </w:tabs>
      </w:pPr>
      <w:r>
        <w:t xml:space="preserve">The reduction in economic activity in Victoria under the proposed policy is </w:t>
      </w:r>
      <w:r w:rsidR="000A103C">
        <w:t xml:space="preserve">estimated to be </w:t>
      </w:r>
      <w:r>
        <w:t xml:space="preserve">between </w:t>
      </w:r>
      <w:r w:rsidR="00C25BC3" w:rsidRPr="003E7E0A">
        <w:rPr>
          <w:b/>
        </w:rPr>
        <w:t>$</w:t>
      </w:r>
      <w:r w:rsidR="00325BAE">
        <w:rPr>
          <w:b/>
        </w:rPr>
        <w:t>717</w:t>
      </w:r>
      <w:r w:rsidR="00325BAE" w:rsidRPr="003E7E0A">
        <w:rPr>
          <w:b/>
        </w:rPr>
        <w:t> </w:t>
      </w:r>
      <w:r w:rsidR="00C25BC3" w:rsidRPr="003E7E0A">
        <w:rPr>
          <w:b/>
        </w:rPr>
        <w:t>million</w:t>
      </w:r>
      <w:r w:rsidR="00C25BC3">
        <w:t xml:space="preserve"> and </w:t>
      </w:r>
      <w:r w:rsidR="00C25BC3" w:rsidRPr="003E7E0A">
        <w:rPr>
          <w:b/>
        </w:rPr>
        <w:t>$</w:t>
      </w:r>
      <w:r w:rsidR="00325BAE">
        <w:rPr>
          <w:b/>
        </w:rPr>
        <w:t>898</w:t>
      </w:r>
      <w:r w:rsidR="00325BAE" w:rsidRPr="003E7E0A">
        <w:rPr>
          <w:b/>
        </w:rPr>
        <w:t> </w:t>
      </w:r>
      <w:r w:rsidR="00C25BC3" w:rsidRPr="003E7E0A">
        <w:rPr>
          <w:b/>
        </w:rPr>
        <w:t>million</w:t>
      </w:r>
      <w:r w:rsidR="00C25BC3">
        <w:t xml:space="preserve"> </w:t>
      </w:r>
      <w:r w:rsidR="000A103C">
        <w:t>annually</w:t>
      </w:r>
      <w:r>
        <w:t xml:space="preserve">. </w:t>
      </w:r>
    </w:p>
    <w:p w:rsidR="00BE03AE" w:rsidRPr="00EE0E52" w:rsidRDefault="00EE0E52" w:rsidP="00BE03AE">
      <w:pPr>
        <w:pStyle w:val="StylePwCNormalnmajNormalnotetextcvteCNormalnotetext"/>
        <w:tabs>
          <w:tab w:val="clear" w:pos="0"/>
        </w:tabs>
      </w:pPr>
      <w:r>
        <w:t xml:space="preserve">Individuals are expected to receive benefits in the form of additional leisure time of </w:t>
      </w:r>
      <w:r w:rsidRPr="00091AF8">
        <w:t>between</w:t>
      </w:r>
      <w:r>
        <w:rPr>
          <w:b/>
        </w:rPr>
        <w:t xml:space="preserve"> $</w:t>
      </w:r>
      <w:r w:rsidR="00325BAE">
        <w:rPr>
          <w:b/>
        </w:rPr>
        <w:t>156 </w:t>
      </w:r>
      <w:r>
        <w:rPr>
          <w:b/>
        </w:rPr>
        <w:t xml:space="preserve">million </w:t>
      </w:r>
      <w:r w:rsidRPr="00091AF8">
        <w:t>and</w:t>
      </w:r>
      <w:r>
        <w:rPr>
          <w:b/>
        </w:rPr>
        <w:t xml:space="preserve"> $</w:t>
      </w:r>
      <w:r w:rsidR="00325BAE">
        <w:rPr>
          <w:b/>
        </w:rPr>
        <w:t>312 </w:t>
      </w:r>
      <w:r>
        <w:rPr>
          <w:b/>
        </w:rPr>
        <w:t xml:space="preserve">million </w:t>
      </w:r>
      <w:r w:rsidRPr="00091AF8">
        <w:t>annually</w:t>
      </w:r>
      <w:r>
        <w:t xml:space="preserve">. </w:t>
      </w:r>
    </w:p>
    <w:p w:rsidR="002C1A06" w:rsidRDefault="002C1A06" w:rsidP="002C1A06">
      <w:pPr>
        <w:pStyle w:val="PwCNormal"/>
      </w:pPr>
      <w:r>
        <w:t xml:space="preserve">The proposed policy would also have a distributional impact with increased wage payments from employers to employees of between </w:t>
      </w:r>
      <w:r w:rsidRPr="003E7E0A">
        <w:rPr>
          <w:b/>
        </w:rPr>
        <w:t>$25</w:t>
      </w:r>
      <w:r>
        <w:rPr>
          <w:b/>
        </w:rPr>
        <w:t>2</w:t>
      </w:r>
      <w:r w:rsidRPr="003E7E0A">
        <w:rPr>
          <w:b/>
        </w:rPr>
        <w:t> million</w:t>
      </w:r>
      <w:r>
        <w:t xml:space="preserve"> and </w:t>
      </w:r>
      <w:r w:rsidRPr="00091AF8">
        <w:rPr>
          <w:b/>
        </w:rPr>
        <w:t>$</w:t>
      </w:r>
      <w:r w:rsidRPr="003E7E0A">
        <w:rPr>
          <w:b/>
        </w:rPr>
        <w:t>28</w:t>
      </w:r>
      <w:r>
        <w:rPr>
          <w:b/>
        </w:rPr>
        <w:t>6</w:t>
      </w:r>
      <w:r w:rsidRPr="003E7E0A">
        <w:rPr>
          <w:b/>
        </w:rPr>
        <w:t> million</w:t>
      </w:r>
      <w:r>
        <w:t xml:space="preserve"> annually. </w:t>
      </w:r>
    </w:p>
    <w:p w:rsidR="00751662" w:rsidRPr="005C1332" w:rsidRDefault="00F04935" w:rsidP="00091AF8">
      <w:pPr>
        <w:pStyle w:val="StylePwCNormalnmajNormalnotetextcvteCNormalnotetext2"/>
      </w:pPr>
      <w:r w:rsidRPr="005C1332">
        <w:t>The proposed policy</w:t>
      </w:r>
      <w:r w:rsidR="003304F2" w:rsidRPr="005C1332">
        <w:t xml:space="preserve"> </w:t>
      </w:r>
      <w:r w:rsidR="00855B5A" w:rsidRPr="005C1332">
        <w:t xml:space="preserve">could </w:t>
      </w:r>
      <w:r w:rsidR="00A42D64">
        <w:t>result in</w:t>
      </w:r>
      <w:r w:rsidR="003304F2" w:rsidRPr="005C1332">
        <w:t xml:space="preserve"> additional tourism</w:t>
      </w:r>
      <w:r w:rsidR="00855B5A" w:rsidRPr="005C1332">
        <w:t xml:space="preserve"> associated with the coordination of </w:t>
      </w:r>
      <w:r w:rsidR="002C1A06">
        <w:t>complementary</w:t>
      </w:r>
      <w:r w:rsidR="002C1A06" w:rsidRPr="005C1332">
        <w:t xml:space="preserve"> </w:t>
      </w:r>
      <w:r w:rsidR="001303F1">
        <w:t xml:space="preserve">sporting or cultural </w:t>
      </w:r>
      <w:r w:rsidR="00855B5A" w:rsidRPr="005C1332">
        <w:t xml:space="preserve">events. Due to the uncertainty around the potential values associated with as-yet unknown future events, this RIS does not provide an estimate of this impact. </w:t>
      </w:r>
    </w:p>
    <w:p w:rsidR="000A103C" w:rsidRDefault="00855B5A" w:rsidP="00091AF8">
      <w:pPr>
        <w:pStyle w:val="StylePwCNormalnmajNormalnotetextcvteCNormalnotetext2"/>
      </w:pPr>
      <w:r>
        <w:t xml:space="preserve">Further benefits could be enjoyed by Victorians in the form of </w:t>
      </w:r>
      <w:r w:rsidR="003304F2">
        <w:t xml:space="preserve">coordinated leisure time. </w:t>
      </w:r>
      <w:r w:rsidR="000A103C">
        <w:t>Due to</w:t>
      </w:r>
      <w:r>
        <w:t xml:space="preserve"> the uncertainty surrounding the community’s valuation of these benefits, the RIS has not sought</w:t>
      </w:r>
      <w:r w:rsidR="00EE0E52">
        <w:t xml:space="preserve"> to quantify </w:t>
      </w:r>
      <w:r w:rsidR="00A42D64">
        <w:t xml:space="preserve">this </w:t>
      </w:r>
      <w:r w:rsidR="00EE0E52">
        <w:t>potential value</w:t>
      </w:r>
      <w:r>
        <w:t xml:space="preserve">. </w:t>
      </w:r>
    </w:p>
    <w:p w:rsidR="009C6379" w:rsidRDefault="00EE0E52" w:rsidP="00091AF8">
      <w:pPr>
        <w:pStyle w:val="StylePwCNormalnmajNormalnotetextcvteCNormalnotetext2"/>
      </w:pPr>
      <w:r>
        <w:t xml:space="preserve">Given </w:t>
      </w:r>
      <w:r w:rsidR="00ED798A">
        <w:t xml:space="preserve">the </w:t>
      </w:r>
      <w:r>
        <w:t xml:space="preserve">estimated costs of between </w:t>
      </w:r>
      <w:r w:rsidR="00325BAE" w:rsidRPr="003E7E0A">
        <w:rPr>
          <w:b/>
        </w:rPr>
        <w:t>$</w:t>
      </w:r>
      <w:r w:rsidR="00325BAE">
        <w:rPr>
          <w:b/>
        </w:rPr>
        <w:t>717</w:t>
      </w:r>
      <w:r w:rsidR="00325BAE" w:rsidRPr="003E7E0A">
        <w:rPr>
          <w:b/>
        </w:rPr>
        <w:t> million</w:t>
      </w:r>
      <w:r w:rsidR="00325BAE">
        <w:t xml:space="preserve"> and </w:t>
      </w:r>
      <w:r w:rsidR="00325BAE" w:rsidRPr="003E7E0A">
        <w:rPr>
          <w:b/>
        </w:rPr>
        <w:t>$</w:t>
      </w:r>
      <w:r w:rsidR="00325BAE">
        <w:rPr>
          <w:b/>
        </w:rPr>
        <w:t>898</w:t>
      </w:r>
      <w:r w:rsidR="00325BAE" w:rsidRPr="003E7E0A">
        <w:rPr>
          <w:b/>
        </w:rPr>
        <w:t> million</w:t>
      </w:r>
      <w:r w:rsidR="00325BAE">
        <w:t xml:space="preserve"> </w:t>
      </w:r>
      <w:r>
        <w:t>annually,</w:t>
      </w:r>
      <w:r w:rsidR="003304F2">
        <w:t xml:space="preserve"> the community </w:t>
      </w:r>
      <w:r w:rsidR="00F04935">
        <w:t xml:space="preserve">would need to </w:t>
      </w:r>
      <w:r w:rsidR="003304F2">
        <w:t>place a value o</w:t>
      </w:r>
      <w:r w:rsidR="00E21466">
        <w:t>n</w:t>
      </w:r>
      <w:r w:rsidR="003304F2">
        <w:t xml:space="preserve"> the </w:t>
      </w:r>
      <w:r w:rsidR="005F532E">
        <w:t>benefits of</w:t>
      </w:r>
      <w:r w:rsidR="00721028">
        <w:t xml:space="preserve"> both Easter Sunday and </w:t>
      </w:r>
      <w:r w:rsidR="00307783">
        <w:t xml:space="preserve">the Friday before the </w:t>
      </w:r>
      <w:r w:rsidR="009C6379">
        <w:t xml:space="preserve">AFL </w:t>
      </w:r>
      <w:r w:rsidR="00307783">
        <w:t>Grand Final</w:t>
      </w:r>
      <w:r w:rsidR="00721028">
        <w:t xml:space="preserve"> public holidays </w:t>
      </w:r>
      <w:r w:rsidR="003304F2">
        <w:t xml:space="preserve">in </w:t>
      </w:r>
      <w:r w:rsidR="00A42D64">
        <w:t>excess</w:t>
      </w:r>
      <w:r w:rsidR="003304F2">
        <w:t xml:space="preserve"> of </w:t>
      </w:r>
      <w:r w:rsidR="003304F2" w:rsidRPr="003E7E0A">
        <w:rPr>
          <w:b/>
        </w:rPr>
        <w:t>$</w:t>
      </w:r>
      <w:r w:rsidR="00325BAE">
        <w:rPr>
          <w:b/>
        </w:rPr>
        <w:t>405</w:t>
      </w:r>
      <w:r w:rsidR="00325BAE" w:rsidRPr="003E7E0A">
        <w:rPr>
          <w:b/>
        </w:rPr>
        <w:t> </w:t>
      </w:r>
      <w:r w:rsidR="003304F2" w:rsidRPr="003E7E0A">
        <w:rPr>
          <w:b/>
        </w:rPr>
        <w:t>million</w:t>
      </w:r>
      <w:r w:rsidR="003304F2">
        <w:t xml:space="preserve"> to </w:t>
      </w:r>
      <w:r w:rsidR="003304F2" w:rsidRPr="003E7E0A">
        <w:rPr>
          <w:b/>
        </w:rPr>
        <w:t>$</w:t>
      </w:r>
      <w:r w:rsidR="00325BAE">
        <w:rPr>
          <w:b/>
        </w:rPr>
        <w:t>742</w:t>
      </w:r>
      <w:r w:rsidR="00325BAE" w:rsidRPr="003E7E0A">
        <w:rPr>
          <w:b/>
        </w:rPr>
        <w:t> </w:t>
      </w:r>
      <w:r w:rsidR="003304F2" w:rsidRPr="003E7E0A">
        <w:rPr>
          <w:b/>
        </w:rPr>
        <w:t>million</w:t>
      </w:r>
      <w:r w:rsidR="003304F2">
        <w:t xml:space="preserve"> a year</w:t>
      </w:r>
      <w:r w:rsidR="003857A2">
        <w:t xml:space="preserve"> </w:t>
      </w:r>
      <w:r w:rsidR="005F532E">
        <w:t>(</w:t>
      </w:r>
      <w:r w:rsidR="003857A2">
        <w:t xml:space="preserve">in addition to the </w:t>
      </w:r>
      <w:r w:rsidR="003857A2" w:rsidRPr="00091AF8">
        <w:t>$</w:t>
      </w:r>
      <w:r w:rsidR="00325BAE" w:rsidRPr="00091AF8">
        <w:t>1</w:t>
      </w:r>
      <w:r w:rsidR="00325BAE">
        <w:t>56</w:t>
      </w:r>
      <w:r w:rsidR="00325BAE" w:rsidRPr="00091AF8">
        <w:t> </w:t>
      </w:r>
      <w:r w:rsidR="00FA0D92" w:rsidRPr="00091AF8">
        <w:t xml:space="preserve">million to </w:t>
      </w:r>
      <w:r w:rsidR="009B4509" w:rsidRPr="00091AF8">
        <w:t>$</w:t>
      </w:r>
      <w:r w:rsidR="00325BAE" w:rsidRPr="00091AF8">
        <w:t>3</w:t>
      </w:r>
      <w:r w:rsidR="00325BAE">
        <w:t>12</w:t>
      </w:r>
      <w:r w:rsidR="00325BAE" w:rsidRPr="00091AF8">
        <w:t xml:space="preserve"> </w:t>
      </w:r>
      <w:r w:rsidR="003857A2" w:rsidRPr="00091AF8">
        <w:t>million</w:t>
      </w:r>
      <w:r w:rsidR="002C1A06">
        <w:t xml:space="preserve"> in</w:t>
      </w:r>
      <w:r w:rsidR="003857A2">
        <w:t xml:space="preserve"> </w:t>
      </w:r>
      <w:r w:rsidR="00FA0D92">
        <w:t>benefits</w:t>
      </w:r>
      <w:r w:rsidR="003857A2">
        <w:t xml:space="preserve"> discussed above</w:t>
      </w:r>
      <w:r w:rsidR="005F532E">
        <w:t>)</w:t>
      </w:r>
      <w:r w:rsidR="00ED798A">
        <w:t xml:space="preserve"> in order for the benefits to fully offset the estimated costs</w:t>
      </w:r>
      <w:r w:rsidR="003304F2">
        <w:t xml:space="preserve">. </w:t>
      </w:r>
    </w:p>
    <w:p w:rsidR="009C6379" w:rsidRDefault="009C6379" w:rsidP="00091AF8">
      <w:pPr>
        <w:pStyle w:val="StylePwCNormalnmajNormalnotetextcvteCNormalnotetext2"/>
      </w:pPr>
      <w:r>
        <w:t xml:space="preserve">As a consultation document, this RIS is seeking the community’s feedback on the extent to which the </w:t>
      </w:r>
      <w:r w:rsidR="00A42D64">
        <w:t xml:space="preserve">quantified and non-quantified </w:t>
      </w:r>
      <w:r>
        <w:t xml:space="preserve">benefits associated with the proposed Easter Sunday and the Friday before the </w:t>
      </w:r>
      <w:r w:rsidR="00F51110">
        <w:t xml:space="preserve">AFL </w:t>
      </w:r>
      <w:r>
        <w:t>Grand Final public holidays are likely to exceed this number.</w:t>
      </w:r>
    </w:p>
    <w:p w:rsidR="00410330" w:rsidRDefault="00410330">
      <w:pPr>
        <w:pStyle w:val="StylePwCNormalnmajNormalnotetextcvteCNormalnotetext2"/>
      </w:pPr>
    </w:p>
    <w:p w:rsidR="00C270FB" w:rsidRDefault="00C270FB" w:rsidP="00C270FB">
      <w:pPr>
        <w:pStyle w:val="TOCtitle"/>
        <w:sectPr w:rsidR="00C270FB" w:rsidSect="003F01BE">
          <w:pgSz w:w="11907" w:h="16840" w:code="9"/>
          <w:pgMar w:top="1588" w:right="1843" w:bottom="1418" w:left="1843" w:header="567" w:footer="567" w:gutter="0"/>
          <w:pgNumType w:fmt="lowerRoman"/>
          <w:cols w:space="227"/>
          <w:titlePg/>
          <w:docGrid w:linePitch="286"/>
        </w:sectPr>
      </w:pPr>
    </w:p>
    <w:bookmarkEnd w:id="15"/>
    <w:p w:rsidR="004F0878" w:rsidRPr="004F0878" w:rsidRDefault="004F0878" w:rsidP="004F0878">
      <w:pPr>
        <w:pStyle w:val="TOCtitle"/>
      </w:pPr>
      <w:r w:rsidRPr="00FC2C77">
        <w:t>Conten</w:t>
      </w:r>
      <w:bookmarkStart w:id="21" w:name="TOC"/>
      <w:bookmarkEnd w:id="21"/>
      <w:r w:rsidRPr="00FC2C77">
        <w:t>ts</w:t>
      </w:r>
      <w:bookmarkStart w:id="22" w:name="SmallDoc"/>
      <w:bookmarkEnd w:id="22"/>
    </w:p>
    <w:p w:rsidR="003B74C1" w:rsidRPr="000C281E" w:rsidRDefault="00F81690">
      <w:pPr>
        <w:pStyle w:val="TOC2"/>
        <w:rPr>
          <w:noProof/>
        </w:rPr>
      </w:pPr>
      <w:r>
        <w:fldChar w:fldCharType="begin"/>
      </w:r>
      <w:r>
        <w:instrText xml:space="preserve"> TOC \h \t "Heading 1,1,Heading 2 No spacing,2,Heading 2,2,Heading 3,3,Heading 4,4,Preface Title,2" \*Charformat </w:instrText>
      </w:r>
      <w:r>
        <w:fldChar w:fldCharType="separate"/>
      </w:r>
      <w:hyperlink w:anchor="_Toc423453461" w:history="1">
        <w:r w:rsidR="003B74C1" w:rsidRPr="000C281E">
          <w:rPr>
            <w:noProof/>
          </w:rPr>
          <w:t>Disclaimer</w:t>
        </w:r>
        <w:r w:rsidR="003B74C1">
          <w:rPr>
            <w:noProof/>
          </w:rPr>
          <w:tab/>
        </w:r>
        <w:r w:rsidR="003B74C1">
          <w:rPr>
            <w:noProof/>
          </w:rPr>
          <w:fldChar w:fldCharType="begin"/>
        </w:r>
        <w:r w:rsidR="003B74C1">
          <w:rPr>
            <w:noProof/>
          </w:rPr>
          <w:instrText xml:space="preserve"> PAGEREF _Toc423453461 \h </w:instrText>
        </w:r>
        <w:r w:rsidR="003B74C1">
          <w:rPr>
            <w:noProof/>
          </w:rPr>
        </w:r>
        <w:r w:rsidR="003B74C1">
          <w:rPr>
            <w:noProof/>
          </w:rPr>
          <w:fldChar w:fldCharType="separate"/>
        </w:r>
        <w:r w:rsidR="00250375">
          <w:rPr>
            <w:noProof/>
          </w:rPr>
          <w:t>i</w:t>
        </w:r>
        <w:r w:rsidR="003B74C1">
          <w:rPr>
            <w:noProof/>
          </w:rPr>
          <w:fldChar w:fldCharType="end"/>
        </w:r>
      </w:hyperlink>
    </w:p>
    <w:p w:rsidR="003B74C1" w:rsidRPr="000C281E" w:rsidRDefault="00663565">
      <w:pPr>
        <w:pStyle w:val="TOC2"/>
        <w:rPr>
          <w:noProof/>
        </w:rPr>
      </w:pPr>
      <w:hyperlink w:anchor="_Toc423453462" w:history="1">
        <w:r w:rsidR="003B74C1" w:rsidRPr="000C281E">
          <w:rPr>
            <w:noProof/>
          </w:rPr>
          <w:t>Executive summary</w:t>
        </w:r>
        <w:r w:rsidR="003B74C1">
          <w:rPr>
            <w:noProof/>
          </w:rPr>
          <w:tab/>
        </w:r>
        <w:r w:rsidR="003B74C1">
          <w:rPr>
            <w:noProof/>
          </w:rPr>
          <w:fldChar w:fldCharType="begin"/>
        </w:r>
        <w:r w:rsidR="003B74C1">
          <w:rPr>
            <w:noProof/>
          </w:rPr>
          <w:instrText xml:space="preserve"> PAGEREF _Toc423453462 \h </w:instrText>
        </w:r>
        <w:r w:rsidR="003B74C1">
          <w:rPr>
            <w:noProof/>
          </w:rPr>
        </w:r>
        <w:r w:rsidR="003B74C1">
          <w:rPr>
            <w:noProof/>
          </w:rPr>
          <w:fldChar w:fldCharType="separate"/>
        </w:r>
        <w:r w:rsidR="00250375">
          <w:rPr>
            <w:noProof/>
          </w:rPr>
          <w:t>ii</w:t>
        </w:r>
        <w:r w:rsidR="003B74C1">
          <w:rPr>
            <w:noProof/>
          </w:rPr>
          <w:fldChar w:fldCharType="end"/>
        </w:r>
      </w:hyperlink>
    </w:p>
    <w:p w:rsidR="003B74C1" w:rsidRPr="000C281E" w:rsidRDefault="00663565">
      <w:pPr>
        <w:pStyle w:val="TOC2"/>
        <w:rPr>
          <w:noProof/>
        </w:rPr>
      </w:pPr>
      <w:hyperlink w:anchor="_Toc423453463" w:history="1">
        <w:r w:rsidR="003B74C1" w:rsidRPr="000C281E">
          <w:rPr>
            <w:noProof/>
          </w:rPr>
          <w:t>1</w:t>
        </w:r>
        <w:r w:rsidR="003B74C1" w:rsidRPr="000C281E">
          <w:rPr>
            <w:noProof/>
          </w:rPr>
          <w:tab/>
          <w:t>Background</w:t>
        </w:r>
        <w:r w:rsidR="003B74C1">
          <w:rPr>
            <w:noProof/>
          </w:rPr>
          <w:tab/>
        </w:r>
        <w:r w:rsidR="003B74C1">
          <w:rPr>
            <w:noProof/>
          </w:rPr>
          <w:fldChar w:fldCharType="begin"/>
        </w:r>
        <w:r w:rsidR="003B74C1">
          <w:rPr>
            <w:noProof/>
          </w:rPr>
          <w:instrText xml:space="preserve"> PAGEREF _Toc423453463 \h </w:instrText>
        </w:r>
        <w:r w:rsidR="003B74C1">
          <w:rPr>
            <w:noProof/>
          </w:rPr>
        </w:r>
        <w:r w:rsidR="003B74C1">
          <w:rPr>
            <w:noProof/>
          </w:rPr>
          <w:fldChar w:fldCharType="separate"/>
        </w:r>
        <w:r w:rsidR="00250375">
          <w:rPr>
            <w:noProof/>
          </w:rPr>
          <w:t>1</w:t>
        </w:r>
        <w:r w:rsidR="003B74C1">
          <w:rPr>
            <w:noProof/>
          </w:rPr>
          <w:fldChar w:fldCharType="end"/>
        </w:r>
      </w:hyperlink>
    </w:p>
    <w:p w:rsidR="003B74C1" w:rsidRPr="000C281E" w:rsidRDefault="00663565">
      <w:pPr>
        <w:pStyle w:val="TOC2"/>
        <w:rPr>
          <w:noProof/>
        </w:rPr>
      </w:pPr>
      <w:hyperlink w:anchor="_Toc423453464" w:history="1">
        <w:r w:rsidR="003B74C1" w:rsidRPr="000C281E">
          <w:rPr>
            <w:noProof/>
          </w:rPr>
          <w:t>2</w:t>
        </w:r>
        <w:r w:rsidR="003B74C1" w:rsidRPr="000C281E">
          <w:rPr>
            <w:noProof/>
          </w:rPr>
          <w:tab/>
          <w:t>Objectives</w:t>
        </w:r>
        <w:r w:rsidR="003B74C1">
          <w:rPr>
            <w:noProof/>
          </w:rPr>
          <w:tab/>
        </w:r>
        <w:r w:rsidR="003B74C1">
          <w:rPr>
            <w:noProof/>
          </w:rPr>
          <w:fldChar w:fldCharType="begin"/>
        </w:r>
        <w:r w:rsidR="003B74C1">
          <w:rPr>
            <w:noProof/>
          </w:rPr>
          <w:instrText xml:space="preserve"> PAGEREF _Toc423453464 \h </w:instrText>
        </w:r>
        <w:r w:rsidR="003B74C1">
          <w:rPr>
            <w:noProof/>
          </w:rPr>
        </w:r>
        <w:r w:rsidR="003B74C1">
          <w:rPr>
            <w:noProof/>
          </w:rPr>
          <w:fldChar w:fldCharType="separate"/>
        </w:r>
        <w:r w:rsidR="00250375">
          <w:rPr>
            <w:noProof/>
          </w:rPr>
          <w:t>5</w:t>
        </w:r>
        <w:r w:rsidR="003B74C1">
          <w:rPr>
            <w:noProof/>
          </w:rPr>
          <w:fldChar w:fldCharType="end"/>
        </w:r>
      </w:hyperlink>
    </w:p>
    <w:p w:rsidR="003B74C1" w:rsidRPr="000C281E" w:rsidRDefault="00663565">
      <w:pPr>
        <w:pStyle w:val="TOC2"/>
        <w:rPr>
          <w:noProof/>
        </w:rPr>
      </w:pPr>
      <w:hyperlink w:anchor="_Toc423453465" w:history="1">
        <w:r w:rsidR="003B74C1" w:rsidRPr="000C281E">
          <w:rPr>
            <w:noProof/>
          </w:rPr>
          <w:t>3</w:t>
        </w:r>
        <w:r w:rsidR="003B74C1" w:rsidRPr="000C281E">
          <w:rPr>
            <w:noProof/>
          </w:rPr>
          <w:tab/>
          <w:t>Options</w:t>
        </w:r>
        <w:r w:rsidR="003B74C1">
          <w:rPr>
            <w:noProof/>
          </w:rPr>
          <w:tab/>
        </w:r>
        <w:r w:rsidR="003B74C1">
          <w:rPr>
            <w:noProof/>
          </w:rPr>
          <w:fldChar w:fldCharType="begin"/>
        </w:r>
        <w:r w:rsidR="003B74C1">
          <w:rPr>
            <w:noProof/>
          </w:rPr>
          <w:instrText xml:space="preserve"> PAGEREF _Toc423453465 \h </w:instrText>
        </w:r>
        <w:r w:rsidR="003B74C1">
          <w:rPr>
            <w:noProof/>
          </w:rPr>
        </w:r>
        <w:r w:rsidR="003B74C1">
          <w:rPr>
            <w:noProof/>
          </w:rPr>
          <w:fldChar w:fldCharType="separate"/>
        </w:r>
        <w:r w:rsidR="00250375">
          <w:rPr>
            <w:noProof/>
          </w:rPr>
          <w:t>6</w:t>
        </w:r>
        <w:r w:rsidR="003B74C1">
          <w:rPr>
            <w:noProof/>
          </w:rPr>
          <w:fldChar w:fldCharType="end"/>
        </w:r>
      </w:hyperlink>
    </w:p>
    <w:p w:rsidR="003B74C1" w:rsidRPr="000C281E" w:rsidRDefault="00663565">
      <w:pPr>
        <w:pStyle w:val="TOC2"/>
        <w:rPr>
          <w:noProof/>
        </w:rPr>
      </w:pPr>
      <w:hyperlink w:anchor="_Toc423453466" w:history="1">
        <w:r w:rsidR="003B74C1" w:rsidRPr="000C281E">
          <w:rPr>
            <w:noProof/>
          </w:rPr>
          <w:t>4</w:t>
        </w:r>
        <w:r w:rsidR="003B74C1" w:rsidRPr="000C281E">
          <w:rPr>
            <w:noProof/>
          </w:rPr>
          <w:tab/>
          <w:t>Impacts of the considered options</w:t>
        </w:r>
        <w:r w:rsidR="003B74C1">
          <w:rPr>
            <w:noProof/>
          </w:rPr>
          <w:tab/>
        </w:r>
        <w:r w:rsidR="003B74C1">
          <w:rPr>
            <w:noProof/>
          </w:rPr>
          <w:fldChar w:fldCharType="begin"/>
        </w:r>
        <w:r w:rsidR="003B74C1">
          <w:rPr>
            <w:noProof/>
          </w:rPr>
          <w:instrText xml:space="preserve"> PAGEREF _Toc423453466 \h </w:instrText>
        </w:r>
        <w:r w:rsidR="003B74C1">
          <w:rPr>
            <w:noProof/>
          </w:rPr>
        </w:r>
        <w:r w:rsidR="003B74C1">
          <w:rPr>
            <w:noProof/>
          </w:rPr>
          <w:fldChar w:fldCharType="separate"/>
        </w:r>
        <w:r w:rsidR="00250375">
          <w:rPr>
            <w:noProof/>
          </w:rPr>
          <w:t>8</w:t>
        </w:r>
        <w:r w:rsidR="003B74C1">
          <w:rPr>
            <w:noProof/>
          </w:rPr>
          <w:fldChar w:fldCharType="end"/>
        </w:r>
      </w:hyperlink>
    </w:p>
    <w:p w:rsidR="003B74C1" w:rsidRPr="000C281E" w:rsidRDefault="00663565">
      <w:pPr>
        <w:pStyle w:val="TOC2"/>
        <w:rPr>
          <w:noProof/>
        </w:rPr>
      </w:pPr>
      <w:hyperlink w:anchor="_Toc423453467" w:history="1">
        <w:r w:rsidR="003B74C1" w:rsidRPr="000C281E">
          <w:rPr>
            <w:noProof/>
          </w:rPr>
          <w:t>5</w:t>
        </w:r>
        <w:r w:rsidR="003B74C1" w:rsidRPr="000C281E">
          <w:rPr>
            <w:noProof/>
          </w:rPr>
          <w:tab/>
          <w:t>The proposed policy</w:t>
        </w:r>
        <w:r w:rsidR="003B74C1">
          <w:rPr>
            <w:noProof/>
          </w:rPr>
          <w:tab/>
        </w:r>
        <w:r w:rsidR="003B74C1">
          <w:rPr>
            <w:noProof/>
          </w:rPr>
          <w:fldChar w:fldCharType="begin"/>
        </w:r>
        <w:r w:rsidR="003B74C1">
          <w:rPr>
            <w:noProof/>
          </w:rPr>
          <w:instrText xml:space="preserve"> PAGEREF _Toc423453467 \h </w:instrText>
        </w:r>
        <w:r w:rsidR="003B74C1">
          <w:rPr>
            <w:noProof/>
          </w:rPr>
        </w:r>
        <w:r w:rsidR="003B74C1">
          <w:rPr>
            <w:noProof/>
          </w:rPr>
          <w:fldChar w:fldCharType="separate"/>
        </w:r>
        <w:r w:rsidR="00250375">
          <w:rPr>
            <w:noProof/>
          </w:rPr>
          <w:t>21</w:t>
        </w:r>
        <w:r w:rsidR="003B74C1">
          <w:rPr>
            <w:noProof/>
          </w:rPr>
          <w:fldChar w:fldCharType="end"/>
        </w:r>
      </w:hyperlink>
    </w:p>
    <w:p w:rsidR="003B74C1" w:rsidRPr="000C281E" w:rsidRDefault="00663565">
      <w:pPr>
        <w:pStyle w:val="TOC4"/>
        <w:rPr>
          <w:noProof/>
        </w:rPr>
      </w:pPr>
      <w:hyperlink w:anchor="_Toc423453468" w:history="1">
        <w:r w:rsidR="003B74C1" w:rsidRPr="000C281E">
          <w:rPr>
            <w:noProof/>
          </w:rPr>
          <w:t>Appendix A</w:t>
        </w:r>
        <w:r w:rsidR="003B74C1" w:rsidRPr="000C281E">
          <w:rPr>
            <w:noProof/>
          </w:rPr>
          <w:tab/>
          <w:t>Methodology</w:t>
        </w:r>
        <w:r w:rsidR="003B74C1">
          <w:rPr>
            <w:noProof/>
          </w:rPr>
          <w:tab/>
        </w:r>
        <w:r w:rsidR="003B74C1">
          <w:rPr>
            <w:noProof/>
          </w:rPr>
          <w:fldChar w:fldCharType="begin"/>
        </w:r>
        <w:r w:rsidR="003B74C1">
          <w:rPr>
            <w:noProof/>
          </w:rPr>
          <w:instrText xml:space="preserve"> PAGEREF _Toc423453468 \h </w:instrText>
        </w:r>
        <w:r w:rsidR="003B74C1">
          <w:rPr>
            <w:noProof/>
          </w:rPr>
        </w:r>
        <w:r w:rsidR="003B74C1">
          <w:rPr>
            <w:noProof/>
          </w:rPr>
          <w:fldChar w:fldCharType="separate"/>
        </w:r>
        <w:r w:rsidR="00250375">
          <w:rPr>
            <w:noProof/>
          </w:rPr>
          <w:t>31</w:t>
        </w:r>
        <w:r w:rsidR="003B74C1">
          <w:rPr>
            <w:noProof/>
          </w:rPr>
          <w:fldChar w:fldCharType="end"/>
        </w:r>
      </w:hyperlink>
    </w:p>
    <w:p w:rsidR="003B74C1" w:rsidRPr="000C281E" w:rsidRDefault="00663565">
      <w:pPr>
        <w:pStyle w:val="TOC4"/>
        <w:rPr>
          <w:noProof/>
        </w:rPr>
      </w:pPr>
      <w:hyperlink w:anchor="_Toc423453469" w:history="1">
        <w:r w:rsidR="003B74C1" w:rsidRPr="000C281E">
          <w:rPr>
            <w:noProof/>
          </w:rPr>
          <w:t>Appendix B</w:t>
        </w:r>
        <w:r w:rsidR="003B74C1" w:rsidRPr="000C281E">
          <w:rPr>
            <w:noProof/>
          </w:rPr>
          <w:tab/>
          <w:t>Potential impacts of additional public holidays</w:t>
        </w:r>
        <w:r w:rsidR="003B74C1">
          <w:rPr>
            <w:noProof/>
          </w:rPr>
          <w:tab/>
        </w:r>
        <w:r w:rsidR="003B74C1">
          <w:rPr>
            <w:noProof/>
          </w:rPr>
          <w:fldChar w:fldCharType="begin"/>
        </w:r>
        <w:r w:rsidR="003B74C1">
          <w:rPr>
            <w:noProof/>
          </w:rPr>
          <w:instrText xml:space="preserve"> PAGEREF _Toc423453469 \h </w:instrText>
        </w:r>
        <w:r w:rsidR="003B74C1">
          <w:rPr>
            <w:noProof/>
          </w:rPr>
        </w:r>
        <w:r w:rsidR="003B74C1">
          <w:rPr>
            <w:noProof/>
          </w:rPr>
          <w:fldChar w:fldCharType="separate"/>
        </w:r>
        <w:r w:rsidR="00250375">
          <w:rPr>
            <w:noProof/>
          </w:rPr>
          <w:t>42</w:t>
        </w:r>
        <w:r w:rsidR="003B74C1">
          <w:rPr>
            <w:noProof/>
          </w:rPr>
          <w:fldChar w:fldCharType="end"/>
        </w:r>
      </w:hyperlink>
    </w:p>
    <w:p w:rsidR="004F0878" w:rsidRDefault="00F81690" w:rsidP="00245C02">
      <w:pPr>
        <w:pStyle w:val="PwCNormal"/>
        <w:numPr>
          <w:ilvl w:val="0"/>
          <w:numId w:val="0"/>
        </w:numPr>
        <w:kinsoku/>
        <w:overflowPunct/>
        <w:autoSpaceDE/>
        <w:autoSpaceDN/>
        <w:adjustRightInd/>
        <w:snapToGrid/>
      </w:pPr>
      <w:r>
        <w:fldChar w:fldCharType="end"/>
      </w:r>
    </w:p>
    <w:p w:rsidR="00245C02" w:rsidRDefault="00245C02" w:rsidP="00245C02">
      <w:pPr>
        <w:pStyle w:val="PwCNormal"/>
        <w:numPr>
          <w:ilvl w:val="0"/>
          <w:numId w:val="0"/>
        </w:numPr>
        <w:kinsoku/>
        <w:overflowPunct/>
        <w:autoSpaceDE/>
        <w:autoSpaceDN/>
        <w:adjustRightInd/>
        <w:snapToGrid/>
      </w:pPr>
    </w:p>
    <w:p w:rsidR="004F0878" w:rsidRPr="00FC2C77" w:rsidRDefault="004F0878" w:rsidP="007625E6">
      <w:pPr>
        <w:pStyle w:val="Coverpulloutframe"/>
        <w:framePr w:wrap="notBeside"/>
        <w:sectPr w:rsidR="004F0878" w:rsidRPr="00FC2C77" w:rsidSect="00952734">
          <w:headerReference w:type="even" r:id="rId20"/>
          <w:headerReference w:type="default" r:id="rId21"/>
          <w:footerReference w:type="even" r:id="rId22"/>
          <w:footerReference w:type="default" r:id="rId23"/>
          <w:headerReference w:type="first" r:id="rId24"/>
          <w:footerReference w:type="first" r:id="rId25"/>
          <w:type w:val="oddPage"/>
          <w:pgSz w:w="11907" w:h="16840" w:code="9"/>
          <w:pgMar w:top="1588" w:right="1843" w:bottom="1418" w:left="1843" w:header="567" w:footer="567" w:gutter="0"/>
          <w:pgNumType w:fmt="lowerRoman"/>
          <w:cols w:space="720"/>
          <w:titlePg/>
          <w:docGrid w:linePitch="286"/>
        </w:sectPr>
      </w:pPr>
    </w:p>
    <w:p w:rsidR="00247954" w:rsidRDefault="00BE03AE" w:rsidP="00BE03AE">
      <w:pPr>
        <w:pStyle w:val="Heading2"/>
        <w:numPr>
          <w:ilvl w:val="1"/>
          <w:numId w:val="29"/>
        </w:numPr>
      </w:pPr>
      <w:bookmarkStart w:id="23" w:name="_Toc423453463"/>
      <w:r>
        <w:t>Background</w:t>
      </w:r>
      <w:bookmarkEnd w:id="23"/>
    </w:p>
    <w:p w:rsidR="00BE03AE" w:rsidRDefault="00383458" w:rsidP="00BE03AE">
      <w:pPr>
        <w:pStyle w:val="Heading6"/>
        <w:spacing w:before="0" w:after="40"/>
      </w:pPr>
      <w:r>
        <w:t>Overview</w:t>
      </w:r>
    </w:p>
    <w:p w:rsidR="00BE03AE" w:rsidRPr="003F22A6" w:rsidRDefault="00BE03AE" w:rsidP="00C56D87">
      <w:pPr>
        <w:pStyle w:val="StylePwCNormalnmajNormalnotetextcvteCNormalnotetext2"/>
      </w:pPr>
      <w:r>
        <w:t>The</w:t>
      </w:r>
      <w:r w:rsidRPr="00DA3F2E">
        <w:t xml:space="preserve"> Department of Economic Development, Jobs, Transport and Resources</w:t>
      </w:r>
      <w:r>
        <w:t xml:space="preserve"> (the Department) has engaged PwC</w:t>
      </w:r>
      <w:r w:rsidRPr="00DA3F2E">
        <w:t xml:space="preserve"> to prepare a Regulatory Impact Statement (RIS) for the proposed gazettal of two new public holidays under the </w:t>
      </w:r>
      <w:r w:rsidRPr="00DA3F2E">
        <w:rPr>
          <w:i/>
        </w:rPr>
        <w:t>Public Holidays Act 199</w:t>
      </w:r>
      <w:r>
        <w:rPr>
          <w:i/>
        </w:rPr>
        <w:t>3.</w:t>
      </w:r>
    </w:p>
    <w:p w:rsidR="00BE03AE" w:rsidRDefault="00686F60">
      <w:pPr>
        <w:pStyle w:val="StylePwCNormalnmajNormalnotetextcvteCNormalnotetext2"/>
      </w:pPr>
      <w:r>
        <w:t xml:space="preserve">The </w:t>
      </w:r>
      <w:r w:rsidRPr="00C873BE">
        <w:rPr>
          <w:i/>
        </w:rPr>
        <w:t>Subordinate Legislation Act 1994</w:t>
      </w:r>
      <w:r>
        <w:t xml:space="preserve"> requires that a RIS be prepared to consider the impacts of the Government’s policy. </w:t>
      </w:r>
      <w:r w:rsidR="00BE03AE">
        <w:t xml:space="preserve">This RIS adheres to the </w:t>
      </w:r>
      <w:r w:rsidR="00BE03AE" w:rsidRPr="00952734">
        <w:rPr>
          <w:i/>
        </w:rPr>
        <w:t>Victorian Guide to Regulation</w:t>
      </w:r>
      <w:r w:rsidR="00BE03AE">
        <w:t xml:space="preserve"> (December 2014), which provides a step-by-step guide to preparing RISs. </w:t>
      </w:r>
    </w:p>
    <w:p w:rsidR="00BE03AE" w:rsidRDefault="00BE03AE" w:rsidP="00091AF8">
      <w:pPr>
        <w:pStyle w:val="Heading6"/>
      </w:pPr>
      <w:r>
        <w:t>Victorian Government policy commitment</w:t>
      </w:r>
    </w:p>
    <w:p w:rsidR="00BE03AE" w:rsidRDefault="00BE03AE" w:rsidP="00BE03AE">
      <w:pPr>
        <w:pStyle w:val="PwCNormal"/>
        <w:spacing w:before="0" w:after="240"/>
      </w:pPr>
      <w:r>
        <w:t>The Victorian Government’s platform for the 2014 State election contained commitments to introduce two additional public holidays for Victoria. The proposed public holidays are:</w:t>
      </w:r>
    </w:p>
    <w:p w:rsidR="00BE03AE" w:rsidRDefault="00BE03AE" w:rsidP="00091AF8">
      <w:pPr>
        <w:pStyle w:val="ListBullet"/>
      </w:pPr>
      <w:r>
        <w:t>Easter Sunday</w:t>
      </w:r>
    </w:p>
    <w:p w:rsidR="00BE03AE" w:rsidRDefault="00BE03AE" w:rsidP="00091AF8">
      <w:pPr>
        <w:pStyle w:val="ListBullet"/>
      </w:pPr>
      <w:proofErr w:type="gramStart"/>
      <w:r w:rsidRPr="00C52352">
        <w:t>the</w:t>
      </w:r>
      <w:proofErr w:type="gramEnd"/>
      <w:r w:rsidRPr="00C52352">
        <w:t xml:space="preserve"> Friday before the Australian Football League </w:t>
      </w:r>
      <w:r>
        <w:t xml:space="preserve">(AFL) </w:t>
      </w:r>
      <w:r w:rsidRPr="00C52352">
        <w:t>Grand Final</w:t>
      </w:r>
      <w:r>
        <w:t>.</w:t>
      </w:r>
    </w:p>
    <w:p w:rsidR="00BE03AE" w:rsidRDefault="00BE03AE" w:rsidP="00091AF8">
      <w:pPr>
        <w:pStyle w:val="Heading6"/>
      </w:pPr>
      <w:r>
        <w:t>Public Holidays Act 1993</w:t>
      </w:r>
    </w:p>
    <w:p w:rsidR="00BE03AE" w:rsidRDefault="00BE03AE" w:rsidP="00BE03AE">
      <w:pPr>
        <w:pStyle w:val="PwCNormal"/>
        <w:spacing w:before="0" w:after="240"/>
      </w:pPr>
      <w:r>
        <w:t xml:space="preserve">The </w:t>
      </w:r>
      <w:r w:rsidRPr="00DA3F2E">
        <w:rPr>
          <w:i/>
        </w:rPr>
        <w:t>Public Holidays Act 1993</w:t>
      </w:r>
      <w:r>
        <w:t xml:space="preserve"> (the Act) prescribes the public holidays to be observed in Victoria over the calendar year. Currently, there are 11 public holidays on the Victorian calendar as indicated in </w:t>
      </w:r>
      <w:r>
        <w:fldChar w:fldCharType="begin"/>
      </w:r>
      <w:r>
        <w:instrText xml:space="preserve"> REF _Ref414451482 \h </w:instrText>
      </w:r>
      <w:r>
        <w:fldChar w:fldCharType="separate"/>
      </w:r>
      <w:r w:rsidR="00250375">
        <w:t xml:space="preserve">Table </w:t>
      </w:r>
      <w:r w:rsidR="00250375">
        <w:rPr>
          <w:noProof/>
        </w:rPr>
        <w:t>4</w:t>
      </w:r>
      <w:r>
        <w:fldChar w:fldCharType="end"/>
      </w:r>
      <w:r>
        <w:t xml:space="preserve">. </w:t>
      </w:r>
    </w:p>
    <w:p w:rsidR="00BE03AE" w:rsidRDefault="00BE03AE" w:rsidP="00BE03AE">
      <w:pPr>
        <w:pStyle w:val="Caption"/>
      </w:pPr>
      <w:bookmarkStart w:id="24" w:name="_Ref414451482"/>
      <w:r>
        <w:t xml:space="preserve">Table </w:t>
      </w:r>
      <w:r w:rsidR="00663565">
        <w:fldChar w:fldCharType="begin"/>
      </w:r>
      <w:r w:rsidR="00663565">
        <w:instrText xml:space="preserve"> SEQ Table \* ARABIC </w:instrText>
      </w:r>
      <w:r w:rsidR="00663565">
        <w:fldChar w:fldCharType="separate"/>
      </w:r>
      <w:r w:rsidR="00250375">
        <w:rPr>
          <w:noProof/>
        </w:rPr>
        <w:t>4</w:t>
      </w:r>
      <w:r w:rsidR="00663565">
        <w:rPr>
          <w:noProof/>
        </w:rPr>
        <w:fldChar w:fldCharType="end"/>
      </w:r>
      <w:bookmarkEnd w:id="24"/>
      <w:r>
        <w:t>: Current Victorian public holidays</w:t>
      </w:r>
    </w:p>
    <w:tbl>
      <w:tblPr>
        <w:tblStyle w:val="Tables-APBase"/>
        <w:tblW w:w="5000" w:type="pct"/>
        <w:tblLayout w:type="fixed"/>
        <w:tblLook w:val="04A0" w:firstRow="1" w:lastRow="0" w:firstColumn="1" w:lastColumn="0" w:noHBand="0" w:noVBand="1"/>
        <w:tblCaption w:val="Current Victorian public holidays"/>
        <w:tblDescription w:val="The table lists the current Victorian public holidays and the days and dates of the year on which each of them occur."/>
      </w:tblPr>
      <w:tblGrid>
        <w:gridCol w:w="534"/>
        <w:gridCol w:w="2409"/>
        <w:gridCol w:w="5494"/>
      </w:tblGrid>
      <w:tr w:rsidR="00BE03AE" w:rsidTr="00BE03AE">
        <w:trPr>
          <w:cnfStyle w:val="100000000000" w:firstRow="1" w:lastRow="0" w:firstColumn="0" w:lastColumn="0" w:oddVBand="0" w:evenVBand="0" w:oddHBand="0" w:evenHBand="0" w:firstRowFirstColumn="0" w:firstRowLastColumn="0" w:lastRowFirstColumn="0" w:lastRowLastColumn="0"/>
        </w:trPr>
        <w:tc>
          <w:tcPr>
            <w:cnfStyle w:val="000000000100" w:firstRow="0" w:lastRow="0" w:firstColumn="0" w:lastColumn="0" w:oddVBand="0" w:evenVBand="0" w:oddHBand="0" w:evenHBand="0" w:firstRowFirstColumn="1" w:firstRowLastColumn="0" w:lastRowFirstColumn="0" w:lastRowLastColumn="0"/>
            <w:tcW w:w="534" w:type="dxa"/>
          </w:tcPr>
          <w:p w:rsidR="00BE03AE" w:rsidRDefault="00BE03AE" w:rsidP="00BE03AE">
            <w:pPr>
              <w:pStyle w:val="TableColumnHeadingSmall"/>
            </w:pPr>
          </w:p>
        </w:tc>
        <w:tc>
          <w:tcPr>
            <w:tcW w:w="2409" w:type="dxa"/>
          </w:tcPr>
          <w:p w:rsidR="00BE03AE" w:rsidRDefault="00BE03AE" w:rsidP="00BE03AE">
            <w:pPr>
              <w:pStyle w:val="TableColumnHeadingSmall"/>
              <w:cnfStyle w:val="100000000000" w:firstRow="1" w:lastRow="0" w:firstColumn="0" w:lastColumn="0" w:oddVBand="0" w:evenVBand="0" w:oddHBand="0" w:evenHBand="0" w:firstRowFirstColumn="0" w:firstRowLastColumn="0" w:lastRowFirstColumn="0" w:lastRowLastColumn="0"/>
            </w:pPr>
            <w:r>
              <w:t>Holiday</w:t>
            </w:r>
          </w:p>
        </w:tc>
        <w:tc>
          <w:tcPr>
            <w:tcW w:w="5494" w:type="dxa"/>
          </w:tcPr>
          <w:p w:rsidR="00BE03AE" w:rsidRDefault="00BE03AE" w:rsidP="00BE03AE">
            <w:pPr>
              <w:pStyle w:val="TableColumnHeadingSmall"/>
              <w:cnfStyle w:val="100000000000" w:firstRow="1" w:lastRow="0" w:firstColumn="0" w:lastColumn="0" w:oddVBand="0" w:evenVBand="0" w:oddHBand="0" w:evenHBand="0" w:firstRowFirstColumn="0" w:firstRowLastColumn="0" w:lastRowFirstColumn="0" w:lastRowLastColumn="0"/>
            </w:pPr>
            <w:r>
              <w:t>Date</w:t>
            </w:r>
            <w:r w:rsidR="002D0263">
              <w:t>/Day</w:t>
            </w:r>
          </w:p>
        </w:tc>
      </w:tr>
      <w:tr w:rsidR="00BE03AE" w:rsidTr="00C873BE">
        <w:tc>
          <w:tcPr>
            <w:tcW w:w="534" w:type="dxa"/>
            <w:vAlign w:val="center"/>
          </w:tcPr>
          <w:p w:rsidR="00BE03AE" w:rsidRDefault="00BE03AE" w:rsidP="00D75CEC">
            <w:pPr>
              <w:pStyle w:val="TableTextSmall"/>
            </w:pPr>
            <w:r>
              <w:t>1</w:t>
            </w:r>
          </w:p>
        </w:tc>
        <w:tc>
          <w:tcPr>
            <w:tcW w:w="2409" w:type="dxa"/>
            <w:vAlign w:val="center"/>
          </w:tcPr>
          <w:p w:rsidR="00BE03AE" w:rsidRDefault="00BE03AE">
            <w:pPr>
              <w:pStyle w:val="TableTextSmall"/>
            </w:pPr>
            <w:r>
              <w:t>New Year’s Day</w:t>
            </w:r>
          </w:p>
        </w:tc>
        <w:tc>
          <w:tcPr>
            <w:tcW w:w="5494" w:type="dxa"/>
            <w:vAlign w:val="center"/>
          </w:tcPr>
          <w:p w:rsidR="00BE03AE" w:rsidRDefault="00BE03AE" w:rsidP="00CF1E7D">
            <w:pPr>
              <w:pStyle w:val="TableTextSmall"/>
            </w:pPr>
            <w:r>
              <w:t>1 January, or the Monday after 1 January (New Year's Day) when New Year's Day is a Saturday or Sunday</w:t>
            </w:r>
          </w:p>
        </w:tc>
      </w:tr>
      <w:tr w:rsidR="00BE03AE" w:rsidTr="00C873BE">
        <w:tc>
          <w:tcPr>
            <w:tcW w:w="534" w:type="dxa"/>
            <w:vAlign w:val="center"/>
          </w:tcPr>
          <w:p w:rsidR="00BE03AE" w:rsidRDefault="00BE03AE" w:rsidP="00D75CEC">
            <w:pPr>
              <w:pStyle w:val="TableTextSmall"/>
            </w:pPr>
            <w:r>
              <w:t>2</w:t>
            </w:r>
          </w:p>
        </w:tc>
        <w:tc>
          <w:tcPr>
            <w:tcW w:w="2409" w:type="dxa"/>
            <w:vAlign w:val="center"/>
          </w:tcPr>
          <w:p w:rsidR="00BE03AE" w:rsidRDefault="00BE03AE">
            <w:pPr>
              <w:pStyle w:val="TableTextSmall"/>
            </w:pPr>
            <w:r>
              <w:t>Australia Day</w:t>
            </w:r>
          </w:p>
        </w:tc>
        <w:tc>
          <w:tcPr>
            <w:tcW w:w="5494" w:type="dxa"/>
            <w:vAlign w:val="center"/>
          </w:tcPr>
          <w:p w:rsidR="00BE03AE" w:rsidRDefault="00BE03AE" w:rsidP="00CF1E7D">
            <w:pPr>
              <w:pStyle w:val="TableTextSmall"/>
            </w:pPr>
            <w:r>
              <w:t>26 January, or the Monday after Australia Day when Australia Day is a Saturday or Sunday</w:t>
            </w:r>
          </w:p>
        </w:tc>
      </w:tr>
      <w:tr w:rsidR="00BE03AE" w:rsidTr="00C873BE">
        <w:tc>
          <w:tcPr>
            <w:tcW w:w="534" w:type="dxa"/>
            <w:vAlign w:val="center"/>
          </w:tcPr>
          <w:p w:rsidR="00BE03AE" w:rsidRDefault="00BE03AE" w:rsidP="00D75CEC">
            <w:pPr>
              <w:pStyle w:val="TableTextSmall"/>
            </w:pPr>
            <w:r>
              <w:t>3</w:t>
            </w:r>
          </w:p>
        </w:tc>
        <w:tc>
          <w:tcPr>
            <w:tcW w:w="2409" w:type="dxa"/>
            <w:vAlign w:val="center"/>
          </w:tcPr>
          <w:p w:rsidR="00BE03AE" w:rsidRDefault="00BE03AE">
            <w:pPr>
              <w:pStyle w:val="TableTextSmall"/>
            </w:pPr>
            <w:r>
              <w:t>Labour Day</w:t>
            </w:r>
          </w:p>
        </w:tc>
        <w:tc>
          <w:tcPr>
            <w:tcW w:w="5494" w:type="dxa"/>
            <w:vAlign w:val="center"/>
          </w:tcPr>
          <w:p w:rsidR="00BE03AE" w:rsidRDefault="00BE03AE" w:rsidP="00CF1E7D">
            <w:pPr>
              <w:pStyle w:val="TableTextSmall"/>
            </w:pPr>
            <w:r>
              <w:t>The second Monday in March</w:t>
            </w:r>
          </w:p>
        </w:tc>
      </w:tr>
      <w:tr w:rsidR="00BE03AE" w:rsidTr="00C873BE">
        <w:tc>
          <w:tcPr>
            <w:tcW w:w="534" w:type="dxa"/>
            <w:vAlign w:val="center"/>
          </w:tcPr>
          <w:p w:rsidR="00BE03AE" w:rsidRDefault="00BE03AE" w:rsidP="00D75CEC">
            <w:pPr>
              <w:pStyle w:val="TableTextSmall"/>
            </w:pPr>
            <w:r>
              <w:t>4</w:t>
            </w:r>
          </w:p>
        </w:tc>
        <w:tc>
          <w:tcPr>
            <w:tcW w:w="2409" w:type="dxa"/>
            <w:vAlign w:val="center"/>
          </w:tcPr>
          <w:p w:rsidR="00BE03AE" w:rsidRDefault="00BE03AE">
            <w:pPr>
              <w:pStyle w:val="TableTextSmall"/>
            </w:pPr>
            <w:r>
              <w:t>Good Friday</w:t>
            </w:r>
          </w:p>
        </w:tc>
        <w:tc>
          <w:tcPr>
            <w:tcW w:w="5494" w:type="dxa"/>
            <w:vAlign w:val="center"/>
          </w:tcPr>
          <w:p w:rsidR="00BE03AE" w:rsidRDefault="00BE03AE" w:rsidP="00CF1E7D">
            <w:pPr>
              <w:pStyle w:val="TableTextSmall"/>
            </w:pPr>
            <w:r>
              <w:t>Good Friday</w:t>
            </w:r>
          </w:p>
        </w:tc>
      </w:tr>
      <w:tr w:rsidR="00BE03AE" w:rsidTr="00C873BE">
        <w:tc>
          <w:tcPr>
            <w:tcW w:w="534" w:type="dxa"/>
            <w:vAlign w:val="center"/>
          </w:tcPr>
          <w:p w:rsidR="00BE03AE" w:rsidRDefault="00BE03AE" w:rsidP="00D75CEC">
            <w:pPr>
              <w:pStyle w:val="TableTextSmall"/>
            </w:pPr>
            <w:r>
              <w:t>5</w:t>
            </w:r>
          </w:p>
        </w:tc>
        <w:tc>
          <w:tcPr>
            <w:tcW w:w="2409" w:type="dxa"/>
            <w:vAlign w:val="center"/>
          </w:tcPr>
          <w:p w:rsidR="00BE03AE" w:rsidRDefault="003C7A33">
            <w:pPr>
              <w:pStyle w:val="TableTextSmall"/>
            </w:pPr>
            <w:r>
              <w:t>The Saturday before Easter Sunday</w:t>
            </w:r>
          </w:p>
        </w:tc>
        <w:tc>
          <w:tcPr>
            <w:tcW w:w="5494" w:type="dxa"/>
            <w:vAlign w:val="center"/>
          </w:tcPr>
          <w:p w:rsidR="00BE03AE" w:rsidRDefault="00BE03AE" w:rsidP="00CF1E7D">
            <w:pPr>
              <w:pStyle w:val="TableTextSmall"/>
            </w:pPr>
            <w:r>
              <w:t>The Saturday before Easter Sunday</w:t>
            </w:r>
          </w:p>
        </w:tc>
      </w:tr>
      <w:tr w:rsidR="00BE03AE" w:rsidTr="00C873BE">
        <w:tc>
          <w:tcPr>
            <w:tcW w:w="534" w:type="dxa"/>
            <w:vAlign w:val="center"/>
          </w:tcPr>
          <w:p w:rsidR="00BE03AE" w:rsidRDefault="00BE03AE" w:rsidP="00D75CEC">
            <w:pPr>
              <w:pStyle w:val="TableTextSmall"/>
            </w:pPr>
            <w:r>
              <w:t>6</w:t>
            </w:r>
          </w:p>
        </w:tc>
        <w:tc>
          <w:tcPr>
            <w:tcW w:w="2409" w:type="dxa"/>
            <w:vAlign w:val="center"/>
          </w:tcPr>
          <w:p w:rsidR="00BE03AE" w:rsidRDefault="00BE03AE">
            <w:pPr>
              <w:pStyle w:val="TableTextSmall"/>
            </w:pPr>
            <w:r>
              <w:t>Easter Monday</w:t>
            </w:r>
          </w:p>
        </w:tc>
        <w:tc>
          <w:tcPr>
            <w:tcW w:w="5494" w:type="dxa"/>
            <w:vAlign w:val="center"/>
          </w:tcPr>
          <w:p w:rsidR="00BE03AE" w:rsidRDefault="00BE03AE" w:rsidP="00CF1E7D">
            <w:pPr>
              <w:pStyle w:val="TableTextSmall"/>
            </w:pPr>
            <w:r>
              <w:t>Easter Monday</w:t>
            </w:r>
          </w:p>
        </w:tc>
      </w:tr>
      <w:tr w:rsidR="00BE03AE" w:rsidTr="00C873BE">
        <w:tc>
          <w:tcPr>
            <w:tcW w:w="534" w:type="dxa"/>
            <w:vAlign w:val="center"/>
          </w:tcPr>
          <w:p w:rsidR="00BE03AE" w:rsidRDefault="00BE03AE" w:rsidP="00D75CEC">
            <w:pPr>
              <w:pStyle w:val="TableTextSmall"/>
            </w:pPr>
            <w:r>
              <w:t>7</w:t>
            </w:r>
          </w:p>
        </w:tc>
        <w:tc>
          <w:tcPr>
            <w:tcW w:w="2409" w:type="dxa"/>
            <w:vAlign w:val="center"/>
          </w:tcPr>
          <w:p w:rsidR="00BE03AE" w:rsidRDefault="00BE03AE">
            <w:pPr>
              <w:pStyle w:val="TableTextSmall"/>
            </w:pPr>
            <w:r>
              <w:t>ANZAC Day</w:t>
            </w:r>
          </w:p>
        </w:tc>
        <w:tc>
          <w:tcPr>
            <w:tcW w:w="5494" w:type="dxa"/>
            <w:vAlign w:val="center"/>
          </w:tcPr>
          <w:p w:rsidR="00BE03AE" w:rsidRDefault="00BE03AE" w:rsidP="00CF1E7D">
            <w:pPr>
              <w:pStyle w:val="TableTextSmall"/>
            </w:pPr>
            <w:r>
              <w:t>25 April</w:t>
            </w:r>
          </w:p>
        </w:tc>
      </w:tr>
      <w:tr w:rsidR="00BE03AE" w:rsidTr="00C873BE">
        <w:tc>
          <w:tcPr>
            <w:tcW w:w="534" w:type="dxa"/>
            <w:vAlign w:val="center"/>
          </w:tcPr>
          <w:p w:rsidR="00BE03AE" w:rsidRDefault="00BE03AE" w:rsidP="00D75CEC">
            <w:pPr>
              <w:pStyle w:val="TableTextSmall"/>
            </w:pPr>
            <w:r>
              <w:t>8</w:t>
            </w:r>
          </w:p>
        </w:tc>
        <w:tc>
          <w:tcPr>
            <w:tcW w:w="2409" w:type="dxa"/>
            <w:vAlign w:val="center"/>
          </w:tcPr>
          <w:p w:rsidR="00BE03AE" w:rsidRDefault="00BE03AE">
            <w:pPr>
              <w:pStyle w:val="TableTextSmall"/>
            </w:pPr>
            <w:r>
              <w:t>Queen’s Birthday</w:t>
            </w:r>
          </w:p>
        </w:tc>
        <w:tc>
          <w:tcPr>
            <w:tcW w:w="5494" w:type="dxa"/>
            <w:vAlign w:val="center"/>
          </w:tcPr>
          <w:p w:rsidR="00BE03AE" w:rsidRDefault="00BE03AE" w:rsidP="00CF1E7D">
            <w:pPr>
              <w:pStyle w:val="TableTextSmall"/>
            </w:pPr>
            <w:r>
              <w:t>The second Monday in June</w:t>
            </w:r>
          </w:p>
        </w:tc>
      </w:tr>
      <w:tr w:rsidR="00BE03AE" w:rsidTr="00C873BE">
        <w:tc>
          <w:tcPr>
            <w:tcW w:w="534" w:type="dxa"/>
            <w:vAlign w:val="center"/>
          </w:tcPr>
          <w:p w:rsidR="00BE03AE" w:rsidRDefault="00BE03AE" w:rsidP="00D75CEC">
            <w:pPr>
              <w:pStyle w:val="TableTextSmall"/>
            </w:pPr>
            <w:r>
              <w:t>9</w:t>
            </w:r>
          </w:p>
        </w:tc>
        <w:tc>
          <w:tcPr>
            <w:tcW w:w="2409" w:type="dxa"/>
            <w:vAlign w:val="center"/>
          </w:tcPr>
          <w:p w:rsidR="00BE03AE" w:rsidRDefault="00BE03AE">
            <w:pPr>
              <w:pStyle w:val="TableTextSmall"/>
            </w:pPr>
            <w:r>
              <w:t>Melbourne Cup Day</w:t>
            </w:r>
          </w:p>
        </w:tc>
        <w:tc>
          <w:tcPr>
            <w:tcW w:w="5494" w:type="dxa"/>
            <w:vAlign w:val="center"/>
          </w:tcPr>
          <w:p w:rsidR="00BE03AE" w:rsidRDefault="00BE03AE" w:rsidP="00CF1E7D">
            <w:pPr>
              <w:pStyle w:val="TableTextSmall"/>
            </w:pPr>
            <w:r>
              <w:t>The first Tuesday in November</w:t>
            </w:r>
          </w:p>
        </w:tc>
      </w:tr>
      <w:tr w:rsidR="00BE03AE" w:rsidTr="00C873BE">
        <w:tc>
          <w:tcPr>
            <w:tcW w:w="534" w:type="dxa"/>
            <w:vAlign w:val="center"/>
          </w:tcPr>
          <w:p w:rsidR="00BE03AE" w:rsidRDefault="00BE03AE" w:rsidP="00D75CEC">
            <w:pPr>
              <w:pStyle w:val="TableTextSmall"/>
            </w:pPr>
            <w:r>
              <w:t>10</w:t>
            </w:r>
          </w:p>
        </w:tc>
        <w:tc>
          <w:tcPr>
            <w:tcW w:w="2409" w:type="dxa"/>
            <w:vAlign w:val="center"/>
          </w:tcPr>
          <w:p w:rsidR="00BE03AE" w:rsidRDefault="00BE03AE">
            <w:pPr>
              <w:pStyle w:val="TableTextSmall"/>
            </w:pPr>
            <w:r>
              <w:t>Christmas Day</w:t>
            </w:r>
          </w:p>
        </w:tc>
        <w:tc>
          <w:tcPr>
            <w:tcW w:w="5494" w:type="dxa"/>
            <w:vAlign w:val="center"/>
          </w:tcPr>
          <w:p w:rsidR="00BE03AE" w:rsidRDefault="00BE03AE" w:rsidP="00CF1E7D">
            <w:pPr>
              <w:pStyle w:val="TableTextSmall"/>
            </w:pPr>
            <w:r>
              <w:t xml:space="preserve">25 December, </w:t>
            </w:r>
            <w:r w:rsidR="00A36CA6">
              <w:t>or</w:t>
            </w:r>
            <w:r>
              <w:t xml:space="preserve"> the Monday after Christmas Day when Christmas Day is a Saturday or the Tuesday after Christmas Day when Christmas Day is a Sunday</w:t>
            </w:r>
          </w:p>
        </w:tc>
      </w:tr>
      <w:tr w:rsidR="00BE03AE" w:rsidTr="00C873BE">
        <w:tc>
          <w:tcPr>
            <w:tcW w:w="534" w:type="dxa"/>
            <w:vAlign w:val="center"/>
          </w:tcPr>
          <w:p w:rsidR="00BE03AE" w:rsidRDefault="00BE03AE" w:rsidP="00D75CEC">
            <w:pPr>
              <w:pStyle w:val="TableTextSmall"/>
            </w:pPr>
            <w:r>
              <w:t>11</w:t>
            </w:r>
          </w:p>
        </w:tc>
        <w:tc>
          <w:tcPr>
            <w:tcW w:w="2409" w:type="dxa"/>
            <w:vAlign w:val="center"/>
          </w:tcPr>
          <w:p w:rsidR="00BE03AE" w:rsidRDefault="00BE03AE">
            <w:pPr>
              <w:pStyle w:val="TableTextSmall"/>
            </w:pPr>
            <w:r>
              <w:t>Boxing Day</w:t>
            </w:r>
          </w:p>
        </w:tc>
        <w:tc>
          <w:tcPr>
            <w:tcW w:w="5494" w:type="dxa"/>
            <w:vAlign w:val="center"/>
          </w:tcPr>
          <w:p w:rsidR="00BE03AE" w:rsidRDefault="00BE03AE" w:rsidP="00CF1E7D">
            <w:pPr>
              <w:pStyle w:val="TableTextSmall"/>
            </w:pPr>
            <w:r>
              <w:t xml:space="preserve">26 December, </w:t>
            </w:r>
            <w:r w:rsidR="003F01BE">
              <w:t>and</w:t>
            </w:r>
            <w:r>
              <w:t xml:space="preserve"> the Monday after 26 December when Boxing Day is a Saturday or the Tuesday after Boxing Day when Boxing Day is a Sunday.</w:t>
            </w:r>
          </w:p>
        </w:tc>
      </w:tr>
    </w:tbl>
    <w:p w:rsidR="00BE03AE" w:rsidRDefault="00BE03AE" w:rsidP="00BE03AE">
      <w:pPr>
        <w:pStyle w:val="Sources"/>
      </w:pPr>
      <w:r>
        <w:t xml:space="preserve">Source: </w:t>
      </w:r>
      <w:r w:rsidRPr="00952734">
        <w:rPr>
          <w:i/>
        </w:rPr>
        <w:t>Public Holidays Act 1993</w:t>
      </w:r>
    </w:p>
    <w:p w:rsidR="00BE03AE" w:rsidRPr="00C52352" w:rsidRDefault="00BE03AE" w:rsidP="00BE03AE">
      <w:pPr>
        <w:pStyle w:val="StylePwCNormalnmajNormalnotetextcvteCNormalnotetext"/>
        <w:numPr>
          <w:ilvl w:val="0"/>
          <w:numId w:val="26"/>
        </w:numPr>
      </w:pPr>
      <w:r w:rsidRPr="00C52352">
        <w:t>Section 7 of the Act provides that</w:t>
      </w:r>
      <w:r w:rsidR="00895052">
        <w:t>,</w:t>
      </w:r>
      <w:r w:rsidRPr="00C52352">
        <w:t xml:space="preserve"> in addition to the days specified in </w:t>
      </w:r>
      <w:r>
        <w:t>the Act</w:t>
      </w:r>
      <w:r w:rsidRPr="00C52352">
        <w:t>, the Minister may appoint one or more public holidays by publishing a notice in the Government Gazette. The Act does not limit an additional public holiday provided by gazettal to a specific year or a number of years.</w:t>
      </w:r>
    </w:p>
    <w:p w:rsidR="00383458" w:rsidRDefault="00B971F6" w:rsidP="00091AF8">
      <w:pPr>
        <w:pStyle w:val="Heading6"/>
      </w:pPr>
      <w:r>
        <w:t>Context</w:t>
      </w:r>
    </w:p>
    <w:p w:rsidR="00383458" w:rsidRDefault="00383458" w:rsidP="00383458">
      <w:pPr>
        <w:pStyle w:val="Heading7"/>
        <w:spacing w:before="0" w:after="40"/>
      </w:pPr>
      <w:r>
        <w:t>Remuneration of Victorian employees on Easter Sunday</w:t>
      </w:r>
    </w:p>
    <w:p w:rsidR="00383458" w:rsidRPr="00A60E24" w:rsidRDefault="00383458" w:rsidP="00383458">
      <w:pPr>
        <w:pStyle w:val="StylePwCNormalnmajNormalnotetextcvteCNormalnotetext2"/>
      </w:pPr>
      <w:r>
        <w:t xml:space="preserve">Under current arrangements, Easter Sunday is considered as a typical Sunday under the </w:t>
      </w:r>
      <w:r w:rsidRPr="00DA3F2E">
        <w:rPr>
          <w:i/>
        </w:rPr>
        <w:t>Public Holidays Act 199</w:t>
      </w:r>
      <w:r>
        <w:rPr>
          <w:i/>
        </w:rPr>
        <w:t>3</w:t>
      </w:r>
      <w:r>
        <w:t xml:space="preserve">. That is, it is not a public holiday. Employees required to work on Easter Sunday are therefore paid at the applicable Sunday penalty rates for their respective industries, which are lower than public holiday penalty rates. </w:t>
      </w:r>
    </w:p>
    <w:p w:rsidR="00383458" w:rsidRDefault="00383458" w:rsidP="00383458">
      <w:pPr>
        <w:pStyle w:val="StylePwCNormalnmajNormalnotetextcvteCNormalnotetext2"/>
      </w:pPr>
      <w:r>
        <w:t>In many cases, the difference between the Sunday and public holiday penalty rates are at least 50 per cent. This means Victorians required to work on Easter Sunday would gain an additional 50 per cent in pay for that day if it was a public holiday. Total employment in Victoria in industries where workers could be required to work on a Sunday is estimated to be close to 1.3 million individuals,</w:t>
      </w:r>
      <w:r>
        <w:rPr>
          <w:rStyle w:val="FootnoteReference"/>
        </w:rPr>
        <w:footnoteReference w:id="4"/>
      </w:r>
      <w:r>
        <w:t xml:space="preserve"> which illustrates the number of Victorians who could</w:t>
      </w:r>
      <w:r w:rsidRPr="00320329">
        <w:t xml:space="preserve"> </w:t>
      </w:r>
      <w:r>
        <w:t xml:space="preserve">potentially be affected by the changes.  </w:t>
      </w:r>
    </w:p>
    <w:p w:rsidR="00383458" w:rsidRDefault="00383458" w:rsidP="00383458">
      <w:pPr>
        <w:pStyle w:val="Heading7"/>
        <w:spacing w:before="0" w:after="40"/>
      </w:pPr>
      <w:r>
        <w:t>Existing tourism in Victoria</w:t>
      </w:r>
    </w:p>
    <w:p w:rsidR="00383458" w:rsidRDefault="00383458" w:rsidP="00383458">
      <w:pPr>
        <w:pStyle w:val="StylePwCNormalnmajNormalnotetextcvteCNormalnotetext2"/>
      </w:pPr>
      <w:r>
        <w:t xml:space="preserve">Melbourne is popular among interstate and international visitors, while many of Victoria’s regions also attract high visitor numbers; </w:t>
      </w:r>
      <w:r w:rsidR="00895052">
        <w:t xml:space="preserve">the </w:t>
      </w:r>
      <w:r>
        <w:t>Great Ocean Road, the Grampians and the Mornington Peninsula each feature as common visiting spots in Victoria, among others. Estimates prepared by Tourism Research Australia suggest that tourism contributed $</w:t>
      </w:r>
      <w:r w:rsidR="00A72773">
        <w:t>20</w:t>
      </w:r>
      <w:r>
        <w:t>.6 billion or almost 6 per cent of gross state product (GSP) in Victoria for 201</w:t>
      </w:r>
      <w:r w:rsidR="00A72773">
        <w:t>3</w:t>
      </w:r>
      <w:r>
        <w:t>-1</w:t>
      </w:r>
      <w:r w:rsidR="00A72773">
        <w:t>4</w:t>
      </w:r>
      <w:r>
        <w:t xml:space="preserve"> and generated approximately 20</w:t>
      </w:r>
      <w:r w:rsidR="00A72773">
        <w:t>6</w:t>
      </w:r>
      <w:r>
        <w:t>,000 jobs in the state.</w:t>
      </w:r>
      <w:r>
        <w:rPr>
          <w:rStyle w:val="FootnoteReference"/>
        </w:rPr>
        <w:footnoteReference w:id="5"/>
      </w:r>
    </w:p>
    <w:p w:rsidR="00383458" w:rsidRDefault="00383458" w:rsidP="00383458">
      <w:pPr>
        <w:pStyle w:val="StylePwCNormalnmajNormalnotetextcvteCNormalnotetext2"/>
      </w:pPr>
      <w:r>
        <w:t xml:space="preserve">Particular emphasis is often placed on Victoria’s reputation as a destination for sports lovers. The Boxing Day Cricket Test, the Australian Open tennis tournament, </w:t>
      </w:r>
      <w:r w:rsidR="00571BE1">
        <w:t xml:space="preserve">the </w:t>
      </w:r>
      <w:r w:rsidR="00980E72" w:rsidRPr="005C1332">
        <w:t xml:space="preserve">Australian </w:t>
      </w:r>
      <w:r w:rsidR="00571BE1" w:rsidRPr="005C1332">
        <w:t xml:space="preserve">Formula </w:t>
      </w:r>
      <w:r w:rsidR="002653BE">
        <w:t>One</w:t>
      </w:r>
      <w:r w:rsidR="00571BE1" w:rsidRPr="005C1332">
        <w:t xml:space="preserve"> Grand Prix</w:t>
      </w:r>
      <w:r w:rsidR="00571BE1">
        <w:t xml:space="preserve">, </w:t>
      </w:r>
      <w:r>
        <w:t>Melbourne Cup and the Spring Racing Carnival</w:t>
      </w:r>
      <w:r w:rsidR="00895052">
        <w:t>,</w:t>
      </w:r>
      <w:r>
        <w:t xml:space="preserve"> and Australian Rules </w:t>
      </w:r>
      <w:proofErr w:type="gramStart"/>
      <w:r>
        <w:t>Football</w:t>
      </w:r>
      <w:proofErr w:type="gramEnd"/>
      <w:r>
        <w:t xml:space="preserve"> are examples of sporting fixtures that form a significant part of the Victorian sporting calendar, each attracting additional visitors from outside the state. </w:t>
      </w:r>
    </w:p>
    <w:p w:rsidR="00383458" w:rsidRDefault="00383458" w:rsidP="00383458">
      <w:pPr>
        <w:pStyle w:val="StylePwCNormalnmajNormalnotetextcvteCNormalnotetext2"/>
      </w:pPr>
      <w:r>
        <w:t xml:space="preserve">Both the Boxing Day Cricket Test and the Melbourne Cup occur on public holidays in Victoria, providing the community with increased opportunity to support these events. </w:t>
      </w:r>
    </w:p>
    <w:p w:rsidR="00383458" w:rsidRDefault="00383458" w:rsidP="00383458">
      <w:pPr>
        <w:pStyle w:val="Heading7"/>
        <w:spacing w:before="0" w:after="40"/>
      </w:pPr>
      <w:r>
        <w:t>Number of public holidays in other jurisdictions</w:t>
      </w:r>
    </w:p>
    <w:p w:rsidR="00383458" w:rsidRDefault="00383458" w:rsidP="00383458">
      <w:pPr>
        <w:pStyle w:val="StylePwCNormalnmajNormalnotetextcvteCNormalnotetext2"/>
      </w:pPr>
      <w:r>
        <w:t xml:space="preserve">The number of public holidays on the Victorian calendar currently sits at 11 (a list of Victorian public holidays under current arrangements is provided at </w:t>
      </w:r>
      <w:r>
        <w:fldChar w:fldCharType="begin"/>
      </w:r>
      <w:r>
        <w:instrText xml:space="preserve"> REF _Ref414451482 \h </w:instrText>
      </w:r>
      <w:r>
        <w:fldChar w:fldCharType="separate"/>
      </w:r>
      <w:r w:rsidR="00250375">
        <w:t xml:space="preserve">Table </w:t>
      </w:r>
      <w:r w:rsidR="00250375">
        <w:rPr>
          <w:noProof/>
        </w:rPr>
        <w:t>4</w:t>
      </w:r>
      <w:r>
        <w:fldChar w:fldCharType="end"/>
      </w:r>
      <w:r>
        <w:t xml:space="preserve">). </w:t>
      </w:r>
    </w:p>
    <w:p w:rsidR="00383458" w:rsidRDefault="00383458" w:rsidP="00383458">
      <w:pPr>
        <w:pStyle w:val="StylePwCNormalnmajNormalnotetextcvteCNormalnotetext2"/>
      </w:pPr>
      <w:r>
        <w:t xml:space="preserve">This places Victoria below the G20 average, which is calculated at 12 public holidays per year. </w:t>
      </w:r>
      <w:r w:rsidR="00CF50C1">
        <w:fldChar w:fldCharType="begin"/>
      </w:r>
      <w:r w:rsidR="00CF50C1">
        <w:instrText xml:space="preserve"> REF _Ref421891690 \h </w:instrText>
      </w:r>
      <w:r w:rsidR="00CF50C1">
        <w:fldChar w:fldCharType="separate"/>
      </w:r>
      <w:r w:rsidR="00250375">
        <w:t xml:space="preserve">Table </w:t>
      </w:r>
      <w:r w:rsidR="00250375">
        <w:rPr>
          <w:noProof/>
        </w:rPr>
        <w:t>5</w:t>
      </w:r>
      <w:r w:rsidR="00CF50C1">
        <w:fldChar w:fldCharType="end"/>
      </w:r>
      <w:r w:rsidR="00CF50C1">
        <w:t xml:space="preserve"> </w:t>
      </w:r>
      <w:r>
        <w:t>provides a list of the number of national public holidays observed in selected jurisdictions.</w:t>
      </w:r>
    </w:p>
    <w:p w:rsidR="00383458" w:rsidRDefault="00383458" w:rsidP="00383458">
      <w:pPr>
        <w:pStyle w:val="Caption"/>
      </w:pPr>
      <w:bookmarkStart w:id="25" w:name="_Ref421891690"/>
      <w:r>
        <w:t xml:space="preserve">Table </w:t>
      </w:r>
      <w:r w:rsidR="00663565">
        <w:fldChar w:fldCharType="begin"/>
      </w:r>
      <w:r w:rsidR="00663565">
        <w:instrText xml:space="preserve"> SEQ Table \* ARABIC </w:instrText>
      </w:r>
      <w:r w:rsidR="00663565">
        <w:fldChar w:fldCharType="separate"/>
      </w:r>
      <w:r w:rsidR="00250375">
        <w:rPr>
          <w:noProof/>
        </w:rPr>
        <w:t>5</w:t>
      </w:r>
      <w:r w:rsidR="00663565">
        <w:rPr>
          <w:noProof/>
        </w:rPr>
        <w:fldChar w:fldCharType="end"/>
      </w:r>
      <w:bookmarkEnd w:id="25"/>
      <w:r>
        <w:t>: Number of national public holidays observed in selected jurisdictions</w:t>
      </w:r>
    </w:p>
    <w:tbl>
      <w:tblPr>
        <w:tblStyle w:val="Tables-APBase"/>
        <w:tblW w:w="5000" w:type="pct"/>
        <w:tblLayout w:type="fixed"/>
        <w:tblLook w:val="04A0" w:firstRow="1" w:lastRow="0" w:firstColumn="1" w:lastColumn="0" w:noHBand="0" w:noVBand="1"/>
        <w:tblCaption w:val="Number of national public holidays observed in selected jurisdictions"/>
        <w:tblDescription w:val="The table lists the number of national public holidays observed in selected jurisdictions."/>
      </w:tblPr>
      <w:tblGrid>
        <w:gridCol w:w="4551"/>
        <w:gridCol w:w="3886"/>
      </w:tblGrid>
      <w:tr w:rsidR="00383458" w:rsidTr="00CF50C1">
        <w:trPr>
          <w:cnfStyle w:val="100000000000" w:firstRow="1" w:lastRow="0" w:firstColumn="0" w:lastColumn="0" w:oddVBand="0" w:evenVBand="0" w:oddHBand="0" w:evenHBand="0" w:firstRowFirstColumn="0" w:firstRowLastColumn="0" w:lastRowFirstColumn="0" w:lastRowLastColumn="0"/>
        </w:trPr>
        <w:tc>
          <w:tcPr>
            <w:cnfStyle w:val="000000000100" w:firstRow="0" w:lastRow="0" w:firstColumn="0" w:lastColumn="0" w:oddVBand="0" w:evenVBand="0" w:oddHBand="0" w:evenHBand="0" w:firstRowFirstColumn="1" w:firstRowLastColumn="0" w:lastRowFirstColumn="0" w:lastRowLastColumn="0"/>
            <w:tcW w:w="2697" w:type="pct"/>
          </w:tcPr>
          <w:p w:rsidR="00383458" w:rsidRDefault="00383458" w:rsidP="00CF50C1">
            <w:pPr>
              <w:pStyle w:val="TableColumnHeadingSmall"/>
            </w:pPr>
            <w:r>
              <w:t>Country/State</w:t>
            </w:r>
          </w:p>
        </w:tc>
        <w:tc>
          <w:tcPr>
            <w:tcW w:w="2303" w:type="pct"/>
          </w:tcPr>
          <w:p w:rsidR="00383458" w:rsidRDefault="00383458" w:rsidP="00CF50C1">
            <w:pPr>
              <w:pStyle w:val="TableColumnHeadingSmall"/>
              <w:cnfStyle w:val="100000000000" w:firstRow="1" w:lastRow="0" w:firstColumn="0" w:lastColumn="0" w:oddVBand="0" w:evenVBand="0" w:oddHBand="0" w:evenHBand="0" w:firstRowFirstColumn="0" w:firstRowLastColumn="0" w:lastRowFirstColumn="0" w:lastRowLastColumn="0"/>
            </w:pPr>
            <w:r>
              <w:t xml:space="preserve">Number of national public holidays observed </w:t>
            </w:r>
          </w:p>
        </w:tc>
      </w:tr>
      <w:tr w:rsidR="00383458" w:rsidTr="00CF50C1">
        <w:tc>
          <w:tcPr>
            <w:tcW w:w="2697" w:type="pct"/>
          </w:tcPr>
          <w:p w:rsidR="00383458" w:rsidRDefault="00383458" w:rsidP="00CF50C1">
            <w:pPr>
              <w:pStyle w:val="TableTextSmall"/>
              <w:keepNext/>
            </w:pPr>
            <w:r>
              <w:t>United Kingdom</w:t>
            </w:r>
          </w:p>
        </w:tc>
        <w:tc>
          <w:tcPr>
            <w:tcW w:w="2303" w:type="pct"/>
            <w:vAlign w:val="center"/>
          </w:tcPr>
          <w:p w:rsidR="00383458" w:rsidRDefault="00383458" w:rsidP="00CF50C1">
            <w:pPr>
              <w:pStyle w:val="TableTextSmall"/>
              <w:keepNext/>
              <w:jc w:val="center"/>
            </w:pPr>
            <w:r>
              <w:t>8</w:t>
            </w:r>
          </w:p>
        </w:tc>
      </w:tr>
      <w:tr w:rsidR="00383458" w:rsidTr="00CF50C1">
        <w:tc>
          <w:tcPr>
            <w:tcW w:w="2697" w:type="pct"/>
          </w:tcPr>
          <w:p w:rsidR="00383458" w:rsidRDefault="00383458" w:rsidP="00CF50C1">
            <w:pPr>
              <w:pStyle w:val="TableTextSmall"/>
              <w:keepNext/>
            </w:pPr>
            <w:r>
              <w:t>Canada, United States of America</w:t>
            </w:r>
          </w:p>
        </w:tc>
        <w:tc>
          <w:tcPr>
            <w:tcW w:w="2303" w:type="pct"/>
            <w:vAlign w:val="center"/>
          </w:tcPr>
          <w:p w:rsidR="00383458" w:rsidRDefault="00383458" w:rsidP="00CF50C1">
            <w:pPr>
              <w:pStyle w:val="TableTextSmall"/>
              <w:keepNext/>
              <w:jc w:val="center"/>
            </w:pPr>
            <w:r>
              <w:t>10</w:t>
            </w:r>
          </w:p>
        </w:tc>
      </w:tr>
      <w:tr w:rsidR="00383458" w:rsidTr="00CF50C1">
        <w:tc>
          <w:tcPr>
            <w:tcW w:w="2697" w:type="pct"/>
          </w:tcPr>
          <w:p w:rsidR="00383458" w:rsidRDefault="00383458" w:rsidP="00CF50C1">
            <w:pPr>
              <w:pStyle w:val="TableTextSmall"/>
              <w:keepNext/>
            </w:pPr>
            <w:r>
              <w:t>France, Spain, Italy, Greece, the Netherlands</w:t>
            </w:r>
          </w:p>
        </w:tc>
        <w:tc>
          <w:tcPr>
            <w:tcW w:w="2303" w:type="pct"/>
            <w:vAlign w:val="center"/>
          </w:tcPr>
          <w:p w:rsidR="00383458" w:rsidRDefault="00383458" w:rsidP="00CF50C1">
            <w:pPr>
              <w:pStyle w:val="TableTextSmall"/>
              <w:keepNext/>
              <w:jc w:val="center"/>
            </w:pPr>
            <w:r>
              <w:t>11</w:t>
            </w:r>
          </w:p>
        </w:tc>
      </w:tr>
      <w:tr w:rsidR="00383458" w:rsidTr="00CF50C1">
        <w:tc>
          <w:tcPr>
            <w:tcW w:w="2697" w:type="pct"/>
          </w:tcPr>
          <w:p w:rsidR="00383458" w:rsidRDefault="00383458" w:rsidP="00CF50C1">
            <w:pPr>
              <w:pStyle w:val="TableTextSmall"/>
              <w:keepNext/>
            </w:pPr>
            <w:r>
              <w:t>Singapore, South Africa</w:t>
            </w:r>
          </w:p>
        </w:tc>
        <w:tc>
          <w:tcPr>
            <w:tcW w:w="2303" w:type="pct"/>
            <w:vAlign w:val="center"/>
          </w:tcPr>
          <w:p w:rsidR="00383458" w:rsidRDefault="00383458" w:rsidP="00CF50C1">
            <w:pPr>
              <w:pStyle w:val="TableTextSmall"/>
              <w:keepNext/>
              <w:jc w:val="center"/>
            </w:pPr>
            <w:r>
              <w:t>14</w:t>
            </w:r>
          </w:p>
        </w:tc>
      </w:tr>
      <w:tr w:rsidR="00383458" w:rsidTr="00CF50C1">
        <w:tc>
          <w:tcPr>
            <w:tcW w:w="2697" w:type="pct"/>
          </w:tcPr>
          <w:p w:rsidR="00383458" w:rsidRDefault="00383458" w:rsidP="00CF50C1">
            <w:pPr>
              <w:pStyle w:val="TableTextSmall"/>
              <w:keepNext/>
            </w:pPr>
            <w:r>
              <w:t>Japan, South Korea</w:t>
            </w:r>
          </w:p>
        </w:tc>
        <w:tc>
          <w:tcPr>
            <w:tcW w:w="2303" w:type="pct"/>
            <w:vAlign w:val="center"/>
          </w:tcPr>
          <w:p w:rsidR="00383458" w:rsidRDefault="00383458" w:rsidP="00CF50C1">
            <w:pPr>
              <w:pStyle w:val="TableTextSmall"/>
              <w:keepNext/>
              <w:jc w:val="center"/>
            </w:pPr>
            <w:r>
              <w:t>15</w:t>
            </w:r>
          </w:p>
        </w:tc>
      </w:tr>
    </w:tbl>
    <w:p w:rsidR="00383458" w:rsidRDefault="00383458" w:rsidP="00383458">
      <w:pPr>
        <w:pStyle w:val="Sources"/>
        <w:keepNext/>
      </w:pPr>
      <w:r>
        <w:t xml:space="preserve">Source: </w:t>
      </w:r>
      <w:proofErr w:type="spellStart"/>
      <w:r>
        <w:t>Onrec</w:t>
      </w:r>
      <w:proofErr w:type="spellEnd"/>
      <w:r>
        <w:t>, ‘</w:t>
      </w:r>
      <w:r w:rsidRPr="00CB288B">
        <w:t>UK has lowest number of public holidays within G20</w:t>
      </w:r>
      <w:r>
        <w:t>’, 3 March 2014</w:t>
      </w:r>
      <w:r w:rsidR="00D75CEC">
        <w:t xml:space="preserve">. Available from </w:t>
      </w:r>
      <w:r w:rsidR="00D75CEC" w:rsidRPr="00CB288B">
        <w:t>http://www.onrec.com/news/statistics-and-trends/uk-has-lowest-number-of-public-holidays-within-g20</w:t>
      </w:r>
      <w:r>
        <w:t xml:space="preserve"> </w:t>
      </w:r>
    </w:p>
    <w:p w:rsidR="00383458" w:rsidRDefault="00383458" w:rsidP="00C56D87">
      <w:pPr>
        <w:pStyle w:val="StylePwCNormalnmajNormalnotetextcvteCNormalnotetext2"/>
      </w:pPr>
      <w:r>
        <w:t xml:space="preserve">Different Australian states and territories also observe different numbers of public holidays as shown in </w:t>
      </w:r>
      <w:r w:rsidR="00CF50C1">
        <w:fldChar w:fldCharType="begin"/>
      </w:r>
      <w:r w:rsidR="00CF50C1">
        <w:instrText xml:space="preserve"> REF _Ref421891702 \h </w:instrText>
      </w:r>
      <w:r w:rsidR="00CF50C1">
        <w:fldChar w:fldCharType="separate"/>
      </w:r>
      <w:r w:rsidR="00250375">
        <w:t xml:space="preserve">Table </w:t>
      </w:r>
      <w:r w:rsidR="00250375">
        <w:rPr>
          <w:noProof/>
        </w:rPr>
        <w:t>6</w:t>
      </w:r>
      <w:r w:rsidR="00CF50C1">
        <w:fldChar w:fldCharType="end"/>
      </w:r>
      <w:r w:rsidR="00CF50C1">
        <w:t xml:space="preserve">. </w:t>
      </w:r>
    </w:p>
    <w:p w:rsidR="00383458" w:rsidRDefault="00383458" w:rsidP="00383458">
      <w:pPr>
        <w:pStyle w:val="Caption"/>
      </w:pPr>
      <w:bookmarkStart w:id="26" w:name="_Ref421891702"/>
      <w:r>
        <w:t xml:space="preserve">Table </w:t>
      </w:r>
      <w:r w:rsidR="00663565">
        <w:fldChar w:fldCharType="begin"/>
      </w:r>
      <w:r w:rsidR="00663565">
        <w:instrText xml:space="preserve"> SEQ Table \* ARABIC </w:instrText>
      </w:r>
      <w:r w:rsidR="00663565">
        <w:fldChar w:fldCharType="separate"/>
      </w:r>
      <w:r w:rsidR="00250375">
        <w:rPr>
          <w:noProof/>
        </w:rPr>
        <w:t>6</w:t>
      </w:r>
      <w:r w:rsidR="00663565">
        <w:rPr>
          <w:noProof/>
        </w:rPr>
        <w:fldChar w:fldCharType="end"/>
      </w:r>
      <w:bookmarkEnd w:id="26"/>
      <w:r>
        <w:t>: 2015 public holidays in other Australian states and territories</w:t>
      </w:r>
    </w:p>
    <w:tbl>
      <w:tblPr>
        <w:tblStyle w:val="Tables-APBase"/>
        <w:tblW w:w="5000" w:type="pct"/>
        <w:tblLayout w:type="fixed"/>
        <w:tblLook w:val="04A0" w:firstRow="1" w:lastRow="0" w:firstColumn="1" w:lastColumn="0" w:noHBand="0" w:noVBand="1"/>
        <w:tblCaption w:val="2015 public holidays in other Australian states and territories"/>
        <w:tblDescription w:val="The table lists the 2015 public holidays in other Australian states and territories, including both full-day public holidays and other public holidays."/>
      </w:tblPr>
      <w:tblGrid>
        <w:gridCol w:w="2811"/>
        <w:gridCol w:w="2400"/>
        <w:gridCol w:w="3226"/>
      </w:tblGrid>
      <w:tr w:rsidR="00383458" w:rsidTr="00CF50C1">
        <w:trPr>
          <w:cnfStyle w:val="100000000000" w:firstRow="1" w:lastRow="0" w:firstColumn="0" w:lastColumn="0" w:oddVBand="0" w:evenVBand="0" w:oddHBand="0" w:evenHBand="0" w:firstRowFirstColumn="0" w:firstRowLastColumn="0" w:lastRowFirstColumn="0" w:lastRowLastColumn="0"/>
        </w:trPr>
        <w:tc>
          <w:tcPr>
            <w:cnfStyle w:val="000000000100" w:firstRow="0" w:lastRow="0" w:firstColumn="0" w:lastColumn="0" w:oddVBand="0" w:evenVBand="0" w:oddHBand="0" w:evenHBand="0" w:firstRowFirstColumn="1" w:firstRowLastColumn="0" w:lastRowFirstColumn="0" w:lastRowLastColumn="0"/>
            <w:tcW w:w="2811" w:type="dxa"/>
          </w:tcPr>
          <w:p w:rsidR="00383458" w:rsidRDefault="00383458" w:rsidP="00CF50C1">
            <w:pPr>
              <w:pStyle w:val="TableColumnHeadingSmall"/>
            </w:pPr>
            <w:r>
              <w:t>State/territory</w:t>
            </w:r>
          </w:p>
        </w:tc>
        <w:tc>
          <w:tcPr>
            <w:tcW w:w="2400" w:type="dxa"/>
          </w:tcPr>
          <w:p w:rsidR="00383458" w:rsidRDefault="00383458" w:rsidP="00CF50C1">
            <w:pPr>
              <w:pStyle w:val="TableColumnHeadingSmall"/>
              <w:cnfStyle w:val="100000000000" w:firstRow="1" w:lastRow="0" w:firstColumn="0" w:lastColumn="0" w:oddVBand="0" w:evenVBand="0" w:oddHBand="0" w:evenHBand="0" w:firstRowFirstColumn="0" w:firstRowLastColumn="0" w:lastRowFirstColumn="0" w:lastRowLastColumn="0"/>
            </w:pPr>
            <w:r>
              <w:t>Number of full-day public holidays observed by all constituents in 2015</w:t>
            </w:r>
          </w:p>
        </w:tc>
        <w:tc>
          <w:tcPr>
            <w:tcW w:w="3226" w:type="dxa"/>
          </w:tcPr>
          <w:p w:rsidR="00383458" w:rsidRDefault="00383458" w:rsidP="00CF50C1">
            <w:pPr>
              <w:pStyle w:val="TableColumnHeadingSmall"/>
              <w:cnfStyle w:val="100000000000" w:firstRow="1" w:lastRow="0" w:firstColumn="0" w:lastColumn="0" w:oddVBand="0" w:evenVBand="0" w:oddHBand="0" w:evenHBand="0" w:firstRowFirstColumn="0" w:firstRowLastColumn="0" w:lastRowFirstColumn="0" w:lastRowLastColumn="0"/>
            </w:pPr>
            <w:r>
              <w:t>Other public holidays</w:t>
            </w:r>
          </w:p>
        </w:tc>
      </w:tr>
      <w:tr w:rsidR="00383458" w:rsidTr="00C873BE">
        <w:tc>
          <w:tcPr>
            <w:tcW w:w="2811" w:type="dxa"/>
            <w:vAlign w:val="center"/>
          </w:tcPr>
          <w:p w:rsidR="00383458" w:rsidRDefault="00383458" w:rsidP="00CF1E7D">
            <w:pPr>
              <w:pStyle w:val="TableTextSmall"/>
            </w:pPr>
            <w:r>
              <w:t>Australian Capital Territory</w:t>
            </w:r>
          </w:p>
        </w:tc>
        <w:tc>
          <w:tcPr>
            <w:tcW w:w="2400" w:type="dxa"/>
            <w:vAlign w:val="center"/>
          </w:tcPr>
          <w:p w:rsidR="00383458" w:rsidRDefault="00383458" w:rsidP="00CF50C1">
            <w:pPr>
              <w:pStyle w:val="TableTextSmall"/>
              <w:jc w:val="center"/>
            </w:pPr>
            <w:r>
              <w:t>12</w:t>
            </w:r>
          </w:p>
        </w:tc>
        <w:tc>
          <w:tcPr>
            <w:tcW w:w="3226" w:type="dxa"/>
            <w:vAlign w:val="center"/>
          </w:tcPr>
          <w:p w:rsidR="00383458" w:rsidRDefault="00383458" w:rsidP="00CF1E7D">
            <w:pPr>
              <w:pStyle w:val="TableTextSmall"/>
            </w:pPr>
          </w:p>
        </w:tc>
      </w:tr>
      <w:tr w:rsidR="00383458" w:rsidTr="00C873BE">
        <w:tc>
          <w:tcPr>
            <w:tcW w:w="2811" w:type="dxa"/>
            <w:vAlign w:val="center"/>
          </w:tcPr>
          <w:p w:rsidR="00383458" w:rsidRDefault="00383458" w:rsidP="00CF1E7D">
            <w:pPr>
              <w:pStyle w:val="TableTextSmall"/>
            </w:pPr>
            <w:r>
              <w:t>New South Wales</w:t>
            </w:r>
          </w:p>
        </w:tc>
        <w:tc>
          <w:tcPr>
            <w:tcW w:w="2400" w:type="dxa"/>
            <w:vAlign w:val="center"/>
          </w:tcPr>
          <w:p w:rsidR="00383458" w:rsidRDefault="00383458" w:rsidP="00CF50C1">
            <w:pPr>
              <w:pStyle w:val="TableTextSmall"/>
              <w:jc w:val="center"/>
            </w:pPr>
            <w:r>
              <w:t>12</w:t>
            </w:r>
          </w:p>
        </w:tc>
        <w:tc>
          <w:tcPr>
            <w:tcW w:w="3226" w:type="dxa"/>
            <w:vAlign w:val="center"/>
          </w:tcPr>
          <w:p w:rsidR="00383458" w:rsidRDefault="00383458" w:rsidP="00CF1E7D">
            <w:pPr>
              <w:pStyle w:val="TableTextSmall"/>
            </w:pPr>
            <w:r>
              <w:t>Plus one bank holiday which applies to banks and certain financial institutions.</w:t>
            </w:r>
          </w:p>
        </w:tc>
      </w:tr>
      <w:tr w:rsidR="00383458" w:rsidTr="00C873BE">
        <w:tc>
          <w:tcPr>
            <w:tcW w:w="2811" w:type="dxa"/>
            <w:vAlign w:val="center"/>
          </w:tcPr>
          <w:p w:rsidR="00383458" w:rsidRDefault="00383458" w:rsidP="00CF1E7D">
            <w:pPr>
              <w:pStyle w:val="TableTextSmall"/>
            </w:pPr>
            <w:r>
              <w:t>Northern Territory</w:t>
            </w:r>
          </w:p>
        </w:tc>
        <w:tc>
          <w:tcPr>
            <w:tcW w:w="2400" w:type="dxa"/>
            <w:vAlign w:val="center"/>
          </w:tcPr>
          <w:p w:rsidR="00383458" w:rsidRDefault="00383458" w:rsidP="00CF50C1">
            <w:pPr>
              <w:pStyle w:val="TableTextSmall"/>
              <w:jc w:val="center"/>
            </w:pPr>
            <w:r>
              <w:t>11</w:t>
            </w:r>
          </w:p>
        </w:tc>
        <w:tc>
          <w:tcPr>
            <w:tcW w:w="3226" w:type="dxa"/>
            <w:vAlign w:val="center"/>
          </w:tcPr>
          <w:p w:rsidR="00383458" w:rsidRDefault="00383458" w:rsidP="00CF1E7D">
            <w:pPr>
              <w:pStyle w:val="TableTextSmall"/>
            </w:pPr>
            <w:r>
              <w:t>Plus five ‘Show Day’ public holidays with only regional observance</w:t>
            </w:r>
          </w:p>
        </w:tc>
      </w:tr>
      <w:tr w:rsidR="00383458" w:rsidTr="00C873BE">
        <w:tc>
          <w:tcPr>
            <w:tcW w:w="2811" w:type="dxa"/>
            <w:vAlign w:val="center"/>
          </w:tcPr>
          <w:p w:rsidR="00383458" w:rsidRDefault="00383458" w:rsidP="00CF1E7D">
            <w:pPr>
              <w:pStyle w:val="TableTextSmall"/>
            </w:pPr>
            <w:r>
              <w:t>Queensland</w:t>
            </w:r>
          </w:p>
        </w:tc>
        <w:tc>
          <w:tcPr>
            <w:tcW w:w="2400" w:type="dxa"/>
            <w:vAlign w:val="center"/>
          </w:tcPr>
          <w:p w:rsidR="00383458" w:rsidRDefault="00383458" w:rsidP="00CF50C1">
            <w:pPr>
              <w:pStyle w:val="TableTextSmall"/>
              <w:jc w:val="center"/>
            </w:pPr>
            <w:r>
              <w:t>12</w:t>
            </w:r>
          </w:p>
        </w:tc>
        <w:tc>
          <w:tcPr>
            <w:tcW w:w="3226" w:type="dxa"/>
            <w:vAlign w:val="center"/>
          </w:tcPr>
          <w:p w:rsidR="00383458" w:rsidRDefault="00383458" w:rsidP="00CF1E7D">
            <w:pPr>
              <w:pStyle w:val="TableTextSmall"/>
            </w:pPr>
          </w:p>
        </w:tc>
      </w:tr>
      <w:tr w:rsidR="00383458" w:rsidTr="00C873BE">
        <w:tc>
          <w:tcPr>
            <w:tcW w:w="2811" w:type="dxa"/>
            <w:vAlign w:val="center"/>
          </w:tcPr>
          <w:p w:rsidR="00383458" w:rsidRDefault="00383458" w:rsidP="00CF1E7D">
            <w:pPr>
              <w:pStyle w:val="TableTextSmall"/>
            </w:pPr>
            <w:r>
              <w:t>South Australia</w:t>
            </w:r>
          </w:p>
        </w:tc>
        <w:tc>
          <w:tcPr>
            <w:tcW w:w="2400" w:type="dxa"/>
            <w:vAlign w:val="center"/>
          </w:tcPr>
          <w:p w:rsidR="00383458" w:rsidRDefault="00383458" w:rsidP="00CF50C1">
            <w:pPr>
              <w:pStyle w:val="TableTextSmall"/>
              <w:jc w:val="center"/>
            </w:pPr>
            <w:r>
              <w:t>11</w:t>
            </w:r>
          </w:p>
        </w:tc>
        <w:tc>
          <w:tcPr>
            <w:tcW w:w="3226" w:type="dxa"/>
            <w:vAlign w:val="center"/>
          </w:tcPr>
          <w:p w:rsidR="00383458" w:rsidRDefault="00383458" w:rsidP="00CF1E7D">
            <w:pPr>
              <w:pStyle w:val="TableTextSmall"/>
            </w:pPr>
            <w:r>
              <w:t>Plus two half-day public holidays</w:t>
            </w:r>
          </w:p>
        </w:tc>
      </w:tr>
      <w:tr w:rsidR="00383458" w:rsidTr="00C873BE">
        <w:tc>
          <w:tcPr>
            <w:tcW w:w="2811" w:type="dxa"/>
            <w:vAlign w:val="center"/>
          </w:tcPr>
          <w:p w:rsidR="00383458" w:rsidRDefault="00383458" w:rsidP="00CF1E7D">
            <w:pPr>
              <w:pStyle w:val="TableTextSmall"/>
            </w:pPr>
            <w:r>
              <w:t>Tasmania</w:t>
            </w:r>
          </w:p>
        </w:tc>
        <w:tc>
          <w:tcPr>
            <w:tcW w:w="2400" w:type="dxa"/>
            <w:vAlign w:val="center"/>
          </w:tcPr>
          <w:p w:rsidR="00383458" w:rsidRDefault="00383458" w:rsidP="00CF50C1">
            <w:pPr>
              <w:pStyle w:val="TableTextSmall"/>
              <w:jc w:val="center"/>
            </w:pPr>
            <w:r>
              <w:t>10</w:t>
            </w:r>
          </w:p>
        </w:tc>
        <w:tc>
          <w:tcPr>
            <w:tcW w:w="3226" w:type="dxa"/>
            <w:vAlign w:val="center"/>
          </w:tcPr>
          <w:p w:rsidR="00383458" w:rsidRDefault="00383458" w:rsidP="00CF1E7D">
            <w:pPr>
              <w:pStyle w:val="TableTextSmall"/>
            </w:pPr>
            <w:r>
              <w:t>Plus one additional public holiday which only applies under certain awards or registered agreements and to the state public service</w:t>
            </w:r>
          </w:p>
        </w:tc>
      </w:tr>
      <w:tr w:rsidR="00383458" w:rsidTr="00C873BE">
        <w:tc>
          <w:tcPr>
            <w:tcW w:w="2811" w:type="dxa"/>
            <w:vAlign w:val="center"/>
          </w:tcPr>
          <w:p w:rsidR="00383458" w:rsidRDefault="00383458" w:rsidP="00CF1E7D">
            <w:pPr>
              <w:pStyle w:val="TableTextSmall"/>
            </w:pPr>
            <w:r>
              <w:t>Western Australia</w:t>
            </w:r>
          </w:p>
        </w:tc>
        <w:tc>
          <w:tcPr>
            <w:tcW w:w="2400" w:type="dxa"/>
            <w:vAlign w:val="center"/>
          </w:tcPr>
          <w:p w:rsidR="00383458" w:rsidRDefault="00383458" w:rsidP="00CF50C1">
            <w:pPr>
              <w:pStyle w:val="TableTextSmall"/>
              <w:jc w:val="center"/>
            </w:pPr>
            <w:r>
              <w:t>11</w:t>
            </w:r>
          </w:p>
        </w:tc>
        <w:tc>
          <w:tcPr>
            <w:tcW w:w="3226" w:type="dxa"/>
            <w:vAlign w:val="center"/>
          </w:tcPr>
          <w:p w:rsidR="00383458" w:rsidRDefault="00383458" w:rsidP="00CF1E7D">
            <w:pPr>
              <w:pStyle w:val="TableTextSmall"/>
            </w:pPr>
          </w:p>
        </w:tc>
      </w:tr>
    </w:tbl>
    <w:p w:rsidR="007E0749" w:rsidRDefault="00383458" w:rsidP="000D6E9A">
      <w:pPr>
        <w:pStyle w:val="Sources"/>
      </w:pPr>
      <w:r>
        <w:t xml:space="preserve">Source: Australian Government Fair Work Ombudsman, available from </w:t>
      </w:r>
      <w:hyperlink r:id="rId26" w:history="1">
        <w:r w:rsidRPr="005C16CB">
          <w:rPr>
            <w:rStyle w:val="Hyperlink"/>
          </w:rPr>
          <w:t>http://www.fairwork.gov.au/leave/public-holidays/list-of-public-holidays</w:t>
        </w:r>
      </w:hyperlink>
      <w:r>
        <w:t xml:space="preserve"> </w:t>
      </w:r>
    </w:p>
    <w:p w:rsidR="00BE03AE" w:rsidRDefault="00BE03AE" w:rsidP="00091AF8">
      <w:pPr>
        <w:pStyle w:val="Heading6"/>
      </w:pPr>
      <w:r>
        <w:t>Purpose of this RIS</w:t>
      </w:r>
    </w:p>
    <w:p w:rsidR="00383458" w:rsidRPr="00383458" w:rsidRDefault="00383458" w:rsidP="00383458">
      <w:pPr>
        <w:pStyle w:val="StylePwCNormalnmajNormalnotetextcvteCNormalnotetext2"/>
      </w:pPr>
      <w:r w:rsidRPr="00C873BE">
        <w:t>The</w:t>
      </w:r>
      <w:r w:rsidRPr="000D6E9A">
        <w:rPr>
          <w:i/>
        </w:rPr>
        <w:t xml:space="preserve"> Subordinate Legislation Act 1994</w:t>
      </w:r>
      <w:r w:rsidRPr="00383458">
        <w:t xml:space="preserve"> requires that a Regulatory Impact Statement (RIS) be prepared to consider the impacts of the Government’s policy. </w:t>
      </w:r>
    </w:p>
    <w:p w:rsidR="00BE03AE" w:rsidRDefault="00BE03AE" w:rsidP="00BE03AE">
      <w:pPr>
        <w:pStyle w:val="StylePwCNormalnmajNormalnotetextcvteCNormalnotetext"/>
        <w:numPr>
          <w:ilvl w:val="0"/>
          <w:numId w:val="26"/>
        </w:numPr>
        <w:rPr>
          <w:snapToGrid/>
          <w:lang w:eastAsia="en-AU"/>
        </w:rPr>
      </w:pPr>
      <w:r w:rsidRPr="008F6D8D">
        <w:rPr>
          <w:snapToGrid/>
          <w:lang w:eastAsia="en-AU"/>
        </w:rPr>
        <w:t xml:space="preserve">The purpose of this RIS is to engage with the Victorian community regarding the potential impacts of the proposed </w:t>
      </w:r>
      <w:r>
        <w:rPr>
          <w:snapToGrid/>
          <w:lang w:eastAsia="en-AU"/>
        </w:rPr>
        <w:t>changes to Victoria’s public holidays</w:t>
      </w:r>
      <w:r w:rsidRPr="008F6D8D">
        <w:rPr>
          <w:snapToGrid/>
          <w:lang w:eastAsia="en-AU"/>
        </w:rPr>
        <w:t xml:space="preserve">. </w:t>
      </w:r>
      <w:r>
        <w:rPr>
          <w:snapToGrid/>
          <w:lang w:eastAsia="en-AU"/>
        </w:rPr>
        <w:t xml:space="preserve">This RIS has been developed to facilitate consultation with stakeholders by providing information and analysis so that all parties are </w:t>
      </w:r>
      <w:r w:rsidR="00383458">
        <w:rPr>
          <w:snapToGrid/>
          <w:lang w:eastAsia="en-AU"/>
        </w:rPr>
        <w:t xml:space="preserve">well </w:t>
      </w:r>
      <w:r>
        <w:rPr>
          <w:snapToGrid/>
          <w:lang w:eastAsia="en-AU"/>
        </w:rPr>
        <w:t xml:space="preserve">informed. </w:t>
      </w:r>
    </w:p>
    <w:p w:rsidR="00BE03AE" w:rsidRPr="00C873BE" w:rsidRDefault="00BE03AE" w:rsidP="00C873BE">
      <w:pPr>
        <w:pStyle w:val="StylePwCNormalnmajNormalnotetextcvteCNormalnotetext"/>
        <w:numPr>
          <w:ilvl w:val="0"/>
          <w:numId w:val="26"/>
        </w:numPr>
        <w:rPr>
          <w:snapToGrid/>
          <w:lang w:eastAsia="en-AU"/>
        </w:rPr>
      </w:pPr>
      <w:r w:rsidRPr="00C873BE">
        <w:rPr>
          <w:snapToGrid/>
          <w:lang w:eastAsia="en-AU"/>
        </w:rPr>
        <w:t>To do this, the RIS considers the following aspects:</w:t>
      </w:r>
    </w:p>
    <w:p w:rsidR="00BE03AE" w:rsidRDefault="00BE03AE" w:rsidP="00091AF8">
      <w:pPr>
        <w:pStyle w:val="ListBullet"/>
        <w:rPr>
          <w:lang w:eastAsia="en-AU"/>
        </w:rPr>
      </w:pPr>
      <w:r>
        <w:rPr>
          <w:lang w:eastAsia="en-AU"/>
        </w:rPr>
        <w:t>the policy context</w:t>
      </w:r>
    </w:p>
    <w:p w:rsidR="00BE03AE" w:rsidRDefault="00BE03AE" w:rsidP="00091AF8">
      <w:pPr>
        <w:pStyle w:val="ListBullet"/>
        <w:rPr>
          <w:lang w:eastAsia="en-AU"/>
        </w:rPr>
      </w:pPr>
      <w:r>
        <w:rPr>
          <w:lang w:eastAsia="en-AU"/>
        </w:rPr>
        <w:t>the Government’s objectives</w:t>
      </w:r>
    </w:p>
    <w:p w:rsidR="00BE03AE" w:rsidRDefault="00BE03AE" w:rsidP="00091AF8">
      <w:pPr>
        <w:pStyle w:val="ListBullet"/>
        <w:rPr>
          <w:lang w:eastAsia="en-AU"/>
        </w:rPr>
      </w:pPr>
      <w:r>
        <w:rPr>
          <w:lang w:eastAsia="en-AU"/>
        </w:rPr>
        <w:t xml:space="preserve">comparative analysis of </w:t>
      </w:r>
      <w:r w:rsidR="00383458">
        <w:rPr>
          <w:lang w:eastAsia="en-AU"/>
        </w:rPr>
        <w:t>the Government’s commitment and alternatives to achieve the Government’s objectives</w:t>
      </w:r>
    </w:p>
    <w:p w:rsidR="00BE03AE" w:rsidRDefault="00BE03AE" w:rsidP="00091AF8">
      <w:pPr>
        <w:pStyle w:val="ListBullet"/>
        <w:rPr>
          <w:lang w:eastAsia="en-AU"/>
        </w:rPr>
      </w:pPr>
      <w:proofErr w:type="gramStart"/>
      <w:r>
        <w:rPr>
          <w:lang w:eastAsia="en-AU"/>
        </w:rPr>
        <w:t>implementation</w:t>
      </w:r>
      <w:proofErr w:type="gramEnd"/>
      <w:r>
        <w:rPr>
          <w:lang w:eastAsia="en-AU"/>
        </w:rPr>
        <w:t xml:space="preserve"> and enforcement of the Government’s policy proposal</w:t>
      </w:r>
      <w:r w:rsidR="00347E27">
        <w:rPr>
          <w:lang w:eastAsia="en-AU"/>
        </w:rPr>
        <w:t>.</w:t>
      </w:r>
    </w:p>
    <w:p w:rsidR="00BE03AE" w:rsidRDefault="00BE03AE" w:rsidP="00BE03AE">
      <w:pPr>
        <w:pStyle w:val="PwCNormal"/>
        <w:spacing w:before="0" w:after="240"/>
      </w:pPr>
      <w:r>
        <w:rPr>
          <w:lang w:eastAsia="en-AU"/>
        </w:rPr>
        <w:t>These aspects are addressed in turn in the chapters to follow.</w:t>
      </w:r>
    </w:p>
    <w:p w:rsidR="00BE03AE" w:rsidRDefault="00BE03AE" w:rsidP="00091AF8">
      <w:pPr>
        <w:pStyle w:val="Heading6"/>
        <w:rPr>
          <w:lang w:eastAsia="en-AU"/>
        </w:rPr>
      </w:pPr>
      <w:bookmarkStart w:id="27" w:name="_Ref417237442"/>
      <w:r>
        <w:rPr>
          <w:lang w:eastAsia="en-AU"/>
        </w:rPr>
        <w:t>Stakeholder consultation undertaken for this RIS</w:t>
      </w:r>
      <w:bookmarkEnd w:id="27"/>
    </w:p>
    <w:p w:rsidR="00BE03AE" w:rsidRDefault="00BE03AE" w:rsidP="00BE03AE">
      <w:pPr>
        <w:pStyle w:val="PwCNormal"/>
        <w:spacing w:before="0" w:after="240"/>
      </w:pPr>
      <w:r>
        <w:t xml:space="preserve">In the development of this RIS we consulted with employers, employees, </w:t>
      </w:r>
      <w:r w:rsidR="003406E2">
        <w:t>government</w:t>
      </w:r>
      <w:r>
        <w:t xml:space="preserve"> and the community. A list of the consultations undertaken is provided below. </w:t>
      </w:r>
    </w:p>
    <w:p w:rsidR="00BE03AE" w:rsidRPr="00425A4F" w:rsidRDefault="00BE03AE" w:rsidP="00091AF8">
      <w:pPr>
        <w:pStyle w:val="ListBullet"/>
      </w:pPr>
      <w:r w:rsidRPr="00C34848">
        <w:t>Australian Football League (AFL)</w:t>
      </w:r>
    </w:p>
    <w:p w:rsidR="00BE03AE" w:rsidRDefault="00BE03AE" w:rsidP="00091AF8">
      <w:pPr>
        <w:pStyle w:val="ListBullet"/>
      </w:pPr>
      <w:r>
        <w:t>Australian Industry Group (</w:t>
      </w:r>
      <w:proofErr w:type="spellStart"/>
      <w:r>
        <w:t>AiGroup</w:t>
      </w:r>
      <w:proofErr w:type="spellEnd"/>
      <w:r>
        <w:t>)</w:t>
      </w:r>
    </w:p>
    <w:p w:rsidR="00980E72" w:rsidRDefault="00980E72" w:rsidP="00980E72">
      <w:pPr>
        <w:pStyle w:val="ListBullet"/>
      </w:pPr>
      <w:r>
        <w:t>Australian Nursing and Midwifery Federation</w:t>
      </w:r>
    </w:p>
    <w:p w:rsidR="00BE03AE" w:rsidRDefault="00BE03AE" w:rsidP="00091AF8">
      <w:pPr>
        <w:pStyle w:val="ListBullet"/>
      </w:pPr>
      <w:r>
        <w:t>Australian Retailers Association (ARA)</w:t>
      </w:r>
    </w:p>
    <w:p w:rsidR="00425A4F" w:rsidRDefault="00425A4F" w:rsidP="00091AF8">
      <w:pPr>
        <w:pStyle w:val="ListBullet"/>
      </w:pPr>
      <w:r>
        <w:t>Coles</w:t>
      </w:r>
    </w:p>
    <w:p w:rsidR="00BE03AE" w:rsidRDefault="00BE03AE" w:rsidP="00091AF8">
      <w:pPr>
        <w:pStyle w:val="ListBullet"/>
      </w:pPr>
      <w:r>
        <w:t>Department of Treasury and Finance (Victoria)</w:t>
      </w:r>
    </w:p>
    <w:p w:rsidR="00BE03AE" w:rsidRDefault="00BE03AE" w:rsidP="00091AF8">
      <w:pPr>
        <w:pStyle w:val="ListBullet"/>
      </w:pPr>
      <w:r>
        <w:t xml:space="preserve">Edwin’s </w:t>
      </w:r>
      <w:r w:rsidR="000E161D">
        <w:t xml:space="preserve">café </w:t>
      </w:r>
      <w:r>
        <w:t>(Small Business - Restaurant and Catering Industry)</w:t>
      </w:r>
    </w:p>
    <w:p w:rsidR="00BE03AE" w:rsidRDefault="00BE03AE" w:rsidP="00091AF8">
      <w:pPr>
        <w:pStyle w:val="ListBullet"/>
      </w:pPr>
      <w:r>
        <w:t>Restaurant and Catering Association (RCA)</w:t>
      </w:r>
    </w:p>
    <w:p w:rsidR="00BE03AE" w:rsidRDefault="00BE03AE" w:rsidP="00091AF8">
      <w:pPr>
        <w:pStyle w:val="ListBullet"/>
      </w:pPr>
      <w:r>
        <w:t>Shop Distributive and Allied Employees’ Association (SDA)</w:t>
      </w:r>
    </w:p>
    <w:p w:rsidR="00980E72" w:rsidRDefault="00980E72" w:rsidP="00980E72">
      <w:pPr>
        <w:pStyle w:val="ListBullet"/>
      </w:pPr>
      <w:r>
        <w:t xml:space="preserve">The </w:t>
      </w:r>
      <w:proofErr w:type="spellStart"/>
      <w:r>
        <w:t>Essoign</w:t>
      </w:r>
      <w:proofErr w:type="spellEnd"/>
      <w:r>
        <w:t xml:space="preserve"> Club (Small Business - Restaurant and Catering Industry)</w:t>
      </w:r>
    </w:p>
    <w:p w:rsidR="00BE03AE" w:rsidRDefault="00BE03AE" w:rsidP="00091AF8">
      <w:pPr>
        <w:pStyle w:val="ListBullet"/>
      </w:pPr>
      <w:r>
        <w:t>Tourism Victoria</w:t>
      </w:r>
    </w:p>
    <w:p w:rsidR="00AE19DE" w:rsidRDefault="00AE19DE" w:rsidP="00091AF8">
      <w:pPr>
        <w:pStyle w:val="ListBullet"/>
      </w:pPr>
      <w:r>
        <w:t>Victorian Council of Churches</w:t>
      </w:r>
    </w:p>
    <w:p w:rsidR="00BE03AE" w:rsidRDefault="00BE03AE" w:rsidP="00091AF8">
      <w:pPr>
        <w:pStyle w:val="ListBullet"/>
      </w:pPr>
      <w:r>
        <w:t>Victorian Council of Social Service</w:t>
      </w:r>
    </w:p>
    <w:p w:rsidR="00980E72" w:rsidRDefault="00980E72" w:rsidP="00980E72">
      <w:pPr>
        <w:pStyle w:val="ListBullet"/>
      </w:pPr>
      <w:r w:rsidRPr="006B1D68">
        <w:t>Victorian Employers' Chamber o</w:t>
      </w:r>
      <w:r>
        <w:t>f Commerce and Industry (VECCI)</w:t>
      </w:r>
    </w:p>
    <w:p w:rsidR="00BE03AE" w:rsidRDefault="00BE03AE" w:rsidP="00091AF8">
      <w:pPr>
        <w:pStyle w:val="ListBullet"/>
      </w:pPr>
      <w:r>
        <w:t>Victorian Trades Hall Council</w:t>
      </w:r>
    </w:p>
    <w:p w:rsidR="001B2382" w:rsidRPr="00425A4F" w:rsidRDefault="00BE03AE" w:rsidP="00C076DA">
      <w:pPr>
        <w:pStyle w:val="ListBullet"/>
      </w:pPr>
      <w:r w:rsidRPr="00C34848">
        <w:t>Woolworths</w:t>
      </w:r>
      <w:r w:rsidR="00940534">
        <w:t>.</w:t>
      </w:r>
    </w:p>
    <w:p w:rsidR="002F6082" w:rsidRDefault="002F6082" w:rsidP="001B2382">
      <w:pPr>
        <w:pStyle w:val="PwCNormal"/>
      </w:pPr>
    </w:p>
    <w:p w:rsidR="002F6082" w:rsidRDefault="002F6082" w:rsidP="002F6082">
      <w:pPr>
        <w:pStyle w:val="PwCNormal"/>
        <w:sectPr w:rsidR="002F6082" w:rsidSect="00F81690">
          <w:headerReference w:type="even" r:id="rId27"/>
          <w:headerReference w:type="default" r:id="rId28"/>
          <w:footerReference w:type="even" r:id="rId29"/>
          <w:footerReference w:type="default" r:id="rId30"/>
          <w:headerReference w:type="first" r:id="rId31"/>
          <w:footerReference w:type="first" r:id="rId32"/>
          <w:type w:val="oddPage"/>
          <w:pgSz w:w="11907" w:h="16840" w:code="9"/>
          <w:pgMar w:top="1588" w:right="1843" w:bottom="1418" w:left="1843" w:header="567" w:footer="567" w:gutter="0"/>
          <w:pgNumType w:start="1"/>
          <w:cols w:space="227"/>
          <w:titlePg/>
          <w:docGrid w:linePitch="360"/>
        </w:sectPr>
      </w:pPr>
    </w:p>
    <w:p w:rsidR="002F6082" w:rsidRDefault="003265FF" w:rsidP="00F81690">
      <w:pPr>
        <w:pStyle w:val="Heading2"/>
      </w:pPr>
      <w:bookmarkStart w:id="28" w:name="_Toc423453464"/>
      <w:r>
        <w:t>Objectives</w:t>
      </w:r>
      <w:bookmarkEnd w:id="28"/>
    </w:p>
    <w:p w:rsidR="003265FF" w:rsidRDefault="003265FF" w:rsidP="003265FF">
      <w:pPr>
        <w:pStyle w:val="StylePwCNormalnmajNormalnotetextcvteCNormalnotetext"/>
      </w:pPr>
      <w:r w:rsidRPr="00E71945">
        <w:t>The Government made a commitment in its 2014 State election platform to declare Easter Sunday and the Friday before the AFL Grand Final as public holidays.</w:t>
      </w:r>
      <w:r w:rsidR="002C53DA">
        <w:rPr>
          <w:rStyle w:val="FootnoteReference"/>
        </w:rPr>
        <w:footnoteReference w:id="6"/>
      </w:r>
    </w:p>
    <w:p w:rsidR="003265FF" w:rsidRPr="00062AFE" w:rsidRDefault="003265FF" w:rsidP="003265FF">
      <w:pPr>
        <w:pStyle w:val="StylePwCNormalnmajNormalnotetextcvteCNormalnotetext2"/>
      </w:pPr>
      <w:r w:rsidRPr="00E71945">
        <w:t>In the same platform, the Government outlined some of the principles on which this commitment is based. These include:</w:t>
      </w:r>
    </w:p>
    <w:p w:rsidR="003265FF" w:rsidRDefault="003265FF" w:rsidP="003265FF">
      <w:pPr>
        <w:pStyle w:val="ChapterNumberedList1"/>
        <w:spacing w:before="0" w:after="240"/>
      </w:pPr>
      <w:r>
        <w:t>providing fair pay to those working on Easter Sunday</w:t>
      </w:r>
    </w:p>
    <w:p w:rsidR="003265FF" w:rsidRDefault="003265FF" w:rsidP="003265FF">
      <w:pPr>
        <w:pStyle w:val="ChapterNumberedList1"/>
        <w:spacing w:before="0" w:after="240"/>
      </w:pPr>
      <w:r>
        <w:t xml:space="preserve">increasing opportunities for </w:t>
      </w:r>
      <w:r w:rsidRPr="00083471">
        <w:t>Victorians</w:t>
      </w:r>
      <w:r>
        <w:t xml:space="preserve"> to enjoy coordinated leisure time</w:t>
      </w:r>
    </w:p>
    <w:p w:rsidR="003265FF" w:rsidRDefault="003265FF" w:rsidP="003265FF">
      <w:pPr>
        <w:pStyle w:val="ChapterNumberedList1"/>
        <w:spacing w:before="0" w:after="240"/>
      </w:pPr>
      <w:proofErr w:type="gramStart"/>
      <w:r>
        <w:t>enhancing</w:t>
      </w:r>
      <w:proofErr w:type="gramEnd"/>
      <w:r>
        <w:t xml:space="preserve"> </w:t>
      </w:r>
      <w:r w:rsidRPr="00083471">
        <w:t xml:space="preserve">the important role </w:t>
      </w:r>
      <w:r>
        <w:t>performed by</w:t>
      </w:r>
      <w:r w:rsidRPr="00083471">
        <w:t xml:space="preserve"> public holidays on significant religious and state occasions in uniting the community</w:t>
      </w:r>
      <w:r>
        <w:t>.</w:t>
      </w:r>
    </w:p>
    <w:p w:rsidR="003265FF" w:rsidRDefault="003265FF" w:rsidP="0018690C">
      <w:pPr>
        <w:pStyle w:val="StylePwCNormalnmajNormalnotetextcvteCNormalnotetext2"/>
      </w:pPr>
      <w:r>
        <w:t>For the purposes of the RIS these principles are taken to be objectives.</w:t>
      </w:r>
    </w:p>
    <w:p w:rsidR="003265FF" w:rsidRDefault="003265FF">
      <w:pPr>
        <w:pStyle w:val="StylePwCNormalnmajNormalnotetextcvteCNormalnotetext2"/>
      </w:pPr>
      <w:r>
        <w:t>The platform also recognises the importance of boosting regional development, including tourism and of building on Victoria’s reputation as a great sporting state.</w:t>
      </w:r>
    </w:p>
    <w:p w:rsidR="003265FF" w:rsidRDefault="003265FF" w:rsidP="003265FF">
      <w:pPr>
        <w:pStyle w:val="StylePwCNormalnmajNormalnotetextcvteCNormalnotetext2"/>
        <w:rPr>
          <w:lang w:val="en-GB"/>
        </w:rPr>
        <w:sectPr w:rsidR="003265FF" w:rsidSect="00F81690">
          <w:pgSz w:w="11907" w:h="16840" w:code="9"/>
          <w:pgMar w:top="1588" w:right="1843" w:bottom="1418" w:left="1843" w:header="567" w:footer="567" w:gutter="0"/>
          <w:cols w:space="227"/>
          <w:titlePg/>
          <w:docGrid w:linePitch="360"/>
        </w:sectPr>
      </w:pPr>
    </w:p>
    <w:p w:rsidR="00BE03AE" w:rsidRDefault="00BE03AE" w:rsidP="00091AF8">
      <w:pPr>
        <w:pStyle w:val="Heading2"/>
      </w:pPr>
      <w:bookmarkStart w:id="29" w:name="_Toc423453465"/>
      <w:r>
        <w:t>Options</w:t>
      </w:r>
      <w:bookmarkEnd w:id="29"/>
    </w:p>
    <w:p w:rsidR="00BE03AE" w:rsidRPr="00AB730B" w:rsidRDefault="00BE03AE" w:rsidP="00BE03AE">
      <w:pPr>
        <w:pStyle w:val="Heading6"/>
        <w:spacing w:before="0" w:after="40"/>
      </w:pPr>
      <w:bookmarkStart w:id="30" w:name="_Ref421723584"/>
      <w:r>
        <w:t>Overview</w:t>
      </w:r>
      <w:bookmarkEnd w:id="30"/>
    </w:p>
    <w:p w:rsidR="00BE03AE" w:rsidRDefault="004A52A3" w:rsidP="00091AF8">
      <w:pPr>
        <w:pStyle w:val="StylePwCNormalnmajNormalnotetextcvteCNormalnotetext1"/>
        <w:tabs>
          <w:tab w:val="clear" w:pos="0"/>
        </w:tabs>
      </w:pPr>
      <w:r>
        <w:t xml:space="preserve">The </w:t>
      </w:r>
      <w:r w:rsidR="001F25E8" w:rsidRPr="006101FF">
        <w:rPr>
          <w:i/>
        </w:rPr>
        <w:t>Subordinate Legislation Act 1994</w:t>
      </w:r>
      <w:r w:rsidR="001F25E8">
        <w:t xml:space="preserve"> </w:t>
      </w:r>
      <w:r>
        <w:t xml:space="preserve">requires that the impacts of other means of achieving the Government’s objectives are considered. </w:t>
      </w:r>
      <w:r w:rsidR="00BE03AE">
        <w:t xml:space="preserve">In order to do that, </w:t>
      </w:r>
      <w:r w:rsidR="005A7D0D">
        <w:t>the Department provided</w:t>
      </w:r>
      <w:r w:rsidR="00BE03AE">
        <w:t xml:space="preserve"> a set of alternative options</w:t>
      </w:r>
      <w:r w:rsidR="005A7D0D">
        <w:t xml:space="preserve"> for consideration which</w:t>
      </w:r>
      <w:r w:rsidR="00BE03AE">
        <w:t xml:space="preserve"> could meet the objectives of the proposed policy. We also conducted a series of public consultations and sought feedback from stakeholders who would potentially be affected. </w:t>
      </w:r>
    </w:p>
    <w:p w:rsidR="00BE03AE" w:rsidRDefault="00BE03AE" w:rsidP="00BE03AE">
      <w:pPr>
        <w:pStyle w:val="StylePwCNormalnmajNormalnotetextcvteCNormalnotetext1"/>
        <w:numPr>
          <w:ilvl w:val="0"/>
          <w:numId w:val="26"/>
        </w:numPr>
      </w:pPr>
      <w:r>
        <w:t xml:space="preserve">These options are summarised in </w:t>
      </w:r>
      <w:r>
        <w:fldChar w:fldCharType="begin"/>
      </w:r>
      <w:r>
        <w:instrText xml:space="preserve"> REF _Ref415568726 \h  \* MERGEFORMAT </w:instrText>
      </w:r>
      <w:r>
        <w:fldChar w:fldCharType="separate"/>
      </w:r>
      <w:r w:rsidR="00250375">
        <w:t xml:space="preserve">Table </w:t>
      </w:r>
      <w:r w:rsidR="00250375">
        <w:rPr>
          <w:noProof/>
        </w:rPr>
        <w:t>7</w:t>
      </w:r>
      <w:r>
        <w:fldChar w:fldCharType="end"/>
      </w:r>
      <w:r>
        <w:t xml:space="preserve"> and discussed in further detail in the following sections of this chapter.</w:t>
      </w:r>
    </w:p>
    <w:p w:rsidR="00BE03AE" w:rsidRDefault="00BE03AE" w:rsidP="00BE03AE">
      <w:pPr>
        <w:pStyle w:val="Caption"/>
      </w:pPr>
      <w:bookmarkStart w:id="31" w:name="_Ref415568726"/>
      <w:r>
        <w:t xml:space="preserve">Table </w:t>
      </w:r>
      <w:r w:rsidR="00663565">
        <w:fldChar w:fldCharType="begin"/>
      </w:r>
      <w:r w:rsidR="00663565">
        <w:instrText xml:space="preserve"> SEQ Table \* ARABIC </w:instrText>
      </w:r>
      <w:r w:rsidR="00663565">
        <w:fldChar w:fldCharType="separate"/>
      </w:r>
      <w:r w:rsidR="00250375">
        <w:rPr>
          <w:noProof/>
        </w:rPr>
        <w:t>7</w:t>
      </w:r>
      <w:r w:rsidR="00663565">
        <w:rPr>
          <w:noProof/>
        </w:rPr>
        <w:fldChar w:fldCharType="end"/>
      </w:r>
      <w:bookmarkEnd w:id="31"/>
      <w:r>
        <w:t>: Summary of the options to be considered</w:t>
      </w:r>
    </w:p>
    <w:tbl>
      <w:tblPr>
        <w:tblStyle w:val="Tables-APBase"/>
        <w:tblW w:w="5000" w:type="pct"/>
        <w:tblLayout w:type="fixed"/>
        <w:tblLook w:val="04A0" w:firstRow="1" w:lastRow="0" w:firstColumn="1" w:lastColumn="0" w:noHBand="0" w:noVBand="1"/>
        <w:tblCaption w:val="Summary of the options to be considered"/>
        <w:tblDescription w:val="The table provides a description of each of the options to be considered and lists the additional public holidays that would be introduced under each option."/>
      </w:tblPr>
      <w:tblGrid>
        <w:gridCol w:w="1526"/>
        <w:gridCol w:w="3685"/>
        <w:gridCol w:w="3226"/>
      </w:tblGrid>
      <w:tr w:rsidR="00BE03AE" w:rsidTr="00091AF8">
        <w:trPr>
          <w:cnfStyle w:val="100000000000" w:firstRow="1" w:lastRow="0" w:firstColumn="0" w:lastColumn="0" w:oddVBand="0" w:evenVBand="0" w:oddHBand="0" w:evenHBand="0" w:firstRowFirstColumn="0" w:firstRowLastColumn="0" w:lastRowFirstColumn="0" w:lastRowLastColumn="0"/>
        </w:trPr>
        <w:tc>
          <w:tcPr>
            <w:cnfStyle w:val="000000000100" w:firstRow="0" w:lastRow="0" w:firstColumn="0" w:lastColumn="0" w:oddVBand="0" w:evenVBand="0" w:oddHBand="0" w:evenHBand="0" w:firstRowFirstColumn="1" w:firstRowLastColumn="0" w:lastRowFirstColumn="0" w:lastRowLastColumn="0"/>
            <w:tcW w:w="904" w:type="pct"/>
            <w:vAlign w:val="center"/>
          </w:tcPr>
          <w:p w:rsidR="00BE03AE" w:rsidRDefault="00BE03AE">
            <w:pPr>
              <w:pStyle w:val="TableColumnHeadingSmall"/>
            </w:pPr>
            <w:r>
              <w:t>Option</w:t>
            </w:r>
          </w:p>
        </w:tc>
        <w:tc>
          <w:tcPr>
            <w:tcW w:w="2184" w:type="pct"/>
            <w:vAlign w:val="center"/>
          </w:tcPr>
          <w:p w:rsidR="00BE03AE" w:rsidRDefault="00BE03AE">
            <w:pPr>
              <w:pStyle w:val="TableColumnHeadingSmall"/>
              <w:cnfStyle w:val="100000000000" w:firstRow="1" w:lastRow="0" w:firstColumn="0" w:lastColumn="0" w:oddVBand="0" w:evenVBand="0" w:oddHBand="0" w:evenHBand="0" w:firstRowFirstColumn="0" w:firstRowLastColumn="0" w:lastRowFirstColumn="0" w:lastRowLastColumn="0"/>
            </w:pPr>
            <w:r>
              <w:t>Description</w:t>
            </w:r>
          </w:p>
        </w:tc>
        <w:tc>
          <w:tcPr>
            <w:tcW w:w="1912" w:type="pct"/>
            <w:vAlign w:val="center"/>
          </w:tcPr>
          <w:p w:rsidR="00BE03AE" w:rsidRDefault="00BE03AE">
            <w:pPr>
              <w:pStyle w:val="TableColumnHeadingSmall"/>
              <w:cnfStyle w:val="100000000000" w:firstRow="1" w:lastRow="0" w:firstColumn="0" w:lastColumn="0" w:oddVBand="0" w:evenVBand="0" w:oddHBand="0" w:evenHBand="0" w:firstRowFirstColumn="0" w:firstRowLastColumn="0" w:lastRowFirstColumn="0" w:lastRowLastColumn="0"/>
            </w:pPr>
            <w:r>
              <w:t>Additional public holidays under the option</w:t>
            </w:r>
          </w:p>
        </w:tc>
      </w:tr>
      <w:tr w:rsidR="00BE03AE" w:rsidTr="00091AF8">
        <w:tc>
          <w:tcPr>
            <w:tcW w:w="904" w:type="pct"/>
            <w:vAlign w:val="center"/>
          </w:tcPr>
          <w:p w:rsidR="00BE03AE" w:rsidRDefault="00BE03AE">
            <w:pPr>
              <w:pStyle w:val="TableTextSmall"/>
              <w:keepNext/>
            </w:pPr>
            <w:r>
              <w:t>Option 1</w:t>
            </w:r>
          </w:p>
        </w:tc>
        <w:tc>
          <w:tcPr>
            <w:tcW w:w="2184" w:type="pct"/>
            <w:vAlign w:val="center"/>
          </w:tcPr>
          <w:p w:rsidR="00BE03AE" w:rsidRDefault="00BE03AE">
            <w:pPr>
              <w:pStyle w:val="TableTextSmall"/>
              <w:keepNext/>
            </w:pPr>
            <w:r>
              <w:rPr>
                <w:lang w:eastAsia="en-AU"/>
              </w:rPr>
              <w:t xml:space="preserve">Easter Sunday and </w:t>
            </w:r>
            <w:r w:rsidR="00307783">
              <w:rPr>
                <w:lang w:eastAsia="en-AU"/>
              </w:rPr>
              <w:t xml:space="preserve">the Friday before the </w:t>
            </w:r>
            <w:r w:rsidR="00F51110">
              <w:rPr>
                <w:lang w:eastAsia="en-AU"/>
              </w:rPr>
              <w:t xml:space="preserve">AFL </w:t>
            </w:r>
            <w:r w:rsidR="00307783">
              <w:rPr>
                <w:lang w:eastAsia="en-AU"/>
              </w:rPr>
              <w:t>Grand Final</w:t>
            </w:r>
            <w:r>
              <w:rPr>
                <w:lang w:eastAsia="en-AU"/>
              </w:rPr>
              <w:t xml:space="preserve"> public holidays</w:t>
            </w:r>
          </w:p>
        </w:tc>
        <w:tc>
          <w:tcPr>
            <w:tcW w:w="1912" w:type="pct"/>
            <w:vAlign w:val="center"/>
          </w:tcPr>
          <w:p w:rsidR="00BE03AE" w:rsidRDefault="00BE03AE">
            <w:pPr>
              <w:pStyle w:val="TableTextSmall"/>
              <w:keepNext/>
            </w:pPr>
            <w:r>
              <w:t>Easter Sunday</w:t>
            </w:r>
          </w:p>
          <w:p w:rsidR="00BE03AE" w:rsidRDefault="00BE03AE">
            <w:pPr>
              <w:pStyle w:val="TableTextSmall"/>
              <w:keepNext/>
            </w:pPr>
            <w:r>
              <w:t>The Friday before the AFL Grand Final</w:t>
            </w:r>
          </w:p>
        </w:tc>
      </w:tr>
      <w:tr w:rsidR="00BE03AE" w:rsidTr="00091AF8">
        <w:tc>
          <w:tcPr>
            <w:tcW w:w="904" w:type="pct"/>
            <w:vAlign w:val="center"/>
          </w:tcPr>
          <w:p w:rsidR="00BE03AE" w:rsidRDefault="00BE03AE">
            <w:pPr>
              <w:pStyle w:val="TableTextSmall"/>
              <w:keepNext/>
            </w:pPr>
            <w:r>
              <w:t>Option 2</w:t>
            </w:r>
          </w:p>
        </w:tc>
        <w:tc>
          <w:tcPr>
            <w:tcW w:w="2184" w:type="pct"/>
            <w:vAlign w:val="center"/>
          </w:tcPr>
          <w:p w:rsidR="00BE03AE" w:rsidRPr="00B417D5" w:rsidRDefault="00BE03AE">
            <w:pPr>
              <w:pStyle w:val="TableTextSmall"/>
              <w:keepNext/>
            </w:pPr>
            <w:r>
              <w:t xml:space="preserve">Easter Sunday and delayed implementation of </w:t>
            </w:r>
            <w:r w:rsidR="00307783">
              <w:t xml:space="preserve">the Friday before the </w:t>
            </w:r>
            <w:r w:rsidR="00F51110">
              <w:t xml:space="preserve">AFL </w:t>
            </w:r>
            <w:r w:rsidR="00307783">
              <w:t>Grand Final</w:t>
            </w:r>
            <w:r>
              <w:t xml:space="preserve"> until 2016</w:t>
            </w:r>
          </w:p>
        </w:tc>
        <w:tc>
          <w:tcPr>
            <w:tcW w:w="1912" w:type="pct"/>
            <w:vAlign w:val="center"/>
          </w:tcPr>
          <w:p w:rsidR="00BE03AE" w:rsidRDefault="00BE03AE">
            <w:pPr>
              <w:pStyle w:val="TableTextSmall"/>
              <w:keepNext/>
            </w:pPr>
            <w:r>
              <w:t>Easter Sunday</w:t>
            </w:r>
          </w:p>
          <w:p w:rsidR="00BE03AE" w:rsidRDefault="00BE03AE">
            <w:pPr>
              <w:pStyle w:val="TableTextSmall"/>
              <w:keepNext/>
            </w:pPr>
            <w:r>
              <w:t>The Friday before the AFL Grand Final (implementation delayed one year)</w:t>
            </w:r>
          </w:p>
        </w:tc>
      </w:tr>
      <w:tr w:rsidR="00BE03AE" w:rsidTr="00091AF8">
        <w:tc>
          <w:tcPr>
            <w:tcW w:w="904" w:type="pct"/>
            <w:vAlign w:val="center"/>
          </w:tcPr>
          <w:p w:rsidR="00BE03AE" w:rsidRDefault="00BE03AE">
            <w:pPr>
              <w:pStyle w:val="TableTextSmall"/>
              <w:keepNext/>
            </w:pPr>
            <w:r>
              <w:t>Option 3</w:t>
            </w:r>
          </w:p>
        </w:tc>
        <w:tc>
          <w:tcPr>
            <w:tcW w:w="2184" w:type="pct"/>
            <w:vAlign w:val="center"/>
          </w:tcPr>
          <w:p w:rsidR="00BE03AE" w:rsidRPr="00BB3E18" w:rsidRDefault="00BE03AE">
            <w:pPr>
              <w:pStyle w:val="TableTextSmall"/>
              <w:keepNext/>
            </w:pPr>
            <w:r w:rsidRPr="00BB3E18">
              <w:t xml:space="preserve">Transfer of public holiday status from the Saturday before Easter Sunday to Easter Sunday, in addition to implementation of a </w:t>
            </w:r>
            <w:r w:rsidR="00307783" w:rsidRPr="00BB3E18">
              <w:t xml:space="preserve">Friday before the </w:t>
            </w:r>
            <w:r w:rsidR="00F51110">
              <w:t xml:space="preserve">AFL </w:t>
            </w:r>
            <w:r w:rsidR="00307783" w:rsidRPr="00BB3E18">
              <w:t>Grand Final</w:t>
            </w:r>
            <w:r w:rsidRPr="00BB3E18">
              <w:t xml:space="preserve"> holiday</w:t>
            </w:r>
          </w:p>
        </w:tc>
        <w:tc>
          <w:tcPr>
            <w:tcW w:w="1912" w:type="pct"/>
            <w:vAlign w:val="center"/>
          </w:tcPr>
          <w:p w:rsidR="00BE03AE" w:rsidRDefault="00BE03AE">
            <w:pPr>
              <w:pStyle w:val="TableTextSmall"/>
              <w:keepNext/>
            </w:pPr>
            <w:r>
              <w:t>Easter Sunday (the Saturday before Easter Sunday loses public holiday status)</w:t>
            </w:r>
          </w:p>
          <w:p w:rsidR="00BE03AE" w:rsidRDefault="00BE03AE">
            <w:pPr>
              <w:pStyle w:val="TableTextSmall"/>
              <w:keepNext/>
            </w:pPr>
            <w:r>
              <w:t>The Friday before the AFL Grand Final</w:t>
            </w:r>
          </w:p>
        </w:tc>
      </w:tr>
    </w:tbl>
    <w:p w:rsidR="005A7D0D" w:rsidRDefault="00BB3E18" w:rsidP="00091AF8">
      <w:pPr>
        <w:pStyle w:val="StylePwCNormalnmajNormalnotetextcvteCNormalnotetext"/>
        <w:tabs>
          <w:tab w:val="clear" w:pos="0"/>
        </w:tabs>
        <w:rPr>
          <w:snapToGrid/>
          <w:lang w:eastAsia="en-AU"/>
        </w:rPr>
      </w:pPr>
      <w:r>
        <w:rPr>
          <w:snapToGrid/>
          <w:lang w:eastAsia="en-AU"/>
        </w:rPr>
        <w:t>Other options initially identified for potential consideration in the analysis include:</w:t>
      </w:r>
    </w:p>
    <w:p w:rsidR="00BB3E18" w:rsidRDefault="00BB3E18" w:rsidP="00091AF8">
      <w:pPr>
        <w:pStyle w:val="ListBullet"/>
        <w:rPr>
          <w:snapToGrid/>
          <w:lang w:eastAsia="en-AU"/>
        </w:rPr>
      </w:pPr>
      <w:r>
        <w:rPr>
          <w:snapToGrid/>
          <w:lang w:eastAsia="en-AU"/>
        </w:rPr>
        <w:t>Introduction of an Easter</w:t>
      </w:r>
      <w:r w:rsidR="002159F4">
        <w:rPr>
          <w:snapToGrid/>
          <w:lang w:eastAsia="en-AU"/>
        </w:rPr>
        <w:t xml:space="preserve"> Sunday public holiday along with a </w:t>
      </w:r>
      <w:r w:rsidR="00B971F6">
        <w:rPr>
          <w:snapToGrid/>
          <w:lang w:eastAsia="en-AU"/>
        </w:rPr>
        <w:t xml:space="preserve">new </w:t>
      </w:r>
      <w:r>
        <w:rPr>
          <w:snapToGrid/>
          <w:lang w:eastAsia="en-AU"/>
        </w:rPr>
        <w:t>public holiday on the Monday before Melbourne Cup Day</w:t>
      </w:r>
    </w:p>
    <w:p w:rsidR="00BB3E18" w:rsidRDefault="00BB3E18" w:rsidP="00091AF8">
      <w:pPr>
        <w:pStyle w:val="ListBullet"/>
        <w:rPr>
          <w:snapToGrid/>
          <w:lang w:eastAsia="en-AU"/>
        </w:rPr>
      </w:pPr>
      <w:r>
        <w:rPr>
          <w:snapToGrid/>
          <w:lang w:eastAsia="en-AU"/>
        </w:rPr>
        <w:t>Implementation of the same public holidays as considered under option 1, but allowing for different observation of the Friday before the AFL Grand Final holiday between metropolitan and regional Victoria (as is the case with Melbourne Cup Day)</w:t>
      </w:r>
    </w:p>
    <w:p w:rsidR="00BB3E18" w:rsidRDefault="00BB3E18" w:rsidP="00091AF8">
      <w:pPr>
        <w:pStyle w:val="ListBullet"/>
        <w:rPr>
          <w:snapToGrid/>
          <w:lang w:eastAsia="en-AU"/>
        </w:rPr>
      </w:pPr>
      <w:r>
        <w:rPr>
          <w:snapToGrid/>
          <w:lang w:eastAsia="en-AU"/>
        </w:rPr>
        <w:t xml:space="preserve">Implementation of the same public holidays as considered under option 1, but removing an existing </w:t>
      </w:r>
      <w:r w:rsidR="002159F4">
        <w:rPr>
          <w:snapToGrid/>
          <w:lang w:eastAsia="en-AU"/>
        </w:rPr>
        <w:t xml:space="preserve">weekday </w:t>
      </w:r>
      <w:r>
        <w:rPr>
          <w:snapToGrid/>
          <w:lang w:eastAsia="en-AU"/>
        </w:rPr>
        <w:t>public holiday from the calendar (such as the Queen’s Birthday holiday).</w:t>
      </w:r>
    </w:p>
    <w:p w:rsidR="00BD7060" w:rsidRDefault="00BD7060" w:rsidP="000D6E9A">
      <w:pPr>
        <w:pStyle w:val="StylePwCNormalnmajNormalnotetextcvteCNormalnotetext2"/>
      </w:pPr>
      <w:r>
        <w:t>These alternatives were excluded from the analysis based on the advice of the Department that they</w:t>
      </w:r>
      <w:r w:rsidR="00214D0A">
        <w:t xml:space="preserve"> w</w:t>
      </w:r>
      <w:r>
        <w:t>ere not in line with the Government’s objectives</w:t>
      </w:r>
      <w:r w:rsidR="00214D0A">
        <w:t>.</w:t>
      </w:r>
    </w:p>
    <w:p w:rsidR="00B5108B" w:rsidRPr="00DB5192" w:rsidRDefault="00B5108B" w:rsidP="00DB5192">
      <w:pPr>
        <w:pStyle w:val="Heading6"/>
      </w:pPr>
      <w:r w:rsidRPr="00AB665E">
        <w:t>The</w:t>
      </w:r>
      <w:r>
        <w:t xml:space="preserve"> </w:t>
      </w:r>
      <w:r w:rsidRPr="00C873BE">
        <w:t>status quo</w:t>
      </w:r>
    </w:p>
    <w:p w:rsidR="00B5108B" w:rsidRDefault="00B5108B" w:rsidP="00B5108B">
      <w:pPr>
        <w:pStyle w:val="StylePwCNormalnmajNormalnotetextcvteCNormalnotetext2"/>
      </w:pPr>
      <w:r>
        <w:rPr>
          <w:snapToGrid/>
          <w:lang w:eastAsia="en-AU"/>
        </w:rPr>
        <w:t>To identify the impacts that may arise from the options considered, there must be a base scenario that the options are compared to. For this RIS, the base scenario is the ‘</w:t>
      </w:r>
      <w:r w:rsidRPr="009405FA">
        <w:rPr>
          <w:i/>
          <w:snapToGrid/>
          <w:lang w:eastAsia="en-AU"/>
        </w:rPr>
        <w:t>status quo</w:t>
      </w:r>
      <w:r>
        <w:rPr>
          <w:snapToGrid/>
          <w:lang w:eastAsia="en-AU"/>
        </w:rPr>
        <w:t xml:space="preserve">’. That is, the current situation with no changes to existing public holidays. </w:t>
      </w:r>
    </w:p>
    <w:p w:rsidR="00B5108B" w:rsidRPr="00674F5D" w:rsidRDefault="00B5108B" w:rsidP="00B5108B">
      <w:pPr>
        <w:pStyle w:val="StylePwCNormalnmajNormalnotetextcvteCNormalnotetext2"/>
      </w:pPr>
      <w:r>
        <w:t xml:space="preserve">Current arrangements in Victoria stipulate that Easter Sunday is treated as a typical Sunday in terms of business trading and applicable penalty rates for employees. The Friday before the AFL Grand Final is treated as a typical trading weekday under current arrangements. A list of existing public holidays in Victoria is provided in </w:t>
      </w:r>
      <w:r>
        <w:rPr>
          <w:snapToGrid/>
          <w:lang w:eastAsia="en-AU"/>
        </w:rPr>
        <w:fldChar w:fldCharType="begin"/>
      </w:r>
      <w:r>
        <w:rPr>
          <w:snapToGrid/>
          <w:lang w:eastAsia="en-AU"/>
        </w:rPr>
        <w:instrText xml:space="preserve"> REF _Ref414451482 \h </w:instrText>
      </w:r>
      <w:r>
        <w:rPr>
          <w:snapToGrid/>
          <w:lang w:eastAsia="en-AU"/>
        </w:rPr>
      </w:r>
      <w:r>
        <w:rPr>
          <w:snapToGrid/>
          <w:lang w:eastAsia="en-AU"/>
        </w:rPr>
        <w:fldChar w:fldCharType="separate"/>
      </w:r>
      <w:r w:rsidR="00250375">
        <w:t xml:space="preserve">Table </w:t>
      </w:r>
      <w:r w:rsidR="00250375">
        <w:rPr>
          <w:noProof/>
        </w:rPr>
        <w:t>4</w:t>
      </w:r>
      <w:r>
        <w:rPr>
          <w:snapToGrid/>
          <w:lang w:eastAsia="en-AU"/>
        </w:rPr>
        <w:fldChar w:fldCharType="end"/>
      </w:r>
      <w:r>
        <w:rPr>
          <w:snapToGrid/>
          <w:lang w:eastAsia="en-AU"/>
        </w:rPr>
        <w:t>.</w:t>
      </w:r>
    </w:p>
    <w:p w:rsidR="00B5108B" w:rsidRDefault="00B5108B" w:rsidP="00B5108B">
      <w:pPr>
        <w:pStyle w:val="StylePwCNormalnmajNormalnotetextcvteCNormalnotetext2"/>
        <w:rPr>
          <w:lang w:eastAsia="en-AU"/>
        </w:rPr>
      </w:pPr>
      <w:r>
        <w:rPr>
          <w:lang w:eastAsia="en-AU"/>
        </w:rPr>
        <w:t xml:space="preserve">Each of the options to follow is assessed against the </w:t>
      </w:r>
      <w:r w:rsidRPr="009405FA">
        <w:rPr>
          <w:i/>
          <w:lang w:eastAsia="en-AU"/>
        </w:rPr>
        <w:t>status quo</w:t>
      </w:r>
      <w:r>
        <w:rPr>
          <w:lang w:eastAsia="en-AU"/>
        </w:rPr>
        <w:t>.</w:t>
      </w:r>
    </w:p>
    <w:p w:rsidR="00B5108B" w:rsidRDefault="00B5108B" w:rsidP="000D6E9A">
      <w:pPr>
        <w:pStyle w:val="StylePwCNormalnmajNormalnotetextcvteCNormalnotetext2"/>
      </w:pPr>
    </w:p>
    <w:p w:rsidR="00BE03AE" w:rsidRDefault="00BE03AE" w:rsidP="00BE03AE">
      <w:pPr>
        <w:pStyle w:val="Heading6"/>
        <w:spacing w:before="0" w:after="40"/>
        <w:rPr>
          <w:snapToGrid/>
          <w:lang w:eastAsia="en-AU"/>
        </w:rPr>
      </w:pPr>
      <w:r>
        <w:rPr>
          <w:snapToGrid/>
          <w:lang w:eastAsia="en-AU"/>
        </w:rPr>
        <w:t>Description of the options to be considered</w:t>
      </w:r>
    </w:p>
    <w:p w:rsidR="00BE03AE" w:rsidRDefault="00BE03AE" w:rsidP="00BE03AE">
      <w:pPr>
        <w:pStyle w:val="Heading7"/>
        <w:spacing w:before="0" w:after="40"/>
        <w:rPr>
          <w:lang w:eastAsia="en-AU"/>
        </w:rPr>
      </w:pPr>
      <w:r>
        <w:rPr>
          <w:lang w:eastAsia="en-AU"/>
        </w:rPr>
        <w:t xml:space="preserve">Option 1: Easter Sunday and </w:t>
      </w:r>
      <w:r w:rsidR="00307783">
        <w:rPr>
          <w:lang w:eastAsia="en-AU"/>
        </w:rPr>
        <w:t xml:space="preserve">the Friday before the </w:t>
      </w:r>
      <w:r w:rsidR="00F51110">
        <w:rPr>
          <w:lang w:eastAsia="en-AU"/>
        </w:rPr>
        <w:t xml:space="preserve">AFL </w:t>
      </w:r>
      <w:r w:rsidR="00307783">
        <w:rPr>
          <w:lang w:eastAsia="en-AU"/>
        </w:rPr>
        <w:t>Grand Final</w:t>
      </w:r>
      <w:r>
        <w:rPr>
          <w:lang w:eastAsia="en-AU"/>
        </w:rPr>
        <w:t xml:space="preserve"> public holidays</w:t>
      </w:r>
    </w:p>
    <w:p w:rsidR="00BE03AE" w:rsidRDefault="00BE03AE" w:rsidP="000D6E9A">
      <w:pPr>
        <w:pStyle w:val="StylePwCNormalnmajNormalnotetextcvteCNormalnotetext2"/>
        <w:rPr>
          <w:lang w:eastAsia="en-AU"/>
        </w:rPr>
      </w:pPr>
      <w:r>
        <w:rPr>
          <w:lang w:eastAsia="en-AU"/>
        </w:rPr>
        <w:t xml:space="preserve">The Victorian Government has </w:t>
      </w:r>
      <w:r w:rsidR="004A52A3">
        <w:rPr>
          <w:lang w:eastAsia="en-AU"/>
        </w:rPr>
        <w:t xml:space="preserve">committed to </w:t>
      </w:r>
      <w:r>
        <w:rPr>
          <w:lang w:eastAsia="en-AU"/>
        </w:rPr>
        <w:t>adding two new public holidays to the Victorian calendar, taking the count from 11 to 13. The two additional public holidays will fall on:</w:t>
      </w:r>
    </w:p>
    <w:p w:rsidR="00BE03AE" w:rsidRDefault="00BE03AE" w:rsidP="00091AF8">
      <w:pPr>
        <w:pStyle w:val="ListBullet"/>
        <w:rPr>
          <w:lang w:eastAsia="en-AU"/>
        </w:rPr>
      </w:pPr>
      <w:r>
        <w:rPr>
          <w:lang w:eastAsia="en-AU"/>
        </w:rPr>
        <w:t>Easter Sunday</w:t>
      </w:r>
    </w:p>
    <w:p w:rsidR="00BE03AE" w:rsidRDefault="00BE03AE" w:rsidP="00091AF8">
      <w:pPr>
        <w:pStyle w:val="ListBullet"/>
        <w:rPr>
          <w:lang w:eastAsia="en-AU"/>
        </w:rPr>
      </w:pPr>
      <w:proofErr w:type="gramStart"/>
      <w:r>
        <w:rPr>
          <w:lang w:eastAsia="en-AU"/>
        </w:rPr>
        <w:t>the</w:t>
      </w:r>
      <w:proofErr w:type="gramEnd"/>
      <w:r>
        <w:rPr>
          <w:lang w:eastAsia="en-AU"/>
        </w:rPr>
        <w:t xml:space="preserve"> Friday before the AFL Grand Final.</w:t>
      </w:r>
    </w:p>
    <w:p w:rsidR="00BE03AE" w:rsidRDefault="00BE03AE" w:rsidP="00BE03AE">
      <w:pPr>
        <w:pStyle w:val="StylePwCNormalnmajNormalnotetextcvteCNormalnotetext"/>
        <w:numPr>
          <w:ilvl w:val="0"/>
          <w:numId w:val="26"/>
        </w:numPr>
        <w:rPr>
          <w:lang w:eastAsia="en-AU"/>
        </w:rPr>
      </w:pPr>
      <w:r>
        <w:rPr>
          <w:lang w:eastAsia="en-AU"/>
        </w:rPr>
        <w:t>These new public holidays are considered to be observed beginning in 2015 for the purposes of this analysis.</w:t>
      </w:r>
    </w:p>
    <w:p w:rsidR="00BE03AE" w:rsidRDefault="00BE03AE" w:rsidP="00BE03AE">
      <w:pPr>
        <w:pStyle w:val="Heading7"/>
        <w:spacing w:before="0" w:after="40"/>
      </w:pPr>
      <w:r>
        <w:t xml:space="preserve">Option 2: Easter Sunday and delayed implementation of </w:t>
      </w:r>
      <w:r w:rsidR="00307783">
        <w:t xml:space="preserve">the Friday before the </w:t>
      </w:r>
      <w:r w:rsidR="00F51110">
        <w:t xml:space="preserve">AFL </w:t>
      </w:r>
      <w:r w:rsidR="00307783">
        <w:t>Grand Final</w:t>
      </w:r>
    </w:p>
    <w:p w:rsidR="00BE03AE" w:rsidRDefault="00BE03AE" w:rsidP="000D6E9A">
      <w:pPr>
        <w:pStyle w:val="StylePwCNormalnmajNormalnotetextcvteCNormalnotetext2"/>
      </w:pPr>
      <w:r>
        <w:t>Option 2 considers the same additional public holidays as option 1</w:t>
      </w:r>
      <w:r w:rsidR="00A72773">
        <w:t>:</w:t>
      </w:r>
      <w:r>
        <w:t xml:space="preserve"> Easter Sunday and the Friday before the AFL Grand Final, but with delayed implementation of the Friday public holiday by one year to 2016. The Easter Sunday holiday would be observed beginning 2015.</w:t>
      </w:r>
    </w:p>
    <w:p w:rsidR="00BE03AE" w:rsidRDefault="00BE03AE" w:rsidP="00BE03AE">
      <w:pPr>
        <w:pStyle w:val="Heading7"/>
        <w:spacing w:before="0" w:after="40"/>
      </w:pPr>
      <w:r w:rsidRPr="00537BBE">
        <w:t xml:space="preserve">Option </w:t>
      </w:r>
      <w:r>
        <w:t>3</w:t>
      </w:r>
      <w:r w:rsidRPr="00537BBE">
        <w:t xml:space="preserve">: Transfer of public holiday status from </w:t>
      </w:r>
      <w:r>
        <w:t>the Saturday before Easter Sunday</w:t>
      </w:r>
      <w:r w:rsidRPr="00537BBE">
        <w:t xml:space="preserve"> to Easter Sunday</w:t>
      </w:r>
      <w:r>
        <w:t xml:space="preserve">, in addition to implementation of </w:t>
      </w:r>
      <w:r w:rsidR="005A5B49">
        <w:t>the</w:t>
      </w:r>
      <w:r>
        <w:t xml:space="preserve"> </w:t>
      </w:r>
      <w:r w:rsidR="00307783">
        <w:t xml:space="preserve">Friday before the </w:t>
      </w:r>
      <w:r w:rsidR="00F51110">
        <w:t xml:space="preserve">AFL </w:t>
      </w:r>
      <w:r w:rsidR="00307783">
        <w:t>Grand Final</w:t>
      </w:r>
      <w:r>
        <w:t xml:space="preserve"> holiday</w:t>
      </w:r>
    </w:p>
    <w:p w:rsidR="00BE03AE" w:rsidRDefault="00BE03AE" w:rsidP="000D6E9A">
      <w:pPr>
        <w:pStyle w:val="StylePwCNormalnmajNormalnotetextcvteCNormalnotetext2"/>
      </w:pPr>
      <w:r>
        <w:t xml:space="preserve">This option considers the implementation of an Easter Sunday public holiday in Victoria and removing the Saturday before Easter Sunday’s public holiday status. It is assumed under this option that the new public holiday for the Friday before the AFL Grand Final is still implemented. </w:t>
      </w:r>
      <w:r>
        <w:rPr>
          <w:lang w:eastAsia="en-AU"/>
        </w:rPr>
        <w:t>The two public holidays will fall on:</w:t>
      </w:r>
    </w:p>
    <w:p w:rsidR="00BE03AE" w:rsidRDefault="00BE03AE" w:rsidP="00091AF8">
      <w:pPr>
        <w:pStyle w:val="ListBullet"/>
        <w:rPr>
          <w:lang w:eastAsia="en-AU"/>
        </w:rPr>
      </w:pPr>
      <w:r>
        <w:rPr>
          <w:lang w:eastAsia="en-AU"/>
        </w:rPr>
        <w:t>Easter Sunday (replacing the current Saturday before Easter Sunday public holiday)</w:t>
      </w:r>
    </w:p>
    <w:p w:rsidR="00BE03AE" w:rsidRDefault="00BE03AE" w:rsidP="00091AF8">
      <w:pPr>
        <w:pStyle w:val="ListBullet"/>
        <w:rPr>
          <w:lang w:eastAsia="en-AU"/>
        </w:rPr>
      </w:pPr>
      <w:proofErr w:type="gramStart"/>
      <w:r>
        <w:rPr>
          <w:lang w:eastAsia="en-AU"/>
        </w:rPr>
        <w:t>the</w:t>
      </w:r>
      <w:proofErr w:type="gramEnd"/>
      <w:r>
        <w:rPr>
          <w:lang w:eastAsia="en-AU"/>
        </w:rPr>
        <w:t xml:space="preserve"> Friday before the AFL Grand Final.</w:t>
      </w:r>
    </w:p>
    <w:p w:rsidR="00BE03AE" w:rsidRDefault="00BE03AE" w:rsidP="00BE03AE">
      <w:pPr>
        <w:pStyle w:val="StylePwCNormalnmajNormalnotetextcvteCNormalnotetext"/>
        <w:numPr>
          <w:ilvl w:val="0"/>
          <w:numId w:val="26"/>
        </w:numPr>
      </w:pPr>
      <w:r>
        <w:t xml:space="preserve">Option 3 thus creates only one additional public holiday in Victoria, taking the total to 12. All other options create two additional public holidays. </w:t>
      </w:r>
    </w:p>
    <w:p w:rsidR="00BE03AE" w:rsidRDefault="00BE03AE" w:rsidP="00BE03AE">
      <w:pPr>
        <w:pStyle w:val="PwCNormal"/>
        <w:numPr>
          <w:ilvl w:val="0"/>
          <w:numId w:val="0"/>
        </w:numPr>
        <w:sectPr w:rsidR="00BE03AE" w:rsidSect="00F81690">
          <w:pgSz w:w="11907" w:h="16840" w:code="9"/>
          <w:pgMar w:top="1588" w:right="1843" w:bottom="1418" w:left="1843" w:header="567" w:footer="567" w:gutter="0"/>
          <w:cols w:space="227"/>
          <w:titlePg/>
          <w:docGrid w:linePitch="360"/>
        </w:sectPr>
      </w:pPr>
    </w:p>
    <w:p w:rsidR="00BE03AE" w:rsidRDefault="00BE03AE" w:rsidP="00BE03AE">
      <w:pPr>
        <w:pStyle w:val="Heading2"/>
      </w:pPr>
      <w:bookmarkStart w:id="32" w:name="_Ref416197125"/>
      <w:bookmarkStart w:id="33" w:name="_Toc416449839"/>
      <w:bookmarkStart w:id="34" w:name="_Toc417244127"/>
      <w:bookmarkStart w:id="35" w:name="_Toc423453466"/>
      <w:r>
        <w:t>Impacts of the considered options</w:t>
      </w:r>
      <w:bookmarkEnd w:id="32"/>
      <w:bookmarkEnd w:id="33"/>
      <w:bookmarkEnd w:id="34"/>
      <w:bookmarkEnd w:id="35"/>
    </w:p>
    <w:p w:rsidR="00BE03AE" w:rsidRDefault="00BE03AE" w:rsidP="00BE03AE">
      <w:pPr>
        <w:pStyle w:val="Heading6"/>
        <w:spacing w:before="0" w:after="40"/>
      </w:pPr>
      <w:r>
        <w:t>Overview</w:t>
      </w:r>
    </w:p>
    <w:p w:rsidR="00BE03AE" w:rsidRPr="00CF35D4" w:rsidRDefault="00BE03AE" w:rsidP="00662090">
      <w:pPr>
        <w:pStyle w:val="StylePwCNormalnmajNormalnotetextcvteCNormalnotetext2"/>
      </w:pPr>
      <w:r>
        <w:t xml:space="preserve">Public holidays generate a range of impacts on the Victorian community and economy. </w:t>
      </w:r>
    </w:p>
    <w:p w:rsidR="00BE03AE" w:rsidRDefault="00BE03AE">
      <w:pPr>
        <w:pStyle w:val="StylePwCNormalnmajNormalnotetextcvteCNormalnotetext2"/>
      </w:pPr>
      <w:r>
        <w:t>An important distinction relates to the nature of the impacts of public holidays. There are two distinct types of impacts:</w:t>
      </w:r>
    </w:p>
    <w:p w:rsidR="00BE03AE" w:rsidRDefault="00BE03AE" w:rsidP="00091AF8">
      <w:pPr>
        <w:pStyle w:val="ListBullet"/>
      </w:pPr>
      <w:r w:rsidRPr="00B663E2">
        <w:rPr>
          <w:b/>
        </w:rPr>
        <w:t>Transfer</w:t>
      </w:r>
      <w:r w:rsidRPr="00CA3E6E">
        <w:rPr>
          <w:b/>
        </w:rPr>
        <w:t>s</w:t>
      </w:r>
      <w:r w:rsidRPr="00E454ED">
        <w:rPr>
          <w:b/>
        </w:rPr>
        <w:t xml:space="preserve"> </w:t>
      </w:r>
      <w:r>
        <w:t xml:space="preserve">relate to the financial transfers from one group to another in the economy, such as the payment of penalty wage rates by employers to employees. These transfers </w:t>
      </w:r>
      <w:r w:rsidR="00CC567F">
        <w:t xml:space="preserve">relate to </w:t>
      </w:r>
      <w:r>
        <w:t>distributional impacts only. In themselves, they have no</w:t>
      </w:r>
      <w:r w:rsidR="00CC567F">
        <w:t xml:space="preserve"> net</w:t>
      </w:r>
      <w:r>
        <w:t xml:space="preserve"> impact </w:t>
      </w:r>
      <w:r w:rsidR="00CC567F">
        <w:t xml:space="preserve">on </w:t>
      </w:r>
      <w:r>
        <w:t>the Victorian economy. While transfer effect</w:t>
      </w:r>
      <w:r w:rsidR="00AB665E">
        <w:t>s are</w:t>
      </w:r>
      <w:r>
        <w:t xml:space="preserve"> relevant for both public holidays, it is most relevant for the Friday before the AFL Grand Final public holiday.</w:t>
      </w:r>
    </w:p>
    <w:p w:rsidR="00BE03AE" w:rsidRDefault="00BE03AE" w:rsidP="00091AF8">
      <w:pPr>
        <w:pStyle w:val="ListBullet"/>
      </w:pPr>
      <w:r w:rsidRPr="00B663E2">
        <w:rPr>
          <w:b/>
        </w:rPr>
        <w:t>Net impacts</w:t>
      </w:r>
      <w:r>
        <w:t xml:space="preserve"> refer to those impacts that have an overall effect on the Victorian community, such as the lost production</w:t>
      </w:r>
      <w:r w:rsidR="00CC567F">
        <w:t>,</w:t>
      </w:r>
      <w:r>
        <w:t xml:space="preserve"> output and economic activity </w:t>
      </w:r>
      <w:r w:rsidR="00CC567F">
        <w:t xml:space="preserve">given </w:t>
      </w:r>
      <w:r>
        <w:t xml:space="preserve">there </w:t>
      </w:r>
      <w:r w:rsidR="00CC567F">
        <w:t xml:space="preserve">would be </w:t>
      </w:r>
      <w:r>
        <w:t>fewer working days in a year. This is particularly relevant for the proposed public holiday on the Friday before the AFL Grand Final as more employers would normally operate on a Friday compared with Easter Sunday</w:t>
      </w:r>
      <w:r w:rsidR="00CC567F">
        <w:t>.</w:t>
      </w:r>
    </w:p>
    <w:p w:rsidR="00BE03AE" w:rsidRPr="00CF35D4" w:rsidRDefault="00BE03AE" w:rsidP="00C56D87">
      <w:pPr>
        <w:pStyle w:val="StylePwCNormalnmajNormalnotetextcvteCNormalnotetext2"/>
      </w:pPr>
      <w:r>
        <w:t xml:space="preserve">An overview of the potential impacts considered in this report is shown in </w:t>
      </w:r>
      <w:r>
        <w:fldChar w:fldCharType="begin"/>
      </w:r>
      <w:r>
        <w:instrText xml:space="preserve"> REF _Ref416774317 \h </w:instrText>
      </w:r>
      <w:r>
        <w:fldChar w:fldCharType="separate"/>
      </w:r>
      <w:r w:rsidR="00250375">
        <w:t xml:space="preserve">Figure </w:t>
      </w:r>
      <w:r w:rsidR="00250375">
        <w:rPr>
          <w:noProof/>
        </w:rPr>
        <w:t>2</w:t>
      </w:r>
      <w:r>
        <w:fldChar w:fldCharType="end"/>
      </w:r>
      <w:r>
        <w:t>.</w:t>
      </w:r>
      <w:r w:rsidRPr="00CF35D4">
        <w:t xml:space="preserve"> </w:t>
      </w:r>
      <w:r>
        <w:t xml:space="preserve">The </w:t>
      </w:r>
      <w:r w:rsidR="009405FA">
        <w:t xml:space="preserve">following </w:t>
      </w:r>
      <w:r>
        <w:t xml:space="preserve">sections </w:t>
      </w:r>
      <w:r w:rsidR="009405FA">
        <w:t xml:space="preserve">outline </w:t>
      </w:r>
      <w:r>
        <w:t>these impacts.</w:t>
      </w:r>
      <w:r w:rsidRPr="00CF35D4">
        <w:t xml:space="preserve"> </w:t>
      </w:r>
    </w:p>
    <w:p w:rsidR="00BE03AE" w:rsidRDefault="00BE03AE" w:rsidP="00BE03AE">
      <w:pPr>
        <w:pStyle w:val="Caption"/>
      </w:pPr>
      <w:bookmarkStart w:id="36" w:name="_Ref416774317"/>
      <w:r>
        <w:t xml:space="preserve">Figure </w:t>
      </w:r>
      <w:r w:rsidR="00663565">
        <w:fldChar w:fldCharType="begin"/>
      </w:r>
      <w:r w:rsidR="00663565">
        <w:instrText xml:space="preserve"> SEQ Figure \* ARABIC </w:instrText>
      </w:r>
      <w:r w:rsidR="00663565">
        <w:fldChar w:fldCharType="separate"/>
      </w:r>
      <w:r w:rsidR="00250375">
        <w:rPr>
          <w:noProof/>
        </w:rPr>
        <w:t>2</w:t>
      </w:r>
      <w:r w:rsidR="00663565">
        <w:rPr>
          <w:noProof/>
        </w:rPr>
        <w:fldChar w:fldCharType="end"/>
      </w:r>
      <w:bookmarkEnd w:id="36"/>
      <w:r>
        <w:t xml:space="preserve">: </w:t>
      </w:r>
      <w:r w:rsidRPr="001C5A24">
        <w:t>The potential impacts of changes to public holidays</w:t>
      </w:r>
    </w:p>
    <w:p w:rsidR="00BE03AE" w:rsidRDefault="00DC0427" w:rsidP="00C34848">
      <w:pPr>
        <w:pStyle w:val="Sources"/>
      </w:pPr>
      <w:r>
        <w:rPr>
          <w:noProof/>
          <w:snapToGrid/>
          <w:lang w:eastAsia="en-AU"/>
        </w:rPr>
        <w:drawing>
          <wp:inline distT="0" distB="0" distL="0" distR="0" wp14:anchorId="6A5D3E4E" wp14:editId="162C2FCC">
            <wp:extent cx="5325646" cy="3743325"/>
            <wp:effectExtent l="0" t="0" r="8890" b="0"/>
            <wp:docPr id="135" name="Picture 135" descr="The figure outlines the various impacts of public holidays, split by those impacts that are transfers and those impacts that are net effects. The transfer impacts are the additional wages paid by some employers and the addtional wages received by some employees.  The net impacts are the social and community benefits, tourism and sport, and reduced economic activity. Please refer to the two bullet points immediately above for discussion of the potential impacts of the options. These potential impacts are further described in Chapter 4." title="Potential impacts of th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1313" cy="3747308"/>
                    </a:xfrm>
                    <a:prstGeom prst="rect">
                      <a:avLst/>
                    </a:prstGeom>
                    <a:noFill/>
                  </pic:spPr>
                </pic:pic>
              </a:graphicData>
            </a:graphic>
          </wp:inline>
        </w:drawing>
      </w:r>
      <w:r w:rsidR="0078042A">
        <w:t>Source: PwC</w:t>
      </w:r>
      <w:r w:rsidR="00BE03AE" w:rsidRPr="007C0A83">
        <w:t xml:space="preserve"> </w:t>
      </w:r>
    </w:p>
    <w:p w:rsidR="00BE03AE" w:rsidRDefault="00BE03AE" w:rsidP="00BE03AE">
      <w:pPr>
        <w:pStyle w:val="StylePwCNormalnmajNormalnotetextcvteCNormalnotetext"/>
        <w:numPr>
          <w:ilvl w:val="0"/>
          <w:numId w:val="26"/>
        </w:numPr>
      </w:pPr>
    </w:p>
    <w:p w:rsidR="00BE03AE" w:rsidRDefault="00BE03AE" w:rsidP="00BE03AE">
      <w:pPr>
        <w:pStyle w:val="Heading6"/>
        <w:spacing w:before="0" w:after="40"/>
      </w:pPr>
      <w:r>
        <w:t xml:space="preserve">Our approach </w:t>
      </w:r>
      <w:r w:rsidR="00980E72">
        <w:t xml:space="preserve">to </w:t>
      </w:r>
      <w:r>
        <w:t>measuring the impacts</w:t>
      </w:r>
    </w:p>
    <w:p w:rsidR="00B31431" w:rsidRDefault="00B31431" w:rsidP="00BE03AE">
      <w:pPr>
        <w:pStyle w:val="StylePwCNormalnmajNormalnotetextcvteCNormalnotetext"/>
        <w:numPr>
          <w:ilvl w:val="0"/>
          <w:numId w:val="26"/>
        </w:numPr>
      </w:pPr>
      <w:r>
        <w:t xml:space="preserve">The modelling approach adopted in this RIS </w:t>
      </w:r>
      <w:r w:rsidR="00690BF1">
        <w:t xml:space="preserve">to </w:t>
      </w:r>
      <w:r>
        <w:t>measur</w:t>
      </w:r>
      <w:r w:rsidR="00690BF1">
        <w:t>e</w:t>
      </w:r>
      <w:r>
        <w:t xml:space="preserve"> the impacts of additional public holidays </w:t>
      </w:r>
      <w:r w:rsidR="00690BF1">
        <w:t xml:space="preserve">is </w:t>
      </w:r>
      <w:r>
        <w:t xml:space="preserve">outlined in </w:t>
      </w:r>
      <w:r w:rsidR="006E3ACA">
        <w:fldChar w:fldCharType="begin"/>
      </w:r>
      <w:r w:rsidR="006E3ACA">
        <w:instrText xml:space="preserve"> REF _Ref417471322 \h </w:instrText>
      </w:r>
      <w:r w:rsidR="006E3ACA">
        <w:fldChar w:fldCharType="separate"/>
      </w:r>
      <w:r w:rsidR="00250375">
        <w:t xml:space="preserve">Figure </w:t>
      </w:r>
      <w:r w:rsidR="00250375">
        <w:rPr>
          <w:noProof/>
        </w:rPr>
        <w:t>3</w:t>
      </w:r>
      <w:r w:rsidR="006E3ACA">
        <w:fldChar w:fldCharType="end"/>
      </w:r>
      <w:r w:rsidR="00F622D2">
        <w:t>.</w:t>
      </w:r>
      <w:r w:rsidR="006E3ACA">
        <w:t xml:space="preserve"> </w:t>
      </w:r>
      <w:r w:rsidR="00F622D2">
        <w:t xml:space="preserve">It </w:t>
      </w:r>
      <w:r w:rsidR="006E3ACA">
        <w:t xml:space="preserve">provides an example related to measuring the impacts of </w:t>
      </w:r>
      <w:r w:rsidR="00307783">
        <w:t xml:space="preserve">the Friday before the </w:t>
      </w:r>
      <w:r w:rsidR="00F51110">
        <w:t xml:space="preserve">AFL </w:t>
      </w:r>
      <w:r w:rsidR="00307783">
        <w:t>Grand Final</w:t>
      </w:r>
      <w:r w:rsidR="00F622D2">
        <w:t xml:space="preserve"> public holiday</w:t>
      </w:r>
      <w:r w:rsidR="006E3ACA">
        <w:t xml:space="preserve">. </w:t>
      </w:r>
    </w:p>
    <w:p w:rsidR="00B31431" w:rsidRDefault="00B31431" w:rsidP="004B6C63">
      <w:pPr>
        <w:pStyle w:val="Caption"/>
      </w:pPr>
      <w:bookmarkStart w:id="37" w:name="_Ref417471322"/>
      <w:r>
        <w:t xml:space="preserve">Figure </w:t>
      </w:r>
      <w:r w:rsidR="00663565">
        <w:fldChar w:fldCharType="begin"/>
      </w:r>
      <w:r w:rsidR="00663565">
        <w:instrText xml:space="preserve"> SEQ Figure \* ARABIC </w:instrText>
      </w:r>
      <w:r w:rsidR="00663565">
        <w:fldChar w:fldCharType="separate"/>
      </w:r>
      <w:r w:rsidR="00250375">
        <w:rPr>
          <w:noProof/>
        </w:rPr>
        <w:t>3</w:t>
      </w:r>
      <w:r w:rsidR="00663565">
        <w:rPr>
          <w:noProof/>
        </w:rPr>
        <w:fldChar w:fldCharType="end"/>
      </w:r>
      <w:bookmarkEnd w:id="37"/>
      <w:r>
        <w:t>: Modelling approach adopted</w:t>
      </w:r>
      <w:r w:rsidR="006E3ACA">
        <w:t xml:space="preserve"> in this RIS</w:t>
      </w:r>
    </w:p>
    <w:p w:rsidR="00B31431" w:rsidRDefault="00D43B1F" w:rsidP="00C34848">
      <w:pPr>
        <w:pStyle w:val="Sources"/>
      </w:pPr>
      <w:r>
        <w:rPr>
          <w:noProof/>
          <w:snapToGrid/>
          <w:lang w:eastAsia="en-AU"/>
        </w:rPr>
        <w:drawing>
          <wp:inline distT="0" distB="0" distL="0" distR="0" wp14:anchorId="38326972" wp14:editId="01040712">
            <wp:extent cx="5413437" cy="2595257"/>
            <wp:effectExtent l="0" t="0" r="0" b="0"/>
            <wp:docPr id="136" name="Picture 136" descr="This figure describes the modelling aproach adopted in this RIS to measure the impacts of the Friday before the AFL Grand Final public holiday. More information on these impacts is provided in the text immediately below the diagram. A detailed description of this approach can be found in Appendix A: Methodology." title="Modelling approach adopted in this 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17458" cy="2597185"/>
                    </a:xfrm>
                    <a:prstGeom prst="rect">
                      <a:avLst/>
                    </a:prstGeom>
                    <a:noFill/>
                  </pic:spPr>
                </pic:pic>
              </a:graphicData>
            </a:graphic>
          </wp:inline>
        </w:drawing>
      </w:r>
      <w:r w:rsidR="0078042A">
        <w:t>Source: PwC</w:t>
      </w:r>
    </w:p>
    <w:p w:rsidR="006E3ACA" w:rsidRDefault="006E3ACA" w:rsidP="004B6C63">
      <w:pPr>
        <w:pStyle w:val="StylePwCNormalnmajNormalnotetextcvteCNormalnotetext"/>
        <w:numPr>
          <w:ilvl w:val="0"/>
          <w:numId w:val="26"/>
        </w:numPr>
      </w:pPr>
      <w:r>
        <w:t xml:space="preserve">As shown in </w:t>
      </w:r>
      <w:r>
        <w:fldChar w:fldCharType="begin"/>
      </w:r>
      <w:r>
        <w:instrText xml:space="preserve"> REF _Ref417471322 \h </w:instrText>
      </w:r>
      <w:r>
        <w:fldChar w:fldCharType="separate"/>
      </w:r>
      <w:r w:rsidR="00250375">
        <w:t xml:space="preserve">Figure </w:t>
      </w:r>
      <w:r w:rsidR="00250375">
        <w:rPr>
          <w:noProof/>
        </w:rPr>
        <w:t>3</w:t>
      </w:r>
      <w:r>
        <w:fldChar w:fldCharType="end"/>
      </w:r>
      <w:r>
        <w:t>, there are several impacts to consider in relation to an additional public holiday:</w:t>
      </w:r>
    </w:p>
    <w:p w:rsidR="006E3ACA" w:rsidRDefault="006E3ACA" w:rsidP="006566AE">
      <w:pPr>
        <w:pStyle w:val="ListBullet"/>
      </w:pPr>
      <w:proofErr w:type="gramStart"/>
      <w:r>
        <w:t>foregone</w:t>
      </w:r>
      <w:proofErr w:type="gramEnd"/>
      <w:r>
        <w:t xml:space="preserve"> production due to businesses and other employers not operating results in net economic </w:t>
      </w:r>
      <w:r w:rsidR="009A560C">
        <w:t>costs</w:t>
      </w:r>
      <w:r>
        <w:t xml:space="preserve"> for Victoria</w:t>
      </w:r>
      <w:r w:rsidR="00FB3A70">
        <w:t>. This results in reduced employment for some casuals who would otherwise have worked on the day</w:t>
      </w:r>
    </w:p>
    <w:p w:rsidR="006E3ACA" w:rsidRDefault="006E3ACA" w:rsidP="006566AE">
      <w:pPr>
        <w:pStyle w:val="ListBullet"/>
      </w:pPr>
      <w:r>
        <w:t>a portion of production is preserved due to:</w:t>
      </w:r>
    </w:p>
    <w:p w:rsidR="006E3ACA" w:rsidRDefault="006E3ACA" w:rsidP="006566AE">
      <w:pPr>
        <w:pStyle w:val="ListBullet2"/>
      </w:pPr>
      <w:r>
        <w:t xml:space="preserve">some employers remaining open on the day </w:t>
      </w:r>
    </w:p>
    <w:p w:rsidR="006E3ACA" w:rsidRDefault="006E3ACA" w:rsidP="006566AE">
      <w:pPr>
        <w:pStyle w:val="ListBullet2"/>
      </w:pPr>
      <w:r>
        <w:t xml:space="preserve">some employers that close </w:t>
      </w:r>
      <w:r w:rsidR="00690BF1">
        <w:t xml:space="preserve">are able to </w:t>
      </w:r>
      <w:r>
        <w:t xml:space="preserve">‘smooth’ production across other days of the year to </w:t>
      </w:r>
      <w:r w:rsidR="00690BF1">
        <w:t xml:space="preserve">partly offset </w:t>
      </w:r>
      <w:r>
        <w:t xml:space="preserve">the lost production </w:t>
      </w:r>
      <w:r w:rsidR="00690BF1">
        <w:t>from the public holiday</w:t>
      </w:r>
      <w:r w:rsidR="00E80DB9">
        <w:t>,</w:t>
      </w:r>
      <w:r w:rsidR="009A560C">
        <w:t xml:space="preserve"> </w:t>
      </w:r>
      <w:r w:rsidR="00C64744">
        <w:t>mean</w:t>
      </w:r>
      <w:r w:rsidR="00E80DB9">
        <w:t>ing</w:t>
      </w:r>
      <w:r w:rsidR="00C64744">
        <w:t xml:space="preserve"> that some employees will work more on other days to make up for the additional public holiday</w:t>
      </w:r>
    </w:p>
    <w:p w:rsidR="006E3ACA" w:rsidRDefault="006E3ACA">
      <w:pPr>
        <w:pStyle w:val="ListBullet"/>
      </w:pPr>
      <w:r>
        <w:t xml:space="preserve">for those employers that remain open, </w:t>
      </w:r>
      <w:r w:rsidR="00307783">
        <w:t>they will incur increased wage costs due</w:t>
      </w:r>
      <w:r>
        <w:t xml:space="preserve"> to public holiday penalty rates</w:t>
      </w:r>
    </w:p>
    <w:p w:rsidR="006E3ACA" w:rsidRDefault="006E3ACA">
      <w:pPr>
        <w:pStyle w:val="ListBullet"/>
      </w:pPr>
      <w:r>
        <w:t>some employers that remain open are expected to lower the level of employment on the day relative to a normal trading day, resulting in reduced employment overall</w:t>
      </w:r>
      <w:r w:rsidR="0044050F">
        <w:t xml:space="preserve"> (and reduced earnings for some casuals)</w:t>
      </w:r>
      <w:r w:rsidR="005422C9">
        <w:t xml:space="preserve">, although </w:t>
      </w:r>
      <w:r w:rsidR="00D57428">
        <w:t>it is</w:t>
      </w:r>
      <w:r w:rsidR="005422C9">
        <w:t xml:space="preserve"> assumed that their sales and output on the day remain unchanged (for example, due to owners of small businesses working those days themselves, rather than using employees on the public holiday).</w:t>
      </w:r>
    </w:p>
    <w:p w:rsidR="00BE03AE" w:rsidRDefault="00BE03AE" w:rsidP="004B6C63">
      <w:pPr>
        <w:pStyle w:val="StylePwCNormalnmajNormalnotetextcvteCNormalnotetext"/>
        <w:numPr>
          <w:ilvl w:val="0"/>
          <w:numId w:val="26"/>
        </w:numPr>
      </w:pPr>
      <w:r>
        <w:t>The approach adopted in this report is to first consider the transfers associated with additional wages. We then consider the net impacts, which include social and community benefits associated with additional leisure time and impacts on Victoria’s tourism and sporting culture. Finally, the net impacts resulting from reduced economic activity are assessed.</w:t>
      </w:r>
    </w:p>
    <w:p w:rsidR="00080A5D" w:rsidRDefault="000B469B" w:rsidP="00080A5D">
      <w:pPr>
        <w:pStyle w:val="StylePwCNormalnmajNormalnotetextcvteCNormalnotetext2"/>
      </w:pPr>
      <w:r>
        <w:t>A</w:t>
      </w:r>
      <w:r w:rsidR="00080A5D">
        <w:t>ll figures presented are in 201</w:t>
      </w:r>
      <w:r>
        <w:t>5</w:t>
      </w:r>
      <w:r w:rsidR="00080A5D">
        <w:t xml:space="preserve"> Australian dollars.</w:t>
      </w:r>
    </w:p>
    <w:p w:rsidR="00B32C44" w:rsidRDefault="00B32C44" w:rsidP="00080A5D">
      <w:pPr>
        <w:pStyle w:val="StylePwCNormalnmajNormalnotetextcvteCNormalnotetext2"/>
      </w:pPr>
      <w:r>
        <w:t>Appendix A provides details of the methodology.</w:t>
      </w:r>
    </w:p>
    <w:p w:rsidR="00BE03AE" w:rsidRDefault="00BE03AE" w:rsidP="00BE03AE">
      <w:pPr>
        <w:pStyle w:val="Heading6"/>
        <w:spacing w:before="0" w:after="40"/>
      </w:pPr>
      <w:r>
        <w:t>Transfer impacts – additional wages due to public holiday penalty rates</w:t>
      </w:r>
    </w:p>
    <w:p w:rsidR="00BE03AE" w:rsidRPr="000C158B" w:rsidRDefault="00BE03AE" w:rsidP="00BE03AE">
      <w:pPr>
        <w:pStyle w:val="Heading7"/>
        <w:spacing w:before="0" w:after="40"/>
      </w:pPr>
      <w:r>
        <w:t>Overview</w:t>
      </w:r>
    </w:p>
    <w:p w:rsidR="00BE03AE" w:rsidRDefault="00BE03AE" w:rsidP="006A31A0">
      <w:pPr>
        <w:pStyle w:val="StylePwCNormalnmajNormalnotetextcvteCNormalnotetext2"/>
      </w:pPr>
      <w:r>
        <w:t xml:space="preserve">We have examined the impact of additional wage transfers due to public holiday penalty rates. </w:t>
      </w:r>
      <w:r>
        <w:fldChar w:fldCharType="begin"/>
      </w:r>
      <w:r>
        <w:instrText xml:space="preserve"> REF _Ref417306623 \n \h </w:instrText>
      </w:r>
      <w:r>
        <w:fldChar w:fldCharType="separate"/>
      </w:r>
      <w:r w:rsidR="00250375">
        <w:t>Appendix B</w:t>
      </w:r>
      <w:r>
        <w:fldChar w:fldCharType="end"/>
      </w:r>
      <w:r>
        <w:t xml:space="preserve"> provides additional background information on the nature of these transfers and how they emerge. </w:t>
      </w:r>
    </w:p>
    <w:p w:rsidR="00571BE1" w:rsidRDefault="00571BE1" w:rsidP="00571BE1">
      <w:pPr>
        <w:pStyle w:val="StylePwCNormalnmajNormalnotetextcvteCNormalnotetext2"/>
      </w:pPr>
      <w:r>
        <w:t>Many stakeholders</w:t>
      </w:r>
      <w:r w:rsidR="00894E29">
        <w:t xml:space="preserve"> </w:t>
      </w:r>
      <w:r>
        <w:t xml:space="preserve">tend to focus on the higher wages that employees would receive as a result of working on a public holiday – that is, the focus is on </w:t>
      </w:r>
      <w:r w:rsidR="001F0507">
        <w:t xml:space="preserve">the impact of </w:t>
      </w:r>
      <w:r>
        <w:t xml:space="preserve">penalty rates.  In economic terms, these impacts are transfers where the increase in wages for employees is </w:t>
      </w:r>
      <w:r w:rsidR="001F0507">
        <w:t xml:space="preserve">broadly </w:t>
      </w:r>
      <w:r>
        <w:t xml:space="preserve">matched by an increase in the costs to employers.  </w:t>
      </w:r>
    </w:p>
    <w:p w:rsidR="00BE03AE" w:rsidRDefault="00BE03AE" w:rsidP="00091AF8">
      <w:pPr>
        <w:pStyle w:val="StylePwCNormalnmajNormalnotetextcvteCNormalnotetext2"/>
      </w:pPr>
      <w:r>
        <w:t xml:space="preserve">Given that the first stated objective of the </w:t>
      </w:r>
      <w:r w:rsidR="005E000E">
        <w:t>G</w:t>
      </w:r>
      <w:r>
        <w:t>overnment in relation to this proposal is</w:t>
      </w:r>
      <w:r w:rsidR="005E000E">
        <w:t xml:space="preserve"> to</w:t>
      </w:r>
      <w:r>
        <w:t xml:space="preserve"> ‘provide fair pay to those working on Easter Sunday’ and the readers’ expectations for this analysis, this RIS discusses first the distributional impacts of the options, followed by the overall economic impacts of the options on Victoria.</w:t>
      </w:r>
    </w:p>
    <w:p w:rsidR="00BE03AE" w:rsidRDefault="00BE03AE" w:rsidP="00BE03AE">
      <w:pPr>
        <w:pStyle w:val="Heading7"/>
        <w:spacing w:before="0" w:after="40"/>
      </w:pPr>
      <w:r>
        <w:t>Transfer impacts of the options</w:t>
      </w:r>
    </w:p>
    <w:p w:rsidR="00BE03AE" w:rsidRDefault="00BE03AE" w:rsidP="000D6E9A">
      <w:pPr>
        <w:pStyle w:val="StylePwCNormalnmajNormalnotetextcvteCNormalnotetext2"/>
      </w:pPr>
      <w:r>
        <w:t>The wage transfer impacts of each option have been estimated using ABS data on:</w:t>
      </w:r>
    </w:p>
    <w:p w:rsidR="00BE03AE" w:rsidRDefault="00BE03AE" w:rsidP="00091AF8">
      <w:pPr>
        <w:pStyle w:val="ListBullet"/>
      </w:pPr>
      <w:r>
        <w:t xml:space="preserve">average weekly earnings by industry in Australia </w:t>
      </w:r>
    </w:p>
    <w:p w:rsidR="00BE03AE" w:rsidRDefault="00BE03AE" w:rsidP="00091AF8">
      <w:pPr>
        <w:pStyle w:val="ListBullet"/>
      </w:pPr>
      <w:r>
        <w:t>employment by industry in Victoria</w:t>
      </w:r>
    </w:p>
    <w:p w:rsidR="00BE03AE" w:rsidRDefault="00BE03AE" w:rsidP="00091AF8">
      <w:pPr>
        <w:pStyle w:val="ListBullet"/>
      </w:pPr>
      <w:proofErr w:type="gramStart"/>
      <w:r>
        <w:t>applicable</w:t>
      </w:r>
      <w:proofErr w:type="gramEnd"/>
      <w:r>
        <w:t xml:space="preserve"> penalty rates by industry in Australia. </w:t>
      </w:r>
    </w:p>
    <w:p w:rsidR="00BE03AE" w:rsidRDefault="00BE03AE" w:rsidP="00091AF8">
      <w:pPr>
        <w:pStyle w:val="StylePwCNormalnmajNormalnotetextcvteCNormalnotetext2"/>
      </w:pPr>
      <w:r>
        <w:t xml:space="preserve">These wage transfer impacts would largely be felt in industries where employers </w:t>
      </w:r>
      <w:r w:rsidR="009405FA">
        <w:t xml:space="preserve">already </w:t>
      </w:r>
      <w:r>
        <w:t xml:space="preserve">operate on public holidays, such as health services, retail, accommodation and restaurant and catering services, among others. For employers that do not operate on public holidays there is no wage transfer impact as their employees would not earn public holiday penalty rates. </w:t>
      </w:r>
    </w:p>
    <w:p w:rsidR="002960BE" w:rsidRDefault="002960BE" w:rsidP="00091AF8">
      <w:pPr>
        <w:pStyle w:val="StylePwCNormalnmajNormalnotetextcvteCNormalnotetext2"/>
      </w:pPr>
      <w:r>
        <w:t>It is acknowledged that different employers will be affected by public holiday penalty rates differently. For example, in cases where employers choose to remain open, some (such as those in the hospitality industry) may be able to pass</w:t>
      </w:r>
      <w:r w:rsidR="00B971F6">
        <w:t xml:space="preserve"> on a portion of</w:t>
      </w:r>
      <w:r>
        <w:t xml:space="preserve"> the costs of penalty rates to customers through surcharges. </w:t>
      </w:r>
    </w:p>
    <w:p w:rsidR="00BE03AE" w:rsidRDefault="00BE03AE" w:rsidP="006A31A0">
      <w:pPr>
        <w:pStyle w:val="StylePwCNormalnmajNormalnotetextcvteCNormalnotetext2"/>
      </w:pPr>
      <w:r>
        <w:t xml:space="preserve">The estimated wage transfers under each option are provided in </w:t>
      </w:r>
      <w:r>
        <w:fldChar w:fldCharType="begin"/>
      </w:r>
      <w:r>
        <w:instrText xml:space="preserve"> REF _Ref416423240 \h </w:instrText>
      </w:r>
      <w:r>
        <w:fldChar w:fldCharType="separate"/>
      </w:r>
      <w:r w:rsidR="00250375">
        <w:t xml:space="preserve">Table </w:t>
      </w:r>
      <w:r w:rsidR="00250375">
        <w:rPr>
          <w:noProof/>
        </w:rPr>
        <w:t>8</w:t>
      </w:r>
      <w:r>
        <w:fldChar w:fldCharType="end"/>
      </w:r>
      <w:r>
        <w:t xml:space="preserve">. The methodology employed to estimate these transfers is provided in </w:t>
      </w:r>
      <w:r>
        <w:fldChar w:fldCharType="begin"/>
      </w:r>
      <w:r>
        <w:instrText xml:space="preserve"> REF _Ref417306653 \n \h </w:instrText>
      </w:r>
      <w:r>
        <w:fldChar w:fldCharType="separate"/>
      </w:r>
      <w:r w:rsidR="00250375">
        <w:t>Appendix A</w:t>
      </w:r>
      <w:r>
        <w:fldChar w:fldCharType="end"/>
      </w:r>
      <w:r>
        <w:t xml:space="preserve">. </w:t>
      </w:r>
      <w:r w:rsidR="00977AF3">
        <w:t>Sensitivity analysis has been undertaken to account for uncertainty around several of the key assumptions. From this, low and high estimates of each impact are modelled.</w:t>
      </w:r>
    </w:p>
    <w:p w:rsidR="00885488" w:rsidRDefault="00885488" w:rsidP="00091AF8">
      <w:pPr>
        <w:pStyle w:val="StylePwCNormalnmajNormalnotetextcvteCNormalnotetext2"/>
      </w:pPr>
      <w:r>
        <w:t>The business and employee representatives consulted as part of preparing this RIS indicated that some businesses may implement arrangements to partly offset the wage cost increases resulting from the application of penalty rates.</w:t>
      </w:r>
      <w:r w:rsidR="00A72773">
        <w:t xml:space="preserve"> For example:</w:t>
      </w:r>
    </w:p>
    <w:p w:rsidR="00885488" w:rsidRDefault="00885488" w:rsidP="00C076DA">
      <w:pPr>
        <w:pStyle w:val="ListBullet"/>
      </w:pPr>
      <w:r>
        <w:t>The Australian Retailers Association advised that businesses may seek to employ a greater share of junior employees on those days.</w:t>
      </w:r>
    </w:p>
    <w:p w:rsidR="00885488" w:rsidRDefault="00885488" w:rsidP="00F60380">
      <w:pPr>
        <w:pStyle w:val="ListBullet"/>
      </w:pPr>
      <w:r>
        <w:t>A small business in the hospitality sector indicated that it may shift its non-critical activities such as cleaning and preparation tasks to the following day in order to reduce its staff hours on the public holiday.</w:t>
      </w:r>
    </w:p>
    <w:p w:rsidR="00885488" w:rsidRDefault="00885488" w:rsidP="00F60380">
      <w:pPr>
        <w:pStyle w:val="ListBullet"/>
      </w:pPr>
      <w:r>
        <w:t>The Australian Nursing and Midwifery Federation commented that some organisations in the sector tended to operate on ‘skeleton staffing’ levels on public holidays to partly offset the higher wage costs associated with these days.</w:t>
      </w:r>
    </w:p>
    <w:p w:rsidR="00885488" w:rsidRDefault="00885488" w:rsidP="000D6E9A">
      <w:pPr>
        <w:pStyle w:val="StylePwCNormalnmajNormalnotetextcvteCNormalnotetext2"/>
      </w:pPr>
      <w:r>
        <w:t>We have applied an adjustment to the model to account for these expected ‘efficiency’ effects.</w:t>
      </w:r>
      <w:r w:rsidR="00997FB6">
        <w:t xml:space="preserve"> Appendix A </w:t>
      </w:r>
      <w:r w:rsidR="00D606D9">
        <w:t>outlines the</w:t>
      </w:r>
      <w:r w:rsidR="00997FB6">
        <w:t xml:space="preserve"> adjustments</w:t>
      </w:r>
      <w:r w:rsidR="00D606D9">
        <w:t xml:space="preserve"> that have been applied.</w:t>
      </w:r>
    </w:p>
    <w:p w:rsidR="00BE03AE" w:rsidRDefault="00BE03AE" w:rsidP="00BE03AE">
      <w:pPr>
        <w:pStyle w:val="Minorheading2"/>
      </w:pPr>
      <w:bookmarkStart w:id="38" w:name="_Ref416423240"/>
      <w:r>
        <w:t xml:space="preserve">Table </w:t>
      </w:r>
      <w:r w:rsidR="00663565">
        <w:fldChar w:fldCharType="begin"/>
      </w:r>
      <w:r w:rsidR="00663565">
        <w:instrText xml:space="preserve"> SEQ Table \* ARABIC </w:instrText>
      </w:r>
      <w:r w:rsidR="00663565">
        <w:fldChar w:fldCharType="separate"/>
      </w:r>
      <w:r w:rsidR="00250375">
        <w:rPr>
          <w:noProof/>
        </w:rPr>
        <w:t>8</w:t>
      </w:r>
      <w:r w:rsidR="00663565">
        <w:rPr>
          <w:noProof/>
        </w:rPr>
        <w:fldChar w:fldCharType="end"/>
      </w:r>
      <w:bookmarkEnd w:id="38"/>
      <w:r>
        <w:t>: Estimated transfer impacts of the options</w:t>
      </w:r>
      <w:r w:rsidR="0044050F">
        <w:rPr>
          <w:rStyle w:val="FootnoteReference"/>
        </w:rPr>
        <w:footnoteReference w:id="7"/>
      </w:r>
    </w:p>
    <w:tbl>
      <w:tblPr>
        <w:tblStyle w:val="Tables-APBase"/>
        <w:tblW w:w="5000" w:type="pct"/>
        <w:tblLook w:val="04A0" w:firstRow="1" w:lastRow="0" w:firstColumn="1" w:lastColumn="0" w:noHBand="0" w:noVBand="1"/>
        <w:tblCaption w:val="Estimated transfer impacts of the options"/>
        <w:tblDescription w:val="The table provides the estimated transfer impacts of each of the options. The estimates are presented in Australian dollar millions annually. The results are presented in two ways.  One set of results shows the annualised estimate of the additional wage transfers.  The second set of results shows the net present value over 10 years of the additional wage transfers."/>
      </w:tblPr>
      <w:tblGrid>
        <w:gridCol w:w="958"/>
        <w:gridCol w:w="1870"/>
        <w:gridCol w:w="1870"/>
        <w:gridCol w:w="89"/>
        <w:gridCol w:w="1780"/>
        <w:gridCol w:w="1870"/>
      </w:tblGrid>
      <w:tr w:rsidR="00BE03AE" w:rsidRPr="0090096C" w:rsidTr="00C873BE">
        <w:trPr>
          <w:cnfStyle w:val="100000000000" w:firstRow="1" w:lastRow="0" w:firstColumn="0" w:lastColumn="0" w:oddVBand="0" w:evenVBand="0" w:oddHBand="0" w:evenHBand="0" w:firstRowFirstColumn="0" w:firstRowLastColumn="0" w:lastRowFirstColumn="0" w:lastRowLastColumn="0"/>
          <w:trHeight w:val="454"/>
        </w:trPr>
        <w:tc>
          <w:tcPr>
            <w:cnfStyle w:val="000000000100" w:firstRow="0" w:lastRow="0" w:firstColumn="0" w:lastColumn="0" w:oddVBand="0" w:evenVBand="0" w:oddHBand="0" w:evenHBand="0" w:firstRowFirstColumn="1" w:firstRowLastColumn="0" w:lastRowFirstColumn="0" w:lastRowLastColumn="0"/>
            <w:tcW w:w="568" w:type="pct"/>
            <w:vMerge w:val="restart"/>
            <w:vAlign w:val="center"/>
            <w:hideMark/>
          </w:tcPr>
          <w:p w:rsidR="00BE03AE" w:rsidRPr="0090096C" w:rsidRDefault="00BE03AE">
            <w:pPr>
              <w:keepNext/>
              <w:kinsoku/>
              <w:overflowPunct/>
              <w:autoSpaceDE/>
              <w:autoSpaceDN/>
              <w:adjustRightInd/>
              <w:snapToGrid/>
              <w:jc w:val="center"/>
              <w:rPr>
                <w:rFonts w:ascii="Arial" w:hAnsi="Arial"/>
                <w:b/>
                <w:bCs/>
                <w:snapToGrid/>
                <w:color w:val="A32020"/>
                <w:sz w:val="16"/>
                <w:szCs w:val="16"/>
                <w:lang w:eastAsia="en-AU"/>
              </w:rPr>
            </w:pPr>
            <w:r w:rsidRPr="0090096C">
              <w:rPr>
                <w:rFonts w:ascii="Arial" w:hAnsi="Arial"/>
                <w:b/>
                <w:bCs/>
                <w:snapToGrid/>
                <w:color w:val="A32020"/>
                <w:sz w:val="16"/>
                <w:szCs w:val="16"/>
                <w:lang w:eastAsia="en-AU"/>
              </w:rPr>
              <w:t>Option</w:t>
            </w:r>
          </w:p>
        </w:tc>
        <w:tc>
          <w:tcPr>
            <w:tcW w:w="2269" w:type="pct"/>
            <w:gridSpan w:val="3"/>
            <w:vAlign w:val="center"/>
            <w:hideMark/>
          </w:tcPr>
          <w:p w:rsidR="00BE03AE" w:rsidRPr="0090096C" w:rsidRDefault="00BE03AE">
            <w:pPr>
              <w:keepNext/>
              <w:kinsoku/>
              <w:overflowPunct/>
              <w:autoSpaceDE/>
              <w:autoSpaceDN/>
              <w:adjustRightInd/>
              <w:snapToGrid/>
              <w:cnfStyle w:val="100000000000" w:firstRow="1" w:lastRow="0" w:firstColumn="0" w:lastColumn="0" w:oddVBand="0" w:evenVBand="0" w:oddHBand="0" w:evenHBand="0" w:firstRowFirstColumn="0" w:firstRowLastColumn="0" w:lastRowFirstColumn="0" w:lastRowLastColumn="0"/>
              <w:rPr>
                <w:rFonts w:ascii="Arial" w:hAnsi="Arial"/>
                <w:b/>
                <w:bCs/>
                <w:snapToGrid/>
                <w:color w:val="A32020"/>
                <w:sz w:val="16"/>
                <w:szCs w:val="16"/>
                <w:lang w:eastAsia="en-AU"/>
              </w:rPr>
            </w:pPr>
            <w:r>
              <w:rPr>
                <w:rFonts w:ascii="Arial" w:hAnsi="Arial"/>
                <w:b/>
                <w:bCs/>
                <w:snapToGrid/>
                <w:color w:val="A32020"/>
                <w:sz w:val="16"/>
                <w:szCs w:val="16"/>
                <w:lang w:eastAsia="en-AU"/>
              </w:rPr>
              <w:t>Additional</w:t>
            </w:r>
            <w:r w:rsidRPr="0090096C">
              <w:rPr>
                <w:rFonts w:ascii="Arial" w:hAnsi="Arial"/>
                <w:b/>
                <w:bCs/>
                <w:snapToGrid/>
                <w:color w:val="A32020"/>
                <w:sz w:val="16"/>
                <w:szCs w:val="16"/>
                <w:lang w:eastAsia="en-AU"/>
              </w:rPr>
              <w:t xml:space="preserve"> wage transfers, annualised $</w:t>
            </w:r>
            <w:r>
              <w:rPr>
                <w:rFonts w:ascii="Arial" w:hAnsi="Arial"/>
                <w:b/>
                <w:bCs/>
                <w:snapToGrid/>
                <w:color w:val="A32020"/>
                <w:sz w:val="16"/>
                <w:szCs w:val="16"/>
                <w:lang w:eastAsia="en-AU"/>
              </w:rPr>
              <w:t>m</w:t>
            </w:r>
          </w:p>
        </w:tc>
        <w:tc>
          <w:tcPr>
            <w:tcW w:w="2163" w:type="pct"/>
            <w:gridSpan w:val="2"/>
            <w:vAlign w:val="center"/>
            <w:hideMark/>
          </w:tcPr>
          <w:p w:rsidR="00BE03AE" w:rsidRPr="0090096C" w:rsidRDefault="00BE03AE">
            <w:pPr>
              <w:keepNext/>
              <w:kinsoku/>
              <w:overflowPunct/>
              <w:autoSpaceDE/>
              <w:autoSpaceDN/>
              <w:adjustRightInd/>
              <w:snapToGrid/>
              <w:cnfStyle w:val="100000000000" w:firstRow="1" w:lastRow="0" w:firstColumn="0" w:lastColumn="0" w:oddVBand="0" w:evenVBand="0" w:oddHBand="0" w:evenHBand="0" w:firstRowFirstColumn="0" w:firstRowLastColumn="0" w:lastRowFirstColumn="0" w:lastRowLastColumn="0"/>
              <w:rPr>
                <w:rFonts w:ascii="Arial" w:hAnsi="Arial"/>
                <w:b/>
                <w:bCs/>
                <w:snapToGrid/>
                <w:color w:val="A32020"/>
                <w:sz w:val="16"/>
                <w:szCs w:val="16"/>
                <w:lang w:eastAsia="en-AU"/>
              </w:rPr>
            </w:pPr>
            <w:r>
              <w:rPr>
                <w:rFonts w:ascii="Arial" w:hAnsi="Arial"/>
                <w:b/>
                <w:bCs/>
                <w:snapToGrid/>
                <w:color w:val="A32020"/>
                <w:sz w:val="16"/>
                <w:szCs w:val="16"/>
                <w:lang w:eastAsia="en-AU"/>
              </w:rPr>
              <w:t>Additional</w:t>
            </w:r>
            <w:r w:rsidRPr="0090096C">
              <w:rPr>
                <w:rFonts w:ascii="Arial" w:hAnsi="Arial"/>
                <w:b/>
                <w:bCs/>
                <w:snapToGrid/>
                <w:color w:val="A32020"/>
                <w:sz w:val="16"/>
                <w:szCs w:val="16"/>
                <w:lang w:eastAsia="en-AU"/>
              </w:rPr>
              <w:t xml:space="preserve"> wage transfers NPV $m</w:t>
            </w:r>
          </w:p>
        </w:tc>
      </w:tr>
      <w:tr w:rsidR="00BE03AE" w:rsidRPr="0090096C" w:rsidTr="00C873BE">
        <w:trPr>
          <w:trHeight w:val="454"/>
        </w:trPr>
        <w:tc>
          <w:tcPr>
            <w:tcW w:w="568" w:type="pct"/>
            <w:vMerge/>
            <w:vAlign w:val="center"/>
            <w:hideMark/>
          </w:tcPr>
          <w:p w:rsidR="00BE03AE" w:rsidRPr="0090096C" w:rsidRDefault="00BE03AE">
            <w:pPr>
              <w:keepNext/>
              <w:kinsoku/>
              <w:overflowPunct/>
              <w:autoSpaceDE/>
              <w:autoSpaceDN/>
              <w:adjustRightInd/>
              <w:snapToGrid/>
              <w:jc w:val="center"/>
              <w:rPr>
                <w:rFonts w:ascii="Arial" w:hAnsi="Arial"/>
                <w:b/>
                <w:bCs/>
                <w:snapToGrid/>
                <w:color w:val="A32020"/>
                <w:sz w:val="16"/>
                <w:szCs w:val="16"/>
                <w:lang w:eastAsia="en-AU"/>
              </w:rPr>
            </w:pPr>
          </w:p>
        </w:tc>
        <w:tc>
          <w:tcPr>
            <w:tcW w:w="1108" w:type="pct"/>
            <w:vAlign w:val="center"/>
            <w:hideMark/>
          </w:tcPr>
          <w:p w:rsidR="00BE03AE" w:rsidRPr="0090096C" w:rsidRDefault="00BE03AE">
            <w:pPr>
              <w:keepNext/>
              <w:kinsoku/>
              <w:overflowPunct/>
              <w:autoSpaceDE/>
              <w:autoSpaceDN/>
              <w:adjustRightInd/>
              <w:snapToGrid/>
              <w:jc w:val="center"/>
              <w:rPr>
                <w:rFonts w:ascii="Arial" w:hAnsi="Arial"/>
                <w:b/>
                <w:bCs/>
                <w:snapToGrid/>
                <w:color w:val="A32020"/>
                <w:sz w:val="16"/>
                <w:szCs w:val="16"/>
                <w:lang w:eastAsia="en-AU"/>
              </w:rPr>
            </w:pPr>
            <w:r w:rsidRPr="0090096C">
              <w:rPr>
                <w:rFonts w:ascii="Arial" w:hAnsi="Arial"/>
                <w:b/>
                <w:bCs/>
                <w:snapToGrid/>
                <w:color w:val="A32020"/>
                <w:sz w:val="16"/>
                <w:szCs w:val="16"/>
                <w:lang w:eastAsia="en-AU"/>
              </w:rPr>
              <w:t>Low estimate</w:t>
            </w:r>
          </w:p>
        </w:tc>
        <w:tc>
          <w:tcPr>
            <w:tcW w:w="1108" w:type="pct"/>
            <w:vAlign w:val="center"/>
            <w:hideMark/>
          </w:tcPr>
          <w:p w:rsidR="00BE03AE" w:rsidRPr="0090096C" w:rsidRDefault="00BE03AE">
            <w:pPr>
              <w:keepNext/>
              <w:kinsoku/>
              <w:overflowPunct/>
              <w:autoSpaceDE/>
              <w:autoSpaceDN/>
              <w:adjustRightInd/>
              <w:snapToGrid/>
              <w:jc w:val="center"/>
              <w:rPr>
                <w:rFonts w:ascii="Arial" w:hAnsi="Arial"/>
                <w:b/>
                <w:bCs/>
                <w:snapToGrid/>
                <w:color w:val="A32020"/>
                <w:sz w:val="16"/>
                <w:szCs w:val="16"/>
                <w:lang w:eastAsia="en-AU"/>
              </w:rPr>
            </w:pPr>
            <w:r w:rsidRPr="0090096C">
              <w:rPr>
                <w:rFonts w:ascii="Arial" w:hAnsi="Arial"/>
                <w:b/>
                <w:bCs/>
                <w:snapToGrid/>
                <w:color w:val="A32020"/>
                <w:sz w:val="16"/>
                <w:szCs w:val="16"/>
                <w:lang w:eastAsia="en-AU"/>
              </w:rPr>
              <w:t>High estimate</w:t>
            </w:r>
          </w:p>
        </w:tc>
        <w:tc>
          <w:tcPr>
            <w:tcW w:w="1108" w:type="pct"/>
            <w:gridSpan w:val="2"/>
            <w:vAlign w:val="center"/>
            <w:hideMark/>
          </w:tcPr>
          <w:p w:rsidR="00BE03AE" w:rsidRPr="0090096C" w:rsidRDefault="00BE03AE">
            <w:pPr>
              <w:keepNext/>
              <w:kinsoku/>
              <w:overflowPunct/>
              <w:autoSpaceDE/>
              <w:autoSpaceDN/>
              <w:adjustRightInd/>
              <w:snapToGrid/>
              <w:jc w:val="center"/>
              <w:rPr>
                <w:rFonts w:ascii="Arial" w:hAnsi="Arial"/>
                <w:b/>
                <w:bCs/>
                <w:snapToGrid/>
                <w:color w:val="A32020"/>
                <w:sz w:val="16"/>
                <w:szCs w:val="16"/>
                <w:lang w:eastAsia="en-AU"/>
              </w:rPr>
            </w:pPr>
            <w:r w:rsidRPr="0090096C">
              <w:rPr>
                <w:rFonts w:ascii="Arial" w:hAnsi="Arial"/>
                <w:b/>
                <w:bCs/>
                <w:snapToGrid/>
                <w:color w:val="A32020"/>
                <w:sz w:val="16"/>
                <w:szCs w:val="16"/>
                <w:lang w:eastAsia="en-AU"/>
              </w:rPr>
              <w:t>Low estimate</w:t>
            </w:r>
          </w:p>
        </w:tc>
        <w:tc>
          <w:tcPr>
            <w:tcW w:w="1108" w:type="pct"/>
            <w:vAlign w:val="center"/>
            <w:hideMark/>
          </w:tcPr>
          <w:p w:rsidR="00BE03AE" w:rsidRPr="0090096C" w:rsidRDefault="00BE03AE">
            <w:pPr>
              <w:keepNext/>
              <w:kinsoku/>
              <w:overflowPunct/>
              <w:autoSpaceDE/>
              <w:autoSpaceDN/>
              <w:adjustRightInd/>
              <w:snapToGrid/>
              <w:jc w:val="center"/>
              <w:rPr>
                <w:rFonts w:ascii="Arial" w:hAnsi="Arial"/>
                <w:b/>
                <w:bCs/>
                <w:snapToGrid/>
                <w:color w:val="A32020"/>
                <w:sz w:val="16"/>
                <w:szCs w:val="16"/>
                <w:lang w:eastAsia="en-AU"/>
              </w:rPr>
            </w:pPr>
            <w:r w:rsidRPr="0090096C">
              <w:rPr>
                <w:rFonts w:ascii="Arial" w:hAnsi="Arial"/>
                <w:b/>
                <w:bCs/>
                <w:snapToGrid/>
                <w:color w:val="A32020"/>
                <w:sz w:val="16"/>
                <w:szCs w:val="16"/>
                <w:lang w:eastAsia="en-AU"/>
              </w:rPr>
              <w:t>High estimate</w:t>
            </w:r>
          </w:p>
        </w:tc>
      </w:tr>
      <w:tr w:rsidR="00325BAE" w:rsidRPr="0090096C" w:rsidTr="00C873BE">
        <w:trPr>
          <w:trHeight w:val="283"/>
        </w:trPr>
        <w:tc>
          <w:tcPr>
            <w:tcW w:w="568" w:type="pct"/>
            <w:vAlign w:val="center"/>
            <w:hideMark/>
          </w:tcPr>
          <w:p w:rsidR="00325BAE" w:rsidRPr="0090096C" w:rsidRDefault="00325BAE">
            <w:pPr>
              <w:keepNext/>
              <w:kinsoku/>
              <w:overflowPunct/>
              <w:autoSpaceDE/>
              <w:autoSpaceDN/>
              <w:adjustRightInd/>
              <w:snapToGrid/>
              <w:jc w:val="center"/>
              <w:rPr>
                <w:rFonts w:ascii="Arial" w:hAnsi="Arial"/>
                <w:snapToGrid/>
                <w:color w:val="000000"/>
                <w:sz w:val="16"/>
                <w:szCs w:val="16"/>
                <w:lang w:eastAsia="en-AU"/>
              </w:rPr>
            </w:pPr>
            <w:r w:rsidRPr="0090096C">
              <w:rPr>
                <w:rFonts w:ascii="Arial" w:hAnsi="Arial"/>
                <w:snapToGrid/>
                <w:color w:val="000000"/>
                <w:sz w:val="16"/>
                <w:szCs w:val="16"/>
                <w:lang w:eastAsia="en-AU"/>
              </w:rPr>
              <w:t>1</w:t>
            </w:r>
          </w:p>
        </w:tc>
        <w:tc>
          <w:tcPr>
            <w:tcW w:w="1108" w:type="pct"/>
            <w:vAlign w:val="center"/>
            <w:hideMark/>
          </w:tcPr>
          <w:p w:rsidR="00325BAE" w:rsidRPr="0090096C" w:rsidRDefault="00325BAE">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252</w:t>
            </w:r>
          </w:p>
        </w:tc>
        <w:tc>
          <w:tcPr>
            <w:tcW w:w="1108" w:type="pct"/>
            <w:vAlign w:val="center"/>
            <w:hideMark/>
          </w:tcPr>
          <w:p w:rsidR="00325BAE" w:rsidRPr="0090096C" w:rsidRDefault="00325BAE">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286</w:t>
            </w:r>
          </w:p>
        </w:tc>
        <w:tc>
          <w:tcPr>
            <w:tcW w:w="1108" w:type="pct"/>
            <w:gridSpan w:val="2"/>
            <w:vAlign w:val="center"/>
            <w:hideMark/>
          </w:tcPr>
          <w:p w:rsidR="00325BAE" w:rsidRPr="0090096C" w:rsidRDefault="00325BAE">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2,011</w:t>
            </w:r>
          </w:p>
        </w:tc>
        <w:tc>
          <w:tcPr>
            <w:tcW w:w="1108" w:type="pct"/>
            <w:vAlign w:val="center"/>
            <w:hideMark/>
          </w:tcPr>
          <w:p w:rsidR="00325BAE" w:rsidRPr="0090096C" w:rsidRDefault="00325BAE">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2,285</w:t>
            </w:r>
          </w:p>
        </w:tc>
      </w:tr>
      <w:tr w:rsidR="00325BAE" w:rsidRPr="0090096C" w:rsidTr="00C873BE">
        <w:trPr>
          <w:trHeight w:val="283"/>
        </w:trPr>
        <w:tc>
          <w:tcPr>
            <w:tcW w:w="568" w:type="pct"/>
            <w:vAlign w:val="center"/>
            <w:hideMark/>
          </w:tcPr>
          <w:p w:rsidR="00325BAE" w:rsidRPr="0090096C" w:rsidRDefault="00325BAE">
            <w:pPr>
              <w:keepNext/>
              <w:kinsoku/>
              <w:overflowPunct/>
              <w:autoSpaceDE/>
              <w:autoSpaceDN/>
              <w:adjustRightInd/>
              <w:snapToGrid/>
              <w:jc w:val="center"/>
              <w:rPr>
                <w:rFonts w:ascii="Arial" w:hAnsi="Arial"/>
                <w:snapToGrid/>
                <w:color w:val="000000"/>
                <w:sz w:val="16"/>
                <w:szCs w:val="16"/>
                <w:lang w:eastAsia="en-AU"/>
              </w:rPr>
            </w:pPr>
            <w:r w:rsidRPr="0090096C">
              <w:rPr>
                <w:rFonts w:ascii="Arial" w:hAnsi="Arial"/>
                <w:snapToGrid/>
                <w:color w:val="000000"/>
                <w:sz w:val="16"/>
                <w:szCs w:val="16"/>
                <w:lang w:eastAsia="en-AU"/>
              </w:rPr>
              <w:t>2</w:t>
            </w:r>
          </w:p>
        </w:tc>
        <w:tc>
          <w:tcPr>
            <w:tcW w:w="1108" w:type="pct"/>
            <w:vAlign w:val="center"/>
            <w:hideMark/>
          </w:tcPr>
          <w:p w:rsidR="00325BAE" w:rsidRPr="0090096C" w:rsidRDefault="00325BAE">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219</w:t>
            </w:r>
          </w:p>
        </w:tc>
        <w:tc>
          <w:tcPr>
            <w:tcW w:w="1108" w:type="pct"/>
            <w:vAlign w:val="center"/>
            <w:hideMark/>
          </w:tcPr>
          <w:p w:rsidR="00325BAE" w:rsidRPr="0090096C" w:rsidRDefault="00325BAE">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247</w:t>
            </w:r>
          </w:p>
        </w:tc>
        <w:tc>
          <w:tcPr>
            <w:tcW w:w="1108" w:type="pct"/>
            <w:gridSpan w:val="2"/>
            <w:vAlign w:val="center"/>
            <w:hideMark/>
          </w:tcPr>
          <w:p w:rsidR="00325BAE" w:rsidRPr="0090096C" w:rsidRDefault="00325BAE">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1,729</w:t>
            </w:r>
          </w:p>
        </w:tc>
        <w:tc>
          <w:tcPr>
            <w:tcW w:w="1108" w:type="pct"/>
            <w:vAlign w:val="center"/>
            <w:hideMark/>
          </w:tcPr>
          <w:p w:rsidR="00325BAE" w:rsidRPr="0090096C" w:rsidRDefault="00325BAE">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1,942</w:t>
            </w:r>
          </w:p>
        </w:tc>
      </w:tr>
      <w:tr w:rsidR="00325BAE" w:rsidRPr="0090096C" w:rsidTr="00C873BE">
        <w:trPr>
          <w:trHeight w:val="283"/>
        </w:trPr>
        <w:tc>
          <w:tcPr>
            <w:tcW w:w="568" w:type="pct"/>
            <w:vAlign w:val="center"/>
            <w:hideMark/>
          </w:tcPr>
          <w:p w:rsidR="00325BAE" w:rsidRPr="0090096C" w:rsidRDefault="00325BAE">
            <w:pPr>
              <w:keepNext/>
              <w:kinsoku/>
              <w:overflowPunct/>
              <w:autoSpaceDE/>
              <w:autoSpaceDN/>
              <w:adjustRightInd/>
              <w:snapToGrid/>
              <w:jc w:val="center"/>
              <w:rPr>
                <w:rFonts w:ascii="Arial" w:hAnsi="Arial"/>
                <w:snapToGrid/>
                <w:color w:val="000000"/>
                <w:sz w:val="16"/>
                <w:szCs w:val="16"/>
                <w:lang w:eastAsia="en-AU"/>
              </w:rPr>
            </w:pPr>
            <w:r w:rsidRPr="0090096C">
              <w:rPr>
                <w:rFonts w:ascii="Arial" w:hAnsi="Arial"/>
                <w:snapToGrid/>
                <w:color w:val="000000"/>
                <w:sz w:val="16"/>
                <w:szCs w:val="16"/>
                <w:lang w:eastAsia="en-AU"/>
              </w:rPr>
              <w:t>3</w:t>
            </w:r>
          </w:p>
        </w:tc>
        <w:tc>
          <w:tcPr>
            <w:tcW w:w="1108" w:type="pct"/>
            <w:vAlign w:val="center"/>
            <w:hideMark/>
          </w:tcPr>
          <w:p w:rsidR="00325BAE" w:rsidRPr="0090096C" w:rsidRDefault="00325BAE">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117</w:t>
            </w:r>
          </w:p>
        </w:tc>
        <w:tc>
          <w:tcPr>
            <w:tcW w:w="1108" w:type="pct"/>
            <w:vAlign w:val="center"/>
            <w:hideMark/>
          </w:tcPr>
          <w:p w:rsidR="00325BAE" w:rsidRPr="0090096C" w:rsidRDefault="00325BAE">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147</w:t>
            </w:r>
          </w:p>
        </w:tc>
        <w:tc>
          <w:tcPr>
            <w:tcW w:w="1108" w:type="pct"/>
            <w:gridSpan w:val="2"/>
            <w:vAlign w:val="center"/>
            <w:hideMark/>
          </w:tcPr>
          <w:p w:rsidR="00325BAE" w:rsidRPr="0090096C" w:rsidRDefault="00325BAE">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932</w:t>
            </w:r>
          </w:p>
        </w:tc>
        <w:tc>
          <w:tcPr>
            <w:tcW w:w="1108" w:type="pct"/>
            <w:vAlign w:val="center"/>
            <w:hideMark/>
          </w:tcPr>
          <w:p w:rsidR="00325BAE" w:rsidRPr="0090096C" w:rsidRDefault="00325BAE">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1,174</w:t>
            </w:r>
          </w:p>
        </w:tc>
      </w:tr>
    </w:tbl>
    <w:p w:rsidR="00BE03AE" w:rsidRDefault="00BE03AE" w:rsidP="00BE03AE">
      <w:pPr>
        <w:pStyle w:val="Sources"/>
        <w:keepNext/>
      </w:pPr>
      <w:r>
        <w:t>Source: PwC analysis. Net present value (NPV) figures are calculated over 10 years.</w:t>
      </w:r>
    </w:p>
    <w:p w:rsidR="00BE03AE" w:rsidRDefault="00BE03AE" w:rsidP="00091AF8">
      <w:pPr>
        <w:pStyle w:val="StylePwCNormalnmajNormalnotetextcvteCNormalnotetext2"/>
      </w:pPr>
      <w:r>
        <w:t>Option 1 is associated with an annualised impact estimate of between $2</w:t>
      </w:r>
      <w:r w:rsidR="00C25BC3">
        <w:t>5</w:t>
      </w:r>
      <w:r w:rsidR="00325BAE">
        <w:t>2</w:t>
      </w:r>
      <w:r>
        <w:t> million and $2</w:t>
      </w:r>
      <w:r w:rsidR="00C25BC3">
        <w:t>8</w:t>
      </w:r>
      <w:r w:rsidR="00325BAE">
        <w:t>6</w:t>
      </w:r>
      <w:r>
        <w:t xml:space="preserve"> million for Victoria. </w:t>
      </w:r>
    </w:p>
    <w:p w:rsidR="00D57428" w:rsidRDefault="00BE03AE">
      <w:pPr>
        <w:pStyle w:val="StylePwCNormalnmajNormalnotetextcvteCNormalnotetext2"/>
      </w:pPr>
      <w:r>
        <w:t xml:space="preserve">As would be expected, option 3 provides for the lowest level of additional wage transfers given it </w:t>
      </w:r>
      <w:r w:rsidR="00571BE1">
        <w:t xml:space="preserve">creates </w:t>
      </w:r>
      <w:r>
        <w:t xml:space="preserve">only one additional public holiday, while each of the other options </w:t>
      </w:r>
      <w:r w:rsidR="00571BE1">
        <w:t xml:space="preserve">creates </w:t>
      </w:r>
      <w:r>
        <w:t>two. Further to this, under option 3 the additional wages associated with public holiday penalty rates</w:t>
      </w:r>
      <w:r w:rsidR="003F7BA1">
        <w:t xml:space="preserve"> on the </w:t>
      </w:r>
      <w:r w:rsidR="003F7BA1" w:rsidRPr="00DB2D52">
        <w:t>Easter</w:t>
      </w:r>
      <w:r w:rsidR="003F7BA1">
        <w:t xml:space="preserve"> weekend </w:t>
      </w:r>
      <w:r>
        <w:t xml:space="preserve">are actually reduced relative to the base case. This impact emerges due to the transfer of public holiday status from the Saturday before Easter Sunday to Easter Sunday, where the difference in penalty rates on the Saturday is greater than that on the Sunday. </w:t>
      </w:r>
    </w:p>
    <w:p w:rsidR="00BE03AE" w:rsidRDefault="00BE03AE">
      <w:pPr>
        <w:pStyle w:val="StylePwCNormalnmajNormalnotetextcvteCNormalnotetext2"/>
      </w:pPr>
      <w:r>
        <w:t xml:space="preserve">An example of this is provided in </w:t>
      </w:r>
      <w:r>
        <w:fldChar w:fldCharType="begin"/>
      </w:r>
      <w:r>
        <w:instrText xml:space="preserve"> REF _Ref415663279 \h </w:instrText>
      </w:r>
      <w:r>
        <w:fldChar w:fldCharType="separate"/>
      </w:r>
      <w:r w:rsidR="00250375">
        <w:t xml:space="preserve">Table </w:t>
      </w:r>
      <w:r w:rsidR="00250375">
        <w:rPr>
          <w:noProof/>
        </w:rPr>
        <w:t>9</w:t>
      </w:r>
      <w:r>
        <w:fldChar w:fldCharType="end"/>
      </w:r>
      <w:r>
        <w:t>, which shows that the difference between the normal day penalty rate and the public holiday penalty rate is greater on a Saturday than on a Sunday. The electrical power industry is used as an illustrative example.</w:t>
      </w:r>
    </w:p>
    <w:p w:rsidR="00BE03AE" w:rsidRDefault="00BE03AE">
      <w:pPr>
        <w:pStyle w:val="Caption"/>
      </w:pPr>
      <w:bookmarkStart w:id="39" w:name="_Ref415663279"/>
      <w:r>
        <w:t xml:space="preserve">Table </w:t>
      </w:r>
      <w:r w:rsidR="00663565">
        <w:fldChar w:fldCharType="begin"/>
      </w:r>
      <w:r w:rsidR="00663565">
        <w:instrText xml:space="preserve"> SEQ Table \* ARABIC </w:instrText>
      </w:r>
      <w:r w:rsidR="00663565">
        <w:fldChar w:fldCharType="separate"/>
      </w:r>
      <w:r w:rsidR="00250375">
        <w:rPr>
          <w:noProof/>
        </w:rPr>
        <w:t>9</w:t>
      </w:r>
      <w:r w:rsidR="00663565">
        <w:rPr>
          <w:noProof/>
        </w:rPr>
        <w:fldChar w:fldCharType="end"/>
      </w:r>
      <w:bookmarkEnd w:id="39"/>
      <w:r>
        <w:t>: Penalty rates in the electrical power industry</w:t>
      </w:r>
    </w:p>
    <w:tbl>
      <w:tblPr>
        <w:tblStyle w:val="Tables-APBase"/>
        <w:tblW w:w="5000" w:type="pct"/>
        <w:tblLayout w:type="fixed"/>
        <w:tblLook w:val="04A0" w:firstRow="1" w:lastRow="0" w:firstColumn="1" w:lastColumn="0" w:noHBand="0" w:noVBand="1"/>
        <w:tblCaption w:val="Penalty rates in the electrical power industry"/>
        <w:tblDescription w:val="The table shows the penalty rates that apply currently in the electrical power industry on different days of the week and on public holidays. The table provides the penalty rate as a percentage of the normal rate, and also provides the difference in the rate on a particular day compared with the public holiday penalty rate."/>
      </w:tblPr>
      <w:tblGrid>
        <w:gridCol w:w="2108"/>
        <w:gridCol w:w="2109"/>
        <w:gridCol w:w="2110"/>
        <w:gridCol w:w="2110"/>
      </w:tblGrid>
      <w:tr w:rsidR="00BE03AE" w:rsidTr="00BE03AE">
        <w:trPr>
          <w:cnfStyle w:val="100000000000" w:firstRow="1" w:lastRow="0" w:firstColumn="0" w:lastColumn="0" w:oddVBand="0" w:evenVBand="0" w:oddHBand="0" w:evenHBand="0" w:firstRowFirstColumn="0" w:firstRowLastColumn="0" w:lastRowFirstColumn="0" w:lastRowLastColumn="0"/>
        </w:trPr>
        <w:tc>
          <w:tcPr>
            <w:cnfStyle w:val="000000000100" w:firstRow="0" w:lastRow="0" w:firstColumn="0" w:lastColumn="0" w:oddVBand="0" w:evenVBand="0" w:oddHBand="0" w:evenHBand="0" w:firstRowFirstColumn="1" w:firstRowLastColumn="0" w:lastRowFirstColumn="0" w:lastRowLastColumn="0"/>
            <w:tcW w:w="2108" w:type="dxa"/>
          </w:tcPr>
          <w:p w:rsidR="00BE03AE" w:rsidRDefault="00BE03AE">
            <w:pPr>
              <w:pStyle w:val="TableColumnHeadingSmall"/>
            </w:pPr>
          </w:p>
        </w:tc>
        <w:tc>
          <w:tcPr>
            <w:tcW w:w="2109" w:type="dxa"/>
          </w:tcPr>
          <w:p w:rsidR="00BE03AE" w:rsidRDefault="00BE03AE">
            <w:pPr>
              <w:pStyle w:val="TableColumnHeadingSmall"/>
              <w:cnfStyle w:val="100000000000" w:firstRow="1" w:lastRow="0" w:firstColumn="0" w:lastColumn="0" w:oddVBand="0" w:evenVBand="0" w:oddHBand="0" w:evenHBand="0" w:firstRowFirstColumn="0" w:firstRowLastColumn="0" w:lastRowFirstColumn="0" w:lastRowLastColumn="0"/>
            </w:pPr>
            <w:r>
              <w:t>Public holiday</w:t>
            </w:r>
          </w:p>
        </w:tc>
        <w:tc>
          <w:tcPr>
            <w:tcW w:w="2110" w:type="dxa"/>
          </w:tcPr>
          <w:p w:rsidR="00BE03AE" w:rsidRDefault="00BE03AE">
            <w:pPr>
              <w:pStyle w:val="TableColumnHeadingSmall"/>
              <w:cnfStyle w:val="100000000000" w:firstRow="1" w:lastRow="0" w:firstColumn="0" w:lastColumn="0" w:oddVBand="0" w:evenVBand="0" w:oddHBand="0" w:evenHBand="0" w:firstRowFirstColumn="0" w:firstRowLastColumn="0" w:lastRowFirstColumn="0" w:lastRowLastColumn="0"/>
            </w:pPr>
            <w:r>
              <w:t>Saturday</w:t>
            </w:r>
          </w:p>
        </w:tc>
        <w:tc>
          <w:tcPr>
            <w:tcW w:w="2110" w:type="dxa"/>
          </w:tcPr>
          <w:p w:rsidR="00BE03AE" w:rsidRDefault="00BE03AE">
            <w:pPr>
              <w:pStyle w:val="TableColumnHeadingSmall"/>
              <w:cnfStyle w:val="100000000000" w:firstRow="1" w:lastRow="0" w:firstColumn="0" w:lastColumn="0" w:oddVBand="0" w:evenVBand="0" w:oddHBand="0" w:evenHBand="0" w:firstRowFirstColumn="0" w:firstRowLastColumn="0" w:lastRowFirstColumn="0" w:lastRowLastColumn="0"/>
            </w:pPr>
            <w:r>
              <w:t>Sunday</w:t>
            </w:r>
          </w:p>
        </w:tc>
      </w:tr>
      <w:tr w:rsidR="00BE03AE" w:rsidTr="00BE03AE">
        <w:tc>
          <w:tcPr>
            <w:tcW w:w="2108" w:type="dxa"/>
            <w:vAlign w:val="center"/>
          </w:tcPr>
          <w:p w:rsidR="00BE03AE" w:rsidRDefault="00BE03AE" w:rsidP="00091AF8">
            <w:pPr>
              <w:pStyle w:val="TableTextSmall"/>
              <w:keepNext/>
              <w:jc w:val="center"/>
            </w:pPr>
            <w:r>
              <w:t>Penalty rate</w:t>
            </w:r>
          </w:p>
        </w:tc>
        <w:tc>
          <w:tcPr>
            <w:tcW w:w="2109" w:type="dxa"/>
            <w:vAlign w:val="center"/>
          </w:tcPr>
          <w:p w:rsidR="00BE03AE" w:rsidRDefault="00BE03AE" w:rsidP="00091AF8">
            <w:pPr>
              <w:pStyle w:val="TableTextSmall"/>
              <w:keepNext/>
              <w:jc w:val="center"/>
            </w:pPr>
            <w:r>
              <w:t>250%</w:t>
            </w:r>
          </w:p>
        </w:tc>
        <w:tc>
          <w:tcPr>
            <w:tcW w:w="2110" w:type="dxa"/>
            <w:vAlign w:val="center"/>
          </w:tcPr>
          <w:p w:rsidR="00BE03AE" w:rsidRDefault="00BE03AE" w:rsidP="00091AF8">
            <w:pPr>
              <w:pStyle w:val="TableTextSmall"/>
              <w:keepNext/>
              <w:jc w:val="center"/>
            </w:pPr>
            <w:r>
              <w:t>150%</w:t>
            </w:r>
          </w:p>
        </w:tc>
        <w:tc>
          <w:tcPr>
            <w:tcW w:w="2110" w:type="dxa"/>
            <w:vAlign w:val="center"/>
          </w:tcPr>
          <w:p w:rsidR="00BE03AE" w:rsidRDefault="00BE03AE" w:rsidP="00091AF8">
            <w:pPr>
              <w:pStyle w:val="TableTextSmall"/>
              <w:keepNext/>
              <w:jc w:val="center"/>
            </w:pPr>
            <w:r>
              <w:t>200%</w:t>
            </w:r>
          </w:p>
        </w:tc>
      </w:tr>
      <w:tr w:rsidR="00BE03AE" w:rsidTr="00BE03AE">
        <w:tc>
          <w:tcPr>
            <w:tcW w:w="2108" w:type="dxa"/>
            <w:vAlign w:val="center"/>
          </w:tcPr>
          <w:p w:rsidR="00BE03AE" w:rsidRDefault="00BE03AE" w:rsidP="00091AF8">
            <w:pPr>
              <w:pStyle w:val="TableTextSmall"/>
              <w:keepNext/>
              <w:jc w:val="center"/>
            </w:pPr>
            <w:r>
              <w:t>Difference from public holiday penalty rate</w:t>
            </w:r>
          </w:p>
        </w:tc>
        <w:tc>
          <w:tcPr>
            <w:tcW w:w="2109" w:type="dxa"/>
            <w:vAlign w:val="center"/>
          </w:tcPr>
          <w:p w:rsidR="00BE03AE" w:rsidRDefault="00BE03AE" w:rsidP="00091AF8">
            <w:pPr>
              <w:pStyle w:val="TableTextSmall"/>
              <w:keepNext/>
              <w:jc w:val="center"/>
            </w:pPr>
            <w:r>
              <w:t>-</w:t>
            </w:r>
          </w:p>
        </w:tc>
        <w:tc>
          <w:tcPr>
            <w:tcW w:w="2110" w:type="dxa"/>
            <w:vAlign w:val="center"/>
          </w:tcPr>
          <w:p w:rsidR="00BE03AE" w:rsidRDefault="005E000E" w:rsidP="00091AF8">
            <w:pPr>
              <w:pStyle w:val="TableTextSmall"/>
              <w:keepNext/>
              <w:jc w:val="center"/>
            </w:pPr>
            <w:r>
              <w:t>-</w:t>
            </w:r>
            <w:r w:rsidR="00BE03AE">
              <w:t>100%</w:t>
            </w:r>
          </w:p>
        </w:tc>
        <w:tc>
          <w:tcPr>
            <w:tcW w:w="2110" w:type="dxa"/>
            <w:vAlign w:val="center"/>
          </w:tcPr>
          <w:p w:rsidR="00BE03AE" w:rsidRDefault="005E000E" w:rsidP="00091AF8">
            <w:pPr>
              <w:pStyle w:val="TableTextSmall"/>
              <w:keepNext/>
              <w:jc w:val="center"/>
            </w:pPr>
            <w:r>
              <w:t>-</w:t>
            </w:r>
            <w:r w:rsidR="00BE03AE">
              <w:t>50%</w:t>
            </w:r>
          </w:p>
        </w:tc>
      </w:tr>
    </w:tbl>
    <w:p w:rsidR="00BE03AE" w:rsidRDefault="00BE03AE" w:rsidP="00091AF8">
      <w:pPr>
        <w:pStyle w:val="Sources"/>
        <w:keepNext/>
      </w:pPr>
      <w:r>
        <w:t xml:space="preserve">Source: Fair Work Ombudsman, ‘Pay guide for the Electrical Power Industry Award 2010’, 12 December 2014. </w:t>
      </w:r>
    </w:p>
    <w:p w:rsidR="00BE03AE" w:rsidRDefault="00BE03AE" w:rsidP="00BE03AE">
      <w:pPr>
        <w:pStyle w:val="StylePwCNormalnmajNormalnotetextcvteCNormalnotetext"/>
        <w:numPr>
          <w:ilvl w:val="0"/>
          <w:numId w:val="26"/>
        </w:numPr>
      </w:pPr>
      <w:r>
        <w:t>This means that the increase in wages paid to employees working on a Saturday public holiday relative to a normal Saturday is greater tha</w:t>
      </w:r>
      <w:r w:rsidR="0078042A">
        <w:t>n</w:t>
      </w:r>
      <w:r>
        <w:t xml:space="preserve"> the increase for those working on a Sunday public holiday. Continuing with the </w:t>
      </w:r>
      <w:r w:rsidR="005E000E">
        <w:t>e</w:t>
      </w:r>
      <w:r>
        <w:t xml:space="preserve">lectrical </w:t>
      </w:r>
      <w:r w:rsidR="005E000E">
        <w:t>p</w:t>
      </w:r>
      <w:r>
        <w:t xml:space="preserve">ower industry example, the wage increase associated with a Sunday public holiday is 50 per cent while the Saturday increase is 100 per cent, hence a Saturday public holiday </w:t>
      </w:r>
      <w:r w:rsidR="00571BE1">
        <w:t>generates</w:t>
      </w:r>
      <w:r>
        <w:t xml:space="preserve"> greater marginal wage costs on employers than a Sunday public holiday.</w:t>
      </w:r>
    </w:p>
    <w:p w:rsidR="00BE03AE" w:rsidRDefault="00BE03AE" w:rsidP="00BE03AE">
      <w:pPr>
        <w:pStyle w:val="PwCNormal"/>
        <w:spacing w:before="0" w:after="240"/>
      </w:pPr>
      <w:r>
        <w:t xml:space="preserve">Option 2 </w:t>
      </w:r>
      <w:r w:rsidR="00A855AF">
        <w:t xml:space="preserve">is </w:t>
      </w:r>
      <w:r>
        <w:t xml:space="preserve">associated with lower estimated additional wage costs compared to option 1 due to the delayed implementation of the </w:t>
      </w:r>
      <w:r w:rsidR="00307783">
        <w:t xml:space="preserve">Friday before the </w:t>
      </w:r>
      <w:r w:rsidR="00F51110">
        <w:t xml:space="preserve">AFL </w:t>
      </w:r>
      <w:r w:rsidR="00307783">
        <w:t>Grand Final</w:t>
      </w:r>
      <w:r>
        <w:t xml:space="preserve"> public holiday, though this difference is smaller than that estimated under option 3. </w:t>
      </w:r>
    </w:p>
    <w:p w:rsidR="00BE03AE" w:rsidRDefault="00BE03AE" w:rsidP="00BE03AE">
      <w:pPr>
        <w:pStyle w:val="Heading6"/>
        <w:spacing w:before="0" w:after="40"/>
      </w:pPr>
      <w:r>
        <w:t>Net impacts of the options considered</w:t>
      </w:r>
    </w:p>
    <w:p w:rsidR="00BE03AE" w:rsidRDefault="00BE03AE" w:rsidP="00BE03AE">
      <w:pPr>
        <w:pStyle w:val="Heading7"/>
        <w:spacing w:before="0" w:after="40"/>
      </w:pPr>
      <w:r>
        <w:t>Our approach to assessing the net impacts</w:t>
      </w:r>
    </w:p>
    <w:p w:rsidR="00BE03AE" w:rsidRDefault="00BE03AE" w:rsidP="00BE03AE">
      <w:pPr>
        <w:pStyle w:val="StylePwCNormalnmajNormalnotetextcvteCNormalnotetext"/>
        <w:numPr>
          <w:ilvl w:val="0"/>
          <w:numId w:val="26"/>
        </w:numPr>
      </w:pPr>
      <w:r>
        <w:t xml:space="preserve">The net impacts of the options will in part depend on the values that Victorians place on collective leisure time and cultural and sporting events. </w:t>
      </w:r>
    </w:p>
    <w:p w:rsidR="00BE03AE" w:rsidRDefault="00BE03AE" w:rsidP="00BE03AE">
      <w:pPr>
        <w:pStyle w:val="StylePwCNormalnmajNormalnotetextcvteCNormalnotetext"/>
        <w:numPr>
          <w:ilvl w:val="0"/>
          <w:numId w:val="26"/>
        </w:numPr>
      </w:pPr>
      <w:r>
        <w:t>Given limited</w:t>
      </w:r>
      <w:r w:rsidR="0078042A">
        <w:t xml:space="preserve"> quantitative</w:t>
      </w:r>
      <w:r>
        <w:t xml:space="preserve"> information about these potential benefits, this analysis has focused</w:t>
      </w:r>
      <w:r w:rsidR="00BB6339">
        <w:t xml:space="preserve"> largely</w:t>
      </w:r>
      <w:r>
        <w:t xml:space="preserve"> on a qualitative assessment of the benefits of the respective options</w:t>
      </w:r>
      <w:r w:rsidR="00BB6339">
        <w:t>, supplemented by illustrative estimates of the potential benefits where information was available</w:t>
      </w:r>
      <w:r>
        <w:t xml:space="preserve">. Our analysis presents a discussion of each option in terms of its expected contribution to the Government’s objectives, followed by an overall ranking of each option against these objectives. </w:t>
      </w:r>
    </w:p>
    <w:p w:rsidR="00BE03AE" w:rsidRPr="00E56F63" w:rsidRDefault="00BE03AE" w:rsidP="00BE03AE">
      <w:pPr>
        <w:pStyle w:val="StylePwCNormalnmajNormalnotetextcvteCNormalnotetext"/>
        <w:numPr>
          <w:ilvl w:val="0"/>
          <w:numId w:val="26"/>
        </w:numPr>
      </w:pPr>
      <w:r>
        <w:t xml:space="preserve">The net impacts section then provides estimates of the net cost to the economy of the options. Further detail is provided in </w:t>
      </w:r>
      <w:r>
        <w:fldChar w:fldCharType="begin"/>
      </w:r>
      <w:r>
        <w:instrText xml:space="preserve"> REF _Ref417306667 \n \h </w:instrText>
      </w:r>
      <w:r>
        <w:fldChar w:fldCharType="separate"/>
      </w:r>
      <w:r w:rsidR="00250375">
        <w:t>Appendix A</w:t>
      </w:r>
      <w:r>
        <w:fldChar w:fldCharType="end"/>
      </w:r>
      <w:r>
        <w:t xml:space="preserve">. </w:t>
      </w:r>
    </w:p>
    <w:p w:rsidR="00BE03AE" w:rsidRDefault="00BE03AE" w:rsidP="00BE03AE">
      <w:pPr>
        <w:pStyle w:val="Heading7"/>
        <w:spacing w:before="0" w:after="40"/>
      </w:pPr>
      <w:r>
        <w:t>Social and community benefits</w:t>
      </w:r>
    </w:p>
    <w:p w:rsidR="00BE03AE" w:rsidRDefault="00BE03AE" w:rsidP="00BE03AE">
      <w:pPr>
        <w:pStyle w:val="Minorheading2"/>
      </w:pPr>
      <w:r>
        <w:t>Nature of social and community benefits</w:t>
      </w:r>
    </w:p>
    <w:p w:rsidR="00BE03AE" w:rsidRDefault="00BE03AE" w:rsidP="00091AF8">
      <w:pPr>
        <w:pStyle w:val="StylePwCNormalnmajNormalnotetextcvteCNormalnotetext2"/>
      </w:pPr>
      <w:r>
        <w:t xml:space="preserve">While public holidays have </w:t>
      </w:r>
      <w:r w:rsidR="00894E29">
        <w:t>different</w:t>
      </w:r>
      <w:r w:rsidRPr="002323D9">
        <w:t xml:space="preserve"> historic origins, their existence can be explained generally as the common enjoyment of festivals and events of historical importance.</w:t>
      </w:r>
      <w:r w:rsidRPr="002323D9">
        <w:rPr>
          <w:rStyle w:val="FootnoteReference"/>
          <w:szCs w:val="21"/>
        </w:rPr>
        <w:footnoteReference w:id="8"/>
      </w:r>
      <w:r w:rsidRPr="002323D9">
        <w:t xml:space="preserve"> </w:t>
      </w:r>
      <w:r>
        <w:t xml:space="preserve">This includes </w:t>
      </w:r>
      <w:r w:rsidR="00571BE1">
        <w:t xml:space="preserve">days </w:t>
      </w:r>
      <w:r>
        <w:t xml:space="preserve">such as Christmas, Easter and ANZAC day. </w:t>
      </w:r>
      <w:r w:rsidRPr="002323D9">
        <w:t>Historically, festivals and holidays have combined time away from work with community-wide social activities that bring people together for an occasion with common symbolic meaning.</w:t>
      </w:r>
      <w:r>
        <w:t xml:space="preserve"> </w:t>
      </w:r>
    </w:p>
    <w:p w:rsidR="00BE03AE" w:rsidRDefault="00BE03AE" w:rsidP="00091AF8">
      <w:pPr>
        <w:pStyle w:val="StylePwCNormalnmajNormalnotetextcvteCNormalnotetext2"/>
      </w:pPr>
      <w:r>
        <w:t xml:space="preserve">As set out in </w:t>
      </w:r>
      <w:proofErr w:type="spellStart"/>
      <w:r>
        <w:t>Labor’s</w:t>
      </w:r>
      <w:proofErr w:type="spellEnd"/>
      <w:r>
        <w:t xml:space="preserve"> Platform 2014, to many Victorians, public holidays represent significant religious, national, state and local occasions. Providing public holidays on these occasions, such as Easter Sunday, may be associated with additional benefits to the Victorian community. </w:t>
      </w:r>
    </w:p>
    <w:p w:rsidR="00BE03AE" w:rsidRPr="006566AE" w:rsidRDefault="00BE03AE" w:rsidP="00DF4781">
      <w:pPr>
        <w:pStyle w:val="StylePwCNormalnmajNormalnotetextcvteCNormalnotetext2"/>
      </w:pPr>
      <w:r>
        <w:rPr>
          <w:snapToGrid/>
          <w:lang w:eastAsia="en-AU"/>
        </w:rPr>
        <w:t xml:space="preserve">The Shop, Distributive and Allied Employees’ Association (SDA) commissioned a survey in 2014 that found that more than 71 per cent of Victorians believe that even if Easter Sunday has no religious </w:t>
      </w:r>
      <w:proofErr w:type="gramStart"/>
      <w:r>
        <w:rPr>
          <w:snapToGrid/>
          <w:lang w:eastAsia="en-AU"/>
        </w:rPr>
        <w:t>significance,</w:t>
      </w:r>
      <w:proofErr w:type="gramEnd"/>
      <w:r>
        <w:rPr>
          <w:snapToGrid/>
          <w:lang w:eastAsia="en-AU"/>
        </w:rPr>
        <w:t xml:space="preserve"> families should have the right to a public holiday as an opportunity to spend time together, away from work. This provides some indication that the community as a whole may place a value on this public holiday, regardless of their particular religious beliefs.</w:t>
      </w:r>
      <w:r>
        <w:rPr>
          <w:rStyle w:val="FootnoteReference"/>
          <w:snapToGrid/>
          <w:lang w:eastAsia="en-AU"/>
        </w:rPr>
        <w:footnoteReference w:id="9"/>
      </w:r>
    </w:p>
    <w:p w:rsidR="00AE19DE" w:rsidRPr="002323D9" w:rsidRDefault="00AE19DE" w:rsidP="00DF4781">
      <w:pPr>
        <w:pStyle w:val="StylePwCNormalnmajNormalnotetextcvteCNormalnotetext2"/>
      </w:pPr>
      <w:r>
        <w:rPr>
          <w:snapToGrid/>
          <w:lang w:eastAsia="en-AU"/>
        </w:rPr>
        <w:t xml:space="preserve">In addition, the Victorian Council of Churches noted </w:t>
      </w:r>
      <w:r w:rsidR="00D606D9">
        <w:rPr>
          <w:snapToGrid/>
          <w:lang w:eastAsia="en-AU"/>
        </w:rPr>
        <w:t xml:space="preserve">in consultation </w:t>
      </w:r>
      <w:r>
        <w:rPr>
          <w:snapToGrid/>
          <w:lang w:eastAsia="en-AU"/>
        </w:rPr>
        <w:t xml:space="preserve">that Easter Sunday is considered to be a day of significance for many in the community.  As such, there are </w:t>
      </w:r>
      <w:r w:rsidR="00D57428">
        <w:rPr>
          <w:snapToGrid/>
          <w:lang w:eastAsia="en-AU"/>
        </w:rPr>
        <w:t xml:space="preserve">potential </w:t>
      </w:r>
      <w:r>
        <w:rPr>
          <w:snapToGrid/>
          <w:lang w:eastAsia="en-AU"/>
        </w:rPr>
        <w:t>benefits in formally recognising the importance of this day.</w:t>
      </w:r>
    </w:p>
    <w:p w:rsidR="004B3853" w:rsidRDefault="00BE03AE" w:rsidP="00091AF8">
      <w:pPr>
        <w:pStyle w:val="StylePwCNormalnmajNormalnotetextcvteCNormalnotetext2"/>
      </w:pPr>
      <w:r>
        <w:t>Public holidays also provide the opportunity for families and friends to take a break from normal work or study activities and to enjoy additional leisure time. For the majority of people, leisure time spent among friends or family is preferable to leisure time spent alone, which is often only enjoyable in periods of smaller duration.</w:t>
      </w:r>
      <w:r>
        <w:rPr>
          <w:rStyle w:val="FootnoteReference"/>
        </w:rPr>
        <w:footnoteReference w:id="10"/>
      </w:r>
      <w:r>
        <w:t xml:space="preserve"> This suggests that</w:t>
      </w:r>
      <w:r w:rsidR="002443E6">
        <w:t>,</w:t>
      </w:r>
      <w:r>
        <w:t xml:space="preserve"> in addition to the benefits associated with providing a break from work or study, additional public holidays could also provide community benefits in the form of increased </w:t>
      </w:r>
      <w:r w:rsidRPr="00153656">
        <w:rPr>
          <w:i/>
        </w:rPr>
        <w:t>coordinated</w:t>
      </w:r>
      <w:r>
        <w:t xml:space="preserve"> leisure time</w:t>
      </w:r>
      <w:r w:rsidR="004B3853">
        <w:t>.</w:t>
      </w:r>
    </w:p>
    <w:p w:rsidR="000D4FC1" w:rsidRDefault="000D4FC1" w:rsidP="00091AF8">
      <w:pPr>
        <w:pStyle w:val="StylePwCNormalnmajNormalnotetextcvteCNormalnotetext2"/>
      </w:pPr>
      <w:r>
        <w:t>Indeed</w:t>
      </w:r>
      <w:r w:rsidRPr="002323D9">
        <w:t>, it has been argued</w:t>
      </w:r>
      <w:r>
        <w:t xml:space="preserve"> elsewhere</w:t>
      </w:r>
      <w:r w:rsidRPr="002323D9">
        <w:t xml:space="preserve"> that there are certain social</w:t>
      </w:r>
      <w:r w:rsidR="00437758">
        <w:t xml:space="preserve"> </w:t>
      </w:r>
      <w:r w:rsidRPr="002323D9">
        <w:t>capital gains from the observance of public holidays.</w:t>
      </w:r>
      <w:r w:rsidRPr="002323D9">
        <w:rPr>
          <w:rStyle w:val="FootnoteReference"/>
          <w:szCs w:val="21"/>
        </w:rPr>
        <w:footnoteReference w:id="11"/>
      </w:r>
      <w:r w:rsidRPr="002323D9">
        <w:t xml:space="preserve"> Public holidays have been found to facilitate the co-ordination of leisure time and</w:t>
      </w:r>
      <w:r>
        <w:t xml:space="preserve"> allow </w:t>
      </w:r>
      <w:r w:rsidRPr="002323D9">
        <w:t xml:space="preserve">people to maintain social contacts more easily. Social contact with friends and family and the maintenance of social contacts have been found to increase the </w:t>
      </w:r>
      <w:r>
        <w:t>benefits</w:t>
      </w:r>
      <w:r w:rsidRPr="002323D9">
        <w:t xml:space="preserve"> of leisure.</w:t>
      </w:r>
      <w:r w:rsidRPr="002323D9">
        <w:rPr>
          <w:rStyle w:val="FootnoteReference"/>
          <w:szCs w:val="21"/>
        </w:rPr>
        <w:footnoteReference w:id="12"/>
      </w:r>
      <w:r>
        <w:t xml:space="preserve"> While leisure time can be provided through other forms of leave</w:t>
      </w:r>
      <w:r w:rsidRPr="002323D9">
        <w:t>, the provision of public holidays</w:t>
      </w:r>
      <w:r>
        <w:t xml:space="preserve"> is associated with additional benefits due to the co-ordinated nature of the leave</w:t>
      </w:r>
      <w:r w:rsidRPr="002323D9">
        <w:t>.</w:t>
      </w:r>
    </w:p>
    <w:p w:rsidR="000D4FC1" w:rsidRDefault="000D4FC1" w:rsidP="00091AF8">
      <w:pPr>
        <w:pStyle w:val="StylePwCNormalnmajNormalnotetextcvteCNormalnotetext2"/>
      </w:pPr>
      <w:r w:rsidRPr="002323D9">
        <w:t xml:space="preserve">Studies have </w:t>
      </w:r>
      <w:r>
        <w:t>further suggested</w:t>
      </w:r>
      <w:r w:rsidRPr="002323D9">
        <w:t xml:space="preserve"> that the benefits that flow from improved social cohesion and social capital include faster economic growth, better health and lower social costs.</w:t>
      </w:r>
      <w:r w:rsidRPr="002323D9">
        <w:rPr>
          <w:rStyle w:val="FootnoteReference"/>
          <w:szCs w:val="21"/>
        </w:rPr>
        <w:footnoteReference w:id="13"/>
      </w:r>
      <w:r w:rsidRPr="002323D9">
        <w:t xml:space="preserve"> Similar benefits have also been found to be associated with time away from work.</w:t>
      </w:r>
      <w:r>
        <w:rPr>
          <w:rStyle w:val="FootnoteReference"/>
        </w:rPr>
        <w:footnoteReference w:id="14"/>
      </w:r>
    </w:p>
    <w:p w:rsidR="00BE03AE" w:rsidRDefault="00BE03AE" w:rsidP="00801EA7">
      <w:pPr>
        <w:pStyle w:val="StylePwCNormalnmajNormalnotetextcvteCNormalnotetext2"/>
      </w:pPr>
      <w:r>
        <w:t xml:space="preserve">The social and community benefits associated with public holidays are discussed further in </w:t>
      </w:r>
      <w:r>
        <w:fldChar w:fldCharType="begin"/>
      </w:r>
      <w:r>
        <w:instrText xml:space="preserve"> REF _Ref417306681 \n \h </w:instrText>
      </w:r>
      <w:r>
        <w:fldChar w:fldCharType="separate"/>
      </w:r>
      <w:r w:rsidR="00250375">
        <w:t>Appendix B</w:t>
      </w:r>
      <w:r>
        <w:fldChar w:fldCharType="end"/>
      </w:r>
      <w:r>
        <w:t>.</w:t>
      </w:r>
    </w:p>
    <w:p w:rsidR="00507A58" w:rsidRDefault="00507A58" w:rsidP="000C281E">
      <w:pPr>
        <w:pStyle w:val="Minorheading2"/>
      </w:pPr>
      <w:r>
        <w:t>The individual value of leisure time</w:t>
      </w:r>
    </w:p>
    <w:p w:rsidR="00507A58" w:rsidRPr="00BD56F8" w:rsidRDefault="00F45913" w:rsidP="007B0B85">
      <w:pPr>
        <w:pStyle w:val="StylePwCNormalnmajNormalnotetextcvteCNormalnotetext2"/>
      </w:pPr>
      <w:r w:rsidRPr="00C25BC3">
        <w:t xml:space="preserve">To gain some insight </w:t>
      </w:r>
      <w:r w:rsidR="00507A58" w:rsidRPr="004B3853">
        <w:t>i</w:t>
      </w:r>
      <w:r w:rsidRPr="004B3853">
        <w:t xml:space="preserve">nto the potential value that society may place on </w:t>
      </w:r>
      <w:r w:rsidR="00507A58" w:rsidRPr="004B3853">
        <w:t>additional leisure time</w:t>
      </w:r>
      <w:r w:rsidRPr="004B3853">
        <w:t>, it is useful to draw on proxies used in the analysis of infrastructure projects and in other regulatory areas for the value of leisure</w:t>
      </w:r>
      <w:r w:rsidR="00BB6339" w:rsidRPr="00BB6339">
        <w:t xml:space="preserve"> </w:t>
      </w:r>
      <w:r w:rsidR="00BB6339" w:rsidRPr="004B3853">
        <w:t>time</w:t>
      </w:r>
      <w:r w:rsidRPr="004B3853">
        <w:t xml:space="preserve">. </w:t>
      </w:r>
      <w:r w:rsidR="00507A58" w:rsidRPr="00FA0DC6">
        <w:t xml:space="preserve">These proxies aim to capture the idea </w:t>
      </w:r>
      <w:r w:rsidR="00523C9D">
        <w:t>that</w:t>
      </w:r>
      <w:r w:rsidR="00507A58" w:rsidRPr="00BD56F8">
        <w:t xml:space="preserve"> most individuals derive some benefit or value from their leisure time</w:t>
      </w:r>
      <w:r w:rsidR="00E022AD">
        <w:t xml:space="preserve">. While they do not capture the community’s value of collective leisure time, these proxies are considered the most relevant and widely accepted data available for the purposes of the analysis in this RIS. </w:t>
      </w:r>
    </w:p>
    <w:p w:rsidR="00507A58" w:rsidRDefault="00507A58" w:rsidP="000D0FD6">
      <w:pPr>
        <w:pStyle w:val="StylePwCNormalnmajNormalnotetextcvteCNormalnotetext2"/>
      </w:pPr>
      <w:r>
        <w:t>Studies con</w:t>
      </w:r>
      <w:r w:rsidR="00312901">
        <w:t>sidered</w:t>
      </w:r>
      <w:r>
        <w:t xml:space="preserve"> as part of this analysis suggest that the individual value of leisure time could range between 50 per cent</w:t>
      </w:r>
      <w:r w:rsidR="00D07DF1">
        <w:rPr>
          <w:rStyle w:val="FootnoteReference"/>
        </w:rPr>
        <w:footnoteReference w:id="15"/>
      </w:r>
      <w:r>
        <w:t xml:space="preserve"> </w:t>
      </w:r>
      <w:r w:rsidR="003708E6">
        <w:t>and 100 per cent</w:t>
      </w:r>
      <w:r w:rsidR="00FB1F68">
        <w:rPr>
          <w:rStyle w:val="FootnoteReference"/>
        </w:rPr>
        <w:footnoteReference w:id="16"/>
      </w:r>
      <w:r w:rsidR="003708E6">
        <w:t xml:space="preserve"> </w:t>
      </w:r>
      <w:r>
        <w:t>of average earning</w:t>
      </w:r>
      <w:r w:rsidR="00991231">
        <w:t>s</w:t>
      </w:r>
      <w:r>
        <w:t>.</w:t>
      </w:r>
      <w:r w:rsidR="00D07DF1">
        <w:t xml:space="preserve"> </w:t>
      </w:r>
    </w:p>
    <w:p w:rsidR="00F82DAE" w:rsidRDefault="00312901" w:rsidP="000D0FD6">
      <w:pPr>
        <w:pStyle w:val="StylePwCNormalnmajNormalnotetextcvteCNormalnotetext2"/>
      </w:pPr>
      <w:r>
        <w:t>While there is clearly no consensus around the value of leisure – and in fact it will vary depending on the time of day and the importance of the day – these proxies can be used to consider the value of additional leisure</w:t>
      </w:r>
      <w:r w:rsidR="00307783">
        <w:t>.</w:t>
      </w:r>
      <w:r>
        <w:t xml:space="preserve"> Applying the above values</w:t>
      </w:r>
      <w:r w:rsidR="00BB6339">
        <w:t xml:space="preserve"> of leisure time</w:t>
      </w:r>
      <w:r>
        <w:t xml:space="preserve"> of 50 per cent </w:t>
      </w:r>
      <w:r w:rsidR="00F93CC6">
        <w:t xml:space="preserve">and 100 per cent </w:t>
      </w:r>
      <w:r>
        <w:t xml:space="preserve">of the average wage (corresponding </w:t>
      </w:r>
      <w:r w:rsidR="00F93CC6">
        <w:t>to</w:t>
      </w:r>
      <w:r>
        <w:t xml:space="preserve"> $13.50</w:t>
      </w:r>
      <w:r w:rsidR="00307783">
        <w:t> per hour</w:t>
      </w:r>
      <w:r w:rsidR="00F93CC6">
        <w:t xml:space="preserve"> and $27 per hour</w:t>
      </w:r>
      <w:r>
        <w:t>, respectively)</w:t>
      </w:r>
      <w:r w:rsidR="00991231">
        <w:rPr>
          <w:rStyle w:val="FootnoteReference"/>
        </w:rPr>
        <w:footnoteReference w:id="17"/>
      </w:r>
      <w:r w:rsidR="00F82DAE">
        <w:t xml:space="preserve"> suggests that the </w:t>
      </w:r>
      <w:r>
        <w:t xml:space="preserve">benefit to individuals </w:t>
      </w:r>
      <w:r w:rsidR="00F82DAE">
        <w:t>of leisure time</w:t>
      </w:r>
      <w:r w:rsidR="00D606D9">
        <w:t xml:space="preserve"> (not including the value of coordinated leisure time)</w:t>
      </w:r>
      <w:r w:rsidR="00F82DAE">
        <w:t xml:space="preserve"> </w:t>
      </w:r>
      <w:r w:rsidR="00307783">
        <w:t xml:space="preserve">associated with two additional public holidays </w:t>
      </w:r>
      <w:r w:rsidR="00F82DAE">
        <w:t xml:space="preserve">could range between </w:t>
      </w:r>
      <w:r w:rsidR="00F82DAE" w:rsidRPr="00091AF8">
        <w:rPr>
          <w:b/>
        </w:rPr>
        <w:t>$</w:t>
      </w:r>
      <w:r w:rsidR="00177104" w:rsidRPr="00091AF8">
        <w:rPr>
          <w:b/>
        </w:rPr>
        <w:t>1</w:t>
      </w:r>
      <w:r w:rsidR="00177104">
        <w:rPr>
          <w:b/>
        </w:rPr>
        <w:t>56</w:t>
      </w:r>
      <w:r w:rsidR="00177104" w:rsidRPr="00091AF8">
        <w:rPr>
          <w:b/>
        </w:rPr>
        <w:t> </w:t>
      </w:r>
      <w:r w:rsidR="00F82DAE" w:rsidRPr="00091AF8">
        <w:rPr>
          <w:b/>
        </w:rPr>
        <w:t>million</w:t>
      </w:r>
      <w:r w:rsidR="00F82DAE">
        <w:t xml:space="preserve"> and </w:t>
      </w:r>
      <w:r w:rsidR="00F82DAE" w:rsidRPr="00091AF8">
        <w:rPr>
          <w:b/>
        </w:rPr>
        <w:t>$</w:t>
      </w:r>
      <w:r w:rsidR="00F93CC6" w:rsidRPr="00091AF8">
        <w:rPr>
          <w:b/>
        </w:rPr>
        <w:t>3</w:t>
      </w:r>
      <w:r w:rsidR="00177104">
        <w:rPr>
          <w:b/>
        </w:rPr>
        <w:t>12</w:t>
      </w:r>
      <w:r w:rsidR="00F82DAE" w:rsidRPr="00091AF8">
        <w:rPr>
          <w:b/>
        </w:rPr>
        <w:t> million</w:t>
      </w:r>
      <w:r w:rsidR="00F82DAE">
        <w:t xml:space="preserve"> annually.</w:t>
      </w:r>
    </w:p>
    <w:p w:rsidR="00BD7060" w:rsidRDefault="00BD7060" w:rsidP="00091AF8">
      <w:pPr>
        <w:pStyle w:val="StylePwCNormalnmajNormalnotetextcvteCNormalnotetext"/>
        <w:numPr>
          <w:ilvl w:val="0"/>
          <w:numId w:val="26"/>
        </w:numPr>
      </w:pPr>
      <w:r>
        <w:t xml:space="preserve">This range is calculated based on an estimated additional </w:t>
      </w:r>
      <w:r w:rsidR="00177104">
        <w:t>1.5</w:t>
      </w:r>
      <w:r>
        <w:t xml:space="preserve"> million days off for Victorians collectively as a result of the proposed public holidays. </w:t>
      </w:r>
    </w:p>
    <w:p w:rsidR="000D5593" w:rsidRDefault="00F45913" w:rsidP="000D0FD6">
      <w:pPr>
        <w:pStyle w:val="StylePwCNormalnmajNormalnotetextcvteCNormalnotetext2"/>
      </w:pPr>
      <w:r w:rsidRPr="00C25BC3">
        <w:t xml:space="preserve">The challenge is </w:t>
      </w:r>
      <w:r w:rsidR="00F121A9">
        <w:t xml:space="preserve">whether the above proxies are the </w:t>
      </w:r>
      <w:r w:rsidR="00307783">
        <w:t>full</w:t>
      </w:r>
      <w:r w:rsidR="00F121A9">
        <w:t xml:space="preserve"> measure of value</w:t>
      </w:r>
      <w:r w:rsidRPr="00C25BC3">
        <w:t xml:space="preserve"> to place</w:t>
      </w:r>
      <w:r w:rsidR="00A53DEC">
        <w:t xml:space="preserve"> on additional leisure time</w:t>
      </w:r>
      <w:r w:rsidRPr="00C25BC3">
        <w:t xml:space="preserve">. </w:t>
      </w:r>
      <w:r w:rsidR="00A53DEC">
        <w:t xml:space="preserve">To accurately estimate this </w:t>
      </w:r>
      <w:r w:rsidR="00A53DEC" w:rsidRPr="00017DFD">
        <w:t>would require choice modelling, survey</w:t>
      </w:r>
      <w:r w:rsidR="000D4FC1">
        <w:t>s</w:t>
      </w:r>
      <w:r w:rsidR="00A53DEC" w:rsidRPr="00017DFD">
        <w:t xml:space="preserve"> and statistical analysis. </w:t>
      </w:r>
      <w:r w:rsidR="000D5593">
        <w:t xml:space="preserve">Further, the value of leisure time would vary for different individuals, based on their personal preferences and their current amount of leisure time.  For example, an individual that has a significant quantity of leisure time currently would be expected to value an additional day of leisure time less than an individual that has limited leisure time. </w:t>
      </w:r>
    </w:p>
    <w:p w:rsidR="00312901" w:rsidRDefault="000D5593" w:rsidP="000D0FD6">
      <w:pPr>
        <w:pStyle w:val="StylePwCNormalnmajNormalnotetextcvteCNormalnotetext2"/>
      </w:pPr>
      <w:r>
        <w:t>I</w:t>
      </w:r>
      <w:r w:rsidR="00F45913" w:rsidRPr="00C25BC3">
        <w:t xml:space="preserve">t is argued that </w:t>
      </w:r>
      <w:r w:rsidR="00312901">
        <w:t>a</w:t>
      </w:r>
      <w:r w:rsidR="00312901" w:rsidRPr="00C25BC3">
        <w:t xml:space="preserve"> </w:t>
      </w:r>
      <w:r w:rsidR="00F45913" w:rsidRPr="00C25BC3">
        <w:t xml:space="preserve">coordinated day off </w:t>
      </w:r>
      <w:r w:rsidR="00312901">
        <w:t xml:space="preserve">would result in a </w:t>
      </w:r>
      <w:r w:rsidR="00F45913" w:rsidRPr="00C25BC3">
        <w:t>higher value</w:t>
      </w:r>
      <w:r>
        <w:t xml:space="preserve"> of leisure time</w:t>
      </w:r>
      <w:r w:rsidR="00A53DEC">
        <w:t xml:space="preserve"> a</w:t>
      </w:r>
      <w:r w:rsidR="00F45913" w:rsidRPr="00C25BC3">
        <w:t>nd t</w:t>
      </w:r>
      <w:r w:rsidR="00F45913" w:rsidRPr="004B3853">
        <w:t xml:space="preserve">herefore perhaps the </w:t>
      </w:r>
      <w:r w:rsidR="00312901">
        <w:t>proxy to use should be</w:t>
      </w:r>
      <w:r w:rsidR="00F45913" w:rsidRPr="004B3853">
        <w:t xml:space="preserve"> higher than </w:t>
      </w:r>
      <w:r w:rsidR="000D4FC1">
        <w:t>the numbers presented</w:t>
      </w:r>
      <w:r w:rsidR="00F45913" w:rsidRPr="004B3853">
        <w:t>.</w:t>
      </w:r>
      <w:r w:rsidR="00A53DEC">
        <w:rPr>
          <w:rStyle w:val="FootnoteReference"/>
        </w:rPr>
        <w:footnoteReference w:id="18"/>
      </w:r>
      <w:r w:rsidR="00F45913" w:rsidRPr="00C25BC3">
        <w:t xml:space="preserve"> </w:t>
      </w:r>
      <w:r w:rsidR="00A53DEC">
        <w:t xml:space="preserve">On the other hand, </w:t>
      </w:r>
      <w:r w:rsidR="00312901">
        <w:t>the proxies have been used to ref</w:t>
      </w:r>
      <w:r w:rsidR="00A53DEC">
        <w:t xml:space="preserve">lect </w:t>
      </w:r>
      <w:r w:rsidR="00312901">
        <w:t>two important considerations:</w:t>
      </w:r>
    </w:p>
    <w:p w:rsidR="00312901" w:rsidRDefault="00312901" w:rsidP="00C076DA">
      <w:pPr>
        <w:pStyle w:val="ListBullet"/>
      </w:pPr>
      <w:r>
        <w:t>the holidays are mandated and hence individuals are not choosing to consume leisure, but rather it is being imposed</w:t>
      </w:r>
    </w:p>
    <w:p w:rsidR="00312901" w:rsidRDefault="00A53DEC" w:rsidP="00F60380">
      <w:pPr>
        <w:pStyle w:val="ListBullet"/>
      </w:pPr>
      <w:proofErr w:type="gramStart"/>
      <w:r>
        <w:t>some</w:t>
      </w:r>
      <w:proofErr w:type="gramEnd"/>
      <w:r>
        <w:t xml:space="preserve"> employees (such as casuals) may have preferred to work on the day rather than getting an additional day off</w:t>
      </w:r>
      <w:r w:rsidR="00312901">
        <w:t>, and will receive less pay as a result</w:t>
      </w:r>
      <w:r w:rsidR="00F121A9">
        <w:t>.</w:t>
      </w:r>
    </w:p>
    <w:p w:rsidR="00F45913" w:rsidRPr="00BD56F8" w:rsidRDefault="00F45913" w:rsidP="007B0B85">
      <w:pPr>
        <w:pStyle w:val="StylePwCNormalnmajNormalnotetextcvteCNormalnotetext2"/>
      </w:pPr>
      <w:r w:rsidRPr="00FA0DC6">
        <w:t xml:space="preserve">This RIS provides more detail on the expected impacts associated with the proposal, and hence as a consultation document provides </w:t>
      </w:r>
      <w:r w:rsidR="00F121A9">
        <w:t>an</w:t>
      </w:r>
      <w:r w:rsidRPr="00FA0DC6">
        <w:t xml:space="preserve"> opportunity for the community, </w:t>
      </w:r>
      <w:r w:rsidR="003D4E63">
        <w:t>employees</w:t>
      </w:r>
      <w:r w:rsidRPr="00FA0DC6">
        <w:t xml:space="preserve">, employer groups and all citizens more broadly to comment on this potential </w:t>
      </w:r>
      <w:r w:rsidRPr="00BD56F8">
        <w:t>value.</w:t>
      </w:r>
    </w:p>
    <w:p w:rsidR="00BE03AE" w:rsidRDefault="00BE03AE" w:rsidP="00BE03AE">
      <w:pPr>
        <w:pStyle w:val="Minorheading2"/>
      </w:pPr>
      <w:r>
        <w:t>Performance of the options against the Government’s objectives</w:t>
      </w:r>
    </w:p>
    <w:p w:rsidR="00A855AF" w:rsidRDefault="00A855AF" w:rsidP="00A855AF">
      <w:pPr>
        <w:pStyle w:val="StylePwCNormalnmajNormalnotetextcvteCNormalnotetext2"/>
      </w:pPr>
      <w:r w:rsidRPr="00712F5A">
        <w:t>Our</w:t>
      </w:r>
      <w:r>
        <w:t xml:space="preserve"> analysis has not sought to quantify the impact of social and community benefits in the absence of robust information on their size in this context. Qualitative discussion of the options’ performance against the Government’s objectives is however provided below.</w:t>
      </w:r>
    </w:p>
    <w:p w:rsidR="00BE03AE" w:rsidRDefault="00BE03AE" w:rsidP="00BE03AE">
      <w:pPr>
        <w:pStyle w:val="PwCNormal"/>
        <w:spacing w:before="0" w:after="240"/>
      </w:pPr>
      <w:r>
        <w:fldChar w:fldCharType="begin"/>
      </w:r>
      <w:r>
        <w:instrText xml:space="preserve"> REF _Ref416787318 \h </w:instrText>
      </w:r>
      <w:r>
        <w:fldChar w:fldCharType="separate"/>
      </w:r>
      <w:r w:rsidR="00250375">
        <w:t xml:space="preserve">Table </w:t>
      </w:r>
      <w:r w:rsidR="00250375">
        <w:rPr>
          <w:noProof/>
        </w:rPr>
        <w:t>10</w:t>
      </w:r>
      <w:r>
        <w:fldChar w:fldCharType="end"/>
      </w:r>
      <w:r>
        <w:t xml:space="preserve"> provides a ranking of the options in terms of how closely each option is aligned with the Government’s objectives of providing </w:t>
      </w:r>
      <w:r w:rsidRPr="0042716F">
        <w:t>increase</w:t>
      </w:r>
      <w:r>
        <w:t>d</w:t>
      </w:r>
      <w:r w:rsidRPr="0042716F">
        <w:t xml:space="preserve"> opportunities for Victorians to enjoy coordinated </w:t>
      </w:r>
      <w:r>
        <w:t>l</w:t>
      </w:r>
      <w:r w:rsidRPr="0042716F">
        <w:t>eisure time</w:t>
      </w:r>
      <w:r>
        <w:t xml:space="preserve"> and </w:t>
      </w:r>
      <w:r w:rsidRPr="0042716F">
        <w:t>acknowledg</w:t>
      </w:r>
      <w:r>
        <w:t>ing</w:t>
      </w:r>
      <w:r w:rsidRPr="0042716F">
        <w:t xml:space="preserve"> the important role performed by public holidays on significant religious and state occasions in uniting the community</w:t>
      </w:r>
      <w:r>
        <w:t>.</w:t>
      </w:r>
    </w:p>
    <w:p w:rsidR="00BE03AE" w:rsidRDefault="00BE03AE">
      <w:pPr>
        <w:pStyle w:val="Caption"/>
      </w:pPr>
      <w:bookmarkStart w:id="40" w:name="_Ref416787318"/>
      <w:r>
        <w:t xml:space="preserve">Table </w:t>
      </w:r>
      <w:r w:rsidR="00663565">
        <w:fldChar w:fldCharType="begin"/>
      </w:r>
      <w:r w:rsidR="00663565">
        <w:instrText xml:space="preserve"> SEQ Table \* ARABIC </w:instrText>
      </w:r>
      <w:r w:rsidR="00663565">
        <w:fldChar w:fldCharType="separate"/>
      </w:r>
      <w:r w:rsidR="00250375">
        <w:rPr>
          <w:noProof/>
        </w:rPr>
        <w:t>10</w:t>
      </w:r>
      <w:r w:rsidR="00663565">
        <w:rPr>
          <w:noProof/>
        </w:rPr>
        <w:fldChar w:fldCharType="end"/>
      </w:r>
      <w:bookmarkEnd w:id="40"/>
      <w:r>
        <w:t>: Ranking of the options: Social and community impacts</w:t>
      </w:r>
    </w:p>
    <w:tbl>
      <w:tblPr>
        <w:tblStyle w:val="Tables-APBase"/>
        <w:tblW w:w="5000" w:type="pct"/>
        <w:tblLayout w:type="fixed"/>
        <w:tblLook w:val="04A0" w:firstRow="1" w:lastRow="0" w:firstColumn="1" w:lastColumn="0" w:noHBand="0" w:noVBand="1"/>
        <w:tblCaption w:val="Ranking of the options: Social and community impacts"/>
        <w:tblDescription w:val="The table provides a ranking of the options in terms of their expected social and community impacts. Option 1 is ranked first. Option 2 is ranked second. Option 3 is ranked third."/>
      </w:tblPr>
      <w:tblGrid>
        <w:gridCol w:w="2110"/>
        <w:gridCol w:w="2109"/>
        <w:gridCol w:w="2109"/>
        <w:gridCol w:w="2109"/>
      </w:tblGrid>
      <w:tr w:rsidR="00A855AF" w:rsidTr="00091AF8">
        <w:trPr>
          <w:cnfStyle w:val="100000000000" w:firstRow="1" w:lastRow="0" w:firstColumn="0" w:lastColumn="0" w:oddVBand="0" w:evenVBand="0" w:oddHBand="0" w:evenHBand="0" w:firstRowFirstColumn="0" w:firstRowLastColumn="0" w:lastRowFirstColumn="0" w:lastRowLastColumn="0"/>
        </w:trPr>
        <w:tc>
          <w:tcPr>
            <w:cnfStyle w:val="000000000100" w:firstRow="0" w:lastRow="0" w:firstColumn="0" w:lastColumn="0" w:oddVBand="0" w:evenVBand="0" w:oddHBand="0" w:evenHBand="0" w:firstRowFirstColumn="1" w:firstRowLastColumn="0" w:lastRowFirstColumn="0" w:lastRowLastColumn="0"/>
            <w:tcW w:w="1250" w:type="pct"/>
          </w:tcPr>
          <w:p w:rsidR="00A855AF" w:rsidRDefault="00A855AF">
            <w:pPr>
              <w:pStyle w:val="TableColumnHeadingSmall"/>
            </w:pPr>
            <w:r>
              <w:t>Benefit category</w:t>
            </w:r>
          </w:p>
        </w:tc>
        <w:tc>
          <w:tcPr>
            <w:tcW w:w="1250" w:type="pct"/>
          </w:tcPr>
          <w:p w:rsidR="00A855AF" w:rsidRDefault="00A855AF">
            <w:pPr>
              <w:pStyle w:val="TableColumnHeadingSmall"/>
              <w:cnfStyle w:val="100000000000" w:firstRow="1" w:lastRow="0" w:firstColumn="0" w:lastColumn="0" w:oddVBand="0" w:evenVBand="0" w:oddHBand="0" w:evenHBand="0" w:firstRowFirstColumn="0" w:firstRowLastColumn="0" w:lastRowFirstColumn="0" w:lastRowLastColumn="0"/>
            </w:pPr>
            <w:r>
              <w:t>Option 1</w:t>
            </w:r>
          </w:p>
        </w:tc>
        <w:tc>
          <w:tcPr>
            <w:tcW w:w="1250" w:type="pct"/>
          </w:tcPr>
          <w:p w:rsidR="00A855AF" w:rsidRDefault="00A855AF">
            <w:pPr>
              <w:pStyle w:val="TableColumnHeadingSmall"/>
              <w:cnfStyle w:val="100000000000" w:firstRow="1" w:lastRow="0" w:firstColumn="0" w:lastColumn="0" w:oddVBand="0" w:evenVBand="0" w:oddHBand="0" w:evenHBand="0" w:firstRowFirstColumn="0" w:firstRowLastColumn="0" w:lastRowFirstColumn="0" w:lastRowLastColumn="0"/>
            </w:pPr>
            <w:r>
              <w:t>Option 2</w:t>
            </w:r>
          </w:p>
        </w:tc>
        <w:tc>
          <w:tcPr>
            <w:tcW w:w="1250" w:type="pct"/>
          </w:tcPr>
          <w:p w:rsidR="00A855AF" w:rsidRDefault="00A855AF">
            <w:pPr>
              <w:pStyle w:val="TableColumnHeadingSmall"/>
              <w:cnfStyle w:val="100000000000" w:firstRow="1" w:lastRow="0" w:firstColumn="0" w:lastColumn="0" w:oddVBand="0" w:evenVBand="0" w:oddHBand="0" w:evenHBand="0" w:firstRowFirstColumn="0" w:firstRowLastColumn="0" w:lastRowFirstColumn="0" w:lastRowLastColumn="0"/>
            </w:pPr>
            <w:r>
              <w:t>Option 3</w:t>
            </w:r>
          </w:p>
        </w:tc>
      </w:tr>
      <w:tr w:rsidR="00A855AF" w:rsidTr="00091AF8">
        <w:tc>
          <w:tcPr>
            <w:tcW w:w="1250" w:type="pct"/>
          </w:tcPr>
          <w:p w:rsidR="00A855AF" w:rsidRDefault="00A855AF" w:rsidP="00091AF8">
            <w:pPr>
              <w:pStyle w:val="TableTextSmall"/>
              <w:keepNext/>
            </w:pPr>
            <w:r>
              <w:t>Social and community benefits</w:t>
            </w:r>
          </w:p>
        </w:tc>
        <w:tc>
          <w:tcPr>
            <w:tcW w:w="1250" w:type="pct"/>
            <w:vAlign w:val="center"/>
          </w:tcPr>
          <w:p w:rsidR="00A855AF" w:rsidRDefault="00A855AF" w:rsidP="00091AF8">
            <w:pPr>
              <w:pStyle w:val="TableTextSmall"/>
              <w:keepNext/>
              <w:jc w:val="center"/>
            </w:pPr>
            <w:r>
              <w:t>1st</w:t>
            </w:r>
          </w:p>
        </w:tc>
        <w:tc>
          <w:tcPr>
            <w:tcW w:w="1250" w:type="pct"/>
            <w:vAlign w:val="center"/>
          </w:tcPr>
          <w:p w:rsidR="00A855AF" w:rsidRDefault="00A855AF" w:rsidP="00091AF8">
            <w:pPr>
              <w:pStyle w:val="TableTextSmall"/>
              <w:keepNext/>
              <w:jc w:val="center"/>
            </w:pPr>
            <w:r>
              <w:t>2nd</w:t>
            </w:r>
          </w:p>
        </w:tc>
        <w:tc>
          <w:tcPr>
            <w:tcW w:w="1250" w:type="pct"/>
            <w:vAlign w:val="center"/>
          </w:tcPr>
          <w:p w:rsidR="00A855AF" w:rsidRDefault="00A855AF" w:rsidP="00091AF8">
            <w:pPr>
              <w:pStyle w:val="TableTextSmall"/>
              <w:keepNext/>
              <w:jc w:val="center"/>
            </w:pPr>
            <w:r>
              <w:t>3rd</w:t>
            </w:r>
          </w:p>
        </w:tc>
      </w:tr>
    </w:tbl>
    <w:p w:rsidR="00BE03AE" w:rsidRDefault="0078042A" w:rsidP="00091AF8">
      <w:pPr>
        <w:pStyle w:val="Sources"/>
        <w:keepNext/>
      </w:pPr>
      <w:r>
        <w:t>Source: PwC analysis</w:t>
      </w:r>
    </w:p>
    <w:p w:rsidR="00A855AF" w:rsidRDefault="00A855AF" w:rsidP="0018690C">
      <w:pPr>
        <w:pStyle w:val="StylePwCNormalnmajNormalnotetextcvteCNormalnotetext2"/>
      </w:pPr>
      <w:r>
        <w:t xml:space="preserve">As option 1 provides two additional public holidays in the first year of implementation it is expected to be associated with the greatest increase in coordinated leisure time relative to the other options considered. Option 3 provides for only one additional public holiday relative to the </w:t>
      </w:r>
      <w:r>
        <w:rPr>
          <w:i/>
        </w:rPr>
        <w:t xml:space="preserve">status </w:t>
      </w:r>
      <w:r w:rsidRPr="00712F5A">
        <w:rPr>
          <w:i/>
        </w:rPr>
        <w:t>quo</w:t>
      </w:r>
      <w:r>
        <w:t xml:space="preserve">, hence it ranks third out of the considered options in terms of social and community impacts. Option 2 compares closely with option 1 though </w:t>
      </w:r>
      <w:r w:rsidR="00970007">
        <w:t>it is anticipated to generate marginally lower benefits in terms of coordinated leisure time due to delayed implementation of the Friday before the AFL Grand Final holiday.</w:t>
      </w:r>
    </w:p>
    <w:p w:rsidR="00BE03AE" w:rsidRDefault="00BE03AE" w:rsidP="00BE03AE">
      <w:pPr>
        <w:pStyle w:val="Heading7"/>
        <w:spacing w:before="0" w:after="40"/>
      </w:pPr>
      <w:r>
        <w:t>Tourism and sport</w:t>
      </w:r>
    </w:p>
    <w:p w:rsidR="00BE03AE" w:rsidRDefault="00BE03AE" w:rsidP="000D6E9A">
      <w:pPr>
        <w:pStyle w:val="StylePwCNormalnmajNormalnotetextcvteCNormalnotetext2"/>
      </w:pPr>
      <w:r>
        <w:t xml:space="preserve">Public holidays </w:t>
      </w:r>
      <w:r w:rsidR="002443E6">
        <w:t xml:space="preserve">have </w:t>
      </w:r>
      <w:r>
        <w:t>the potential to stimulate Victorian tourism and associated industries, including transport services, restaurants</w:t>
      </w:r>
      <w:r w:rsidR="00FB1F68">
        <w:t xml:space="preserve">, </w:t>
      </w:r>
      <w:r>
        <w:t xml:space="preserve">accommodation providers and retail services. </w:t>
      </w:r>
      <w:r w:rsidR="00D228E4">
        <w:t>Tourism benefits are expected to flow to Victoria through:</w:t>
      </w:r>
    </w:p>
    <w:p w:rsidR="00D228E4" w:rsidRDefault="00D228E4" w:rsidP="00091AF8">
      <w:pPr>
        <w:pStyle w:val="ListBullet"/>
      </w:pPr>
      <w:r>
        <w:t>enhancing the status of existing</w:t>
      </w:r>
      <w:r w:rsidR="00D46B32">
        <w:t xml:space="preserve"> sporting and cultural</w:t>
      </w:r>
      <w:r>
        <w:t xml:space="preserve"> events  and coordinating new events on or surrounding the new public holidays</w:t>
      </w:r>
    </w:p>
    <w:p w:rsidR="00D228E4" w:rsidRDefault="00D228E4" w:rsidP="00091AF8">
      <w:pPr>
        <w:pStyle w:val="ListBullet"/>
      </w:pPr>
      <w:proofErr w:type="gramStart"/>
      <w:r>
        <w:t>increased</w:t>
      </w:r>
      <w:proofErr w:type="gramEnd"/>
      <w:r>
        <w:t xml:space="preserve"> visitation to regional Victoria. </w:t>
      </w:r>
    </w:p>
    <w:p w:rsidR="00BE03AE" w:rsidRDefault="00D116A8" w:rsidP="000C281E">
      <w:pPr>
        <w:pStyle w:val="Minorheading2"/>
      </w:pPr>
      <w:r>
        <w:t>Enhancing existing events</w:t>
      </w:r>
    </w:p>
    <w:p w:rsidR="00BE03AE" w:rsidRDefault="00BE03AE" w:rsidP="000D6E9A">
      <w:pPr>
        <w:pStyle w:val="StylePwCNormalnmajNormalnotetextcvteCNormalnotetext2"/>
      </w:pPr>
      <w:r>
        <w:t>Adding a public holiday for Victoria alongside the</w:t>
      </w:r>
      <w:r w:rsidR="00970007">
        <w:t xml:space="preserve"> AFL Grand Final and the Grand Final Parade</w:t>
      </w:r>
      <w:r>
        <w:t xml:space="preserve"> </w:t>
      </w:r>
      <w:r w:rsidR="00BD7060">
        <w:t xml:space="preserve">provides </w:t>
      </w:r>
      <w:r>
        <w:t>the potential for increasing the</w:t>
      </w:r>
      <w:r w:rsidR="00970007">
        <w:t>se events’</w:t>
      </w:r>
      <w:r>
        <w:t xml:space="preserve"> status over time due to:</w:t>
      </w:r>
    </w:p>
    <w:p w:rsidR="00BE03AE" w:rsidRDefault="00BE03AE" w:rsidP="00091AF8">
      <w:pPr>
        <w:pStyle w:val="ListBullet"/>
      </w:pPr>
      <w:r>
        <w:t xml:space="preserve">increased attendance at </w:t>
      </w:r>
      <w:r w:rsidR="00571BE1">
        <w:t xml:space="preserve">associated </w:t>
      </w:r>
      <w:r>
        <w:t>events as more Victorians will have a day off (noting that attendance at the AFL Grand Final is already at capacity)</w:t>
      </w:r>
    </w:p>
    <w:p w:rsidR="00BE03AE" w:rsidRDefault="00BE03AE" w:rsidP="00091AF8">
      <w:pPr>
        <w:pStyle w:val="ListBullet"/>
      </w:pPr>
      <w:r>
        <w:t>the coordination of further activities associated with the event</w:t>
      </w:r>
      <w:r w:rsidR="00970007">
        <w:t>s</w:t>
      </w:r>
      <w:r>
        <w:t xml:space="preserve"> on the new public holiday</w:t>
      </w:r>
    </w:p>
    <w:p w:rsidR="00BE03AE" w:rsidRDefault="00BE03AE" w:rsidP="00091AF8">
      <w:pPr>
        <w:pStyle w:val="ListBullet"/>
      </w:pPr>
      <w:r>
        <w:t>growth in the ‘festival atmosphere’ in Victoria surrounding these events due to more people having time away from work and the resulting increase in socialising and other community activities</w:t>
      </w:r>
    </w:p>
    <w:p w:rsidR="00BE03AE" w:rsidRDefault="00BE03AE" w:rsidP="00091AF8">
      <w:pPr>
        <w:pStyle w:val="ListBullet"/>
      </w:pPr>
      <w:proofErr w:type="gramStart"/>
      <w:r>
        <w:t>further</w:t>
      </w:r>
      <w:proofErr w:type="gramEnd"/>
      <w:r>
        <w:t xml:space="preserve"> building Victoria’s reputation as a destination for sports fans</w:t>
      </w:r>
      <w:r w:rsidR="00977AF3">
        <w:t xml:space="preserve"> if the </w:t>
      </w:r>
      <w:r w:rsidR="00307783">
        <w:t xml:space="preserve">Friday before the </w:t>
      </w:r>
      <w:r w:rsidR="00F51110">
        <w:t xml:space="preserve">AFL </w:t>
      </w:r>
      <w:r w:rsidR="00307783">
        <w:t>Grand Final</w:t>
      </w:r>
      <w:r w:rsidR="00977AF3">
        <w:t xml:space="preserve"> holiday can be developed into an event of similar attractiveness and importance as Spring Carnival.</w:t>
      </w:r>
      <w:r w:rsidR="003406E2">
        <w:rPr>
          <w:rStyle w:val="FootnoteReference"/>
        </w:rPr>
        <w:footnoteReference w:id="19"/>
      </w:r>
    </w:p>
    <w:p w:rsidR="000D4FC1" w:rsidRDefault="000D4FC1" w:rsidP="00091AF8">
      <w:pPr>
        <w:pStyle w:val="StylePwCNormalnmajNormalnotetextcvteCNormalnotetext2"/>
      </w:pPr>
      <w:r>
        <w:t xml:space="preserve">Public holidays present additional opportunities for leisure activities to be undertaken by those Victorians who are not working. For example, some individuals may be more likely to dine out or to consume other forms of entertainment on a public holiday relative to a normal working day. To the extent that this occurs, this would result in potential benefits (in the form of increased revenue) to some </w:t>
      </w:r>
      <w:r w:rsidR="001E68DD">
        <w:t>employers</w:t>
      </w:r>
      <w:r>
        <w:t xml:space="preserve"> that remain open on public holidays. </w:t>
      </w:r>
    </w:p>
    <w:p w:rsidR="00721578" w:rsidRDefault="00721578" w:rsidP="00091AF8">
      <w:pPr>
        <w:pStyle w:val="StylePwCNormalnmajNormalnotetextcvteCNormalnotetext2"/>
      </w:pPr>
      <w:r>
        <w:t>It is acknowledged that increased consumption on additional public holidays would potentially be partially offset by reduced consumption on other days of the year. Despite this</w:t>
      </w:r>
      <w:r w:rsidR="002443E6">
        <w:t>,</w:t>
      </w:r>
      <w:r>
        <w:t xml:space="preserve"> it is possible that the holidays could generate additional activity that encourages expenditure. For instance, this could occur due to increased interstate or international visitation to the extent that the holidays create additional attractions on the Victorian calendar. </w:t>
      </w:r>
    </w:p>
    <w:p w:rsidR="00D116A8" w:rsidRDefault="00D116A8" w:rsidP="000C281E">
      <w:pPr>
        <w:pStyle w:val="Minorheading2"/>
      </w:pPr>
      <w:r>
        <w:t>Coordination of new sporting and cultural events</w:t>
      </w:r>
    </w:p>
    <w:p w:rsidR="004E7BC4" w:rsidRDefault="004E7BC4" w:rsidP="004E7BC4">
      <w:pPr>
        <w:pStyle w:val="StylePwCNormalnmajNormalnotetextcvteCNormalnotetext2"/>
      </w:pPr>
      <w:r>
        <w:t xml:space="preserve">The Friday before the AFL Grand Final public holiday provides the potential for the creation of </w:t>
      </w:r>
      <w:r w:rsidR="0094391C">
        <w:t xml:space="preserve">complementary </w:t>
      </w:r>
      <w:r>
        <w:t xml:space="preserve">sporting or cultural events alongside the AFL Grand Final. For example, further developing the </w:t>
      </w:r>
      <w:r w:rsidR="00F51110">
        <w:t xml:space="preserve">AFL </w:t>
      </w:r>
      <w:r>
        <w:t xml:space="preserve">Grand Final Parade could provide economic benefits to Victoria. </w:t>
      </w:r>
    </w:p>
    <w:p w:rsidR="004E7BC4" w:rsidRDefault="004E7BC4" w:rsidP="00091AF8">
      <w:pPr>
        <w:pStyle w:val="StylePwCNormalnmajNormalnotetextcvteCNormalnotetext2"/>
        <w:numPr>
          <w:ilvl w:val="0"/>
          <w:numId w:val="0"/>
        </w:numPr>
      </w:pPr>
      <w:r>
        <w:t>Due to the uncertainty around the potential values associated with such events around the AFL Grand Final, the size of this benefit has not been estimated.</w:t>
      </w:r>
    </w:p>
    <w:p w:rsidR="00F121A9" w:rsidRPr="005C1332" w:rsidRDefault="00F121A9" w:rsidP="00091AF8">
      <w:pPr>
        <w:pStyle w:val="StylePwCNormalnmajNormalnotetextcvteCNormalnotetext2"/>
        <w:numPr>
          <w:ilvl w:val="0"/>
          <w:numId w:val="0"/>
        </w:numPr>
      </w:pPr>
      <w:r w:rsidRPr="005C1332">
        <w:t xml:space="preserve">To provide context around the </w:t>
      </w:r>
      <w:r w:rsidR="004E7BC4">
        <w:t xml:space="preserve">potential value such events could take in the future, </w:t>
      </w:r>
      <w:r w:rsidRPr="005C1332">
        <w:t>it</w:t>
      </w:r>
      <w:r w:rsidR="00E21466" w:rsidRPr="005C1332">
        <w:t xml:space="preserve"> i</w:t>
      </w:r>
      <w:r w:rsidRPr="005C1332">
        <w:t>s useful to draw on other studies of similar events. For example:</w:t>
      </w:r>
    </w:p>
    <w:p w:rsidR="00F121A9" w:rsidRPr="005C1332" w:rsidRDefault="00EB0D1E" w:rsidP="006566AE">
      <w:pPr>
        <w:pStyle w:val="ListBullet"/>
      </w:pPr>
      <w:r>
        <w:t>A</w:t>
      </w:r>
      <w:r w:rsidRPr="005C1332">
        <w:t xml:space="preserve"> </w:t>
      </w:r>
      <w:r w:rsidR="00EB54E5" w:rsidRPr="005C1332">
        <w:t>report into the economic impacts for Tasmania of AFL football matches hosted in Launceston in 2014 found that the four games played contributed approximately $28 million to the economy</w:t>
      </w:r>
      <w:r w:rsidR="0094391C">
        <w:t xml:space="preserve"> or an average of $7 million per match</w:t>
      </w:r>
      <w:r w:rsidR="00EB54E5" w:rsidRPr="005C1332">
        <w:t>.</w:t>
      </w:r>
      <w:r w:rsidR="00EB54E5" w:rsidRPr="005C1332">
        <w:rPr>
          <w:rStyle w:val="FootnoteReference"/>
        </w:rPr>
        <w:footnoteReference w:id="20"/>
      </w:r>
      <w:r w:rsidR="00CF2AB8" w:rsidRPr="005C1332">
        <w:t xml:space="preserve"> </w:t>
      </w:r>
    </w:p>
    <w:p w:rsidR="00F121A9" w:rsidRPr="005C1332" w:rsidRDefault="00EB0D1E" w:rsidP="006566AE">
      <w:pPr>
        <w:pStyle w:val="ListBullet"/>
      </w:pPr>
      <w:r>
        <w:t>T</w:t>
      </w:r>
      <w:r w:rsidR="00CF2AB8" w:rsidRPr="005C1332">
        <w:t>he impact of the</w:t>
      </w:r>
      <w:r>
        <w:t xml:space="preserve"> 2011</w:t>
      </w:r>
      <w:r w:rsidR="00CF2AB8" w:rsidRPr="005C1332">
        <w:t xml:space="preserve"> Formula </w:t>
      </w:r>
      <w:r w:rsidR="00BB20CD">
        <w:t>1</w:t>
      </w:r>
      <w:r w:rsidR="00BB20CD" w:rsidRPr="005C1332">
        <w:t xml:space="preserve"> Australian </w:t>
      </w:r>
      <w:r w:rsidR="00CF2AB8" w:rsidRPr="005C1332">
        <w:t xml:space="preserve">Grand Prix </w:t>
      </w:r>
      <w:r w:rsidR="00F121A9" w:rsidRPr="005C1332">
        <w:t>w</w:t>
      </w:r>
      <w:r>
        <w:t>as</w:t>
      </w:r>
      <w:r w:rsidR="00F121A9" w:rsidRPr="005C1332">
        <w:t xml:space="preserve"> estimated to range </w:t>
      </w:r>
      <w:r w:rsidR="00CF2AB8" w:rsidRPr="005C1332">
        <w:t>between $32 million and $39 million for that year.</w:t>
      </w:r>
      <w:r w:rsidR="00CF2AB8" w:rsidRPr="005C1332">
        <w:rPr>
          <w:rStyle w:val="FootnoteReference"/>
        </w:rPr>
        <w:footnoteReference w:id="21"/>
      </w:r>
      <w:r w:rsidR="00CF2AB8" w:rsidRPr="005C1332">
        <w:t xml:space="preserve"> </w:t>
      </w:r>
    </w:p>
    <w:p w:rsidR="00EB54E5" w:rsidRPr="005C1332" w:rsidRDefault="00EB0D1E" w:rsidP="006566AE">
      <w:pPr>
        <w:pStyle w:val="ListBullet"/>
      </w:pPr>
      <w:r>
        <w:t>M</w:t>
      </w:r>
      <w:r w:rsidR="00F121A9" w:rsidRPr="005C1332">
        <w:t>ore recently it was</w:t>
      </w:r>
      <w:r w:rsidR="00CF2AB8" w:rsidRPr="005C1332">
        <w:t xml:space="preserve"> estimated that the economic contribution of the Spring Carnival of racing contributed $195 million to the Victorian economy over four days in 2014.</w:t>
      </w:r>
      <w:r w:rsidR="00CF2AB8" w:rsidRPr="005C1332">
        <w:rPr>
          <w:rStyle w:val="FootnoteReference"/>
        </w:rPr>
        <w:footnoteReference w:id="22"/>
      </w:r>
      <w:r w:rsidR="00CF2AB8" w:rsidRPr="005C1332">
        <w:t xml:space="preserve"> </w:t>
      </w:r>
      <w:r w:rsidR="002B1396" w:rsidRPr="005C1332">
        <w:t xml:space="preserve">Dividing this figure by four implies that a single </w:t>
      </w:r>
      <w:r w:rsidR="00571BE1">
        <w:t xml:space="preserve">racing </w:t>
      </w:r>
      <w:r w:rsidR="002B1396" w:rsidRPr="005C1332">
        <w:t>day’s contribution could be close to $49 million annually.</w:t>
      </w:r>
    </w:p>
    <w:p w:rsidR="00A24ADB" w:rsidRDefault="00F20E75">
      <w:pPr>
        <w:pStyle w:val="StylePwCNormalnmajNormalnotetextcvteCNormalnotetext2"/>
      </w:pPr>
      <w:r w:rsidRPr="005C1332">
        <w:t xml:space="preserve">These figures suggest a possible range for tourism and sport benefits to Victoria that could be associated with the coordination of new events on an additional public holiday. </w:t>
      </w:r>
    </w:p>
    <w:p w:rsidR="00A24ADB" w:rsidRPr="0036733E" w:rsidRDefault="00A24ADB">
      <w:pPr>
        <w:pStyle w:val="StylePwCNormalnmajNormalnotetextcvteCNormalnotetext2"/>
      </w:pPr>
      <w:r>
        <w:t xml:space="preserve">Not all of </w:t>
      </w:r>
      <w:r w:rsidRPr="000D6E9A">
        <w:t>the above studies relate to sporting events that are connected with public holidays</w:t>
      </w:r>
      <w:r>
        <w:t>. T</w:t>
      </w:r>
      <w:r w:rsidRPr="000D6E9A">
        <w:t>hey</w:t>
      </w:r>
      <w:r>
        <w:t xml:space="preserve"> have</w:t>
      </w:r>
      <w:r w:rsidRPr="000D6E9A">
        <w:t xml:space="preserve"> </w:t>
      </w:r>
      <w:r>
        <w:t xml:space="preserve">however </w:t>
      </w:r>
      <w:r w:rsidRPr="000D6E9A">
        <w:t xml:space="preserve">been included </w:t>
      </w:r>
      <w:r w:rsidR="00894E29">
        <w:t>to illustrate</w:t>
      </w:r>
      <w:r w:rsidRPr="000D6E9A">
        <w:t xml:space="preserve"> the potential benefits</w:t>
      </w:r>
      <w:r>
        <w:t xml:space="preserve"> that </w:t>
      </w:r>
      <w:r w:rsidR="00C41B4D">
        <w:t>might flow</w:t>
      </w:r>
      <w:r>
        <w:t xml:space="preserve"> from the creation </w:t>
      </w:r>
      <w:r w:rsidR="00C41B4D">
        <w:t xml:space="preserve">of </w:t>
      </w:r>
      <w:r>
        <w:t xml:space="preserve">additional sporting events on a public holiday. </w:t>
      </w:r>
    </w:p>
    <w:p w:rsidR="00F121A9" w:rsidRPr="005C1332" w:rsidRDefault="003005D5">
      <w:pPr>
        <w:pStyle w:val="StylePwCNormalnmajNormalnotetextcvteCNormalnotetext2"/>
      </w:pPr>
      <w:r>
        <w:t>A further</w:t>
      </w:r>
      <w:r w:rsidRPr="005C1332">
        <w:t xml:space="preserve"> </w:t>
      </w:r>
      <w:r w:rsidR="00F121A9" w:rsidRPr="005C1332">
        <w:t xml:space="preserve">challenge in extending these estimates to </w:t>
      </w:r>
      <w:r w:rsidR="00307783" w:rsidRPr="005C1332">
        <w:t xml:space="preserve">the Friday before the </w:t>
      </w:r>
      <w:r w:rsidR="00F51110">
        <w:t xml:space="preserve">AFL </w:t>
      </w:r>
      <w:r w:rsidR="00307783" w:rsidRPr="005C1332">
        <w:t>Grand Final</w:t>
      </w:r>
      <w:r w:rsidR="00F121A9" w:rsidRPr="005C1332">
        <w:t xml:space="preserve"> is that it will take time for the Friday to build towards the tourism event that we see on Spring Carnival or the Formula 1 Australian Grand Prix.</w:t>
      </w:r>
    </w:p>
    <w:p w:rsidR="00AE0B29" w:rsidRPr="005C1332" w:rsidRDefault="00810CD9" w:rsidP="007B0B85">
      <w:pPr>
        <w:pStyle w:val="StylePwCNormalnmajNormalnotetextcvteCNormalnotetext2"/>
      </w:pPr>
      <w:r w:rsidRPr="005C1332">
        <w:t>T</w:t>
      </w:r>
      <w:r w:rsidR="00F20E75" w:rsidRPr="005C1332">
        <w:t>he AFL Grand Final already attracts a capacity crowd. Therefore the coordination of additional events</w:t>
      </w:r>
      <w:r w:rsidRPr="005C1332">
        <w:t xml:space="preserve"> on the</w:t>
      </w:r>
      <w:r w:rsidR="00F20E75" w:rsidRPr="005C1332">
        <w:t xml:space="preserve"> day before </w:t>
      </w:r>
      <w:r w:rsidRPr="005C1332">
        <w:t xml:space="preserve">the </w:t>
      </w:r>
      <w:r w:rsidR="00F51110">
        <w:t xml:space="preserve">AFL </w:t>
      </w:r>
      <w:r w:rsidRPr="005C1332">
        <w:t xml:space="preserve">Grand Final </w:t>
      </w:r>
      <w:r w:rsidR="00F20E75" w:rsidRPr="005C1332">
        <w:t xml:space="preserve">could not be expected to increase attendance at the </w:t>
      </w:r>
      <w:r w:rsidR="00F51110">
        <w:t xml:space="preserve">AFL </w:t>
      </w:r>
      <w:r w:rsidR="00F20E75" w:rsidRPr="005C1332">
        <w:t xml:space="preserve">Grand Final itself. Tourism Victoria commented that additional facilities and capacity would be required in Victoria (in particular Melbourne) to cater for increased visitors on the </w:t>
      </w:r>
      <w:r w:rsidR="00F51110">
        <w:t xml:space="preserve">AFL </w:t>
      </w:r>
      <w:r w:rsidR="00F20E75" w:rsidRPr="005C1332">
        <w:t xml:space="preserve">Grand Final weekend, as existing accommodation facilities are already heavily subscribed at that time. </w:t>
      </w:r>
    </w:p>
    <w:p w:rsidR="00F20E75" w:rsidRDefault="00D07714" w:rsidP="007B0B85">
      <w:pPr>
        <w:pStyle w:val="StylePwCNormalnmajNormalnotetextcvteCNormalnotetext2"/>
      </w:pPr>
      <w:r>
        <w:t>The AFL has announced its plan</w:t>
      </w:r>
      <w:r w:rsidR="000123EA">
        <w:t xml:space="preserve"> to relocate the </w:t>
      </w:r>
      <w:r w:rsidR="00F51110">
        <w:t xml:space="preserve">AFL </w:t>
      </w:r>
      <w:r w:rsidR="000123EA">
        <w:t>Grand Final Parade</w:t>
      </w:r>
      <w:r w:rsidR="002443E6">
        <w:t>,</w:t>
      </w:r>
      <w:r w:rsidR="000123EA">
        <w:t xml:space="preserve"> which </w:t>
      </w:r>
      <w:r w:rsidR="003C1060">
        <w:t>takes place on</w:t>
      </w:r>
      <w:r w:rsidR="000123EA">
        <w:t xml:space="preserve"> the Friday before the AFL Grand Final.</w:t>
      </w:r>
      <w:r w:rsidR="000123EA">
        <w:rPr>
          <w:rStyle w:val="FootnoteReference"/>
        </w:rPr>
        <w:footnoteReference w:id="23"/>
      </w:r>
      <w:r w:rsidR="000123EA">
        <w:t xml:space="preserve"> </w:t>
      </w:r>
      <w:r w:rsidR="003C1060" w:rsidRPr="00DB5192">
        <w:t xml:space="preserve">The potential sporting-related benefits of the Friday before the </w:t>
      </w:r>
      <w:r w:rsidR="00F51110">
        <w:t>AFL</w:t>
      </w:r>
      <w:r w:rsidR="002443E6">
        <w:t xml:space="preserve"> </w:t>
      </w:r>
      <w:r w:rsidR="003C1060" w:rsidRPr="00DB5192">
        <w:t>Grand Final public holiday will be influenced by the expected number of</w:t>
      </w:r>
      <w:r w:rsidR="000123EA" w:rsidRPr="003C1060">
        <w:t xml:space="preserve"> people </w:t>
      </w:r>
      <w:r w:rsidR="003C1060" w:rsidRPr="00DB5192">
        <w:t xml:space="preserve">that </w:t>
      </w:r>
      <w:r w:rsidR="000123EA" w:rsidRPr="003C1060">
        <w:t>celebrat</w:t>
      </w:r>
      <w:r w:rsidR="003C1060" w:rsidRPr="00DB5192">
        <w:t>e</w:t>
      </w:r>
      <w:r w:rsidR="000123EA" w:rsidRPr="003F4BC4">
        <w:t xml:space="preserve"> the </w:t>
      </w:r>
      <w:r w:rsidR="00F51110">
        <w:t xml:space="preserve">AFL </w:t>
      </w:r>
      <w:r w:rsidR="000123EA" w:rsidRPr="003F4BC4">
        <w:t xml:space="preserve">Grand Final Parade in the </w:t>
      </w:r>
      <w:r w:rsidR="003C1060" w:rsidRPr="00F51110">
        <w:t>future</w:t>
      </w:r>
      <w:r w:rsidR="000123EA">
        <w:t>.</w:t>
      </w:r>
      <w:r w:rsidR="00820C62">
        <w:t xml:space="preserve"> It has </w:t>
      </w:r>
      <w:r w:rsidR="003C1060">
        <w:t xml:space="preserve">also </w:t>
      </w:r>
      <w:r w:rsidR="00820C62">
        <w:t>been reported that</w:t>
      </w:r>
      <w:r w:rsidR="00820C62" w:rsidRPr="00820C62">
        <w:t xml:space="preserve"> </w:t>
      </w:r>
      <w:r w:rsidR="00820C62">
        <w:t>t</w:t>
      </w:r>
      <w:r w:rsidR="00820C62" w:rsidRPr="000123EA">
        <w:t>he</w:t>
      </w:r>
      <w:r w:rsidR="00820C62">
        <w:t xml:space="preserve"> </w:t>
      </w:r>
      <w:r w:rsidR="00307783">
        <w:t xml:space="preserve">Friday before the </w:t>
      </w:r>
      <w:r w:rsidR="00F51110">
        <w:t xml:space="preserve">AFL </w:t>
      </w:r>
      <w:r w:rsidR="00307783">
        <w:t>Grand Final</w:t>
      </w:r>
      <w:r w:rsidR="00820C62">
        <w:t xml:space="preserve"> public holiday could result in a new focus</w:t>
      </w:r>
      <w:r w:rsidR="00820C62" w:rsidRPr="000123EA">
        <w:t xml:space="preserve"> on Thursday night</w:t>
      </w:r>
      <w:r w:rsidR="00820C62">
        <w:t xml:space="preserve"> social activities</w:t>
      </w:r>
      <w:r w:rsidR="00820C62" w:rsidRPr="000123EA">
        <w:t xml:space="preserve">, with Friday </w:t>
      </w:r>
      <w:r w:rsidR="00820C62">
        <w:t xml:space="preserve">shifting </w:t>
      </w:r>
      <w:r w:rsidR="00820C62" w:rsidRPr="000123EA">
        <w:t>to a more family friendly series of events</w:t>
      </w:r>
      <w:r w:rsidR="00820C62">
        <w:t>.</w:t>
      </w:r>
      <w:r w:rsidR="00820C62">
        <w:rPr>
          <w:rStyle w:val="FootnoteReference"/>
        </w:rPr>
        <w:footnoteReference w:id="24"/>
      </w:r>
    </w:p>
    <w:p w:rsidR="00D228E4" w:rsidRDefault="00D228E4" w:rsidP="000C281E">
      <w:pPr>
        <w:pStyle w:val="Minorheading2"/>
      </w:pPr>
      <w:r>
        <w:t>Benefits to regional Victoria</w:t>
      </w:r>
    </w:p>
    <w:p w:rsidR="00D228E4" w:rsidRDefault="00D228E4" w:rsidP="00D228E4">
      <w:pPr>
        <w:pStyle w:val="PwCNormal"/>
        <w:numPr>
          <w:ilvl w:val="0"/>
          <w:numId w:val="0"/>
        </w:numPr>
      </w:pPr>
      <w:r>
        <w:t xml:space="preserve">It is </w:t>
      </w:r>
      <w:r w:rsidR="00E653B6">
        <w:t xml:space="preserve">expected </w:t>
      </w:r>
      <w:r>
        <w:t xml:space="preserve">that an additional long weekend would </w:t>
      </w:r>
      <w:r w:rsidR="00894E29">
        <w:t xml:space="preserve">encourage </w:t>
      </w:r>
      <w:r>
        <w:t>additional trips to regional Victoria</w:t>
      </w:r>
      <w:r w:rsidR="00894E29">
        <w:t>.</w:t>
      </w:r>
      <w:r>
        <w:t xml:space="preserve"> These </w:t>
      </w:r>
      <w:r w:rsidR="00894E29">
        <w:t>would increase</w:t>
      </w:r>
      <w:r>
        <w:t xml:space="preserve"> expenditure on accommodation, food and entertainment services along with less tangible benefits such as increased exposure of Victorian tourist destinations. For example, the regional city of Ballarat experienced a 60 per cent increase in visitors on the Queen’s birthday long weekend in 2013 relative to a normal two-day weekend.</w:t>
      </w:r>
      <w:r>
        <w:rPr>
          <w:rStyle w:val="FootnoteReference"/>
        </w:rPr>
        <w:footnoteReference w:id="25"/>
      </w:r>
    </w:p>
    <w:p w:rsidR="00D228E4" w:rsidRDefault="00D228E4" w:rsidP="00D228E4">
      <w:pPr>
        <w:pStyle w:val="PwCNormal"/>
        <w:spacing w:before="0" w:after="240"/>
      </w:pPr>
      <w:r>
        <w:t xml:space="preserve">Aside from the benefits to regional Victoria of additional visitors, it is likely that cultural events </w:t>
      </w:r>
      <w:r w:rsidR="00894E29">
        <w:t>c</w:t>
      </w:r>
      <w:r>
        <w:t xml:space="preserve">ould be coordinated to coincide with the proposed public holiday on the Friday before the </w:t>
      </w:r>
      <w:r w:rsidR="00F51110">
        <w:t xml:space="preserve">AFL </w:t>
      </w:r>
      <w:r>
        <w:t>Grand Final. The creation of new events in the regions could stimulate local industry, potentially attracting additional visitors from other regions while also encouraging local participation. This is consistent with stakeholder input received as part of the preparation of this RIS:</w:t>
      </w:r>
    </w:p>
    <w:p w:rsidR="00D228E4" w:rsidRDefault="00D228E4" w:rsidP="00D228E4">
      <w:pPr>
        <w:pStyle w:val="ListBullet"/>
      </w:pPr>
      <w:r>
        <w:t xml:space="preserve">the Australian Retailers Association considered that retailers in regional locations could potentially benefit if more people choose to visit regional Victoria as part of the Friday before the </w:t>
      </w:r>
      <w:r w:rsidR="00F51110">
        <w:t xml:space="preserve">AFL </w:t>
      </w:r>
      <w:r>
        <w:t>Grand Final long</w:t>
      </w:r>
      <w:r w:rsidR="005A5B49">
        <w:t xml:space="preserve"> </w:t>
      </w:r>
      <w:r>
        <w:t>weekend</w:t>
      </w:r>
    </w:p>
    <w:p w:rsidR="00D228E4" w:rsidRDefault="00D228E4" w:rsidP="00D228E4">
      <w:pPr>
        <w:pStyle w:val="ListBullet"/>
      </w:pPr>
      <w:proofErr w:type="gramStart"/>
      <w:r>
        <w:t>a</w:t>
      </w:r>
      <w:proofErr w:type="gramEnd"/>
      <w:r>
        <w:t xml:space="preserve"> representative from the Victorian Employers’ Chamber of Commerce and Industry acknowledged that there are some potential benefits for regional businesses from increased tourism and regional events, but that these benefits may not necessarily offset the additional wage costs that these businesses would incur as a result of the public holiday penalty rates.</w:t>
      </w:r>
    </w:p>
    <w:p w:rsidR="00D228E4" w:rsidRPr="005C1332" w:rsidRDefault="00D228E4" w:rsidP="00D228E4">
      <w:pPr>
        <w:pStyle w:val="StylePwCNormalnmajNormalnotetextcvteCNormalnotetext"/>
        <w:tabs>
          <w:tab w:val="clear" w:pos="0"/>
        </w:tabs>
      </w:pPr>
      <w:r>
        <w:t xml:space="preserve">Tourism Victoria </w:t>
      </w:r>
      <w:r w:rsidR="004E7BC4">
        <w:t xml:space="preserve">has </w:t>
      </w:r>
      <w:r w:rsidR="004E7BC4" w:rsidRPr="004E7BC4">
        <w:t xml:space="preserve">indicated that a targeted campaign to encourage Melburnians to travel to the regions </w:t>
      </w:r>
      <w:r w:rsidR="00B5108B">
        <w:t xml:space="preserve">on a new long weekend </w:t>
      </w:r>
      <w:r w:rsidR="004E7BC4" w:rsidRPr="004E7BC4">
        <w:t xml:space="preserve">could result in additional tourism expenditure in regional Victoria of between $17 million and $51 million annually. </w:t>
      </w:r>
    </w:p>
    <w:p w:rsidR="00E653B6" w:rsidRDefault="00E653B6" w:rsidP="00E653B6">
      <w:pPr>
        <w:pStyle w:val="StylePwCNormalnmajNormalnotetextcvteCNormalnotetext2"/>
        <w:numPr>
          <w:ilvl w:val="0"/>
          <w:numId w:val="0"/>
        </w:numPr>
      </w:pPr>
      <w:r>
        <w:t>I</w:t>
      </w:r>
      <w:r w:rsidR="008F24D6">
        <w:t>n the context of this RIS, i</w:t>
      </w:r>
      <w:r>
        <w:t>ncreased tourism within Victoria is not considered a part of the net impacts.</w:t>
      </w:r>
      <w:r w:rsidRPr="0036733E">
        <w:t xml:space="preserve"> </w:t>
      </w:r>
      <w:r w:rsidR="00894E29">
        <w:t>A</w:t>
      </w:r>
      <w:r>
        <w:t xml:space="preserve">ny increase in tourism related expenditure in regional Victoria would be at least partially offset by reduced consumption expenditure in metropolitan Victoria. Any benefits to the regions could be further offset by the </w:t>
      </w:r>
      <w:r w:rsidR="00BA45EA">
        <w:t>potential for some</w:t>
      </w:r>
      <w:r>
        <w:t xml:space="preserve"> Victorians </w:t>
      </w:r>
      <w:r w:rsidR="00BA45EA">
        <w:t>to travel</w:t>
      </w:r>
      <w:r>
        <w:t xml:space="preserve"> interstate on the additional long weekend, leading to reduced </w:t>
      </w:r>
      <w:r w:rsidR="00C41B4D">
        <w:t xml:space="preserve">consumption </w:t>
      </w:r>
      <w:r>
        <w:t>expenditure in Victoria for this cohort.</w:t>
      </w:r>
      <w:r w:rsidR="008F24D6">
        <w:t xml:space="preserve"> The net impact of these effects is uncertain.</w:t>
      </w:r>
    </w:p>
    <w:p w:rsidR="00BE03AE" w:rsidRDefault="00BE03AE" w:rsidP="000C281E">
      <w:pPr>
        <w:pStyle w:val="Minorheading2"/>
      </w:pPr>
      <w:r>
        <w:t>Assessment of the options in terms of tourism and sport</w:t>
      </w:r>
    </w:p>
    <w:p w:rsidR="00BE03AE" w:rsidRDefault="00BE03AE" w:rsidP="00091AF8">
      <w:pPr>
        <w:pStyle w:val="StylePwCNormalnmajNormalnotetextcvteCNormalnotetext2"/>
      </w:pPr>
      <w:r>
        <w:t xml:space="preserve">In differentiating between the impacts of </w:t>
      </w:r>
      <w:r w:rsidR="00970007">
        <w:t>the options</w:t>
      </w:r>
      <w:r>
        <w:t xml:space="preserve"> in terms of benefits to Victorian tourism and sport, Option 1 is expected to provide the greatest potential for increased revenue among businesses associated with tourism and leisure spending. This is because option 1:</w:t>
      </w:r>
    </w:p>
    <w:p w:rsidR="00BE03AE" w:rsidRDefault="00BE03AE" w:rsidP="00091AF8">
      <w:pPr>
        <w:pStyle w:val="ListBullet"/>
      </w:pPr>
      <w:r>
        <w:t>creates two additional public holidays upon which such expenditure could occur</w:t>
      </w:r>
    </w:p>
    <w:p w:rsidR="00BE03AE" w:rsidRDefault="00BE03AE" w:rsidP="00091AF8">
      <w:pPr>
        <w:pStyle w:val="ListBullet"/>
      </w:pPr>
      <w:proofErr w:type="gramStart"/>
      <w:r>
        <w:t>provides</w:t>
      </w:r>
      <w:proofErr w:type="gramEnd"/>
      <w:r>
        <w:t xml:space="preserve"> for implementation of both holidays in the first year.</w:t>
      </w:r>
    </w:p>
    <w:p w:rsidR="00BE03AE" w:rsidRDefault="00BE03AE" w:rsidP="00BE03AE">
      <w:pPr>
        <w:pStyle w:val="StylePwCNormalnmajNormalnotetextcvteCNormalnotetext"/>
        <w:numPr>
          <w:ilvl w:val="0"/>
          <w:numId w:val="26"/>
        </w:numPr>
      </w:pPr>
      <w:r>
        <w:fldChar w:fldCharType="begin"/>
      </w:r>
      <w:r>
        <w:instrText xml:space="preserve"> REF _Ref416787471 \h </w:instrText>
      </w:r>
      <w:r>
        <w:fldChar w:fldCharType="separate"/>
      </w:r>
      <w:r w:rsidR="00250375">
        <w:t xml:space="preserve">Table </w:t>
      </w:r>
      <w:r w:rsidR="00250375">
        <w:rPr>
          <w:noProof/>
        </w:rPr>
        <w:t>11</w:t>
      </w:r>
      <w:r>
        <w:fldChar w:fldCharType="end"/>
      </w:r>
      <w:r>
        <w:t xml:space="preserve"> provides a ranking of the options in terms of expected benefits to tourism and sport in Victoria.</w:t>
      </w:r>
    </w:p>
    <w:p w:rsidR="00BE03AE" w:rsidRDefault="00BE03AE" w:rsidP="00C076DA">
      <w:pPr>
        <w:pStyle w:val="Caption"/>
      </w:pPr>
      <w:bookmarkStart w:id="41" w:name="_Ref416787471"/>
      <w:r>
        <w:t xml:space="preserve">Table </w:t>
      </w:r>
      <w:r w:rsidR="00663565">
        <w:fldChar w:fldCharType="begin"/>
      </w:r>
      <w:r w:rsidR="00663565">
        <w:instrText xml:space="preserve"> SEQ Table \* ARABIC </w:instrText>
      </w:r>
      <w:r w:rsidR="00663565">
        <w:fldChar w:fldCharType="separate"/>
      </w:r>
      <w:r w:rsidR="00250375">
        <w:rPr>
          <w:noProof/>
        </w:rPr>
        <w:t>11</w:t>
      </w:r>
      <w:r w:rsidR="00663565">
        <w:rPr>
          <w:noProof/>
        </w:rPr>
        <w:fldChar w:fldCharType="end"/>
      </w:r>
      <w:bookmarkEnd w:id="41"/>
      <w:r>
        <w:t>: Ranking of the options: Tourism and sport impacts</w:t>
      </w:r>
    </w:p>
    <w:tbl>
      <w:tblPr>
        <w:tblStyle w:val="Tables-APBase"/>
        <w:tblW w:w="5000" w:type="pct"/>
        <w:tblLayout w:type="fixed"/>
        <w:tblLook w:val="04A0" w:firstRow="1" w:lastRow="0" w:firstColumn="1" w:lastColumn="0" w:noHBand="0" w:noVBand="1"/>
        <w:tblCaption w:val="Ranking of the options: Tourism and sport impacts"/>
        <w:tblDescription w:val="The table provides a ranking of the options in terms of their expected tourism and sport impacts. Option 1 is ranked first. Option 2 is ranked second. Option 3 is ranked third."/>
      </w:tblPr>
      <w:tblGrid>
        <w:gridCol w:w="2110"/>
        <w:gridCol w:w="2109"/>
        <w:gridCol w:w="2109"/>
        <w:gridCol w:w="2109"/>
      </w:tblGrid>
      <w:tr w:rsidR="00970007" w:rsidTr="00091AF8">
        <w:trPr>
          <w:cnfStyle w:val="100000000000" w:firstRow="1" w:lastRow="0" w:firstColumn="0" w:lastColumn="0" w:oddVBand="0" w:evenVBand="0" w:oddHBand="0" w:evenHBand="0" w:firstRowFirstColumn="0" w:firstRowLastColumn="0" w:lastRowFirstColumn="0" w:lastRowLastColumn="0"/>
        </w:trPr>
        <w:tc>
          <w:tcPr>
            <w:cnfStyle w:val="000000000100" w:firstRow="0" w:lastRow="0" w:firstColumn="0" w:lastColumn="0" w:oddVBand="0" w:evenVBand="0" w:oddHBand="0" w:evenHBand="0" w:firstRowFirstColumn="1" w:firstRowLastColumn="0" w:lastRowFirstColumn="0" w:lastRowLastColumn="0"/>
            <w:tcW w:w="1250" w:type="pct"/>
          </w:tcPr>
          <w:p w:rsidR="00970007" w:rsidRDefault="00970007" w:rsidP="00F60380">
            <w:pPr>
              <w:pStyle w:val="TableColumnHeadingSmall"/>
            </w:pPr>
            <w:r>
              <w:t>Benefit category</w:t>
            </w:r>
          </w:p>
        </w:tc>
        <w:tc>
          <w:tcPr>
            <w:tcW w:w="1250" w:type="pct"/>
          </w:tcPr>
          <w:p w:rsidR="00970007" w:rsidRDefault="00970007" w:rsidP="00F60380">
            <w:pPr>
              <w:pStyle w:val="TableColumnHeadingSmall"/>
              <w:cnfStyle w:val="100000000000" w:firstRow="1" w:lastRow="0" w:firstColumn="0" w:lastColumn="0" w:oddVBand="0" w:evenVBand="0" w:oddHBand="0" w:evenHBand="0" w:firstRowFirstColumn="0" w:firstRowLastColumn="0" w:lastRowFirstColumn="0" w:lastRowLastColumn="0"/>
            </w:pPr>
            <w:r>
              <w:t>Option 1</w:t>
            </w:r>
          </w:p>
        </w:tc>
        <w:tc>
          <w:tcPr>
            <w:tcW w:w="1250" w:type="pct"/>
          </w:tcPr>
          <w:p w:rsidR="00970007" w:rsidRDefault="00970007" w:rsidP="00F60380">
            <w:pPr>
              <w:pStyle w:val="TableColumnHeadingSmall"/>
              <w:cnfStyle w:val="100000000000" w:firstRow="1" w:lastRow="0" w:firstColumn="0" w:lastColumn="0" w:oddVBand="0" w:evenVBand="0" w:oddHBand="0" w:evenHBand="0" w:firstRowFirstColumn="0" w:firstRowLastColumn="0" w:lastRowFirstColumn="0" w:lastRowLastColumn="0"/>
            </w:pPr>
            <w:r>
              <w:t>Option 2</w:t>
            </w:r>
          </w:p>
        </w:tc>
        <w:tc>
          <w:tcPr>
            <w:tcW w:w="1250" w:type="pct"/>
          </w:tcPr>
          <w:p w:rsidR="00970007" w:rsidRDefault="00970007" w:rsidP="00F60380">
            <w:pPr>
              <w:pStyle w:val="TableColumnHeadingSmall"/>
              <w:cnfStyle w:val="100000000000" w:firstRow="1" w:lastRow="0" w:firstColumn="0" w:lastColumn="0" w:oddVBand="0" w:evenVBand="0" w:oddHBand="0" w:evenHBand="0" w:firstRowFirstColumn="0" w:firstRowLastColumn="0" w:lastRowFirstColumn="0" w:lastRowLastColumn="0"/>
            </w:pPr>
            <w:r>
              <w:t>Option 3</w:t>
            </w:r>
          </w:p>
        </w:tc>
      </w:tr>
      <w:tr w:rsidR="00970007" w:rsidTr="00091AF8">
        <w:tc>
          <w:tcPr>
            <w:tcW w:w="1250" w:type="pct"/>
          </w:tcPr>
          <w:p w:rsidR="00970007" w:rsidRDefault="00970007" w:rsidP="00091AF8">
            <w:pPr>
              <w:pStyle w:val="TableTextSmall"/>
              <w:keepNext/>
            </w:pPr>
            <w:r>
              <w:t>Tourism and sport benefits</w:t>
            </w:r>
          </w:p>
        </w:tc>
        <w:tc>
          <w:tcPr>
            <w:tcW w:w="1250" w:type="pct"/>
            <w:vAlign w:val="center"/>
          </w:tcPr>
          <w:p w:rsidR="00970007" w:rsidRDefault="00970007" w:rsidP="00091AF8">
            <w:pPr>
              <w:pStyle w:val="TableTextSmall"/>
              <w:keepNext/>
              <w:jc w:val="center"/>
            </w:pPr>
            <w:r>
              <w:t>1st</w:t>
            </w:r>
          </w:p>
        </w:tc>
        <w:tc>
          <w:tcPr>
            <w:tcW w:w="1250" w:type="pct"/>
            <w:vAlign w:val="center"/>
          </w:tcPr>
          <w:p w:rsidR="00970007" w:rsidRDefault="00970007" w:rsidP="00091AF8">
            <w:pPr>
              <w:pStyle w:val="TableTextSmall"/>
              <w:keepNext/>
              <w:jc w:val="center"/>
            </w:pPr>
            <w:r>
              <w:t>2nd</w:t>
            </w:r>
          </w:p>
        </w:tc>
        <w:tc>
          <w:tcPr>
            <w:tcW w:w="1250" w:type="pct"/>
            <w:vAlign w:val="center"/>
          </w:tcPr>
          <w:p w:rsidR="00970007" w:rsidRDefault="00970007" w:rsidP="00091AF8">
            <w:pPr>
              <w:pStyle w:val="TableTextSmall"/>
              <w:keepNext/>
              <w:jc w:val="center"/>
            </w:pPr>
            <w:r>
              <w:t>3rd</w:t>
            </w:r>
          </w:p>
        </w:tc>
      </w:tr>
    </w:tbl>
    <w:p w:rsidR="00BE03AE" w:rsidRDefault="0078042A" w:rsidP="00091AF8">
      <w:pPr>
        <w:pStyle w:val="Sources"/>
        <w:keepNext/>
      </w:pPr>
      <w:r>
        <w:t>Source: PwC analysis.</w:t>
      </w:r>
    </w:p>
    <w:p w:rsidR="00BE03AE" w:rsidRDefault="00BE03AE" w:rsidP="00BE03AE">
      <w:pPr>
        <w:pStyle w:val="Heading7"/>
        <w:spacing w:before="0" w:after="40"/>
      </w:pPr>
      <w:r>
        <w:t>Other factors</w:t>
      </w:r>
    </w:p>
    <w:p w:rsidR="00BE03AE" w:rsidRDefault="00BE03AE" w:rsidP="00BE03AE">
      <w:pPr>
        <w:pStyle w:val="StylePwCNormalnmajNormalnotetextcvteCNormalnotetext"/>
        <w:numPr>
          <w:ilvl w:val="0"/>
          <w:numId w:val="26"/>
        </w:numPr>
      </w:pPr>
      <w:r>
        <w:t>There is some discussion in the literature to suggest that modest amounts of time off work can lead to improved productivity for workers in the time they are at work.</w:t>
      </w:r>
      <w:r w:rsidR="00437758">
        <w:rPr>
          <w:rStyle w:val="FootnoteReference"/>
        </w:rPr>
        <w:footnoteReference w:id="26"/>
      </w:r>
      <w:r>
        <w:t xml:space="preserve"> Anecdotally, this is known as ‘recharging the batteries’ or ‘taking a break’. It is also suggested that providing workers with additional paid time off can lead to reduced workplace absenteeism.</w:t>
      </w:r>
    </w:p>
    <w:p w:rsidR="00BE03AE" w:rsidRDefault="00BE03AE" w:rsidP="00BE03AE">
      <w:pPr>
        <w:pStyle w:val="StylePwCNormalnmajNormalnotetextcvteCNormalnotetext"/>
        <w:numPr>
          <w:ilvl w:val="0"/>
          <w:numId w:val="26"/>
        </w:numPr>
      </w:pPr>
      <w:r>
        <w:t xml:space="preserve">This view was not strongly held by those consulted in the development of this RIS. Further, it was not seen as a primary reason to introduce additional public holidays. Therefore, the RIS acknowledges the potential for this benefit, but has not quantified the impacts. </w:t>
      </w:r>
    </w:p>
    <w:p w:rsidR="00BE03AE" w:rsidRDefault="00BE03AE" w:rsidP="00BE03AE">
      <w:pPr>
        <w:pStyle w:val="Heading7"/>
        <w:spacing w:before="0" w:after="40"/>
      </w:pPr>
      <w:bookmarkStart w:id="42" w:name="_Ref416786887"/>
      <w:r>
        <w:t>Losses due to reduced economic activity</w:t>
      </w:r>
      <w:bookmarkEnd w:id="42"/>
    </w:p>
    <w:p w:rsidR="00BE03AE" w:rsidRDefault="00BE03AE" w:rsidP="00BE03AE">
      <w:pPr>
        <w:pStyle w:val="Minorheading2"/>
      </w:pPr>
      <w:r>
        <w:t>Overview</w:t>
      </w:r>
    </w:p>
    <w:p w:rsidR="00BE03AE" w:rsidRDefault="00BE03AE" w:rsidP="00091AF8">
      <w:pPr>
        <w:pStyle w:val="StylePwCNormalnmajNormalnotetextcvteCNormalnotetext2"/>
      </w:pPr>
      <w:r>
        <w:t xml:space="preserve">There will be a cost to the economy associated with employees not working on a day that they would otherwise have worked. </w:t>
      </w:r>
    </w:p>
    <w:p w:rsidR="00BE03AE" w:rsidRDefault="00BE03AE" w:rsidP="00091AF8">
      <w:pPr>
        <w:pStyle w:val="StylePwCNormalnmajNormalnotetextcvteCNormalnotetext2"/>
      </w:pPr>
      <w:r>
        <w:t xml:space="preserve">For those employers that choose not to operate on the new public holidays, there would be a reduction in their production. The economic value attached to this reduced production would be lost, which represents a net loss or cost to Victoria.  </w:t>
      </w:r>
    </w:p>
    <w:p w:rsidR="00BE03AE" w:rsidRDefault="00BE03AE" w:rsidP="00091AF8">
      <w:pPr>
        <w:pStyle w:val="StylePwCNormalnmajNormalnotetextcvteCNormalnotetext2"/>
      </w:pPr>
      <w:r>
        <w:t xml:space="preserve">To estimate the value of this foregone output, we have </w:t>
      </w:r>
      <w:r w:rsidR="004C5804">
        <w:t>used</w:t>
      </w:r>
      <w:r>
        <w:t xml:space="preserve"> Australian Bureau of Statistics (ABS) data on gross state product (GSP) by industry in Victoria.</w:t>
      </w:r>
      <w:r w:rsidR="00BD56F8">
        <w:rPr>
          <w:rStyle w:val="FootnoteReference"/>
        </w:rPr>
        <w:footnoteReference w:id="27"/>
      </w:r>
      <w:r>
        <w:t xml:space="preserve"> We then applied several assumptions which have been informed by publicly available information and discussions with stakeholders.</w:t>
      </w:r>
      <w:r w:rsidR="004C5804">
        <w:t xml:space="preserve"> These assumptions are detailed in Appendix A.</w:t>
      </w:r>
      <w:r>
        <w:t xml:space="preserve"> </w:t>
      </w:r>
    </w:p>
    <w:p w:rsidR="00BE03AE" w:rsidRDefault="00BE03AE" w:rsidP="000D6E9A">
      <w:pPr>
        <w:pStyle w:val="StylePwCNormalnmajNormalnotetextcvteCNormalnotetext2"/>
      </w:pPr>
      <w:r>
        <w:t>The key assumptions relate to:</w:t>
      </w:r>
    </w:p>
    <w:p w:rsidR="00BE03AE" w:rsidRDefault="00BE03AE" w:rsidP="00091AF8">
      <w:pPr>
        <w:pStyle w:val="ListBullet"/>
      </w:pPr>
      <w:r>
        <w:t xml:space="preserve">the proportion of employers that would not operate on the public holidays </w:t>
      </w:r>
    </w:p>
    <w:p w:rsidR="00BE03AE" w:rsidRDefault="00BE03AE" w:rsidP="00091AF8">
      <w:pPr>
        <w:pStyle w:val="ListBullet"/>
      </w:pPr>
      <w:proofErr w:type="gramStart"/>
      <w:r>
        <w:t>the</w:t>
      </w:r>
      <w:proofErr w:type="gramEnd"/>
      <w:r>
        <w:t xml:space="preserve"> proportion of annual output produced on a single weekday and on a single weekend day.</w:t>
      </w:r>
    </w:p>
    <w:p w:rsidR="00BE03AE" w:rsidRDefault="00BE03AE" w:rsidP="000C281E">
      <w:pPr>
        <w:pStyle w:val="Minorheading2"/>
      </w:pPr>
      <w:r>
        <w:t>Potential non-operation due to the public holidays</w:t>
      </w:r>
      <w:r w:rsidR="00312538">
        <w:t xml:space="preserve"> (business closures)</w:t>
      </w:r>
    </w:p>
    <w:p w:rsidR="00BE03AE" w:rsidRDefault="00BE03AE" w:rsidP="00091AF8">
      <w:pPr>
        <w:pStyle w:val="StylePwCNormalnmajNormalnotetextcvteCNormalnotetext2"/>
      </w:pPr>
      <w:r>
        <w:t xml:space="preserve">Through consultation with stakeholders, we have sought to identify the extent </w:t>
      </w:r>
      <w:r w:rsidR="002443E6">
        <w:t xml:space="preserve">to which </w:t>
      </w:r>
      <w:r>
        <w:t xml:space="preserve">employers </w:t>
      </w:r>
      <w:r w:rsidR="002443E6">
        <w:t xml:space="preserve">would choose </w:t>
      </w:r>
      <w:r>
        <w:t xml:space="preserve">not to operate on the proposed additional public holidays (where they would otherwise have operated). </w:t>
      </w:r>
    </w:p>
    <w:p w:rsidR="00BE03AE" w:rsidRDefault="00BE03AE" w:rsidP="00091AF8">
      <w:pPr>
        <w:pStyle w:val="StylePwCNormalnmajNormalnotetextcvteCNormalnotetext2"/>
      </w:pPr>
      <w:r>
        <w:t>Our assumptions in this respect vary by industry and by day of the week. For example, many employers operate on Monday to Friday only and hence would not be affected by a public holiday on Easter Sunday</w:t>
      </w:r>
      <w:r w:rsidR="00635A00">
        <w:t>.</w:t>
      </w:r>
      <w:r>
        <w:t xml:space="preserve"> </w:t>
      </w:r>
    </w:p>
    <w:p w:rsidR="00BE03AE" w:rsidRDefault="00BE03AE" w:rsidP="00091AF8">
      <w:pPr>
        <w:pStyle w:val="StylePwCNormalnmajNormalnotetextcvteCNormalnotetext2"/>
      </w:pPr>
      <w:r>
        <w:t>Other employers operat</w:t>
      </w:r>
      <w:r w:rsidR="00635A00">
        <w:t>e</w:t>
      </w:r>
      <w:r>
        <w:t xml:space="preserve"> up to seven days a week</w:t>
      </w:r>
      <w:r w:rsidR="00635A00">
        <w:t xml:space="preserve"> and </w:t>
      </w:r>
      <w:r>
        <w:t xml:space="preserve">would potentially be affected by both a weekday public holiday and an Easter Sunday public holiday. This means that these employers could potentially close on both days. </w:t>
      </w:r>
    </w:p>
    <w:p w:rsidR="00BE03AE" w:rsidRDefault="00BE03AE" w:rsidP="00091AF8">
      <w:pPr>
        <w:pStyle w:val="StylePwCNormalnmajNormalnotetextcvteCNormalnotetext2"/>
      </w:pPr>
      <w:r>
        <w:t xml:space="preserve">Our assumptions also vary according to the </w:t>
      </w:r>
      <w:r w:rsidRPr="00E87C79">
        <w:rPr>
          <w:i/>
        </w:rPr>
        <w:t>proportion</w:t>
      </w:r>
      <w:r>
        <w:t xml:space="preserve"> of employers in an industry that would potentially close on those days. </w:t>
      </w:r>
      <w:r w:rsidR="00924293">
        <w:t>W</w:t>
      </w:r>
      <w:r>
        <w:t xml:space="preserve">hile businesses in retail could be affected by both a weekday and a weekend public holiday, the proportion of retailers that would consider closing on those days could be different than other industries such as </w:t>
      </w:r>
      <w:r w:rsidR="00924293">
        <w:t>finance</w:t>
      </w:r>
      <w:r>
        <w:t xml:space="preserve">. </w:t>
      </w:r>
    </w:p>
    <w:p w:rsidR="00BE03AE" w:rsidRDefault="00BE03AE" w:rsidP="000C281E">
      <w:pPr>
        <w:pStyle w:val="Minorheading2"/>
      </w:pPr>
      <w:r>
        <w:t>The proportion of annual output produced on a single weekday and on a single weekend day</w:t>
      </w:r>
    </w:p>
    <w:p w:rsidR="00BE03AE" w:rsidRDefault="00BE03AE" w:rsidP="00BE03AE">
      <w:pPr>
        <w:pStyle w:val="StylePwCNormalnmajNormalnotetextcvteCNormalnotetext"/>
        <w:numPr>
          <w:ilvl w:val="0"/>
          <w:numId w:val="26"/>
        </w:numPr>
      </w:pPr>
      <w:r>
        <w:t xml:space="preserve">Our approach to estimating the impact of reduced economic activity is based on the extent of potential business closures, along with the amount of lost production that would be associated with those closures. This amount is calculated using information on annual production by industry in Victoria. </w:t>
      </w:r>
    </w:p>
    <w:p w:rsidR="003417F2" w:rsidRDefault="00BE03AE" w:rsidP="00790F1F">
      <w:pPr>
        <w:pStyle w:val="StylePwCNormalnmajNormalnotetextcvteCNormalnotetext"/>
        <w:numPr>
          <w:ilvl w:val="0"/>
          <w:numId w:val="26"/>
        </w:numPr>
      </w:pPr>
      <w:r>
        <w:t>Different levels of output are assumed to occur on weekdays relative to weekend days. This is because, for many industries, most employers operate on a Monday to Friday only basis. For these industries, the amount of annual output is estimated to be spread across approximately 250 days of production. In other industries it is more common for employers to operate on any of the seven days of the week. In these industries, annual output is estimated to be spread over as many as 363 days of the year</w:t>
      </w:r>
      <w:r w:rsidR="00480E79">
        <w:t xml:space="preserve"> (i.e. excluding Christmas Day and New Years’ Day)</w:t>
      </w:r>
      <w:r>
        <w:t xml:space="preserve">. Our assumptions in these respects are detailed further in </w:t>
      </w:r>
      <w:r>
        <w:fldChar w:fldCharType="begin"/>
      </w:r>
      <w:r>
        <w:instrText xml:space="preserve"> REF _Ref417306697 \n \h </w:instrText>
      </w:r>
      <w:r>
        <w:fldChar w:fldCharType="separate"/>
      </w:r>
      <w:r w:rsidR="00250375">
        <w:t>Appendix A</w:t>
      </w:r>
      <w:r>
        <w:fldChar w:fldCharType="end"/>
      </w:r>
      <w:r>
        <w:t xml:space="preserve">. </w:t>
      </w:r>
    </w:p>
    <w:p w:rsidR="0084248C" w:rsidRDefault="00C64744" w:rsidP="0084248C">
      <w:pPr>
        <w:pStyle w:val="StylePwCNormalnmajNormalnotetextcvteCNormalnotetext"/>
        <w:numPr>
          <w:ilvl w:val="0"/>
          <w:numId w:val="26"/>
        </w:numPr>
      </w:pPr>
      <w:r>
        <w:t xml:space="preserve">It is assumed that employers that remain open on public holidays will produce on average the same amount as other similar trading days. It is acknowledged however that some employers will produce more </w:t>
      </w:r>
      <w:r w:rsidR="00975532">
        <w:t>and some may have fewer sales</w:t>
      </w:r>
      <w:r>
        <w:t xml:space="preserve"> on a public holiday than they would have otherwise. Because of the varied outcomes for different employers in this respect, the model has made the simplifying assumption that on average, production </w:t>
      </w:r>
      <w:r w:rsidR="00975532">
        <w:t>for those employers who remain open</w:t>
      </w:r>
      <w:r>
        <w:t xml:space="preserve"> would be the same as on a similar trading day absent the public holiday</w:t>
      </w:r>
      <w:r w:rsidR="0084248C">
        <w:t>.</w:t>
      </w:r>
      <w:r w:rsidR="0084248C">
        <w:rPr>
          <w:rStyle w:val="FootnoteReference"/>
        </w:rPr>
        <w:footnoteReference w:id="28"/>
      </w:r>
    </w:p>
    <w:p w:rsidR="00BE03AE" w:rsidRDefault="00BE03AE" w:rsidP="000C281E">
      <w:pPr>
        <w:pStyle w:val="Minorheading2"/>
      </w:pPr>
      <w:r>
        <w:t>Government services</w:t>
      </w:r>
    </w:p>
    <w:p w:rsidR="00BE03AE" w:rsidRDefault="00BE03AE" w:rsidP="00091AF8">
      <w:pPr>
        <w:pStyle w:val="StylePwCNormalnmajNormalnotetextcvteCNormalnotetext2"/>
      </w:pPr>
      <w:r>
        <w:t xml:space="preserve">Additional assumptions are made in relation to provision of </w:t>
      </w:r>
      <w:r w:rsidR="003406E2">
        <w:t>government</w:t>
      </w:r>
      <w:r>
        <w:t xml:space="preserve"> services and the proportion of foregone </w:t>
      </w:r>
      <w:r w:rsidR="003406E2">
        <w:t>government</w:t>
      </w:r>
      <w:r>
        <w:t xml:space="preserve"> revenue associated with employer closures and reduced trade on these days. Affected government services include emergency, health and essential services to the extent that these are provided by government. We have relied on top-down estimates of the proportion of these services delivered by </w:t>
      </w:r>
      <w:r w:rsidR="003406E2">
        <w:t>government</w:t>
      </w:r>
      <w:r>
        <w:t xml:space="preserve"> in order to estimate the overall impact on </w:t>
      </w:r>
      <w:r w:rsidR="003406E2">
        <w:t>government</w:t>
      </w:r>
      <w:r>
        <w:t>.</w:t>
      </w:r>
    </w:p>
    <w:p w:rsidR="00BE03AE" w:rsidRDefault="00BE03AE" w:rsidP="00662090">
      <w:pPr>
        <w:pStyle w:val="StylePwCNormalnmajNormalnotetextcvteCNormalnotetext2"/>
      </w:pPr>
      <w:r>
        <w:fldChar w:fldCharType="begin"/>
      </w:r>
      <w:r>
        <w:instrText xml:space="preserve"> REF _Ref417306715 \n \h </w:instrText>
      </w:r>
      <w:r>
        <w:fldChar w:fldCharType="separate"/>
      </w:r>
      <w:r w:rsidR="00250375">
        <w:t>Appendix A</w:t>
      </w:r>
      <w:r>
        <w:fldChar w:fldCharType="end"/>
      </w:r>
      <w:r>
        <w:t xml:space="preserve"> provides further information on our assumptions in this regard.</w:t>
      </w:r>
    </w:p>
    <w:p w:rsidR="00BE03AE" w:rsidRDefault="00BE03AE" w:rsidP="00BE03AE">
      <w:pPr>
        <w:pStyle w:val="Minorheading2"/>
      </w:pPr>
      <w:r>
        <w:t>Assessment of the options: losses associated with foregone economic value</w:t>
      </w:r>
    </w:p>
    <w:p w:rsidR="00BE03AE" w:rsidRDefault="00BE03AE" w:rsidP="00C56D87">
      <w:pPr>
        <w:pStyle w:val="StylePwCNormalnmajNormalnotetextcvteCNormalnotetext2"/>
      </w:pPr>
      <w:r>
        <w:fldChar w:fldCharType="begin"/>
      </w:r>
      <w:r>
        <w:instrText xml:space="preserve"> REF _Ref416449700 \h </w:instrText>
      </w:r>
      <w:r>
        <w:fldChar w:fldCharType="separate"/>
      </w:r>
      <w:r w:rsidR="00250375">
        <w:t xml:space="preserve">Table </w:t>
      </w:r>
      <w:r w:rsidR="00250375">
        <w:rPr>
          <w:noProof/>
        </w:rPr>
        <w:t>12</w:t>
      </w:r>
      <w:r>
        <w:fldChar w:fldCharType="end"/>
      </w:r>
      <w:r>
        <w:t xml:space="preserve"> provides a summary of the estimated impact of each of the considered options in terms of reduced economic activity in Victoria. It shows that under option 1, the lost production resulting from the two additional public holidays equates to between $</w:t>
      </w:r>
      <w:r w:rsidR="00177104">
        <w:t>717 </w:t>
      </w:r>
      <w:r>
        <w:t>million and $</w:t>
      </w:r>
      <w:r w:rsidR="00177104">
        <w:t>898</w:t>
      </w:r>
      <w:r>
        <w:t xml:space="preserve"> million in annual terms.  </w:t>
      </w:r>
    </w:p>
    <w:p w:rsidR="00BE03AE" w:rsidRDefault="00BE03AE">
      <w:pPr>
        <w:pStyle w:val="Caption"/>
      </w:pPr>
      <w:bookmarkStart w:id="43" w:name="_Ref416449700"/>
      <w:r>
        <w:t xml:space="preserve">Table </w:t>
      </w:r>
      <w:r w:rsidR="00663565">
        <w:fldChar w:fldCharType="begin"/>
      </w:r>
      <w:r w:rsidR="00663565">
        <w:instrText xml:space="preserve"> SEQ Table \* ARABI</w:instrText>
      </w:r>
      <w:r w:rsidR="00663565">
        <w:instrText xml:space="preserve">C </w:instrText>
      </w:r>
      <w:r w:rsidR="00663565">
        <w:fldChar w:fldCharType="separate"/>
      </w:r>
      <w:r w:rsidR="00250375">
        <w:rPr>
          <w:noProof/>
        </w:rPr>
        <w:t>12</w:t>
      </w:r>
      <w:r w:rsidR="00663565">
        <w:rPr>
          <w:noProof/>
        </w:rPr>
        <w:fldChar w:fldCharType="end"/>
      </w:r>
      <w:bookmarkEnd w:id="43"/>
      <w:r>
        <w:t>: Estimated impact of the options in terms of reduced economic activity</w:t>
      </w:r>
    </w:p>
    <w:tbl>
      <w:tblPr>
        <w:tblStyle w:val="Tables-APBase"/>
        <w:tblW w:w="5000" w:type="pct"/>
        <w:tblLook w:val="04A0" w:firstRow="1" w:lastRow="0" w:firstColumn="1" w:lastColumn="0" w:noHBand="0" w:noVBand="1"/>
        <w:tblCaption w:val="Estimated impact of the options in terms of reduced economic activity"/>
        <w:tblDescription w:val="The table provides the estimated impacts of the options in terms of the reduced economic activity. The estimates are presented in Australian dollar millions annually in columns two and three, and in net present value terms over 10 years in Australian dollar millions in columns four and five."/>
      </w:tblPr>
      <w:tblGrid>
        <w:gridCol w:w="1590"/>
        <w:gridCol w:w="1753"/>
        <w:gridCol w:w="1753"/>
        <w:gridCol w:w="1588"/>
        <w:gridCol w:w="1753"/>
      </w:tblGrid>
      <w:tr w:rsidR="00BE03AE" w:rsidRPr="002D64B2" w:rsidTr="00091AF8">
        <w:trPr>
          <w:cnfStyle w:val="100000000000" w:firstRow="1" w:lastRow="0" w:firstColumn="0" w:lastColumn="0" w:oddVBand="0" w:evenVBand="0" w:oddHBand="0" w:evenHBand="0" w:firstRowFirstColumn="0" w:firstRowLastColumn="0" w:lastRowFirstColumn="0" w:lastRowLastColumn="0"/>
          <w:trHeight w:val="450"/>
        </w:trPr>
        <w:tc>
          <w:tcPr>
            <w:cnfStyle w:val="000000000100" w:firstRow="0" w:lastRow="0" w:firstColumn="0" w:lastColumn="0" w:oddVBand="0" w:evenVBand="0" w:oddHBand="0" w:evenHBand="0" w:firstRowFirstColumn="1" w:firstRowLastColumn="0" w:lastRowFirstColumn="0" w:lastRowLastColumn="0"/>
            <w:tcW w:w="942" w:type="pct"/>
            <w:vMerge w:val="restart"/>
            <w:vAlign w:val="center"/>
            <w:hideMark/>
          </w:tcPr>
          <w:p w:rsidR="00BE03AE" w:rsidRPr="002D64B2" w:rsidRDefault="00BE03AE">
            <w:pPr>
              <w:keepNext/>
              <w:kinsoku/>
              <w:overflowPunct/>
              <w:autoSpaceDE/>
              <w:autoSpaceDN/>
              <w:adjustRightInd/>
              <w:snapToGrid/>
              <w:jc w:val="center"/>
              <w:rPr>
                <w:rFonts w:ascii="Arial" w:hAnsi="Arial"/>
                <w:b/>
                <w:bCs/>
                <w:snapToGrid/>
                <w:color w:val="A32020"/>
                <w:sz w:val="16"/>
                <w:szCs w:val="16"/>
                <w:lang w:eastAsia="en-AU"/>
              </w:rPr>
            </w:pPr>
            <w:r w:rsidRPr="002D64B2">
              <w:rPr>
                <w:rFonts w:ascii="Arial" w:hAnsi="Arial"/>
                <w:b/>
                <w:bCs/>
                <w:snapToGrid/>
                <w:color w:val="A32020"/>
                <w:sz w:val="16"/>
                <w:szCs w:val="16"/>
                <w:lang w:eastAsia="en-AU"/>
              </w:rPr>
              <w:t>Option</w:t>
            </w:r>
          </w:p>
        </w:tc>
        <w:tc>
          <w:tcPr>
            <w:tcW w:w="2078" w:type="pct"/>
            <w:gridSpan w:val="2"/>
            <w:vAlign w:val="center"/>
            <w:hideMark/>
          </w:tcPr>
          <w:p w:rsidR="00BE03AE" w:rsidRPr="002D64B2" w:rsidRDefault="00BE03AE">
            <w:pPr>
              <w:keepNext/>
              <w:kinsoku/>
              <w:overflowPunct/>
              <w:autoSpaceDE/>
              <w:autoSpaceDN/>
              <w:adjustRightInd/>
              <w:snapToGrid/>
              <w:cnfStyle w:val="100000000000" w:firstRow="1" w:lastRow="0" w:firstColumn="0" w:lastColumn="0" w:oddVBand="0" w:evenVBand="0" w:oddHBand="0" w:evenHBand="0" w:firstRowFirstColumn="0" w:firstRowLastColumn="0" w:lastRowFirstColumn="0" w:lastRowLastColumn="0"/>
              <w:rPr>
                <w:rFonts w:ascii="Arial" w:hAnsi="Arial"/>
                <w:b/>
                <w:bCs/>
                <w:snapToGrid/>
                <w:color w:val="A32020"/>
                <w:sz w:val="16"/>
                <w:szCs w:val="16"/>
                <w:lang w:eastAsia="en-AU"/>
              </w:rPr>
            </w:pPr>
            <w:r w:rsidRPr="002D64B2">
              <w:rPr>
                <w:rFonts w:ascii="Arial" w:hAnsi="Arial"/>
                <w:b/>
                <w:bCs/>
                <w:snapToGrid/>
                <w:color w:val="A32020"/>
                <w:sz w:val="16"/>
                <w:szCs w:val="16"/>
                <w:lang w:eastAsia="en-AU"/>
              </w:rPr>
              <w:t>Foregone economic value annualised $m</w:t>
            </w:r>
          </w:p>
        </w:tc>
        <w:tc>
          <w:tcPr>
            <w:tcW w:w="1980" w:type="pct"/>
            <w:gridSpan w:val="2"/>
            <w:vAlign w:val="center"/>
            <w:hideMark/>
          </w:tcPr>
          <w:p w:rsidR="00BE03AE" w:rsidRPr="002D64B2" w:rsidRDefault="00BE03AE">
            <w:pPr>
              <w:keepNext/>
              <w:kinsoku/>
              <w:overflowPunct/>
              <w:autoSpaceDE/>
              <w:autoSpaceDN/>
              <w:adjustRightInd/>
              <w:snapToGrid/>
              <w:cnfStyle w:val="100000000000" w:firstRow="1" w:lastRow="0" w:firstColumn="0" w:lastColumn="0" w:oddVBand="0" w:evenVBand="0" w:oddHBand="0" w:evenHBand="0" w:firstRowFirstColumn="0" w:firstRowLastColumn="0" w:lastRowFirstColumn="0" w:lastRowLastColumn="0"/>
              <w:rPr>
                <w:rFonts w:ascii="Arial" w:hAnsi="Arial"/>
                <w:b/>
                <w:bCs/>
                <w:snapToGrid/>
                <w:color w:val="A32020"/>
                <w:sz w:val="16"/>
                <w:szCs w:val="16"/>
                <w:lang w:eastAsia="en-AU"/>
              </w:rPr>
            </w:pPr>
            <w:r w:rsidRPr="002D64B2">
              <w:rPr>
                <w:rFonts w:ascii="Arial" w:hAnsi="Arial"/>
                <w:b/>
                <w:bCs/>
                <w:snapToGrid/>
                <w:color w:val="A32020"/>
                <w:sz w:val="16"/>
                <w:szCs w:val="16"/>
                <w:lang w:eastAsia="en-AU"/>
              </w:rPr>
              <w:t>Foregone economic value NPV $m</w:t>
            </w:r>
          </w:p>
        </w:tc>
      </w:tr>
      <w:tr w:rsidR="00BE03AE" w:rsidRPr="002D64B2" w:rsidTr="00091AF8">
        <w:trPr>
          <w:trHeight w:val="465"/>
        </w:trPr>
        <w:tc>
          <w:tcPr>
            <w:tcW w:w="942" w:type="pct"/>
            <w:vMerge/>
            <w:vAlign w:val="center"/>
            <w:hideMark/>
          </w:tcPr>
          <w:p w:rsidR="00BE03AE" w:rsidRPr="002D64B2" w:rsidRDefault="00BE03AE" w:rsidP="00091AF8">
            <w:pPr>
              <w:keepNext/>
              <w:kinsoku/>
              <w:overflowPunct/>
              <w:autoSpaceDE/>
              <w:autoSpaceDN/>
              <w:adjustRightInd/>
              <w:snapToGrid/>
              <w:jc w:val="center"/>
              <w:rPr>
                <w:rFonts w:ascii="Arial" w:hAnsi="Arial"/>
                <w:b/>
                <w:bCs/>
                <w:snapToGrid/>
                <w:color w:val="A32020"/>
                <w:sz w:val="16"/>
                <w:szCs w:val="16"/>
                <w:lang w:eastAsia="en-AU"/>
              </w:rPr>
            </w:pPr>
          </w:p>
        </w:tc>
        <w:tc>
          <w:tcPr>
            <w:tcW w:w="1039" w:type="pct"/>
            <w:vAlign w:val="center"/>
            <w:hideMark/>
          </w:tcPr>
          <w:p w:rsidR="00BE03AE" w:rsidRPr="002D64B2" w:rsidRDefault="00BE03AE">
            <w:pPr>
              <w:keepNext/>
              <w:kinsoku/>
              <w:overflowPunct/>
              <w:autoSpaceDE/>
              <w:autoSpaceDN/>
              <w:adjustRightInd/>
              <w:snapToGrid/>
              <w:jc w:val="center"/>
              <w:rPr>
                <w:rFonts w:ascii="Arial" w:hAnsi="Arial"/>
                <w:b/>
                <w:bCs/>
                <w:snapToGrid/>
                <w:color w:val="A32020"/>
                <w:sz w:val="16"/>
                <w:szCs w:val="16"/>
                <w:lang w:eastAsia="en-AU"/>
              </w:rPr>
            </w:pPr>
            <w:r w:rsidRPr="002D64B2">
              <w:rPr>
                <w:rFonts w:ascii="Arial" w:hAnsi="Arial"/>
                <w:b/>
                <w:bCs/>
                <w:snapToGrid/>
                <w:color w:val="A32020"/>
                <w:sz w:val="16"/>
                <w:szCs w:val="16"/>
                <w:lang w:eastAsia="en-AU"/>
              </w:rPr>
              <w:t>Low estimate</w:t>
            </w:r>
          </w:p>
        </w:tc>
        <w:tc>
          <w:tcPr>
            <w:tcW w:w="1039" w:type="pct"/>
            <w:vAlign w:val="center"/>
            <w:hideMark/>
          </w:tcPr>
          <w:p w:rsidR="00BE03AE" w:rsidRPr="002D64B2" w:rsidRDefault="00BE03AE">
            <w:pPr>
              <w:keepNext/>
              <w:kinsoku/>
              <w:overflowPunct/>
              <w:autoSpaceDE/>
              <w:autoSpaceDN/>
              <w:adjustRightInd/>
              <w:snapToGrid/>
              <w:jc w:val="center"/>
              <w:rPr>
                <w:rFonts w:ascii="Arial" w:hAnsi="Arial"/>
                <w:b/>
                <w:bCs/>
                <w:snapToGrid/>
                <w:color w:val="A32020"/>
                <w:sz w:val="16"/>
                <w:szCs w:val="16"/>
                <w:lang w:eastAsia="en-AU"/>
              </w:rPr>
            </w:pPr>
            <w:r w:rsidRPr="002D64B2">
              <w:rPr>
                <w:rFonts w:ascii="Arial" w:hAnsi="Arial"/>
                <w:b/>
                <w:bCs/>
                <w:snapToGrid/>
                <w:color w:val="A32020"/>
                <w:sz w:val="16"/>
                <w:szCs w:val="16"/>
                <w:lang w:eastAsia="en-AU"/>
              </w:rPr>
              <w:t>High estimate</w:t>
            </w:r>
          </w:p>
        </w:tc>
        <w:tc>
          <w:tcPr>
            <w:tcW w:w="941" w:type="pct"/>
            <w:vAlign w:val="center"/>
            <w:hideMark/>
          </w:tcPr>
          <w:p w:rsidR="00BE03AE" w:rsidRPr="002D64B2" w:rsidRDefault="00BE03AE">
            <w:pPr>
              <w:keepNext/>
              <w:kinsoku/>
              <w:overflowPunct/>
              <w:autoSpaceDE/>
              <w:autoSpaceDN/>
              <w:adjustRightInd/>
              <w:snapToGrid/>
              <w:jc w:val="center"/>
              <w:rPr>
                <w:rFonts w:ascii="Arial" w:hAnsi="Arial"/>
                <w:b/>
                <w:bCs/>
                <w:snapToGrid/>
                <w:color w:val="A32020"/>
                <w:sz w:val="16"/>
                <w:szCs w:val="16"/>
                <w:lang w:eastAsia="en-AU"/>
              </w:rPr>
            </w:pPr>
            <w:r w:rsidRPr="002D64B2">
              <w:rPr>
                <w:rFonts w:ascii="Arial" w:hAnsi="Arial"/>
                <w:b/>
                <w:bCs/>
                <w:snapToGrid/>
                <w:color w:val="A32020"/>
                <w:sz w:val="16"/>
                <w:szCs w:val="16"/>
                <w:lang w:eastAsia="en-AU"/>
              </w:rPr>
              <w:t>Low estimate</w:t>
            </w:r>
          </w:p>
        </w:tc>
        <w:tc>
          <w:tcPr>
            <w:tcW w:w="1039" w:type="pct"/>
            <w:vAlign w:val="center"/>
            <w:hideMark/>
          </w:tcPr>
          <w:p w:rsidR="00BE03AE" w:rsidRPr="002D64B2" w:rsidRDefault="00BE03AE">
            <w:pPr>
              <w:keepNext/>
              <w:kinsoku/>
              <w:overflowPunct/>
              <w:autoSpaceDE/>
              <w:autoSpaceDN/>
              <w:adjustRightInd/>
              <w:snapToGrid/>
              <w:jc w:val="center"/>
              <w:rPr>
                <w:rFonts w:ascii="Arial" w:hAnsi="Arial"/>
                <w:b/>
                <w:bCs/>
                <w:snapToGrid/>
                <w:color w:val="A32020"/>
                <w:sz w:val="16"/>
                <w:szCs w:val="16"/>
                <w:lang w:eastAsia="en-AU"/>
              </w:rPr>
            </w:pPr>
            <w:r w:rsidRPr="002D64B2">
              <w:rPr>
                <w:rFonts w:ascii="Arial" w:hAnsi="Arial"/>
                <w:b/>
                <w:bCs/>
                <w:snapToGrid/>
                <w:color w:val="A32020"/>
                <w:sz w:val="16"/>
                <w:szCs w:val="16"/>
                <w:lang w:eastAsia="en-AU"/>
              </w:rPr>
              <w:t>High estimate</w:t>
            </w:r>
          </w:p>
        </w:tc>
      </w:tr>
      <w:tr w:rsidR="00177104" w:rsidRPr="002D64B2" w:rsidTr="000D6E9A">
        <w:trPr>
          <w:trHeight w:val="340"/>
        </w:trPr>
        <w:tc>
          <w:tcPr>
            <w:tcW w:w="942" w:type="pct"/>
            <w:vAlign w:val="center"/>
            <w:hideMark/>
          </w:tcPr>
          <w:p w:rsidR="00177104" w:rsidRPr="002D64B2" w:rsidRDefault="00177104">
            <w:pPr>
              <w:keepNext/>
              <w:kinsoku/>
              <w:overflowPunct/>
              <w:autoSpaceDE/>
              <w:autoSpaceDN/>
              <w:adjustRightInd/>
              <w:snapToGrid/>
              <w:jc w:val="center"/>
              <w:rPr>
                <w:rFonts w:ascii="Arial" w:hAnsi="Arial"/>
                <w:snapToGrid/>
                <w:color w:val="000000"/>
                <w:sz w:val="16"/>
                <w:szCs w:val="16"/>
                <w:lang w:eastAsia="en-AU"/>
              </w:rPr>
            </w:pPr>
            <w:r w:rsidRPr="002D64B2">
              <w:rPr>
                <w:rFonts w:ascii="Arial" w:hAnsi="Arial"/>
                <w:snapToGrid/>
                <w:color w:val="000000"/>
                <w:sz w:val="16"/>
                <w:szCs w:val="16"/>
                <w:lang w:eastAsia="en-AU"/>
              </w:rPr>
              <w:t>1</w:t>
            </w:r>
          </w:p>
        </w:tc>
        <w:tc>
          <w:tcPr>
            <w:tcW w:w="1039" w:type="pct"/>
            <w:vAlign w:val="center"/>
            <w:hideMark/>
          </w:tcPr>
          <w:p w:rsidR="00177104" w:rsidRPr="002D64B2" w:rsidRDefault="00177104" w:rsidP="00223124">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 xml:space="preserve">717 </w:t>
            </w:r>
          </w:p>
        </w:tc>
        <w:tc>
          <w:tcPr>
            <w:tcW w:w="1039" w:type="pct"/>
            <w:vAlign w:val="center"/>
            <w:hideMark/>
          </w:tcPr>
          <w:p w:rsidR="00177104" w:rsidRPr="002D64B2" w:rsidRDefault="00177104">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 xml:space="preserve">898 </w:t>
            </w:r>
          </w:p>
        </w:tc>
        <w:tc>
          <w:tcPr>
            <w:tcW w:w="941" w:type="pct"/>
            <w:vAlign w:val="center"/>
          </w:tcPr>
          <w:p w:rsidR="00177104" w:rsidRPr="002D64B2" w:rsidRDefault="00177104">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 xml:space="preserve">5,770 </w:t>
            </w:r>
          </w:p>
        </w:tc>
        <w:tc>
          <w:tcPr>
            <w:tcW w:w="1039" w:type="pct"/>
            <w:vAlign w:val="center"/>
          </w:tcPr>
          <w:p w:rsidR="00177104" w:rsidRPr="002D64B2" w:rsidRDefault="00177104">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 xml:space="preserve">7,226 </w:t>
            </w:r>
          </w:p>
        </w:tc>
      </w:tr>
      <w:tr w:rsidR="00177104" w:rsidRPr="002D64B2" w:rsidTr="000D6E9A">
        <w:trPr>
          <w:trHeight w:val="340"/>
        </w:trPr>
        <w:tc>
          <w:tcPr>
            <w:tcW w:w="942" w:type="pct"/>
            <w:vAlign w:val="center"/>
            <w:hideMark/>
          </w:tcPr>
          <w:p w:rsidR="00177104" w:rsidRPr="002D64B2" w:rsidRDefault="00177104">
            <w:pPr>
              <w:keepNext/>
              <w:kinsoku/>
              <w:overflowPunct/>
              <w:autoSpaceDE/>
              <w:autoSpaceDN/>
              <w:adjustRightInd/>
              <w:snapToGrid/>
              <w:jc w:val="center"/>
              <w:rPr>
                <w:rFonts w:ascii="Arial" w:hAnsi="Arial"/>
                <w:snapToGrid/>
                <w:color w:val="000000"/>
                <w:sz w:val="16"/>
                <w:szCs w:val="16"/>
                <w:lang w:eastAsia="en-AU"/>
              </w:rPr>
            </w:pPr>
            <w:r w:rsidRPr="002D64B2">
              <w:rPr>
                <w:rFonts w:ascii="Arial" w:hAnsi="Arial"/>
                <w:snapToGrid/>
                <w:color w:val="000000"/>
                <w:sz w:val="16"/>
                <w:szCs w:val="16"/>
                <w:lang w:eastAsia="en-AU"/>
              </w:rPr>
              <w:t>2</w:t>
            </w:r>
          </w:p>
        </w:tc>
        <w:tc>
          <w:tcPr>
            <w:tcW w:w="1039" w:type="pct"/>
            <w:vAlign w:val="center"/>
            <w:hideMark/>
          </w:tcPr>
          <w:p w:rsidR="00177104" w:rsidRPr="002D64B2" w:rsidRDefault="00177104" w:rsidP="00223124">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 xml:space="preserve">656 </w:t>
            </w:r>
          </w:p>
        </w:tc>
        <w:tc>
          <w:tcPr>
            <w:tcW w:w="1039" w:type="pct"/>
            <w:vAlign w:val="center"/>
            <w:hideMark/>
          </w:tcPr>
          <w:p w:rsidR="00177104" w:rsidRPr="002D64B2" w:rsidRDefault="00177104">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 xml:space="preserve">822 </w:t>
            </w:r>
          </w:p>
        </w:tc>
        <w:tc>
          <w:tcPr>
            <w:tcW w:w="941" w:type="pct"/>
            <w:vAlign w:val="center"/>
          </w:tcPr>
          <w:p w:rsidR="00177104" w:rsidRPr="002D64B2" w:rsidRDefault="00177104">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 xml:space="preserve">5,186 </w:t>
            </w:r>
          </w:p>
        </w:tc>
        <w:tc>
          <w:tcPr>
            <w:tcW w:w="1039" w:type="pct"/>
            <w:vAlign w:val="center"/>
          </w:tcPr>
          <w:p w:rsidR="00177104" w:rsidRPr="002D64B2" w:rsidRDefault="00177104">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 xml:space="preserve">6,493 </w:t>
            </w:r>
          </w:p>
        </w:tc>
      </w:tr>
      <w:tr w:rsidR="00177104" w:rsidRPr="002D64B2" w:rsidTr="000D6E9A">
        <w:trPr>
          <w:trHeight w:val="340"/>
        </w:trPr>
        <w:tc>
          <w:tcPr>
            <w:tcW w:w="942" w:type="pct"/>
            <w:vAlign w:val="center"/>
            <w:hideMark/>
          </w:tcPr>
          <w:p w:rsidR="00177104" w:rsidRPr="002D64B2" w:rsidRDefault="00177104">
            <w:pPr>
              <w:keepNext/>
              <w:kinsoku/>
              <w:overflowPunct/>
              <w:autoSpaceDE/>
              <w:autoSpaceDN/>
              <w:adjustRightInd/>
              <w:snapToGrid/>
              <w:jc w:val="center"/>
              <w:rPr>
                <w:rFonts w:ascii="Arial" w:hAnsi="Arial"/>
                <w:snapToGrid/>
                <w:color w:val="000000"/>
                <w:sz w:val="16"/>
                <w:szCs w:val="16"/>
                <w:lang w:eastAsia="en-AU"/>
              </w:rPr>
            </w:pPr>
            <w:r w:rsidRPr="002D64B2">
              <w:rPr>
                <w:rFonts w:ascii="Arial" w:hAnsi="Arial"/>
                <w:snapToGrid/>
                <w:color w:val="000000"/>
                <w:sz w:val="16"/>
                <w:szCs w:val="16"/>
                <w:lang w:eastAsia="en-AU"/>
              </w:rPr>
              <w:t>3</w:t>
            </w:r>
          </w:p>
        </w:tc>
        <w:tc>
          <w:tcPr>
            <w:tcW w:w="1039" w:type="pct"/>
            <w:vAlign w:val="center"/>
            <w:hideMark/>
          </w:tcPr>
          <w:p w:rsidR="00177104" w:rsidRPr="002D64B2" w:rsidRDefault="00177104" w:rsidP="00223124">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 xml:space="preserve">679 </w:t>
            </w:r>
          </w:p>
        </w:tc>
        <w:tc>
          <w:tcPr>
            <w:tcW w:w="1039" w:type="pct"/>
            <w:vAlign w:val="center"/>
            <w:hideMark/>
          </w:tcPr>
          <w:p w:rsidR="00177104" w:rsidRPr="002D64B2" w:rsidRDefault="00177104">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 xml:space="preserve">852 </w:t>
            </w:r>
          </w:p>
        </w:tc>
        <w:tc>
          <w:tcPr>
            <w:tcW w:w="941" w:type="pct"/>
            <w:vAlign w:val="center"/>
          </w:tcPr>
          <w:p w:rsidR="00177104" w:rsidRPr="002D64B2" w:rsidRDefault="00177104">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 xml:space="preserve">5,464 </w:t>
            </w:r>
          </w:p>
        </w:tc>
        <w:tc>
          <w:tcPr>
            <w:tcW w:w="1039" w:type="pct"/>
            <w:vAlign w:val="center"/>
          </w:tcPr>
          <w:p w:rsidR="00177104" w:rsidRPr="002D64B2" w:rsidRDefault="00177104">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 xml:space="preserve">6,860 </w:t>
            </w:r>
          </w:p>
        </w:tc>
      </w:tr>
    </w:tbl>
    <w:p w:rsidR="00BE03AE" w:rsidRDefault="00BE03AE">
      <w:pPr>
        <w:pStyle w:val="Sources"/>
        <w:keepNext/>
      </w:pPr>
      <w:r>
        <w:t xml:space="preserve">Source: PwC analysis. </w:t>
      </w:r>
      <w:r w:rsidR="00B85394">
        <w:t>NPV</w:t>
      </w:r>
      <w:r>
        <w:t xml:space="preserve"> figures are calculated over 10 years. </w:t>
      </w:r>
      <w:r w:rsidR="00E21466">
        <w:t xml:space="preserve">Annualised figures are averaged over </w:t>
      </w:r>
      <w:r w:rsidR="00B85394">
        <w:t>10 years</w:t>
      </w:r>
      <w:r w:rsidR="00E21466">
        <w:t>.</w:t>
      </w:r>
    </w:p>
    <w:p w:rsidR="00BE03AE" w:rsidRDefault="00BE03AE" w:rsidP="0036733E">
      <w:pPr>
        <w:pStyle w:val="StylePwCNormalnmajNormalnotetextcvteCNormalnotetext2"/>
      </w:pPr>
      <w:r>
        <w:t xml:space="preserve">As shown in </w:t>
      </w:r>
      <w:r>
        <w:fldChar w:fldCharType="begin"/>
      </w:r>
      <w:r>
        <w:instrText xml:space="preserve"> REF _Ref416449700 \h </w:instrText>
      </w:r>
      <w:r>
        <w:fldChar w:fldCharType="separate"/>
      </w:r>
      <w:r w:rsidR="00250375">
        <w:t xml:space="preserve">Table </w:t>
      </w:r>
      <w:r w:rsidR="00250375">
        <w:rPr>
          <w:noProof/>
        </w:rPr>
        <w:t>12</w:t>
      </w:r>
      <w:r>
        <w:fldChar w:fldCharType="end"/>
      </w:r>
      <w:r>
        <w:t xml:space="preserve">, each of the options </w:t>
      </w:r>
      <w:proofErr w:type="gramStart"/>
      <w:r>
        <w:t>are</w:t>
      </w:r>
      <w:proofErr w:type="gramEnd"/>
      <w:r>
        <w:t xml:space="preserve"> expected to result in different levels of reduced economic activity. The size of the reduced economic activity is directly related to:</w:t>
      </w:r>
    </w:p>
    <w:p w:rsidR="00BE03AE" w:rsidRDefault="00BE03AE" w:rsidP="00091AF8">
      <w:pPr>
        <w:pStyle w:val="ListBullet"/>
      </w:pPr>
      <w:r>
        <w:t>the number of additional public holidays that are implemented – if there are more public holidays, more employers are expected to lose production days and therefore there is a greater loss from reduced economic activity</w:t>
      </w:r>
    </w:p>
    <w:p w:rsidR="00BE03AE" w:rsidRDefault="00BE03AE" w:rsidP="00091AF8">
      <w:pPr>
        <w:pStyle w:val="ListBullet"/>
      </w:pPr>
      <w:proofErr w:type="gramStart"/>
      <w:r>
        <w:t>the</w:t>
      </w:r>
      <w:proofErr w:type="gramEnd"/>
      <w:r>
        <w:t xml:space="preserve"> day on which a public holiday falls – if a public holiday is held on a day that employers would ordinarily close, the number of additional employer closures is reduced, as is the associated reduced economic activity.</w:t>
      </w:r>
    </w:p>
    <w:p w:rsidR="00085E3A" w:rsidRDefault="00BE03AE" w:rsidP="00091AF8">
      <w:pPr>
        <w:pStyle w:val="StylePwCNormalnmajNormalnotetextcvteCNormalnotetext2"/>
      </w:pPr>
      <w:r>
        <w:t>Given this, the greatest impacts in terms of reduced economic activity are generally created by those options which would implement two additional public holidays</w:t>
      </w:r>
      <w:r w:rsidR="00085E3A">
        <w:t xml:space="preserve"> (options 1 and 2)</w:t>
      </w:r>
      <w:r>
        <w:t xml:space="preserve">. </w:t>
      </w:r>
    </w:p>
    <w:p w:rsidR="00BE03AE" w:rsidRDefault="00BE03AE" w:rsidP="00091AF8">
      <w:pPr>
        <w:pStyle w:val="StylePwCNormalnmajNormalnotetextcvteCNormalnotetext2"/>
      </w:pPr>
      <w:r>
        <w:t xml:space="preserve">Delaying the implementation of one of the proposed holidays (option 2) </w:t>
      </w:r>
      <w:r w:rsidR="00790F1F">
        <w:t xml:space="preserve">reduces </w:t>
      </w:r>
      <w:r>
        <w:t xml:space="preserve">the impact in terms of reduced economic activity relative to </w:t>
      </w:r>
      <w:r w:rsidR="00085E3A">
        <w:t>option 1</w:t>
      </w:r>
      <w:r>
        <w:t xml:space="preserve">, as the first year of implementation results in only the Easter Sunday public holiday being added to the calendar with the Friday before AFL Grand Final Day holiday being delayed by one year. </w:t>
      </w:r>
    </w:p>
    <w:p w:rsidR="00C91464" w:rsidRDefault="00C91464" w:rsidP="00BE03AE">
      <w:pPr>
        <w:pStyle w:val="PwCNormal"/>
        <w:spacing w:before="0" w:after="240"/>
      </w:pPr>
      <w:r>
        <w:fldChar w:fldCharType="begin"/>
      </w:r>
      <w:r>
        <w:instrText xml:space="preserve"> REF _Ref421259798 \h </w:instrText>
      </w:r>
      <w:r>
        <w:fldChar w:fldCharType="separate"/>
      </w:r>
      <w:r w:rsidR="00250375">
        <w:t xml:space="preserve">Table </w:t>
      </w:r>
      <w:r w:rsidR="00250375">
        <w:rPr>
          <w:noProof/>
        </w:rPr>
        <w:t>13</w:t>
      </w:r>
      <w:r>
        <w:fldChar w:fldCharType="end"/>
      </w:r>
      <w:r>
        <w:t xml:space="preserve"> provides a breakdown of the estimated annualised impacts of each of the considered public holidays within the set of options. </w:t>
      </w:r>
    </w:p>
    <w:p w:rsidR="00C91464" w:rsidRDefault="00C91464" w:rsidP="00091AF8">
      <w:pPr>
        <w:pStyle w:val="Caption"/>
      </w:pPr>
      <w:bookmarkStart w:id="44" w:name="_Ref421259798"/>
      <w:r>
        <w:t xml:space="preserve">Table </w:t>
      </w:r>
      <w:r w:rsidR="00663565">
        <w:fldChar w:fldCharType="begin"/>
      </w:r>
      <w:r w:rsidR="00663565">
        <w:instrText xml:space="preserve"> SEQ Table \* ARABIC </w:instrText>
      </w:r>
      <w:r w:rsidR="00663565">
        <w:fldChar w:fldCharType="separate"/>
      </w:r>
      <w:r w:rsidR="00250375">
        <w:rPr>
          <w:noProof/>
        </w:rPr>
        <w:t>13</w:t>
      </w:r>
      <w:r w:rsidR="00663565">
        <w:rPr>
          <w:noProof/>
        </w:rPr>
        <w:fldChar w:fldCharType="end"/>
      </w:r>
      <w:bookmarkEnd w:id="44"/>
      <w:r>
        <w:t xml:space="preserve">: </w:t>
      </w:r>
      <w:r w:rsidRPr="00904F01">
        <w:t xml:space="preserve">Estimated </w:t>
      </w:r>
      <w:r>
        <w:t xml:space="preserve">annualised </w:t>
      </w:r>
      <w:r w:rsidRPr="00904F01">
        <w:t xml:space="preserve">impact of the </w:t>
      </w:r>
      <w:r>
        <w:t>considered public holidays</w:t>
      </w:r>
      <w:r w:rsidRPr="00904F01">
        <w:t xml:space="preserve"> in terms of reduced economic activity</w:t>
      </w:r>
    </w:p>
    <w:tbl>
      <w:tblPr>
        <w:tblStyle w:val="Tables-APBase"/>
        <w:tblW w:w="5000" w:type="pct"/>
        <w:tblLook w:val="04A0" w:firstRow="1" w:lastRow="0" w:firstColumn="1" w:lastColumn="0" w:noHBand="0" w:noVBand="1"/>
        <w:tblCaption w:val="Estimated annualised impact of the considered public holidays in terms of reduced economic activity"/>
        <w:tblDescription w:val="The table provides the estimated annualised impacts of each of the considered public holidays in terms of reduced economic activity. The estimates are presented in Australian dollar millions annually. For each public holiday, a low and a high estimate is provided."/>
      </w:tblPr>
      <w:tblGrid>
        <w:gridCol w:w="4360"/>
        <w:gridCol w:w="2128"/>
        <w:gridCol w:w="1949"/>
      </w:tblGrid>
      <w:tr w:rsidR="00C91464" w:rsidRPr="002D64B2" w:rsidTr="00091AF8">
        <w:trPr>
          <w:cnfStyle w:val="100000000000" w:firstRow="1" w:lastRow="0" w:firstColumn="0" w:lastColumn="0" w:oddVBand="0" w:evenVBand="0" w:oddHBand="0" w:evenHBand="0" w:firstRowFirstColumn="0" w:firstRowLastColumn="0" w:lastRowFirstColumn="0" w:lastRowLastColumn="0"/>
          <w:trHeight w:val="450"/>
        </w:trPr>
        <w:tc>
          <w:tcPr>
            <w:cnfStyle w:val="000000000100" w:firstRow="0" w:lastRow="0" w:firstColumn="0" w:lastColumn="0" w:oddVBand="0" w:evenVBand="0" w:oddHBand="0" w:evenHBand="0" w:firstRowFirstColumn="1" w:firstRowLastColumn="0" w:lastRowFirstColumn="0" w:lastRowLastColumn="0"/>
            <w:tcW w:w="2584" w:type="pct"/>
            <w:vMerge w:val="restart"/>
            <w:vAlign w:val="center"/>
            <w:hideMark/>
          </w:tcPr>
          <w:p w:rsidR="00C91464" w:rsidRPr="002D64B2" w:rsidRDefault="00C91464">
            <w:pPr>
              <w:keepNext/>
              <w:kinsoku/>
              <w:overflowPunct/>
              <w:autoSpaceDE/>
              <w:autoSpaceDN/>
              <w:adjustRightInd/>
              <w:snapToGrid/>
              <w:jc w:val="center"/>
              <w:rPr>
                <w:rFonts w:ascii="Arial" w:hAnsi="Arial"/>
                <w:b/>
                <w:bCs/>
                <w:snapToGrid/>
                <w:color w:val="A32020"/>
                <w:sz w:val="16"/>
                <w:szCs w:val="16"/>
                <w:lang w:eastAsia="en-AU"/>
              </w:rPr>
            </w:pPr>
            <w:r>
              <w:rPr>
                <w:rFonts w:ascii="Arial" w:hAnsi="Arial"/>
                <w:b/>
                <w:bCs/>
                <w:snapToGrid/>
                <w:color w:val="A32020"/>
                <w:sz w:val="16"/>
                <w:szCs w:val="16"/>
                <w:lang w:eastAsia="en-AU"/>
              </w:rPr>
              <w:t>Proposed public holiday</w:t>
            </w:r>
          </w:p>
        </w:tc>
        <w:tc>
          <w:tcPr>
            <w:tcW w:w="2416" w:type="pct"/>
            <w:gridSpan w:val="2"/>
            <w:vAlign w:val="center"/>
            <w:hideMark/>
          </w:tcPr>
          <w:p w:rsidR="00C91464" w:rsidRPr="002D64B2" w:rsidRDefault="00C91464">
            <w:pPr>
              <w:keepNext/>
              <w:kinsoku/>
              <w:overflowPunct/>
              <w:autoSpaceDE/>
              <w:autoSpaceDN/>
              <w:adjustRightInd/>
              <w:snapToGrid/>
              <w:cnfStyle w:val="100000000000" w:firstRow="1" w:lastRow="0" w:firstColumn="0" w:lastColumn="0" w:oddVBand="0" w:evenVBand="0" w:oddHBand="0" w:evenHBand="0" w:firstRowFirstColumn="0" w:firstRowLastColumn="0" w:lastRowFirstColumn="0" w:lastRowLastColumn="0"/>
              <w:rPr>
                <w:rFonts w:ascii="Arial" w:hAnsi="Arial"/>
                <w:b/>
                <w:bCs/>
                <w:snapToGrid/>
                <w:color w:val="A32020"/>
                <w:sz w:val="16"/>
                <w:szCs w:val="16"/>
                <w:lang w:eastAsia="en-AU"/>
              </w:rPr>
            </w:pPr>
            <w:r w:rsidRPr="002D64B2">
              <w:rPr>
                <w:rFonts w:ascii="Arial" w:hAnsi="Arial"/>
                <w:b/>
                <w:bCs/>
                <w:snapToGrid/>
                <w:color w:val="A32020"/>
                <w:sz w:val="16"/>
                <w:szCs w:val="16"/>
                <w:lang w:eastAsia="en-AU"/>
              </w:rPr>
              <w:t>Foregone economic value annualised $m</w:t>
            </w:r>
          </w:p>
        </w:tc>
      </w:tr>
      <w:tr w:rsidR="00C91464" w:rsidRPr="002D64B2" w:rsidTr="00091AF8">
        <w:trPr>
          <w:trHeight w:val="465"/>
        </w:trPr>
        <w:tc>
          <w:tcPr>
            <w:tcW w:w="2584" w:type="pct"/>
            <w:vMerge/>
            <w:vAlign w:val="center"/>
            <w:hideMark/>
          </w:tcPr>
          <w:p w:rsidR="00C91464" w:rsidRPr="002D64B2" w:rsidRDefault="00C91464" w:rsidP="00091AF8">
            <w:pPr>
              <w:keepNext/>
              <w:kinsoku/>
              <w:overflowPunct/>
              <w:autoSpaceDE/>
              <w:autoSpaceDN/>
              <w:adjustRightInd/>
              <w:snapToGrid/>
              <w:jc w:val="center"/>
              <w:rPr>
                <w:rFonts w:ascii="Arial" w:hAnsi="Arial"/>
                <w:b/>
                <w:bCs/>
                <w:snapToGrid/>
                <w:color w:val="A32020"/>
                <w:sz w:val="16"/>
                <w:szCs w:val="16"/>
                <w:lang w:eastAsia="en-AU"/>
              </w:rPr>
            </w:pPr>
          </w:p>
        </w:tc>
        <w:tc>
          <w:tcPr>
            <w:tcW w:w="1261" w:type="pct"/>
            <w:vAlign w:val="center"/>
            <w:hideMark/>
          </w:tcPr>
          <w:p w:rsidR="00C91464" w:rsidRPr="002D64B2" w:rsidRDefault="00C91464">
            <w:pPr>
              <w:keepNext/>
              <w:kinsoku/>
              <w:overflowPunct/>
              <w:autoSpaceDE/>
              <w:autoSpaceDN/>
              <w:adjustRightInd/>
              <w:snapToGrid/>
              <w:jc w:val="center"/>
              <w:rPr>
                <w:rFonts w:ascii="Arial" w:hAnsi="Arial"/>
                <w:b/>
                <w:bCs/>
                <w:snapToGrid/>
                <w:color w:val="A32020"/>
                <w:sz w:val="16"/>
                <w:szCs w:val="16"/>
                <w:lang w:eastAsia="en-AU"/>
              </w:rPr>
            </w:pPr>
            <w:r w:rsidRPr="002D64B2">
              <w:rPr>
                <w:rFonts w:ascii="Arial" w:hAnsi="Arial"/>
                <w:b/>
                <w:bCs/>
                <w:snapToGrid/>
                <w:color w:val="A32020"/>
                <w:sz w:val="16"/>
                <w:szCs w:val="16"/>
                <w:lang w:eastAsia="en-AU"/>
              </w:rPr>
              <w:t>Low estimate</w:t>
            </w:r>
          </w:p>
        </w:tc>
        <w:tc>
          <w:tcPr>
            <w:tcW w:w="1155" w:type="pct"/>
            <w:vAlign w:val="center"/>
            <w:hideMark/>
          </w:tcPr>
          <w:p w:rsidR="00C91464" w:rsidRPr="002D64B2" w:rsidRDefault="00C91464">
            <w:pPr>
              <w:keepNext/>
              <w:kinsoku/>
              <w:overflowPunct/>
              <w:autoSpaceDE/>
              <w:autoSpaceDN/>
              <w:adjustRightInd/>
              <w:snapToGrid/>
              <w:jc w:val="center"/>
              <w:rPr>
                <w:rFonts w:ascii="Arial" w:hAnsi="Arial"/>
                <w:b/>
                <w:bCs/>
                <w:snapToGrid/>
                <w:color w:val="A32020"/>
                <w:sz w:val="16"/>
                <w:szCs w:val="16"/>
                <w:lang w:eastAsia="en-AU"/>
              </w:rPr>
            </w:pPr>
            <w:r w:rsidRPr="002D64B2">
              <w:rPr>
                <w:rFonts w:ascii="Arial" w:hAnsi="Arial"/>
                <w:b/>
                <w:bCs/>
                <w:snapToGrid/>
                <w:color w:val="A32020"/>
                <w:sz w:val="16"/>
                <w:szCs w:val="16"/>
                <w:lang w:eastAsia="en-AU"/>
              </w:rPr>
              <w:t>High estimate</w:t>
            </w:r>
          </w:p>
        </w:tc>
      </w:tr>
      <w:tr w:rsidR="00C91464" w:rsidRPr="002D64B2" w:rsidTr="00091AF8">
        <w:trPr>
          <w:trHeight w:val="340"/>
        </w:trPr>
        <w:tc>
          <w:tcPr>
            <w:tcW w:w="2584" w:type="pct"/>
            <w:vAlign w:val="center"/>
            <w:hideMark/>
          </w:tcPr>
          <w:p w:rsidR="00C91464" w:rsidRPr="002D64B2" w:rsidRDefault="00C91464" w:rsidP="00091AF8">
            <w:pPr>
              <w:keepNext/>
              <w:kinsoku/>
              <w:overflowPunct/>
              <w:autoSpaceDE/>
              <w:autoSpaceDN/>
              <w:adjustRightInd/>
              <w:snapToGrid/>
              <w:rPr>
                <w:rFonts w:ascii="Arial" w:hAnsi="Arial"/>
                <w:snapToGrid/>
                <w:color w:val="000000"/>
                <w:sz w:val="16"/>
                <w:szCs w:val="16"/>
                <w:lang w:eastAsia="en-AU"/>
              </w:rPr>
            </w:pPr>
            <w:r>
              <w:rPr>
                <w:rFonts w:ascii="Arial" w:hAnsi="Arial"/>
                <w:snapToGrid/>
                <w:color w:val="000000"/>
                <w:sz w:val="16"/>
                <w:szCs w:val="16"/>
                <w:lang w:eastAsia="en-AU"/>
              </w:rPr>
              <w:t>Friday before the AFL Grand Final, 2015 implementation</w:t>
            </w:r>
          </w:p>
        </w:tc>
        <w:tc>
          <w:tcPr>
            <w:tcW w:w="1261" w:type="pct"/>
            <w:vAlign w:val="center"/>
          </w:tcPr>
          <w:p w:rsidR="00C91464" w:rsidRPr="002D64B2" w:rsidRDefault="00177104">
            <w:pPr>
              <w:keepNext/>
              <w:kinsoku/>
              <w:overflowPunct/>
              <w:autoSpaceDE/>
              <w:autoSpaceDN/>
              <w:adjustRightInd/>
              <w:snapToGrid/>
              <w:jc w:val="center"/>
              <w:rPr>
                <w:rFonts w:ascii="Arial" w:hAnsi="Arial"/>
                <w:snapToGrid/>
                <w:color w:val="000000"/>
                <w:sz w:val="16"/>
                <w:szCs w:val="16"/>
                <w:lang w:eastAsia="en-AU"/>
              </w:rPr>
            </w:pPr>
            <w:r>
              <w:rPr>
                <w:rFonts w:ascii="Arial" w:hAnsi="Arial"/>
                <w:snapToGrid/>
                <w:color w:val="000000"/>
                <w:sz w:val="16"/>
                <w:szCs w:val="16"/>
                <w:lang w:eastAsia="en-AU"/>
              </w:rPr>
              <w:t>680</w:t>
            </w:r>
          </w:p>
        </w:tc>
        <w:tc>
          <w:tcPr>
            <w:tcW w:w="1155" w:type="pct"/>
            <w:vAlign w:val="center"/>
          </w:tcPr>
          <w:p w:rsidR="00C91464" w:rsidRPr="002D64B2" w:rsidRDefault="00177104" w:rsidP="00223124">
            <w:pPr>
              <w:keepNext/>
              <w:kinsoku/>
              <w:overflowPunct/>
              <w:autoSpaceDE/>
              <w:autoSpaceDN/>
              <w:adjustRightInd/>
              <w:snapToGrid/>
              <w:jc w:val="center"/>
              <w:rPr>
                <w:rFonts w:ascii="Arial" w:hAnsi="Arial"/>
                <w:snapToGrid/>
                <w:color w:val="000000"/>
                <w:sz w:val="16"/>
                <w:szCs w:val="16"/>
                <w:lang w:eastAsia="en-AU"/>
              </w:rPr>
            </w:pPr>
            <w:r w:rsidRPr="00C91464">
              <w:rPr>
                <w:rFonts w:ascii="Arial" w:hAnsi="Arial"/>
                <w:snapToGrid/>
                <w:color w:val="000000"/>
                <w:sz w:val="16"/>
                <w:szCs w:val="16"/>
                <w:lang w:eastAsia="en-AU"/>
              </w:rPr>
              <w:t>8</w:t>
            </w:r>
            <w:r>
              <w:rPr>
                <w:rFonts w:ascii="Arial" w:hAnsi="Arial"/>
                <w:snapToGrid/>
                <w:color w:val="000000"/>
                <w:sz w:val="16"/>
                <w:szCs w:val="16"/>
                <w:lang w:eastAsia="en-AU"/>
              </w:rPr>
              <w:t>52</w:t>
            </w:r>
          </w:p>
        </w:tc>
      </w:tr>
      <w:tr w:rsidR="00C91464" w:rsidRPr="002D64B2" w:rsidTr="00091AF8">
        <w:trPr>
          <w:trHeight w:val="340"/>
        </w:trPr>
        <w:tc>
          <w:tcPr>
            <w:tcW w:w="2584" w:type="pct"/>
            <w:vAlign w:val="center"/>
            <w:hideMark/>
          </w:tcPr>
          <w:p w:rsidR="00C91464" w:rsidRPr="002D64B2" w:rsidRDefault="00C91464" w:rsidP="00091AF8">
            <w:pPr>
              <w:keepNext/>
              <w:kinsoku/>
              <w:overflowPunct/>
              <w:autoSpaceDE/>
              <w:autoSpaceDN/>
              <w:adjustRightInd/>
              <w:snapToGrid/>
              <w:rPr>
                <w:rFonts w:ascii="Arial" w:hAnsi="Arial"/>
                <w:snapToGrid/>
                <w:color w:val="000000"/>
                <w:sz w:val="16"/>
                <w:szCs w:val="16"/>
                <w:lang w:eastAsia="en-AU"/>
              </w:rPr>
            </w:pPr>
            <w:r>
              <w:rPr>
                <w:rFonts w:ascii="Arial" w:hAnsi="Arial"/>
                <w:snapToGrid/>
                <w:color w:val="000000"/>
                <w:sz w:val="16"/>
                <w:szCs w:val="16"/>
                <w:lang w:eastAsia="en-AU"/>
              </w:rPr>
              <w:t>Friday before the AFL Grand Final, 2016 implementation</w:t>
            </w:r>
          </w:p>
        </w:tc>
        <w:tc>
          <w:tcPr>
            <w:tcW w:w="1261" w:type="pct"/>
            <w:vAlign w:val="center"/>
          </w:tcPr>
          <w:p w:rsidR="00C91464" w:rsidRPr="002D64B2" w:rsidRDefault="00177104" w:rsidP="00223124">
            <w:pPr>
              <w:keepNext/>
              <w:kinsoku/>
              <w:overflowPunct/>
              <w:autoSpaceDE/>
              <w:autoSpaceDN/>
              <w:adjustRightInd/>
              <w:snapToGrid/>
              <w:jc w:val="center"/>
              <w:rPr>
                <w:rFonts w:ascii="Arial" w:hAnsi="Arial"/>
                <w:snapToGrid/>
                <w:color w:val="000000"/>
                <w:sz w:val="16"/>
                <w:szCs w:val="16"/>
                <w:lang w:eastAsia="en-AU"/>
              </w:rPr>
            </w:pPr>
            <w:r>
              <w:rPr>
                <w:rFonts w:ascii="Arial" w:hAnsi="Arial"/>
                <w:snapToGrid/>
                <w:color w:val="000000"/>
                <w:sz w:val="16"/>
                <w:szCs w:val="16"/>
                <w:lang w:eastAsia="en-AU"/>
              </w:rPr>
              <w:t>619</w:t>
            </w:r>
          </w:p>
        </w:tc>
        <w:tc>
          <w:tcPr>
            <w:tcW w:w="1155" w:type="pct"/>
            <w:vAlign w:val="center"/>
          </w:tcPr>
          <w:p w:rsidR="00C91464" w:rsidRPr="002D64B2" w:rsidRDefault="00177104">
            <w:pPr>
              <w:keepNext/>
              <w:kinsoku/>
              <w:overflowPunct/>
              <w:autoSpaceDE/>
              <w:autoSpaceDN/>
              <w:adjustRightInd/>
              <w:snapToGrid/>
              <w:jc w:val="center"/>
              <w:rPr>
                <w:rFonts w:ascii="Arial" w:hAnsi="Arial"/>
                <w:snapToGrid/>
                <w:color w:val="000000"/>
                <w:sz w:val="16"/>
                <w:szCs w:val="16"/>
                <w:lang w:eastAsia="en-AU"/>
              </w:rPr>
            </w:pPr>
            <w:r>
              <w:rPr>
                <w:rFonts w:ascii="Arial" w:hAnsi="Arial"/>
                <w:snapToGrid/>
                <w:color w:val="000000"/>
                <w:sz w:val="16"/>
                <w:szCs w:val="16"/>
                <w:lang w:eastAsia="en-AU"/>
              </w:rPr>
              <w:t>776</w:t>
            </w:r>
          </w:p>
        </w:tc>
      </w:tr>
      <w:tr w:rsidR="00C91464" w:rsidRPr="002D64B2" w:rsidTr="00091AF8">
        <w:trPr>
          <w:trHeight w:val="340"/>
        </w:trPr>
        <w:tc>
          <w:tcPr>
            <w:tcW w:w="2584" w:type="pct"/>
            <w:vAlign w:val="center"/>
            <w:hideMark/>
          </w:tcPr>
          <w:p w:rsidR="00C91464" w:rsidRPr="002D64B2" w:rsidRDefault="00C91464" w:rsidP="00091AF8">
            <w:pPr>
              <w:keepNext/>
              <w:kinsoku/>
              <w:overflowPunct/>
              <w:autoSpaceDE/>
              <w:autoSpaceDN/>
              <w:adjustRightInd/>
              <w:snapToGrid/>
              <w:rPr>
                <w:rFonts w:ascii="Arial" w:hAnsi="Arial"/>
                <w:snapToGrid/>
                <w:color w:val="000000"/>
                <w:sz w:val="16"/>
                <w:szCs w:val="16"/>
                <w:lang w:eastAsia="en-AU"/>
              </w:rPr>
            </w:pPr>
            <w:r>
              <w:rPr>
                <w:rFonts w:ascii="Arial" w:hAnsi="Arial"/>
                <w:snapToGrid/>
                <w:color w:val="000000"/>
                <w:sz w:val="16"/>
                <w:szCs w:val="16"/>
                <w:lang w:eastAsia="en-AU"/>
              </w:rPr>
              <w:t>Easter Sunday</w:t>
            </w:r>
          </w:p>
        </w:tc>
        <w:tc>
          <w:tcPr>
            <w:tcW w:w="1261" w:type="pct"/>
            <w:vAlign w:val="center"/>
          </w:tcPr>
          <w:p w:rsidR="00C91464" w:rsidRPr="002D64B2" w:rsidRDefault="00177104">
            <w:pPr>
              <w:keepNext/>
              <w:kinsoku/>
              <w:overflowPunct/>
              <w:autoSpaceDE/>
              <w:autoSpaceDN/>
              <w:adjustRightInd/>
              <w:snapToGrid/>
              <w:jc w:val="center"/>
              <w:rPr>
                <w:rFonts w:ascii="Arial" w:hAnsi="Arial"/>
                <w:snapToGrid/>
                <w:color w:val="000000"/>
                <w:sz w:val="16"/>
                <w:szCs w:val="16"/>
                <w:lang w:eastAsia="en-AU"/>
              </w:rPr>
            </w:pPr>
            <w:r>
              <w:rPr>
                <w:rFonts w:ascii="Arial" w:hAnsi="Arial"/>
                <w:snapToGrid/>
                <w:color w:val="000000"/>
                <w:sz w:val="16"/>
                <w:szCs w:val="16"/>
                <w:lang w:eastAsia="en-AU"/>
              </w:rPr>
              <w:t>37</w:t>
            </w:r>
          </w:p>
        </w:tc>
        <w:tc>
          <w:tcPr>
            <w:tcW w:w="1155" w:type="pct"/>
            <w:vAlign w:val="center"/>
          </w:tcPr>
          <w:p w:rsidR="00C91464" w:rsidRPr="002D64B2" w:rsidRDefault="00177104">
            <w:pPr>
              <w:keepNext/>
              <w:kinsoku/>
              <w:overflowPunct/>
              <w:autoSpaceDE/>
              <w:autoSpaceDN/>
              <w:adjustRightInd/>
              <w:snapToGrid/>
              <w:jc w:val="center"/>
              <w:rPr>
                <w:rFonts w:ascii="Arial" w:hAnsi="Arial"/>
                <w:snapToGrid/>
                <w:color w:val="000000"/>
                <w:sz w:val="16"/>
                <w:szCs w:val="16"/>
                <w:lang w:eastAsia="en-AU"/>
              </w:rPr>
            </w:pPr>
            <w:r>
              <w:rPr>
                <w:rFonts w:ascii="Arial" w:hAnsi="Arial"/>
                <w:snapToGrid/>
                <w:color w:val="000000"/>
                <w:sz w:val="16"/>
                <w:szCs w:val="16"/>
                <w:lang w:eastAsia="en-AU"/>
              </w:rPr>
              <w:t>46</w:t>
            </w:r>
          </w:p>
        </w:tc>
      </w:tr>
      <w:tr w:rsidR="00C91464" w:rsidRPr="002D64B2" w:rsidTr="00091AF8">
        <w:trPr>
          <w:trHeight w:val="454"/>
        </w:trPr>
        <w:tc>
          <w:tcPr>
            <w:tcW w:w="2584" w:type="pct"/>
            <w:vAlign w:val="center"/>
          </w:tcPr>
          <w:p w:rsidR="00C91464" w:rsidRDefault="00C91464" w:rsidP="00091AF8">
            <w:pPr>
              <w:keepNext/>
              <w:kinsoku/>
              <w:overflowPunct/>
              <w:autoSpaceDE/>
              <w:autoSpaceDN/>
              <w:adjustRightInd/>
              <w:snapToGrid/>
              <w:rPr>
                <w:rFonts w:ascii="Arial" w:hAnsi="Arial"/>
                <w:snapToGrid/>
                <w:color w:val="000000"/>
                <w:sz w:val="16"/>
                <w:szCs w:val="16"/>
                <w:lang w:eastAsia="en-AU"/>
              </w:rPr>
            </w:pPr>
            <w:r>
              <w:rPr>
                <w:rFonts w:ascii="Arial" w:hAnsi="Arial"/>
                <w:snapToGrid/>
                <w:color w:val="000000"/>
                <w:sz w:val="16"/>
                <w:szCs w:val="16"/>
                <w:lang w:eastAsia="en-AU"/>
              </w:rPr>
              <w:t>Transfer of public holiday status from the Saturday before Easter Sunday to Easter Sunday</w:t>
            </w:r>
          </w:p>
        </w:tc>
        <w:tc>
          <w:tcPr>
            <w:tcW w:w="1261" w:type="pct"/>
            <w:vAlign w:val="center"/>
          </w:tcPr>
          <w:p w:rsidR="00C91464" w:rsidRDefault="00C91464">
            <w:pPr>
              <w:keepNext/>
              <w:kinsoku/>
              <w:overflowPunct/>
              <w:autoSpaceDE/>
              <w:autoSpaceDN/>
              <w:adjustRightInd/>
              <w:snapToGrid/>
              <w:jc w:val="center"/>
              <w:rPr>
                <w:rFonts w:ascii="Arial" w:hAnsi="Arial"/>
                <w:snapToGrid/>
                <w:color w:val="000000"/>
                <w:sz w:val="16"/>
                <w:szCs w:val="16"/>
                <w:lang w:eastAsia="en-AU"/>
              </w:rPr>
            </w:pPr>
            <w:r>
              <w:rPr>
                <w:rFonts w:ascii="Arial" w:hAnsi="Arial"/>
                <w:snapToGrid/>
                <w:color w:val="000000"/>
                <w:sz w:val="16"/>
                <w:szCs w:val="16"/>
                <w:lang w:eastAsia="en-AU"/>
              </w:rPr>
              <w:t>0</w:t>
            </w:r>
          </w:p>
        </w:tc>
        <w:tc>
          <w:tcPr>
            <w:tcW w:w="1155" w:type="pct"/>
            <w:vAlign w:val="center"/>
          </w:tcPr>
          <w:p w:rsidR="00C91464" w:rsidRDefault="00C91464">
            <w:pPr>
              <w:keepNext/>
              <w:kinsoku/>
              <w:overflowPunct/>
              <w:autoSpaceDE/>
              <w:autoSpaceDN/>
              <w:adjustRightInd/>
              <w:snapToGrid/>
              <w:jc w:val="center"/>
              <w:rPr>
                <w:rFonts w:ascii="Arial" w:hAnsi="Arial"/>
                <w:snapToGrid/>
                <w:color w:val="000000"/>
                <w:sz w:val="16"/>
                <w:szCs w:val="16"/>
                <w:lang w:eastAsia="en-AU"/>
              </w:rPr>
            </w:pPr>
            <w:r>
              <w:rPr>
                <w:rFonts w:ascii="Arial" w:hAnsi="Arial"/>
                <w:snapToGrid/>
                <w:color w:val="000000"/>
                <w:sz w:val="16"/>
                <w:szCs w:val="16"/>
                <w:lang w:eastAsia="en-AU"/>
              </w:rPr>
              <w:t>0</w:t>
            </w:r>
          </w:p>
        </w:tc>
      </w:tr>
    </w:tbl>
    <w:p w:rsidR="00C91464" w:rsidRDefault="00C91464" w:rsidP="00091AF8">
      <w:pPr>
        <w:pStyle w:val="Sources"/>
        <w:keepNext/>
      </w:pPr>
      <w:r>
        <w:t xml:space="preserve">Source: PwC analysis. Annualised figures are averaged over </w:t>
      </w:r>
      <w:r w:rsidR="00B85394">
        <w:t>10 years</w:t>
      </w:r>
      <w:r>
        <w:t xml:space="preserve">. </w:t>
      </w:r>
    </w:p>
    <w:p w:rsidR="00BE03AE" w:rsidRDefault="00BE03AE" w:rsidP="00BE03AE">
      <w:pPr>
        <w:pStyle w:val="Heading6"/>
        <w:spacing w:before="0" w:after="40"/>
      </w:pPr>
      <w:r>
        <w:t>Overall net impact on society</w:t>
      </w:r>
    </w:p>
    <w:p w:rsidR="00BE03AE" w:rsidRDefault="00BE03AE" w:rsidP="0036733E">
      <w:pPr>
        <w:pStyle w:val="StylePwCNormalnmajNormalnotetextcvteCNormalnotetext2"/>
      </w:pPr>
      <w:r>
        <w:t>This RIS presents a discussion of the potential benefits of additional public holidays in general and consider</w:t>
      </w:r>
      <w:r w:rsidR="005F7B30">
        <w:t>s</w:t>
      </w:r>
      <w:r>
        <w:t xml:space="preserve"> how these align with the Government’s stated objectives.</w:t>
      </w:r>
    </w:p>
    <w:p w:rsidR="00BE03AE" w:rsidRDefault="00BE03AE" w:rsidP="00091AF8">
      <w:pPr>
        <w:pStyle w:val="StylePwCNormalnmajNormalnotetextcvteCNormalnotetext2"/>
      </w:pPr>
      <w:r>
        <w:t xml:space="preserve">As there is insufficient information available to quantify </w:t>
      </w:r>
      <w:r w:rsidR="00790F1F">
        <w:t xml:space="preserve">all of </w:t>
      </w:r>
      <w:r>
        <w:t xml:space="preserve">the </w:t>
      </w:r>
      <w:r w:rsidR="00790F1F">
        <w:t xml:space="preserve">potential </w:t>
      </w:r>
      <w:r>
        <w:t xml:space="preserve">benefits, we are unable to comment on the overall net impact of the options on Victoria. However, the estimates of the net costs from reduced economic activity provide a guide to the quantum that these benefits must exceed in order to justify the proposed policy. </w:t>
      </w:r>
    </w:p>
    <w:p w:rsidR="00BE03AE" w:rsidRPr="00B21CA2" w:rsidRDefault="00BE03AE" w:rsidP="00091AF8">
      <w:pPr>
        <w:pStyle w:val="StylePwCNormalnmajNormalnotetextcvteCNormalnotetext2"/>
        <w:sectPr w:rsidR="00BE03AE" w:rsidRPr="00B21CA2" w:rsidSect="00BE03AE">
          <w:pgSz w:w="11907" w:h="16840" w:code="9"/>
          <w:pgMar w:top="1588" w:right="1843" w:bottom="1418" w:left="1843" w:header="567" w:footer="567" w:gutter="0"/>
          <w:cols w:space="227"/>
          <w:titlePg/>
          <w:docGrid w:linePitch="360"/>
        </w:sectPr>
      </w:pPr>
      <w:r>
        <w:t xml:space="preserve">The costs of the Government’s proposed policy (option 1) are higher than the other options considered. In the absence of an estimate of the benefits for each of the options, this RIS is being published to seek feedback from the community on whether the value of the </w:t>
      </w:r>
      <w:r w:rsidR="00790F1F">
        <w:t xml:space="preserve">quantified and non-quantified </w:t>
      </w:r>
      <w:r>
        <w:t xml:space="preserve">benefits is likely to exceed the estimated costs.  </w:t>
      </w:r>
    </w:p>
    <w:p w:rsidR="00BE03AE" w:rsidRDefault="00BE03AE" w:rsidP="00BE03AE">
      <w:pPr>
        <w:pStyle w:val="Heading2"/>
      </w:pPr>
      <w:bookmarkStart w:id="45" w:name="_Toc415576143"/>
      <w:bookmarkStart w:id="46" w:name="_Toc415757475"/>
      <w:bookmarkStart w:id="47" w:name="_Ref416254981"/>
      <w:bookmarkStart w:id="48" w:name="_Toc416449840"/>
      <w:bookmarkStart w:id="49" w:name="_Toc417244128"/>
      <w:bookmarkStart w:id="50" w:name="_Toc423453467"/>
      <w:r>
        <w:t>The proposed policy</w:t>
      </w:r>
      <w:bookmarkEnd w:id="45"/>
      <w:bookmarkEnd w:id="46"/>
      <w:bookmarkEnd w:id="47"/>
      <w:bookmarkEnd w:id="48"/>
      <w:bookmarkEnd w:id="49"/>
      <w:bookmarkEnd w:id="50"/>
    </w:p>
    <w:p w:rsidR="00BE03AE" w:rsidRPr="00EA4150" w:rsidRDefault="00BE03AE" w:rsidP="00BE03AE">
      <w:pPr>
        <w:pStyle w:val="Heading6"/>
        <w:spacing w:before="0" w:after="40"/>
      </w:pPr>
      <w:r>
        <w:t>Overview</w:t>
      </w:r>
    </w:p>
    <w:p w:rsidR="00BE03AE" w:rsidRDefault="00BE03AE" w:rsidP="0094391C">
      <w:pPr>
        <w:pStyle w:val="StylePwCNormalnmajNormalnotetextcvteCNormalnotetext"/>
        <w:numPr>
          <w:ilvl w:val="0"/>
          <w:numId w:val="26"/>
        </w:numPr>
      </w:pPr>
      <w:r>
        <w:t xml:space="preserve">The Government has committed to implementing its proposed policy (option 1 in this analysis) as part of delivering on its election platform. </w:t>
      </w:r>
    </w:p>
    <w:p w:rsidR="00A55955" w:rsidRDefault="00A55955" w:rsidP="00A55955">
      <w:pPr>
        <w:pStyle w:val="PwCNormal"/>
      </w:pPr>
      <w:r>
        <w:t xml:space="preserve">The proposed policy is expected to affect Victorian employers and employees differently. The analysis has considered these differences in estimating the impacts of the new public holidays. Examples of the expected impacts on </w:t>
      </w:r>
      <w:r w:rsidR="0046605B">
        <w:t xml:space="preserve">illustrative </w:t>
      </w:r>
      <w:r>
        <w:t xml:space="preserve">businesses and employees in selected industries are provided in </w:t>
      </w:r>
      <w:r>
        <w:fldChar w:fldCharType="begin"/>
      </w:r>
      <w:r>
        <w:instrText xml:space="preserve"> REF _Ref422147597 \h </w:instrText>
      </w:r>
      <w:r>
        <w:fldChar w:fldCharType="separate"/>
      </w:r>
      <w:r w:rsidR="00250375">
        <w:t xml:space="preserve">Table </w:t>
      </w:r>
      <w:r w:rsidR="00250375">
        <w:rPr>
          <w:noProof/>
        </w:rPr>
        <w:t>14</w:t>
      </w:r>
      <w:r>
        <w:fldChar w:fldCharType="end"/>
      </w:r>
      <w:r>
        <w:t xml:space="preserve">. </w:t>
      </w:r>
    </w:p>
    <w:p w:rsidR="00A55955" w:rsidRDefault="00A55955" w:rsidP="000D6E9A">
      <w:pPr>
        <w:pStyle w:val="Caption"/>
      </w:pPr>
      <w:bookmarkStart w:id="51" w:name="_Ref422147597"/>
      <w:r>
        <w:t xml:space="preserve">Table </w:t>
      </w:r>
      <w:r w:rsidR="00663565">
        <w:fldChar w:fldCharType="begin"/>
      </w:r>
      <w:r w:rsidR="00663565">
        <w:instrText xml:space="preserve"> SEQ Table \* ARABIC </w:instrText>
      </w:r>
      <w:r w:rsidR="00663565">
        <w:fldChar w:fldCharType="separate"/>
      </w:r>
      <w:r w:rsidR="00250375">
        <w:rPr>
          <w:noProof/>
        </w:rPr>
        <w:t>14</w:t>
      </w:r>
      <w:r w:rsidR="00663565">
        <w:rPr>
          <w:noProof/>
        </w:rPr>
        <w:fldChar w:fldCharType="end"/>
      </w:r>
      <w:bookmarkEnd w:id="51"/>
      <w:r>
        <w:t xml:space="preserve">: </w:t>
      </w:r>
      <w:r w:rsidRPr="00983D0D">
        <w:t>Illustrative impacts of the proposed policy on Victorian employers and employees in selected sectors</w:t>
      </w:r>
    </w:p>
    <w:tbl>
      <w:tblPr>
        <w:tblStyle w:val="Tables-APBase"/>
        <w:tblW w:w="5000" w:type="pct"/>
        <w:tblLayout w:type="fixed"/>
        <w:tblLook w:val="04A0" w:firstRow="1" w:lastRow="0" w:firstColumn="1" w:lastColumn="0" w:noHBand="0" w:noVBand="1"/>
        <w:tblCaption w:val="Illustrative impacts of the proposed policy on Victorian employers and employees in selected sectors"/>
        <w:tblDescription w:val="This table provides illustrative potential impacts of the proposed policy on Victorian employers and employees in several selected sectors. The illustrative employers are a financial institution, manufacturing business, hospital and cafe.  The table contents discuss the impacts of each of the proposed new public holidays.  That is, easter sunday and the friday before the AFL grand final."/>
      </w:tblPr>
      <w:tblGrid>
        <w:gridCol w:w="1384"/>
        <w:gridCol w:w="3402"/>
        <w:gridCol w:w="3651"/>
      </w:tblGrid>
      <w:tr w:rsidR="003F7BA1" w:rsidTr="00325BAE">
        <w:trPr>
          <w:cnfStyle w:val="100000000000" w:firstRow="1" w:lastRow="0" w:firstColumn="0" w:lastColumn="0" w:oddVBand="0" w:evenVBand="0" w:oddHBand="0" w:evenHBand="0" w:firstRowFirstColumn="0" w:firstRowLastColumn="0" w:lastRowFirstColumn="0" w:lastRowLastColumn="0"/>
          <w:trHeight w:val="248"/>
        </w:trPr>
        <w:tc>
          <w:tcPr>
            <w:cnfStyle w:val="000000000100" w:firstRow="0" w:lastRow="0" w:firstColumn="0" w:lastColumn="0" w:oddVBand="0" w:evenVBand="0" w:oddHBand="0" w:evenHBand="0" w:firstRowFirstColumn="1" w:firstRowLastColumn="0" w:lastRowFirstColumn="0" w:lastRowLastColumn="0"/>
            <w:tcW w:w="1384" w:type="dxa"/>
            <w:vMerge w:val="restart"/>
            <w:vAlign w:val="center"/>
          </w:tcPr>
          <w:p w:rsidR="003F7BA1" w:rsidRPr="000E492D" w:rsidRDefault="003F7BA1" w:rsidP="00325BAE">
            <w:pPr>
              <w:pStyle w:val="TableColumnHeadingSmall"/>
            </w:pPr>
            <w:r w:rsidRPr="000E492D">
              <w:t>Illustrative employer</w:t>
            </w:r>
            <w:r>
              <w:t>*</w:t>
            </w:r>
          </w:p>
        </w:tc>
        <w:tc>
          <w:tcPr>
            <w:tcW w:w="7053" w:type="dxa"/>
            <w:gridSpan w:val="2"/>
          </w:tcPr>
          <w:p w:rsidR="003F7BA1" w:rsidRDefault="003F7BA1" w:rsidP="00325BAE">
            <w:pPr>
              <w:pStyle w:val="TableColumnHeadingSmall"/>
              <w:cnfStyle w:val="100000000000" w:firstRow="1" w:lastRow="0" w:firstColumn="0" w:lastColumn="0" w:oddVBand="0" w:evenVBand="0" w:oddHBand="0" w:evenHBand="0" w:firstRowFirstColumn="0" w:firstRowLastColumn="0" w:lastRowFirstColumn="0" w:lastRowLastColumn="0"/>
            </w:pPr>
            <w:r>
              <w:t>Expected impact of proposed new public holidays</w:t>
            </w:r>
          </w:p>
        </w:tc>
      </w:tr>
      <w:tr w:rsidR="003F7BA1" w:rsidTr="00325BAE">
        <w:trPr>
          <w:trHeight w:val="247"/>
        </w:trPr>
        <w:tc>
          <w:tcPr>
            <w:tcW w:w="1384" w:type="dxa"/>
            <w:vMerge/>
          </w:tcPr>
          <w:p w:rsidR="003F7BA1" w:rsidRDefault="003F7BA1" w:rsidP="00325BAE">
            <w:pPr>
              <w:pStyle w:val="TableColumnHeadingSmall"/>
            </w:pPr>
          </w:p>
        </w:tc>
        <w:tc>
          <w:tcPr>
            <w:tcW w:w="3402" w:type="dxa"/>
            <w:vAlign w:val="center"/>
          </w:tcPr>
          <w:p w:rsidR="003F7BA1" w:rsidRDefault="003F7BA1" w:rsidP="00325BAE">
            <w:pPr>
              <w:pStyle w:val="TableColumnHeadingSmall"/>
              <w:jc w:val="center"/>
            </w:pPr>
            <w:r>
              <w:t>Easter Sunday</w:t>
            </w:r>
          </w:p>
        </w:tc>
        <w:tc>
          <w:tcPr>
            <w:tcW w:w="3651" w:type="dxa"/>
            <w:vAlign w:val="center"/>
          </w:tcPr>
          <w:p w:rsidR="003F7BA1" w:rsidRDefault="003F7BA1" w:rsidP="00325BAE">
            <w:pPr>
              <w:pStyle w:val="TableColumnHeadingSmall"/>
              <w:jc w:val="center"/>
            </w:pPr>
            <w:r w:rsidRPr="00EF60DB">
              <w:t>Friday before the AFL Grand Final</w:t>
            </w:r>
          </w:p>
        </w:tc>
      </w:tr>
      <w:tr w:rsidR="003F7BA1" w:rsidTr="00325BAE">
        <w:tc>
          <w:tcPr>
            <w:tcW w:w="1384" w:type="dxa"/>
          </w:tcPr>
          <w:p w:rsidR="003F7BA1" w:rsidRPr="000E492D" w:rsidRDefault="003F7BA1" w:rsidP="00325BAE">
            <w:pPr>
              <w:pStyle w:val="TableTextSmall"/>
              <w:keepNext/>
              <w:rPr>
                <w:b/>
              </w:rPr>
            </w:pPr>
            <w:r w:rsidRPr="000E492D">
              <w:rPr>
                <w:b/>
              </w:rPr>
              <w:t>Financial institution</w:t>
            </w:r>
          </w:p>
        </w:tc>
        <w:tc>
          <w:tcPr>
            <w:tcW w:w="3402" w:type="dxa"/>
          </w:tcPr>
          <w:p w:rsidR="003F7BA1" w:rsidRPr="000E492D" w:rsidRDefault="003F7BA1" w:rsidP="00325BAE">
            <w:pPr>
              <w:pStyle w:val="TableTextSmall"/>
              <w:keepNext/>
              <w:rPr>
                <w:b/>
              </w:rPr>
            </w:pPr>
            <w:r w:rsidRPr="000E492D">
              <w:rPr>
                <w:b/>
              </w:rPr>
              <w:t>No impact expected</w:t>
            </w:r>
          </w:p>
          <w:p w:rsidR="003F7BA1" w:rsidRDefault="003F7BA1" w:rsidP="00325BAE">
            <w:pPr>
              <w:pStyle w:val="TableTextSmall"/>
              <w:keepNext/>
            </w:pPr>
            <w:r>
              <w:t>As financial institutions do not generally operate on Easter Sunday, there would be no impact on their operations or their employees.</w:t>
            </w:r>
          </w:p>
        </w:tc>
        <w:tc>
          <w:tcPr>
            <w:tcW w:w="3651" w:type="dxa"/>
          </w:tcPr>
          <w:p w:rsidR="003F7BA1" w:rsidRPr="000E492D" w:rsidRDefault="003F7BA1" w:rsidP="00325BAE">
            <w:pPr>
              <w:pStyle w:val="TableTextSmall"/>
              <w:keepNext/>
              <w:rPr>
                <w:b/>
              </w:rPr>
            </w:pPr>
            <w:r w:rsidRPr="000E492D">
              <w:rPr>
                <w:b/>
              </w:rPr>
              <w:t>Lost day of production and employees receive an extra paid day off work</w:t>
            </w:r>
          </w:p>
          <w:p w:rsidR="003F7BA1" w:rsidRDefault="003F7BA1" w:rsidP="00325BAE">
            <w:pPr>
              <w:pStyle w:val="TableTextSmall"/>
              <w:keepNext/>
            </w:pPr>
            <w:r>
              <w:t xml:space="preserve">This impact occurs because most financial institutions would not operate on the Friday public holiday. </w:t>
            </w:r>
          </w:p>
          <w:p w:rsidR="003F7BA1" w:rsidRDefault="003F7BA1" w:rsidP="00325BAE">
            <w:pPr>
              <w:pStyle w:val="TableTextSmall"/>
              <w:keepNext/>
            </w:pPr>
            <w:r>
              <w:t>It is possible that less than a full day’s production is lost as some employees may increase their output on the adjacent work days to partly offset the impact of not working on the Friday public holiday.</w:t>
            </w:r>
          </w:p>
        </w:tc>
      </w:tr>
      <w:tr w:rsidR="003F7BA1" w:rsidTr="00325BAE">
        <w:tc>
          <w:tcPr>
            <w:tcW w:w="1384" w:type="dxa"/>
          </w:tcPr>
          <w:p w:rsidR="003F7BA1" w:rsidRPr="000E492D" w:rsidRDefault="003F7BA1" w:rsidP="00325BAE">
            <w:pPr>
              <w:pStyle w:val="TableTextSmall"/>
              <w:keepNext/>
              <w:rPr>
                <w:b/>
              </w:rPr>
            </w:pPr>
            <w:r>
              <w:rPr>
                <w:b/>
              </w:rPr>
              <w:t>Manufacturing business</w:t>
            </w:r>
          </w:p>
        </w:tc>
        <w:tc>
          <w:tcPr>
            <w:tcW w:w="3402" w:type="dxa"/>
          </w:tcPr>
          <w:p w:rsidR="003F7BA1" w:rsidRPr="000E492D" w:rsidRDefault="003F7BA1" w:rsidP="00325BAE">
            <w:pPr>
              <w:pStyle w:val="TableTextSmall"/>
              <w:keepNext/>
              <w:rPr>
                <w:b/>
              </w:rPr>
            </w:pPr>
            <w:r w:rsidRPr="000E492D">
              <w:rPr>
                <w:b/>
              </w:rPr>
              <w:t>No impact expected</w:t>
            </w:r>
          </w:p>
          <w:p w:rsidR="003F7BA1" w:rsidRPr="000E492D" w:rsidRDefault="003F7BA1" w:rsidP="00325BAE">
            <w:pPr>
              <w:pStyle w:val="TableTextSmall"/>
              <w:keepNext/>
              <w:rPr>
                <w:b/>
              </w:rPr>
            </w:pPr>
            <w:r>
              <w:t>As manufacturers do not generally operate on Easter Sunday, there would be no impact on their operations or their employees.</w:t>
            </w:r>
          </w:p>
        </w:tc>
        <w:tc>
          <w:tcPr>
            <w:tcW w:w="3651" w:type="dxa"/>
          </w:tcPr>
          <w:p w:rsidR="003F7BA1" w:rsidRPr="000E492D" w:rsidRDefault="003F7BA1" w:rsidP="00325BAE">
            <w:pPr>
              <w:pStyle w:val="TableTextSmall"/>
              <w:keepNext/>
              <w:rPr>
                <w:b/>
              </w:rPr>
            </w:pPr>
            <w:r w:rsidRPr="000E492D">
              <w:rPr>
                <w:b/>
              </w:rPr>
              <w:t>Lost day of production and employees receive an extra paid day off work</w:t>
            </w:r>
          </w:p>
          <w:p w:rsidR="003F7BA1" w:rsidRDefault="003F7BA1" w:rsidP="00325BAE">
            <w:pPr>
              <w:pStyle w:val="TableTextSmall"/>
              <w:keepNext/>
            </w:pPr>
            <w:r>
              <w:t xml:space="preserve">This impact occurs because most manufacturing businesses would not operate on the Friday public holiday. </w:t>
            </w:r>
          </w:p>
          <w:p w:rsidR="003F7BA1" w:rsidRPr="000E492D" w:rsidRDefault="003F7BA1" w:rsidP="00325BAE">
            <w:pPr>
              <w:pStyle w:val="TableTextSmall"/>
              <w:keepNext/>
              <w:rPr>
                <w:b/>
              </w:rPr>
            </w:pPr>
            <w:r>
              <w:t xml:space="preserve">It is possible that less than a full day’s production is lost as some additional shifts and/or overtime may be rostered on the adjacent work days to partly offset the impact of not working on the Friday public holiday. </w:t>
            </w:r>
          </w:p>
        </w:tc>
      </w:tr>
      <w:tr w:rsidR="003F7BA1" w:rsidTr="00325BAE">
        <w:trPr>
          <w:trHeight w:val="3461"/>
        </w:trPr>
        <w:tc>
          <w:tcPr>
            <w:tcW w:w="1384" w:type="dxa"/>
          </w:tcPr>
          <w:p w:rsidR="003F7BA1" w:rsidRPr="000E492D" w:rsidRDefault="003F7BA1" w:rsidP="00325BAE">
            <w:pPr>
              <w:pStyle w:val="TableTextSmall"/>
              <w:keepNext/>
              <w:rPr>
                <w:b/>
              </w:rPr>
            </w:pPr>
            <w:r w:rsidRPr="000E492D">
              <w:rPr>
                <w:b/>
              </w:rPr>
              <w:t>Hospital</w:t>
            </w:r>
          </w:p>
        </w:tc>
        <w:tc>
          <w:tcPr>
            <w:tcW w:w="3402" w:type="dxa"/>
          </w:tcPr>
          <w:p w:rsidR="003F7BA1" w:rsidRPr="000E492D" w:rsidRDefault="003F7BA1" w:rsidP="00325BAE">
            <w:pPr>
              <w:pStyle w:val="TableTextSmall"/>
              <w:keepNext/>
              <w:rPr>
                <w:b/>
              </w:rPr>
            </w:pPr>
            <w:r w:rsidRPr="000E492D">
              <w:rPr>
                <w:b/>
              </w:rPr>
              <w:t xml:space="preserve">Some impact </w:t>
            </w:r>
            <w:r>
              <w:rPr>
                <w:b/>
              </w:rPr>
              <w:t>on output</w:t>
            </w:r>
            <w:r w:rsidRPr="000E492D">
              <w:rPr>
                <w:b/>
              </w:rPr>
              <w:t xml:space="preserve"> expected. Many employees receive additional wages</w:t>
            </w:r>
            <w:r>
              <w:rPr>
                <w:b/>
              </w:rPr>
              <w:t xml:space="preserve"> or an extra paid day off</w:t>
            </w:r>
            <w:r w:rsidRPr="000E492D">
              <w:rPr>
                <w:b/>
              </w:rPr>
              <w:t xml:space="preserve">  </w:t>
            </w:r>
          </w:p>
          <w:p w:rsidR="003F7BA1" w:rsidRDefault="003F7BA1" w:rsidP="00325BAE">
            <w:pPr>
              <w:pStyle w:val="TableTextSmall"/>
              <w:keepNext/>
            </w:pPr>
            <w:r w:rsidRPr="00410330">
              <w:t xml:space="preserve">Hospitals may offer reduced services </w:t>
            </w:r>
            <w:r>
              <w:t>on this day</w:t>
            </w:r>
            <w:r w:rsidRPr="00410330">
              <w:t xml:space="preserve">. </w:t>
            </w:r>
          </w:p>
          <w:p w:rsidR="003F7BA1" w:rsidRDefault="003F7BA1" w:rsidP="00325BAE">
            <w:pPr>
              <w:pStyle w:val="TableTextSmall"/>
              <w:keepNext/>
            </w:pPr>
            <w:r>
              <w:t>S</w:t>
            </w:r>
            <w:r w:rsidRPr="00410330">
              <w:t>taff required to work would be paid additional wages due to penalty rates, representing an increased cost for employers.</w:t>
            </w:r>
          </w:p>
          <w:p w:rsidR="003F7BA1" w:rsidRDefault="003F7BA1" w:rsidP="00325BAE">
            <w:pPr>
              <w:pStyle w:val="TableTextSmall"/>
              <w:keepNext/>
            </w:pPr>
            <w:r>
              <w:t>Others may be entitled to a paid day off. Casual employees no longer required to work that day receive an unpaid day off, representing reduced employment.</w:t>
            </w:r>
          </w:p>
          <w:p w:rsidR="003F7BA1" w:rsidRDefault="003F7BA1" w:rsidP="00325BAE">
            <w:pPr>
              <w:pStyle w:val="TableTextSmall"/>
              <w:keepNext/>
            </w:pPr>
            <w:r w:rsidRPr="00410330">
              <w:t>If the holiday falls on a rostered day off, many Victorian nurses are entitled to a day’s ordinary pay despite not working.</w:t>
            </w:r>
          </w:p>
        </w:tc>
        <w:tc>
          <w:tcPr>
            <w:tcW w:w="3651" w:type="dxa"/>
          </w:tcPr>
          <w:p w:rsidR="003F7BA1" w:rsidRPr="000E492D" w:rsidRDefault="003F7BA1" w:rsidP="00325BAE">
            <w:pPr>
              <w:pStyle w:val="TableTextSmall"/>
              <w:keepNext/>
              <w:rPr>
                <w:b/>
              </w:rPr>
            </w:pPr>
            <w:r w:rsidRPr="000E492D">
              <w:rPr>
                <w:b/>
              </w:rPr>
              <w:t xml:space="preserve">Some impact to </w:t>
            </w:r>
            <w:r>
              <w:rPr>
                <w:b/>
              </w:rPr>
              <w:t>output expected</w:t>
            </w:r>
            <w:r w:rsidRPr="000E492D">
              <w:rPr>
                <w:b/>
              </w:rPr>
              <w:t>. Many employees receive additional wages</w:t>
            </w:r>
            <w:r>
              <w:rPr>
                <w:b/>
              </w:rPr>
              <w:t xml:space="preserve"> or an extra paid day off</w:t>
            </w:r>
          </w:p>
          <w:p w:rsidR="003F7BA1" w:rsidRDefault="003F7BA1" w:rsidP="00325BAE">
            <w:pPr>
              <w:pStyle w:val="TableTextSmall"/>
              <w:keepNext/>
            </w:pPr>
            <w:r>
              <w:t xml:space="preserve">Hospitals are expected to experience </w:t>
            </w:r>
            <w:r w:rsidR="001C5141">
              <w:t xml:space="preserve">broadly </w:t>
            </w:r>
            <w:r>
              <w:t xml:space="preserve">similar impacts on the Friday holiday as on the Easter Sunday holiday, though the magnitude </w:t>
            </w:r>
            <w:r w:rsidR="001C5141">
              <w:t xml:space="preserve">of the impact </w:t>
            </w:r>
            <w:r>
              <w:t xml:space="preserve">would likely be greater on the Friday. </w:t>
            </w:r>
          </w:p>
          <w:p w:rsidR="003F7BA1" w:rsidRDefault="003F7BA1" w:rsidP="00325BAE">
            <w:pPr>
              <w:pStyle w:val="TableTextSmall"/>
              <w:keepNext/>
            </w:pPr>
            <w:r>
              <w:t>This is because:</w:t>
            </w:r>
          </w:p>
          <w:p w:rsidR="003F7BA1" w:rsidRDefault="003F7BA1" w:rsidP="00325BAE">
            <w:pPr>
              <w:pStyle w:val="TableTextSmall"/>
              <w:keepNext/>
              <w:numPr>
                <w:ilvl w:val="0"/>
                <w:numId w:val="37"/>
              </w:numPr>
            </w:pPr>
            <w:r>
              <w:t>the normal level of services offered is greater on a Friday than on Easter Sunday, meaning a public holiday on a Friday creates a greater disruption to services</w:t>
            </w:r>
          </w:p>
          <w:p w:rsidR="003F7BA1" w:rsidRDefault="003F7BA1" w:rsidP="00325BAE">
            <w:pPr>
              <w:pStyle w:val="TableTextSmall"/>
              <w:keepNext/>
              <w:numPr>
                <w:ilvl w:val="0"/>
                <w:numId w:val="37"/>
              </w:numPr>
            </w:pPr>
            <w:r>
              <w:t xml:space="preserve">Public holiday penalty rates add in </w:t>
            </w:r>
            <w:r w:rsidR="004E6197">
              <w:t>some</w:t>
            </w:r>
            <w:r>
              <w:t xml:space="preserve"> cases about 150% to the Friday wage rate but only about 50% on top of the Sunday wage rate. This means the additional wages are greater on a Friday public holiday.</w:t>
            </w:r>
          </w:p>
          <w:p w:rsidR="003F7BA1" w:rsidRDefault="003F7BA1" w:rsidP="00325BAE">
            <w:pPr>
              <w:pStyle w:val="TableTextSmall"/>
              <w:keepNext/>
            </w:pPr>
          </w:p>
        </w:tc>
      </w:tr>
      <w:tr w:rsidR="003F7BA1" w:rsidTr="00325BAE">
        <w:tc>
          <w:tcPr>
            <w:tcW w:w="1384" w:type="dxa"/>
          </w:tcPr>
          <w:p w:rsidR="003F7BA1" w:rsidRPr="000E492D" w:rsidRDefault="003F7BA1" w:rsidP="00325BAE">
            <w:pPr>
              <w:pStyle w:val="TableTextSmall"/>
              <w:keepNext/>
              <w:rPr>
                <w:b/>
              </w:rPr>
            </w:pPr>
            <w:r w:rsidRPr="000E492D">
              <w:rPr>
                <w:b/>
              </w:rPr>
              <w:t>Café</w:t>
            </w:r>
          </w:p>
        </w:tc>
        <w:tc>
          <w:tcPr>
            <w:tcW w:w="3402" w:type="dxa"/>
          </w:tcPr>
          <w:p w:rsidR="003F7BA1" w:rsidRPr="000E492D" w:rsidRDefault="003F7BA1" w:rsidP="00325BAE">
            <w:pPr>
              <w:pStyle w:val="TableTextSmall"/>
              <w:keepNext/>
              <w:rPr>
                <w:b/>
              </w:rPr>
            </w:pPr>
            <w:r w:rsidRPr="000E492D">
              <w:rPr>
                <w:b/>
              </w:rPr>
              <w:t xml:space="preserve">Some impact to </w:t>
            </w:r>
            <w:r>
              <w:rPr>
                <w:b/>
              </w:rPr>
              <w:t>output</w:t>
            </w:r>
            <w:r w:rsidRPr="000E492D">
              <w:rPr>
                <w:b/>
              </w:rPr>
              <w:t xml:space="preserve"> and to employment expected. Many employees receive additional wages</w:t>
            </w:r>
            <w:r>
              <w:rPr>
                <w:b/>
              </w:rPr>
              <w:t xml:space="preserve"> or an extra paid day off</w:t>
            </w:r>
            <w:r w:rsidRPr="000E492D">
              <w:rPr>
                <w:b/>
              </w:rPr>
              <w:t xml:space="preserve">  </w:t>
            </w:r>
          </w:p>
          <w:p w:rsidR="003F7BA1" w:rsidRDefault="003F7BA1" w:rsidP="00325BAE">
            <w:pPr>
              <w:pStyle w:val="TableTextSmall"/>
              <w:keepNext/>
            </w:pPr>
            <w:r>
              <w:t>Some cafés would close due to an Easter Sunday public holiday, representing approximately one day’s lost production. For casual café employees who would otherwise have worked, this represents lower employment. Permanent employees may get an extra paid day off.</w:t>
            </w:r>
          </w:p>
          <w:p w:rsidR="003F7BA1" w:rsidRDefault="003F7BA1" w:rsidP="00325BAE">
            <w:pPr>
              <w:pStyle w:val="TableTextSmall"/>
              <w:keepNext/>
            </w:pPr>
            <w:r>
              <w:t xml:space="preserve">Cafés that remain open would pay employees higher wages due to penalty rates, meaning increased income for some workers. Some employers could apply public holiday surcharges to help recoup some of these additional wage costs. </w:t>
            </w:r>
          </w:p>
          <w:p w:rsidR="003F7BA1" w:rsidRDefault="003F7BA1" w:rsidP="00325BAE">
            <w:pPr>
              <w:pStyle w:val="TableTextSmall"/>
              <w:keepNext/>
            </w:pPr>
            <w:r>
              <w:t>Some employers may be able to adjust their staffing mix toward juniors and permanent staff rather than casuals in an effort to limit wage cost increases.</w:t>
            </w:r>
          </w:p>
        </w:tc>
        <w:tc>
          <w:tcPr>
            <w:tcW w:w="3651" w:type="dxa"/>
          </w:tcPr>
          <w:p w:rsidR="003F7BA1" w:rsidRPr="000E492D" w:rsidRDefault="003F7BA1" w:rsidP="00325BAE">
            <w:pPr>
              <w:pStyle w:val="TableTextSmall"/>
              <w:keepNext/>
              <w:rPr>
                <w:b/>
              </w:rPr>
            </w:pPr>
            <w:r w:rsidRPr="000E492D">
              <w:rPr>
                <w:b/>
              </w:rPr>
              <w:t xml:space="preserve">Some impact </w:t>
            </w:r>
            <w:r>
              <w:rPr>
                <w:b/>
              </w:rPr>
              <w:t>to output</w:t>
            </w:r>
            <w:r w:rsidRPr="000E492D">
              <w:rPr>
                <w:b/>
              </w:rPr>
              <w:t xml:space="preserve"> and to employment expected. Many employees receive additional wages</w:t>
            </w:r>
            <w:r>
              <w:rPr>
                <w:b/>
              </w:rPr>
              <w:t xml:space="preserve"> or an extra paid day off</w:t>
            </w:r>
          </w:p>
          <w:p w:rsidR="003F7BA1" w:rsidRDefault="003F7BA1" w:rsidP="00325BAE">
            <w:pPr>
              <w:pStyle w:val="TableTextSmall"/>
              <w:keepNext/>
            </w:pPr>
            <w:r>
              <w:t>Cafés would likely experience similar impacts on the Friday holiday as on the Easter Sunday holiday, though the magnitude</w:t>
            </w:r>
            <w:r w:rsidR="004E6197">
              <w:t xml:space="preserve"> of the impact</w:t>
            </w:r>
            <w:r>
              <w:t xml:space="preserve"> is expected to be greater on the Friday because:</w:t>
            </w:r>
          </w:p>
          <w:p w:rsidR="003F7BA1" w:rsidRDefault="003F7BA1" w:rsidP="00325BAE">
            <w:pPr>
              <w:pStyle w:val="TableTextSmall"/>
              <w:keepNext/>
              <w:numPr>
                <w:ilvl w:val="0"/>
                <w:numId w:val="38"/>
              </w:numPr>
            </w:pPr>
            <w:proofErr w:type="gramStart"/>
            <w:r>
              <w:t>many</w:t>
            </w:r>
            <w:proofErr w:type="gramEnd"/>
            <w:r>
              <w:t xml:space="preserve"> cafés would already close on Easter Sunday meaning output is already lower on that day under current arrangements. On a Friday however most cafés would </w:t>
            </w:r>
            <w:r w:rsidR="004E6197">
              <w:t>be expected to be</w:t>
            </w:r>
            <w:r>
              <w:t xml:space="preserve"> open </w:t>
            </w:r>
          </w:p>
          <w:p w:rsidR="003F7BA1" w:rsidRDefault="003F7BA1" w:rsidP="00325BAE">
            <w:pPr>
              <w:pStyle w:val="TableTextSmall"/>
              <w:keepNext/>
              <w:numPr>
                <w:ilvl w:val="0"/>
                <w:numId w:val="38"/>
              </w:numPr>
            </w:pPr>
            <w:r>
              <w:t xml:space="preserve">Public holiday penalty rates add in </w:t>
            </w:r>
            <w:r w:rsidR="004E6197">
              <w:t>some</w:t>
            </w:r>
            <w:r>
              <w:t xml:space="preserve"> cases about 150% to the Friday wage rate but only about 50% on top of the Sunday wage rate. This means the additional wages are greater on a Friday public holiday.</w:t>
            </w:r>
          </w:p>
          <w:p w:rsidR="003F7BA1" w:rsidRDefault="003F7BA1" w:rsidP="00325BAE">
            <w:pPr>
              <w:pStyle w:val="TableTextSmall"/>
              <w:keepNext/>
            </w:pPr>
            <w:r>
              <w:t xml:space="preserve"> </w:t>
            </w:r>
          </w:p>
        </w:tc>
      </w:tr>
    </w:tbl>
    <w:p w:rsidR="00A55955" w:rsidRDefault="00A55955" w:rsidP="000D6E9A">
      <w:pPr>
        <w:pStyle w:val="Sources"/>
      </w:pPr>
      <w:r>
        <w:t>Source: PwC. *</w:t>
      </w:r>
      <w:proofErr w:type="gramStart"/>
      <w:r>
        <w:t>Some</w:t>
      </w:r>
      <w:proofErr w:type="gramEnd"/>
      <w:r>
        <w:t xml:space="preserve"> employers falling within these descriptions would experience different impacts. The expected impacts provided in the table are illustrative only. </w:t>
      </w:r>
    </w:p>
    <w:p w:rsidR="00BE03AE" w:rsidRDefault="00BE03AE" w:rsidP="0036733E">
      <w:pPr>
        <w:pStyle w:val="Heading6"/>
        <w:spacing w:before="0" w:after="40"/>
      </w:pPr>
      <w:r>
        <w:t>Impacts of the proposed policy</w:t>
      </w:r>
    </w:p>
    <w:p w:rsidR="00BE03AE" w:rsidRDefault="00BE03AE" w:rsidP="000D6E9A">
      <w:pPr>
        <w:pStyle w:val="StylePwCNormalnmajNormalnotetextcvteCNormalnotetext2"/>
        <w:keepNext/>
      </w:pPr>
      <w:r>
        <w:t xml:space="preserve">The </w:t>
      </w:r>
      <w:r w:rsidR="00790F1F">
        <w:t>lost production cost</w:t>
      </w:r>
      <w:r>
        <w:t xml:space="preserve"> of option 1 due to reduced economic activity </w:t>
      </w:r>
      <w:r w:rsidR="00790F1F">
        <w:t xml:space="preserve">is </w:t>
      </w:r>
      <w:r>
        <w:t>estimated to be between</w:t>
      </w:r>
      <w:r w:rsidRPr="000C61C7">
        <w:t xml:space="preserve"> </w:t>
      </w:r>
      <w:r w:rsidRPr="00091AF8">
        <w:rPr>
          <w:b/>
        </w:rPr>
        <w:t>$</w:t>
      </w:r>
      <w:r w:rsidR="00177104">
        <w:rPr>
          <w:b/>
        </w:rPr>
        <w:t>717</w:t>
      </w:r>
      <w:r w:rsidR="00177104" w:rsidRPr="00091AF8">
        <w:rPr>
          <w:b/>
        </w:rPr>
        <w:t> </w:t>
      </w:r>
      <w:r w:rsidRPr="00091AF8">
        <w:rPr>
          <w:b/>
        </w:rPr>
        <w:t>million</w:t>
      </w:r>
      <w:r w:rsidRPr="002B4100">
        <w:t xml:space="preserve"> and </w:t>
      </w:r>
      <w:r w:rsidRPr="00091AF8">
        <w:rPr>
          <w:b/>
        </w:rPr>
        <w:t>$</w:t>
      </w:r>
      <w:r w:rsidR="00177104">
        <w:rPr>
          <w:b/>
        </w:rPr>
        <w:t>898</w:t>
      </w:r>
      <w:r w:rsidRPr="00091AF8">
        <w:rPr>
          <w:b/>
        </w:rPr>
        <w:t> million</w:t>
      </w:r>
      <w:r>
        <w:t xml:space="preserve"> </w:t>
      </w:r>
      <w:r w:rsidR="009B65C1">
        <w:t>annually</w:t>
      </w:r>
      <w:r>
        <w:t xml:space="preserve">. </w:t>
      </w:r>
    </w:p>
    <w:p w:rsidR="00BE03AE" w:rsidRDefault="00790F1F" w:rsidP="00C56D87">
      <w:pPr>
        <w:pStyle w:val="StylePwCNormalnmajNormalnotetextcvteCNormalnotetext2"/>
        <w:keepNext/>
      </w:pPr>
      <w:r>
        <w:t>T</w:t>
      </w:r>
      <w:r w:rsidR="000938F3">
        <w:t xml:space="preserve">he benefits of increased individual leisure time have been </w:t>
      </w:r>
      <w:r>
        <w:t>estimated to potentially range</w:t>
      </w:r>
      <w:r w:rsidR="0094391C">
        <w:t xml:space="preserve"> between </w:t>
      </w:r>
      <w:r w:rsidR="0094391C" w:rsidRPr="003E7E0A">
        <w:rPr>
          <w:b/>
        </w:rPr>
        <w:t>$</w:t>
      </w:r>
      <w:r w:rsidR="0094391C">
        <w:rPr>
          <w:b/>
        </w:rPr>
        <w:t>156</w:t>
      </w:r>
      <w:r w:rsidR="0094391C" w:rsidRPr="003E7E0A">
        <w:rPr>
          <w:b/>
        </w:rPr>
        <w:t> million</w:t>
      </w:r>
      <w:r w:rsidR="0094391C">
        <w:t xml:space="preserve"> and </w:t>
      </w:r>
      <w:r w:rsidR="0094391C" w:rsidRPr="003E7E0A">
        <w:rPr>
          <w:b/>
        </w:rPr>
        <w:t>$</w:t>
      </w:r>
      <w:r w:rsidR="0094391C">
        <w:rPr>
          <w:b/>
        </w:rPr>
        <w:t>312</w:t>
      </w:r>
      <w:r w:rsidR="0094391C" w:rsidRPr="003E7E0A">
        <w:rPr>
          <w:b/>
        </w:rPr>
        <w:t> million</w:t>
      </w:r>
      <w:r w:rsidR="0094391C">
        <w:t xml:space="preserve"> annually</w:t>
      </w:r>
      <w:r>
        <w:t>.</w:t>
      </w:r>
      <w:r w:rsidR="000938F3">
        <w:t xml:space="preserve"> </w:t>
      </w:r>
      <w:r>
        <w:t>T</w:t>
      </w:r>
      <w:r w:rsidR="000938F3">
        <w:t>he wider benefits which can accrue to families and the broader community have not been quantified. This reflects the fact that these broader benefits depend intrinsically on individual and community preferences</w:t>
      </w:r>
      <w:r w:rsidR="004A1BB2">
        <w:t xml:space="preserve"> and on the value of as-yet unknown future events</w:t>
      </w:r>
      <w:r w:rsidR="000938F3">
        <w:t xml:space="preserve">. The </w:t>
      </w:r>
      <w:r w:rsidR="00BE03AE">
        <w:t>nature of the</w:t>
      </w:r>
      <w:r w:rsidR="000938F3">
        <w:t>se</w:t>
      </w:r>
      <w:r w:rsidR="00BE03AE">
        <w:t xml:space="preserve"> potential benefits is discussed qualitatively in </w:t>
      </w:r>
      <w:r w:rsidR="00BE03AE">
        <w:fldChar w:fldCharType="begin"/>
      </w:r>
      <w:r w:rsidR="00BE03AE">
        <w:instrText xml:space="preserve"> REF _Ref417306725 \n \h </w:instrText>
      </w:r>
      <w:r w:rsidR="00BE03AE">
        <w:fldChar w:fldCharType="separate"/>
      </w:r>
      <w:r w:rsidR="00250375">
        <w:t>Appendix B</w:t>
      </w:r>
      <w:r w:rsidR="00BE03AE">
        <w:fldChar w:fldCharType="end"/>
      </w:r>
      <w:r w:rsidR="00BE03AE">
        <w:t>. In summary, the potential benefits relate to:</w:t>
      </w:r>
    </w:p>
    <w:p w:rsidR="00BE03AE" w:rsidRDefault="00BE03AE" w:rsidP="00091AF8">
      <w:pPr>
        <w:pStyle w:val="ListBullet"/>
      </w:pPr>
      <w:r>
        <w:t>social and community benefits associated with additional coordinated leisure time for Victorians</w:t>
      </w:r>
    </w:p>
    <w:p w:rsidR="00BE03AE" w:rsidRDefault="00BE03AE" w:rsidP="00091AF8">
      <w:pPr>
        <w:pStyle w:val="ListBullet"/>
      </w:pPr>
      <w:r>
        <w:t>increased tourism expenditure and enhancement of Victoria’s reputation as a great sporting state</w:t>
      </w:r>
    </w:p>
    <w:p w:rsidR="00BE03AE" w:rsidRDefault="00BE03AE" w:rsidP="00091AF8">
      <w:pPr>
        <w:pStyle w:val="ListBullet"/>
      </w:pPr>
      <w:proofErr w:type="gramStart"/>
      <w:r>
        <w:t>increased</w:t>
      </w:r>
      <w:proofErr w:type="gramEnd"/>
      <w:r>
        <w:t xml:space="preserve"> productivity and reduced absenteeism in the workplace. </w:t>
      </w:r>
    </w:p>
    <w:p w:rsidR="00CA476E" w:rsidRDefault="00BE03AE" w:rsidP="00C25BC3">
      <w:pPr>
        <w:pStyle w:val="PwCNormal"/>
        <w:spacing w:before="0" w:after="240"/>
      </w:pPr>
      <w:r>
        <w:t>As the</w:t>
      </w:r>
      <w:r w:rsidR="000938F3">
        <w:t>se</w:t>
      </w:r>
      <w:r>
        <w:t xml:space="preserve"> benefits have not been quantified, we are unable to comment on the net impact of the proposed policy. </w:t>
      </w:r>
      <w:r w:rsidR="00F20E75">
        <w:t xml:space="preserve">However, </w:t>
      </w:r>
      <w:r w:rsidR="00810CD9">
        <w:t>the RIS</w:t>
      </w:r>
      <w:r w:rsidR="00CA476E">
        <w:t xml:space="preserve"> has sought to provide context around the possible values </w:t>
      </w:r>
      <w:r w:rsidR="00810CD9">
        <w:t>that</w:t>
      </w:r>
      <w:r w:rsidR="00CA476E">
        <w:t xml:space="preserve"> benefits could take. </w:t>
      </w:r>
    </w:p>
    <w:p w:rsidR="00BF6EBF" w:rsidRDefault="00BF6EBF" w:rsidP="000C281E">
      <w:pPr>
        <w:pStyle w:val="Minorheading2"/>
      </w:pPr>
      <w:r>
        <w:t>Additional leisure time</w:t>
      </w:r>
    </w:p>
    <w:p w:rsidR="00B05E09" w:rsidRDefault="00B05E09" w:rsidP="00B05E09">
      <w:pPr>
        <w:pStyle w:val="StylePwCNormalnmajNormalnotetextcvteCNormalnotetext"/>
        <w:numPr>
          <w:ilvl w:val="0"/>
          <w:numId w:val="26"/>
        </w:numPr>
      </w:pPr>
      <w:r>
        <w:t>Our analysis has estimated that</w:t>
      </w:r>
      <w:r w:rsidR="008F4FFF">
        <w:t xml:space="preserve"> approximately</w:t>
      </w:r>
      <w:r>
        <w:t xml:space="preserve"> 1.</w:t>
      </w:r>
      <w:r w:rsidR="00A566C9">
        <w:t>5</w:t>
      </w:r>
      <w:r>
        <w:t xml:space="preserve"> million </w:t>
      </w:r>
      <w:r w:rsidR="008F4FFF">
        <w:t xml:space="preserve">additional </w:t>
      </w:r>
      <w:r>
        <w:t xml:space="preserve">days off </w:t>
      </w:r>
      <w:r w:rsidR="008F4FFF">
        <w:t xml:space="preserve">work </w:t>
      </w:r>
      <w:r w:rsidR="003F4F0C">
        <w:t>would</w:t>
      </w:r>
      <w:r w:rsidR="00790F1F">
        <w:t xml:space="preserve"> be </w:t>
      </w:r>
      <w:r w:rsidR="008F4FFF">
        <w:t>taken by Victorians collectively</w:t>
      </w:r>
      <w:r w:rsidR="004A1BB2">
        <w:t xml:space="preserve"> due to businesses and other employers not operating on the proposed holidays</w:t>
      </w:r>
      <w:r w:rsidR="00790F1F">
        <w:t xml:space="preserve"> for an estimated benefit </w:t>
      </w:r>
      <w:r>
        <w:t xml:space="preserve">of between </w:t>
      </w:r>
      <w:r w:rsidRPr="00C873BE">
        <w:t>$</w:t>
      </w:r>
      <w:r w:rsidR="00177104" w:rsidRPr="00C873BE">
        <w:t>156 </w:t>
      </w:r>
      <w:r w:rsidRPr="00C873BE">
        <w:t>million</w:t>
      </w:r>
      <w:r>
        <w:t xml:space="preserve"> and </w:t>
      </w:r>
      <w:r w:rsidRPr="00C873BE">
        <w:t>$</w:t>
      </w:r>
      <w:r w:rsidR="00177104" w:rsidRPr="00C873BE">
        <w:t>312 </w:t>
      </w:r>
      <w:r w:rsidRPr="00C873BE">
        <w:t>million</w:t>
      </w:r>
      <w:r>
        <w:t xml:space="preserve"> annually. </w:t>
      </w:r>
    </w:p>
    <w:p w:rsidR="00BF6EBF" w:rsidRDefault="00BF6EBF" w:rsidP="000C281E">
      <w:pPr>
        <w:pStyle w:val="Minorheading2"/>
      </w:pPr>
      <w:r>
        <w:t>Tourism and sport</w:t>
      </w:r>
    </w:p>
    <w:p w:rsidR="00BF6EBF" w:rsidRPr="005C1332" w:rsidRDefault="00810CD9" w:rsidP="000D6E9A">
      <w:pPr>
        <w:pStyle w:val="StylePwCNormalnmajNormalnotetextcvteCNormalnotetext2"/>
      </w:pPr>
      <w:r w:rsidRPr="005C1332">
        <w:t xml:space="preserve">The analysis earlier acknowledged that there </w:t>
      </w:r>
      <w:r w:rsidR="00975532" w:rsidRPr="005C1332">
        <w:t>may</w:t>
      </w:r>
      <w:r w:rsidRPr="005C1332">
        <w:t xml:space="preserve"> be benefits from additional tourism and enhancing Victoria’s reputation as a great sporting state. </w:t>
      </w:r>
      <w:r w:rsidR="00BF6EBF" w:rsidRPr="005C1332">
        <w:t xml:space="preserve">Estimates from studies of the economic contribution of football and like events are however presented in order to provide some context around these potential benefits. Existing research suggests these benefits could range between $7 million and $49 million annually. </w:t>
      </w:r>
      <w:r w:rsidR="00790F1F">
        <w:t>A</w:t>
      </w:r>
      <w:r w:rsidR="00BF6EBF" w:rsidRPr="005C1332">
        <w:t>chieving such values for new events would likely take time and resources and would be unlikely to occur in the first years of implementation.</w:t>
      </w:r>
    </w:p>
    <w:p w:rsidR="00BF6EBF" w:rsidRDefault="00BF6EBF" w:rsidP="000C281E">
      <w:pPr>
        <w:pStyle w:val="Minorheading2"/>
      </w:pPr>
      <w:r>
        <w:t xml:space="preserve">Benefits required </w:t>
      </w:r>
      <w:proofErr w:type="gramStart"/>
      <w:r>
        <w:t>to offset</w:t>
      </w:r>
      <w:proofErr w:type="gramEnd"/>
      <w:r>
        <w:t xml:space="preserve"> the costs of the proposal</w:t>
      </w:r>
    </w:p>
    <w:p w:rsidR="00E36EE2" w:rsidRDefault="00E36EE2" w:rsidP="00E36EE2">
      <w:pPr>
        <w:pStyle w:val="StylePwCNormalnmajNormalnotetextcvteCNormalnotetext2"/>
      </w:pPr>
      <w:r>
        <w:t xml:space="preserve">Given estimated costs of between </w:t>
      </w:r>
      <w:r w:rsidR="00177104" w:rsidRPr="00091AF8">
        <w:rPr>
          <w:b/>
        </w:rPr>
        <w:t>$</w:t>
      </w:r>
      <w:r w:rsidR="00177104">
        <w:rPr>
          <w:b/>
        </w:rPr>
        <w:t>717</w:t>
      </w:r>
      <w:r w:rsidR="00177104" w:rsidRPr="00091AF8">
        <w:rPr>
          <w:b/>
        </w:rPr>
        <w:t> million</w:t>
      </w:r>
      <w:r w:rsidR="00177104" w:rsidRPr="002B4100">
        <w:t xml:space="preserve"> and </w:t>
      </w:r>
      <w:r w:rsidR="00177104" w:rsidRPr="00091AF8">
        <w:rPr>
          <w:b/>
        </w:rPr>
        <w:t>$</w:t>
      </w:r>
      <w:r w:rsidR="00177104">
        <w:rPr>
          <w:b/>
        </w:rPr>
        <w:t>898</w:t>
      </w:r>
      <w:r w:rsidR="00177104" w:rsidRPr="00091AF8">
        <w:rPr>
          <w:b/>
        </w:rPr>
        <w:t> million</w:t>
      </w:r>
      <w:r w:rsidR="00177104">
        <w:t xml:space="preserve"> </w:t>
      </w:r>
      <w:r>
        <w:t xml:space="preserve">annually, the community would need to place a value on the benefits of both Easter Sunday and the Friday before the AFL Grand Final public holidays in the range of </w:t>
      </w:r>
      <w:r w:rsidRPr="003E7E0A">
        <w:rPr>
          <w:b/>
        </w:rPr>
        <w:t>$</w:t>
      </w:r>
      <w:r w:rsidR="00177104">
        <w:rPr>
          <w:b/>
        </w:rPr>
        <w:t>405</w:t>
      </w:r>
      <w:r w:rsidR="00177104" w:rsidRPr="003E7E0A">
        <w:rPr>
          <w:b/>
        </w:rPr>
        <w:t> </w:t>
      </w:r>
      <w:r w:rsidRPr="003E7E0A">
        <w:rPr>
          <w:b/>
        </w:rPr>
        <w:t>million</w:t>
      </w:r>
      <w:r>
        <w:t xml:space="preserve"> to </w:t>
      </w:r>
      <w:r w:rsidRPr="003E7E0A">
        <w:rPr>
          <w:b/>
        </w:rPr>
        <w:t>$</w:t>
      </w:r>
      <w:r w:rsidR="00177104">
        <w:rPr>
          <w:b/>
        </w:rPr>
        <w:t>742</w:t>
      </w:r>
      <w:r w:rsidR="00177104" w:rsidRPr="003E7E0A">
        <w:rPr>
          <w:b/>
        </w:rPr>
        <w:t> </w:t>
      </w:r>
      <w:r w:rsidRPr="003E7E0A">
        <w:rPr>
          <w:b/>
        </w:rPr>
        <w:t>million</w:t>
      </w:r>
      <w:r>
        <w:t xml:space="preserve"> a year (in addition to the </w:t>
      </w:r>
      <w:r w:rsidRPr="009E0DFD">
        <w:t>$</w:t>
      </w:r>
      <w:r w:rsidR="00177104" w:rsidRPr="009E0DFD">
        <w:t>1</w:t>
      </w:r>
      <w:r w:rsidR="00177104">
        <w:t>56</w:t>
      </w:r>
      <w:r w:rsidR="00177104" w:rsidRPr="009E0DFD">
        <w:t> </w:t>
      </w:r>
      <w:r w:rsidRPr="009E0DFD">
        <w:t>million to $</w:t>
      </w:r>
      <w:r w:rsidR="00177104" w:rsidRPr="009E0DFD">
        <w:t>3</w:t>
      </w:r>
      <w:r w:rsidR="00177104">
        <w:t>12</w:t>
      </w:r>
      <w:r w:rsidR="00177104" w:rsidRPr="009E0DFD">
        <w:t xml:space="preserve"> </w:t>
      </w:r>
      <w:r w:rsidRPr="009E0DFD">
        <w:t>million</w:t>
      </w:r>
      <w:r>
        <w:t xml:space="preserve"> bene</w:t>
      </w:r>
      <w:r w:rsidR="00172826">
        <w:t>fits estimates discussed above)</w:t>
      </w:r>
      <w:r>
        <w:t xml:space="preserve"> </w:t>
      </w:r>
      <w:r w:rsidR="00172826">
        <w:t>in order for the benefits to offset the costs</w:t>
      </w:r>
      <w:r w:rsidR="00790F1F">
        <w:t xml:space="preserve"> associated with the Government’s proposal</w:t>
      </w:r>
      <w:r w:rsidR="00172826">
        <w:t>.</w:t>
      </w:r>
    </w:p>
    <w:p w:rsidR="00975532" w:rsidRDefault="00975532" w:rsidP="00091AF8">
      <w:pPr>
        <w:pStyle w:val="PwCNormal"/>
        <w:numPr>
          <w:ilvl w:val="0"/>
          <w:numId w:val="0"/>
        </w:numPr>
        <w:spacing w:before="0" w:after="240"/>
      </w:pPr>
      <w:r>
        <w:t>The actual value may need to be higher however to result in a net benefit, given it will take time and resources for the Frid</w:t>
      </w:r>
      <w:r w:rsidR="00E21466">
        <w:t>ay</w:t>
      </w:r>
      <w:r>
        <w:t xml:space="preserve"> before the </w:t>
      </w:r>
      <w:r w:rsidR="00F51110">
        <w:t xml:space="preserve">AFL </w:t>
      </w:r>
      <w:r>
        <w:t>Grand Final to become a significant day in the sporting calendar.</w:t>
      </w:r>
    </w:p>
    <w:p w:rsidR="00BE03AE" w:rsidRDefault="00BE03AE" w:rsidP="00BE03AE">
      <w:pPr>
        <w:pStyle w:val="Heading6"/>
        <w:spacing w:before="0" w:after="40"/>
      </w:pPr>
      <w:r>
        <w:t>Distributional impacts of the net economic impacts</w:t>
      </w:r>
    </w:p>
    <w:p w:rsidR="00BE03AE" w:rsidRDefault="00BE03AE" w:rsidP="000D6E9A">
      <w:pPr>
        <w:pStyle w:val="StylePwCNormalnmajNormalnotetextcvteCNormalnotetext2"/>
      </w:pPr>
      <w:r>
        <w:fldChar w:fldCharType="begin"/>
      </w:r>
      <w:r>
        <w:instrText xml:space="preserve"> REF _Ref416442767 \h </w:instrText>
      </w:r>
      <w:r>
        <w:fldChar w:fldCharType="separate"/>
      </w:r>
      <w:r w:rsidR="00250375">
        <w:t xml:space="preserve">Table </w:t>
      </w:r>
      <w:r w:rsidR="00250375">
        <w:rPr>
          <w:noProof/>
        </w:rPr>
        <w:t>15</w:t>
      </w:r>
      <w:r>
        <w:fldChar w:fldCharType="end"/>
      </w:r>
      <w:r>
        <w:t xml:space="preserve"> presents estimates of the distributional impacts of the Government’s proposed policy. Discussion of these estimates is provided in the </w:t>
      </w:r>
      <w:r w:rsidR="00437758">
        <w:t xml:space="preserve">following </w:t>
      </w:r>
      <w:r>
        <w:t>sections</w:t>
      </w:r>
      <w:r w:rsidR="00437758">
        <w:t>.</w:t>
      </w:r>
    </w:p>
    <w:p w:rsidR="00BE03AE" w:rsidRDefault="00BE03AE">
      <w:pPr>
        <w:pStyle w:val="Caption"/>
      </w:pPr>
      <w:bookmarkStart w:id="52" w:name="_Ref416442767"/>
      <w:r>
        <w:t xml:space="preserve">Table </w:t>
      </w:r>
      <w:r w:rsidR="00663565">
        <w:fldChar w:fldCharType="begin"/>
      </w:r>
      <w:r w:rsidR="00663565">
        <w:instrText xml:space="preserve"> SEQ Table \* ARABIC </w:instrText>
      </w:r>
      <w:r w:rsidR="00663565">
        <w:fldChar w:fldCharType="separate"/>
      </w:r>
      <w:r w:rsidR="00250375">
        <w:rPr>
          <w:noProof/>
        </w:rPr>
        <w:t>15</w:t>
      </w:r>
      <w:r w:rsidR="00663565">
        <w:rPr>
          <w:noProof/>
        </w:rPr>
        <w:fldChar w:fldCharType="end"/>
      </w:r>
      <w:bookmarkEnd w:id="52"/>
      <w:r>
        <w:t>: Estimated distributional reduced activity impacts of the proposed policy</w:t>
      </w:r>
    </w:p>
    <w:tbl>
      <w:tblPr>
        <w:tblW w:w="5000" w:type="pct"/>
        <w:tblLook w:val="04A0" w:firstRow="1" w:lastRow="0" w:firstColumn="1" w:lastColumn="0" w:noHBand="0" w:noVBand="1"/>
        <w:tblCaption w:val="Estimated distributional reduced activity impacts of the proposed policy"/>
        <w:tblDescription w:val="The table provides estimates of the distributional reduced activity impacts of the proposed policy. The estimates are presented in Australian dollar millions annually in columns two and three, and in net present value terms over 10 years in Australian dollar millions in columns four and five. The results are provided for three groups.  The first group is medium and large businesses and not for profit organisations.  The second group is small business and not for profit organisations.  The third group is government."/>
      </w:tblPr>
      <w:tblGrid>
        <w:gridCol w:w="1929"/>
        <w:gridCol w:w="1627"/>
        <w:gridCol w:w="1628"/>
        <w:gridCol w:w="1628"/>
        <w:gridCol w:w="1625"/>
      </w:tblGrid>
      <w:tr w:rsidR="00BE03AE" w:rsidRPr="002D64B2" w:rsidTr="00BE03AE">
        <w:trPr>
          <w:trHeight w:val="340"/>
        </w:trPr>
        <w:tc>
          <w:tcPr>
            <w:tcW w:w="1143" w:type="pct"/>
            <w:vMerge w:val="restart"/>
            <w:tcBorders>
              <w:top w:val="single" w:sz="8" w:space="0" w:color="A32020"/>
              <w:left w:val="single" w:sz="8" w:space="0" w:color="FFFFFF"/>
              <w:bottom w:val="dotted" w:sz="4" w:space="0" w:color="A32020"/>
              <w:right w:val="single" w:sz="8" w:space="0" w:color="FFFFFF"/>
            </w:tcBorders>
            <w:shd w:val="clear" w:color="auto" w:fill="auto"/>
            <w:vAlign w:val="center"/>
            <w:hideMark/>
          </w:tcPr>
          <w:p w:rsidR="00BE03AE" w:rsidRPr="002D64B2" w:rsidRDefault="00BE03AE">
            <w:pPr>
              <w:keepNext/>
              <w:kinsoku/>
              <w:overflowPunct/>
              <w:autoSpaceDE/>
              <w:autoSpaceDN/>
              <w:adjustRightInd/>
              <w:snapToGrid/>
              <w:jc w:val="center"/>
              <w:rPr>
                <w:rFonts w:ascii="Arial" w:hAnsi="Arial"/>
                <w:b/>
                <w:bCs/>
                <w:snapToGrid/>
                <w:color w:val="A32020"/>
                <w:sz w:val="16"/>
                <w:szCs w:val="16"/>
                <w:lang w:eastAsia="en-AU"/>
              </w:rPr>
            </w:pPr>
            <w:r w:rsidRPr="002D64B2">
              <w:rPr>
                <w:rFonts w:ascii="Arial" w:hAnsi="Arial"/>
                <w:b/>
                <w:bCs/>
                <w:snapToGrid/>
                <w:color w:val="A32020"/>
                <w:sz w:val="16"/>
                <w:szCs w:val="16"/>
                <w:lang w:eastAsia="en-AU"/>
              </w:rPr>
              <w:t>Group</w:t>
            </w:r>
          </w:p>
        </w:tc>
        <w:tc>
          <w:tcPr>
            <w:tcW w:w="1929" w:type="pct"/>
            <w:gridSpan w:val="2"/>
            <w:tcBorders>
              <w:top w:val="single" w:sz="8" w:space="0" w:color="A32020"/>
              <w:left w:val="nil"/>
              <w:bottom w:val="single" w:sz="8" w:space="0" w:color="A32020"/>
              <w:right w:val="nil"/>
            </w:tcBorders>
            <w:shd w:val="clear" w:color="auto" w:fill="auto"/>
            <w:vAlign w:val="center"/>
            <w:hideMark/>
          </w:tcPr>
          <w:p w:rsidR="00BE03AE" w:rsidRPr="002D64B2" w:rsidRDefault="00BE03AE">
            <w:pPr>
              <w:keepNext/>
              <w:kinsoku/>
              <w:overflowPunct/>
              <w:autoSpaceDE/>
              <w:autoSpaceDN/>
              <w:adjustRightInd/>
              <w:snapToGrid/>
              <w:jc w:val="center"/>
              <w:rPr>
                <w:rFonts w:ascii="Arial" w:hAnsi="Arial"/>
                <w:b/>
                <w:bCs/>
                <w:snapToGrid/>
                <w:color w:val="A32020"/>
                <w:sz w:val="16"/>
                <w:szCs w:val="16"/>
                <w:lang w:eastAsia="en-AU"/>
              </w:rPr>
            </w:pPr>
            <w:r w:rsidRPr="002D64B2">
              <w:rPr>
                <w:rFonts w:ascii="Arial" w:hAnsi="Arial"/>
                <w:b/>
                <w:bCs/>
                <w:snapToGrid/>
                <w:color w:val="A32020"/>
                <w:sz w:val="16"/>
                <w:szCs w:val="16"/>
                <w:lang w:eastAsia="en-AU"/>
              </w:rPr>
              <w:t xml:space="preserve">Net impact, annualised $m </w:t>
            </w:r>
          </w:p>
        </w:tc>
        <w:tc>
          <w:tcPr>
            <w:tcW w:w="1928" w:type="pct"/>
            <w:gridSpan w:val="2"/>
            <w:tcBorders>
              <w:top w:val="single" w:sz="8" w:space="0" w:color="A32020"/>
              <w:left w:val="single" w:sz="8" w:space="0" w:color="FFFFFF"/>
              <w:bottom w:val="single" w:sz="8" w:space="0" w:color="A32020"/>
              <w:right w:val="single" w:sz="8" w:space="0" w:color="FFFFFF"/>
            </w:tcBorders>
            <w:shd w:val="clear" w:color="auto" w:fill="auto"/>
            <w:vAlign w:val="center"/>
            <w:hideMark/>
          </w:tcPr>
          <w:p w:rsidR="00BE03AE" w:rsidRPr="002D64B2" w:rsidRDefault="00BE03AE">
            <w:pPr>
              <w:keepNext/>
              <w:kinsoku/>
              <w:overflowPunct/>
              <w:autoSpaceDE/>
              <w:autoSpaceDN/>
              <w:adjustRightInd/>
              <w:snapToGrid/>
              <w:jc w:val="center"/>
              <w:rPr>
                <w:rFonts w:ascii="Arial" w:hAnsi="Arial"/>
                <w:b/>
                <w:bCs/>
                <w:snapToGrid/>
                <w:color w:val="A32020"/>
                <w:sz w:val="16"/>
                <w:szCs w:val="16"/>
                <w:lang w:eastAsia="en-AU"/>
              </w:rPr>
            </w:pPr>
            <w:r w:rsidRPr="002D64B2">
              <w:rPr>
                <w:rFonts w:ascii="Arial" w:hAnsi="Arial"/>
                <w:b/>
                <w:bCs/>
                <w:snapToGrid/>
                <w:color w:val="A32020"/>
                <w:sz w:val="16"/>
                <w:szCs w:val="16"/>
                <w:lang w:eastAsia="en-AU"/>
              </w:rPr>
              <w:t>Net impact NPV $m</w:t>
            </w:r>
          </w:p>
        </w:tc>
      </w:tr>
      <w:tr w:rsidR="00BE03AE" w:rsidRPr="002D64B2" w:rsidTr="003E7E0A">
        <w:trPr>
          <w:trHeight w:val="340"/>
        </w:trPr>
        <w:tc>
          <w:tcPr>
            <w:tcW w:w="1143" w:type="pct"/>
            <w:vMerge/>
            <w:tcBorders>
              <w:top w:val="single" w:sz="8" w:space="0" w:color="A32020"/>
              <w:left w:val="single" w:sz="8" w:space="0" w:color="FFFFFF"/>
              <w:bottom w:val="dotted" w:sz="4" w:space="0" w:color="A32020"/>
              <w:right w:val="single" w:sz="8" w:space="0" w:color="FFFFFF"/>
            </w:tcBorders>
            <w:vAlign w:val="center"/>
            <w:hideMark/>
          </w:tcPr>
          <w:p w:rsidR="00BE03AE" w:rsidRPr="002D64B2" w:rsidRDefault="00BE03AE">
            <w:pPr>
              <w:keepNext/>
              <w:kinsoku/>
              <w:overflowPunct/>
              <w:autoSpaceDE/>
              <w:autoSpaceDN/>
              <w:adjustRightInd/>
              <w:snapToGrid/>
              <w:rPr>
                <w:rFonts w:ascii="Arial" w:hAnsi="Arial"/>
                <w:b/>
                <w:bCs/>
                <w:snapToGrid/>
                <w:color w:val="A32020"/>
                <w:sz w:val="16"/>
                <w:szCs w:val="16"/>
                <w:lang w:eastAsia="en-AU"/>
              </w:rPr>
            </w:pPr>
          </w:p>
        </w:tc>
        <w:tc>
          <w:tcPr>
            <w:tcW w:w="964" w:type="pct"/>
            <w:tcBorders>
              <w:top w:val="nil"/>
              <w:left w:val="nil"/>
              <w:bottom w:val="dotted" w:sz="4" w:space="0" w:color="A32020"/>
              <w:right w:val="single" w:sz="8" w:space="0" w:color="FFFFFF"/>
            </w:tcBorders>
            <w:shd w:val="clear" w:color="auto" w:fill="auto"/>
            <w:vAlign w:val="center"/>
            <w:hideMark/>
          </w:tcPr>
          <w:p w:rsidR="00BE03AE" w:rsidRPr="002D64B2" w:rsidRDefault="00BE03AE">
            <w:pPr>
              <w:keepNext/>
              <w:kinsoku/>
              <w:overflowPunct/>
              <w:autoSpaceDE/>
              <w:autoSpaceDN/>
              <w:adjustRightInd/>
              <w:snapToGrid/>
              <w:jc w:val="center"/>
              <w:rPr>
                <w:rFonts w:ascii="Arial" w:hAnsi="Arial"/>
                <w:b/>
                <w:bCs/>
                <w:snapToGrid/>
                <w:color w:val="A32020"/>
                <w:sz w:val="16"/>
                <w:szCs w:val="16"/>
                <w:lang w:eastAsia="en-AU"/>
              </w:rPr>
            </w:pPr>
            <w:r w:rsidRPr="002D64B2">
              <w:rPr>
                <w:rFonts w:ascii="Arial" w:hAnsi="Arial"/>
                <w:b/>
                <w:bCs/>
                <w:snapToGrid/>
                <w:color w:val="A32020"/>
                <w:sz w:val="16"/>
                <w:szCs w:val="16"/>
                <w:lang w:eastAsia="en-AU"/>
              </w:rPr>
              <w:t>Low estimate</w:t>
            </w:r>
          </w:p>
        </w:tc>
        <w:tc>
          <w:tcPr>
            <w:tcW w:w="965" w:type="pct"/>
            <w:tcBorders>
              <w:top w:val="nil"/>
              <w:left w:val="nil"/>
              <w:bottom w:val="dotted" w:sz="4" w:space="0" w:color="A32020"/>
              <w:right w:val="single" w:sz="8" w:space="0" w:color="FFFFFF"/>
            </w:tcBorders>
            <w:shd w:val="clear" w:color="auto" w:fill="auto"/>
            <w:vAlign w:val="center"/>
            <w:hideMark/>
          </w:tcPr>
          <w:p w:rsidR="00BE03AE" w:rsidRPr="002D64B2" w:rsidRDefault="00BE03AE">
            <w:pPr>
              <w:keepNext/>
              <w:kinsoku/>
              <w:overflowPunct/>
              <w:autoSpaceDE/>
              <w:autoSpaceDN/>
              <w:adjustRightInd/>
              <w:snapToGrid/>
              <w:jc w:val="center"/>
              <w:rPr>
                <w:rFonts w:ascii="Arial" w:hAnsi="Arial"/>
                <w:b/>
                <w:bCs/>
                <w:snapToGrid/>
                <w:color w:val="A32020"/>
                <w:sz w:val="16"/>
                <w:szCs w:val="16"/>
                <w:lang w:eastAsia="en-AU"/>
              </w:rPr>
            </w:pPr>
            <w:r w:rsidRPr="002D64B2">
              <w:rPr>
                <w:rFonts w:ascii="Arial" w:hAnsi="Arial"/>
                <w:b/>
                <w:bCs/>
                <w:snapToGrid/>
                <w:color w:val="A32020"/>
                <w:sz w:val="16"/>
                <w:szCs w:val="16"/>
                <w:lang w:eastAsia="en-AU"/>
              </w:rPr>
              <w:t>High estimate</w:t>
            </w:r>
          </w:p>
        </w:tc>
        <w:tc>
          <w:tcPr>
            <w:tcW w:w="965" w:type="pct"/>
            <w:tcBorders>
              <w:top w:val="nil"/>
              <w:left w:val="nil"/>
              <w:bottom w:val="dotted" w:sz="4" w:space="0" w:color="A32020"/>
              <w:right w:val="single" w:sz="8" w:space="0" w:color="FFFFFF"/>
            </w:tcBorders>
            <w:shd w:val="clear" w:color="auto" w:fill="auto"/>
            <w:vAlign w:val="center"/>
            <w:hideMark/>
          </w:tcPr>
          <w:p w:rsidR="00BE03AE" w:rsidRPr="002D64B2" w:rsidRDefault="00BE03AE">
            <w:pPr>
              <w:keepNext/>
              <w:kinsoku/>
              <w:overflowPunct/>
              <w:autoSpaceDE/>
              <w:autoSpaceDN/>
              <w:adjustRightInd/>
              <w:snapToGrid/>
              <w:jc w:val="center"/>
              <w:rPr>
                <w:rFonts w:ascii="Arial" w:hAnsi="Arial"/>
                <w:b/>
                <w:bCs/>
                <w:snapToGrid/>
                <w:color w:val="A32020"/>
                <w:sz w:val="16"/>
                <w:szCs w:val="16"/>
                <w:lang w:eastAsia="en-AU"/>
              </w:rPr>
            </w:pPr>
            <w:r w:rsidRPr="002D64B2">
              <w:rPr>
                <w:rFonts w:ascii="Arial" w:hAnsi="Arial"/>
                <w:b/>
                <w:bCs/>
                <w:snapToGrid/>
                <w:color w:val="A32020"/>
                <w:sz w:val="16"/>
                <w:szCs w:val="16"/>
                <w:lang w:eastAsia="en-AU"/>
              </w:rPr>
              <w:t>Low estimate</w:t>
            </w:r>
          </w:p>
        </w:tc>
        <w:tc>
          <w:tcPr>
            <w:tcW w:w="963" w:type="pct"/>
            <w:tcBorders>
              <w:top w:val="nil"/>
              <w:left w:val="nil"/>
              <w:bottom w:val="dotted" w:sz="4" w:space="0" w:color="A32020"/>
              <w:right w:val="single" w:sz="8" w:space="0" w:color="FFFFFF"/>
            </w:tcBorders>
            <w:shd w:val="clear" w:color="auto" w:fill="auto"/>
            <w:vAlign w:val="center"/>
            <w:hideMark/>
          </w:tcPr>
          <w:p w:rsidR="00BE03AE" w:rsidRPr="002D64B2" w:rsidRDefault="00BE03AE">
            <w:pPr>
              <w:keepNext/>
              <w:kinsoku/>
              <w:overflowPunct/>
              <w:autoSpaceDE/>
              <w:autoSpaceDN/>
              <w:adjustRightInd/>
              <w:snapToGrid/>
              <w:jc w:val="center"/>
              <w:rPr>
                <w:rFonts w:ascii="Arial" w:hAnsi="Arial"/>
                <w:b/>
                <w:bCs/>
                <w:snapToGrid/>
                <w:color w:val="A32020"/>
                <w:sz w:val="16"/>
                <w:szCs w:val="16"/>
                <w:lang w:eastAsia="en-AU"/>
              </w:rPr>
            </w:pPr>
            <w:r w:rsidRPr="002D64B2">
              <w:rPr>
                <w:rFonts w:ascii="Arial" w:hAnsi="Arial"/>
                <w:b/>
                <w:bCs/>
                <w:snapToGrid/>
                <w:color w:val="A32020"/>
                <w:sz w:val="16"/>
                <w:szCs w:val="16"/>
                <w:lang w:eastAsia="en-AU"/>
              </w:rPr>
              <w:t>High estimate</w:t>
            </w:r>
          </w:p>
        </w:tc>
      </w:tr>
      <w:tr w:rsidR="00177104" w:rsidRPr="002D64B2" w:rsidTr="000D6E9A">
        <w:trPr>
          <w:trHeight w:val="340"/>
        </w:trPr>
        <w:tc>
          <w:tcPr>
            <w:tcW w:w="1143" w:type="pct"/>
            <w:tcBorders>
              <w:top w:val="nil"/>
              <w:left w:val="single" w:sz="8" w:space="0" w:color="FFFFFF"/>
              <w:bottom w:val="dotted" w:sz="4" w:space="0" w:color="A32020"/>
              <w:right w:val="single" w:sz="8" w:space="0" w:color="FFFFFF"/>
            </w:tcBorders>
            <w:shd w:val="clear" w:color="auto" w:fill="auto"/>
            <w:vAlign w:val="center"/>
            <w:hideMark/>
          </w:tcPr>
          <w:p w:rsidR="00177104" w:rsidRPr="002D64B2" w:rsidRDefault="00177104">
            <w:pPr>
              <w:keepNext/>
              <w:kinsoku/>
              <w:overflowPunct/>
              <w:autoSpaceDE/>
              <w:autoSpaceDN/>
              <w:adjustRightInd/>
              <w:snapToGrid/>
              <w:jc w:val="center"/>
              <w:rPr>
                <w:rFonts w:ascii="Arial" w:hAnsi="Arial"/>
                <w:snapToGrid/>
                <w:color w:val="000000"/>
                <w:sz w:val="16"/>
                <w:szCs w:val="16"/>
                <w:lang w:eastAsia="en-AU"/>
              </w:rPr>
            </w:pPr>
            <w:r>
              <w:rPr>
                <w:rFonts w:ascii="Arial" w:hAnsi="Arial"/>
                <w:snapToGrid/>
                <w:color w:val="000000"/>
                <w:sz w:val="16"/>
                <w:szCs w:val="16"/>
                <w:lang w:eastAsia="en-AU"/>
              </w:rPr>
              <w:t>Medium and large b</w:t>
            </w:r>
            <w:r w:rsidRPr="002D64B2">
              <w:rPr>
                <w:rFonts w:ascii="Arial" w:hAnsi="Arial"/>
                <w:snapToGrid/>
                <w:color w:val="000000"/>
                <w:sz w:val="16"/>
                <w:szCs w:val="16"/>
                <w:lang w:eastAsia="en-AU"/>
              </w:rPr>
              <w:t xml:space="preserve">usiness/ </w:t>
            </w:r>
            <w:r>
              <w:rPr>
                <w:rFonts w:ascii="Arial" w:hAnsi="Arial"/>
                <w:snapToGrid/>
                <w:color w:val="000000"/>
                <w:sz w:val="16"/>
                <w:szCs w:val="16"/>
                <w:lang w:eastAsia="en-AU"/>
              </w:rPr>
              <w:t xml:space="preserve">not-for-profit </w:t>
            </w:r>
          </w:p>
        </w:tc>
        <w:tc>
          <w:tcPr>
            <w:tcW w:w="964" w:type="pct"/>
            <w:tcBorders>
              <w:top w:val="nil"/>
              <w:left w:val="nil"/>
              <w:bottom w:val="dotted" w:sz="4" w:space="0" w:color="A32020"/>
              <w:right w:val="single" w:sz="8" w:space="0" w:color="FFFFFF"/>
            </w:tcBorders>
            <w:shd w:val="clear" w:color="auto" w:fill="auto"/>
            <w:vAlign w:val="center"/>
          </w:tcPr>
          <w:p w:rsidR="00177104" w:rsidRPr="002D64B2" w:rsidRDefault="00177104" w:rsidP="00223124">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358</w:t>
            </w:r>
          </w:p>
        </w:tc>
        <w:tc>
          <w:tcPr>
            <w:tcW w:w="965" w:type="pct"/>
            <w:tcBorders>
              <w:top w:val="nil"/>
              <w:left w:val="nil"/>
              <w:bottom w:val="dotted" w:sz="4" w:space="0" w:color="A32020"/>
              <w:right w:val="single" w:sz="8" w:space="0" w:color="FFFFFF"/>
            </w:tcBorders>
            <w:shd w:val="clear" w:color="auto" w:fill="auto"/>
            <w:vAlign w:val="center"/>
          </w:tcPr>
          <w:p w:rsidR="00177104" w:rsidRPr="002D64B2" w:rsidRDefault="00177104">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456</w:t>
            </w:r>
          </w:p>
        </w:tc>
        <w:tc>
          <w:tcPr>
            <w:tcW w:w="965" w:type="pct"/>
            <w:tcBorders>
              <w:top w:val="nil"/>
              <w:left w:val="nil"/>
              <w:bottom w:val="dotted" w:sz="4" w:space="0" w:color="A32020"/>
              <w:right w:val="single" w:sz="8" w:space="0" w:color="FFFFFF"/>
            </w:tcBorders>
            <w:shd w:val="clear" w:color="auto" w:fill="auto"/>
            <w:vAlign w:val="center"/>
            <w:hideMark/>
          </w:tcPr>
          <w:p w:rsidR="00177104" w:rsidRPr="002D64B2" w:rsidRDefault="00177104">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2,877</w:t>
            </w:r>
          </w:p>
        </w:tc>
        <w:tc>
          <w:tcPr>
            <w:tcW w:w="963" w:type="pct"/>
            <w:tcBorders>
              <w:top w:val="nil"/>
              <w:left w:val="nil"/>
              <w:bottom w:val="dotted" w:sz="4" w:space="0" w:color="A32020"/>
              <w:right w:val="single" w:sz="8" w:space="0" w:color="FFFFFF"/>
            </w:tcBorders>
            <w:shd w:val="clear" w:color="auto" w:fill="auto"/>
            <w:vAlign w:val="center"/>
            <w:hideMark/>
          </w:tcPr>
          <w:p w:rsidR="00177104" w:rsidRPr="002D64B2" w:rsidRDefault="00177104">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3,669</w:t>
            </w:r>
          </w:p>
        </w:tc>
      </w:tr>
      <w:tr w:rsidR="00177104" w:rsidRPr="002D64B2" w:rsidTr="000D6E9A">
        <w:trPr>
          <w:trHeight w:val="340"/>
        </w:trPr>
        <w:tc>
          <w:tcPr>
            <w:tcW w:w="1143" w:type="pct"/>
            <w:tcBorders>
              <w:top w:val="nil"/>
              <w:left w:val="single" w:sz="8" w:space="0" w:color="FFFFFF"/>
              <w:bottom w:val="dotted" w:sz="4" w:space="0" w:color="A32020"/>
              <w:right w:val="single" w:sz="8" w:space="0" w:color="FFFFFF"/>
            </w:tcBorders>
            <w:shd w:val="clear" w:color="auto" w:fill="auto"/>
            <w:vAlign w:val="center"/>
            <w:hideMark/>
          </w:tcPr>
          <w:p w:rsidR="00177104" w:rsidRPr="002D64B2" w:rsidRDefault="00177104" w:rsidP="0036733E">
            <w:pPr>
              <w:keepNext/>
              <w:kinsoku/>
              <w:overflowPunct/>
              <w:autoSpaceDE/>
              <w:autoSpaceDN/>
              <w:adjustRightInd/>
              <w:snapToGrid/>
              <w:jc w:val="center"/>
              <w:rPr>
                <w:rFonts w:ascii="Arial" w:hAnsi="Arial"/>
                <w:snapToGrid/>
                <w:color w:val="000000"/>
                <w:sz w:val="16"/>
                <w:szCs w:val="16"/>
                <w:lang w:eastAsia="en-AU"/>
              </w:rPr>
            </w:pPr>
            <w:r>
              <w:rPr>
                <w:rFonts w:ascii="Arial" w:hAnsi="Arial"/>
                <w:snapToGrid/>
                <w:color w:val="000000"/>
                <w:sz w:val="16"/>
                <w:szCs w:val="16"/>
                <w:lang w:eastAsia="en-AU"/>
              </w:rPr>
              <w:t>Small b</w:t>
            </w:r>
            <w:r w:rsidRPr="002D64B2">
              <w:rPr>
                <w:rFonts w:ascii="Arial" w:hAnsi="Arial"/>
                <w:snapToGrid/>
                <w:color w:val="000000"/>
                <w:sz w:val="16"/>
                <w:szCs w:val="16"/>
                <w:lang w:eastAsia="en-AU"/>
              </w:rPr>
              <w:t>usiness/ not</w:t>
            </w:r>
            <w:r>
              <w:rPr>
                <w:rFonts w:ascii="Arial" w:hAnsi="Arial"/>
                <w:snapToGrid/>
                <w:color w:val="000000"/>
                <w:sz w:val="16"/>
                <w:szCs w:val="16"/>
                <w:lang w:eastAsia="en-AU"/>
              </w:rPr>
              <w:t>-</w:t>
            </w:r>
            <w:r w:rsidRPr="002D64B2">
              <w:rPr>
                <w:rFonts w:ascii="Arial" w:hAnsi="Arial"/>
                <w:snapToGrid/>
                <w:color w:val="000000"/>
                <w:sz w:val="16"/>
                <w:szCs w:val="16"/>
                <w:lang w:eastAsia="en-AU"/>
              </w:rPr>
              <w:t>for</w:t>
            </w:r>
            <w:r>
              <w:rPr>
                <w:rFonts w:ascii="Arial" w:hAnsi="Arial"/>
                <w:snapToGrid/>
                <w:color w:val="000000"/>
                <w:sz w:val="16"/>
                <w:szCs w:val="16"/>
                <w:lang w:eastAsia="en-AU"/>
              </w:rPr>
              <w:t>-</w:t>
            </w:r>
            <w:r w:rsidRPr="002D64B2">
              <w:rPr>
                <w:rFonts w:ascii="Arial" w:hAnsi="Arial"/>
                <w:snapToGrid/>
                <w:color w:val="000000"/>
                <w:sz w:val="16"/>
                <w:szCs w:val="16"/>
                <w:lang w:eastAsia="en-AU"/>
              </w:rPr>
              <w:t>profit</w:t>
            </w:r>
          </w:p>
        </w:tc>
        <w:tc>
          <w:tcPr>
            <w:tcW w:w="964" w:type="pct"/>
            <w:tcBorders>
              <w:top w:val="nil"/>
              <w:left w:val="nil"/>
              <w:bottom w:val="dotted" w:sz="4" w:space="0" w:color="A32020"/>
              <w:right w:val="single" w:sz="8" w:space="0" w:color="FFFFFF"/>
            </w:tcBorders>
            <w:shd w:val="clear" w:color="auto" w:fill="auto"/>
            <w:vAlign w:val="center"/>
          </w:tcPr>
          <w:p w:rsidR="00177104" w:rsidRPr="002D64B2" w:rsidRDefault="00177104" w:rsidP="00223124">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177</w:t>
            </w:r>
          </w:p>
        </w:tc>
        <w:tc>
          <w:tcPr>
            <w:tcW w:w="965" w:type="pct"/>
            <w:tcBorders>
              <w:top w:val="nil"/>
              <w:left w:val="nil"/>
              <w:bottom w:val="dotted" w:sz="4" w:space="0" w:color="A32020"/>
              <w:right w:val="single" w:sz="8" w:space="0" w:color="FFFFFF"/>
            </w:tcBorders>
            <w:shd w:val="clear" w:color="auto" w:fill="auto"/>
            <w:vAlign w:val="center"/>
          </w:tcPr>
          <w:p w:rsidR="00177104" w:rsidRPr="002D64B2" w:rsidRDefault="00177104">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226</w:t>
            </w:r>
          </w:p>
        </w:tc>
        <w:tc>
          <w:tcPr>
            <w:tcW w:w="965" w:type="pct"/>
            <w:tcBorders>
              <w:top w:val="nil"/>
              <w:left w:val="nil"/>
              <w:bottom w:val="dotted" w:sz="4" w:space="0" w:color="A32020"/>
              <w:right w:val="single" w:sz="8" w:space="0" w:color="FFFFFF"/>
            </w:tcBorders>
            <w:shd w:val="clear" w:color="auto" w:fill="auto"/>
            <w:vAlign w:val="center"/>
            <w:hideMark/>
          </w:tcPr>
          <w:p w:rsidR="00177104" w:rsidRPr="002D64B2" w:rsidRDefault="00177104">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1,424</w:t>
            </w:r>
          </w:p>
        </w:tc>
        <w:tc>
          <w:tcPr>
            <w:tcW w:w="963" w:type="pct"/>
            <w:tcBorders>
              <w:top w:val="nil"/>
              <w:left w:val="nil"/>
              <w:bottom w:val="dotted" w:sz="4" w:space="0" w:color="A32020"/>
              <w:right w:val="single" w:sz="8" w:space="0" w:color="FFFFFF"/>
            </w:tcBorders>
            <w:shd w:val="clear" w:color="auto" w:fill="auto"/>
            <w:vAlign w:val="center"/>
            <w:hideMark/>
          </w:tcPr>
          <w:p w:rsidR="00177104" w:rsidRPr="002D64B2" w:rsidRDefault="00177104">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1,815</w:t>
            </w:r>
          </w:p>
        </w:tc>
      </w:tr>
      <w:tr w:rsidR="00177104" w:rsidRPr="002D64B2" w:rsidTr="000D6E9A">
        <w:trPr>
          <w:trHeight w:val="340"/>
        </w:trPr>
        <w:tc>
          <w:tcPr>
            <w:tcW w:w="1143" w:type="pct"/>
            <w:tcBorders>
              <w:top w:val="nil"/>
              <w:left w:val="single" w:sz="8" w:space="0" w:color="FFFFFF"/>
              <w:bottom w:val="single" w:sz="8" w:space="0" w:color="A32020"/>
              <w:right w:val="single" w:sz="8" w:space="0" w:color="FFFFFF"/>
            </w:tcBorders>
            <w:shd w:val="clear" w:color="auto" w:fill="auto"/>
            <w:vAlign w:val="center"/>
            <w:hideMark/>
          </w:tcPr>
          <w:p w:rsidR="00177104" w:rsidRPr="002D64B2" w:rsidRDefault="00177104">
            <w:pPr>
              <w:keepNext/>
              <w:kinsoku/>
              <w:overflowPunct/>
              <w:autoSpaceDE/>
              <w:autoSpaceDN/>
              <w:adjustRightInd/>
              <w:snapToGrid/>
              <w:jc w:val="center"/>
              <w:rPr>
                <w:rFonts w:ascii="Arial" w:hAnsi="Arial"/>
                <w:snapToGrid/>
                <w:color w:val="000000"/>
                <w:sz w:val="16"/>
                <w:szCs w:val="16"/>
                <w:lang w:eastAsia="en-AU"/>
              </w:rPr>
            </w:pPr>
            <w:r w:rsidRPr="002D64B2">
              <w:rPr>
                <w:rFonts w:ascii="Arial" w:hAnsi="Arial"/>
                <w:snapToGrid/>
                <w:color w:val="000000"/>
                <w:sz w:val="16"/>
                <w:szCs w:val="16"/>
                <w:lang w:eastAsia="en-AU"/>
              </w:rPr>
              <w:t>Government</w:t>
            </w:r>
          </w:p>
        </w:tc>
        <w:tc>
          <w:tcPr>
            <w:tcW w:w="964" w:type="pct"/>
            <w:tcBorders>
              <w:top w:val="nil"/>
              <w:left w:val="nil"/>
              <w:bottom w:val="single" w:sz="8" w:space="0" w:color="A32020"/>
              <w:right w:val="single" w:sz="8" w:space="0" w:color="FFFFFF"/>
            </w:tcBorders>
            <w:shd w:val="clear" w:color="auto" w:fill="auto"/>
            <w:vAlign w:val="center"/>
          </w:tcPr>
          <w:p w:rsidR="00177104" w:rsidRPr="002D64B2" w:rsidRDefault="00177104" w:rsidP="00223124">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 xml:space="preserve">183 </w:t>
            </w:r>
          </w:p>
        </w:tc>
        <w:tc>
          <w:tcPr>
            <w:tcW w:w="965" w:type="pct"/>
            <w:tcBorders>
              <w:top w:val="nil"/>
              <w:left w:val="nil"/>
              <w:bottom w:val="single" w:sz="8" w:space="0" w:color="A32020"/>
              <w:right w:val="single" w:sz="8" w:space="0" w:color="FFFFFF"/>
            </w:tcBorders>
            <w:shd w:val="clear" w:color="auto" w:fill="auto"/>
            <w:vAlign w:val="center"/>
          </w:tcPr>
          <w:p w:rsidR="00177104" w:rsidRPr="002D64B2" w:rsidRDefault="00177104">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 xml:space="preserve">216 </w:t>
            </w:r>
          </w:p>
        </w:tc>
        <w:tc>
          <w:tcPr>
            <w:tcW w:w="965" w:type="pct"/>
            <w:tcBorders>
              <w:top w:val="nil"/>
              <w:left w:val="nil"/>
              <w:bottom w:val="single" w:sz="8" w:space="0" w:color="A32020"/>
              <w:right w:val="single" w:sz="8" w:space="0" w:color="FFFFFF"/>
            </w:tcBorders>
            <w:shd w:val="clear" w:color="auto" w:fill="auto"/>
            <w:vAlign w:val="center"/>
            <w:hideMark/>
          </w:tcPr>
          <w:p w:rsidR="00177104" w:rsidRPr="002D64B2" w:rsidRDefault="00177104">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1,469</w:t>
            </w:r>
          </w:p>
        </w:tc>
        <w:tc>
          <w:tcPr>
            <w:tcW w:w="963" w:type="pct"/>
            <w:tcBorders>
              <w:top w:val="nil"/>
              <w:left w:val="nil"/>
              <w:bottom w:val="single" w:sz="8" w:space="0" w:color="A32020"/>
              <w:right w:val="single" w:sz="8" w:space="0" w:color="FFFFFF"/>
            </w:tcBorders>
            <w:shd w:val="clear" w:color="auto" w:fill="auto"/>
            <w:vAlign w:val="center"/>
            <w:hideMark/>
          </w:tcPr>
          <w:p w:rsidR="00177104" w:rsidRPr="002D64B2" w:rsidRDefault="00177104">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1,742</w:t>
            </w:r>
          </w:p>
        </w:tc>
      </w:tr>
    </w:tbl>
    <w:p w:rsidR="00BE03AE" w:rsidRDefault="00BE03AE">
      <w:pPr>
        <w:pStyle w:val="Sources"/>
        <w:keepNext/>
      </w:pPr>
      <w:r>
        <w:t>Source: PwC analysis.</w:t>
      </w:r>
      <w:r w:rsidR="00B85394">
        <w:t xml:space="preserve"> NPV</w:t>
      </w:r>
      <w:r>
        <w:t xml:space="preserve"> figures are calculated over 10 years.</w:t>
      </w:r>
      <w:r w:rsidR="00E21466">
        <w:t xml:space="preserve"> Annualised figures are averaged over </w:t>
      </w:r>
      <w:r w:rsidR="00B85394">
        <w:t>10 years</w:t>
      </w:r>
      <w:r w:rsidR="00E21466">
        <w:t>.</w:t>
      </w:r>
    </w:p>
    <w:p w:rsidR="00BE03AE" w:rsidRDefault="00BE03AE" w:rsidP="00BE03AE">
      <w:pPr>
        <w:pStyle w:val="Minorheading2"/>
      </w:pPr>
      <w:r>
        <w:t>Business, workers and consumers</w:t>
      </w:r>
    </w:p>
    <w:p w:rsidR="00BE03AE" w:rsidRDefault="00BE03AE" w:rsidP="000D6E9A">
      <w:pPr>
        <w:pStyle w:val="StylePwCNormalnmajNormalnotetextcvteCNormalnotetext2"/>
      </w:pPr>
      <w:r>
        <w:t xml:space="preserve">Initially, it is likely that Victorian employers would bear close to the full burden of reduced economic activity associated with the proposed policy (other than that associated with provision of </w:t>
      </w:r>
      <w:r w:rsidR="003406E2">
        <w:t>government</w:t>
      </w:r>
      <w:r>
        <w:t xml:space="preserve"> services which is discussed below). In the long-term, it is possible that these costs could flow to Victorian employees and/or consumers in the form of lower </w:t>
      </w:r>
      <w:r w:rsidR="00571BE1">
        <w:t xml:space="preserve">future </w:t>
      </w:r>
      <w:r>
        <w:t xml:space="preserve">wages (or smaller wage increases) and/or higher prices for products and services. </w:t>
      </w:r>
    </w:p>
    <w:p w:rsidR="00BE03AE" w:rsidRDefault="00BE03AE" w:rsidP="00BE03AE">
      <w:pPr>
        <w:pStyle w:val="Minorheading3"/>
      </w:pPr>
      <w:r>
        <w:t>Small business</w:t>
      </w:r>
    </w:p>
    <w:p w:rsidR="00BE03AE" w:rsidRDefault="00BE03AE" w:rsidP="00BE03AE">
      <w:pPr>
        <w:pStyle w:val="StylePwCNormalnmajNormalnotetextcvteCNormalnotetext"/>
        <w:numPr>
          <w:ilvl w:val="0"/>
          <w:numId w:val="26"/>
        </w:numPr>
      </w:pPr>
      <w:r>
        <w:t xml:space="preserve">We have relied on ABS data on small business in Victoria to form estimates of the incidence of the impact of the proposed policy on small business. </w:t>
      </w:r>
    </w:p>
    <w:p w:rsidR="00BE03AE" w:rsidRDefault="00BE03AE" w:rsidP="00BE03AE">
      <w:pPr>
        <w:pStyle w:val="PwCNormal"/>
        <w:spacing w:before="0" w:after="240"/>
      </w:pPr>
      <w:r>
        <w:t xml:space="preserve">It is possible that small businesses will pass on these additional costs over time through smaller wage increases and/or increased prices for their products and services. However, the bargaining power of small businesses may be lower than that of larger employers, which would suggest that this process may take longer than would be the case for the latter. </w:t>
      </w:r>
    </w:p>
    <w:p w:rsidR="00BE03AE" w:rsidRDefault="00BE03AE" w:rsidP="00BE03AE">
      <w:pPr>
        <w:pStyle w:val="Minorheading2"/>
      </w:pPr>
      <w:r>
        <w:t>The not</w:t>
      </w:r>
      <w:r w:rsidR="001F25E8">
        <w:t>-</w:t>
      </w:r>
      <w:r>
        <w:t>for</w:t>
      </w:r>
      <w:r w:rsidR="001F25E8">
        <w:t>-</w:t>
      </w:r>
      <w:r>
        <w:t>profit sector</w:t>
      </w:r>
    </w:p>
    <w:p w:rsidR="00BE03AE" w:rsidRPr="00E666A0" w:rsidRDefault="00BE03AE" w:rsidP="00BE03AE">
      <w:pPr>
        <w:pStyle w:val="StylePwCNormalnmajNormalnotetextcvteCNormalnotetext"/>
        <w:numPr>
          <w:ilvl w:val="0"/>
          <w:numId w:val="26"/>
        </w:numPr>
      </w:pPr>
      <w:r>
        <w:t>We have not sought to split out the estimated costs to the not</w:t>
      </w:r>
      <w:r w:rsidR="001F25E8">
        <w:t>-</w:t>
      </w:r>
      <w:r>
        <w:t>for</w:t>
      </w:r>
      <w:r w:rsidR="001F25E8">
        <w:t>-</w:t>
      </w:r>
      <w:r>
        <w:t xml:space="preserve">profit sector from those to business. However, based on consultation with stakeholders we note that employers in the sector may be less able to pass on any additional costs through lower wage offers or increased product prices. In particular, those employers </w:t>
      </w:r>
      <w:r w:rsidR="003F4F0C">
        <w:t xml:space="preserve">that </w:t>
      </w:r>
      <w:r>
        <w:t xml:space="preserve">receive funding from </w:t>
      </w:r>
      <w:r w:rsidR="00EA3898">
        <w:t>g</w:t>
      </w:r>
      <w:r>
        <w:t xml:space="preserve">overnment </w:t>
      </w:r>
      <w:r w:rsidR="003F4F0C">
        <w:t xml:space="preserve">may </w:t>
      </w:r>
      <w:r>
        <w:t>be less able to argue for additional funds due to increased costs in Victoria</w:t>
      </w:r>
      <w:r w:rsidR="00EA3898">
        <w:t xml:space="preserve"> </w:t>
      </w:r>
      <w:proofErr w:type="gramStart"/>
      <w:r w:rsidR="00EA3898">
        <w:t>only</w:t>
      </w:r>
      <w:r>
        <w:t>,</w:t>
      </w:r>
      <w:proofErr w:type="gramEnd"/>
      <w:r>
        <w:t xml:space="preserve"> given there would be no change in arrangements in other states. </w:t>
      </w:r>
    </w:p>
    <w:p w:rsidR="00BE03AE" w:rsidRDefault="00BE03AE" w:rsidP="00BE03AE">
      <w:pPr>
        <w:pStyle w:val="Minorheading2"/>
      </w:pPr>
      <w:r>
        <w:t>Government</w:t>
      </w:r>
    </w:p>
    <w:p w:rsidR="00BE03AE" w:rsidRDefault="00BE03AE" w:rsidP="00091AF8">
      <w:pPr>
        <w:pStyle w:val="StylePwCNormalnmajNormalnotetextcvteCNormalnotetext2"/>
      </w:pPr>
      <w:r>
        <w:t xml:space="preserve">We have relied on publicly available information in partitioning the costs of reduced economic activity associated with the proposed policy between businesses and </w:t>
      </w:r>
      <w:r w:rsidR="00437758">
        <w:t>g</w:t>
      </w:r>
      <w:r>
        <w:t>overnment. Based on this approach, it is estimated that the costs of reduced economic activity attributable to</w:t>
      </w:r>
      <w:r w:rsidDel="009C74B4">
        <w:t xml:space="preserve"> </w:t>
      </w:r>
      <w:r w:rsidR="00437758">
        <w:t>g</w:t>
      </w:r>
      <w:r>
        <w:t>overnment are between $</w:t>
      </w:r>
      <w:r w:rsidR="00177104">
        <w:t>183 </w:t>
      </w:r>
      <w:r>
        <w:t>million</w:t>
      </w:r>
      <w:r w:rsidR="00C25BC3">
        <w:t xml:space="preserve"> and $</w:t>
      </w:r>
      <w:r w:rsidR="00177104">
        <w:t>216 </w:t>
      </w:r>
      <w:r w:rsidR="00C25BC3">
        <w:t>million</w:t>
      </w:r>
      <w:r>
        <w:t xml:space="preserve"> in annualised terms.</w:t>
      </w:r>
      <w:r>
        <w:rPr>
          <w:rStyle w:val="FootnoteReference"/>
        </w:rPr>
        <w:footnoteReference w:id="29"/>
      </w:r>
    </w:p>
    <w:p w:rsidR="00BE03AE" w:rsidRDefault="00BE03AE" w:rsidP="00091AF8">
      <w:pPr>
        <w:pStyle w:val="StylePwCNormalnmajNormalnotetextcvteCNormalnotetext2"/>
      </w:pPr>
      <w:r>
        <w:t xml:space="preserve">We note that the costs to </w:t>
      </w:r>
      <w:r w:rsidR="00437758">
        <w:t>g</w:t>
      </w:r>
      <w:r>
        <w:t xml:space="preserve">overnment in this case could be different than the estimates provided. Our analysis has relied on top-down estimates of the proportion of GSP by industry that is associated with </w:t>
      </w:r>
      <w:r w:rsidR="00437758">
        <w:t>g</w:t>
      </w:r>
      <w:r>
        <w:t xml:space="preserve">overnment-provided services in order to calculate the estimated impact to </w:t>
      </w:r>
      <w:r w:rsidR="00437758">
        <w:t>g</w:t>
      </w:r>
      <w:r>
        <w:t>overnment. This amount includes the impact of foregone taxes (</w:t>
      </w:r>
      <w:proofErr w:type="gramStart"/>
      <w:r>
        <w:t>less</w:t>
      </w:r>
      <w:proofErr w:type="gramEnd"/>
      <w:r>
        <w:t xml:space="preserve"> subsidies) on production and on products that would otherwise have occurred under the </w:t>
      </w:r>
      <w:r w:rsidR="009405FA" w:rsidRPr="009405FA">
        <w:rPr>
          <w:i/>
        </w:rPr>
        <w:t>status quo</w:t>
      </w:r>
      <w:r>
        <w:t>.</w:t>
      </w:r>
    </w:p>
    <w:p w:rsidR="00BE03AE" w:rsidRDefault="00BE03AE" w:rsidP="00091AF8">
      <w:pPr>
        <w:pStyle w:val="StylePwCNormalnmajNormalnotetextcvteCNormalnotetext2"/>
      </w:pPr>
      <w:r>
        <w:t xml:space="preserve">The extent to which these costs remain with </w:t>
      </w:r>
      <w:r w:rsidR="003406E2">
        <w:t>government</w:t>
      </w:r>
      <w:r>
        <w:t xml:space="preserve"> rather than being passed on to </w:t>
      </w:r>
      <w:r w:rsidR="003406E2">
        <w:t>government</w:t>
      </w:r>
      <w:r>
        <w:t xml:space="preserve"> employees and/or wider Victorian society is unclear. </w:t>
      </w:r>
    </w:p>
    <w:p w:rsidR="00BE03AE" w:rsidRDefault="00BE03AE" w:rsidP="00BE03AE">
      <w:pPr>
        <w:pStyle w:val="Heading6"/>
        <w:spacing w:before="0" w:after="40"/>
      </w:pPr>
      <w:bookmarkStart w:id="53" w:name="_Ref423453485"/>
      <w:r>
        <w:t>Incidence of the impact of wage transfers</w:t>
      </w:r>
      <w:bookmarkEnd w:id="53"/>
    </w:p>
    <w:p w:rsidR="00BE03AE" w:rsidRDefault="00BE03AE" w:rsidP="000D6E9A">
      <w:pPr>
        <w:pStyle w:val="StylePwCNormalnmajNormalnotetextcvteCNormalnotetext2"/>
      </w:pPr>
      <w:r>
        <w:fldChar w:fldCharType="begin"/>
      </w:r>
      <w:r>
        <w:instrText xml:space="preserve"> REF _Ref416863749 \h </w:instrText>
      </w:r>
      <w:r>
        <w:fldChar w:fldCharType="separate"/>
      </w:r>
      <w:r w:rsidR="00250375">
        <w:t xml:space="preserve">Table </w:t>
      </w:r>
      <w:r w:rsidR="00250375">
        <w:rPr>
          <w:noProof/>
        </w:rPr>
        <w:t>16</w:t>
      </w:r>
      <w:r>
        <w:fldChar w:fldCharType="end"/>
      </w:r>
      <w:r>
        <w:t xml:space="preserve"> presents estimates of the wage transfers borne by different employer groups.</w:t>
      </w:r>
    </w:p>
    <w:p w:rsidR="00BE03AE" w:rsidRDefault="00BE03AE">
      <w:pPr>
        <w:pStyle w:val="Caption"/>
      </w:pPr>
      <w:bookmarkStart w:id="54" w:name="_Ref416863749"/>
      <w:r>
        <w:t xml:space="preserve">Table </w:t>
      </w:r>
      <w:r w:rsidR="00663565">
        <w:fldChar w:fldCharType="begin"/>
      </w:r>
      <w:r w:rsidR="00663565">
        <w:instrText xml:space="preserve"> SEQ Table \* ARABIC </w:instrText>
      </w:r>
      <w:r w:rsidR="00663565">
        <w:fldChar w:fldCharType="separate"/>
      </w:r>
      <w:r w:rsidR="00250375">
        <w:rPr>
          <w:noProof/>
        </w:rPr>
        <w:t>16</w:t>
      </w:r>
      <w:r w:rsidR="00663565">
        <w:rPr>
          <w:noProof/>
        </w:rPr>
        <w:fldChar w:fldCharType="end"/>
      </w:r>
      <w:bookmarkEnd w:id="54"/>
      <w:r>
        <w:t>: Estimated distributional impact: wage transfers</w:t>
      </w:r>
    </w:p>
    <w:tbl>
      <w:tblPr>
        <w:tblW w:w="5000" w:type="pct"/>
        <w:tblLook w:val="04A0" w:firstRow="1" w:lastRow="0" w:firstColumn="1" w:lastColumn="0" w:noHBand="0" w:noVBand="1"/>
        <w:tblCaption w:val="Estimated distributional impact: wage transfers"/>
        <w:tblDescription w:val="The table provides estimates of the distributional impacts of the proposed policy associated with  wage transfers. The estimates are presented in Australian dollar millions annually in columns two and three, and in net present value terms in Australian dollar millions in columns four and five. The results are provided for three groups.  The first group is medium and large businesses and not for profit organisations.  The second group is small business and not for profit organisations.  The third group is government."/>
      </w:tblPr>
      <w:tblGrid>
        <w:gridCol w:w="1929"/>
        <w:gridCol w:w="1627"/>
        <w:gridCol w:w="1628"/>
        <w:gridCol w:w="1628"/>
        <w:gridCol w:w="1625"/>
      </w:tblGrid>
      <w:tr w:rsidR="00BE03AE" w:rsidRPr="002D64B2" w:rsidTr="00BE03AE">
        <w:trPr>
          <w:trHeight w:val="340"/>
        </w:trPr>
        <w:tc>
          <w:tcPr>
            <w:tcW w:w="1143" w:type="pct"/>
            <w:vMerge w:val="restart"/>
            <w:tcBorders>
              <w:top w:val="single" w:sz="8" w:space="0" w:color="A32020"/>
              <w:left w:val="single" w:sz="8" w:space="0" w:color="FFFFFF"/>
              <w:bottom w:val="dotted" w:sz="4" w:space="0" w:color="A32020"/>
              <w:right w:val="single" w:sz="8" w:space="0" w:color="FFFFFF"/>
            </w:tcBorders>
            <w:shd w:val="clear" w:color="auto" w:fill="auto"/>
            <w:vAlign w:val="center"/>
            <w:hideMark/>
          </w:tcPr>
          <w:p w:rsidR="00BE03AE" w:rsidRPr="002D64B2" w:rsidRDefault="00BE03AE" w:rsidP="00091AF8">
            <w:pPr>
              <w:keepNext/>
              <w:kinsoku/>
              <w:overflowPunct/>
              <w:autoSpaceDE/>
              <w:autoSpaceDN/>
              <w:adjustRightInd/>
              <w:snapToGrid/>
              <w:jc w:val="center"/>
              <w:rPr>
                <w:rFonts w:ascii="Arial" w:hAnsi="Arial"/>
                <w:b/>
                <w:bCs/>
                <w:snapToGrid/>
                <w:color w:val="A32020"/>
                <w:sz w:val="16"/>
                <w:szCs w:val="16"/>
                <w:lang w:eastAsia="en-AU"/>
              </w:rPr>
            </w:pPr>
            <w:r w:rsidRPr="002D64B2">
              <w:rPr>
                <w:rFonts w:ascii="Arial" w:hAnsi="Arial"/>
                <w:b/>
                <w:bCs/>
                <w:snapToGrid/>
                <w:color w:val="A32020"/>
                <w:sz w:val="16"/>
                <w:szCs w:val="16"/>
                <w:lang w:eastAsia="en-AU"/>
              </w:rPr>
              <w:t>Group</w:t>
            </w:r>
          </w:p>
        </w:tc>
        <w:tc>
          <w:tcPr>
            <w:tcW w:w="1929" w:type="pct"/>
            <w:gridSpan w:val="2"/>
            <w:tcBorders>
              <w:top w:val="single" w:sz="8" w:space="0" w:color="A32020"/>
              <w:left w:val="nil"/>
              <w:bottom w:val="single" w:sz="8" w:space="0" w:color="A32020"/>
              <w:right w:val="nil"/>
            </w:tcBorders>
            <w:shd w:val="clear" w:color="auto" w:fill="auto"/>
            <w:vAlign w:val="center"/>
            <w:hideMark/>
          </w:tcPr>
          <w:p w:rsidR="00BE03AE" w:rsidRPr="002D64B2" w:rsidRDefault="00BE03AE" w:rsidP="00091AF8">
            <w:pPr>
              <w:keepNext/>
              <w:kinsoku/>
              <w:overflowPunct/>
              <w:autoSpaceDE/>
              <w:autoSpaceDN/>
              <w:adjustRightInd/>
              <w:snapToGrid/>
              <w:jc w:val="center"/>
              <w:rPr>
                <w:rFonts w:ascii="Arial" w:hAnsi="Arial"/>
                <w:b/>
                <w:bCs/>
                <w:snapToGrid/>
                <w:color w:val="A32020"/>
                <w:sz w:val="16"/>
                <w:szCs w:val="16"/>
                <w:lang w:eastAsia="en-AU"/>
              </w:rPr>
            </w:pPr>
            <w:r w:rsidRPr="002D64B2">
              <w:rPr>
                <w:rFonts w:ascii="Arial" w:hAnsi="Arial"/>
                <w:b/>
                <w:bCs/>
                <w:snapToGrid/>
                <w:color w:val="A32020"/>
                <w:sz w:val="16"/>
                <w:szCs w:val="16"/>
                <w:lang w:eastAsia="en-AU"/>
              </w:rPr>
              <w:t>Wage transfers annualised $m</w:t>
            </w:r>
          </w:p>
        </w:tc>
        <w:tc>
          <w:tcPr>
            <w:tcW w:w="1928" w:type="pct"/>
            <w:gridSpan w:val="2"/>
            <w:tcBorders>
              <w:top w:val="single" w:sz="8" w:space="0" w:color="A32020"/>
              <w:left w:val="single" w:sz="8" w:space="0" w:color="FFFFFF"/>
              <w:bottom w:val="single" w:sz="8" w:space="0" w:color="A32020"/>
              <w:right w:val="nil"/>
            </w:tcBorders>
            <w:shd w:val="clear" w:color="auto" w:fill="auto"/>
            <w:vAlign w:val="center"/>
            <w:hideMark/>
          </w:tcPr>
          <w:p w:rsidR="00BE03AE" w:rsidRPr="002D64B2" w:rsidRDefault="00BE03AE" w:rsidP="00091AF8">
            <w:pPr>
              <w:keepNext/>
              <w:kinsoku/>
              <w:overflowPunct/>
              <w:autoSpaceDE/>
              <w:autoSpaceDN/>
              <w:adjustRightInd/>
              <w:snapToGrid/>
              <w:jc w:val="center"/>
              <w:rPr>
                <w:rFonts w:ascii="Arial" w:hAnsi="Arial"/>
                <w:b/>
                <w:bCs/>
                <w:snapToGrid/>
                <w:color w:val="A32020"/>
                <w:sz w:val="16"/>
                <w:szCs w:val="16"/>
                <w:lang w:eastAsia="en-AU"/>
              </w:rPr>
            </w:pPr>
            <w:r w:rsidRPr="002D64B2">
              <w:rPr>
                <w:rFonts w:ascii="Arial" w:hAnsi="Arial"/>
                <w:b/>
                <w:bCs/>
                <w:snapToGrid/>
                <w:color w:val="A32020"/>
                <w:sz w:val="16"/>
                <w:szCs w:val="16"/>
                <w:lang w:eastAsia="en-AU"/>
              </w:rPr>
              <w:t>Wage transfers,</w:t>
            </w:r>
            <w:r>
              <w:rPr>
                <w:rFonts w:ascii="Arial" w:hAnsi="Arial"/>
                <w:b/>
                <w:bCs/>
                <w:snapToGrid/>
                <w:color w:val="A32020"/>
                <w:sz w:val="16"/>
                <w:szCs w:val="16"/>
                <w:lang w:eastAsia="en-AU"/>
              </w:rPr>
              <w:t xml:space="preserve"> </w:t>
            </w:r>
            <w:r w:rsidRPr="002D64B2">
              <w:rPr>
                <w:rFonts w:ascii="Arial" w:hAnsi="Arial"/>
                <w:b/>
                <w:bCs/>
                <w:snapToGrid/>
                <w:color w:val="A32020"/>
                <w:sz w:val="16"/>
                <w:szCs w:val="16"/>
                <w:lang w:eastAsia="en-AU"/>
              </w:rPr>
              <w:t>NPV $m</w:t>
            </w:r>
          </w:p>
        </w:tc>
      </w:tr>
      <w:tr w:rsidR="00BE03AE" w:rsidRPr="002D64B2" w:rsidTr="00BE03AE">
        <w:trPr>
          <w:trHeight w:val="340"/>
        </w:trPr>
        <w:tc>
          <w:tcPr>
            <w:tcW w:w="1143" w:type="pct"/>
            <w:vMerge/>
            <w:tcBorders>
              <w:top w:val="single" w:sz="8" w:space="0" w:color="A32020"/>
              <w:left w:val="single" w:sz="8" w:space="0" w:color="FFFFFF"/>
              <w:bottom w:val="dotted" w:sz="4" w:space="0" w:color="A32020"/>
              <w:right w:val="single" w:sz="8" w:space="0" w:color="FFFFFF"/>
            </w:tcBorders>
            <w:vAlign w:val="center"/>
            <w:hideMark/>
          </w:tcPr>
          <w:p w:rsidR="00BE03AE" w:rsidRPr="002D64B2" w:rsidRDefault="00BE03AE" w:rsidP="00091AF8">
            <w:pPr>
              <w:keepNext/>
              <w:kinsoku/>
              <w:overflowPunct/>
              <w:autoSpaceDE/>
              <w:autoSpaceDN/>
              <w:adjustRightInd/>
              <w:snapToGrid/>
              <w:rPr>
                <w:rFonts w:ascii="Arial" w:hAnsi="Arial"/>
                <w:b/>
                <w:bCs/>
                <w:snapToGrid/>
                <w:color w:val="A32020"/>
                <w:sz w:val="16"/>
                <w:szCs w:val="16"/>
                <w:lang w:eastAsia="en-AU"/>
              </w:rPr>
            </w:pPr>
          </w:p>
        </w:tc>
        <w:tc>
          <w:tcPr>
            <w:tcW w:w="964" w:type="pct"/>
            <w:tcBorders>
              <w:top w:val="nil"/>
              <w:left w:val="nil"/>
              <w:bottom w:val="dotted" w:sz="4" w:space="0" w:color="A32020"/>
              <w:right w:val="single" w:sz="8" w:space="0" w:color="FFFFFF"/>
            </w:tcBorders>
            <w:shd w:val="clear" w:color="auto" w:fill="auto"/>
            <w:vAlign w:val="center"/>
            <w:hideMark/>
          </w:tcPr>
          <w:p w:rsidR="00BE03AE" w:rsidRPr="002D64B2" w:rsidRDefault="00BE03AE" w:rsidP="00091AF8">
            <w:pPr>
              <w:keepNext/>
              <w:kinsoku/>
              <w:overflowPunct/>
              <w:autoSpaceDE/>
              <w:autoSpaceDN/>
              <w:adjustRightInd/>
              <w:snapToGrid/>
              <w:jc w:val="center"/>
              <w:rPr>
                <w:rFonts w:ascii="Arial" w:hAnsi="Arial"/>
                <w:b/>
                <w:bCs/>
                <w:snapToGrid/>
                <w:color w:val="A32020"/>
                <w:sz w:val="16"/>
                <w:szCs w:val="16"/>
                <w:lang w:eastAsia="en-AU"/>
              </w:rPr>
            </w:pPr>
            <w:r w:rsidRPr="002D64B2">
              <w:rPr>
                <w:rFonts w:ascii="Arial" w:hAnsi="Arial"/>
                <w:b/>
                <w:bCs/>
                <w:snapToGrid/>
                <w:color w:val="A32020"/>
                <w:sz w:val="16"/>
                <w:szCs w:val="16"/>
                <w:lang w:eastAsia="en-AU"/>
              </w:rPr>
              <w:t>Low estimate</w:t>
            </w:r>
          </w:p>
        </w:tc>
        <w:tc>
          <w:tcPr>
            <w:tcW w:w="965" w:type="pct"/>
            <w:tcBorders>
              <w:top w:val="nil"/>
              <w:left w:val="nil"/>
              <w:bottom w:val="dotted" w:sz="4" w:space="0" w:color="A32020"/>
              <w:right w:val="single" w:sz="8" w:space="0" w:color="FFFFFF"/>
            </w:tcBorders>
            <w:shd w:val="clear" w:color="auto" w:fill="auto"/>
            <w:vAlign w:val="center"/>
            <w:hideMark/>
          </w:tcPr>
          <w:p w:rsidR="00BE03AE" w:rsidRPr="002D64B2" w:rsidRDefault="00BE03AE" w:rsidP="00091AF8">
            <w:pPr>
              <w:keepNext/>
              <w:kinsoku/>
              <w:overflowPunct/>
              <w:autoSpaceDE/>
              <w:autoSpaceDN/>
              <w:adjustRightInd/>
              <w:snapToGrid/>
              <w:jc w:val="center"/>
              <w:rPr>
                <w:rFonts w:ascii="Arial" w:hAnsi="Arial"/>
                <w:b/>
                <w:bCs/>
                <w:snapToGrid/>
                <w:color w:val="A32020"/>
                <w:sz w:val="16"/>
                <w:szCs w:val="16"/>
                <w:lang w:eastAsia="en-AU"/>
              </w:rPr>
            </w:pPr>
            <w:r w:rsidRPr="002D64B2">
              <w:rPr>
                <w:rFonts w:ascii="Arial" w:hAnsi="Arial"/>
                <w:b/>
                <w:bCs/>
                <w:snapToGrid/>
                <w:color w:val="A32020"/>
                <w:sz w:val="16"/>
                <w:szCs w:val="16"/>
                <w:lang w:eastAsia="en-AU"/>
              </w:rPr>
              <w:t>High estimate</w:t>
            </w:r>
          </w:p>
        </w:tc>
        <w:tc>
          <w:tcPr>
            <w:tcW w:w="965" w:type="pct"/>
            <w:tcBorders>
              <w:top w:val="nil"/>
              <w:left w:val="nil"/>
              <w:bottom w:val="dotted" w:sz="4" w:space="0" w:color="A32020"/>
              <w:right w:val="single" w:sz="8" w:space="0" w:color="FFFFFF"/>
            </w:tcBorders>
            <w:shd w:val="clear" w:color="auto" w:fill="auto"/>
            <w:vAlign w:val="center"/>
            <w:hideMark/>
          </w:tcPr>
          <w:p w:rsidR="00BE03AE" w:rsidRPr="002D64B2" w:rsidRDefault="00BE03AE" w:rsidP="00091AF8">
            <w:pPr>
              <w:keepNext/>
              <w:kinsoku/>
              <w:overflowPunct/>
              <w:autoSpaceDE/>
              <w:autoSpaceDN/>
              <w:adjustRightInd/>
              <w:snapToGrid/>
              <w:jc w:val="center"/>
              <w:rPr>
                <w:rFonts w:ascii="Arial" w:hAnsi="Arial"/>
                <w:b/>
                <w:bCs/>
                <w:snapToGrid/>
                <w:color w:val="A32020"/>
                <w:sz w:val="16"/>
                <w:szCs w:val="16"/>
                <w:lang w:eastAsia="en-AU"/>
              </w:rPr>
            </w:pPr>
            <w:r w:rsidRPr="002D64B2">
              <w:rPr>
                <w:rFonts w:ascii="Arial" w:hAnsi="Arial"/>
                <w:b/>
                <w:bCs/>
                <w:snapToGrid/>
                <w:color w:val="A32020"/>
                <w:sz w:val="16"/>
                <w:szCs w:val="16"/>
                <w:lang w:eastAsia="en-AU"/>
              </w:rPr>
              <w:t>Low estimate</w:t>
            </w:r>
          </w:p>
        </w:tc>
        <w:tc>
          <w:tcPr>
            <w:tcW w:w="963" w:type="pct"/>
            <w:tcBorders>
              <w:top w:val="nil"/>
              <w:left w:val="nil"/>
              <w:bottom w:val="dotted" w:sz="4" w:space="0" w:color="A32020"/>
              <w:right w:val="single" w:sz="8" w:space="0" w:color="FFFFFF"/>
            </w:tcBorders>
            <w:shd w:val="clear" w:color="auto" w:fill="auto"/>
            <w:vAlign w:val="center"/>
            <w:hideMark/>
          </w:tcPr>
          <w:p w:rsidR="00BE03AE" w:rsidRPr="002D64B2" w:rsidRDefault="00BE03AE" w:rsidP="00091AF8">
            <w:pPr>
              <w:keepNext/>
              <w:kinsoku/>
              <w:overflowPunct/>
              <w:autoSpaceDE/>
              <w:autoSpaceDN/>
              <w:adjustRightInd/>
              <w:snapToGrid/>
              <w:jc w:val="center"/>
              <w:rPr>
                <w:rFonts w:ascii="Arial" w:hAnsi="Arial"/>
                <w:b/>
                <w:bCs/>
                <w:snapToGrid/>
                <w:color w:val="A32020"/>
                <w:sz w:val="16"/>
                <w:szCs w:val="16"/>
                <w:lang w:eastAsia="en-AU"/>
              </w:rPr>
            </w:pPr>
            <w:r w:rsidRPr="002D64B2">
              <w:rPr>
                <w:rFonts w:ascii="Arial" w:hAnsi="Arial"/>
                <w:b/>
                <w:bCs/>
                <w:snapToGrid/>
                <w:color w:val="A32020"/>
                <w:sz w:val="16"/>
                <w:szCs w:val="16"/>
                <w:lang w:eastAsia="en-AU"/>
              </w:rPr>
              <w:t>High estimate</w:t>
            </w:r>
          </w:p>
        </w:tc>
      </w:tr>
      <w:tr w:rsidR="00177104" w:rsidRPr="002D64B2" w:rsidTr="000D6E9A">
        <w:trPr>
          <w:trHeight w:val="340"/>
        </w:trPr>
        <w:tc>
          <w:tcPr>
            <w:tcW w:w="1143" w:type="pct"/>
            <w:tcBorders>
              <w:top w:val="nil"/>
              <w:left w:val="single" w:sz="8" w:space="0" w:color="FFFFFF"/>
              <w:bottom w:val="dotted" w:sz="4" w:space="0" w:color="A32020"/>
              <w:right w:val="single" w:sz="8" w:space="0" w:color="FFFFFF"/>
            </w:tcBorders>
            <w:shd w:val="clear" w:color="auto" w:fill="auto"/>
            <w:vAlign w:val="center"/>
            <w:hideMark/>
          </w:tcPr>
          <w:p w:rsidR="00177104" w:rsidRPr="002D64B2" w:rsidRDefault="00177104" w:rsidP="00091AF8">
            <w:pPr>
              <w:keepNext/>
              <w:kinsoku/>
              <w:overflowPunct/>
              <w:autoSpaceDE/>
              <w:autoSpaceDN/>
              <w:adjustRightInd/>
              <w:snapToGrid/>
              <w:jc w:val="center"/>
              <w:rPr>
                <w:rFonts w:ascii="Arial" w:hAnsi="Arial"/>
                <w:snapToGrid/>
                <w:color w:val="000000"/>
                <w:sz w:val="16"/>
                <w:szCs w:val="16"/>
                <w:lang w:eastAsia="en-AU"/>
              </w:rPr>
            </w:pPr>
            <w:r>
              <w:rPr>
                <w:rFonts w:ascii="Arial" w:hAnsi="Arial"/>
                <w:snapToGrid/>
                <w:color w:val="000000"/>
                <w:sz w:val="16"/>
                <w:szCs w:val="16"/>
                <w:lang w:eastAsia="en-AU"/>
              </w:rPr>
              <w:t>Medium and large b</w:t>
            </w:r>
            <w:r w:rsidRPr="002D64B2">
              <w:rPr>
                <w:rFonts w:ascii="Arial" w:hAnsi="Arial"/>
                <w:snapToGrid/>
                <w:color w:val="000000"/>
                <w:sz w:val="16"/>
                <w:szCs w:val="16"/>
                <w:lang w:eastAsia="en-AU"/>
              </w:rPr>
              <w:t xml:space="preserve">usiness/ </w:t>
            </w:r>
            <w:r>
              <w:rPr>
                <w:rFonts w:ascii="Arial" w:hAnsi="Arial"/>
                <w:snapToGrid/>
                <w:color w:val="000000"/>
                <w:sz w:val="16"/>
                <w:szCs w:val="16"/>
                <w:lang w:eastAsia="en-AU"/>
              </w:rPr>
              <w:t xml:space="preserve">not-for-profit </w:t>
            </w:r>
          </w:p>
        </w:tc>
        <w:tc>
          <w:tcPr>
            <w:tcW w:w="964" w:type="pct"/>
            <w:tcBorders>
              <w:top w:val="nil"/>
              <w:left w:val="nil"/>
              <w:bottom w:val="dotted" w:sz="4" w:space="0" w:color="A32020"/>
              <w:right w:val="single" w:sz="8" w:space="0" w:color="FFFFFF"/>
            </w:tcBorders>
            <w:shd w:val="clear" w:color="auto" w:fill="auto"/>
            <w:vAlign w:val="center"/>
            <w:hideMark/>
          </w:tcPr>
          <w:p w:rsidR="00177104" w:rsidRPr="002D64B2" w:rsidRDefault="00177104" w:rsidP="00223124">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143</w:t>
            </w:r>
          </w:p>
        </w:tc>
        <w:tc>
          <w:tcPr>
            <w:tcW w:w="965" w:type="pct"/>
            <w:tcBorders>
              <w:top w:val="nil"/>
              <w:left w:val="nil"/>
              <w:bottom w:val="dotted" w:sz="4" w:space="0" w:color="A32020"/>
              <w:right w:val="single" w:sz="8" w:space="0" w:color="FFFFFF"/>
            </w:tcBorders>
            <w:shd w:val="clear" w:color="auto" w:fill="auto"/>
            <w:vAlign w:val="center"/>
            <w:hideMark/>
          </w:tcPr>
          <w:p w:rsidR="00177104" w:rsidRPr="002D64B2" w:rsidRDefault="00177104">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163</w:t>
            </w:r>
          </w:p>
        </w:tc>
        <w:tc>
          <w:tcPr>
            <w:tcW w:w="965" w:type="pct"/>
            <w:tcBorders>
              <w:top w:val="nil"/>
              <w:left w:val="nil"/>
              <w:bottom w:val="dotted" w:sz="4" w:space="0" w:color="A32020"/>
              <w:right w:val="single" w:sz="8" w:space="0" w:color="FFFFFF"/>
            </w:tcBorders>
            <w:shd w:val="clear" w:color="auto" w:fill="auto"/>
            <w:vAlign w:val="center"/>
          </w:tcPr>
          <w:p w:rsidR="00177104" w:rsidRPr="002D64B2" w:rsidRDefault="00177104">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1,142</w:t>
            </w:r>
          </w:p>
        </w:tc>
        <w:tc>
          <w:tcPr>
            <w:tcW w:w="963" w:type="pct"/>
            <w:tcBorders>
              <w:top w:val="nil"/>
              <w:left w:val="nil"/>
              <w:bottom w:val="dotted" w:sz="4" w:space="0" w:color="A32020"/>
              <w:right w:val="single" w:sz="8" w:space="0" w:color="FFFFFF"/>
            </w:tcBorders>
            <w:shd w:val="clear" w:color="auto" w:fill="auto"/>
            <w:vAlign w:val="center"/>
          </w:tcPr>
          <w:p w:rsidR="00177104" w:rsidRPr="002D64B2" w:rsidRDefault="00177104">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1,298</w:t>
            </w:r>
          </w:p>
        </w:tc>
      </w:tr>
      <w:tr w:rsidR="00177104" w:rsidRPr="002D64B2" w:rsidTr="000D6E9A">
        <w:trPr>
          <w:trHeight w:val="340"/>
        </w:trPr>
        <w:tc>
          <w:tcPr>
            <w:tcW w:w="1143" w:type="pct"/>
            <w:tcBorders>
              <w:top w:val="nil"/>
              <w:left w:val="single" w:sz="8" w:space="0" w:color="FFFFFF"/>
              <w:bottom w:val="dotted" w:sz="4" w:space="0" w:color="A32020"/>
              <w:right w:val="single" w:sz="8" w:space="0" w:color="FFFFFF"/>
            </w:tcBorders>
            <w:shd w:val="clear" w:color="auto" w:fill="auto"/>
            <w:vAlign w:val="center"/>
            <w:hideMark/>
          </w:tcPr>
          <w:p w:rsidR="00177104" w:rsidRPr="002D64B2" w:rsidRDefault="00177104" w:rsidP="00091AF8">
            <w:pPr>
              <w:keepNext/>
              <w:kinsoku/>
              <w:overflowPunct/>
              <w:autoSpaceDE/>
              <w:autoSpaceDN/>
              <w:adjustRightInd/>
              <w:snapToGrid/>
              <w:jc w:val="center"/>
              <w:rPr>
                <w:rFonts w:ascii="Arial" w:hAnsi="Arial"/>
                <w:snapToGrid/>
                <w:color w:val="000000"/>
                <w:sz w:val="16"/>
                <w:szCs w:val="16"/>
                <w:lang w:eastAsia="en-AU"/>
              </w:rPr>
            </w:pPr>
            <w:r>
              <w:rPr>
                <w:rFonts w:ascii="Arial" w:hAnsi="Arial"/>
                <w:snapToGrid/>
                <w:color w:val="000000"/>
                <w:sz w:val="16"/>
                <w:szCs w:val="16"/>
                <w:lang w:eastAsia="en-AU"/>
              </w:rPr>
              <w:t>Small b</w:t>
            </w:r>
            <w:r w:rsidRPr="002D64B2">
              <w:rPr>
                <w:rFonts w:ascii="Arial" w:hAnsi="Arial"/>
                <w:snapToGrid/>
                <w:color w:val="000000"/>
                <w:sz w:val="16"/>
                <w:szCs w:val="16"/>
                <w:lang w:eastAsia="en-AU"/>
              </w:rPr>
              <w:t xml:space="preserve">usiness/ </w:t>
            </w:r>
            <w:r>
              <w:rPr>
                <w:rFonts w:ascii="Arial" w:hAnsi="Arial"/>
                <w:snapToGrid/>
                <w:color w:val="000000"/>
                <w:sz w:val="16"/>
                <w:szCs w:val="16"/>
                <w:lang w:eastAsia="en-AU"/>
              </w:rPr>
              <w:t>not-for-profit</w:t>
            </w:r>
          </w:p>
        </w:tc>
        <w:tc>
          <w:tcPr>
            <w:tcW w:w="964" w:type="pct"/>
            <w:tcBorders>
              <w:top w:val="nil"/>
              <w:left w:val="nil"/>
              <w:bottom w:val="dotted" w:sz="4" w:space="0" w:color="A32020"/>
              <w:right w:val="single" w:sz="8" w:space="0" w:color="FFFFFF"/>
            </w:tcBorders>
            <w:shd w:val="clear" w:color="auto" w:fill="auto"/>
            <w:vAlign w:val="center"/>
            <w:hideMark/>
          </w:tcPr>
          <w:p w:rsidR="00177104" w:rsidRPr="002D64B2" w:rsidRDefault="00177104" w:rsidP="00223124">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71</w:t>
            </w:r>
          </w:p>
        </w:tc>
        <w:tc>
          <w:tcPr>
            <w:tcW w:w="965" w:type="pct"/>
            <w:tcBorders>
              <w:top w:val="nil"/>
              <w:left w:val="nil"/>
              <w:bottom w:val="dotted" w:sz="4" w:space="0" w:color="A32020"/>
              <w:right w:val="single" w:sz="8" w:space="0" w:color="FFFFFF"/>
            </w:tcBorders>
            <w:shd w:val="clear" w:color="auto" w:fill="auto"/>
            <w:vAlign w:val="center"/>
            <w:hideMark/>
          </w:tcPr>
          <w:p w:rsidR="00177104" w:rsidRPr="002D64B2" w:rsidRDefault="00177104">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80</w:t>
            </w:r>
          </w:p>
        </w:tc>
        <w:tc>
          <w:tcPr>
            <w:tcW w:w="965" w:type="pct"/>
            <w:tcBorders>
              <w:top w:val="nil"/>
              <w:left w:val="nil"/>
              <w:bottom w:val="dotted" w:sz="4" w:space="0" w:color="A32020"/>
              <w:right w:val="single" w:sz="8" w:space="0" w:color="FFFFFF"/>
            </w:tcBorders>
            <w:shd w:val="clear" w:color="auto" w:fill="auto"/>
            <w:vAlign w:val="center"/>
          </w:tcPr>
          <w:p w:rsidR="00177104" w:rsidRPr="002D64B2" w:rsidRDefault="00177104">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565</w:t>
            </w:r>
          </w:p>
        </w:tc>
        <w:tc>
          <w:tcPr>
            <w:tcW w:w="963" w:type="pct"/>
            <w:tcBorders>
              <w:top w:val="nil"/>
              <w:left w:val="nil"/>
              <w:bottom w:val="dotted" w:sz="4" w:space="0" w:color="A32020"/>
              <w:right w:val="single" w:sz="8" w:space="0" w:color="FFFFFF"/>
            </w:tcBorders>
            <w:shd w:val="clear" w:color="auto" w:fill="auto"/>
            <w:vAlign w:val="center"/>
          </w:tcPr>
          <w:p w:rsidR="00177104" w:rsidRPr="002D64B2" w:rsidRDefault="00177104">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642</w:t>
            </w:r>
          </w:p>
        </w:tc>
      </w:tr>
      <w:tr w:rsidR="00177104" w:rsidRPr="002D64B2" w:rsidTr="000D6E9A">
        <w:trPr>
          <w:trHeight w:val="340"/>
        </w:trPr>
        <w:tc>
          <w:tcPr>
            <w:tcW w:w="1143" w:type="pct"/>
            <w:tcBorders>
              <w:top w:val="nil"/>
              <w:left w:val="single" w:sz="8" w:space="0" w:color="FFFFFF"/>
              <w:bottom w:val="single" w:sz="8" w:space="0" w:color="A32020"/>
              <w:right w:val="single" w:sz="8" w:space="0" w:color="FFFFFF"/>
            </w:tcBorders>
            <w:shd w:val="clear" w:color="auto" w:fill="auto"/>
            <w:vAlign w:val="center"/>
            <w:hideMark/>
          </w:tcPr>
          <w:p w:rsidR="00177104" w:rsidRPr="002D64B2" w:rsidRDefault="00177104" w:rsidP="00091AF8">
            <w:pPr>
              <w:keepNext/>
              <w:kinsoku/>
              <w:overflowPunct/>
              <w:autoSpaceDE/>
              <w:autoSpaceDN/>
              <w:adjustRightInd/>
              <w:snapToGrid/>
              <w:jc w:val="center"/>
              <w:rPr>
                <w:rFonts w:ascii="Arial" w:hAnsi="Arial"/>
                <w:snapToGrid/>
                <w:color w:val="000000"/>
                <w:sz w:val="16"/>
                <w:szCs w:val="16"/>
                <w:lang w:eastAsia="en-AU"/>
              </w:rPr>
            </w:pPr>
            <w:r w:rsidRPr="002D64B2">
              <w:rPr>
                <w:rFonts w:ascii="Arial" w:hAnsi="Arial"/>
                <w:snapToGrid/>
                <w:color w:val="000000"/>
                <w:sz w:val="16"/>
                <w:szCs w:val="16"/>
                <w:lang w:eastAsia="en-AU"/>
              </w:rPr>
              <w:t>Government</w:t>
            </w:r>
            <w:r>
              <w:rPr>
                <w:rStyle w:val="FootnoteReference"/>
                <w:rFonts w:ascii="Arial" w:hAnsi="Arial"/>
                <w:snapToGrid/>
                <w:color w:val="000000"/>
                <w:szCs w:val="16"/>
                <w:lang w:eastAsia="en-AU"/>
              </w:rPr>
              <w:footnoteReference w:id="30"/>
            </w:r>
          </w:p>
        </w:tc>
        <w:tc>
          <w:tcPr>
            <w:tcW w:w="964" w:type="pct"/>
            <w:tcBorders>
              <w:top w:val="nil"/>
              <w:left w:val="nil"/>
              <w:bottom w:val="single" w:sz="8" w:space="0" w:color="A32020"/>
              <w:right w:val="single" w:sz="8" w:space="0" w:color="FFFFFF"/>
            </w:tcBorders>
            <w:shd w:val="clear" w:color="auto" w:fill="auto"/>
            <w:vAlign w:val="center"/>
            <w:hideMark/>
          </w:tcPr>
          <w:p w:rsidR="00177104" w:rsidRPr="002D64B2" w:rsidRDefault="00177104" w:rsidP="00223124">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 xml:space="preserve">38 </w:t>
            </w:r>
          </w:p>
        </w:tc>
        <w:tc>
          <w:tcPr>
            <w:tcW w:w="965" w:type="pct"/>
            <w:tcBorders>
              <w:top w:val="nil"/>
              <w:left w:val="nil"/>
              <w:bottom w:val="single" w:sz="8" w:space="0" w:color="A32020"/>
              <w:right w:val="single" w:sz="8" w:space="0" w:color="FFFFFF"/>
            </w:tcBorders>
            <w:shd w:val="clear" w:color="auto" w:fill="auto"/>
            <w:vAlign w:val="center"/>
            <w:hideMark/>
          </w:tcPr>
          <w:p w:rsidR="00177104" w:rsidRPr="002D64B2" w:rsidRDefault="00177104">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 xml:space="preserve">43 </w:t>
            </w:r>
          </w:p>
        </w:tc>
        <w:tc>
          <w:tcPr>
            <w:tcW w:w="965" w:type="pct"/>
            <w:tcBorders>
              <w:top w:val="nil"/>
              <w:left w:val="nil"/>
              <w:bottom w:val="single" w:sz="8" w:space="0" w:color="A32020"/>
              <w:right w:val="single" w:sz="8" w:space="0" w:color="FFFFFF"/>
            </w:tcBorders>
            <w:shd w:val="clear" w:color="auto" w:fill="auto"/>
            <w:vAlign w:val="center"/>
          </w:tcPr>
          <w:p w:rsidR="00177104" w:rsidRPr="002D64B2" w:rsidRDefault="00177104">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303</w:t>
            </w:r>
          </w:p>
        </w:tc>
        <w:tc>
          <w:tcPr>
            <w:tcW w:w="963" w:type="pct"/>
            <w:tcBorders>
              <w:top w:val="nil"/>
              <w:left w:val="nil"/>
              <w:bottom w:val="single" w:sz="8" w:space="0" w:color="A32020"/>
              <w:right w:val="single" w:sz="8" w:space="0" w:color="FFFFFF"/>
            </w:tcBorders>
            <w:shd w:val="clear" w:color="auto" w:fill="auto"/>
            <w:vAlign w:val="center"/>
          </w:tcPr>
          <w:p w:rsidR="00177104" w:rsidRPr="002D64B2" w:rsidRDefault="00177104">
            <w:pPr>
              <w:keepNext/>
              <w:kinsoku/>
              <w:overflowPunct/>
              <w:autoSpaceDE/>
              <w:autoSpaceDN/>
              <w:adjustRightInd/>
              <w:snapToGrid/>
              <w:jc w:val="center"/>
              <w:rPr>
                <w:rFonts w:ascii="Arial" w:hAnsi="Arial"/>
                <w:snapToGrid/>
                <w:color w:val="000000"/>
                <w:sz w:val="16"/>
                <w:szCs w:val="16"/>
                <w:lang w:eastAsia="en-AU"/>
              </w:rPr>
            </w:pPr>
            <w:r>
              <w:rPr>
                <w:rFonts w:ascii="Arial" w:hAnsi="Arial"/>
                <w:color w:val="000000"/>
                <w:sz w:val="16"/>
                <w:szCs w:val="16"/>
              </w:rPr>
              <w:t>345</w:t>
            </w:r>
          </w:p>
        </w:tc>
      </w:tr>
    </w:tbl>
    <w:p w:rsidR="00BE03AE" w:rsidRDefault="00BE03AE" w:rsidP="00091AF8">
      <w:pPr>
        <w:pStyle w:val="Sources"/>
        <w:keepNext/>
      </w:pPr>
      <w:r>
        <w:t>Source: PwC analysis.</w:t>
      </w:r>
      <w:r w:rsidR="00B85394" w:rsidRPr="00B85394">
        <w:t xml:space="preserve"> </w:t>
      </w:r>
      <w:r w:rsidR="00B85394">
        <w:t>NPV figures are calculated over 10 years. Annualised figures are averaged over 10 years.</w:t>
      </w:r>
    </w:p>
    <w:p w:rsidR="00BE03AE" w:rsidRDefault="00BE03AE" w:rsidP="00BE03AE">
      <w:pPr>
        <w:pStyle w:val="Minorheading2"/>
      </w:pPr>
      <w:r>
        <w:t>Uneven impacts of marginal wage transfers</w:t>
      </w:r>
    </w:p>
    <w:p w:rsidR="00BE03AE" w:rsidRDefault="00BE03AE" w:rsidP="00BE03AE">
      <w:pPr>
        <w:pStyle w:val="Minorheading3"/>
      </w:pPr>
      <w:r>
        <w:t>Affected workers</w:t>
      </w:r>
    </w:p>
    <w:p w:rsidR="00BE03AE" w:rsidRDefault="00BE03AE" w:rsidP="00091AF8">
      <w:pPr>
        <w:pStyle w:val="StylePwCNormalnmajNormalnotetextcvteCNormalnotetext2"/>
      </w:pPr>
      <w:r>
        <w:t xml:space="preserve">The costs to employers of additional public holiday wages are not evenly distributed among those firms that bear the burden. Nor are the benefits of more pay for working on a public holiday spread evenly among the different categories of Victorian workers. </w:t>
      </w:r>
    </w:p>
    <w:p w:rsidR="007C1964" w:rsidRDefault="007C1964" w:rsidP="00091AF8">
      <w:pPr>
        <w:pStyle w:val="StylePwCNormalnmajNormalnotetextcvteCNormalnotetext2"/>
      </w:pPr>
      <w:r>
        <w:t xml:space="preserve">It is expected that employers choosing to operate on a public holiday will actively seek to manage their costs, where possible. For example, small business will substitute paid staff with owner input and/or family. In addition to this, those employers that remain open may choose to roster fewer staff relative to a normal trading day and/or to only undertake core activities requiring lower employee input. </w:t>
      </w:r>
    </w:p>
    <w:p w:rsidR="007C1964" w:rsidRDefault="007C1964" w:rsidP="00091AF8">
      <w:pPr>
        <w:pStyle w:val="StylePwCNormalnmajNormalnotetextcvteCNormalnotetext2"/>
      </w:pPr>
      <w:r>
        <w:t xml:space="preserve">This behaviour is expected to result in lower </w:t>
      </w:r>
      <w:r w:rsidR="00523C9D">
        <w:t>numbers of employees working</w:t>
      </w:r>
      <w:r>
        <w:t xml:space="preserve"> on the two proposed holidays relative to the </w:t>
      </w:r>
      <w:r w:rsidRPr="004B6C63">
        <w:rPr>
          <w:i/>
        </w:rPr>
        <w:t>status quo</w:t>
      </w:r>
      <w:r>
        <w:t xml:space="preserve">. For workers employed on casual arrangements, this translates to a lost earning opportunity and lower income. It is estimated that between </w:t>
      </w:r>
      <w:r w:rsidRPr="00C873BE">
        <w:rPr>
          <w:b/>
        </w:rPr>
        <w:t>6</w:t>
      </w:r>
      <w:r w:rsidR="00177104" w:rsidRPr="00C873BE">
        <w:rPr>
          <w:b/>
        </w:rPr>
        <w:t>5</w:t>
      </w:r>
      <w:r w:rsidRPr="00C873BE">
        <w:rPr>
          <w:b/>
        </w:rPr>
        <w:t>,</w:t>
      </w:r>
      <w:r w:rsidR="00177104" w:rsidRPr="00C873BE">
        <w:rPr>
          <w:b/>
        </w:rPr>
        <w:t>8</w:t>
      </w:r>
      <w:r w:rsidRPr="00C873BE">
        <w:rPr>
          <w:b/>
        </w:rPr>
        <w:t xml:space="preserve">00 and </w:t>
      </w:r>
      <w:r w:rsidR="00177104" w:rsidRPr="00C873BE">
        <w:rPr>
          <w:b/>
        </w:rPr>
        <w:t>80</w:t>
      </w:r>
      <w:r w:rsidRPr="00C873BE">
        <w:rPr>
          <w:b/>
        </w:rPr>
        <w:t>,</w:t>
      </w:r>
      <w:r w:rsidR="00177104" w:rsidRPr="00C873BE">
        <w:rPr>
          <w:b/>
        </w:rPr>
        <w:t>4</w:t>
      </w:r>
      <w:r w:rsidRPr="00C873BE">
        <w:rPr>
          <w:b/>
        </w:rPr>
        <w:t xml:space="preserve">00 fewer casual employees </w:t>
      </w:r>
      <w:r w:rsidRPr="00EA3898">
        <w:t>would be rostered to work across those two days</w:t>
      </w:r>
      <w:r w:rsidR="007A6E74">
        <w:t xml:space="preserve"> due to employers adjusting their staffing mix to manage their costs.</w:t>
      </w:r>
      <w:r w:rsidR="00606A3A">
        <w:rPr>
          <w:rStyle w:val="FootnoteReference"/>
        </w:rPr>
        <w:footnoteReference w:id="31"/>
      </w:r>
      <w:r w:rsidR="007A6E74">
        <w:t xml:space="preserve"> In addition to this, an estimated </w:t>
      </w:r>
      <w:r w:rsidR="00177104">
        <w:t>273</w:t>
      </w:r>
      <w:r w:rsidR="007A6E74">
        <w:t>,000 casual employees are expected not to be working across the two public holidays due to fewer employers operating</w:t>
      </w:r>
      <w:r w:rsidR="00523C9D">
        <w:t>.</w:t>
      </w:r>
      <w:r w:rsidR="00606A3A">
        <w:rPr>
          <w:rStyle w:val="FootnoteReference"/>
        </w:rPr>
        <w:footnoteReference w:id="32"/>
      </w:r>
      <w:r w:rsidR="00523C9D">
        <w:t xml:space="preserve"> </w:t>
      </w:r>
    </w:p>
    <w:p w:rsidR="00BE03AE" w:rsidRDefault="00E7202F" w:rsidP="00BE03AE">
      <w:pPr>
        <w:pStyle w:val="Minorheading3"/>
      </w:pPr>
      <w:r>
        <w:t xml:space="preserve">Small </w:t>
      </w:r>
      <w:r w:rsidR="00BE03AE">
        <w:t>business</w:t>
      </w:r>
      <w:r>
        <w:t xml:space="preserve"> impact</w:t>
      </w:r>
    </w:p>
    <w:p w:rsidR="00BE03AE" w:rsidRDefault="00BE03AE" w:rsidP="0036733E">
      <w:pPr>
        <w:pStyle w:val="StylePwCNormalnmajNormalnotetextcvteCNormalnotetext2"/>
      </w:pPr>
      <w:r>
        <w:t xml:space="preserve">Smaller businesses are more likely to be negatively impacted by additional public holidays. This is because for many small businesses, wage costs form a greater proportion of overall operating costs, meaning penalty rates amplify the costs of opening their doors by a greater amount than it does for larger firms for which staffing costs form a smaller proportion of overall operating costs. Put simply, it is likely to be harder for smaller businesses to absorb the costs of additional wages than it is for larger businesses. </w:t>
      </w:r>
    </w:p>
    <w:p w:rsidR="00BE03AE" w:rsidRDefault="00BE03AE">
      <w:pPr>
        <w:pStyle w:val="StylePwCNormalnmajNormalnotetextcvteCNormalnotetext2"/>
      </w:pPr>
      <w:r>
        <w:t xml:space="preserve">This means that </w:t>
      </w:r>
      <w:r w:rsidR="00CA4879">
        <w:t xml:space="preserve">it </w:t>
      </w:r>
      <w:r>
        <w:t xml:space="preserve">is also more likely that smaller businesses will choose to close on any additional public holidays, which </w:t>
      </w:r>
      <w:r w:rsidR="001F25E8">
        <w:t xml:space="preserve">could lead to </w:t>
      </w:r>
      <w:r>
        <w:t xml:space="preserve">greater </w:t>
      </w:r>
      <w:r w:rsidR="001F25E8">
        <w:t xml:space="preserve">economic </w:t>
      </w:r>
      <w:r>
        <w:t>losses for Victoria overall.</w:t>
      </w:r>
    </w:p>
    <w:p w:rsidR="00BE03AE" w:rsidRPr="00135AA5" w:rsidRDefault="00BE03AE" w:rsidP="00BE03AE">
      <w:pPr>
        <w:pStyle w:val="Heading6"/>
        <w:spacing w:before="360" w:after="240" w:line="380" w:lineRule="atLeast"/>
        <w:rPr>
          <w:bCs/>
        </w:rPr>
      </w:pPr>
      <w:bookmarkStart w:id="55" w:name="_Ref422213724"/>
      <w:r w:rsidRPr="00135AA5">
        <w:rPr>
          <w:bCs/>
        </w:rPr>
        <w:t>Competition assessment</w:t>
      </w:r>
      <w:bookmarkEnd w:id="55"/>
    </w:p>
    <w:p w:rsidR="00733F82" w:rsidRDefault="00733F82" w:rsidP="000D6E9A">
      <w:pPr>
        <w:pStyle w:val="StylePwCNormalnmajNormalnotetextcvteCNormalnotetext2"/>
      </w:pPr>
      <w:r>
        <w:t>The declaration of a public holiday is a universal policy that is imposed on all employers equally. That is, it affects</w:t>
      </w:r>
      <w:r w:rsidR="00BE03AE">
        <w:t xml:space="preserve"> all businesses operating in the state rather than </w:t>
      </w:r>
      <w:r>
        <w:t>those</w:t>
      </w:r>
      <w:r w:rsidR="005B640F">
        <w:t xml:space="preserve"> in</w:t>
      </w:r>
      <w:r w:rsidR="00BE03AE">
        <w:t xml:space="preserve"> particular industries or sectors.</w:t>
      </w:r>
    </w:p>
    <w:p w:rsidR="00BE03AE" w:rsidRDefault="00733F82" w:rsidP="000D6E9A">
      <w:pPr>
        <w:pStyle w:val="StylePwCNormalnmajNormalnotetextcvteCNormalnotetext2"/>
      </w:pPr>
      <w:r>
        <w:t>There may be varying impacts however on different employers in different sectors, by size.</w:t>
      </w:r>
      <w:r w:rsidR="00E65A5F">
        <w:t xml:space="preserve"> As discussed in Section</w:t>
      </w:r>
      <w:r w:rsidR="005B640F">
        <w:t xml:space="preserve"> </w:t>
      </w:r>
      <w:r w:rsidR="003B74C1">
        <w:fldChar w:fldCharType="begin"/>
      </w:r>
      <w:r w:rsidR="003B74C1">
        <w:instrText xml:space="preserve"> REF _Ref423453485 \n \h </w:instrText>
      </w:r>
      <w:r w:rsidR="003B74C1">
        <w:fldChar w:fldCharType="separate"/>
      </w:r>
      <w:r w:rsidR="00250375">
        <w:t>5.4</w:t>
      </w:r>
      <w:r w:rsidR="003B74C1">
        <w:fldChar w:fldCharType="end"/>
      </w:r>
      <w:r w:rsidR="00E65A5F">
        <w:t>, it is possible that some small businesses could be disadvantaged relative to larger employers due to the impacts of penalty rates.</w:t>
      </w:r>
      <w:r>
        <w:t xml:space="preserve"> In addition</w:t>
      </w:r>
      <w:r w:rsidR="00BE03AE">
        <w:t xml:space="preserve"> </w:t>
      </w:r>
      <w:r>
        <w:t>employers</w:t>
      </w:r>
      <w:r w:rsidR="00BE03AE">
        <w:t xml:space="preserve"> </w:t>
      </w:r>
      <w:r>
        <w:t>operating on different days of the week</w:t>
      </w:r>
      <w:r w:rsidR="00BE03AE">
        <w:t xml:space="preserve"> may be </w:t>
      </w:r>
      <w:r>
        <w:t>affected differently</w:t>
      </w:r>
      <w:r w:rsidR="00BE03AE">
        <w:t xml:space="preserve">. This is because </w:t>
      </w:r>
      <w:r>
        <w:t>employers that operate on</w:t>
      </w:r>
      <w:r w:rsidR="00BE03AE">
        <w:t xml:space="preserve"> weekends are faced with two additional public holidays, while </w:t>
      </w:r>
      <w:r>
        <w:t xml:space="preserve">those </w:t>
      </w:r>
      <w:r w:rsidR="00BE03AE">
        <w:t>trading Monday to Friday would be affected by</w:t>
      </w:r>
      <w:r w:rsidR="00BE03AE" w:rsidRPr="001A6AE6">
        <w:t xml:space="preserve"> </w:t>
      </w:r>
      <w:r w:rsidR="00BE03AE">
        <w:t xml:space="preserve">only one additional holiday. </w:t>
      </w:r>
    </w:p>
    <w:p w:rsidR="00BE03AE" w:rsidRDefault="00733F82" w:rsidP="000D6E9A">
      <w:pPr>
        <w:pStyle w:val="StylePwCNormalnmajNormalnotetextcvteCNormalnotetext2"/>
      </w:pPr>
      <w:r>
        <w:t>I</w:t>
      </w:r>
      <w:r w:rsidR="00BE03AE">
        <w:t xml:space="preserve">t is more likely </w:t>
      </w:r>
      <w:r>
        <w:t xml:space="preserve">however </w:t>
      </w:r>
      <w:r w:rsidR="00BE03AE">
        <w:t xml:space="preserve">that competition between </w:t>
      </w:r>
      <w:r>
        <w:t xml:space="preserve">employers </w:t>
      </w:r>
      <w:r w:rsidR="00BE03AE">
        <w:t>occurs within industries</w:t>
      </w:r>
      <w:r>
        <w:t xml:space="preserve"> where employer behaviour is relatively comparable</w:t>
      </w:r>
      <w:r w:rsidR="00BE03AE">
        <w:t xml:space="preserve">. For example, it is more likely that restaurant operators </w:t>
      </w:r>
      <w:r>
        <w:t xml:space="preserve">open seven days a week </w:t>
      </w:r>
      <w:r w:rsidR="00BE03AE">
        <w:t xml:space="preserve">would compete with other restaurant operators </w:t>
      </w:r>
      <w:r>
        <w:t xml:space="preserve">opening similar hours </w:t>
      </w:r>
      <w:r w:rsidR="00BE03AE">
        <w:t>rather than with firms engaged in construction</w:t>
      </w:r>
      <w:r>
        <w:t xml:space="preserve"> operating Monday to Friday</w:t>
      </w:r>
      <w:r w:rsidR="00BE03AE">
        <w:t>. As such, it is expected that the proposed policy would be unlikely to restrict competition in Victoria</w:t>
      </w:r>
      <w:r>
        <w:t>, although the analysis in this RIS suggests there will be a net impact on economic activity more broadly.</w:t>
      </w:r>
      <w:r w:rsidR="00BE03AE">
        <w:t xml:space="preserve"> </w:t>
      </w:r>
    </w:p>
    <w:p w:rsidR="00BE03AE" w:rsidRPr="00135AA5" w:rsidRDefault="00BE03AE" w:rsidP="00BE03AE">
      <w:pPr>
        <w:pStyle w:val="Heading6"/>
        <w:spacing w:before="360" w:after="240" w:line="380" w:lineRule="atLeast"/>
        <w:rPr>
          <w:bCs/>
        </w:rPr>
      </w:pPr>
      <w:r w:rsidRPr="00135AA5">
        <w:rPr>
          <w:bCs/>
        </w:rPr>
        <w:t>Implementation and enforcement</w:t>
      </w:r>
    </w:p>
    <w:p w:rsidR="00BE03AE" w:rsidRDefault="00BE03AE" w:rsidP="000C281E">
      <w:pPr>
        <w:pStyle w:val="Heading7"/>
      </w:pPr>
      <w:r>
        <w:t>Implementation</w:t>
      </w:r>
    </w:p>
    <w:p w:rsidR="00BE03AE" w:rsidRDefault="00BE03AE" w:rsidP="000D6E9A">
      <w:pPr>
        <w:pStyle w:val="StylePwCNormalnmajNormalnotetextcvteCNormalnotetext2"/>
      </w:pPr>
      <w:r>
        <w:t>Implementation of the proposed policy would be done through existing provisions.</w:t>
      </w:r>
      <w:r w:rsidR="0078042A">
        <w:t xml:space="preserve"> </w:t>
      </w:r>
      <w:r>
        <w:t xml:space="preserve">The </w:t>
      </w:r>
      <w:r w:rsidRPr="008F7406">
        <w:rPr>
          <w:i/>
        </w:rPr>
        <w:t>Public Holidays Act</w:t>
      </w:r>
      <w:r>
        <w:rPr>
          <w:i/>
        </w:rPr>
        <w:t xml:space="preserve"> 1993 </w:t>
      </w:r>
      <w:r>
        <w:t xml:space="preserve">provides for gazettal of additional public holidays by the relevant Minister. This is not limited to a specific year or number of years. </w:t>
      </w:r>
    </w:p>
    <w:p w:rsidR="00BE03AE" w:rsidRDefault="00BE03AE" w:rsidP="000C281E">
      <w:pPr>
        <w:pStyle w:val="Heading7"/>
      </w:pPr>
      <w:r>
        <w:t>Enforcement</w:t>
      </w:r>
    </w:p>
    <w:p w:rsidR="00BE03AE" w:rsidRDefault="00BE03AE" w:rsidP="00BE03AE">
      <w:pPr>
        <w:pStyle w:val="StylePwCNormalnmajNormalnotetextcvteCNormalnotetext"/>
        <w:numPr>
          <w:ilvl w:val="0"/>
          <w:numId w:val="26"/>
        </w:numPr>
      </w:pPr>
      <w:r w:rsidRPr="008F7406">
        <w:t xml:space="preserve">Enforcement of the proposed policy is not expected to require significant additional resources on behalf of the </w:t>
      </w:r>
      <w:r w:rsidR="00952734">
        <w:t>g</w:t>
      </w:r>
      <w:r w:rsidRPr="008F7406">
        <w:t>overnment.</w:t>
      </w:r>
      <w:r>
        <w:t xml:space="preserve"> </w:t>
      </w:r>
    </w:p>
    <w:p w:rsidR="00BE03AE" w:rsidRDefault="00BE03AE" w:rsidP="00BE03AE">
      <w:pPr>
        <w:pStyle w:val="StylePwCNormalnmajNormalnotetextcvteCNormalnotetext"/>
        <w:numPr>
          <w:ilvl w:val="0"/>
          <w:numId w:val="26"/>
        </w:numPr>
      </w:pPr>
      <w:r>
        <w:t xml:space="preserve">Existing arrangements for enforcing trading rules and the payment of penalty rates on public holidays would likely be used to support enforcement of the proposed policy. </w:t>
      </w:r>
    </w:p>
    <w:p w:rsidR="00BE03AE" w:rsidRPr="008F7406" w:rsidRDefault="00BE03AE" w:rsidP="00BE03AE">
      <w:pPr>
        <w:pStyle w:val="StylePwCNormalnmajNormalnotetextcvteCNormalnotetext"/>
        <w:numPr>
          <w:ilvl w:val="0"/>
          <w:numId w:val="26"/>
        </w:numPr>
      </w:pPr>
      <w:r>
        <w:t>Given that existing arrangements would be applied and additional costs associated with enforcement of the proposed policy are not expected to be material</w:t>
      </w:r>
      <w:r w:rsidR="005F7B30">
        <w:t>,</w:t>
      </w:r>
      <w:r>
        <w:t xml:space="preserve"> we have not sought to provide an estimate of these costs. </w:t>
      </w:r>
    </w:p>
    <w:p w:rsidR="00BE03AE" w:rsidRPr="00390EA4" w:rsidRDefault="00BE03AE" w:rsidP="00BE03AE">
      <w:pPr>
        <w:pStyle w:val="Heading6"/>
        <w:spacing w:before="0" w:after="40"/>
      </w:pPr>
      <w:r w:rsidRPr="00390EA4">
        <w:t>Evaluation strategy</w:t>
      </w:r>
      <w:r>
        <w:t xml:space="preserve"> </w:t>
      </w:r>
    </w:p>
    <w:p w:rsidR="0093564E" w:rsidRDefault="0093564E" w:rsidP="000D6E9A">
      <w:pPr>
        <w:pStyle w:val="StylePwCNormalnmajNormalnotetextcvteCNormalnotetext2"/>
      </w:pPr>
      <w:r>
        <w:t>It is an important step in best practice regulation to review regulations regularly to ensure that they remain the most appropriate means of addressing the specified objectives. An evaluation strategy is therefore needed to monitor the effectiveness of the preferred regulatory option.</w:t>
      </w:r>
      <w:r w:rsidR="003B54D5">
        <w:rPr>
          <w:rStyle w:val="FootnoteReference"/>
        </w:rPr>
        <w:footnoteReference w:id="33"/>
      </w:r>
    </w:p>
    <w:p w:rsidR="00FE7392" w:rsidRDefault="0093564E" w:rsidP="00091AF8">
      <w:pPr>
        <w:pStyle w:val="PwCNormal"/>
      </w:pPr>
      <w:r>
        <w:t xml:space="preserve">Under the </w:t>
      </w:r>
      <w:r w:rsidR="008E3147">
        <w:t>Government’s commitment to introduce two new public holidays</w:t>
      </w:r>
      <w:r>
        <w:t>, the Department will monitor the impact</w:t>
      </w:r>
      <w:r w:rsidR="008E3147">
        <w:t>s on business and the broader community</w:t>
      </w:r>
      <w:r>
        <w:t xml:space="preserve"> from the</w:t>
      </w:r>
      <w:r w:rsidR="008E3147">
        <w:t xml:space="preserve"> introduction of the</w:t>
      </w:r>
      <w:r>
        <w:t xml:space="preserve"> </w:t>
      </w:r>
      <w:r w:rsidR="008E3147">
        <w:t>new</w:t>
      </w:r>
      <w:r>
        <w:t xml:space="preserve"> public holidays</w:t>
      </w:r>
      <w:r w:rsidR="008E3147">
        <w:t xml:space="preserve">, including </w:t>
      </w:r>
      <w:r>
        <w:t>identify</w:t>
      </w:r>
      <w:r w:rsidR="008E3147">
        <w:t>ing</w:t>
      </w:r>
      <w:r>
        <w:t xml:space="preserve"> any unintended consequences. The Department </w:t>
      </w:r>
      <w:r w:rsidR="008E3147">
        <w:t>will</w:t>
      </w:r>
      <w:r>
        <w:t xml:space="preserve"> review </w:t>
      </w:r>
      <w:r w:rsidR="003B54D5">
        <w:t>the impacts of the policy</w:t>
      </w:r>
      <w:r>
        <w:t xml:space="preserve"> </w:t>
      </w:r>
      <w:r w:rsidR="00337F2B">
        <w:t>on an ongoing basis</w:t>
      </w:r>
      <w:r w:rsidR="003B54D5">
        <w:t>.</w:t>
      </w:r>
      <w:r w:rsidR="003B54D5" w:rsidDel="003B54D5">
        <w:t xml:space="preserve"> </w:t>
      </w:r>
    </w:p>
    <w:p w:rsidR="003B54D5" w:rsidRDefault="008E3147" w:rsidP="00091AF8">
      <w:pPr>
        <w:pStyle w:val="PwCNormal"/>
      </w:pPr>
      <w:r>
        <w:t>T</w:t>
      </w:r>
      <w:r w:rsidR="003B54D5">
        <w:t xml:space="preserve">he Department’s </w:t>
      </w:r>
      <w:r>
        <w:t>ongoing monitoring</w:t>
      </w:r>
      <w:r w:rsidR="003B54D5">
        <w:t xml:space="preserve"> will consider:</w:t>
      </w:r>
    </w:p>
    <w:p w:rsidR="00085E3A" w:rsidRDefault="00085E3A" w:rsidP="00091AF8">
      <w:pPr>
        <w:pStyle w:val="ListBullet"/>
      </w:pPr>
      <w:r>
        <w:t>t</w:t>
      </w:r>
      <w:r w:rsidR="003B54D5">
        <w:t xml:space="preserve">he extent to which the </w:t>
      </w:r>
      <w:r w:rsidR="008E3147">
        <w:t xml:space="preserve">Government’s </w:t>
      </w:r>
      <w:r w:rsidR="003B54D5">
        <w:t>objectives</w:t>
      </w:r>
      <w:r>
        <w:t xml:space="preserve"> of the proposal are being met</w:t>
      </w:r>
    </w:p>
    <w:p w:rsidR="003B54D5" w:rsidRDefault="00085E3A" w:rsidP="00091AF8">
      <w:pPr>
        <w:pStyle w:val="ListBullet"/>
      </w:pPr>
      <w:r>
        <w:t>t</w:t>
      </w:r>
      <w:r w:rsidR="003B54D5">
        <w:t>he impacts of the policy on the Victorian economy</w:t>
      </w:r>
      <w:r w:rsidR="008E3147">
        <w:t>, including the impacts on Victorian small business and employment in the State</w:t>
      </w:r>
    </w:p>
    <w:p w:rsidR="00085E3A" w:rsidRDefault="00085E3A" w:rsidP="00091AF8">
      <w:pPr>
        <w:pStyle w:val="ListBullet"/>
      </w:pPr>
      <w:r>
        <w:t>other factors important to the analysis in this RIS, including</w:t>
      </w:r>
      <w:r w:rsidR="00706D2C">
        <w:t xml:space="preserve"> but not limited to</w:t>
      </w:r>
      <w:r>
        <w:t>:</w:t>
      </w:r>
    </w:p>
    <w:p w:rsidR="00085E3A" w:rsidRDefault="00085E3A" w:rsidP="00091AF8">
      <w:pPr>
        <w:pStyle w:val="ListBullet2"/>
      </w:pPr>
      <w:r>
        <w:t>the level of production smoothing undertaken by Victorian employers</w:t>
      </w:r>
    </w:p>
    <w:p w:rsidR="00706D2C" w:rsidRDefault="00085E3A" w:rsidP="00091AF8">
      <w:pPr>
        <w:pStyle w:val="ListBullet2"/>
      </w:pPr>
      <w:r>
        <w:t>the extent of business closures on the new holidays</w:t>
      </w:r>
    </w:p>
    <w:p w:rsidR="00085E3A" w:rsidRDefault="00706D2C" w:rsidP="00091AF8">
      <w:pPr>
        <w:pStyle w:val="ListBullet2"/>
      </w:pPr>
      <w:proofErr w:type="gramStart"/>
      <w:r>
        <w:t>the</w:t>
      </w:r>
      <w:proofErr w:type="gramEnd"/>
      <w:r>
        <w:t xml:space="preserve"> extent to which any new events coordinated on or around the new public holidays attract additional tourists to Victoria</w:t>
      </w:r>
      <w:r w:rsidR="00085E3A">
        <w:t>.</w:t>
      </w:r>
    </w:p>
    <w:p w:rsidR="004F0878" w:rsidRDefault="008E3147" w:rsidP="0093564E">
      <w:pPr>
        <w:pStyle w:val="PwCNormal"/>
        <w:numPr>
          <w:ilvl w:val="0"/>
          <w:numId w:val="0"/>
        </w:numPr>
        <w:sectPr w:rsidR="004F0878" w:rsidSect="00F81690">
          <w:pgSz w:w="11907" w:h="16840" w:code="9"/>
          <w:pgMar w:top="1588" w:right="1843" w:bottom="1418" w:left="1843" w:header="567" w:footer="567" w:gutter="0"/>
          <w:cols w:space="227"/>
          <w:titlePg/>
          <w:docGrid w:linePitch="360"/>
        </w:sectPr>
      </w:pPr>
      <w:r>
        <w:t xml:space="preserve">It is expected that the Department will consult with relevant stakeholder groups as part of its </w:t>
      </w:r>
      <w:r w:rsidR="008475EB">
        <w:t>ongoing monitoring</w:t>
      </w:r>
      <w:r>
        <w:t xml:space="preserve"> of the impacts of the new public holidays.</w:t>
      </w:r>
      <w:r w:rsidR="00FE7392" w:rsidDel="0093564E">
        <w:t xml:space="preserve"> </w:t>
      </w:r>
    </w:p>
    <w:p w:rsidR="00C00A66" w:rsidRDefault="004F0878" w:rsidP="008E75A3">
      <w:pPr>
        <w:pStyle w:val="Appendicestitle"/>
      </w:pPr>
      <w:bookmarkStart w:id="56" w:name="_Toc150158830"/>
      <w:bookmarkStart w:id="57" w:name="_Toc152054531"/>
      <w:bookmarkStart w:id="58" w:name="_Toc175455170"/>
      <w:bookmarkStart w:id="59" w:name="_Toc188929763"/>
      <w:bookmarkStart w:id="60" w:name="_Toc190831168"/>
      <w:bookmarkStart w:id="61" w:name="_Toc190831919"/>
      <w:bookmarkStart w:id="62" w:name="_Toc222740491"/>
      <w:bookmarkStart w:id="63" w:name="_Toc222797936"/>
      <w:bookmarkStart w:id="64" w:name="_Toc222812200"/>
      <w:bookmarkStart w:id="65" w:name="_Toc222812227"/>
      <w:bookmarkStart w:id="66" w:name="_Toc222812328"/>
      <w:bookmarkStart w:id="67" w:name="_Toc222812365"/>
      <w:bookmarkStart w:id="68" w:name="_Toc225761846"/>
      <w:bookmarkStart w:id="69" w:name="_Toc225761870"/>
      <w:bookmarkStart w:id="70" w:name="_Toc225761910"/>
      <w:bookmarkStart w:id="71" w:name="_Toc225761938"/>
      <w:bookmarkStart w:id="72" w:name="_Toc225761943"/>
      <w:bookmarkStart w:id="73" w:name="_Toc225761966"/>
      <w:bookmarkStart w:id="74" w:name="_Toc225761994"/>
      <w:bookmarkStart w:id="75" w:name="_Toc225762001"/>
      <w:bookmarkStart w:id="76" w:name="_Toc225762006"/>
      <w:bookmarkStart w:id="77" w:name="_Toc225762012"/>
      <w:bookmarkStart w:id="78" w:name="_Toc225762175"/>
      <w:bookmarkStart w:id="79" w:name="_Toc225762181"/>
      <w:bookmarkStart w:id="80" w:name="_Toc225762203"/>
      <w:bookmarkStart w:id="81" w:name="_Toc225763053"/>
      <w:bookmarkStart w:id="82" w:name="_Toc225910585"/>
      <w:bookmarkStart w:id="83" w:name="_Toc225910639"/>
      <w:bookmarkStart w:id="84" w:name="_Toc225910665"/>
      <w:bookmarkStart w:id="85" w:name="_Toc225910695"/>
      <w:bookmarkStart w:id="86" w:name="_Toc225911504"/>
      <w:bookmarkStart w:id="87" w:name="_Toc225911520"/>
      <w:bookmarkStart w:id="88" w:name="_Toc225912405"/>
      <w:bookmarkStart w:id="89" w:name="_Toc225912871"/>
      <w:bookmarkStart w:id="90" w:name="_Toc225913057"/>
      <w:bookmarkStart w:id="91" w:name="_Toc225913091"/>
      <w:bookmarkStart w:id="92" w:name="_Toc225913280"/>
      <w:r>
        <w:t>Appendices</w:t>
      </w:r>
      <w:bookmarkStart w:id="93" w:name="TOCAppendix"/>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rsidR="003B74C1" w:rsidRPr="000C281E" w:rsidRDefault="005E3C65">
      <w:pPr>
        <w:pStyle w:val="TOC4"/>
        <w:rPr>
          <w:noProof/>
        </w:rPr>
      </w:pPr>
      <w:r>
        <w:rPr>
          <w:color w:val="FFFFFF" w:themeColor="background1"/>
        </w:rPr>
        <w:fldChar w:fldCharType="begin"/>
      </w:r>
      <w:r w:rsidR="004F0878">
        <w:instrText xml:space="preserve"> </w:instrText>
      </w:r>
      <w:r w:rsidR="004F0878" w:rsidRPr="003A7350">
        <w:instrText>TOC \t " Heading 3,3,Heading 4,4" \*Charformat</w:instrText>
      </w:r>
      <w:r w:rsidR="004F0878">
        <w:instrText xml:space="preserve"> </w:instrText>
      </w:r>
      <w:r>
        <w:rPr>
          <w:color w:val="FFFFFF" w:themeColor="background1"/>
        </w:rPr>
        <w:fldChar w:fldCharType="separate"/>
      </w:r>
      <w:r w:rsidR="003B74C1">
        <w:rPr>
          <w:noProof/>
        </w:rPr>
        <w:t>Appendix A</w:t>
      </w:r>
      <w:r w:rsidR="003B74C1" w:rsidRPr="000C281E">
        <w:rPr>
          <w:noProof/>
        </w:rPr>
        <w:tab/>
      </w:r>
      <w:r w:rsidR="003B74C1">
        <w:rPr>
          <w:noProof/>
        </w:rPr>
        <w:t>Methodology</w:t>
      </w:r>
      <w:r w:rsidR="003B74C1">
        <w:rPr>
          <w:noProof/>
        </w:rPr>
        <w:tab/>
      </w:r>
      <w:r w:rsidR="003B74C1">
        <w:rPr>
          <w:noProof/>
        </w:rPr>
        <w:fldChar w:fldCharType="begin"/>
      </w:r>
      <w:r w:rsidR="003B74C1">
        <w:rPr>
          <w:noProof/>
        </w:rPr>
        <w:instrText xml:space="preserve"> PAGEREF _Toc423453470 \h </w:instrText>
      </w:r>
      <w:r w:rsidR="003B74C1">
        <w:rPr>
          <w:noProof/>
        </w:rPr>
      </w:r>
      <w:r w:rsidR="003B74C1">
        <w:rPr>
          <w:noProof/>
        </w:rPr>
        <w:fldChar w:fldCharType="separate"/>
      </w:r>
      <w:r w:rsidR="00250375">
        <w:rPr>
          <w:noProof/>
        </w:rPr>
        <w:t>31</w:t>
      </w:r>
      <w:r w:rsidR="003B74C1">
        <w:rPr>
          <w:noProof/>
        </w:rPr>
        <w:fldChar w:fldCharType="end"/>
      </w:r>
    </w:p>
    <w:p w:rsidR="003B74C1" w:rsidRPr="000C281E" w:rsidRDefault="003B74C1">
      <w:pPr>
        <w:pStyle w:val="TOC4"/>
        <w:rPr>
          <w:noProof/>
        </w:rPr>
      </w:pPr>
      <w:r>
        <w:rPr>
          <w:noProof/>
        </w:rPr>
        <w:t>Appendix B</w:t>
      </w:r>
      <w:r w:rsidRPr="000C281E">
        <w:rPr>
          <w:noProof/>
        </w:rPr>
        <w:tab/>
      </w:r>
      <w:r>
        <w:rPr>
          <w:noProof/>
        </w:rPr>
        <w:t>Potential impacts of additional public holidays</w:t>
      </w:r>
      <w:r>
        <w:rPr>
          <w:noProof/>
        </w:rPr>
        <w:tab/>
      </w:r>
      <w:r>
        <w:rPr>
          <w:noProof/>
        </w:rPr>
        <w:fldChar w:fldCharType="begin"/>
      </w:r>
      <w:r>
        <w:rPr>
          <w:noProof/>
        </w:rPr>
        <w:instrText xml:space="preserve"> PAGEREF _Toc423453471 \h </w:instrText>
      </w:r>
      <w:r>
        <w:rPr>
          <w:noProof/>
        </w:rPr>
      </w:r>
      <w:r>
        <w:rPr>
          <w:noProof/>
        </w:rPr>
        <w:fldChar w:fldCharType="separate"/>
      </w:r>
      <w:r w:rsidR="00250375">
        <w:rPr>
          <w:noProof/>
        </w:rPr>
        <w:t>42</w:t>
      </w:r>
      <w:r>
        <w:rPr>
          <w:noProof/>
        </w:rPr>
        <w:fldChar w:fldCharType="end"/>
      </w:r>
    </w:p>
    <w:p w:rsidR="00A925C6" w:rsidRPr="00A925C6" w:rsidRDefault="005E3C65" w:rsidP="00A925C6">
      <w:pPr>
        <w:pStyle w:val="PwCNormal"/>
      </w:pPr>
      <w:r>
        <w:fldChar w:fldCharType="end"/>
      </w:r>
    </w:p>
    <w:p w:rsidR="004F0878" w:rsidRPr="00FC2C77" w:rsidRDefault="004F0878" w:rsidP="00330EAA">
      <w:pPr>
        <w:pStyle w:val="ChapterNumberLong"/>
        <w:sectPr w:rsidR="004F0878" w:rsidRPr="00FC2C77" w:rsidSect="00F81690">
          <w:headerReference w:type="even" r:id="rId34"/>
          <w:headerReference w:type="default" r:id="rId35"/>
          <w:footerReference w:type="even" r:id="rId36"/>
          <w:footerReference w:type="default" r:id="rId37"/>
          <w:headerReference w:type="first" r:id="rId38"/>
          <w:footerReference w:type="first" r:id="rId39"/>
          <w:type w:val="oddPage"/>
          <w:pgSz w:w="11907" w:h="16840" w:code="9"/>
          <w:pgMar w:top="1588" w:right="1843" w:bottom="1418" w:left="1843" w:header="567" w:footer="567" w:gutter="0"/>
          <w:cols w:space="227"/>
          <w:titlePg/>
          <w:docGrid w:linePitch="360"/>
        </w:sectPr>
      </w:pPr>
    </w:p>
    <w:p w:rsidR="004F0878" w:rsidRDefault="00BE03AE" w:rsidP="00BE03AE">
      <w:pPr>
        <w:pStyle w:val="Heading4"/>
        <w:numPr>
          <w:ilvl w:val="4"/>
          <w:numId w:val="30"/>
        </w:numPr>
      </w:pPr>
      <w:bookmarkStart w:id="94" w:name="_Ref417306653"/>
      <w:bookmarkStart w:id="95" w:name="_Ref417306667"/>
      <w:bookmarkStart w:id="96" w:name="_Ref417306697"/>
      <w:bookmarkStart w:id="97" w:name="_Ref417306715"/>
      <w:bookmarkStart w:id="98" w:name="_Ref417377009"/>
      <w:bookmarkStart w:id="99" w:name="_Toc423453468"/>
      <w:bookmarkStart w:id="100" w:name="_Toc423453470"/>
      <w:r>
        <w:t>Methodology</w:t>
      </w:r>
      <w:bookmarkEnd w:id="94"/>
      <w:bookmarkEnd w:id="95"/>
      <w:bookmarkEnd w:id="96"/>
      <w:bookmarkEnd w:id="97"/>
      <w:bookmarkEnd w:id="98"/>
      <w:bookmarkEnd w:id="99"/>
      <w:bookmarkEnd w:id="100"/>
    </w:p>
    <w:p w:rsidR="00BE03AE" w:rsidRDefault="00BE03AE" w:rsidP="00BE03AE">
      <w:pPr>
        <w:pStyle w:val="Majorheading"/>
      </w:pPr>
      <w:r>
        <w:t>General approach</w:t>
      </w:r>
    </w:p>
    <w:p w:rsidR="00BE03AE" w:rsidRDefault="00BE03AE" w:rsidP="000D6E9A">
      <w:pPr>
        <w:pStyle w:val="StylePwCNormalnmajNormalnotetextcvteCNormalnotetext2"/>
      </w:pPr>
      <w:r>
        <w:t>There are two factors to consider in relation to the impacts of additional public holidays.</w:t>
      </w:r>
    </w:p>
    <w:p w:rsidR="00BE03AE" w:rsidRDefault="00BE03AE" w:rsidP="00BE03AE">
      <w:pPr>
        <w:pStyle w:val="ChapterNumberedList1"/>
        <w:spacing w:before="0" w:after="240"/>
      </w:pPr>
      <w:r>
        <w:t>Foregone economic value associated with reduced production/economic activity.</w:t>
      </w:r>
    </w:p>
    <w:p w:rsidR="00BE03AE" w:rsidRDefault="00BE03AE" w:rsidP="00BE03AE">
      <w:pPr>
        <w:pStyle w:val="ChapterNumberedList1"/>
        <w:spacing w:before="0" w:after="240"/>
      </w:pPr>
      <w:r>
        <w:t>Additional wage transfers from employers to employees due to public holiday penalty rates.</w:t>
      </w:r>
    </w:p>
    <w:p w:rsidR="00BE03AE" w:rsidRDefault="003F4F0C" w:rsidP="000D6E9A">
      <w:pPr>
        <w:pStyle w:val="StylePwCNormalnmajNormalnotetextcvteCNormalnotetext2"/>
      </w:pPr>
      <w:r>
        <w:t>The first factor</w:t>
      </w:r>
      <w:r w:rsidR="00BE03AE">
        <w:t xml:space="preserve"> is estimated using data on Victorian </w:t>
      </w:r>
      <w:r w:rsidR="0063419D">
        <w:t>g</w:t>
      </w:r>
      <w:r w:rsidR="00BE03AE">
        <w:t xml:space="preserve">ross </w:t>
      </w:r>
      <w:r w:rsidR="0063419D">
        <w:t>s</w:t>
      </w:r>
      <w:r w:rsidR="00BE03AE">
        <w:t xml:space="preserve">tate </w:t>
      </w:r>
      <w:r w:rsidR="0063419D">
        <w:t>p</w:t>
      </w:r>
      <w:r w:rsidR="00BE03AE">
        <w:t xml:space="preserve">roduct (GSP). </w:t>
      </w:r>
      <w:r>
        <w:t>The second factor</w:t>
      </w:r>
      <w:r w:rsidR="00BE03AE">
        <w:t xml:space="preserve"> is estimated using average weekly earnings of Australian workers, Victorian employment and relevant penalty rates. Each of these data sources is broken down </w:t>
      </w:r>
      <w:r w:rsidR="00E022AD">
        <w:t xml:space="preserve">(where possible) </w:t>
      </w:r>
      <w:r w:rsidR="00BE03AE">
        <w:t xml:space="preserve">by industry reflecting ANZSIC industry classifications as used by the Australian Bureau of Statistics (ABS). </w:t>
      </w:r>
    </w:p>
    <w:p w:rsidR="001409FB" w:rsidRDefault="000B469B" w:rsidP="000D6E9A">
      <w:pPr>
        <w:pStyle w:val="StylePwCNormalnmajNormalnotetextcvteCNormalnotetext2"/>
      </w:pPr>
      <w:r>
        <w:t>All figures presented are in 2015 Australian dollars.</w:t>
      </w:r>
    </w:p>
    <w:p w:rsidR="00BE03AE" w:rsidRDefault="00BE03AE" w:rsidP="00BE03AE">
      <w:pPr>
        <w:pStyle w:val="Minorheading"/>
      </w:pPr>
      <w:r>
        <w:t>Varying impacts by industry</w:t>
      </w:r>
    </w:p>
    <w:p w:rsidR="00BE03AE" w:rsidRDefault="00BE03AE" w:rsidP="000D6E9A">
      <w:pPr>
        <w:pStyle w:val="StylePwCNormalnmajNormalnotetextcvteCNormalnotetext2"/>
      </w:pPr>
      <w:r>
        <w:t xml:space="preserve">An important consideration in this RIS relates to the varying economic impacts of additional public holidays on different industries in Victoria. </w:t>
      </w:r>
    </w:p>
    <w:p w:rsidR="00BE03AE" w:rsidRDefault="00BE03AE" w:rsidP="000D6E9A">
      <w:pPr>
        <w:pStyle w:val="Minorheading2"/>
      </w:pPr>
      <w:r>
        <w:t>Weekday and weekend public holidays</w:t>
      </w:r>
    </w:p>
    <w:p w:rsidR="00BE03AE" w:rsidRDefault="00BE03AE" w:rsidP="00BE03AE">
      <w:pPr>
        <w:pStyle w:val="StylePwCNormalnmajNormalnotetextcvteCNormalnotetext"/>
        <w:numPr>
          <w:ilvl w:val="0"/>
          <w:numId w:val="26"/>
        </w:numPr>
      </w:pPr>
      <w:r>
        <w:t>Industries differ in relation to the days of the week employers usually operate. For instance, many restaurants trade on weekends</w:t>
      </w:r>
      <w:r w:rsidR="003F4F0C">
        <w:t>,</w:t>
      </w:r>
      <w:r>
        <w:t xml:space="preserve"> </w:t>
      </w:r>
      <w:r w:rsidR="003F4F0C">
        <w:t xml:space="preserve">whereas </w:t>
      </w:r>
      <w:r>
        <w:t xml:space="preserve">schools generally do not. For these reasons, an additional weekday </w:t>
      </w:r>
      <w:r w:rsidR="003F4F0C">
        <w:t xml:space="preserve">public </w:t>
      </w:r>
      <w:r>
        <w:t xml:space="preserve">holiday would impact both </w:t>
      </w:r>
      <w:r w:rsidR="003F4F0C">
        <w:t xml:space="preserve">types of </w:t>
      </w:r>
      <w:r>
        <w:t xml:space="preserve">employers while a weekend public holiday would be expected to impact some restaurants but not most schools. </w:t>
      </w:r>
    </w:p>
    <w:p w:rsidR="0030044B" w:rsidRDefault="00BE03AE" w:rsidP="00BE03AE">
      <w:pPr>
        <w:pStyle w:val="StylePwCNormalnmajNormalnotetextcvteCNormalnotetext"/>
        <w:numPr>
          <w:ilvl w:val="0"/>
          <w:numId w:val="26"/>
        </w:numPr>
      </w:pPr>
      <w:r>
        <w:t xml:space="preserve">To measure the impacts of additional public holidays falling on different days of the week we have distinguished between industries that are likely to be affected by a weekend public holiday and those that are not. </w:t>
      </w:r>
    </w:p>
    <w:p w:rsidR="0030044B" w:rsidRDefault="00BE03AE" w:rsidP="000D6E9A">
      <w:pPr>
        <w:pStyle w:val="ListBullet"/>
      </w:pPr>
      <w:r>
        <w:t xml:space="preserve">Category </w:t>
      </w:r>
      <w:proofErr w:type="gramStart"/>
      <w:r>
        <w:t>A</w:t>
      </w:r>
      <w:proofErr w:type="gramEnd"/>
      <w:r>
        <w:t xml:space="preserve"> businesses</w:t>
      </w:r>
      <w:r w:rsidR="0030044B">
        <w:t>/industries</w:t>
      </w:r>
      <w:r>
        <w:t xml:space="preserve"> are </w:t>
      </w:r>
      <w:r w:rsidR="0030044B">
        <w:t xml:space="preserve">most </w:t>
      </w:r>
      <w:r>
        <w:t xml:space="preserve">likely to operate seven days a week. </w:t>
      </w:r>
    </w:p>
    <w:p w:rsidR="0030044B" w:rsidRDefault="00BE03AE" w:rsidP="000D6E9A">
      <w:pPr>
        <w:pStyle w:val="ListBullet"/>
      </w:pPr>
      <w:r>
        <w:t>Category B relates to those</w:t>
      </w:r>
      <w:r w:rsidR="00706D2C">
        <w:t xml:space="preserve"> industries</w:t>
      </w:r>
      <w:r>
        <w:t xml:space="preserve"> where work has traditionally occurred only Monday to Friday. </w:t>
      </w:r>
    </w:p>
    <w:p w:rsidR="00BE03AE" w:rsidRDefault="00BE03AE" w:rsidP="00BE03AE">
      <w:pPr>
        <w:pStyle w:val="StylePwCNormalnmajNormalnotetextcvteCNormalnotetext"/>
        <w:numPr>
          <w:ilvl w:val="0"/>
          <w:numId w:val="26"/>
        </w:numPr>
      </w:pPr>
      <w:r>
        <w:t xml:space="preserve">The categorisation of employers by industry is provided in </w:t>
      </w:r>
      <w:r>
        <w:fldChar w:fldCharType="begin"/>
      </w:r>
      <w:r>
        <w:instrText xml:space="preserve"> REF _Ref416958374 \h </w:instrText>
      </w:r>
      <w:r>
        <w:fldChar w:fldCharType="separate"/>
      </w:r>
      <w:r w:rsidR="00250375">
        <w:t xml:space="preserve">Table </w:t>
      </w:r>
      <w:r w:rsidR="00250375">
        <w:rPr>
          <w:noProof/>
        </w:rPr>
        <w:t>17</w:t>
      </w:r>
      <w:r>
        <w:fldChar w:fldCharType="end"/>
      </w:r>
      <w:r>
        <w:t>.</w:t>
      </w:r>
    </w:p>
    <w:p w:rsidR="00BE03AE" w:rsidRDefault="00BE03AE" w:rsidP="00BE03AE">
      <w:pPr>
        <w:pStyle w:val="StylePwCNormalnmajNormalnotetextcvteCNormalnotetext"/>
        <w:numPr>
          <w:ilvl w:val="0"/>
          <w:numId w:val="26"/>
        </w:numPr>
      </w:pPr>
      <w:r>
        <w:t>Though it could be anticipated that many Category B industries would experience employer closures of close to 100 per cent on a weekday public holiday, the modelling has assumed in general that 80 per cent of employers in these industries would not operate. This is done to reflect that a number of small businesses may choose to open or to work on that day.</w:t>
      </w:r>
    </w:p>
    <w:p w:rsidR="00BD56F8" w:rsidRDefault="00BD56F8" w:rsidP="000D6E9A">
      <w:pPr>
        <w:pStyle w:val="Minorheading2"/>
      </w:pPr>
      <w:r>
        <w:t>Production smoothing by employers</w:t>
      </w:r>
    </w:p>
    <w:p w:rsidR="00BD56F8" w:rsidRDefault="00BD56F8" w:rsidP="00091AF8">
      <w:pPr>
        <w:pStyle w:val="StylePwCNormalnmajNormalnotetextcvteCNormalnotetext2"/>
      </w:pPr>
      <w:r>
        <w:t>A second distinction relates to the extent to which employers in different industries are able to accommodate the lost production opportunity associated with a public holiday. For instance, employers in some industries could raise production on the days before and after the public holiday and</w:t>
      </w:r>
      <w:r w:rsidRPr="00FE593D">
        <w:t xml:space="preserve"> </w:t>
      </w:r>
      <w:r>
        <w:t xml:space="preserve">as a result would lose </w:t>
      </w:r>
      <w:r w:rsidRPr="00DB2285">
        <w:t>less</w:t>
      </w:r>
      <w:r>
        <w:t xml:space="preserve"> than one full day’s production from not operating on a public holiday. </w:t>
      </w:r>
    </w:p>
    <w:p w:rsidR="00F372EE" w:rsidRDefault="00BD56F8" w:rsidP="00091AF8">
      <w:pPr>
        <w:pStyle w:val="StylePwCNormalnmajNormalnotetextcvteCNormalnotetext2"/>
      </w:pPr>
      <w:r>
        <w:t xml:space="preserve">This ‘production smoothing’ behaviour is assumed to occur in different industries to varying degrees as shown in </w:t>
      </w:r>
      <w:r>
        <w:fldChar w:fldCharType="begin"/>
      </w:r>
      <w:r>
        <w:instrText xml:space="preserve"> REF _Ref416958374 \h </w:instrText>
      </w:r>
      <w:r>
        <w:fldChar w:fldCharType="separate"/>
      </w:r>
      <w:r w:rsidR="00250375">
        <w:t xml:space="preserve">Table </w:t>
      </w:r>
      <w:r w:rsidR="00250375">
        <w:rPr>
          <w:noProof/>
        </w:rPr>
        <w:t>17</w:t>
      </w:r>
      <w:r>
        <w:fldChar w:fldCharType="end"/>
      </w:r>
      <w:r>
        <w:t xml:space="preserve">. </w:t>
      </w:r>
    </w:p>
    <w:p w:rsidR="00F372EE" w:rsidRDefault="00BB05A2" w:rsidP="00091AF8">
      <w:pPr>
        <w:pStyle w:val="StylePwCNormalnmajNormalnotetextcvteCNormalnotetext2"/>
      </w:pPr>
      <w:r>
        <w:t xml:space="preserve">The different production smoothing percentages listed in </w:t>
      </w:r>
      <w:r>
        <w:fldChar w:fldCharType="begin"/>
      </w:r>
      <w:r>
        <w:instrText xml:space="preserve"> REF _Ref416944737 \h </w:instrText>
      </w:r>
      <w:r>
        <w:fldChar w:fldCharType="separate"/>
      </w:r>
      <w:r w:rsidR="00250375">
        <w:t xml:space="preserve">Table </w:t>
      </w:r>
      <w:r w:rsidR="00250375">
        <w:rPr>
          <w:noProof/>
        </w:rPr>
        <w:t>17</w:t>
      </w:r>
      <w:r>
        <w:fldChar w:fldCharType="end"/>
      </w:r>
      <w:r>
        <w:t xml:space="preserve"> apply to different groupings of industries. For instance, in customer-facing industries where production or trade cannot occur without the presence of customers,</w:t>
      </w:r>
      <w:r w:rsidR="00853CFE">
        <w:t xml:space="preserve"> or when critical services are delivered that cannot be </w:t>
      </w:r>
      <w:r w:rsidR="003F4F0C">
        <w:t xml:space="preserve">moved </w:t>
      </w:r>
      <w:r w:rsidR="00853CFE">
        <w:t>to other days of the week,</w:t>
      </w:r>
      <w:r>
        <w:t xml:space="preserve"> production smoothing is not expected to occur to a great extent. In these industries,</w:t>
      </w:r>
      <w:r w:rsidR="00F372EE">
        <w:t xml:space="preserve"> such as </w:t>
      </w:r>
      <w:r w:rsidR="00853CFE">
        <w:t xml:space="preserve">the </w:t>
      </w:r>
      <w:r w:rsidR="00F372EE">
        <w:t xml:space="preserve">Retail </w:t>
      </w:r>
      <w:r w:rsidR="00853CFE">
        <w:t>industry and in Health care and social assistance</w:t>
      </w:r>
      <w:r w:rsidR="00F372EE">
        <w:t>,</w:t>
      </w:r>
      <w:r>
        <w:t xml:space="preserve"> </w:t>
      </w:r>
      <w:r w:rsidR="00853CFE">
        <w:t>10</w:t>
      </w:r>
      <w:r>
        <w:t xml:space="preserve"> per cent of </w:t>
      </w:r>
      <w:r w:rsidR="00853CFE">
        <w:t xml:space="preserve">the </w:t>
      </w:r>
      <w:r>
        <w:t xml:space="preserve">production </w:t>
      </w:r>
      <w:r w:rsidR="00853CFE">
        <w:t xml:space="preserve">that would otherwise be lost on a public holiday where employers do not operate </w:t>
      </w:r>
      <w:r>
        <w:t xml:space="preserve">is assumed to occur </w:t>
      </w:r>
      <w:r w:rsidR="00853CFE">
        <w:t>on the surrounding days</w:t>
      </w:r>
      <w:r w:rsidR="00F372EE">
        <w:t>.</w:t>
      </w:r>
      <w:r w:rsidR="007B1D8A">
        <w:t xml:space="preserve"> </w:t>
      </w:r>
    </w:p>
    <w:p w:rsidR="00BD56F8" w:rsidRDefault="00F372EE" w:rsidP="00091AF8">
      <w:pPr>
        <w:pStyle w:val="StylePwCNormalnmajNormalnotetextcvteCNormalnotetext2"/>
      </w:pPr>
      <w:r>
        <w:t>Industries such as Financial and insurance services</w:t>
      </w:r>
      <w:r w:rsidR="003F4F0C">
        <w:t>,</w:t>
      </w:r>
      <w:r>
        <w:t xml:space="preserve"> where </w:t>
      </w:r>
      <w:r w:rsidR="003F4F0C">
        <w:t xml:space="preserve">production </w:t>
      </w:r>
      <w:r>
        <w:t>is less dependent on the physical presence of the customer</w:t>
      </w:r>
      <w:r w:rsidR="003F4F0C">
        <w:t>,</w:t>
      </w:r>
      <w:r>
        <w:t xml:space="preserve"> are expected to smooth production to a greater extent. In these industries, technology provides for greater possibilities in terms of both the location and timing of production, which allows </w:t>
      </w:r>
      <w:r w:rsidR="00706D2C">
        <w:t>work</w:t>
      </w:r>
      <w:r>
        <w:t xml:space="preserve"> to be more easily smoothed across the week.</w:t>
      </w:r>
    </w:p>
    <w:p w:rsidR="00BB05A2" w:rsidRDefault="00853CFE" w:rsidP="00091AF8">
      <w:pPr>
        <w:pStyle w:val="StylePwCNormalnmajNormalnotetextcvteCNormalnotetext2"/>
      </w:pPr>
      <w:r>
        <w:t xml:space="preserve">In the remaining industries where some level of smoothing is expected to </w:t>
      </w:r>
      <w:r w:rsidR="003F4F0C">
        <w:t>occur</w:t>
      </w:r>
      <w:r w:rsidR="00706D2C">
        <w:t>,</w:t>
      </w:r>
      <w:r>
        <w:t xml:space="preserve"> it is assumed that 20 per cent of the production that would otherwise be lost on a public holiday where employers do not operate is smoothed to other days.</w:t>
      </w:r>
    </w:p>
    <w:p w:rsidR="00BD56F8" w:rsidRDefault="00BD56F8" w:rsidP="000D6E9A">
      <w:pPr>
        <w:pStyle w:val="Minorheading2"/>
      </w:pPr>
      <w:r>
        <w:t>Cost management by employers</w:t>
      </w:r>
    </w:p>
    <w:p w:rsidR="00BD56F8" w:rsidRDefault="00BD56F8" w:rsidP="00BD56F8">
      <w:pPr>
        <w:pStyle w:val="StylePwCNormalnmajNormalnotetextcvteCNormalnotetext"/>
        <w:numPr>
          <w:ilvl w:val="0"/>
          <w:numId w:val="26"/>
        </w:numPr>
      </w:pPr>
      <w:r>
        <w:t xml:space="preserve">It is expected that those employers choosing to operate on a public holiday will actively seek to manage their costs, where possible. For example, small business </w:t>
      </w:r>
      <w:r w:rsidR="003F4F0C">
        <w:t xml:space="preserve">may </w:t>
      </w:r>
      <w:r>
        <w:t xml:space="preserve">substitute paid staff with owner input and/or family. In addition to this, those employers that remain open may choose to roster fewer staff relative to a normal trading day and/or to only undertake core activities </w:t>
      </w:r>
      <w:r w:rsidR="003F4F0C">
        <w:t xml:space="preserve">so that less </w:t>
      </w:r>
      <w:r>
        <w:t>employee input</w:t>
      </w:r>
      <w:r w:rsidR="003F4F0C">
        <w:t xml:space="preserve"> is required</w:t>
      </w:r>
      <w:r>
        <w:t xml:space="preserve">. </w:t>
      </w:r>
      <w:r w:rsidR="007B1D8A">
        <w:t xml:space="preserve">It is also expected that employers may substitute toward rostering permanent staff rather than casuals to reduce wage costs. </w:t>
      </w:r>
      <w:r>
        <w:t>The Australian Hotels Association has suggested that its members reduce costs on public holidays by:</w:t>
      </w:r>
    </w:p>
    <w:p w:rsidR="00BD56F8" w:rsidRDefault="00BD56F8" w:rsidP="00BD56F8">
      <w:pPr>
        <w:pStyle w:val="ListBullet"/>
      </w:pPr>
      <w:r>
        <w:t>closing restaurants for lunch and/or dinner</w:t>
      </w:r>
    </w:p>
    <w:p w:rsidR="00BD56F8" w:rsidRDefault="00BD56F8" w:rsidP="00BD56F8">
      <w:pPr>
        <w:pStyle w:val="ListBullet"/>
      </w:pPr>
      <w:r>
        <w:t>reducing access to room service</w:t>
      </w:r>
    </w:p>
    <w:p w:rsidR="00BD56F8" w:rsidRDefault="00BD56F8" w:rsidP="00BD56F8">
      <w:pPr>
        <w:pStyle w:val="ListBullet"/>
      </w:pPr>
      <w:r>
        <w:t>closing or reducing bar trading hours</w:t>
      </w:r>
    </w:p>
    <w:p w:rsidR="00BD56F8" w:rsidRDefault="00BD56F8" w:rsidP="00BD56F8">
      <w:pPr>
        <w:pStyle w:val="ListBullet"/>
      </w:pPr>
      <w:r>
        <w:t>limiting menu offerings</w:t>
      </w:r>
    </w:p>
    <w:p w:rsidR="00BD56F8" w:rsidRDefault="00BD56F8" w:rsidP="00BD56F8">
      <w:pPr>
        <w:pStyle w:val="ListBullet"/>
      </w:pPr>
      <w:proofErr w:type="gramStart"/>
      <w:r>
        <w:t>minimising</w:t>
      </w:r>
      <w:proofErr w:type="gramEnd"/>
      <w:r>
        <w:t xml:space="preserve"> the servicing of rooms and amenities.</w:t>
      </w:r>
      <w:r>
        <w:rPr>
          <w:rStyle w:val="FootnoteReference"/>
        </w:rPr>
        <w:footnoteReference w:id="34"/>
      </w:r>
    </w:p>
    <w:p w:rsidR="00E022AD" w:rsidRDefault="00BD56F8" w:rsidP="00E022AD">
      <w:pPr>
        <w:pStyle w:val="PwCNormal"/>
        <w:spacing w:before="0" w:after="240"/>
      </w:pPr>
      <w:r>
        <w:t>Therefore</w:t>
      </w:r>
      <w:r w:rsidR="003F4F0C">
        <w:t>,</w:t>
      </w:r>
      <w:r>
        <w:t xml:space="preserve"> for the purposes of the </w:t>
      </w:r>
      <w:r w:rsidR="003F4F0C">
        <w:t>analysis,</w:t>
      </w:r>
      <w:r>
        <w:t xml:space="preserve"> it is assumed that not all employers </w:t>
      </w:r>
      <w:r w:rsidR="003F4F0C">
        <w:t>that</w:t>
      </w:r>
      <w:r>
        <w:t xml:space="preserve"> remain open </w:t>
      </w:r>
      <w:r w:rsidR="003F4F0C">
        <w:t>would pay</w:t>
      </w:r>
      <w:r>
        <w:t xml:space="preserve"> the same level of wages as on a normal trading day. The proportion</w:t>
      </w:r>
      <w:r w:rsidR="003F4F0C">
        <w:t>s</w:t>
      </w:r>
      <w:r>
        <w:t xml:space="preserve"> of normal wage costs which employers in different industries are </w:t>
      </w:r>
      <w:r w:rsidR="003F4F0C">
        <w:t xml:space="preserve">assumed </w:t>
      </w:r>
      <w:r>
        <w:t xml:space="preserve">to incur are shown in </w:t>
      </w:r>
      <w:r>
        <w:fldChar w:fldCharType="begin"/>
      </w:r>
      <w:r>
        <w:instrText xml:space="preserve"> REF _Ref416958374 \h </w:instrText>
      </w:r>
      <w:r>
        <w:fldChar w:fldCharType="separate"/>
      </w:r>
      <w:r w:rsidR="00250375">
        <w:t xml:space="preserve">Table </w:t>
      </w:r>
      <w:r w:rsidR="00250375">
        <w:rPr>
          <w:noProof/>
        </w:rPr>
        <w:t>17</w:t>
      </w:r>
      <w:r>
        <w:fldChar w:fldCharType="end"/>
      </w:r>
      <w:r>
        <w:t>.</w:t>
      </w:r>
    </w:p>
    <w:p w:rsidR="00BE03AE" w:rsidRDefault="00BE03AE" w:rsidP="00BE03AE">
      <w:pPr>
        <w:pStyle w:val="Caption"/>
      </w:pPr>
      <w:bookmarkStart w:id="101" w:name="_Ref416944737"/>
      <w:bookmarkStart w:id="102" w:name="_Ref416958374"/>
      <w:r>
        <w:t xml:space="preserve">Table </w:t>
      </w:r>
      <w:r w:rsidR="00663565">
        <w:fldChar w:fldCharType="begin"/>
      </w:r>
      <w:r w:rsidR="00663565">
        <w:instrText xml:space="preserve"> SEQ Table \* ARABIC </w:instrText>
      </w:r>
      <w:r w:rsidR="00663565">
        <w:fldChar w:fldCharType="separate"/>
      </w:r>
      <w:r w:rsidR="00250375">
        <w:rPr>
          <w:noProof/>
        </w:rPr>
        <w:t>17</w:t>
      </w:r>
      <w:r w:rsidR="00663565">
        <w:rPr>
          <w:noProof/>
        </w:rPr>
        <w:fldChar w:fldCharType="end"/>
      </w:r>
      <w:bookmarkEnd w:id="101"/>
      <w:bookmarkEnd w:id="102"/>
      <w:r>
        <w:t>: Industry-specific assumptions</w:t>
      </w:r>
    </w:p>
    <w:tbl>
      <w:tblPr>
        <w:tblStyle w:val="Tables-APBase"/>
        <w:tblW w:w="0" w:type="auto"/>
        <w:tblLook w:val="04A0" w:firstRow="1" w:lastRow="0" w:firstColumn="1" w:lastColumn="0" w:noHBand="0" w:noVBand="1"/>
        <w:tblCaption w:val="Industry-specific assumptions"/>
        <w:tblDescription w:val="The table lists the assumptions adopted in the modelling at the industry-level. For each industry, it provides the assumptions for the percentage of additional employers closed, the extent of production smoothing, and the percentage of normal wage costs."/>
      </w:tblPr>
      <w:tblGrid>
        <w:gridCol w:w="3418"/>
        <w:gridCol w:w="977"/>
        <w:gridCol w:w="1044"/>
        <w:gridCol w:w="1050"/>
        <w:gridCol w:w="1148"/>
        <w:gridCol w:w="800"/>
      </w:tblGrid>
      <w:tr w:rsidR="00BE03AE" w:rsidTr="003E7E0A">
        <w:trPr>
          <w:cnfStyle w:val="100000000000" w:firstRow="1" w:lastRow="0" w:firstColumn="0" w:lastColumn="0" w:oddVBand="0" w:evenVBand="0" w:oddHBand="0" w:evenHBand="0" w:firstRowFirstColumn="0" w:firstRowLastColumn="0" w:lastRowFirstColumn="0" w:lastRowLastColumn="0"/>
          <w:trHeight w:val="368"/>
        </w:trPr>
        <w:tc>
          <w:tcPr>
            <w:cnfStyle w:val="000000000100" w:firstRow="0" w:lastRow="0" w:firstColumn="0" w:lastColumn="0" w:oddVBand="0" w:evenVBand="0" w:oddHBand="0" w:evenHBand="0" w:firstRowFirstColumn="1" w:firstRowLastColumn="0" w:lastRowFirstColumn="0" w:lastRowLastColumn="0"/>
            <w:tcW w:w="3418" w:type="dxa"/>
            <w:vMerge w:val="restart"/>
          </w:tcPr>
          <w:p w:rsidR="00BE03AE" w:rsidRDefault="00BE03AE">
            <w:pPr>
              <w:pStyle w:val="TableColumnHeadingSmall"/>
            </w:pPr>
            <w:r>
              <w:t>Industry</w:t>
            </w:r>
          </w:p>
        </w:tc>
        <w:tc>
          <w:tcPr>
            <w:tcW w:w="977" w:type="dxa"/>
            <w:vMerge w:val="restart"/>
            <w:vAlign w:val="center"/>
          </w:tcPr>
          <w:p w:rsidR="00BE03AE" w:rsidRDefault="00BE03AE">
            <w:pPr>
              <w:keepNext/>
              <w:cnfStyle w:val="100000000000" w:firstRow="1" w:lastRow="0" w:firstColumn="0" w:lastColumn="0" w:oddVBand="0" w:evenVBand="0" w:oddHBand="0" w:evenHBand="0" w:firstRowFirstColumn="0" w:firstRowLastColumn="0" w:lastRowFirstColumn="0" w:lastRowLastColumn="0"/>
              <w:rPr>
                <w:rFonts w:ascii="Arial" w:hAnsi="Arial"/>
                <w:b/>
                <w:color w:val="A32020" w:themeColor="text2"/>
                <w:sz w:val="16"/>
                <w:szCs w:val="16"/>
              </w:rPr>
            </w:pPr>
            <w:r>
              <w:rPr>
                <w:rFonts w:ascii="Arial" w:hAnsi="Arial"/>
                <w:b/>
                <w:color w:val="A32020" w:themeColor="text2"/>
                <w:sz w:val="16"/>
                <w:szCs w:val="16"/>
              </w:rPr>
              <w:t>Category</w:t>
            </w:r>
          </w:p>
        </w:tc>
        <w:tc>
          <w:tcPr>
            <w:tcW w:w="2094" w:type="dxa"/>
            <w:gridSpan w:val="2"/>
            <w:vAlign w:val="center"/>
          </w:tcPr>
          <w:p w:rsidR="00BE03AE" w:rsidRPr="00EE17F1" w:rsidRDefault="00BE03AE" w:rsidP="00BE03AE">
            <w:pPr>
              <w:keepNext/>
              <w:cnfStyle w:val="100000000000" w:firstRow="1" w:lastRow="0" w:firstColumn="0" w:lastColumn="0" w:oddVBand="0" w:evenVBand="0" w:oddHBand="0" w:evenHBand="0" w:firstRowFirstColumn="0" w:firstRowLastColumn="0" w:lastRowFirstColumn="0" w:lastRowLastColumn="0"/>
              <w:rPr>
                <w:rFonts w:ascii="Arial" w:hAnsi="Arial"/>
                <w:b/>
                <w:color w:val="A32020" w:themeColor="text2"/>
                <w:sz w:val="16"/>
                <w:szCs w:val="16"/>
              </w:rPr>
            </w:pPr>
            <w:r>
              <w:rPr>
                <w:rFonts w:ascii="Arial" w:hAnsi="Arial"/>
                <w:b/>
                <w:color w:val="A32020" w:themeColor="text2"/>
                <w:sz w:val="16"/>
                <w:szCs w:val="16"/>
              </w:rPr>
              <w:t>% Additional employers closed</w:t>
            </w:r>
          </w:p>
        </w:tc>
        <w:tc>
          <w:tcPr>
            <w:tcW w:w="1148" w:type="dxa"/>
            <w:vMerge w:val="restart"/>
            <w:vAlign w:val="center"/>
          </w:tcPr>
          <w:p w:rsidR="00BE03AE" w:rsidRPr="00EE17F1" w:rsidRDefault="00BE03AE" w:rsidP="00BE03AE">
            <w:pPr>
              <w:keepNext/>
              <w:cnfStyle w:val="100000000000" w:firstRow="1" w:lastRow="0" w:firstColumn="0" w:lastColumn="0" w:oddVBand="0" w:evenVBand="0" w:oddHBand="0" w:evenHBand="0" w:firstRowFirstColumn="0" w:firstRowLastColumn="0" w:lastRowFirstColumn="0" w:lastRowLastColumn="0"/>
              <w:rPr>
                <w:rFonts w:ascii="Arial" w:hAnsi="Arial"/>
                <w:b/>
                <w:color w:val="A32020" w:themeColor="text2"/>
                <w:sz w:val="16"/>
                <w:szCs w:val="16"/>
              </w:rPr>
            </w:pPr>
            <w:r>
              <w:rPr>
                <w:rFonts w:ascii="Arial" w:hAnsi="Arial"/>
                <w:b/>
                <w:color w:val="A32020" w:themeColor="text2"/>
                <w:sz w:val="16"/>
                <w:szCs w:val="16"/>
              </w:rPr>
              <w:t>Extent of production smoothing</w:t>
            </w:r>
            <w:r w:rsidR="00D4199F">
              <w:rPr>
                <w:rFonts w:ascii="Arial" w:hAnsi="Arial"/>
                <w:b/>
                <w:color w:val="A32020" w:themeColor="text2"/>
                <w:sz w:val="16"/>
                <w:szCs w:val="16"/>
              </w:rPr>
              <w:t>^</w:t>
            </w:r>
            <w:r>
              <w:rPr>
                <w:rFonts w:ascii="Arial" w:hAnsi="Arial"/>
                <w:b/>
                <w:color w:val="A32020" w:themeColor="text2"/>
                <w:sz w:val="16"/>
                <w:szCs w:val="16"/>
              </w:rPr>
              <w:t xml:space="preserve"> (%)</w:t>
            </w:r>
          </w:p>
        </w:tc>
        <w:tc>
          <w:tcPr>
            <w:tcW w:w="800" w:type="dxa"/>
            <w:vMerge w:val="restart"/>
            <w:vAlign w:val="center"/>
          </w:tcPr>
          <w:p w:rsidR="00BE03AE" w:rsidRPr="000D6E9A" w:rsidRDefault="00BE03AE" w:rsidP="0036733E">
            <w:pPr>
              <w:keepNext/>
              <w:cnfStyle w:val="100000000000" w:firstRow="1" w:lastRow="0" w:firstColumn="0" w:lastColumn="0" w:oddVBand="0" w:evenVBand="0" w:oddHBand="0" w:evenHBand="0" w:firstRowFirstColumn="0" w:firstRowLastColumn="0" w:lastRowFirstColumn="0" w:lastRowLastColumn="0"/>
              <w:rPr>
                <w:rFonts w:ascii="Arial" w:hAnsi="Arial"/>
                <w:b/>
                <w:color w:val="A32020" w:themeColor="text2"/>
                <w:sz w:val="16"/>
                <w:szCs w:val="16"/>
                <w:vertAlign w:val="superscript"/>
              </w:rPr>
            </w:pPr>
            <w:r>
              <w:rPr>
                <w:rFonts w:ascii="Arial" w:hAnsi="Arial"/>
                <w:b/>
                <w:color w:val="A32020" w:themeColor="text2"/>
                <w:sz w:val="16"/>
                <w:szCs w:val="16"/>
              </w:rPr>
              <w:t>% normal wage costs</w:t>
            </w:r>
            <w:r w:rsidR="00E75019">
              <w:rPr>
                <w:rFonts w:ascii="Arial" w:hAnsi="Arial"/>
                <w:b/>
                <w:color w:val="A32020" w:themeColor="text2"/>
                <w:sz w:val="16"/>
                <w:szCs w:val="16"/>
                <w:vertAlign w:val="superscript"/>
              </w:rPr>
              <w:t>¥</w:t>
            </w:r>
          </w:p>
        </w:tc>
      </w:tr>
      <w:tr w:rsidR="00BE03AE" w:rsidTr="00BE03AE">
        <w:trPr>
          <w:trHeight w:val="367"/>
        </w:trPr>
        <w:tc>
          <w:tcPr>
            <w:tcW w:w="3418" w:type="dxa"/>
            <w:vMerge/>
          </w:tcPr>
          <w:p w:rsidR="00BE03AE" w:rsidRDefault="00BE03AE" w:rsidP="00BE03AE">
            <w:pPr>
              <w:pStyle w:val="TableColumnHeadingSmall"/>
            </w:pPr>
          </w:p>
        </w:tc>
        <w:tc>
          <w:tcPr>
            <w:tcW w:w="977" w:type="dxa"/>
            <w:vMerge/>
          </w:tcPr>
          <w:p w:rsidR="00BE03AE" w:rsidRDefault="00BE03AE" w:rsidP="00BE03AE">
            <w:pPr>
              <w:keepNext/>
              <w:jc w:val="center"/>
              <w:rPr>
                <w:rFonts w:ascii="Arial" w:hAnsi="Arial"/>
                <w:b/>
                <w:color w:val="A32020" w:themeColor="text2"/>
                <w:sz w:val="16"/>
                <w:szCs w:val="16"/>
              </w:rPr>
            </w:pPr>
          </w:p>
        </w:tc>
        <w:tc>
          <w:tcPr>
            <w:tcW w:w="1044" w:type="dxa"/>
            <w:vAlign w:val="center"/>
          </w:tcPr>
          <w:p w:rsidR="00BE03AE" w:rsidRDefault="00BE03AE" w:rsidP="00BE03AE">
            <w:pPr>
              <w:keepNext/>
              <w:jc w:val="center"/>
              <w:rPr>
                <w:rFonts w:ascii="Arial" w:hAnsi="Arial"/>
                <w:b/>
                <w:color w:val="A32020" w:themeColor="text2"/>
                <w:sz w:val="16"/>
                <w:szCs w:val="16"/>
              </w:rPr>
            </w:pPr>
            <w:r>
              <w:rPr>
                <w:rFonts w:ascii="Arial" w:hAnsi="Arial"/>
                <w:b/>
                <w:color w:val="A32020" w:themeColor="text2"/>
                <w:sz w:val="16"/>
                <w:szCs w:val="16"/>
              </w:rPr>
              <w:t>Weekday holiday</w:t>
            </w:r>
          </w:p>
        </w:tc>
        <w:tc>
          <w:tcPr>
            <w:tcW w:w="1050" w:type="dxa"/>
            <w:vAlign w:val="center"/>
          </w:tcPr>
          <w:p w:rsidR="00BE03AE" w:rsidRDefault="00BE03AE" w:rsidP="00BE03AE">
            <w:pPr>
              <w:keepNext/>
              <w:jc w:val="center"/>
              <w:rPr>
                <w:rFonts w:ascii="Arial" w:hAnsi="Arial"/>
                <w:b/>
                <w:color w:val="A32020" w:themeColor="text2"/>
                <w:sz w:val="16"/>
                <w:szCs w:val="16"/>
              </w:rPr>
            </w:pPr>
            <w:r>
              <w:rPr>
                <w:rFonts w:ascii="Arial" w:hAnsi="Arial"/>
                <w:b/>
                <w:color w:val="A32020" w:themeColor="text2"/>
                <w:sz w:val="16"/>
                <w:szCs w:val="16"/>
              </w:rPr>
              <w:t>Weekend holiday</w:t>
            </w:r>
          </w:p>
        </w:tc>
        <w:tc>
          <w:tcPr>
            <w:tcW w:w="1148" w:type="dxa"/>
            <w:vMerge/>
            <w:vAlign w:val="center"/>
          </w:tcPr>
          <w:p w:rsidR="00BE03AE" w:rsidRDefault="00BE03AE" w:rsidP="00BE03AE">
            <w:pPr>
              <w:keepNext/>
              <w:jc w:val="center"/>
              <w:rPr>
                <w:rFonts w:ascii="Arial" w:hAnsi="Arial"/>
                <w:b/>
                <w:color w:val="A32020" w:themeColor="text2"/>
                <w:sz w:val="16"/>
                <w:szCs w:val="16"/>
              </w:rPr>
            </w:pPr>
          </w:p>
        </w:tc>
        <w:tc>
          <w:tcPr>
            <w:tcW w:w="800" w:type="dxa"/>
            <w:vMerge/>
            <w:vAlign w:val="center"/>
          </w:tcPr>
          <w:p w:rsidR="00BE03AE" w:rsidRDefault="00BE03AE" w:rsidP="00BE03AE">
            <w:pPr>
              <w:keepNext/>
              <w:jc w:val="center"/>
              <w:rPr>
                <w:rFonts w:ascii="Arial" w:hAnsi="Arial"/>
                <w:b/>
                <w:color w:val="A32020" w:themeColor="text2"/>
                <w:sz w:val="16"/>
                <w:szCs w:val="16"/>
              </w:rPr>
            </w:pPr>
          </w:p>
        </w:tc>
      </w:tr>
      <w:tr w:rsidR="000A2271" w:rsidRPr="002A28B0" w:rsidTr="000D6E9A">
        <w:trPr>
          <w:trHeight w:val="300"/>
        </w:trPr>
        <w:tc>
          <w:tcPr>
            <w:tcW w:w="3418" w:type="dxa"/>
            <w:noWrap/>
            <w:vAlign w:val="bottom"/>
            <w:hideMark/>
          </w:tcPr>
          <w:p w:rsidR="000A2271" w:rsidRPr="002A28B0" w:rsidRDefault="000A2271" w:rsidP="00BE03AE">
            <w:pPr>
              <w:keepNext/>
              <w:kinsoku/>
              <w:overflowPunct/>
              <w:autoSpaceDE/>
              <w:autoSpaceDN/>
              <w:adjustRightInd/>
              <w:snapToGrid/>
              <w:rPr>
                <w:rFonts w:ascii="Arial" w:hAnsi="Arial"/>
                <w:snapToGrid/>
                <w:color w:val="000000"/>
                <w:sz w:val="16"/>
                <w:szCs w:val="16"/>
                <w:lang w:eastAsia="en-AU"/>
              </w:rPr>
            </w:pPr>
            <w:r w:rsidRPr="002A28B0">
              <w:rPr>
                <w:rFonts w:ascii="Arial" w:hAnsi="Arial"/>
                <w:snapToGrid/>
                <w:color w:val="000000"/>
                <w:sz w:val="16"/>
                <w:szCs w:val="16"/>
                <w:lang w:eastAsia="en-AU"/>
              </w:rPr>
              <w:t>Agriculture, forestry and fishing</w:t>
            </w:r>
          </w:p>
        </w:tc>
        <w:tc>
          <w:tcPr>
            <w:tcW w:w="977" w:type="dxa"/>
            <w:vAlign w:val="center"/>
          </w:tcPr>
          <w:p w:rsidR="000A2271" w:rsidRPr="00FA0DC6" w:rsidRDefault="000A2271">
            <w:pPr>
              <w:jc w:val="center"/>
              <w:rPr>
                <w:rFonts w:asciiTheme="minorHAnsi" w:hAnsiTheme="minorHAnsi" w:cstheme="minorHAnsi"/>
                <w:color w:val="000000"/>
                <w:sz w:val="16"/>
                <w:szCs w:val="16"/>
              </w:rPr>
            </w:pPr>
            <w:r w:rsidRPr="00FA0DC6">
              <w:rPr>
                <w:rFonts w:asciiTheme="minorHAnsi" w:hAnsiTheme="minorHAnsi" w:cstheme="minorHAnsi"/>
                <w:color w:val="000000"/>
                <w:sz w:val="16"/>
                <w:szCs w:val="16"/>
              </w:rPr>
              <w:t>B</w:t>
            </w:r>
          </w:p>
        </w:tc>
        <w:tc>
          <w:tcPr>
            <w:tcW w:w="1044" w:type="dxa"/>
            <w:vAlign w:val="center"/>
            <w:hideMark/>
          </w:tcPr>
          <w:p w:rsidR="000A2271" w:rsidRPr="00FA0DC6" w:rsidRDefault="000A2271" w:rsidP="00223124">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80.0%</w:t>
            </w:r>
          </w:p>
        </w:tc>
        <w:tc>
          <w:tcPr>
            <w:tcW w:w="1050"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2.5%</w:t>
            </w:r>
          </w:p>
        </w:tc>
        <w:tc>
          <w:tcPr>
            <w:tcW w:w="1148"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20.0%</w:t>
            </w:r>
          </w:p>
        </w:tc>
        <w:tc>
          <w:tcPr>
            <w:tcW w:w="800"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70.0%</w:t>
            </w:r>
          </w:p>
        </w:tc>
      </w:tr>
      <w:tr w:rsidR="000A2271" w:rsidRPr="002A28B0" w:rsidTr="000D6E9A">
        <w:trPr>
          <w:trHeight w:val="300"/>
        </w:trPr>
        <w:tc>
          <w:tcPr>
            <w:tcW w:w="3418" w:type="dxa"/>
            <w:noWrap/>
            <w:vAlign w:val="bottom"/>
            <w:hideMark/>
          </w:tcPr>
          <w:p w:rsidR="000A2271" w:rsidRPr="002A28B0" w:rsidRDefault="000A2271" w:rsidP="00BE03AE">
            <w:pPr>
              <w:keepNext/>
              <w:kinsoku/>
              <w:overflowPunct/>
              <w:autoSpaceDE/>
              <w:autoSpaceDN/>
              <w:adjustRightInd/>
              <w:snapToGrid/>
              <w:rPr>
                <w:rFonts w:ascii="Arial" w:hAnsi="Arial"/>
                <w:snapToGrid/>
                <w:color w:val="000000"/>
                <w:sz w:val="16"/>
                <w:szCs w:val="16"/>
                <w:lang w:eastAsia="en-AU"/>
              </w:rPr>
            </w:pPr>
            <w:r w:rsidRPr="002A28B0">
              <w:rPr>
                <w:rFonts w:ascii="Arial" w:hAnsi="Arial"/>
                <w:snapToGrid/>
                <w:color w:val="000000"/>
                <w:sz w:val="16"/>
                <w:szCs w:val="16"/>
                <w:lang w:eastAsia="en-AU"/>
              </w:rPr>
              <w:t>Mining</w:t>
            </w:r>
          </w:p>
        </w:tc>
        <w:tc>
          <w:tcPr>
            <w:tcW w:w="977" w:type="dxa"/>
            <w:vAlign w:val="center"/>
          </w:tcPr>
          <w:p w:rsidR="000A2271" w:rsidRPr="00FA0DC6" w:rsidRDefault="000A2271">
            <w:pPr>
              <w:jc w:val="center"/>
              <w:rPr>
                <w:rFonts w:asciiTheme="minorHAnsi" w:hAnsiTheme="minorHAnsi" w:cstheme="minorHAnsi"/>
                <w:color w:val="000000"/>
                <w:sz w:val="16"/>
                <w:szCs w:val="16"/>
              </w:rPr>
            </w:pPr>
            <w:r w:rsidRPr="00FA0DC6">
              <w:rPr>
                <w:rFonts w:asciiTheme="minorHAnsi" w:hAnsiTheme="minorHAnsi" w:cstheme="minorHAnsi"/>
                <w:color w:val="000000"/>
                <w:sz w:val="16"/>
                <w:szCs w:val="16"/>
              </w:rPr>
              <w:t>B</w:t>
            </w:r>
          </w:p>
        </w:tc>
        <w:tc>
          <w:tcPr>
            <w:tcW w:w="1044" w:type="dxa"/>
            <w:vAlign w:val="center"/>
            <w:hideMark/>
          </w:tcPr>
          <w:p w:rsidR="000A2271" w:rsidRPr="00FA0DC6" w:rsidRDefault="000A2271" w:rsidP="00223124">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80.0%</w:t>
            </w:r>
          </w:p>
        </w:tc>
        <w:tc>
          <w:tcPr>
            <w:tcW w:w="1050"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2.5%</w:t>
            </w:r>
          </w:p>
        </w:tc>
        <w:tc>
          <w:tcPr>
            <w:tcW w:w="1148"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20.0%</w:t>
            </w:r>
          </w:p>
        </w:tc>
        <w:tc>
          <w:tcPr>
            <w:tcW w:w="800"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70.0%</w:t>
            </w:r>
          </w:p>
        </w:tc>
      </w:tr>
      <w:tr w:rsidR="000A2271" w:rsidRPr="002A28B0" w:rsidTr="000D6E9A">
        <w:trPr>
          <w:trHeight w:val="300"/>
        </w:trPr>
        <w:tc>
          <w:tcPr>
            <w:tcW w:w="3418" w:type="dxa"/>
            <w:noWrap/>
            <w:vAlign w:val="bottom"/>
            <w:hideMark/>
          </w:tcPr>
          <w:p w:rsidR="000A2271" w:rsidRPr="002A28B0" w:rsidRDefault="000A2271" w:rsidP="00BE03AE">
            <w:pPr>
              <w:keepNext/>
              <w:kinsoku/>
              <w:overflowPunct/>
              <w:autoSpaceDE/>
              <w:autoSpaceDN/>
              <w:adjustRightInd/>
              <w:snapToGrid/>
              <w:rPr>
                <w:rFonts w:ascii="Arial" w:hAnsi="Arial"/>
                <w:snapToGrid/>
                <w:color w:val="000000"/>
                <w:sz w:val="16"/>
                <w:szCs w:val="16"/>
                <w:lang w:eastAsia="en-AU"/>
              </w:rPr>
            </w:pPr>
            <w:r w:rsidRPr="002A28B0">
              <w:rPr>
                <w:rFonts w:ascii="Arial" w:hAnsi="Arial"/>
                <w:snapToGrid/>
                <w:color w:val="000000"/>
                <w:sz w:val="16"/>
                <w:szCs w:val="16"/>
                <w:lang w:eastAsia="en-AU"/>
              </w:rPr>
              <w:t>Manufacturing</w:t>
            </w:r>
          </w:p>
        </w:tc>
        <w:tc>
          <w:tcPr>
            <w:tcW w:w="977" w:type="dxa"/>
            <w:vAlign w:val="center"/>
          </w:tcPr>
          <w:p w:rsidR="000A2271" w:rsidRPr="00FA0DC6" w:rsidRDefault="000A2271">
            <w:pPr>
              <w:jc w:val="center"/>
              <w:rPr>
                <w:rFonts w:asciiTheme="minorHAnsi" w:hAnsiTheme="minorHAnsi" w:cstheme="minorHAnsi"/>
                <w:color w:val="000000"/>
                <w:sz w:val="16"/>
                <w:szCs w:val="16"/>
              </w:rPr>
            </w:pPr>
            <w:r w:rsidRPr="00FA0DC6">
              <w:rPr>
                <w:rFonts w:asciiTheme="minorHAnsi" w:hAnsiTheme="minorHAnsi" w:cstheme="minorHAnsi"/>
                <w:color w:val="000000"/>
                <w:sz w:val="16"/>
                <w:szCs w:val="16"/>
              </w:rPr>
              <w:t>B</w:t>
            </w:r>
          </w:p>
        </w:tc>
        <w:tc>
          <w:tcPr>
            <w:tcW w:w="1044" w:type="dxa"/>
            <w:vAlign w:val="center"/>
            <w:hideMark/>
          </w:tcPr>
          <w:p w:rsidR="000A2271" w:rsidRPr="00FA0DC6" w:rsidRDefault="000A2271" w:rsidP="00223124">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80.0%</w:t>
            </w:r>
          </w:p>
        </w:tc>
        <w:tc>
          <w:tcPr>
            <w:tcW w:w="1050"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2.5%</w:t>
            </w:r>
          </w:p>
        </w:tc>
        <w:tc>
          <w:tcPr>
            <w:tcW w:w="1148"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20.0%</w:t>
            </w:r>
          </w:p>
        </w:tc>
        <w:tc>
          <w:tcPr>
            <w:tcW w:w="800"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70.0%</w:t>
            </w:r>
          </w:p>
        </w:tc>
      </w:tr>
      <w:tr w:rsidR="000A2271" w:rsidRPr="002A28B0" w:rsidTr="000D6E9A">
        <w:trPr>
          <w:trHeight w:val="300"/>
        </w:trPr>
        <w:tc>
          <w:tcPr>
            <w:tcW w:w="3418" w:type="dxa"/>
            <w:noWrap/>
            <w:vAlign w:val="bottom"/>
            <w:hideMark/>
          </w:tcPr>
          <w:p w:rsidR="000A2271" w:rsidRPr="002A28B0" w:rsidRDefault="000A2271" w:rsidP="00BE03AE">
            <w:pPr>
              <w:keepNext/>
              <w:kinsoku/>
              <w:overflowPunct/>
              <w:autoSpaceDE/>
              <w:autoSpaceDN/>
              <w:adjustRightInd/>
              <w:snapToGrid/>
              <w:rPr>
                <w:rFonts w:ascii="Arial" w:hAnsi="Arial"/>
                <w:snapToGrid/>
                <w:color w:val="000000"/>
                <w:sz w:val="16"/>
                <w:szCs w:val="16"/>
                <w:lang w:eastAsia="en-AU"/>
              </w:rPr>
            </w:pPr>
            <w:r w:rsidRPr="002A28B0">
              <w:rPr>
                <w:rFonts w:ascii="Arial" w:hAnsi="Arial"/>
                <w:snapToGrid/>
                <w:color w:val="000000"/>
                <w:sz w:val="16"/>
                <w:szCs w:val="16"/>
                <w:lang w:eastAsia="en-AU"/>
              </w:rPr>
              <w:t>Electricity, Gas, Water and Waste Services</w:t>
            </w:r>
          </w:p>
        </w:tc>
        <w:tc>
          <w:tcPr>
            <w:tcW w:w="977" w:type="dxa"/>
            <w:vAlign w:val="center"/>
          </w:tcPr>
          <w:p w:rsidR="000A2271" w:rsidRPr="00FA0DC6" w:rsidRDefault="000A2271">
            <w:pPr>
              <w:jc w:val="center"/>
              <w:rPr>
                <w:rFonts w:asciiTheme="minorHAnsi" w:hAnsiTheme="minorHAnsi" w:cstheme="minorHAnsi"/>
                <w:color w:val="000000"/>
                <w:sz w:val="16"/>
                <w:szCs w:val="16"/>
              </w:rPr>
            </w:pPr>
            <w:r w:rsidRPr="00FA0DC6">
              <w:rPr>
                <w:rFonts w:asciiTheme="minorHAnsi" w:hAnsiTheme="minorHAnsi" w:cstheme="minorHAnsi"/>
                <w:color w:val="000000"/>
                <w:sz w:val="16"/>
                <w:szCs w:val="16"/>
              </w:rPr>
              <w:t>A</w:t>
            </w:r>
          </w:p>
        </w:tc>
        <w:tc>
          <w:tcPr>
            <w:tcW w:w="1044" w:type="dxa"/>
            <w:vAlign w:val="center"/>
            <w:hideMark/>
          </w:tcPr>
          <w:p w:rsidR="000A2271" w:rsidRPr="00FA0DC6" w:rsidRDefault="000A2271" w:rsidP="00223124">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50.0%</w:t>
            </w:r>
          </w:p>
        </w:tc>
        <w:tc>
          <w:tcPr>
            <w:tcW w:w="1050"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10.0%</w:t>
            </w:r>
          </w:p>
        </w:tc>
        <w:tc>
          <w:tcPr>
            <w:tcW w:w="1148"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10.0%</w:t>
            </w:r>
          </w:p>
        </w:tc>
        <w:tc>
          <w:tcPr>
            <w:tcW w:w="800"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70.0%</w:t>
            </w:r>
          </w:p>
        </w:tc>
      </w:tr>
      <w:tr w:rsidR="000A2271" w:rsidRPr="002A28B0" w:rsidTr="000D6E9A">
        <w:trPr>
          <w:trHeight w:val="300"/>
        </w:trPr>
        <w:tc>
          <w:tcPr>
            <w:tcW w:w="3418" w:type="dxa"/>
            <w:noWrap/>
            <w:vAlign w:val="bottom"/>
            <w:hideMark/>
          </w:tcPr>
          <w:p w:rsidR="000A2271" w:rsidRPr="002A28B0" w:rsidRDefault="000A2271" w:rsidP="00BE03AE">
            <w:pPr>
              <w:keepNext/>
              <w:kinsoku/>
              <w:overflowPunct/>
              <w:autoSpaceDE/>
              <w:autoSpaceDN/>
              <w:adjustRightInd/>
              <w:snapToGrid/>
              <w:rPr>
                <w:rFonts w:ascii="Arial" w:hAnsi="Arial"/>
                <w:snapToGrid/>
                <w:color w:val="000000"/>
                <w:sz w:val="16"/>
                <w:szCs w:val="16"/>
                <w:lang w:eastAsia="en-AU"/>
              </w:rPr>
            </w:pPr>
            <w:r w:rsidRPr="002A28B0">
              <w:rPr>
                <w:rFonts w:ascii="Arial" w:hAnsi="Arial"/>
                <w:snapToGrid/>
                <w:color w:val="000000"/>
                <w:sz w:val="16"/>
                <w:szCs w:val="16"/>
                <w:lang w:eastAsia="en-AU"/>
              </w:rPr>
              <w:t>Construction</w:t>
            </w:r>
          </w:p>
        </w:tc>
        <w:tc>
          <w:tcPr>
            <w:tcW w:w="977" w:type="dxa"/>
            <w:vAlign w:val="center"/>
          </w:tcPr>
          <w:p w:rsidR="000A2271" w:rsidRPr="00FA0DC6" w:rsidRDefault="000A2271">
            <w:pPr>
              <w:jc w:val="center"/>
              <w:rPr>
                <w:rFonts w:asciiTheme="minorHAnsi" w:hAnsiTheme="minorHAnsi" w:cstheme="minorHAnsi"/>
                <w:color w:val="000000"/>
                <w:sz w:val="16"/>
                <w:szCs w:val="16"/>
              </w:rPr>
            </w:pPr>
            <w:r w:rsidRPr="00FA0DC6">
              <w:rPr>
                <w:rFonts w:asciiTheme="minorHAnsi" w:hAnsiTheme="minorHAnsi" w:cstheme="minorHAnsi"/>
                <w:color w:val="000000"/>
                <w:sz w:val="16"/>
                <w:szCs w:val="16"/>
              </w:rPr>
              <w:t>B</w:t>
            </w:r>
          </w:p>
        </w:tc>
        <w:tc>
          <w:tcPr>
            <w:tcW w:w="1044" w:type="dxa"/>
            <w:vAlign w:val="center"/>
            <w:hideMark/>
          </w:tcPr>
          <w:p w:rsidR="000A2271" w:rsidRPr="00FA0DC6" w:rsidRDefault="000A2271" w:rsidP="00223124">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80.0%</w:t>
            </w:r>
          </w:p>
        </w:tc>
        <w:tc>
          <w:tcPr>
            <w:tcW w:w="1050"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2.5%</w:t>
            </w:r>
          </w:p>
        </w:tc>
        <w:tc>
          <w:tcPr>
            <w:tcW w:w="1148"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20.0%</w:t>
            </w:r>
          </w:p>
        </w:tc>
        <w:tc>
          <w:tcPr>
            <w:tcW w:w="800"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70.0%</w:t>
            </w:r>
          </w:p>
        </w:tc>
      </w:tr>
      <w:tr w:rsidR="000A2271" w:rsidRPr="002A28B0" w:rsidTr="000D6E9A">
        <w:trPr>
          <w:trHeight w:val="300"/>
        </w:trPr>
        <w:tc>
          <w:tcPr>
            <w:tcW w:w="3418" w:type="dxa"/>
            <w:noWrap/>
            <w:vAlign w:val="bottom"/>
            <w:hideMark/>
          </w:tcPr>
          <w:p w:rsidR="000A2271" w:rsidRPr="002A28B0" w:rsidRDefault="000A2271" w:rsidP="00BE03AE">
            <w:pPr>
              <w:keepNext/>
              <w:kinsoku/>
              <w:overflowPunct/>
              <w:autoSpaceDE/>
              <w:autoSpaceDN/>
              <w:adjustRightInd/>
              <w:snapToGrid/>
              <w:rPr>
                <w:rFonts w:ascii="Arial" w:hAnsi="Arial"/>
                <w:snapToGrid/>
                <w:color w:val="000000"/>
                <w:sz w:val="16"/>
                <w:szCs w:val="16"/>
                <w:lang w:eastAsia="en-AU"/>
              </w:rPr>
            </w:pPr>
            <w:r w:rsidRPr="002A28B0">
              <w:rPr>
                <w:rFonts w:ascii="Arial" w:hAnsi="Arial"/>
                <w:snapToGrid/>
                <w:color w:val="000000"/>
                <w:sz w:val="16"/>
                <w:szCs w:val="16"/>
                <w:lang w:eastAsia="en-AU"/>
              </w:rPr>
              <w:t>Wholesale trade</w:t>
            </w:r>
          </w:p>
        </w:tc>
        <w:tc>
          <w:tcPr>
            <w:tcW w:w="977" w:type="dxa"/>
            <w:vAlign w:val="center"/>
          </w:tcPr>
          <w:p w:rsidR="000A2271" w:rsidRPr="00FA0DC6" w:rsidRDefault="000A2271">
            <w:pPr>
              <w:jc w:val="center"/>
              <w:rPr>
                <w:rFonts w:asciiTheme="minorHAnsi" w:hAnsiTheme="minorHAnsi" w:cstheme="minorHAnsi"/>
                <w:color w:val="000000"/>
                <w:sz w:val="16"/>
                <w:szCs w:val="16"/>
              </w:rPr>
            </w:pPr>
            <w:r w:rsidRPr="00FA0DC6">
              <w:rPr>
                <w:rFonts w:asciiTheme="minorHAnsi" w:hAnsiTheme="minorHAnsi" w:cstheme="minorHAnsi"/>
                <w:color w:val="000000"/>
                <w:sz w:val="16"/>
                <w:szCs w:val="16"/>
              </w:rPr>
              <w:t>B</w:t>
            </w:r>
          </w:p>
        </w:tc>
        <w:tc>
          <w:tcPr>
            <w:tcW w:w="1044" w:type="dxa"/>
            <w:vAlign w:val="center"/>
            <w:hideMark/>
          </w:tcPr>
          <w:p w:rsidR="000A2271" w:rsidRPr="00FA0DC6" w:rsidRDefault="000A2271" w:rsidP="00223124">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80.0%</w:t>
            </w:r>
          </w:p>
        </w:tc>
        <w:tc>
          <w:tcPr>
            <w:tcW w:w="1050"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2.5%</w:t>
            </w:r>
          </w:p>
        </w:tc>
        <w:tc>
          <w:tcPr>
            <w:tcW w:w="1148"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20.0%</w:t>
            </w:r>
          </w:p>
        </w:tc>
        <w:tc>
          <w:tcPr>
            <w:tcW w:w="800"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70.0%</w:t>
            </w:r>
          </w:p>
        </w:tc>
      </w:tr>
      <w:tr w:rsidR="000A2271" w:rsidRPr="002A28B0" w:rsidTr="000D6E9A">
        <w:trPr>
          <w:trHeight w:val="300"/>
        </w:trPr>
        <w:tc>
          <w:tcPr>
            <w:tcW w:w="3418" w:type="dxa"/>
            <w:noWrap/>
            <w:vAlign w:val="bottom"/>
            <w:hideMark/>
          </w:tcPr>
          <w:p w:rsidR="000A2271" w:rsidRPr="002A28B0" w:rsidRDefault="000A2271" w:rsidP="00BE03AE">
            <w:pPr>
              <w:keepNext/>
              <w:kinsoku/>
              <w:overflowPunct/>
              <w:autoSpaceDE/>
              <w:autoSpaceDN/>
              <w:adjustRightInd/>
              <w:snapToGrid/>
              <w:rPr>
                <w:rFonts w:ascii="Arial" w:hAnsi="Arial"/>
                <w:snapToGrid/>
                <w:color w:val="000000"/>
                <w:sz w:val="16"/>
                <w:szCs w:val="16"/>
                <w:lang w:eastAsia="en-AU"/>
              </w:rPr>
            </w:pPr>
            <w:r w:rsidRPr="002A28B0">
              <w:rPr>
                <w:rFonts w:ascii="Arial" w:hAnsi="Arial"/>
                <w:snapToGrid/>
                <w:color w:val="000000"/>
                <w:sz w:val="16"/>
                <w:szCs w:val="16"/>
                <w:lang w:eastAsia="en-AU"/>
              </w:rPr>
              <w:t>Retail</w:t>
            </w:r>
          </w:p>
        </w:tc>
        <w:tc>
          <w:tcPr>
            <w:tcW w:w="977" w:type="dxa"/>
            <w:vAlign w:val="center"/>
          </w:tcPr>
          <w:p w:rsidR="000A2271" w:rsidRPr="00FA0DC6" w:rsidRDefault="000A2271">
            <w:pPr>
              <w:jc w:val="center"/>
              <w:rPr>
                <w:rFonts w:asciiTheme="minorHAnsi" w:hAnsiTheme="minorHAnsi" w:cstheme="minorHAnsi"/>
                <w:color w:val="000000"/>
                <w:sz w:val="16"/>
                <w:szCs w:val="16"/>
              </w:rPr>
            </w:pPr>
            <w:r w:rsidRPr="00FA0DC6">
              <w:rPr>
                <w:rFonts w:asciiTheme="minorHAnsi" w:hAnsiTheme="minorHAnsi" w:cstheme="minorHAnsi"/>
                <w:color w:val="000000"/>
                <w:sz w:val="16"/>
                <w:szCs w:val="16"/>
              </w:rPr>
              <w:t>A</w:t>
            </w:r>
          </w:p>
        </w:tc>
        <w:tc>
          <w:tcPr>
            <w:tcW w:w="1044" w:type="dxa"/>
            <w:vAlign w:val="center"/>
            <w:hideMark/>
          </w:tcPr>
          <w:p w:rsidR="000A2271" w:rsidRPr="00FA0DC6" w:rsidRDefault="000A2271" w:rsidP="00223124">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30.0%</w:t>
            </w:r>
          </w:p>
        </w:tc>
        <w:tc>
          <w:tcPr>
            <w:tcW w:w="1050"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7.0%</w:t>
            </w:r>
          </w:p>
        </w:tc>
        <w:tc>
          <w:tcPr>
            <w:tcW w:w="1148"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10.0%</w:t>
            </w:r>
          </w:p>
        </w:tc>
        <w:tc>
          <w:tcPr>
            <w:tcW w:w="800"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70.0%</w:t>
            </w:r>
          </w:p>
        </w:tc>
      </w:tr>
      <w:tr w:rsidR="000A2271" w:rsidRPr="002A28B0" w:rsidTr="000D6E9A">
        <w:trPr>
          <w:trHeight w:val="300"/>
        </w:trPr>
        <w:tc>
          <w:tcPr>
            <w:tcW w:w="3418" w:type="dxa"/>
            <w:noWrap/>
            <w:vAlign w:val="bottom"/>
            <w:hideMark/>
          </w:tcPr>
          <w:p w:rsidR="000A2271" w:rsidRPr="002A28B0" w:rsidRDefault="000A2271" w:rsidP="00BE03AE">
            <w:pPr>
              <w:keepNext/>
              <w:kinsoku/>
              <w:overflowPunct/>
              <w:autoSpaceDE/>
              <w:autoSpaceDN/>
              <w:adjustRightInd/>
              <w:snapToGrid/>
              <w:rPr>
                <w:rFonts w:ascii="Arial" w:hAnsi="Arial"/>
                <w:snapToGrid/>
                <w:color w:val="000000"/>
                <w:sz w:val="16"/>
                <w:szCs w:val="16"/>
                <w:lang w:eastAsia="en-AU"/>
              </w:rPr>
            </w:pPr>
            <w:r w:rsidRPr="002A28B0">
              <w:rPr>
                <w:rFonts w:ascii="Arial" w:hAnsi="Arial"/>
                <w:snapToGrid/>
                <w:color w:val="000000"/>
                <w:sz w:val="16"/>
                <w:szCs w:val="16"/>
                <w:lang w:eastAsia="en-AU"/>
              </w:rPr>
              <w:t>Accommodation and food services</w:t>
            </w:r>
          </w:p>
        </w:tc>
        <w:tc>
          <w:tcPr>
            <w:tcW w:w="977" w:type="dxa"/>
            <w:vAlign w:val="center"/>
          </w:tcPr>
          <w:p w:rsidR="000A2271" w:rsidRPr="00FA0DC6" w:rsidRDefault="000A2271">
            <w:pPr>
              <w:jc w:val="center"/>
              <w:rPr>
                <w:rFonts w:asciiTheme="minorHAnsi" w:hAnsiTheme="minorHAnsi" w:cstheme="minorHAnsi"/>
                <w:color w:val="000000"/>
                <w:sz w:val="16"/>
                <w:szCs w:val="16"/>
              </w:rPr>
            </w:pPr>
            <w:r w:rsidRPr="00FA0DC6">
              <w:rPr>
                <w:rFonts w:asciiTheme="minorHAnsi" w:hAnsiTheme="minorHAnsi" w:cstheme="minorHAnsi"/>
                <w:color w:val="000000"/>
                <w:sz w:val="16"/>
                <w:szCs w:val="16"/>
              </w:rPr>
              <w:t>A</w:t>
            </w:r>
          </w:p>
        </w:tc>
        <w:tc>
          <w:tcPr>
            <w:tcW w:w="1044" w:type="dxa"/>
            <w:vAlign w:val="center"/>
            <w:hideMark/>
          </w:tcPr>
          <w:p w:rsidR="000A2271" w:rsidRPr="00FA0DC6" w:rsidRDefault="000A2271" w:rsidP="00223124">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30.0%</w:t>
            </w:r>
          </w:p>
        </w:tc>
        <w:tc>
          <w:tcPr>
            <w:tcW w:w="1050"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7.0%</w:t>
            </w:r>
          </w:p>
        </w:tc>
        <w:tc>
          <w:tcPr>
            <w:tcW w:w="1148"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10.0%</w:t>
            </w:r>
          </w:p>
        </w:tc>
        <w:tc>
          <w:tcPr>
            <w:tcW w:w="800"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70.0%</w:t>
            </w:r>
          </w:p>
        </w:tc>
      </w:tr>
      <w:tr w:rsidR="000A2271" w:rsidRPr="002A28B0" w:rsidTr="000D6E9A">
        <w:trPr>
          <w:trHeight w:val="300"/>
        </w:trPr>
        <w:tc>
          <w:tcPr>
            <w:tcW w:w="3418" w:type="dxa"/>
            <w:noWrap/>
            <w:vAlign w:val="bottom"/>
            <w:hideMark/>
          </w:tcPr>
          <w:p w:rsidR="000A2271" w:rsidRPr="002A28B0" w:rsidRDefault="000A2271" w:rsidP="00BE03AE">
            <w:pPr>
              <w:keepNext/>
              <w:kinsoku/>
              <w:overflowPunct/>
              <w:autoSpaceDE/>
              <w:autoSpaceDN/>
              <w:adjustRightInd/>
              <w:snapToGrid/>
              <w:rPr>
                <w:rFonts w:ascii="Arial" w:hAnsi="Arial"/>
                <w:snapToGrid/>
                <w:color w:val="000000"/>
                <w:sz w:val="16"/>
                <w:szCs w:val="16"/>
                <w:lang w:eastAsia="en-AU"/>
              </w:rPr>
            </w:pPr>
            <w:r w:rsidRPr="002A28B0">
              <w:rPr>
                <w:rFonts w:ascii="Arial" w:hAnsi="Arial"/>
                <w:snapToGrid/>
                <w:color w:val="000000"/>
                <w:sz w:val="16"/>
                <w:szCs w:val="16"/>
                <w:lang w:eastAsia="en-AU"/>
              </w:rPr>
              <w:t>Transport, Postal and Warehousing</w:t>
            </w:r>
          </w:p>
        </w:tc>
        <w:tc>
          <w:tcPr>
            <w:tcW w:w="977" w:type="dxa"/>
            <w:vAlign w:val="center"/>
          </w:tcPr>
          <w:p w:rsidR="000A2271" w:rsidRPr="00FA0DC6" w:rsidRDefault="000A2271">
            <w:pPr>
              <w:jc w:val="center"/>
              <w:rPr>
                <w:rFonts w:asciiTheme="minorHAnsi" w:hAnsiTheme="minorHAnsi" w:cstheme="minorHAnsi"/>
                <w:color w:val="000000"/>
                <w:sz w:val="16"/>
                <w:szCs w:val="16"/>
              </w:rPr>
            </w:pPr>
            <w:r w:rsidRPr="00FA0DC6">
              <w:rPr>
                <w:rFonts w:asciiTheme="minorHAnsi" w:hAnsiTheme="minorHAnsi" w:cstheme="minorHAnsi"/>
                <w:color w:val="000000"/>
                <w:sz w:val="16"/>
                <w:szCs w:val="16"/>
              </w:rPr>
              <w:t>A</w:t>
            </w:r>
          </w:p>
        </w:tc>
        <w:tc>
          <w:tcPr>
            <w:tcW w:w="1044" w:type="dxa"/>
            <w:vAlign w:val="center"/>
            <w:hideMark/>
          </w:tcPr>
          <w:p w:rsidR="000A2271" w:rsidRPr="00FA0DC6" w:rsidRDefault="000A2271" w:rsidP="00223124">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50.0%</w:t>
            </w:r>
          </w:p>
        </w:tc>
        <w:tc>
          <w:tcPr>
            <w:tcW w:w="1050"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10.0%</w:t>
            </w:r>
          </w:p>
        </w:tc>
        <w:tc>
          <w:tcPr>
            <w:tcW w:w="1148"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10.0%</w:t>
            </w:r>
          </w:p>
        </w:tc>
        <w:tc>
          <w:tcPr>
            <w:tcW w:w="800"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70.0%</w:t>
            </w:r>
          </w:p>
        </w:tc>
      </w:tr>
      <w:tr w:rsidR="000A2271" w:rsidRPr="002A28B0" w:rsidTr="000D6E9A">
        <w:trPr>
          <w:trHeight w:val="300"/>
        </w:trPr>
        <w:tc>
          <w:tcPr>
            <w:tcW w:w="3418" w:type="dxa"/>
            <w:noWrap/>
            <w:vAlign w:val="bottom"/>
            <w:hideMark/>
          </w:tcPr>
          <w:p w:rsidR="000A2271" w:rsidRPr="002A28B0" w:rsidRDefault="000A2271" w:rsidP="00BE03AE">
            <w:pPr>
              <w:keepNext/>
              <w:kinsoku/>
              <w:overflowPunct/>
              <w:autoSpaceDE/>
              <w:autoSpaceDN/>
              <w:adjustRightInd/>
              <w:snapToGrid/>
              <w:rPr>
                <w:rFonts w:ascii="Arial" w:hAnsi="Arial"/>
                <w:snapToGrid/>
                <w:color w:val="000000"/>
                <w:sz w:val="16"/>
                <w:szCs w:val="16"/>
                <w:lang w:eastAsia="en-AU"/>
              </w:rPr>
            </w:pPr>
            <w:r w:rsidRPr="002A28B0">
              <w:rPr>
                <w:rFonts w:ascii="Arial" w:hAnsi="Arial"/>
                <w:snapToGrid/>
                <w:color w:val="000000"/>
                <w:sz w:val="16"/>
                <w:szCs w:val="16"/>
                <w:lang w:eastAsia="en-AU"/>
              </w:rPr>
              <w:t>Information Media and Telecommunications</w:t>
            </w:r>
          </w:p>
        </w:tc>
        <w:tc>
          <w:tcPr>
            <w:tcW w:w="977" w:type="dxa"/>
            <w:vAlign w:val="center"/>
          </w:tcPr>
          <w:p w:rsidR="000A2271" w:rsidRPr="00FA0DC6" w:rsidRDefault="000A2271">
            <w:pPr>
              <w:jc w:val="center"/>
              <w:rPr>
                <w:rFonts w:asciiTheme="minorHAnsi" w:hAnsiTheme="minorHAnsi" w:cstheme="minorHAnsi"/>
                <w:color w:val="000000"/>
                <w:sz w:val="16"/>
                <w:szCs w:val="16"/>
              </w:rPr>
            </w:pPr>
            <w:r w:rsidRPr="00FA0DC6">
              <w:rPr>
                <w:rFonts w:asciiTheme="minorHAnsi" w:hAnsiTheme="minorHAnsi" w:cstheme="minorHAnsi"/>
                <w:color w:val="000000"/>
                <w:sz w:val="16"/>
                <w:szCs w:val="16"/>
              </w:rPr>
              <w:t>A</w:t>
            </w:r>
          </w:p>
        </w:tc>
        <w:tc>
          <w:tcPr>
            <w:tcW w:w="1044" w:type="dxa"/>
            <w:vAlign w:val="center"/>
            <w:hideMark/>
          </w:tcPr>
          <w:p w:rsidR="000A2271" w:rsidRPr="00FA0DC6" w:rsidRDefault="000A2271" w:rsidP="00223124">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80.0%</w:t>
            </w:r>
          </w:p>
        </w:tc>
        <w:tc>
          <w:tcPr>
            <w:tcW w:w="1050"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10.0%</w:t>
            </w:r>
          </w:p>
        </w:tc>
        <w:tc>
          <w:tcPr>
            <w:tcW w:w="1148"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20.0%</w:t>
            </w:r>
          </w:p>
        </w:tc>
        <w:tc>
          <w:tcPr>
            <w:tcW w:w="800"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70.0%</w:t>
            </w:r>
          </w:p>
        </w:tc>
      </w:tr>
      <w:tr w:rsidR="000A2271" w:rsidRPr="002A28B0" w:rsidTr="000D6E9A">
        <w:trPr>
          <w:trHeight w:val="300"/>
        </w:trPr>
        <w:tc>
          <w:tcPr>
            <w:tcW w:w="3418" w:type="dxa"/>
            <w:noWrap/>
            <w:vAlign w:val="bottom"/>
            <w:hideMark/>
          </w:tcPr>
          <w:p w:rsidR="000A2271" w:rsidRPr="002A28B0" w:rsidRDefault="000A2271" w:rsidP="00BE03AE">
            <w:pPr>
              <w:keepNext/>
              <w:kinsoku/>
              <w:overflowPunct/>
              <w:autoSpaceDE/>
              <w:autoSpaceDN/>
              <w:adjustRightInd/>
              <w:snapToGrid/>
              <w:rPr>
                <w:rFonts w:ascii="Arial" w:hAnsi="Arial"/>
                <w:snapToGrid/>
                <w:color w:val="000000"/>
                <w:sz w:val="16"/>
                <w:szCs w:val="16"/>
                <w:lang w:eastAsia="en-AU"/>
              </w:rPr>
            </w:pPr>
            <w:r w:rsidRPr="002A28B0">
              <w:rPr>
                <w:rFonts w:ascii="Arial" w:hAnsi="Arial"/>
                <w:snapToGrid/>
                <w:color w:val="000000"/>
                <w:sz w:val="16"/>
                <w:szCs w:val="16"/>
                <w:lang w:eastAsia="en-AU"/>
              </w:rPr>
              <w:t>Financial and insurance services</w:t>
            </w:r>
          </w:p>
        </w:tc>
        <w:tc>
          <w:tcPr>
            <w:tcW w:w="977" w:type="dxa"/>
            <w:vAlign w:val="center"/>
          </w:tcPr>
          <w:p w:rsidR="000A2271" w:rsidRPr="00FA0DC6" w:rsidRDefault="000A2271">
            <w:pPr>
              <w:jc w:val="center"/>
              <w:rPr>
                <w:rFonts w:asciiTheme="minorHAnsi" w:hAnsiTheme="minorHAnsi" w:cstheme="minorHAnsi"/>
                <w:color w:val="000000"/>
                <w:sz w:val="16"/>
                <w:szCs w:val="16"/>
              </w:rPr>
            </w:pPr>
            <w:r w:rsidRPr="00FA0DC6">
              <w:rPr>
                <w:rFonts w:asciiTheme="minorHAnsi" w:hAnsiTheme="minorHAnsi" w:cstheme="minorHAnsi"/>
                <w:color w:val="000000"/>
                <w:sz w:val="16"/>
                <w:szCs w:val="16"/>
              </w:rPr>
              <w:t>B</w:t>
            </w:r>
          </w:p>
        </w:tc>
        <w:tc>
          <w:tcPr>
            <w:tcW w:w="1044" w:type="dxa"/>
            <w:vAlign w:val="center"/>
            <w:hideMark/>
          </w:tcPr>
          <w:p w:rsidR="000A2271" w:rsidRPr="00FA0DC6" w:rsidRDefault="000A2271" w:rsidP="00223124">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95.0%</w:t>
            </w:r>
          </w:p>
        </w:tc>
        <w:tc>
          <w:tcPr>
            <w:tcW w:w="1050"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2.5%</w:t>
            </w:r>
          </w:p>
        </w:tc>
        <w:tc>
          <w:tcPr>
            <w:tcW w:w="1148"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30.0%</w:t>
            </w:r>
          </w:p>
        </w:tc>
        <w:tc>
          <w:tcPr>
            <w:tcW w:w="800"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20.0%</w:t>
            </w:r>
          </w:p>
        </w:tc>
      </w:tr>
      <w:tr w:rsidR="000A2271" w:rsidRPr="002A28B0" w:rsidTr="000D6E9A">
        <w:trPr>
          <w:trHeight w:val="300"/>
        </w:trPr>
        <w:tc>
          <w:tcPr>
            <w:tcW w:w="3418" w:type="dxa"/>
            <w:noWrap/>
            <w:vAlign w:val="bottom"/>
            <w:hideMark/>
          </w:tcPr>
          <w:p w:rsidR="000A2271" w:rsidRPr="002A28B0" w:rsidRDefault="000A2271" w:rsidP="00BE03AE">
            <w:pPr>
              <w:keepNext/>
              <w:kinsoku/>
              <w:overflowPunct/>
              <w:autoSpaceDE/>
              <w:autoSpaceDN/>
              <w:adjustRightInd/>
              <w:snapToGrid/>
              <w:rPr>
                <w:rFonts w:ascii="Arial" w:hAnsi="Arial"/>
                <w:snapToGrid/>
                <w:color w:val="000000"/>
                <w:sz w:val="16"/>
                <w:szCs w:val="16"/>
                <w:lang w:eastAsia="en-AU"/>
              </w:rPr>
            </w:pPr>
            <w:r w:rsidRPr="002A28B0">
              <w:rPr>
                <w:rFonts w:ascii="Arial" w:hAnsi="Arial"/>
                <w:snapToGrid/>
                <w:color w:val="000000"/>
                <w:sz w:val="16"/>
                <w:szCs w:val="16"/>
                <w:lang w:eastAsia="en-AU"/>
              </w:rPr>
              <w:t>Rental, hiring and real estate services</w:t>
            </w:r>
          </w:p>
        </w:tc>
        <w:tc>
          <w:tcPr>
            <w:tcW w:w="977" w:type="dxa"/>
            <w:vAlign w:val="center"/>
          </w:tcPr>
          <w:p w:rsidR="000A2271" w:rsidRPr="00FA0DC6" w:rsidRDefault="000A2271">
            <w:pPr>
              <w:jc w:val="center"/>
              <w:rPr>
                <w:rFonts w:asciiTheme="minorHAnsi" w:hAnsiTheme="minorHAnsi" w:cstheme="minorHAnsi"/>
                <w:color w:val="000000"/>
                <w:sz w:val="16"/>
                <w:szCs w:val="16"/>
              </w:rPr>
            </w:pPr>
            <w:r w:rsidRPr="00FA0DC6">
              <w:rPr>
                <w:rFonts w:asciiTheme="minorHAnsi" w:hAnsiTheme="minorHAnsi" w:cstheme="minorHAnsi"/>
                <w:color w:val="000000"/>
                <w:sz w:val="16"/>
                <w:szCs w:val="16"/>
              </w:rPr>
              <w:t>B</w:t>
            </w:r>
          </w:p>
        </w:tc>
        <w:tc>
          <w:tcPr>
            <w:tcW w:w="1044" w:type="dxa"/>
            <w:vAlign w:val="center"/>
            <w:hideMark/>
          </w:tcPr>
          <w:p w:rsidR="000A2271" w:rsidRPr="00FA0DC6" w:rsidRDefault="000A2271" w:rsidP="00223124">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80.0%</w:t>
            </w:r>
          </w:p>
        </w:tc>
        <w:tc>
          <w:tcPr>
            <w:tcW w:w="1050"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2.5%</w:t>
            </w:r>
          </w:p>
        </w:tc>
        <w:tc>
          <w:tcPr>
            <w:tcW w:w="1148"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20.0%</w:t>
            </w:r>
          </w:p>
        </w:tc>
        <w:tc>
          <w:tcPr>
            <w:tcW w:w="800"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70.0%</w:t>
            </w:r>
          </w:p>
        </w:tc>
      </w:tr>
      <w:tr w:rsidR="000A2271" w:rsidRPr="002A28B0" w:rsidTr="000D6E9A">
        <w:trPr>
          <w:trHeight w:val="300"/>
        </w:trPr>
        <w:tc>
          <w:tcPr>
            <w:tcW w:w="3418" w:type="dxa"/>
            <w:noWrap/>
            <w:vAlign w:val="bottom"/>
            <w:hideMark/>
          </w:tcPr>
          <w:p w:rsidR="000A2271" w:rsidRPr="002A28B0" w:rsidRDefault="000A2271" w:rsidP="00BE03AE">
            <w:pPr>
              <w:keepNext/>
              <w:kinsoku/>
              <w:overflowPunct/>
              <w:autoSpaceDE/>
              <w:autoSpaceDN/>
              <w:adjustRightInd/>
              <w:snapToGrid/>
              <w:rPr>
                <w:rFonts w:ascii="Arial" w:hAnsi="Arial"/>
                <w:snapToGrid/>
                <w:color w:val="000000"/>
                <w:sz w:val="16"/>
                <w:szCs w:val="16"/>
                <w:lang w:eastAsia="en-AU"/>
              </w:rPr>
            </w:pPr>
            <w:r w:rsidRPr="002A28B0">
              <w:rPr>
                <w:rFonts w:ascii="Arial" w:hAnsi="Arial"/>
                <w:snapToGrid/>
                <w:color w:val="000000"/>
                <w:sz w:val="16"/>
                <w:szCs w:val="16"/>
                <w:lang w:eastAsia="en-AU"/>
              </w:rPr>
              <w:t>Professional, scientific and technical services</w:t>
            </w:r>
          </w:p>
        </w:tc>
        <w:tc>
          <w:tcPr>
            <w:tcW w:w="977" w:type="dxa"/>
            <w:vAlign w:val="center"/>
          </w:tcPr>
          <w:p w:rsidR="000A2271" w:rsidRPr="00FA0DC6" w:rsidRDefault="000A2271">
            <w:pPr>
              <w:jc w:val="center"/>
              <w:rPr>
                <w:rFonts w:asciiTheme="minorHAnsi" w:hAnsiTheme="minorHAnsi" w:cstheme="minorHAnsi"/>
                <w:color w:val="000000"/>
                <w:sz w:val="16"/>
                <w:szCs w:val="16"/>
              </w:rPr>
            </w:pPr>
            <w:r w:rsidRPr="00FA0DC6">
              <w:rPr>
                <w:rFonts w:asciiTheme="minorHAnsi" w:hAnsiTheme="minorHAnsi" w:cstheme="minorHAnsi"/>
                <w:color w:val="000000"/>
                <w:sz w:val="16"/>
                <w:szCs w:val="16"/>
              </w:rPr>
              <w:t>B</w:t>
            </w:r>
          </w:p>
        </w:tc>
        <w:tc>
          <w:tcPr>
            <w:tcW w:w="1044" w:type="dxa"/>
            <w:vAlign w:val="center"/>
            <w:hideMark/>
          </w:tcPr>
          <w:p w:rsidR="000A2271" w:rsidRPr="00FA0DC6" w:rsidRDefault="000A2271" w:rsidP="00223124">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95.0%</w:t>
            </w:r>
          </w:p>
        </w:tc>
        <w:tc>
          <w:tcPr>
            <w:tcW w:w="1050"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2.5%</w:t>
            </w:r>
          </w:p>
        </w:tc>
        <w:tc>
          <w:tcPr>
            <w:tcW w:w="1148"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30.0%</w:t>
            </w:r>
          </w:p>
        </w:tc>
        <w:tc>
          <w:tcPr>
            <w:tcW w:w="800"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20.0%</w:t>
            </w:r>
          </w:p>
        </w:tc>
      </w:tr>
      <w:tr w:rsidR="000A2271" w:rsidRPr="002A28B0" w:rsidTr="000D6E9A">
        <w:trPr>
          <w:trHeight w:val="300"/>
        </w:trPr>
        <w:tc>
          <w:tcPr>
            <w:tcW w:w="3418" w:type="dxa"/>
            <w:noWrap/>
            <w:vAlign w:val="bottom"/>
            <w:hideMark/>
          </w:tcPr>
          <w:p w:rsidR="000A2271" w:rsidRPr="002A28B0" w:rsidRDefault="000A2271" w:rsidP="00BE03AE">
            <w:pPr>
              <w:keepNext/>
              <w:kinsoku/>
              <w:overflowPunct/>
              <w:autoSpaceDE/>
              <w:autoSpaceDN/>
              <w:adjustRightInd/>
              <w:snapToGrid/>
              <w:rPr>
                <w:rFonts w:ascii="Arial" w:hAnsi="Arial"/>
                <w:snapToGrid/>
                <w:color w:val="000000"/>
                <w:sz w:val="16"/>
                <w:szCs w:val="16"/>
                <w:lang w:eastAsia="en-AU"/>
              </w:rPr>
            </w:pPr>
            <w:r w:rsidRPr="002A28B0">
              <w:rPr>
                <w:rFonts w:ascii="Arial" w:hAnsi="Arial"/>
                <w:snapToGrid/>
                <w:color w:val="000000"/>
                <w:sz w:val="16"/>
                <w:szCs w:val="16"/>
                <w:lang w:eastAsia="en-AU"/>
              </w:rPr>
              <w:t>Administrative and support services</w:t>
            </w:r>
          </w:p>
        </w:tc>
        <w:tc>
          <w:tcPr>
            <w:tcW w:w="977" w:type="dxa"/>
            <w:vAlign w:val="center"/>
          </w:tcPr>
          <w:p w:rsidR="000A2271" w:rsidRPr="00FA0DC6" w:rsidRDefault="000A2271">
            <w:pPr>
              <w:jc w:val="center"/>
              <w:rPr>
                <w:rFonts w:asciiTheme="minorHAnsi" w:hAnsiTheme="minorHAnsi" w:cstheme="minorHAnsi"/>
                <w:color w:val="000000"/>
                <w:sz w:val="16"/>
                <w:szCs w:val="16"/>
              </w:rPr>
            </w:pPr>
            <w:r w:rsidRPr="00FA0DC6">
              <w:rPr>
                <w:rFonts w:asciiTheme="minorHAnsi" w:hAnsiTheme="minorHAnsi" w:cstheme="minorHAnsi"/>
                <w:color w:val="000000"/>
                <w:sz w:val="16"/>
                <w:szCs w:val="16"/>
              </w:rPr>
              <w:t>B</w:t>
            </w:r>
          </w:p>
        </w:tc>
        <w:tc>
          <w:tcPr>
            <w:tcW w:w="1044" w:type="dxa"/>
            <w:vAlign w:val="center"/>
            <w:hideMark/>
          </w:tcPr>
          <w:p w:rsidR="000A2271" w:rsidRPr="00FA0DC6" w:rsidRDefault="000A2271" w:rsidP="00223124">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95.0%</w:t>
            </w:r>
          </w:p>
        </w:tc>
        <w:tc>
          <w:tcPr>
            <w:tcW w:w="1050"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2.5%</w:t>
            </w:r>
          </w:p>
        </w:tc>
        <w:tc>
          <w:tcPr>
            <w:tcW w:w="1148"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20.0%</w:t>
            </w:r>
          </w:p>
        </w:tc>
        <w:tc>
          <w:tcPr>
            <w:tcW w:w="800"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70.0%</w:t>
            </w:r>
          </w:p>
        </w:tc>
      </w:tr>
      <w:tr w:rsidR="000A2271" w:rsidRPr="002A28B0" w:rsidTr="000D6E9A">
        <w:trPr>
          <w:trHeight w:val="300"/>
        </w:trPr>
        <w:tc>
          <w:tcPr>
            <w:tcW w:w="3418" w:type="dxa"/>
            <w:noWrap/>
            <w:vAlign w:val="bottom"/>
            <w:hideMark/>
          </w:tcPr>
          <w:p w:rsidR="000A2271" w:rsidRPr="002A28B0" w:rsidRDefault="000A2271" w:rsidP="00BE03AE">
            <w:pPr>
              <w:keepNext/>
              <w:kinsoku/>
              <w:overflowPunct/>
              <w:autoSpaceDE/>
              <w:autoSpaceDN/>
              <w:adjustRightInd/>
              <w:snapToGrid/>
              <w:rPr>
                <w:rFonts w:ascii="Arial" w:hAnsi="Arial"/>
                <w:snapToGrid/>
                <w:color w:val="000000"/>
                <w:sz w:val="16"/>
                <w:szCs w:val="16"/>
                <w:lang w:eastAsia="en-AU"/>
              </w:rPr>
            </w:pPr>
            <w:r w:rsidRPr="002A28B0">
              <w:rPr>
                <w:rFonts w:ascii="Arial" w:hAnsi="Arial"/>
                <w:snapToGrid/>
                <w:color w:val="000000"/>
                <w:sz w:val="16"/>
                <w:szCs w:val="16"/>
                <w:lang w:eastAsia="en-AU"/>
              </w:rPr>
              <w:t>Public administration and safety</w:t>
            </w:r>
            <w:r>
              <w:rPr>
                <w:rFonts w:ascii="Arial" w:hAnsi="Arial"/>
                <w:snapToGrid/>
                <w:color w:val="000000"/>
                <w:sz w:val="16"/>
                <w:szCs w:val="16"/>
                <w:lang w:eastAsia="en-AU"/>
              </w:rPr>
              <w:t>*</w:t>
            </w:r>
          </w:p>
        </w:tc>
        <w:tc>
          <w:tcPr>
            <w:tcW w:w="977" w:type="dxa"/>
            <w:vAlign w:val="center"/>
          </w:tcPr>
          <w:p w:rsidR="000A2271" w:rsidRPr="00FA0DC6" w:rsidRDefault="000A2271">
            <w:pPr>
              <w:jc w:val="center"/>
              <w:rPr>
                <w:rFonts w:asciiTheme="minorHAnsi" w:hAnsiTheme="minorHAnsi" w:cstheme="minorHAnsi"/>
                <w:color w:val="000000"/>
                <w:sz w:val="16"/>
                <w:szCs w:val="16"/>
              </w:rPr>
            </w:pPr>
            <w:r w:rsidRPr="00FA0DC6">
              <w:rPr>
                <w:rFonts w:asciiTheme="minorHAnsi" w:hAnsiTheme="minorHAnsi" w:cstheme="minorHAnsi"/>
                <w:color w:val="000000"/>
                <w:sz w:val="16"/>
                <w:szCs w:val="16"/>
              </w:rPr>
              <w:t>A</w:t>
            </w:r>
          </w:p>
        </w:tc>
        <w:tc>
          <w:tcPr>
            <w:tcW w:w="1044" w:type="dxa"/>
            <w:vAlign w:val="center"/>
            <w:hideMark/>
          </w:tcPr>
          <w:p w:rsidR="000A2271" w:rsidRPr="00FA0DC6" w:rsidRDefault="000A2271" w:rsidP="00223124">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70.5%</w:t>
            </w:r>
          </w:p>
        </w:tc>
        <w:tc>
          <w:tcPr>
            <w:tcW w:w="1050"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5.0%</w:t>
            </w:r>
          </w:p>
        </w:tc>
        <w:tc>
          <w:tcPr>
            <w:tcW w:w="1148"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20.0%</w:t>
            </w:r>
          </w:p>
        </w:tc>
        <w:tc>
          <w:tcPr>
            <w:tcW w:w="800"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70.0%</w:t>
            </w:r>
          </w:p>
        </w:tc>
      </w:tr>
      <w:tr w:rsidR="000A2271" w:rsidRPr="002A28B0" w:rsidTr="000D6E9A">
        <w:trPr>
          <w:trHeight w:val="300"/>
        </w:trPr>
        <w:tc>
          <w:tcPr>
            <w:tcW w:w="3418" w:type="dxa"/>
            <w:noWrap/>
            <w:vAlign w:val="bottom"/>
            <w:hideMark/>
          </w:tcPr>
          <w:p w:rsidR="000A2271" w:rsidRPr="002A28B0" w:rsidRDefault="000A2271" w:rsidP="00BE03AE">
            <w:pPr>
              <w:keepNext/>
              <w:kinsoku/>
              <w:overflowPunct/>
              <w:autoSpaceDE/>
              <w:autoSpaceDN/>
              <w:adjustRightInd/>
              <w:snapToGrid/>
              <w:rPr>
                <w:rFonts w:ascii="Arial" w:hAnsi="Arial"/>
                <w:snapToGrid/>
                <w:color w:val="000000"/>
                <w:sz w:val="16"/>
                <w:szCs w:val="16"/>
                <w:lang w:eastAsia="en-AU"/>
              </w:rPr>
            </w:pPr>
            <w:r w:rsidRPr="002A28B0">
              <w:rPr>
                <w:rFonts w:ascii="Arial" w:hAnsi="Arial"/>
                <w:snapToGrid/>
                <w:color w:val="000000"/>
                <w:sz w:val="16"/>
                <w:szCs w:val="16"/>
                <w:lang w:eastAsia="en-AU"/>
              </w:rPr>
              <w:t>Education and training</w:t>
            </w:r>
            <w:r>
              <w:rPr>
                <w:rFonts w:ascii="Arial" w:hAnsi="Arial"/>
                <w:snapToGrid/>
                <w:color w:val="000000"/>
                <w:sz w:val="16"/>
                <w:szCs w:val="16"/>
                <w:lang w:eastAsia="en-AU"/>
              </w:rPr>
              <w:t>**</w:t>
            </w:r>
          </w:p>
        </w:tc>
        <w:tc>
          <w:tcPr>
            <w:tcW w:w="977" w:type="dxa"/>
            <w:vAlign w:val="center"/>
          </w:tcPr>
          <w:p w:rsidR="000A2271" w:rsidRPr="00FA0DC6" w:rsidRDefault="000A2271">
            <w:pPr>
              <w:jc w:val="center"/>
              <w:rPr>
                <w:rFonts w:asciiTheme="minorHAnsi" w:hAnsiTheme="minorHAnsi" w:cstheme="minorHAnsi"/>
                <w:color w:val="000000"/>
                <w:sz w:val="16"/>
                <w:szCs w:val="16"/>
              </w:rPr>
            </w:pPr>
            <w:r w:rsidRPr="00FA0DC6">
              <w:rPr>
                <w:rFonts w:asciiTheme="minorHAnsi" w:hAnsiTheme="minorHAnsi" w:cstheme="minorHAnsi"/>
                <w:color w:val="000000"/>
                <w:sz w:val="16"/>
                <w:szCs w:val="16"/>
              </w:rPr>
              <w:t>B</w:t>
            </w:r>
          </w:p>
        </w:tc>
        <w:tc>
          <w:tcPr>
            <w:tcW w:w="1044" w:type="dxa"/>
            <w:vAlign w:val="center"/>
            <w:hideMark/>
          </w:tcPr>
          <w:p w:rsidR="000A2271" w:rsidRPr="00FA0DC6" w:rsidRDefault="000A2271" w:rsidP="00223124">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40.0%</w:t>
            </w:r>
          </w:p>
        </w:tc>
        <w:tc>
          <w:tcPr>
            <w:tcW w:w="1050"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5.0%</w:t>
            </w:r>
          </w:p>
        </w:tc>
        <w:tc>
          <w:tcPr>
            <w:tcW w:w="1148"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20.0%</w:t>
            </w:r>
          </w:p>
        </w:tc>
        <w:tc>
          <w:tcPr>
            <w:tcW w:w="800"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70.0%</w:t>
            </w:r>
          </w:p>
        </w:tc>
      </w:tr>
      <w:tr w:rsidR="000A2271" w:rsidRPr="002A28B0" w:rsidTr="000D6E9A">
        <w:trPr>
          <w:trHeight w:val="300"/>
        </w:trPr>
        <w:tc>
          <w:tcPr>
            <w:tcW w:w="3418" w:type="dxa"/>
            <w:noWrap/>
            <w:vAlign w:val="bottom"/>
            <w:hideMark/>
          </w:tcPr>
          <w:p w:rsidR="000A2271" w:rsidRPr="002A28B0" w:rsidRDefault="000A2271" w:rsidP="00BE03AE">
            <w:pPr>
              <w:keepNext/>
              <w:kinsoku/>
              <w:overflowPunct/>
              <w:autoSpaceDE/>
              <w:autoSpaceDN/>
              <w:adjustRightInd/>
              <w:snapToGrid/>
              <w:rPr>
                <w:rFonts w:ascii="Arial" w:hAnsi="Arial"/>
                <w:snapToGrid/>
                <w:color w:val="000000"/>
                <w:sz w:val="16"/>
                <w:szCs w:val="16"/>
                <w:lang w:eastAsia="en-AU"/>
              </w:rPr>
            </w:pPr>
            <w:r w:rsidRPr="002A28B0">
              <w:rPr>
                <w:rFonts w:ascii="Arial" w:hAnsi="Arial"/>
                <w:snapToGrid/>
                <w:color w:val="000000"/>
                <w:sz w:val="16"/>
                <w:szCs w:val="16"/>
                <w:lang w:eastAsia="en-AU"/>
              </w:rPr>
              <w:t>Health care and social assistance</w:t>
            </w:r>
          </w:p>
        </w:tc>
        <w:tc>
          <w:tcPr>
            <w:tcW w:w="977" w:type="dxa"/>
            <w:vAlign w:val="center"/>
          </w:tcPr>
          <w:p w:rsidR="000A2271" w:rsidRPr="00FA0DC6" w:rsidRDefault="000A2271">
            <w:pPr>
              <w:jc w:val="center"/>
              <w:rPr>
                <w:rFonts w:asciiTheme="minorHAnsi" w:hAnsiTheme="minorHAnsi" w:cstheme="minorHAnsi"/>
                <w:color w:val="000000"/>
                <w:sz w:val="16"/>
                <w:szCs w:val="16"/>
              </w:rPr>
            </w:pPr>
            <w:r w:rsidRPr="00FA0DC6">
              <w:rPr>
                <w:rFonts w:asciiTheme="minorHAnsi" w:hAnsiTheme="minorHAnsi" w:cstheme="minorHAnsi"/>
                <w:color w:val="000000"/>
                <w:sz w:val="16"/>
                <w:szCs w:val="16"/>
              </w:rPr>
              <w:t>A</w:t>
            </w:r>
          </w:p>
        </w:tc>
        <w:tc>
          <w:tcPr>
            <w:tcW w:w="1044" w:type="dxa"/>
            <w:vAlign w:val="center"/>
            <w:hideMark/>
          </w:tcPr>
          <w:p w:rsidR="000A2271" w:rsidRPr="00FA0DC6" w:rsidRDefault="000A2271" w:rsidP="00223124">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50.0%</w:t>
            </w:r>
          </w:p>
        </w:tc>
        <w:tc>
          <w:tcPr>
            <w:tcW w:w="1050"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10.0%</w:t>
            </w:r>
          </w:p>
        </w:tc>
        <w:tc>
          <w:tcPr>
            <w:tcW w:w="1148"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10.0%</w:t>
            </w:r>
          </w:p>
        </w:tc>
        <w:tc>
          <w:tcPr>
            <w:tcW w:w="800"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70.0%</w:t>
            </w:r>
          </w:p>
        </w:tc>
      </w:tr>
      <w:tr w:rsidR="000A2271" w:rsidRPr="002A28B0" w:rsidTr="000D6E9A">
        <w:trPr>
          <w:trHeight w:val="300"/>
        </w:trPr>
        <w:tc>
          <w:tcPr>
            <w:tcW w:w="3418" w:type="dxa"/>
            <w:noWrap/>
            <w:vAlign w:val="bottom"/>
            <w:hideMark/>
          </w:tcPr>
          <w:p w:rsidR="000A2271" w:rsidRPr="002A28B0" w:rsidRDefault="000A2271" w:rsidP="00BE03AE">
            <w:pPr>
              <w:keepNext/>
              <w:kinsoku/>
              <w:overflowPunct/>
              <w:autoSpaceDE/>
              <w:autoSpaceDN/>
              <w:adjustRightInd/>
              <w:snapToGrid/>
              <w:rPr>
                <w:rFonts w:ascii="Arial" w:hAnsi="Arial"/>
                <w:snapToGrid/>
                <w:color w:val="000000"/>
                <w:sz w:val="16"/>
                <w:szCs w:val="16"/>
                <w:lang w:eastAsia="en-AU"/>
              </w:rPr>
            </w:pPr>
            <w:r w:rsidRPr="002A28B0">
              <w:rPr>
                <w:rFonts w:ascii="Arial" w:hAnsi="Arial"/>
                <w:snapToGrid/>
                <w:color w:val="000000"/>
                <w:sz w:val="16"/>
                <w:szCs w:val="16"/>
                <w:lang w:eastAsia="en-AU"/>
              </w:rPr>
              <w:t>Arts and recreation services</w:t>
            </w:r>
          </w:p>
        </w:tc>
        <w:tc>
          <w:tcPr>
            <w:tcW w:w="977" w:type="dxa"/>
            <w:vAlign w:val="center"/>
          </w:tcPr>
          <w:p w:rsidR="000A2271" w:rsidRPr="00FA0DC6" w:rsidRDefault="000A2271">
            <w:pPr>
              <w:jc w:val="center"/>
              <w:rPr>
                <w:rFonts w:asciiTheme="minorHAnsi" w:hAnsiTheme="minorHAnsi" w:cstheme="minorHAnsi"/>
                <w:color w:val="000000"/>
                <w:sz w:val="16"/>
                <w:szCs w:val="16"/>
              </w:rPr>
            </w:pPr>
            <w:r w:rsidRPr="00FA0DC6">
              <w:rPr>
                <w:rFonts w:asciiTheme="minorHAnsi" w:hAnsiTheme="minorHAnsi" w:cstheme="minorHAnsi"/>
                <w:color w:val="000000"/>
                <w:sz w:val="16"/>
                <w:szCs w:val="16"/>
              </w:rPr>
              <w:t>A</w:t>
            </w:r>
          </w:p>
        </w:tc>
        <w:tc>
          <w:tcPr>
            <w:tcW w:w="1044" w:type="dxa"/>
            <w:vAlign w:val="center"/>
            <w:hideMark/>
          </w:tcPr>
          <w:p w:rsidR="000A2271" w:rsidRPr="00FA0DC6" w:rsidRDefault="000A2271" w:rsidP="00223124">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30.0%</w:t>
            </w:r>
          </w:p>
        </w:tc>
        <w:tc>
          <w:tcPr>
            <w:tcW w:w="1050"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5.0%</w:t>
            </w:r>
          </w:p>
        </w:tc>
        <w:tc>
          <w:tcPr>
            <w:tcW w:w="1148"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10.0%</w:t>
            </w:r>
          </w:p>
        </w:tc>
        <w:tc>
          <w:tcPr>
            <w:tcW w:w="800"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70.0%</w:t>
            </w:r>
          </w:p>
        </w:tc>
      </w:tr>
      <w:tr w:rsidR="000A2271" w:rsidRPr="002A28B0" w:rsidTr="000D6E9A">
        <w:trPr>
          <w:trHeight w:val="300"/>
        </w:trPr>
        <w:tc>
          <w:tcPr>
            <w:tcW w:w="3418" w:type="dxa"/>
            <w:noWrap/>
            <w:vAlign w:val="bottom"/>
            <w:hideMark/>
          </w:tcPr>
          <w:p w:rsidR="000A2271" w:rsidRPr="002A28B0" w:rsidRDefault="000A2271" w:rsidP="00BE03AE">
            <w:pPr>
              <w:keepNext/>
              <w:kinsoku/>
              <w:overflowPunct/>
              <w:autoSpaceDE/>
              <w:autoSpaceDN/>
              <w:adjustRightInd/>
              <w:snapToGrid/>
              <w:rPr>
                <w:rFonts w:ascii="Arial" w:hAnsi="Arial"/>
                <w:snapToGrid/>
                <w:color w:val="000000"/>
                <w:sz w:val="16"/>
                <w:szCs w:val="16"/>
                <w:lang w:eastAsia="en-AU"/>
              </w:rPr>
            </w:pPr>
            <w:r w:rsidRPr="002A28B0">
              <w:rPr>
                <w:rFonts w:ascii="Arial" w:hAnsi="Arial"/>
                <w:snapToGrid/>
                <w:color w:val="000000"/>
                <w:sz w:val="16"/>
                <w:szCs w:val="16"/>
                <w:lang w:eastAsia="en-AU"/>
              </w:rPr>
              <w:t>Other services</w:t>
            </w:r>
          </w:p>
        </w:tc>
        <w:tc>
          <w:tcPr>
            <w:tcW w:w="977" w:type="dxa"/>
            <w:vAlign w:val="center"/>
          </w:tcPr>
          <w:p w:rsidR="000A2271" w:rsidRPr="00FA0DC6" w:rsidRDefault="000A2271">
            <w:pPr>
              <w:jc w:val="center"/>
              <w:rPr>
                <w:rFonts w:asciiTheme="minorHAnsi" w:hAnsiTheme="minorHAnsi" w:cstheme="minorHAnsi"/>
                <w:color w:val="000000"/>
                <w:sz w:val="16"/>
                <w:szCs w:val="16"/>
              </w:rPr>
            </w:pPr>
            <w:r w:rsidRPr="00FA0DC6">
              <w:rPr>
                <w:rFonts w:asciiTheme="minorHAnsi" w:hAnsiTheme="minorHAnsi" w:cstheme="minorHAnsi"/>
                <w:color w:val="000000"/>
                <w:sz w:val="16"/>
                <w:szCs w:val="16"/>
              </w:rPr>
              <w:t>B</w:t>
            </w:r>
          </w:p>
        </w:tc>
        <w:tc>
          <w:tcPr>
            <w:tcW w:w="1044" w:type="dxa"/>
            <w:vAlign w:val="center"/>
            <w:hideMark/>
          </w:tcPr>
          <w:p w:rsidR="000A2271" w:rsidRPr="00FA0DC6" w:rsidRDefault="000A2271" w:rsidP="00223124">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80.0%</w:t>
            </w:r>
          </w:p>
        </w:tc>
        <w:tc>
          <w:tcPr>
            <w:tcW w:w="1050"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5.0%</w:t>
            </w:r>
          </w:p>
        </w:tc>
        <w:tc>
          <w:tcPr>
            <w:tcW w:w="1148"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20.0%</w:t>
            </w:r>
          </w:p>
        </w:tc>
        <w:tc>
          <w:tcPr>
            <w:tcW w:w="800" w:type="dxa"/>
            <w:vAlign w:val="center"/>
          </w:tcPr>
          <w:p w:rsidR="000A2271" w:rsidRPr="00FA0DC6" w:rsidRDefault="000A2271">
            <w:pPr>
              <w:jc w:val="center"/>
              <w:rPr>
                <w:rFonts w:asciiTheme="minorHAnsi" w:hAnsiTheme="minorHAnsi" w:cstheme="minorHAnsi"/>
                <w:color w:val="000000"/>
                <w:sz w:val="16"/>
                <w:szCs w:val="16"/>
              </w:rPr>
            </w:pPr>
            <w:r w:rsidRPr="000D6E9A">
              <w:rPr>
                <w:rFonts w:asciiTheme="minorHAnsi" w:hAnsiTheme="minorHAnsi" w:cstheme="minorHAnsi"/>
                <w:color w:val="000000"/>
                <w:sz w:val="16"/>
                <w:szCs w:val="16"/>
              </w:rPr>
              <w:t>70.0%</w:t>
            </w:r>
          </w:p>
        </w:tc>
      </w:tr>
    </w:tbl>
    <w:p w:rsidR="00BE03AE" w:rsidRPr="0036733E" w:rsidRDefault="00BE03AE" w:rsidP="00BE03AE">
      <w:pPr>
        <w:pStyle w:val="Sources"/>
      </w:pPr>
      <w:r>
        <w:t xml:space="preserve">*As this industry captures those employed in security and emergency services it is assumed that a portion of this industry would </w:t>
      </w:r>
      <w:r w:rsidR="002A55F2">
        <w:t>operate</w:t>
      </w:r>
      <w:r>
        <w:t xml:space="preserve"> seven days a week. </w:t>
      </w:r>
      <w:r w:rsidR="00282F88">
        <w:t xml:space="preserve">**As the proposed Friday </w:t>
      </w:r>
      <w:r w:rsidR="008E6F46">
        <w:t xml:space="preserve">public </w:t>
      </w:r>
      <w:r w:rsidR="00282F88">
        <w:t xml:space="preserve">holiday falls within the Victorian school holidays, existing closures are expected to be </w:t>
      </w:r>
      <w:r w:rsidR="008E6F46">
        <w:t xml:space="preserve">relatively </w:t>
      </w:r>
      <w:r w:rsidR="00282F88">
        <w:t>high in this industry</w:t>
      </w:r>
      <w:r w:rsidR="008E6F46">
        <w:t>, reflecting the lower levels of production on student-free days</w:t>
      </w:r>
      <w:r w:rsidR="00282F88">
        <w:t xml:space="preserve">. </w:t>
      </w:r>
      <w:r w:rsidR="00D4199F">
        <w:t>^These percentages represent the proportion of assumed daily production that is preserved despite employers not operating. For example, 20 per cent production smoothing suggests that 80 per cent of output is foregone on a public ho</w:t>
      </w:r>
      <w:r w:rsidR="00E75019">
        <w:t xml:space="preserve">liday due to employers closing. </w:t>
      </w:r>
      <w:r w:rsidR="00E75019">
        <w:rPr>
          <w:vertAlign w:val="superscript"/>
        </w:rPr>
        <w:t>¥</w:t>
      </w:r>
      <w:r w:rsidR="00B3547A">
        <w:t>This relates to the proportion of normal wage costs employers are assumed to incur on a public holiday</w:t>
      </w:r>
      <w:r w:rsidR="00841DB2">
        <w:t xml:space="preserve"> (before the application of relevant penalty rates). For example, 70 per cent normal wage costs implies that employers reduce their normal wage costs by 30 per cent by adjusting the staffing mix or rostering fewer employees.</w:t>
      </w:r>
    </w:p>
    <w:p w:rsidR="007B1D8A" w:rsidRDefault="00BE03AE" w:rsidP="00530E16">
      <w:pPr>
        <w:pStyle w:val="StylePwCNormalnmajNormalnotetextcvteCNormalnotetext2"/>
        <w:numPr>
          <w:ilvl w:val="0"/>
          <w:numId w:val="0"/>
        </w:numPr>
      </w:pPr>
      <w:r>
        <w:t xml:space="preserve">The percentages described in </w:t>
      </w:r>
      <w:r>
        <w:fldChar w:fldCharType="begin"/>
      </w:r>
      <w:r>
        <w:instrText xml:space="preserve"> REF _Ref416958374 \h </w:instrText>
      </w:r>
      <w:r>
        <w:fldChar w:fldCharType="separate"/>
      </w:r>
      <w:r w:rsidR="00250375">
        <w:t xml:space="preserve">Table </w:t>
      </w:r>
      <w:r w:rsidR="00250375">
        <w:rPr>
          <w:noProof/>
        </w:rPr>
        <w:t>17</w:t>
      </w:r>
      <w:r>
        <w:fldChar w:fldCharType="end"/>
      </w:r>
      <w:r>
        <w:t xml:space="preserve"> were informed by consultation with numerous stakeholders as detailed in Section </w:t>
      </w:r>
      <w:r>
        <w:fldChar w:fldCharType="begin"/>
      </w:r>
      <w:r>
        <w:instrText xml:space="preserve"> REF _Ref417237442 \r \h </w:instrText>
      </w:r>
      <w:r>
        <w:fldChar w:fldCharType="separate"/>
      </w:r>
      <w:r w:rsidR="00250375">
        <w:t>1.6</w:t>
      </w:r>
      <w:r>
        <w:fldChar w:fldCharType="end"/>
      </w:r>
      <w:r>
        <w:t xml:space="preserve"> and have been adopted for the purpose of modelling. They were not figures explicitly stated by </w:t>
      </w:r>
      <w:r w:rsidR="002A55F2">
        <w:t xml:space="preserve">the </w:t>
      </w:r>
      <w:r>
        <w:t xml:space="preserve">stakeholders consulted. </w:t>
      </w:r>
      <w:r w:rsidR="007B1D8A">
        <w:t xml:space="preserve">As a consultation document, this RIS is seeking the community’s feedback on the appropriateness of these assumptions. </w:t>
      </w:r>
    </w:p>
    <w:p w:rsidR="00BE03AE" w:rsidRDefault="002A55F2" w:rsidP="00091AF8">
      <w:pPr>
        <w:pStyle w:val="StylePwCNormalnmajNormalnotetextcvteCNormalnotetext2"/>
      </w:pPr>
      <w:r>
        <w:t>I</w:t>
      </w:r>
      <w:r w:rsidR="00BE03AE">
        <w:t xml:space="preserve">t is acknowledged that there would be examples of employers in Category B industries </w:t>
      </w:r>
      <w:r>
        <w:t xml:space="preserve">that operate </w:t>
      </w:r>
      <w:r w:rsidR="00BE03AE">
        <w:t>on weekends</w:t>
      </w:r>
      <w:r w:rsidR="00C11E79">
        <w:t>. S</w:t>
      </w:r>
      <w:r w:rsidR="00BE03AE">
        <w:t>imilarly</w:t>
      </w:r>
      <w:r w:rsidR="00C11E79">
        <w:t>,</w:t>
      </w:r>
      <w:r w:rsidR="00BE03AE">
        <w:t xml:space="preserve"> there would be examples of employers in Category </w:t>
      </w:r>
      <w:proofErr w:type="gramStart"/>
      <w:r w:rsidR="00BE03AE">
        <w:t>A</w:t>
      </w:r>
      <w:proofErr w:type="gramEnd"/>
      <w:r w:rsidR="00BE03AE">
        <w:t xml:space="preserve"> industries that operate only Monday to Friday. Employers in the same industry could also vary by the extent to which they are able to smooth production across other days of the year or their ability to manage wage costs on a public holiday. Our analysis has not sought to capture these variations (and others) </w:t>
      </w:r>
      <w:r>
        <w:t xml:space="preserve">that may occur </w:t>
      </w:r>
      <w:r w:rsidR="00BE03AE">
        <w:t>within industries.</w:t>
      </w:r>
    </w:p>
    <w:p w:rsidR="00C076DA" w:rsidRPr="000C281E" w:rsidRDefault="00C076DA" w:rsidP="000D6E9A">
      <w:pPr>
        <w:pStyle w:val="Minorheading2"/>
        <w:rPr>
          <w:b w:val="0"/>
          <w:i/>
          <w:sz w:val="26"/>
        </w:rPr>
      </w:pPr>
      <w:r w:rsidRPr="000C281E">
        <w:rPr>
          <w:b w:val="0"/>
          <w:i/>
          <w:sz w:val="26"/>
        </w:rPr>
        <w:t>One-off administrative costs</w:t>
      </w:r>
    </w:p>
    <w:p w:rsidR="00B34DEE" w:rsidRDefault="00632E36" w:rsidP="00091AF8">
      <w:pPr>
        <w:pStyle w:val="StylePwCNormalnmajNormalnotetextcvteCNormalnotetext2"/>
      </w:pPr>
      <w:r>
        <w:t>Some employers would potentially incur one-off administrative costs in adjusting their systems and planning arrangements to accommodate additional public holidays. For the purposes of the analysis</w:t>
      </w:r>
      <w:r w:rsidR="002A55F2">
        <w:t>,</w:t>
      </w:r>
      <w:r>
        <w:t xml:space="preserve"> it is assumed that these incremental costs would be </w:t>
      </w:r>
      <w:r w:rsidR="002A55F2">
        <w:t xml:space="preserve">relatively </w:t>
      </w:r>
      <w:r>
        <w:t xml:space="preserve">small, given employers undertaking such activities would likely already have plans in place to accommodate </w:t>
      </w:r>
      <w:r w:rsidR="002A55F2">
        <w:t xml:space="preserve">existing </w:t>
      </w:r>
      <w:r>
        <w:t xml:space="preserve">public holidays. </w:t>
      </w:r>
      <w:r w:rsidR="00D3676C">
        <w:t xml:space="preserve">The potential administrative costs are also expected to vary widely </w:t>
      </w:r>
      <w:r w:rsidR="00B34DEE">
        <w:t xml:space="preserve">between different </w:t>
      </w:r>
      <w:r w:rsidR="00D3676C">
        <w:t>employer</w:t>
      </w:r>
      <w:r w:rsidR="00B34DEE">
        <w:t>s</w:t>
      </w:r>
      <w:r w:rsidR="00D3676C">
        <w:t>, with some incurring little to no costs and others i</w:t>
      </w:r>
      <w:r w:rsidR="00B34DEE">
        <w:t xml:space="preserve">ncurring more significant costs. </w:t>
      </w:r>
    </w:p>
    <w:p w:rsidR="00B34DEE" w:rsidRDefault="00B34DEE" w:rsidP="00091AF8">
      <w:pPr>
        <w:pStyle w:val="StylePwCNormalnmajNormalnotetextcvteCNormalnotetext2"/>
      </w:pPr>
      <w:r>
        <w:t xml:space="preserve">For employers who do not use automated systems to process employees’ pay, the incremental cost of accommodating additional public holidays is expected to be negligible. This is because rostering and pay calculations would already be undertaken </w:t>
      </w:r>
      <w:proofErr w:type="gramStart"/>
      <w:r>
        <w:t>regularly</w:t>
      </w:r>
      <w:r w:rsidR="00C32C2C">
        <w:t>,</w:t>
      </w:r>
      <w:proofErr w:type="gramEnd"/>
      <w:r>
        <w:t xml:space="preserve"> taking into account periodic variation in days and times worked by employees and any applicable penalty payments. </w:t>
      </w:r>
    </w:p>
    <w:p w:rsidR="00632E36" w:rsidRDefault="00B34DEE" w:rsidP="00091AF8">
      <w:pPr>
        <w:pStyle w:val="StylePwCNormalnmajNormalnotetextcvteCNormalnotetext2"/>
      </w:pPr>
      <w:r>
        <w:t xml:space="preserve">For larger employers using automated systems, it is acknowledged that there </w:t>
      </w:r>
      <w:r w:rsidR="00C32C2C">
        <w:t xml:space="preserve">may </w:t>
      </w:r>
      <w:r>
        <w:t xml:space="preserve">be some costs associated with re-configuring systems to accommodate additional public holidays. Spread across the 10-year analysis period however these one-off costs are not expected to be </w:t>
      </w:r>
      <w:r w:rsidR="00C32C2C">
        <w:t>significant</w:t>
      </w:r>
      <w:r w:rsidR="00A707BC">
        <w:t>, particularly in proportion to the costs associated with reduced economic activity or increased wage payments</w:t>
      </w:r>
      <w:r>
        <w:t xml:space="preserve">. </w:t>
      </w:r>
      <w:r w:rsidR="00A707BC">
        <w:t>T</w:t>
      </w:r>
      <w:r>
        <w:t xml:space="preserve">he number of employers that could </w:t>
      </w:r>
      <w:r w:rsidR="00C32C2C">
        <w:t>incur these administrative costs,</w:t>
      </w:r>
      <w:r>
        <w:t xml:space="preserve"> as a proportion of the total number of employing businesses in Victoria</w:t>
      </w:r>
      <w:r w:rsidR="00C32C2C">
        <w:t>,</w:t>
      </w:r>
      <w:r>
        <w:t xml:space="preserve"> is also unclear. </w:t>
      </w:r>
      <w:r w:rsidR="00632E36">
        <w:t xml:space="preserve">As such, the analysis </w:t>
      </w:r>
      <w:r w:rsidR="00C076DA">
        <w:t>does not include estimates of</w:t>
      </w:r>
      <w:r w:rsidR="00632E36">
        <w:t xml:space="preserve"> these </w:t>
      </w:r>
      <w:r w:rsidR="00C32C2C">
        <w:t xml:space="preserve">administrative </w:t>
      </w:r>
      <w:r w:rsidR="00632E36">
        <w:t xml:space="preserve">costs. </w:t>
      </w:r>
    </w:p>
    <w:p w:rsidR="00BE03AE" w:rsidRDefault="00BE03AE" w:rsidP="00BE03AE">
      <w:pPr>
        <w:pStyle w:val="Majorheading"/>
      </w:pPr>
      <w:r>
        <w:t xml:space="preserve">Foregone economic value associated with reduced production/economic activity </w:t>
      </w:r>
    </w:p>
    <w:p w:rsidR="00BE03AE" w:rsidRDefault="00BE03AE" w:rsidP="0018690C">
      <w:pPr>
        <w:pStyle w:val="StylePwCNormalnmajNormalnotetextcvteCNormalnotetext2"/>
      </w:pPr>
      <w:r>
        <w:t xml:space="preserve">To estimate the value of foregone economic output associated with additional employer closures on public holidays, </w:t>
      </w:r>
      <w:r w:rsidR="00C32C2C">
        <w:t>the analysis uses</w:t>
      </w:r>
      <w:r>
        <w:t xml:space="preserve"> ABS data on GSP by industry in Victoria. </w:t>
      </w:r>
    </w:p>
    <w:p w:rsidR="00BE03AE" w:rsidRDefault="00BE03AE">
      <w:pPr>
        <w:pStyle w:val="StylePwCNormalnmajNormalnotetextcvteCNormalnotetext2"/>
      </w:pPr>
      <w:r>
        <w:t>GSP can be broken down into the following components:</w:t>
      </w:r>
    </w:p>
    <w:p w:rsidR="00BE03AE" w:rsidRPr="00FA1F4B" w:rsidRDefault="00BE03AE" w:rsidP="00091AF8">
      <w:pPr>
        <w:pStyle w:val="ListBullet"/>
        <w:rPr>
          <w:b/>
        </w:rPr>
      </w:pPr>
      <w:r>
        <w:rPr>
          <w:b/>
        </w:rPr>
        <w:t>Total factor income</w:t>
      </w:r>
      <w:r w:rsidR="00E022AD">
        <w:rPr>
          <w:b/>
        </w:rPr>
        <w:t xml:space="preserve"> </w:t>
      </w:r>
      <w:r w:rsidR="00E022AD" w:rsidRPr="006566AE">
        <w:t>(TFI)</w:t>
      </w:r>
      <w:r>
        <w:t>, which captures business profits along with wages and other benefits paid to employees, such as superannuation.</w:t>
      </w:r>
    </w:p>
    <w:p w:rsidR="00BE03AE" w:rsidRPr="00FA1F4B" w:rsidRDefault="00BE03AE" w:rsidP="00091AF8">
      <w:pPr>
        <w:pStyle w:val="ListBullet"/>
        <w:rPr>
          <w:b/>
        </w:rPr>
      </w:pPr>
      <w:r>
        <w:rPr>
          <w:b/>
        </w:rPr>
        <w:t>Taxes less subsidies on production and on products</w:t>
      </w:r>
      <w:r>
        <w:t xml:space="preserve">, which relates to </w:t>
      </w:r>
      <w:r w:rsidR="003406E2">
        <w:t>government</w:t>
      </w:r>
      <w:r>
        <w:t xml:space="preserve"> revenue net of expenditure.</w:t>
      </w:r>
    </w:p>
    <w:p w:rsidR="003708E6" w:rsidRDefault="00BE03AE" w:rsidP="00C56D87">
      <w:pPr>
        <w:pStyle w:val="StylePwCNormalnmajNormalnotetextcvteCNormalnotetext2"/>
      </w:pPr>
      <w:r>
        <w:t xml:space="preserve">On public holidays where the level of economic activity is reduced relative to a normal day a proportion of GSP is expected to be foregone. </w:t>
      </w:r>
    </w:p>
    <w:p w:rsidR="00BE03AE" w:rsidRPr="000C281E" w:rsidRDefault="00BE03AE" w:rsidP="000D6E9A">
      <w:pPr>
        <w:pStyle w:val="Minorheading2"/>
        <w:rPr>
          <w:b w:val="0"/>
          <w:i/>
          <w:sz w:val="26"/>
        </w:rPr>
      </w:pPr>
      <w:r w:rsidRPr="000C281E">
        <w:rPr>
          <w:b w:val="0"/>
          <w:i/>
          <w:sz w:val="26"/>
        </w:rPr>
        <w:t>Proportion of GSP associated with one day’s production</w:t>
      </w:r>
    </w:p>
    <w:p w:rsidR="00BE03AE" w:rsidRDefault="00BE03AE" w:rsidP="00BE03AE">
      <w:pPr>
        <w:pStyle w:val="StylePwCNormalnmajNormalnotetextcvteCNormalnotetext"/>
        <w:numPr>
          <w:ilvl w:val="0"/>
          <w:numId w:val="26"/>
        </w:numPr>
      </w:pPr>
      <w:r>
        <w:t>As GSP is measured annually it is necessary to determine the proportion of annual GSP that is associated with a single day’s production. Different levels of output are assumed to occur on weekdays relative to weekend days and for employers in Category A and Category B.</w:t>
      </w:r>
    </w:p>
    <w:p w:rsidR="00BE03AE" w:rsidRDefault="00C32C2C" w:rsidP="00BE03AE">
      <w:pPr>
        <w:pStyle w:val="StylePwCNormalnmajNormalnotetextcvteCNormalnotetext"/>
        <w:numPr>
          <w:ilvl w:val="0"/>
          <w:numId w:val="26"/>
        </w:numPr>
      </w:pPr>
      <w:r>
        <w:t>E</w:t>
      </w:r>
      <w:r w:rsidR="00BE03AE">
        <w:t>mployers in Category B industries</w:t>
      </w:r>
      <w:r>
        <w:t>,</w:t>
      </w:r>
      <w:r w:rsidR="00BE03AE">
        <w:t xml:space="preserve"> where production typically occurs Monday to Friday</w:t>
      </w:r>
      <w:r>
        <w:t>,</w:t>
      </w:r>
      <w:r w:rsidR="00BE03AE">
        <w:t xml:space="preserve"> would be expected to operate on approximately 250 days per year. One day’s production would broadly correspond to 1/250 of annual production, which is equal to approximately 0.4 per cent.</w:t>
      </w:r>
    </w:p>
    <w:p w:rsidR="00BE03AE" w:rsidRDefault="00BE03AE" w:rsidP="00BE03AE">
      <w:pPr>
        <w:pStyle w:val="StylePwCNormalnmajNormalnotetextcvteCNormalnotetext"/>
        <w:numPr>
          <w:ilvl w:val="0"/>
          <w:numId w:val="26"/>
        </w:numPr>
      </w:pPr>
      <w:r>
        <w:t xml:space="preserve">Employers in Category </w:t>
      </w:r>
      <w:proofErr w:type="gramStart"/>
      <w:r>
        <w:t>A</w:t>
      </w:r>
      <w:proofErr w:type="gramEnd"/>
      <w:r>
        <w:t xml:space="preserve"> industries are assumed to spread production across approximately 363 days in the year as they typically operate on weekends and some public holidays. One day’s production in Category </w:t>
      </w:r>
      <w:proofErr w:type="gramStart"/>
      <w:r>
        <w:t>A</w:t>
      </w:r>
      <w:proofErr w:type="gramEnd"/>
      <w:r>
        <w:t xml:space="preserve"> industries broadly corresponds to 1/363 of annual production, which is equal to approximately 0.28 per cent.</w:t>
      </w:r>
    </w:p>
    <w:p w:rsidR="007C6D2F" w:rsidRDefault="00BE03AE" w:rsidP="00BE03AE">
      <w:pPr>
        <w:pStyle w:val="StylePwCNormalnmajNormalnotetextcvteCNormalnotetext"/>
        <w:numPr>
          <w:ilvl w:val="0"/>
          <w:numId w:val="26"/>
        </w:numPr>
      </w:pPr>
      <w:r>
        <w:t xml:space="preserve">To account for the fact that levels of daily production could vary by employer, by day of the week and by the time of year, the modelling has assumed a range of daily productivity estimates. </w:t>
      </w:r>
    </w:p>
    <w:p w:rsidR="0018690C" w:rsidRPr="000B469B" w:rsidRDefault="0018690C" w:rsidP="000C281E">
      <w:pPr>
        <w:pStyle w:val="Minorheading2"/>
      </w:pPr>
      <w:r w:rsidRPr="000B469B">
        <w:t>Day-of-week productivity effects</w:t>
      </w:r>
    </w:p>
    <w:p w:rsidR="0018690C" w:rsidRDefault="0018690C" w:rsidP="000D6E9A">
      <w:pPr>
        <w:pStyle w:val="StylePwCNormalnmajNormalnotetextcvteCNormalnotetext2"/>
      </w:pPr>
      <w:r>
        <w:t xml:space="preserve">There is some evidence to suggest that productivity could vary </w:t>
      </w:r>
      <w:r w:rsidR="008E6F46">
        <w:t>across the different</w:t>
      </w:r>
      <w:r>
        <w:t xml:space="preserve"> day</w:t>
      </w:r>
      <w:r w:rsidR="008E6F46">
        <w:t>s</w:t>
      </w:r>
      <w:r>
        <w:t xml:space="preserve"> of the week. </w:t>
      </w:r>
      <w:r w:rsidR="00BE03AE">
        <w:t>For instance, it is noted that workplace absenteeism is more common on Mondays and Fridays in Australia than on the intervening days.</w:t>
      </w:r>
      <w:r w:rsidR="00BE03AE">
        <w:rPr>
          <w:rStyle w:val="FootnoteReference"/>
        </w:rPr>
        <w:footnoteReference w:id="35"/>
      </w:r>
      <w:r w:rsidR="00BE03AE">
        <w:t xml:space="preserve"> This suggests that employer productivity on a Friday or Monday could be lower than other days of the week, and that the value of foregone economic output on a Friday public holiday could correspondingly also be lower</w:t>
      </w:r>
      <w:r w:rsidR="008E6F46">
        <w:t xml:space="preserve"> than would apply for other days of the week</w:t>
      </w:r>
      <w:r w:rsidR="00BE03AE">
        <w:t>.</w:t>
      </w:r>
      <w:r w:rsidR="007C6D2F">
        <w:t xml:space="preserve"> </w:t>
      </w:r>
    </w:p>
    <w:p w:rsidR="005A7CF8" w:rsidRDefault="007C6D2F" w:rsidP="000D6E9A">
      <w:pPr>
        <w:pStyle w:val="StylePwCNormalnmajNormalnotetextcvteCNormalnotetext2"/>
      </w:pPr>
      <w:r>
        <w:t>R</w:t>
      </w:r>
      <w:r w:rsidR="005A7CF8">
        <w:t xml:space="preserve">esearch </w:t>
      </w:r>
      <w:r w:rsidR="008E6F46">
        <w:t xml:space="preserve">from the United Kingdom </w:t>
      </w:r>
      <w:r w:rsidR="005A7CF8">
        <w:t>examining the amount of time spent working by employees on different days of the week found that people spend fewer minutes working on Fridays and Mondays relative to Tuesdays, Wednesdays and Thursdays.</w:t>
      </w:r>
      <w:r w:rsidR="005A7CF8">
        <w:rPr>
          <w:rStyle w:val="FootnoteReference"/>
        </w:rPr>
        <w:footnoteReference w:id="36"/>
      </w:r>
      <w:r w:rsidR="005A7CF8">
        <w:t xml:space="preserve"> </w:t>
      </w:r>
      <w:r w:rsidR="007B195F">
        <w:t>However, t</w:t>
      </w:r>
      <w:r w:rsidR="008E6F46">
        <w:t>he difference in minutes worked</w:t>
      </w:r>
      <w:r w:rsidR="005A7CF8">
        <w:t xml:space="preserve"> does not necessarily correspond to lower productivity on those days. As the </w:t>
      </w:r>
      <w:r w:rsidR="007B195F">
        <w:t>research paper</w:t>
      </w:r>
      <w:r w:rsidR="005A7CF8">
        <w:t xml:space="preserve"> acknowledges:</w:t>
      </w:r>
    </w:p>
    <w:p w:rsidR="005A7CF8" w:rsidRDefault="005A7CF8" w:rsidP="000D6E9A">
      <w:pPr>
        <w:pStyle w:val="Indent1"/>
      </w:pPr>
      <w:r>
        <w:rPr>
          <w:i/>
        </w:rPr>
        <w:t>“</w:t>
      </w:r>
      <w:proofErr w:type="gramStart"/>
      <w:r>
        <w:rPr>
          <w:i/>
        </w:rPr>
        <w:t>our</w:t>
      </w:r>
      <w:proofErr w:type="gramEnd"/>
      <w:r>
        <w:rPr>
          <w:i/>
        </w:rPr>
        <w:t xml:space="preserve"> review of the empirical literature uncovers scant direct evidence of day-of-week productivity effects”</w:t>
      </w:r>
      <w:r w:rsidR="00CB0DC2">
        <w:rPr>
          <w:i/>
        </w:rPr>
        <w:t>.</w:t>
      </w:r>
      <w:r>
        <w:rPr>
          <w:rStyle w:val="FootnoteReference"/>
          <w:i/>
        </w:rPr>
        <w:footnoteReference w:id="37"/>
      </w:r>
    </w:p>
    <w:p w:rsidR="00A130E1" w:rsidRDefault="00AE644C" w:rsidP="004071B7">
      <w:pPr>
        <w:pStyle w:val="StylePwCNormalnmajNormalnotetextcvteCNormalnotetext"/>
        <w:numPr>
          <w:ilvl w:val="0"/>
          <w:numId w:val="26"/>
        </w:numPr>
      </w:pPr>
      <w:r>
        <w:t xml:space="preserve">Furthermore, if it was assumed that Friday productivity </w:t>
      </w:r>
      <w:r w:rsidR="00513FB5">
        <w:t>is</w:t>
      </w:r>
      <w:r>
        <w:t xml:space="preserve"> lower than other weekdays due </w:t>
      </w:r>
      <w:r w:rsidR="007B195F">
        <w:t xml:space="preserve">to </w:t>
      </w:r>
      <w:r w:rsidR="00440A19">
        <w:t>it</w:t>
      </w:r>
      <w:r w:rsidR="007B195F">
        <w:t xml:space="preserve"> being adjacent to the weekend</w:t>
      </w:r>
      <w:r>
        <w:t xml:space="preserve">, it is likely that </w:t>
      </w:r>
      <w:r w:rsidR="00513FB5">
        <w:t xml:space="preserve">the introduction of a new public holiday on a Friday would impact not only the level of production on Friday (due to some employers not operating) but that of the preceding Thursday. This is because Thursday </w:t>
      </w:r>
      <w:r>
        <w:t xml:space="preserve">would become the last working day before a (long) weekend. </w:t>
      </w:r>
    </w:p>
    <w:p w:rsidR="0015027C" w:rsidRDefault="00440A19" w:rsidP="00223124">
      <w:pPr>
        <w:pStyle w:val="StylePwCNormalnmajNormalnotetextcvteCNormalnotetext"/>
        <w:numPr>
          <w:ilvl w:val="0"/>
          <w:numId w:val="26"/>
        </w:numPr>
      </w:pPr>
      <w:r>
        <w:t>In the absence of</w:t>
      </w:r>
      <w:r w:rsidR="0015027C">
        <w:t xml:space="preserve"> further information on the</w:t>
      </w:r>
      <w:r w:rsidR="00513FB5">
        <w:t>se</w:t>
      </w:r>
      <w:r w:rsidR="0015027C">
        <w:t xml:space="preserve"> relative </w:t>
      </w:r>
      <w:r w:rsidR="00BA45EA">
        <w:t>impact</w:t>
      </w:r>
      <w:r w:rsidR="00513FB5">
        <w:t>s</w:t>
      </w:r>
      <w:r w:rsidR="0015027C">
        <w:t xml:space="preserve">, </w:t>
      </w:r>
      <w:r>
        <w:t xml:space="preserve">the </w:t>
      </w:r>
      <w:r w:rsidR="00640DEE">
        <w:t xml:space="preserve">analysis assumes that the level of production foregone </w:t>
      </w:r>
      <w:r>
        <w:t>on</w:t>
      </w:r>
      <w:r w:rsidR="00640DEE">
        <w:t xml:space="preserve"> a Friday public holiday is equal to </w:t>
      </w:r>
      <w:r w:rsidR="00513FB5">
        <w:t>the</w:t>
      </w:r>
      <w:r>
        <w:t xml:space="preserve"> average</w:t>
      </w:r>
      <w:r w:rsidR="00640DEE">
        <w:t xml:space="preserve"> weekday</w:t>
      </w:r>
      <w:r w:rsidR="00513FB5">
        <w:t xml:space="preserve"> production for those businesses that close</w:t>
      </w:r>
      <w:r w:rsidR="00640DEE">
        <w:t>.</w:t>
      </w:r>
    </w:p>
    <w:p w:rsidR="0018690C" w:rsidRDefault="0018690C" w:rsidP="000C281E">
      <w:pPr>
        <w:pStyle w:val="Minorheading2"/>
      </w:pPr>
      <w:r>
        <w:t>Time-of-year productivity effects</w:t>
      </w:r>
    </w:p>
    <w:p w:rsidR="007C6D2F" w:rsidRDefault="00F7428F" w:rsidP="00DB7016">
      <w:pPr>
        <w:pStyle w:val="StylePwCNormalnmajNormalnotetextcvteCNormalnotetext"/>
        <w:numPr>
          <w:ilvl w:val="0"/>
          <w:numId w:val="26"/>
        </w:numPr>
      </w:pPr>
      <w:r>
        <w:t xml:space="preserve">It is </w:t>
      </w:r>
      <w:r w:rsidR="00C32C2C">
        <w:t xml:space="preserve">also </w:t>
      </w:r>
      <w:r>
        <w:t xml:space="preserve">acknowledged that productivity on the Friday before the AFL Grand Final could be lower than on other weekdays across the calendar for some employers, as it falls within the Victorian school holiday period. </w:t>
      </w:r>
      <w:r w:rsidR="007C6D2F">
        <w:t xml:space="preserve">Conversely, </w:t>
      </w:r>
      <w:r w:rsidR="0018690C">
        <w:t xml:space="preserve">for </w:t>
      </w:r>
      <w:r w:rsidR="00A2056D">
        <w:t>some</w:t>
      </w:r>
      <w:r w:rsidR="007C6D2F">
        <w:t xml:space="preserve"> Victorian employers</w:t>
      </w:r>
      <w:r w:rsidR="0018690C">
        <w:t xml:space="preserve"> this could be a busier period where productivity would potentially be higher.</w:t>
      </w:r>
      <w:r w:rsidR="00B375D5">
        <w:t xml:space="preserve"> For instance,</w:t>
      </w:r>
      <w:r w:rsidR="00C32C2C">
        <w:t xml:space="preserve"> some</w:t>
      </w:r>
      <w:r w:rsidR="00B375D5">
        <w:t xml:space="preserve"> restaurants and tourism businesses could experience greater demand in this period.</w:t>
      </w:r>
    </w:p>
    <w:p w:rsidR="00B375D5" w:rsidRDefault="00B375D5" w:rsidP="000C281E">
      <w:pPr>
        <w:pStyle w:val="Minorheading2"/>
      </w:pPr>
      <w:r>
        <w:t>Modelling assumptions</w:t>
      </w:r>
    </w:p>
    <w:p w:rsidR="00F7428F" w:rsidRDefault="00F7428F" w:rsidP="00DB7016">
      <w:pPr>
        <w:pStyle w:val="StylePwCNormalnmajNormalnotetextcvteCNormalnotetext"/>
        <w:numPr>
          <w:ilvl w:val="0"/>
          <w:numId w:val="26"/>
        </w:numPr>
      </w:pPr>
      <w:r>
        <w:t>The range of daily productivity estimates assumed in the modelling attempts to account for th</w:t>
      </w:r>
      <w:r w:rsidR="00541017">
        <w:t>e</w:t>
      </w:r>
      <w:r>
        <w:t>s</w:t>
      </w:r>
      <w:r w:rsidR="00541017">
        <w:t>e uncertainties</w:t>
      </w:r>
      <w:r>
        <w:t xml:space="preserve"> and </w:t>
      </w:r>
      <w:r w:rsidR="00541017">
        <w:t xml:space="preserve">for </w:t>
      </w:r>
      <w:r>
        <w:t>other trends that could influence the level of productivity achieved by different Victorian employers.</w:t>
      </w:r>
    </w:p>
    <w:p w:rsidR="00BE03AE" w:rsidRDefault="00BE03AE" w:rsidP="00BE03AE">
      <w:pPr>
        <w:pStyle w:val="StylePwCNormalnmajNormalnotetextcvteCNormalnotetext"/>
        <w:numPr>
          <w:ilvl w:val="0"/>
          <w:numId w:val="26"/>
        </w:numPr>
      </w:pPr>
      <w:r>
        <w:t xml:space="preserve">Our assumptions in respect of daily productivity are provided in </w:t>
      </w:r>
      <w:r>
        <w:fldChar w:fldCharType="begin"/>
      </w:r>
      <w:r>
        <w:instrText xml:space="preserve"> REF _Ref416945413 \h </w:instrText>
      </w:r>
      <w:r>
        <w:fldChar w:fldCharType="separate"/>
      </w:r>
      <w:r w:rsidR="00250375">
        <w:t xml:space="preserve">Table </w:t>
      </w:r>
      <w:r w:rsidR="00250375">
        <w:rPr>
          <w:noProof/>
        </w:rPr>
        <w:t>18</w:t>
      </w:r>
      <w:r>
        <w:fldChar w:fldCharType="end"/>
      </w:r>
      <w:r>
        <w:t>.</w:t>
      </w:r>
    </w:p>
    <w:p w:rsidR="00BE03AE" w:rsidRDefault="00BE03AE">
      <w:pPr>
        <w:pStyle w:val="Caption"/>
      </w:pPr>
      <w:bookmarkStart w:id="103" w:name="_Ref416945413"/>
      <w:r>
        <w:t xml:space="preserve">Table </w:t>
      </w:r>
      <w:r w:rsidR="00663565">
        <w:fldChar w:fldCharType="begin"/>
      </w:r>
      <w:r w:rsidR="00663565">
        <w:instrText xml:space="preserve"> SEQ Table \* ARABIC </w:instrText>
      </w:r>
      <w:r w:rsidR="00663565">
        <w:fldChar w:fldCharType="separate"/>
      </w:r>
      <w:r w:rsidR="00250375">
        <w:rPr>
          <w:noProof/>
        </w:rPr>
        <w:t>18</w:t>
      </w:r>
      <w:r w:rsidR="00663565">
        <w:rPr>
          <w:noProof/>
        </w:rPr>
        <w:fldChar w:fldCharType="end"/>
      </w:r>
      <w:bookmarkEnd w:id="103"/>
      <w:r>
        <w:t>: Proportion of annual output associated with one day's operation</w:t>
      </w:r>
    </w:p>
    <w:tbl>
      <w:tblPr>
        <w:tblStyle w:val="Tables-APBase"/>
        <w:tblW w:w="5000" w:type="pct"/>
        <w:tblLayout w:type="fixed"/>
        <w:tblLook w:val="04A0" w:firstRow="1" w:lastRow="0" w:firstColumn="1" w:lastColumn="0" w:noHBand="0" w:noVBand="1"/>
        <w:tblCaption w:val="Proportion of annual output associated with one day's operation"/>
        <w:tblDescription w:val="The table lists the assumptions adopted in the modelling for the proportion of annual output that is associated with one day's operation. The assumptions are provided as maximum and minimum percentages for category A industries and separately for category B industries."/>
      </w:tblPr>
      <w:tblGrid>
        <w:gridCol w:w="3653"/>
        <w:gridCol w:w="1195"/>
        <w:gridCol w:w="1198"/>
        <w:gridCol w:w="1196"/>
        <w:gridCol w:w="1195"/>
      </w:tblGrid>
      <w:tr w:rsidR="00BE03AE" w:rsidRPr="00EE17F1" w:rsidTr="00BE03AE">
        <w:trPr>
          <w:cnfStyle w:val="100000000000" w:firstRow="1" w:lastRow="0" w:firstColumn="0" w:lastColumn="0" w:oddVBand="0" w:evenVBand="0" w:oddHBand="0" w:evenHBand="0" w:firstRowFirstColumn="0" w:firstRowLastColumn="0" w:lastRowFirstColumn="0" w:lastRowLastColumn="0"/>
          <w:trHeight w:val="368"/>
        </w:trPr>
        <w:tc>
          <w:tcPr>
            <w:cnfStyle w:val="000000000100" w:firstRow="0" w:lastRow="0" w:firstColumn="0" w:lastColumn="0" w:oddVBand="0" w:evenVBand="0" w:oddHBand="0" w:evenHBand="0" w:firstRowFirstColumn="1" w:firstRowLastColumn="0" w:lastRowFirstColumn="0" w:lastRowLastColumn="0"/>
            <w:tcW w:w="2165" w:type="pct"/>
            <w:vMerge w:val="restart"/>
          </w:tcPr>
          <w:p w:rsidR="00BE03AE" w:rsidRDefault="00BE03AE">
            <w:pPr>
              <w:pStyle w:val="TableColumnHeadingSmall"/>
            </w:pPr>
          </w:p>
        </w:tc>
        <w:tc>
          <w:tcPr>
            <w:tcW w:w="1418" w:type="pct"/>
            <w:gridSpan w:val="2"/>
            <w:vAlign w:val="center"/>
          </w:tcPr>
          <w:p w:rsidR="00BE03AE" w:rsidRPr="00EE17F1" w:rsidRDefault="00BE03AE">
            <w:pPr>
              <w:keepNext/>
              <w:cnfStyle w:val="100000000000" w:firstRow="1" w:lastRow="0" w:firstColumn="0" w:lastColumn="0" w:oddVBand="0" w:evenVBand="0" w:oddHBand="0" w:evenHBand="0" w:firstRowFirstColumn="0" w:firstRowLastColumn="0" w:lastRowFirstColumn="0" w:lastRowLastColumn="0"/>
              <w:rPr>
                <w:rFonts w:ascii="Arial" w:hAnsi="Arial"/>
                <w:b/>
                <w:color w:val="A32020" w:themeColor="text2"/>
                <w:sz w:val="16"/>
                <w:szCs w:val="16"/>
              </w:rPr>
            </w:pPr>
            <w:r>
              <w:rPr>
                <w:rFonts w:ascii="Arial" w:hAnsi="Arial"/>
                <w:b/>
                <w:color w:val="A32020" w:themeColor="text2"/>
                <w:sz w:val="16"/>
                <w:szCs w:val="16"/>
              </w:rPr>
              <w:t>Category A industries</w:t>
            </w:r>
          </w:p>
        </w:tc>
        <w:tc>
          <w:tcPr>
            <w:tcW w:w="1417" w:type="pct"/>
            <w:gridSpan w:val="2"/>
            <w:vAlign w:val="center"/>
          </w:tcPr>
          <w:p w:rsidR="00BE03AE" w:rsidRPr="00EE17F1" w:rsidRDefault="00BE03AE">
            <w:pPr>
              <w:keepNext/>
              <w:cnfStyle w:val="100000000000" w:firstRow="1" w:lastRow="0" w:firstColumn="0" w:lastColumn="0" w:oddVBand="0" w:evenVBand="0" w:oddHBand="0" w:evenHBand="0" w:firstRowFirstColumn="0" w:firstRowLastColumn="0" w:lastRowFirstColumn="0" w:lastRowLastColumn="0"/>
              <w:rPr>
                <w:rFonts w:ascii="Arial" w:hAnsi="Arial"/>
                <w:b/>
                <w:color w:val="A32020" w:themeColor="text2"/>
                <w:sz w:val="16"/>
                <w:szCs w:val="16"/>
              </w:rPr>
            </w:pPr>
            <w:r>
              <w:rPr>
                <w:rFonts w:ascii="Arial" w:hAnsi="Arial"/>
                <w:b/>
                <w:color w:val="A32020" w:themeColor="text2"/>
                <w:sz w:val="16"/>
                <w:szCs w:val="16"/>
              </w:rPr>
              <w:t>Category B industries</w:t>
            </w:r>
          </w:p>
        </w:tc>
      </w:tr>
      <w:tr w:rsidR="00BE03AE" w:rsidRPr="00EE17F1" w:rsidTr="00BE03AE">
        <w:trPr>
          <w:trHeight w:val="367"/>
        </w:trPr>
        <w:tc>
          <w:tcPr>
            <w:tcW w:w="2165" w:type="pct"/>
            <w:vMerge/>
          </w:tcPr>
          <w:p w:rsidR="00BE03AE" w:rsidRDefault="00BE03AE">
            <w:pPr>
              <w:pStyle w:val="TableColumnHeadingSmall"/>
            </w:pPr>
          </w:p>
        </w:tc>
        <w:tc>
          <w:tcPr>
            <w:tcW w:w="708" w:type="pct"/>
            <w:vAlign w:val="center"/>
          </w:tcPr>
          <w:p w:rsidR="00BE03AE" w:rsidRPr="00EE17F1" w:rsidRDefault="00BE03AE">
            <w:pPr>
              <w:keepNext/>
              <w:jc w:val="center"/>
              <w:rPr>
                <w:rFonts w:ascii="Arial" w:hAnsi="Arial"/>
                <w:b/>
                <w:color w:val="A32020" w:themeColor="text2"/>
                <w:sz w:val="16"/>
                <w:szCs w:val="16"/>
              </w:rPr>
            </w:pPr>
            <w:r w:rsidRPr="00EE17F1">
              <w:rPr>
                <w:rFonts w:ascii="Arial" w:hAnsi="Arial"/>
                <w:b/>
                <w:color w:val="A32020" w:themeColor="text2"/>
                <w:sz w:val="16"/>
                <w:szCs w:val="16"/>
              </w:rPr>
              <w:t>Minimum</w:t>
            </w:r>
          </w:p>
        </w:tc>
        <w:tc>
          <w:tcPr>
            <w:tcW w:w="710" w:type="pct"/>
            <w:vAlign w:val="center"/>
          </w:tcPr>
          <w:p w:rsidR="00BE03AE" w:rsidRPr="00EE17F1" w:rsidRDefault="00BE03AE">
            <w:pPr>
              <w:keepNext/>
              <w:jc w:val="center"/>
              <w:rPr>
                <w:rFonts w:ascii="Arial" w:hAnsi="Arial"/>
                <w:b/>
                <w:color w:val="A32020" w:themeColor="text2"/>
                <w:sz w:val="16"/>
                <w:szCs w:val="16"/>
              </w:rPr>
            </w:pPr>
            <w:r w:rsidRPr="00EE17F1">
              <w:rPr>
                <w:rFonts w:ascii="Arial" w:hAnsi="Arial"/>
                <w:b/>
                <w:color w:val="A32020" w:themeColor="text2"/>
                <w:sz w:val="16"/>
                <w:szCs w:val="16"/>
              </w:rPr>
              <w:t>Maximum</w:t>
            </w:r>
          </w:p>
        </w:tc>
        <w:tc>
          <w:tcPr>
            <w:tcW w:w="709" w:type="pct"/>
            <w:vAlign w:val="center"/>
          </w:tcPr>
          <w:p w:rsidR="00BE03AE" w:rsidRPr="00EE17F1" w:rsidRDefault="00BE03AE">
            <w:pPr>
              <w:keepNext/>
              <w:jc w:val="center"/>
              <w:rPr>
                <w:rFonts w:ascii="Arial" w:hAnsi="Arial"/>
                <w:b/>
                <w:color w:val="A32020" w:themeColor="text2"/>
                <w:sz w:val="16"/>
                <w:szCs w:val="16"/>
              </w:rPr>
            </w:pPr>
            <w:r w:rsidRPr="00EE17F1">
              <w:rPr>
                <w:rFonts w:ascii="Arial" w:hAnsi="Arial"/>
                <w:b/>
                <w:color w:val="A32020" w:themeColor="text2"/>
                <w:sz w:val="16"/>
                <w:szCs w:val="16"/>
              </w:rPr>
              <w:t>Minimum</w:t>
            </w:r>
          </w:p>
        </w:tc>
        <w:tc>
          <w:tcPr>
            <w:tcW w:w="708" w:type="pct"/>
            <w:vAlign w:val="center"/>
          </w:tcPr>
          <w:p w:rsidR="00BE03AE" w:rsidRPr="00EE17F1" w:rsidRDefault="00BE03AE">
            <w:pPr>
              <w:keepNext/>
              <w:jc w:val="center"/>
              <w:rPr>
                <w:rFonts w:ascii="Arial" w:hAnsi="Arial"/>
                <w:b/>
                <w:color w:val="A32020" w:themeColor="text2"/>
                <w:sz w:val="16"/>
                <w:szCs w:val="16"/>
              </w:rPr>
            </w:pPr>
            <w:r w:rsidRPr="00EE17F1">
              <w:rPr>
                <w:rFonts w:ascii="Arial" w:hAnsi="Arial"/>
                <w:b/>
                <w:color w:val="A32020" w:themeColor="text2"/>
                <w:sz w:val="16"/>
                <w:szCs w:val="16"/>
              </w:rPr>
              <w:t>Maximum</w:t>
            </w:r>
          </w:p>
        </w:tc>
      </w:tr>
      <w:tr w:rsidR="00BE03AE" w:rsidRPr="002A28B0" w:rsidTr="00BE03AE">
        <w:trPr>
          <w:trHeight w:val="300"/>
        </w:trPr>
        <w:tc>
          <w:tcPr>
            <w:tcW w:w="2165" w:type="pct"/>
            <w:noWrap/>
            <w:vAlign w:val="bottom"/>
            <w:hideMark/>
          </w:tcPr>
          <w:p w:rsidR="00BE03AE" w:rsidRPr="002A28B0" w:rsidRDefault="00BE03AE">
            <w:pPr>
              <w:keepNext/>
              <w:kinsoku/>
              <w:overflowPunct/>
              <w:autoSpaceDE/>
              <w:autoSpaceDN/>
              <w:adjustRightInd/>
              <w:snapToGrid/>
              <w:rPr>
                <w:rFonts w:ascii="Arial" w:hAnsi="Arial"/>
                <w:snapToGrid/>
                <w:color w:val="000000"/>
                <w:sz w:val="16"/>
                <w:szCs w:val="16"/>
                <w:lang w:eastAsia="en-AU"/>
              </w:rPr>
            </w:pPr>
            <w:r>
              <w:rPr>
                <w:rFonts w:ascii="Arial" w:hAnsi="Arial"/>
                <w:snapToGrid/>
                <w:color w:val="000000"/>
                <w:sz w:val="16"/>
                <w:szCs w:val="16"/>
                <w:lang w:eastAsia="en-AU"/>
              </w:rPr>
              <w:t>Proportion of annual output associated with one day’s operation</w:t>
            </w:r>
          </w:p>
        </w:tc>
        <w:tc>
          <w:tcPr>
            <w:tcW w:w="708" w:type="pct"/>
            <w:vAlign w:val="center"/>
            <w:hideMark/>
          </w:tcPr>
          <w:p w:rsidR="00BE03AE" w:rsidRPr="002A28B0" w:rsidRDefault="00BE03AE">
            <w:pPr>
              <w:keepNext/>
              <w:jc w:val="center"/>
              <w:rPr>
                <w:rFonts w:ascii="Arial" w:hAnsi="Arial"/>
                <w:snapToGrid/>
                <w:color w:val="000000"/>
                <w:sz w:val="16"/>
                <w:szCs w:val="16"/>
                <w:lang w:eastAsia="en-AU"/>
              </w:rPr>
            </w:pPr>
            <w:r>
              <w:rPr>
                <w:rFonts w:ascii="Arial" w:hAnsi="Arial"/>
                <w:snapToGrid/>
                <w:color w:val="000000"/>
                <w:sz w:val="16"/>
                <w:szCs w:val="16"/>
                <w:lang w:eastAsia="en-AU"/>
              </w:rPr>
              <w:t>0.25%</w:t>
            </w:r>
          </w:p>
        </w:tc>
        <w:tc>
          <w:tcPr>
            <w:tcW w:w="710" w:type="pct"/>
            <w:vAlign w:val="center"/>
          </w:tcPr>
          <w:p w:rsidR="00BE03AE" w:rsidRPr="002A28B0" w:rsidRDefault="00BE03AE">
            <w:pPr>
              <w:keepNext/>
              <w:jc w:val="center"/>
              <w:rPr>
                <w:rFonts w:ascii="Arial" w:hAnsi="Arial"/>
                <w:snapToGrid/>
                <w:color w:val="000000"/>
                <w:sz w:val="16"/>
                <w:szCs w:val="16"/>
                <w:lang w:eastAsia="en-AU"/>
              </w:rPr>
            </w:pPr>
            <w:r>
              <w:rPr>
                <w:rFonts w:ascii="Arial" w:hAnsi="Arial"/>
                <w:snapToGrid/>
                <w:color w:val="000000"/>
                <w:sz w:val="16"/>
                <w:szCs w:val="16"/>
                <w:lang w:eastAsia="en-AU"/>
              </w:rPr>
              <w:t>0.31%</w:t>
            </w:r>
          </w:p>
        </w:tc>
        <w:tc>
          <w:tcPr>
            <w:tcW w:w="709" w:type="pct"/>
            <w:vAlign w:val="center"/>
          </w:tcPr>
          <w:p w:rsidR="00BE03AE" w:rsidRPr="002A28B0" w:rsidRDefault="00BE03AE">
            <w:pPr>
              <w:keepNext/>
              <w:jc w:val="center"/>
              <w:rPr>
                <w:rFonts w:ascii="Arial" w:hAnsi="Arial"/>
                <w:snapToGrid/>
                <w:color w:val="000000"/>
                <w:sz w:val="16"/>
                <w:szCs w:val="16"/>
                <w:lang w:eastAsia="en-AU"/>
              </w:rPr>
            </w:pPr>
            <w:r>
              <w:rPr>
                <w:rFonts w:ascii="Arial" w:hAnsi="Arial"/>
                <w:snapToGrid/>
                <w:color w:val="000000"/>
                <w:sz w:val="16"/>
                <w:szCs w:val="16"/>
                <w:lang w:eastAsia="en-AU"/>
              </w:rPr>
              <w:t>0.</w:t>
            </w:r>
            <w:r w:rsidR="00812852">
              <w:rPr>
                <w:rFonts w:ascii="Arial" w:hAnsi="Arial"/>
                <w:snapToGrid/>
                <w:color w:val="000000"/>
                <w:sz w:val="16"/>
                <w:szCs w:val="16"/>
                <w:lang w:eastAsia="en-AU"/>
              </w:rPr>
              <w:t>36</w:t>
            </w:r>
            <w:r>
              <w:rPr>
                <w:rFonts w:ascii="Arial" w:hAnsi="Arial"/>
                <w:snapToGrid/>
                <w:color w:val="000000"/>
                <w:sz w:val="16"/>
                <w:szCs w:val="16"/>
                <w:lang w:eastAsia="en-AU"/>
              </w:rPr>
              <w:t>%</w:t>
            </w:r>
          </w:p>
        </w:tc>
        <w:tc>
          <w:tcPr>
            <w:tcW w:w="708" w:type="pct"/>
            <w:vAlign w:val="center"/>
          </w:tcPr>
          <w:p w:rsidR="00BE03AE" w:rsidRPr="002A28B0" w:rsidRDefault="00BE03AE">
            <w:pPr>
              <w:keepNext/>
              <w:jc w:val="center"/>
              <w:rPr>
                <w:rFonts w:ascii="Arial" w:hAnsi="Arial"/>
                <w:snapToGrid/>
                <w:color w:val="000000"/>
                <w:sz w:val="16"/>
                <w:szCs w:val="16"/>
                <w:lang w:eastAsia="en-AU"/>
              </w:rPr>
            </w:pPr>
            <w:r>
              <w:rPr>
                <w:rFonts w:ascii="Arial" w:hAnsi="Arial"/>
                <w:snapToGrid/>
                <w:color w:val="000000"/>
                <w:sz w:val="16"/>
                <w:szCs w:val="16"/>
                <w:lang w:eastAsia="en-AU"/>
              </w:rPr>
              <w:t>0.44%</w:t>
            </w:r>
          </w:p>
        </w:tc>
      </w:tr>
    </w:tbl>
    <w:p w:rsidR="00BE03AE" w:rsidRDefault="00260039" w:rsidP="00091AF8">
      <w:pPr>
        <w:pStyle w:val="Sources"/>
        <w:keepNext/>
      </w:pPr>
      <w:r>
        <w:t>Source: PwC analysis</w:t>
      </w:r>
      <w:r w:rsidR="0092367F">
        <w:t xml:space="preserve"> informed by stakeholder consultation.</w:t>
      </w:r>
    </w:p>
    <w:p w:rsidR="00BE03AE" w:rsidRDefault="00BE03AE" w:rsidP="000D6E9A">
      <w:pPr>
        <w:pStyle w:val="Minorheading2"/>
      </w:pPr>
      <w:r>
        <w:t>Calculation of foregone economic value</w:t>
      </w:r>
    </w:p>
    <w:p w:rsidR="00BE03AE" w:rsidRDefault="00BE03AE" w:rsidP="00C56D87">
      <w:pPr>
        <w:pStyle w:val="StylePwCNormalnmajNormalnotetextcvteCNormalnotetext2"/>
      </w:pPr>
      <w:r>
        <w:t xml:space="preserve">For each industry, the calculation of foregone economic value associated with reduced economic activity is shown in </w:t>
      </w:r>
      <w:r>
        <w:fldChar w:fldCharType="begin"/>
      </w:r>
      <w:r>
        <w:instrText xml:space="preserve"> REF _Ref416950853 \h </w:instrText>
      </w:r>
      <w:r>
        <w:fldChar w:fldCharType="separate"/>
      </w:r>
      <w:r w:rsidR="00250375">
        <w:t xml:space="preserve">Figure </w:t>
      </w:r>
      <w:r w:rsidR="00250375">
        <w:rPr>
          <w:noProof/>
        </w:rPr>
        <w:t>4</w:t>
      </w:r>
      <w:r>
        <w:fldChar w:fldCharType="end"/>
      </w:r>
      <w:r>
        <w:t>.</w:t>
      </w:r>
    </w:p>
    <w:p w:rsidR="00BE03AE" w:rsidRDefault="00BE03AE">
      <w:pPr>
        <w:pStyle w:val="Caption"/>
      </w:pPr>
      <w:bookmarkStart w:id="104" w:name="_Ref416950853"/>
      <w:r>
        <w:t xml:space="preserve">Figure </w:t>
      </w:r>
      <w:r w:rsidR="00663565">
        <w:fldChar w:fldCharType="begin"/>
      </w:r>
      <w:r w:rsidR="00663565">
        <w:instrText xml:space="preserve"> SEQ Figure \* ARABIC </w:instrText>
      </w:r>
      <w:r w:rsidR="00663565">
        <w:fldChar w:fldCharType="separate"/>
      </w:r>
      <w:r w:rsidR="00250375">
        <w:rPr>
          <w:noProof/>
        </w:rPr>
        <w:t>4</w:t>
      </w:r>
      <w:r w:rsidR="00663565">
        <w:rPr>
          <w:noProof/>
        </w:rPr>
        <w:fldChar w:fldCharType="end"/>
      </w:r>
      <w:bookmarkEnd w:id="104"/>
      <w:r>
        <w:t xml:space="preserve">: Calculation of foregone economic value associated with reduced economic activity </w:t>
      </w:r>
    </w:p>
    <w:p w:rsidR="00260039" w:rsidRDefault="00BE03AE" w:rsidP="00091AF8">
      <w:pPr>
        <w:pStyle w:val="Sources"/>
        <w:keepNext/>
      </w:pPr>
      <w:r w:rsidRPr="00F100CB">
        <w:rPr>
          <w:noProof/>
          <w:lang w:eastAsia="en-AU"/>
        </w:rPr>
        <w:drawing>
          <wp:inline distT="0" distB="0" distL="0" distR="0" wp14:anchorId="128FEA0D" wp14:editId="3612A428">
            <wp:extent cx="5220335" cy="678197"/>
            <wp:effectExtent l="0" t="0" r="18415" b="0"/>
            <wp:docPr id="10" name="Diagram 10" descr="The figure describes the method adopted in the calculation of foregone economic value associated with reduced economic activity. The calculation is as follows: Industry TFI multiplied by the proportion of employers closing due to holiday multiplied by the proportion of annual output for one day multiplied by the proportion of production not smoothed multiplied by the foregone government revenue. The total of these components is equal to the foregone economic value." title="Calculation of foregone economic value associated with reduced economic activity "/>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r w:rsidR="00260039" w:rsidRPr="00260039">
        <w:t xml:space="preserve"> </w:t>
      </w:r>
      <w:r w:rsidR="00260039">
        <w:t>Source: PwC analysis.</w:t>
      </w:r>
    </w:p>
    <w:p w:rsidR="003141F9" w:rsidRDefault="003141F9" w:rsidP="00BE03AE">
      <w:pPr>
        <w:pStyle w:val="StylePwCNormalnmajNormalnotetextcvteCNormalnotetext"/>
        <w:numPr>
          <w:ilvl w:val="0"/>
          <w:numId w:val="26"/>
        </w:numPr>
      </w:pPr>
      <w:r>
        <w:t xml:space="preserve">The analysis of foregone economic value due to employers closing on additional public holidays is based on the proportions of businesses or employers by industry choosing not to operate beyond that which would otherwise normally be expected on that day. For instance, it is anticipated that significant numbers of employers would </w:t>
      </w:r>
      <w:r w:rsidR="00996995">
        <w:t>normally</w:t>
      </w:r>
      <w:r>
        <w:t xml:space="preserve"> choose not to operate on Easter Sunday </w:t>
      </w:r>
      <w:r w:rsidR="00C32C2C">
        <w:t xml:space="preserve">in the absence of </w:t>
      </w:r>
      <w:r w:rsidR="00996995">
        <w:t xml:space="preserve">the introduction of a public holiday on that day. It </w:t>
      </w:r>
      <w:r w:rsidR="00C32C2C">
        <w:t xml:space="preserve">is </w:t>
      </w:r>
      <w:r w:rsidR="00996995">
        <w:t xml:space="preserve">assumed that </w:t>
      </w:r>
      <w:r w:rsidR="00C32C2C">
        <w:t>the number of employer closures</w:t>
      </w:r>
      <w:r w:rsidR="00996995">
        <w:t xml:space="preserve"> would be greater than that observed on a normal Sunday.</w:t>
      </w:r>
    </w:p>
    <w:p w:rsidR="00996995" w:rsidRDefault="00996995" w:rsidP="00BE03AE">
      <w:pPr>
        <w:pStyle w:val="StylePwCNormalnmajNormalnotetextcvteCNormalnotetext"/>
        <w:numPr>
          <w:ilvl w:val="0"/>
          <w:numId w:val="26"/>
        </w:numPr>
      </w:pPr>
      <w:r>
        <w:t xml:space="preserve">Similarly, for the Friday before the AFL Grand Final the calculation of foregone economic value due to employers closing is based on the proportions of employers choosing not to operate beyond that which would otherwise normally be expected on </w:t>
      </w:r>
      <w:r w:rsidR="00C32C2C">
        <w:t xml:space="preserve">that </w:t>
      </w:r>
      <w:r>
        <w:t>day under</w:t>
      </w:r>
      <w:r w:rsidR="00C32C2C">
        <w:t xml:space="preserve"> the</w:t>
      </w:r>
      <w:r>
        <w:t xml:space="preserve"> current arrangements. </w:t>
      </w:r>
    </w:p>
    <w:p w:rsidR="00BE03AE" w:rsidRDefault="00BE03AE" w:rsidP="00BE03AE">
      <w:pPr>
        <w:pStyle w:val="StylePwCNormalnmajNormalnotetextcvteCNormalnotetext"/>
        <w:numPr>
          <w:ilvl w:val="0"/>
          <w:numId w:val="26"/>
        </w:numPr>
      </w:pPr>
      <w:r>
        <w:t xml:space="preserve">Additional calculations are required in relation to </w:t>
      </w:r>
      <w:r w:rsidR="0063419D">
        <w:t>g</w:t>
      </w:r>
      <w:r>
        <w:t>overnment revenue associated with the level of total factor income foregone due to additional public holidays. This is captured in the state accounts for Victoria by the net of taxes less subsidies on production and on products</w:t>
      </w:r>
      <w:r w:rsidR="00C32C2C">
        <w:t xml:space="preserve"> measure</w:t>
      </w:r>
      <w:r>
        <w:t xml:space="preserve">. It is assumed that where reduced production occurs, reduced taxes are levied and subsidies paid by </w:t>
      </w:r>
      <w:r w:rsidR="0063419D">
        <w:t>g</w:t>
      </w:r>
      <w:r>
        <w:t xml:space="preserve">overnment. </w:t>
      </w:r>
    </w:p>
    <w:p w:rsidR="00BE03AE" w:rsidRDefault="00BE03AE" w:rsidP="00BE03AE">
      <w:pPr>
        <w:pStyle w:val="StylePwCNormalnmajNormalnotetextcvteCNormalnotetext"/>
        <w:numPr>
          <w:ilvl w:val="0"/>
          <w:numId w:val="26"/>
        </w:numPr>
      </w:pPr>
      <w:r>
        <w:t xml:space="preserve">The amount of foregone taxes less subsidies on production and on products is calculated by first estimating the proportion of annual total factor income that is foregone under the options considered. </w:t>
      </w:r>
      <w:r w:rsidR="00C32C2C">
        <w:t>The analysis applies</w:t>
      </w:r>
      <w:r>
        <w:t xml:space="preserve"> this proportion to annual taxes less subsidies on production and on products to calculate an amount that would be foregone under each option. </w:t>
      </w:r>
      <w:r w:rsidR="00FE4EE1">
        <w:t xml:space="preserve"> </w:t>
      </w:r>
    </w:p>
    <w:p w:rsidR="00BE03AE" w:rsidRDefault="00BE03AE" w:rsidP="00BE03AE">
      <w:pPr>
        <w:pStyle w:val="StylePwCNormalnmajNormalnotetextcvteCNormalnotetext"/>
        <w:numPr>
          <w:ilvl w:val="0"/>
          <w:numId w:val="26"/>
        </w:numPr>
      </w:pPr>
      <w:r>
        <w:t>The net impact to Victoria of the options is the sum of foregone total factor income and foregone taxes less subsidies on production and on products associated with each option.</w:t>
      </w:r>
    </w:p>
    <w:p w:rsidR="00BE03AE" w:rsidRDefault="00BE03AE" w:rsidP="00BE03AE">
      <w:pPr>
        <w:pStyle w:val="Majorheading"/>
      </w:pPr>
      <w:r>
        <w:t>Wage transfers</w:t>
      </w:r>
    </w:p>
    <w:p w:rsidR="00BE03AE" w:rsidRDefault="00BE03AE" w:rsidP="00091AF8">
      <w:pPr>
        <w:pStyle w:val="StylePwCNormalnmajNormalnotetextcvteCNormalnotetext2"/>
      </w:pPr>
      <w:r>
        <w:t xml:space="preserve">The wage transfer impacts of each option have been estimated using data on average earnings of Australian workers by industry, overall employment in Victoria by industry and penalty rates in Australia by industry. These are provided in </w:t>
      </w:r>
      <w:r>
        <w:fldChar w:fldCharType="begin"/>
      </w:r>
      <w:r>
        <w:instrText xml:space="preserve"> REF _Ref416946525 \h </w:instrText>
      </w:r>
      <w:r>
        <w:fldChar w:fldCharType="separate"/>
      </w:r>
      <w:r w:rsidR="00250375">
        <w:t xml:space="preserve">Table </w:t>
      </w:r>
      <w:r w:rsidR="00250375">
        <w:rPr>
          <w:noProof/>
        </w:rPr>
        <w:t>19</w:t>
      </w:r>
      <w:r>
        <w:fldChar w:fldCharType="end"/>
      </w:r>
      <w:r>
        <w:t>.</w:t>
      </w:r>
    </w:p>
    <w:p w:rsidR="00BE03AE" w:rsidRDefault="00BE03AE">
      <w:pPr>
        <w:pStyle w:val="Caption"/>
      </w:pPr>
      <w:bookmarkStart w:id="105" w:name="_Ref416946525"/>
      <w:r>
        <w:t xml:space="preserve">Table </w:t>
      </w:r>
      <w:r w:rsidR="00663565">
        <w:fldChar w:fldCharType="begin"/>
      </w:r>
      <w:r w:rsidR="00663565">
        <w:instrText xml:space="preserve"> SEQ Table \* ARABIC </w:instrText>
      </w:r>
      <w:r w:rsidR="00663565">
        <w:fldChar w:fldCharType="separate"/>
      </w:r>
      <w:r w:rsidR="00250375">
        <w:rPr>
          <w:noProof/>
        </w:rPr>
        <w:t>19</w:t>
      </w:r>
      <w:r w:rsidR="00663565">
        <w:rPr>
          <w:noProof/>
        </w:rPr>
        <w:fldChar w:fldCharType="end"/>
      </w:r>
      <w:bookmarkEnd w:id="105"/>
      <w:r>
        <w:t xml:space="preserve">: </w:t>
      </w:r>
      <w:r w:rsidR="00C32C2C">
        <w:t>D</w:t>
      </w:r>
      <w:r>
        <w:t>ata</w:t>
      </w:r>
      <w:r w:rsidR="00C32C2C">
        <w:t xml:space="preserve"> sources</w:t>
      </w:r>
      <w:r>
        <w:t xml:space="preserve"> used in calculating wage transfers</w:t>
      </w:r>
    </w:p>
    <w:tbl>
      <w:tblPr>
        <w:tblStyle w:val="Tables-APBase"/>
        <w:tblW w:w="5000" w:type="pct"/>
        <w:tblLayout w:type="fixed"/>
        <w:tblLook w:val="04A0" w:firstRow="1" w:lastRow="0" w:firstColumn="1" w:lastColumn="0" w:noHBand="0" w:noVBand="1"/>
        <w:tblCaption w:val="Data sources used in calculating wage transfers"/>
        <w:tblDescription w:val="The table lists the data sources used in calculating wage transfers."/>
      </w:tblPr>
      <w:tblGrid>
        <w:gridCol w:w="3085"/>
        <w:gridCol w:w="3969"/>
        <w:gridCol w:w="1383"/>
      </w:tblGrid>
      <w:tr w:rsidR="00BE03AE" w:rsidTr="00BE03AE">
        <w:trPr>
          <w:cnfStyle w:val="100000000000" w:firstRow="1" w:lastRow="0" w:firstColumn="0" w:lastColumn="0" w:oddVBand="0" w:evenVBand="0" w:oddHBand="0" w:evenHBand="0" w:firstRowFirstColumn="0" w:firstRowLastColumn="0" w:lastRowFirstColumn="0" w:lastRowLastColumn="0"/>
        </w:trPr>
        <w:tc>
          <w:tcPr>
            <w:cnfStyle w:val="000000000100" w:firstRow="0" w:lastRow="0" w:firstColumn="0" w:lastColumn="0" w:oddVBand="0" w:evenVBand="0" w:oddHBand="0" w:evenHBand="0" w:firstRowFirstColumn="1" w:firstRowLastColumn="0" w:lastRowFirstColumn="0" w:lastRowLastColumn="0"/>
            <w:tcW w:w="3085" w:type="dxa"/>
            <w:vAlign w:val="center"/>
          </w:tcPr>
          <w:p w:rsidR="00BE03AE" w:rsidRDefault="00BE03AE">
            <w:pPr>
              <w:pStyle w:val="TableColumnHeadingSmall"/>
              <w:jc w:val="center"/>
            </w:pPr>
            <w:r>
              <w:t>Data item</w:t>
            </w:r>
          </w:p>
        </w:tc>
        <w:tc>
          <w:tcPr>
            <w:tcW w:w="3969" w:type="dxa"/>
            <w:vAlign w:val="center"/>
          </w:tcPr>
          <w:p w:rsidR="00BE03AE" w:rsidRDefault="00BE03AE">
            <w:pPr>
              <w:pStyle w:val="TableColumnHeadingSmall"/>
              <w:cnfStyle w:val="100000000000" w:firstRow="1" w:lastRow="0" w:firstColumn="0" w:lastColumn="0" w:oddVBand="0" w:evenVBand="0" w:oddHBand="0" w:evenHBand="0" w:firstRowFirstColumn="0" w:firstRowLastColumn="0" w:lastRowFirstColumn="0" w:lastRowLastColumn="0"/>
            </w:pPr>
            <w:r>
              <w:t>Source</w:t>
            </w:r>
          </w:p>
        </w:tc>
        <w:tc>
          <w:tcPr>
            <w:tcW w:w="1383" w:type="dxa"/>
            <w:vAlign w:val="center"/>
          </w:tcPr>
          <w:p w:rsidR="00BE03AE" w:rsidRDefault="00BE03AE">
            <w:pPr>
              <w:pStyle w:val="TableColumnHeadingSmall"/>
              <w:cnfStyle w:val="100000000000" w:firstRow="1" w:lastRow="0" w:firstColumn="0" w:lastColumn="0" w:oddVBand="0" w:evenVBand="0" w:oddHBand="0" w:evenHBand="0" w:firstRowFirstColumn="0" w:firstRowLastColumn="0" w:lastRowFirstColumn="0" w:lastRowLastColumn="0"/>
            </w:pPr>
            <w:r>
              <w:t>Period</w:t>
            </w:r>
          </w:p>
        </w:tc>
      </w:tr>
      <w:tr w:rsidR="00BE03AE" w:rsidTr="00C873BE">
        <w:tc>
          <w:tcPr>
            <w:tcW w:w="3085" w:type="dxa"/>
            <w:vAlign w:val="center"/>
          </w:tcPr>
          <w:p w:rsidR="00BE03AE" w:rsidRDefault="00BE03AE" w:rsidP="00CF1E7D">
            <w:pPr>
              <w:pStyle w:val="TableTextSmall"/>
              <w:keepNext/>
            </w:pPr>
            <w:r>
              <w:t>Average weekly earnings for full-time workers by industry in Australia</w:t>
            </w:r>
          </w:p>
        </w:tc>
        <w:tc>
          <w:tcPr>
            <w:tcW w:w="3969" w:type="dxa"/>
            <w:vAlign w:val="center"/>
          </w:tcPr>
          <w:p w:rsidR="00BE03AE" w:rsidRDefault="00BE03AE" w:rsidP="00CF1E7D">
            <w:pPr>
              <w:pStyle w:val="TableTextSmall"/>
              <w:keepNext/>
            </w:pPr>
            <w:r>
              <w:t xml:space="preserve">ABS </w:t>
            </w:r>
            <w:r w:rsidRPr="00943B01">
              <w:t>6302.0 Average Weekly Earnings, Australia</w:t>
            </w:r>
            <w:r>
              <w:t>. Table 10H</w:t>
            </w:r>
          </w:p>
        </w:tc>
        <w:tc>
          <w:tcPr>
            <w:tcW w:w="1383" w:type="dxa"/>
            <w:vAlign w:val="center"/>
          </w:tcPr>
          <w:p w:rsidR="00BE03AE" w:rsidRDefault="00BE03AE">
            <w:pPr>
              <w:pStyle w:val="TableTextSmall"/>
              <w:keepNext/>
            </w:pPr>
            <w:r>
              <w:t>June 2014</w:t>
            </w:r>
          </w:p>
        </w:tc>
      </w:tr>
      <w:tr w:rsidR="00BE03AE" w:rsidTr="00C873BE">
        <w:tc>
          <w:tcPr>
            <w:tcW w:w="3085" w:type="dxa"/>
            <w:vAlign w:val="center"/>
          </w:tcPr>
          <w:p w:rsidR="00BE03AE" w:rsidRDefault="00BE03AE" w:rsidP="00CF1E7D">
            <w:pPr>
              <w:pStyle w:val="TableTextSmall"/>
              <w:keepNext/>
            </w:pPr>
            <w:r>
              <w:t>Employment by industry in Victoria</w:t>
            </w:r>
          </w:p>
        </w:tc>
        <w:tc>
          <w:tcPr>
            <w:tcW w:w="3969" w:type="dxa"/>
            <w:vAlign w:val="center"/>
          </w:tcPr>
          <w:p w:rsidR="00BE03AE" w:rsidRDefault="00BE03AE" w:rsidP="00CF1E7D">
            <w:pPr>
              <w:pStyle w:val="TableTextSmall"/>
              <w:keepNext/>
            </w:pPr>
            <w:r w:rsidRPr="00943B01">
              <w:t>6291.0.55.003 Labour Force, Australia, Detailed, Quarterly</w:t>
            </w:r>
            <w:r>
              <w:t>. Table 5</w:t>
            </w:r>
          </w:p>
        </w:tc>
        <w:tc>
          <w:tcPr>
            <w:tcW w:w="1383" w:type="dxa"/>
            <w:vAlign w:val="center"/>
          </w:tcPr>
          <w:p w:rsidR="00BE03AE" w:rsidRDefault="00BE03AE">
            <w:pPr>
              <w:pStyle w:val="TableTextSmall"/>
              <w:keepNext/>
            </w:pPr>
            <w:r>
              <w:t>May 2014</w:t>
            </w:r>
          </w:p>
        </w:tc>
      </w:tr>
      <w:tr w:rsidR="00BE03AE" w:rsidTr="00C873BE">
        <w:tc>
          <w:tcPr>
            <w:tcW w:w="3085" w:type="dxa"/>
            <w:vAlign w:val="center"/>
          </w:tcPr>
          <w:p w:rsidR="00BE03AE" w:rsidRDefault="00BE03AE" w:rsidP="00CF1E7D">
            <w:pPr>
              <w:pStyle w:val="TableTextSmall"/>
              <w:keepNext/>
            </w:pPr>
            <w:r>
              <w:t>Penalty rates by industry in Australia</w:t>
            </w:r>
          </w:p>
        </w:tc>
        <w:tc>
          <w:tcPr>
            <w:tcW w:w="3969" w:type="dxa"/>
            <w:vAlign w:val="center"/>
          </w:tcPr>
          <w:p w:rsidR="00BE03AE" w:rsidRDefault="00BE03AE" w:rsidP="00CF1E7D">
            <w:pPr>
              <w:pStyle w:val="TableTextSmall"/>
              <w:keepNext/>
            </w:pPr>
            <w:r>
              <w:t xml:space="preserve">Fair Work Australia pay guides, available from </w:t>
            </w:r>
            <w:hyperlink r:id="rId45" w:history="1">
              <w:r w:rsidRPr="00191418">
                <w:rPr>
                  <w:rStyle w:val="Hyperlink"/>
                </w:rPr>
                <w:t>http://www.fairwork.gov.au/pay/minimum-wages/pay-guides</w:t>
              </w:r>
            </w:hyperlink>
            <w:r>
              <w:t xml:space="preserve">. </w:t>
            </w:r>
          </w:p>
        </w:tc>
        <w:tc>
          <w:tcPr>
            <w:tcW w:w="1383" w:type="dxa"/>
            <w:vAlign w:val="center"/>
          </w:tcPr>
          <w:p w:rsidR="00BE03AE" w:rsidRDefault="00BE03AE">
            <w:pPr>
              <w:pStyle w:val="TableTextSmall"/>
              <w:keepNext/>
            </w:pPr>
            <w:r>
              <w:t>N/A</w:t>
            </w:r>
          </w:p>
        </w:tc>
      </w:tr>
    </w:tbl>
    <w:p w:rsidR="00BE03AE" w:rsidRDefault="00BE03AE" w:rsidP="00B375D5">
      <w:pPr>
        <w:pStyle w:val="StylePwCNormalnmajNormalnotetextcvteCNormalnotetext2"/>
      </w:pPr>
      <w:r>
        <w:t xml:space="preserve">For each industry, the wage transfer calculation is shown in </w:t>
      </w:r>
      <w:r>
        <w:fldChar w:fldCharType="begin"/>
      </w:r>
      <w:r>
        <w:instrText xml:space="preserve"> REF _Ref416958608 \h </w:instrText>
      </w:r>
      <w:r>
        <w:fldChar w:fldCharType="separate"/>
      </w:r>
      <w:r w:rsidR="00250375">
        <w:t xml:space="preserve">Figure </w:t>
      </w:r>
      <w:r w:rsidR="00250375">
        <w:rPr>
          <w:noProof/>
        </w:rPr>
        <w:t>5</w:t>
      </w:r>
      <w:r>
        <w:fldChar w:fldCharType="end"/>
      </w:r>
      <w:r>
        <w:t xml:space="preserve">. Separate calculations are performed for part-time and full-time workers. </w:t>
      </w:r>
    </w:p>
    <w:p w:rsidR="00BE03AE" w:rsidRDefault="00BE03AE">
      <w:pPr>
        <w:pStyle w:val="Minorheading2"/>
      </w:pPr>
      <w:bookmarkStart w:id="106" w:name="_Ref416958608"/>
      <w:r>
        <w:t xml:space="preserve">Figure </w:t>
      </w:r>
      <w:r w:rsidR="00663565">
        <w:fldChar w:fldCharType="begin"/>
      </w:r>
      <w:r w:rsidR="00663565">
        <w:instrText xml:space="preserve"> SEQ Figure \* ARABIC </w:instrText>
      </w:r>
      <w:r w:rsidR="00663565">
        <w:fldChar w:fldCharType="separate"/>
      </w:r>
      <w:r w:rsidR="00250375">
        <w:rPr>
          <w:noProof/>
        </w:rPr>
        <w:t>5</w:t>
      </w:r>
      <w:r w:rsidR="00663565">
        <w:rPr>
          <w:noProof/>
        </w:rPr>
        <w:fldChar w:fldCharType="end"/>
      </w:r>
      <w:bookmarkEnd w:id="106"/>
      <w:r>
        <w:t>: Calculation of wage transfers</w:t>
      </w:r>
    </w:p>
    <w:p w:rsidR="00BE03AE" w:rsidRDefault="00BE03AE" w:rsidP="00091AF8">
      <w:pPr>
        <w:pStyle w:val="PwCNormal"/>
        <w:keepNext/>
        <w:spacing w:before="0" w:after="240"/>
      </w:pPr>
      <w:r w:rsidRPr="00E77243">
        <w:rPr>
          <w:noProof/>
          <w:lang w:eastAsia="en-AU"/>
        </w:rPr>
        <w:drawing>
          <wp:inline distT="0" distB="0" distL="0" distR="0" wp14:anchorId="043050B0" wp14:editId="4C942A02">
            <wp:extent cx="5220335" cy="1032355"/>
            <wp:effectExtent l="0" t="0" r="18415" b="0"/>
            <wp:docPr id="1" name="Diagram 1" descr="The figure describes the approach adopted in calculating the estimates of wage transfers. The calculation is as follows: Adjusted average daily earnings multiplied by the Industry employment multiplied by the Proportion of employers operating multiplied by the Proportion of employees working multiplied by the difference in penalty rates multiplied by the proportion of normal wage costs. The total of these components is equal to the wage transfer." title="Calculation of wage transfers"/>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rsidR="00851AE5" w:rsidRDefault="00851AE5" w:rsidP="00091AF8">
      <w:pPr>
        <w:pStyle w:val="Sources"/>
        <w:keepNext/>
      </w:pPr>
      <w:r w:rsidRPr="00851AE5">
        <w:t>Source: PwC analysis.</w:t>
      </w:r>
    </w:p>
    <w:p w:rsidR="00C32C2C" w:rsidRDefault="00C32C2C" w:rsidP="00091AF8">
      <w:pPr>
        <w:pStyle w:val="StylePwCNormalnmajNormalnotetextcvteCNormalnotetext2"/>
      </w:pPr>
      <w:r>
        <w:t xml:space="preserve">Several adjustments are made to the average earnings data in order to calculate estimates of the wage transfers. The assumptions used to make these adjustments are provided in </w:t>
      </w:r>
      <w:r>
        <w:fldChar w:fldCharType="begin"/>
      </w:r>
      <w:r>
        <w:instrText xml:space="preserve"> REF _Ref416948784 \h </w:instrText>
      </w:r>
      <w:r>
        <w:fldChar w:fldCharType="separate"/>
      </w:r>
      <w:r w:rsidR="00250375">
        <w:t xml:space="preserve">Table </w:t>
      </w:r>
      <w:r w:rsidR="00250375">
        <w:rPr>
          <w:noProof/>
        </w:rPr>
        <w:t>20</w:t>
      </w:r>
      <w:r>
        <w:fldChar w:fldCharType="end"/>
      </w:r>
      <w:r>
        <w:t>.</w:t>
      </w:r>
    </w:p>
    <w:p w:rsidR="00BE03AE" w:rsidRDefault="00BE03AE" w:rsidP="00091AF8">
      <w:pPr>
        <w:pStyle w:val="StylePwCNormalnmajNormalnotetextcvteCNormalnotetext2"/>
      </w:pPr>
      <w:r>
        <w:t xml:space="preserve">These wage transfer impacts would be felt </w:t>
      </w:r>
      <w:r w:rsidR="00C32C2C">
        <w:t xml:space="preserve">largely </w:t>
      </w:r>
      <w:r>
        <w:t xml:space="preserve">in industries where employers commonly operate on public holidays, such as health services, retail, accommodation and restaurant and catering services, among others. For employers that do not operate on public holidays there is no wage transfer impact as their employees would not earn public holiday penalty rates. </w:t>
      </w:r>
    </w:p>
    <w:p w:rsidR="00BE03AE" w:rsidRDefault="00BE03AE" w:rsidP="00BE03AE">
      <w:pPr>
        <w:pStyle w:val="Caption"/>
      </w:pPr>
      <w:bookmarkStart w:id="107" w:name="_Ref416948784"/>
      <w:r>
        <w:t xml:space="preserve">Table </w:t>
      </w:r>
      <w:r w:rsidR="00663565">
        <w:fldChar w:fldCharType="begin"/>
      </w:r>
      <w:r w:rsidR="00663565">
        <w:instrText xml:space="preserve"> SEQ Table \* ARABIC </w:instrText>
      </w:r>
      <w:r w:rsidR="00663565">
        <w:fldChar w:fldCharType="separate"/>
      </w:r>
      <w:r w:rsidR="00250375">
        <w:rPr>
          <w:noProof/>
        </w:rPr>
        <w:t>20</w:t>
      </w:r>
      <w:r w:rsidR="00663565">
        <w:rPr>
          <w:noProof/>
        </w:rPr>
        <w:fldChar w:fldCharType="end"/>
      </w:r>
      <w:bookmarkEnd w:id="107"/>
      <w:r>
        <w:t>: Additional assumptions employed in calculating wage transfers</w:t>
      </w:r>
    </w:p>
    <w:tbl>
      <w:tblPr>
        <w:tblStyle w:val="Tables-APBase"/>
        <w:tblW w:w="5000" w:type="pct"/>
        <w:tblLook w:val="04A0" w:firstRow="1" w:lastRow="0" w:firstColumn="1" w:lastColumn="0" w:noHBand="0" w:noVBand="1"/>
        <w:tblCaption w:val="Additional assumptions employed in calculating wage transfers"/>
        <w:tblDescription w:val="The table provides the additional assumptions employed in calculating wage transfers. It provides the rationale for the assumption, the adjustment factor applied in the modelling and lists the relevant information source."/>
      </w:tblPr>
      <w:tblGrid>
        <w:gridCol w:w="1419"/>
        <w:gridCol w:w="2933"/>
        <w:gridCol w:w="1957"/>
        <w:gridCol w:w="2128"/>
      </w:tblGrid>
      <w:tr w:rsidR="00BE03AE" w:rsidTr="00BE03AE">
        <w:trPr>
          <w:cnfStyle w:val="100000000000" w:firstRow="1" w:lastRow="0" w:firstColumn="0" w:lastColumn="0" w:oddVBand="0" w:evenVBand="0" w:oddHBand="0" w:evenHBand="0" w:firstRowFirstColumn="0" w:firstRowLastColumn="0" w:lastRowFirstColumn="0" w:lastRowLastColumn="0"/>
        </w:trPr>
        <w:tc>
          <w:tcPr>
            <w:cnfStyle w:val="000000000100" w:firstRow="0" w:lastRow="0" w:firstColumn="0" w:lastColumn="0" w:oddVBand="0" w:evenVBand="0" w:oddHBand="0" w:evenHBand="0" w:firstRowFirstColumn="1" w:firstRowLastColumn="0" w:lastRowFirstColumn="0" w:lastRowLastColumn="0"/>
            <w:tcW w:w="841" w:type="pct"/>
          </w:tcPr>
          <w:p w:rsidR="00BE03AE" w:rsidRDefault="00BE03AE" w:rsidP="00BE03AE">
            <w:pPr>
              <w:pStyle w:val="TableColumnHeadingSmall"/>
            </w:pPr>
            <w:r>
              <w:t>Category</w:t>
            </w:r>
          </w:p>
        </w:tc>
        <w:tc>
          <w:tcPr>
            <w:tcW w:w="1738" w:type="pct"/>
          </w:tcPr>
          <w:p w:rsidR="00BE03AE" w:rsidRDefault="00BE03AE" w:rsidP="00BE03AE">
            <w:pPr>
              <w:pStyle w:val="TableColumnHeadingSmall"/>
              <w:cnfStyle w:val="100000000000" w:firstRow="1" w:lastRow="0" w:firstColumn="0" w:lastColumn="0" w:oddVBand="0" w:evenVBand="0" w:oddHBand="0" w:evenHBand="0" w:firstRowFirstColumn="0" w:firstRowLastColumn="0" w:lastRowFirstColumn="0" w:lastRowLastColumn="0"/>
            </w:pPr>
            <w:r>
              <w:t>Rationale</w:t>
            </w:r>
          </w:p>
        </w:tc>
        <w:tc>
          <w:tcPr>
            <w:tcW w:w="1160" w:type="pct"/>
          </w:tcPr>
          <w:p w:rsidR="00BE03AE" w:rsidRDefault="00BE03AE" w:rsidP="00BE03AE">
            <w:pPr>
              <w:pStyle w:val="TableColumnHeadingSmall"/>
              <w:cnfStyle w:val="100000000000" w:firstRow="1" w:lastRow="0" w:firstColumn="0" w:lastColumn="0" w:oddVBand="0" w:evenVBand="0" w:oddHBand="0" w:evenHBand="0" w:firstRowFirstColumn="0" w:firstRowLastColumn="0" w:lastRowFirstColumn="0" w:lastRowLastColumn="0"/>
            </w:pPr>
            <w:r>
              <w:t>Adjustment factor</w:t>
            </w:r>
          </w:p>
        </w:tc>
        <w:tc>
          <w:tcPr>
            <w:tcW w:w="1261" w:type="pct"/>
          </w:tcPr>
          <w:p w:rsidR="00BE03AE" w:rsidRDefault="00BE03AE" w:rsidP="00BE03AE">
            <w:pPr>
              <w:pStyle w:val="TableColumnHeadingSmall"/>
              <w:cnfStyle w:val="100000000000" w:firstRow="1" w:lastRow="0" w:firstColumn="0" w:lastColumn="0" w:oddVBand="0" w:evenVBand="0" w:oddHBand="0" w:evenHBand="0" w:firstRowFirstColumn="0" w:firstRowLastColumn="0" w:lastRowFirstColumn="0" w:lastRowLastColumn="0"/>
            </w:pPr>
            <w:r>
              <w:t>Source</w:t>
            </w:r>
          </w:p>
        </w:tc>
      </w:tr>
      <w:tr w:rsidR="00BE03AE" w:rsidTr="00C873BE">
        <w:tc>
          <w:tcPr>
            <w:tcW w:w="841" w:type="pct"/>
          </w:tcPr>
          <w:p w:rsidR="00BE03AE" w:rsidRDefault="00BE03AE" w:rsidP="00BE03AE">
            <w:pPr>
              <w:pStyle w:val="TableTextSmall"/>
              <w:keepNext/>
            </w:pPr>
            <w:r>
              <w:t>Existing penalty rate contribution to average earnings</w:t>
            </w:r>
          </w:p>
        </w:tc>
        <w:tc>
          <w:tcPr>
            <w:tcW w:w="1738" w:type="pct"/>
          </w:tcPr>
          <w:p w:rsidR="00BE03AE" w:rsidRDefault="00BE03AE" w:rsidP="00BE03AE">
            <w:pPr>
              <w:pStyle w:val="TableTextSmall"/>
              <w:keepNext/>
            </w:pPr>
            <w:r>
              <w:t xml:space="preserve">As the weekly earnings figures include earnings from penalty rates, it is necessary to remove their contribution before applying the relevant public holiday penalty rate to earnings. </w:t>
            </w:r>
          </w:p>
          <w:p w:rsidR="00BE03AE" w:rsidRDefault="00BE03AE" w:rsidP="00BE03AE">
            <w:pPr>
              <w:pStyle w:val="TableTextSmall"/>
              <w:keepNext/>
            </w:pPr>
          </w:p>
        </w:tc>
        <w:tc>
          <w:tcPr>
            <w:tcW w:w="1160" w:type="pct"/>
          </w:tcPr>
          <w:p w:rsidR="00BE03AE" w:rsidRDefault="00BE03AE" w:rsidP="00C873BE">
            <w:pPr>
              <w:pStyle w:val="TableTextSmall"/>
              <w:keepNext/>
              <w:jc w:val="center"/>
            </w:pPr>
            <w:r>
              <w:t>Five per cent</w:t>
            </w:r>
          </w:p>
        </w:tc>
        <w:tc>
          <w:tcPr>
            <w:tcW w:w="1261" w:type="pct"/>
          </w:tcPr>
          <w:p w:rsidR="00BE03AE" w:rsidRDefault="00BE03AE" w:rsidP="00BE03AE">
            <w:pPr>
              <w:pStyle w:val="TableTextSmall"/>
              <w:keepNext/>
            </w:pPr>
            <w:r>
              <w:t xml:space="preserve">DEEWR submission to Senate Standing Committee on Education, Employment and Workplace Relations Inquiry into Fair Work Amendment (Small Business – Penalty Rates Exemption) Bill 2012, page 11. </w:t>
            </w:r>
          </w:p>
          <w:p w:rsidR="00BE03AE" w:rsidRDefault="00BE03AE" w:rsidP="00BE03AE">
            <w:pPr>
              <w:pStyle w:val="TableTextSmall"/>
              <w:keepNext/>
            </w:pPr>
            <w:r>
              <w:t>Source data suggest an average 10 per cent reduction is appropriate though this relates to industries where increased use of casuals is common. We have applied a simplifying assumption of half this amount given it is being used across all industries.</w:t>
            </w:r>
          </w:p>
        </w:tc>
      </w:tr>
      <w:tr w:rsidR="00BE03AE" w:rsidTr="00C873BE">
        <w:tc>
          <w:tcPr>
            <w:tcW w:w="841" w:type="pct"/>
          </w:tcPr>
          <w:p w:rsidR="00BE03AE" w:rsidRDefault="00BE03AE" w:rsidP="00BE03AE">
            <w:pPr>
              <w:pStyle w:val="TableTextSmall"/>
              <w:keepNext/>
            </w:pPr>
            <w:r>
              <w:t>Daily earnings</w:t>
            </w:r>
          </w:p>
        </w:tc>
        <w:tc>
          <w:tcPr>
            <w:tcW w:w="1738" w:type="pct"/>
          </w:tcPr>
          <w:p w:rsidR="00BE03AE" w:rsidRDefault="00BE03AE" w:rsidP="00BE03AE">
            <w:pPr>
              <w:pStyle w:val="TableTextSmall"/>
              <w:keepNext/>
            </w:pPr>
            <w:r>
              <w:t>To calculate a daily earnings figure for employees in each industry, we take the ABS full-time weekly earnings figure and divide by 5, assuming most full-time employees work five days per week on average.</w:t>
            </w:r>
          </w:p>
        </w:tc>
        <w:tc>
          <w:tcPr>
            <w:tcW w:w="1160" w:type="pct"/>
          </w:tcPr>
          <w:p w:rsidR="00BE03AE" w:rsidRDefault="00BE03AE" w:rsidP="00C873BE">
            <w:pPr>
              <w:pStyle w:val="TableTextSmall"/>
              <w:keepNext/>
              <w:jc w:val="center"/>
            </w:pPr>
            <w:r>
              <w:t>One fifth of full-time weekly earnings</w:t>
            </w:r>
          </w:p>
        </w:tc>
        <w:tc>
          <w:tcPr>
            <w:tcW w:w="1261" w:type="pct"/>
          </w:tcPr>
          <w:p w:rsidR="00BE03AE" w:rsidRDefault="00103011" w:rsidP="00BE03AE">
            <w:pPr>
              <w:pStyle w:val="TableTextSmall"/>
              <w:keepNext/>
            </w:pPr>
            <w:r>
              <w:t xml:space="preserve">ABS </w:t>
            </w:r>
            <w:r w:rsidRPr="00943B01">
              <w:t>6302.0 Average Weekly Earnings, Australia</w:t>
            </w:r>
            <w:r>
              <w:t xml:space="preserve">. Table 10H, </w:t>
            </w:r>
            <w:r w:rsidR="00BE03AE">
              <w:t>Stakeholder consultation</w:t>
            </w:r>
          </w:p>
        </w:tc>
      </w:tr>
      <w:tr w:rsidR="00BE03AE" w:rsidTr="00C873BE">
        <w:tc>
          <w:tcPr>
            <w:tcW w:w="841" w:type="pct"/>
          </w:tcPr>
          <w:p w:rsidR="00BE03AE" w:rsidRDefault="00BE03AE" w:rsidP="00BE03AE">
            <w:pPr>
              <w:pStyle w:val="TableTextSmall"/>
              <w:keepNext/>
            </w:pPr>
            <w:r>
              <w:t>Proportion of full-time employees at work on a public holiday or weekend</w:t>
            </w:r>
          </w:p>
        </w:tc>
        <w:tc>
          <w:tcPr>
            <w:tcW w:w="1738" w:type="pct"/>
          </w:tcPr>
          <w:p w:rsidR="00BE03AE" w:rsidRDefault="00BE03AE" w:rsidP="00BE03AE">
            <w:pPr>
              <w:pStyle w:val="TableTextSmall"/>
              <w:keepNext/>
            </w:pPr>
            <w:r>
              <w:t>For employers that remain open on public holidays and weekends, it is assumed that five out of seven full-time employees would work on the day (based on full-time employees working five out of every seven days, on average)</w:t>
            </w:r>
          </w:p>
        </w:tc>
        <w:tc>
          <w:tcPr>
            <w:tcW w:w="1160" w:type="pct"/>
          </w:tcPr>
          <w:p w:rsidR="00BE03AE" w:rsidRDefault="00BE03AE" w:rsidP="00C873BE">
            <w:pPr>
              <w:pStyle w:val="TableTextSmall"/>
              <w:keepNext/>
              <w:jc w:val="center"/>
            </w:pPr>
            <w:r>
              <w:t>71 per cent</w:t>
            </w:r>
          </w:p>
        </w:tc>
        <w:tc>
          <w:tcPr>
            <w:tcW w:w="1261" w:type="pct"/>
          </w:tcPr>
          <w:p w:rsidR="00BE03AE" w:rsidRDefault="00BE03AE" w:rsidP="00BE03AE">
            <w:pPr>
              <w:pStyle w:val="TableTextSmall"/>
              <w:keepNext/>
            </w:pPr>
            <w:r>
              <w:t>Stakeholder consultation</w:t>
            </w:r>
          </w:p>
        </w:tc>
      </w:tr>
      <w:tr w:rsidR="00BE03AE" w:rsidTr="00C873BE">
        <w:tc>
          <w:tcPr>
            <w:tcW w:w="841" w:type="pct"/>
          </w:tcPr>
          <w:p w:rsidR="00BE03AE" w:rsidRDefault="00BE03AE" w:rsidP="00BE03AE">
            <w:pPr>
              <w:pStyle w:val="TableTextSmall"/>
              <w:keepNext/>
            </w:pPr>
            <w:r>
              <w:t>Proportion of part-time employees at work on a public holiday or weekend</w:t>
            </w:r>
          </w:p>
        </w:tc>
        <w:tc>
          <w:tcPr>
            <w:tcW w:w="1738" w:type="pct"/>
          </w:tcPr>
          <w:p w:rsidR="00BE03AE" w:rsidRDefault="00BE03AE" w:rsidP="00BE03AE">
            <w:pPr>
              <w:pStyle w:val="TableTextSmall"/>
              <w:keepNext/>
            </w:pPr>
            <w:r>
              <w:t xml:space="preserve">For employers that remain open on public holidays and weekends, it is assumed that not all of their part-time employees would be at work.  </w:t>
            </w:r>
          </w:p>
        </w:tc>
        <w:tc>
          <w:tcPr>
            <w:tcW w:w="1160" w:type="pct"/>
          </w:tcPr>
          <w:p w:rsidR="00BE03AE" w:rsidRDefault="00BE03AE" w:rsidP="00C873BE">
            <w:pPr>
              <w:pStyle w:val="TableTextSmall"/>
              <w:keepNext/>
              <w:jc w:val="center"/>
            </w:pPr>
            <w:r>
              <w:t>41 per cent</w:t>
            </w:r>
          </w:p>
        </w:tc>
        <w:tc>
          <w:tcPr>
            <w:tcW w:w="1261" w:type="pct"/>
          </w:tcPr>
          <w:p w:rsidR="00BE03AE" w:rsidRDefault="00BE03AE" w:rsidP="00BE03AE">
            <w:pPr>
              <w:pStyle w:val="TableTextSmall"/>
              <w:keepNext/>
            </w:pPr>
            <w:r>
              <w:t xml:space="preserve">Based on median hours worked by Australian employees not employed full-time, ABS </w:t>
            </w:r>
            <w:r w:rsidRPr="00982DF2">
              <w:t>63590DO002_201311 Forms of Employment, Australia, November 2013</w:t>
            </w:r>
            <w:r>
              <w:t xml:space="preserve">, Table 2. </w:t>
            </w:r>
          </w:p>
        </w:tc>
      </w:tr>
    </w:tbl>
    <w:p w:rsidR="00367DCC" w:rsidRDefault="00367DCC" w:rsidP="00367DCC">
      <w:pPr>
        <w:pStyle w:val="PwCNormal"/>
        <w:spacing w:before="0" w:after="240"/>
      </w:pPr>
    </w:p>
    <w:p w:rsidR="00282F88" w:rsidRPr="000C281E" w:rsidRDefault="00282F88" w:rsidP="000D6E9A">
      <w:pPr>
        <w:pStyle w:val="Minorheading2"/>
        <w:rPr>
          <w:b w:val="0"/>
          <w:i/>
          <w:sz w:val="26"/>
        </w:rPr>
      </w:pPr>
      <w:r w:rsidRPr="000C281E">
        <w:rPr>
          <w:b w:val="0"/>
          <w:i/>
          <w:sz w:val="26"/>
        </w:rPr>
        <w:t>Additional considerations associated with wage transfers</w:t>
      </w:r>
    </w:p>
    <w:p w:rsidR="00282F88" w:rsidRDefault="00282F88" w:rsidP="000C281E">
      <w:pPr>
        <w:pStyle w:val="Minorheading2"/>
      </w:pPr>
      <w:r>
        <w:t>Temporal impacts</w:t>
      </w:r>
    </w:p>
    <w:p w:rsidR="00282F88" w:rsidRDefault="00282F88" w:rsidP="00282F88">
      <w:pPr>
        <w:pStyle w:val="StylePwCNormalnmajNormalnotetextcvteCNormalnotetext2"/>
      </w:pPr>
      <w:r>
        <w:t xml:space="preserve">As discussed in </w:t>
      </w:r>
      <w:r>
        <w:fldChar w:fldCharType="begin"/>
      </w:r>
      <w:r>
        <w:instrText xml:space="preserve"> REF _Ref417306623 \n \h </w:instrText>
      </w:r>
      <w:r>
        <w:fldChar w:fldCharType="separate"/>
      </w:r>
      <w:r w:rsidR="00250375">
        <w:t>Appendix B</w:t>
      </w:r>
      <w:r>
        <w:fldChar w:fldCharType="end"/>
      </w:r>
      <w:r>
        <w:t xml:space="preserve">, the </w:t>
      </w:r>
      <w:proofErr w:type="gramStart"/>
      <w:r>
        <w:t>value</w:t>
      </w:r>
      <w:proofErr w:type="gramEnd"/>
      <w:r>
        <w:t xml:space="preserve"> of </w:t>
      </w:r>
      <w:r w:rsidR="004B24F5">
        <w:t>the wage</w:t>
      </w:r>
      <w:r>
        <w:t xml:space="preserve"> transfers may reduce in the long term as employers seek to </w:t>
      </w:r>
      <w:r w:rsidR="004B24F5">
        <w:t>recover</w:t>
      </w:r>
      <w:r>
        <w:t xml:space="preserve"> the additional </w:t>
      </w:r>
      <w:r w:rsidR="004B24F5">
        <w:t xml:space="preserve">labour </w:t>
      </w:r>
      <w:r>
        <w:t xml:space="preserve">costs </w:t>
      </w:r>
      <w:r w:rsidR="004B24F5">
        <w:t>from</w:t>
      </w:r>
      <w:r>
        <w:t xml:space="preserve"> employees</w:t>
      </w:r>
      <w:r w:rsidR="004B24F5">
        <w:t xml:space="preserve"> as part of future wage bargaining</w:t>
      </w:r>
      <w:r>
        <w:t xml:space="preserve">. </w:t>
      </w:r>
      <w:r w:rsidR="004B24F5">
        <w:t>In the absence of</w:t>
      </w:r>
      <w:r>
        <w:t xml:space="preserve"> information on the rate at which these transfers would be expected to reduce, </w:t>
      </w:r>
      <w:r w:rsidR="00E94801">
        <w:t>the RIS</w:t>
      </w:r>
      <w:r>
        <w:t xml:space="preserve"> present</w:t>
      </w:r>
      <w:r w:rsidR="00E94801">
        <w:t>s</w:t>
      </w:r>
      <w:r>
        <w:t xml:space="preserve"> estimates of the full impact of the transfers assuming that employers do not respond through </w:t>
      </w:r>
      <w:r w:rsidR="004B24F5">
        <w:t xml:space="preserve">future </w:t>
      </w:r>
      <w:r>
        <w:t>wage bargaining.</w:t>
      </w:r>
    </w:p>
    <w:p w:rsidR="00282F88" w:rsidRDefault="00282F88" w:rsidP="000C281E">
      <w:pPr>
        <w:pStyle w:val="Minorheading2"/>
      </w:pPr>
      <w:r>
        <w:t>Income tax</w:t>
      </w:r>
    </w:p>
    <w:p w:rsidR="00282F88" w:rsidRDefault="00282F88" w:rsidP="00282F88">
      <w:pPr>
        <w:pStyle w:val="StylePwCNormalnmajNormalnotetextcvteCNormalnotetext2"/>
      </w:pPr>
      <w:r>
        <w:t xml:space="preserve">Further to this, the cost </w:t>
      </w:r>
      <w:r w:rsidR="00E13E36">
        <w:t xml:space="preserve">to employers </w:t>
      </w:r>
      <w:r>
        <w:t>of the</w:t>
      </w:r>
      <w:r w:rsidR="00E13E36">
        <w:t xml:space="preserve"> wage</w:t>
      </w:r>
      <w:r>
        <w:t xml:space="preserve"> transfer </w:t>
      </w:r>
      <w:r w:rsidR="00E13E36">
        <w:t>may</w:t>
      </w:r>
      <w:r>
        <w:t xml:space="preserve"> not necessarily exactly match the size of the benefit received by employees. This is because </w:t>
      </w:r>
      <w:r w:rsidR="00E13E36">
        <w:t xml:space="preserve">many </w:t>
      </w:r>
      <w:r>
        <w:t xml:space="preserve">employees will pay a portion of the wage transfer received from their employers to the Federal Government in </w:t>
      </w:r>
      <w:r w:rsidR="00E13E36">
        <w:t xml:space="preserve">the form of </w:t>
      </w:r>
      <w:r>
        <w:t>income tax. While this impact is acknowledged, the analysis assumes that this second transfer amount would flow back to Victorians</w:t>
      </w:r>
      <w:r w:rsidR="000A2271" w:rsidRPr="000A2271">
        <w:t xml:space="preserve"> </w:t>
      </w:r>
      <w:r w:rsidR="000A2271">
        <w:t>over time</w:t>
      </w:r>
      <w:r>
        <w:t xml:space="preserve"> through Federal Government expenditure. As such, the modelling approach does not adjust for this impact. </w:t>
      </w:r>
    </w:p>
    <w:p w:rsidR="00367DCC" w:rsidRDefault="00282F88" w:rsidP="000C281E">
      <w:pPr>
        <w:pStyle w:val="Minorheading2"/>
      </w:pPr>
      <w:r>
        <w:t>Payroll tax</w:t>
      </w:r>
    </w:p>
    <w:p w:rsidR="00367DCC" w:rsidRDefault="00E94801" w:rsidP="00091AF8">
      <w:pPr>
        <w:pStyle w:val="StylePwCNormalnmajNormalnotetextcvteCNormalnotetext2"/>
      </w:pPr>
      <w:r>
        <w:t xml:space="preserve">The </w:t>
      </w:r>
      <w:r w:rsidR="00367DCC">
        <w:t xml:space="preserve">analysis has also had regard to the interaction between the effect of penalty rates and the amounts of payroll tax paid by employers. It is expected that some employers who operate on public holidays would face additional financial costs due to these considerations. Other employers who do not operate on the additional public holidays would incur lower </w:t>
      </w:r>
      <w:r w:rsidR="00B14003">
        <w:t xml:space="preserve">payroll tax </w:t>
      </w:r>
      <w:r w:rsidR="00367DCC">
        <w:t xml:space="preserve">costs as their overall wage bill </w:t>
      </w:r>
      <w:r w:rsidR="00B14003">
        <w:t xml:space="preserve">would </w:t>
      </w:r>
      <w:r w:rsidR="00367DCC">
        <w:t xml:space="preserve">be lowered. Due to these competing </w:t>
      </w:r>
      <w:r w:rsidR="00B14003">
        <w:t xml:space="preserve">effects, </w:t>
      </w:r>
      <w:r w:rsidR="00367DCC">
        <w:t xml:space="preserve">the analysis has assumed that the overall impact of payroll tax transfers between employers and </w:t>
      </w:r>
      <w:r w:rsidR="00B14003">
        <w:t xml:space="preserve">the Victorian </w:t>
      </w:r>
      <w:r w:rsidR="00367DCC">
        <w:t xml:space="preserve">Government due to the additional public holidays is zero. </w:t>
      </w:r>
    </w:p>
    <w:p w:rsidR="00282F88" w:rsidRDefault="00282F88" w:rsidP="000C281E">
      <w:pPr>
        <w:pStyle w:val="Minorheading2"/>
      </w:pPr>
      <w:r>
        <w:t>Work</w:t>
      </w:r>
      <w:r w:rsidR="00B14003">
        <w:t>place</w:t>
      </w:r>
      <w:r>
        <w:t xml:space="preserve"> health and safety </w:t>
      </w:r>
      <w:r w:rsidR="00B14003">
        <w:t>premiums</w:t>
      </w:r>
    </w:p>
    <w:p w:rsidR="00367DCC" w:rsidRDefault="00B14003" w:rsidP="00091AF8">
      <w:pPr>
        <w:pStyle w:val="StylePwCNormalnmajNormalnotetextcvteCNormalnotetext2"/>
      </w:pPr>
      <w:r>
        <w:t>S</w:t>
      </w:r>
      <w:r w:rsidR="00367DCC">
        <w:t xml:space="preserve">ome employers </w:t>
      </w:r>
      <w:r>
        <w:t xml:space="preserve">may also </w:t>
      </w:r>
      <w:r w:rsidR="00367DCC">
        <w:t xml:space="preserve">face increased costs due to increased </w:t>
      </w:r>
      <w:r>
        <w:t>WorkCover</w:t>
      </w:r>
      <w:r w:rsidR="00367DCC">
        <w:t xml:space="preserve"> </w:t>
      </w:r>
      <w:r>
        <w:t>premiums</w:t>
      </w:r>
      <w:r w:rsidR="00367DCC">
        <w:t xml:space="preserve"> as a result of the</w:t>
      </w:r>
      <w:r>
        <w:t>ir</w:t>
      </w:r>
      <w:r w:rsidR="00367DCC">
        <w:t xml:space="preserve"> increased wage payments due to public holiday penalty rates. Any initial increase in costs is however expected to be </w:t>
      </w:r>
      <w:r>
        <w:t xml:space="preserve">minimal </w:t>
      </w:r>
      <w:r w:rsidR="00367DCC">
        <w:t xml:space="preserve">and is likely to be reversed </w:t>
      </w:r>
      <w:r w:rsidR="008475EB">
        <w:t>as a result of WorkCover premium calculations over time relating to workplace risk</w:t>
      </w:r>
      <w:r w:rsidR="00367DCC">
        <w:t>. As such the analysis has assumed that</w:t>
      </w:r>
      <w:r w:rsidR="008475EB">
        <w:t>,</w:t>
      </w:r>
      <w:r w:rsidR="00367DCC">
        <w:t xml:space="preserve"> on balance, the impact of these costs to employers is zero. </w:t>
      </w:r>
    </w:p>
    <w:p w:rsidR="005774C1" w:rsidRDefault="005774C1" w:rsidP="00BE03AE">
      <w:pPr>
        <w:pStyle w:val="Majorheading"/>
      </w:pPr>
      <w:r>
        <w:t>Additional days off for employees due to public holidays</w:t>
      </w:r>
    </w:p>
    <w:p w:rsidR="007920AB" w:rsidRDefault="005774C1" w:rsidP="00091AF8">
      <w:pPr>
        <w:pStyle w:val="PwCNormal"/>
      </w:pPr>
      <w:r>
        <w:t xml:space="preserve">Estimates of the number of additional days off for employees have been prepared as part of the analysis. Additional days off for employees arise due to some employers closing or not operating on public holidays when they otherwise would have operated absent the introduction of the public holiday. </w:t>
      </w:r>
    </w:p>
    <w:p w:rsidR="007920AB" w:rsidRDefault="005774C1" w:rsidP="00091AF8">
      <w:pPr>
        <w:pStyle w:val="PwCNormal"/>
      </w:pPr>
      <w:r>
        <w:fldChar w:fldCharType="begin"/>
      </w:r>
      <w:r>
        <w:instrText xml:space="preserve"> REF _Ref420425492 \h </w:instrText>
      </w:r>
      <w:r>
        <w:fldChar w:fldCharType="separate"/>
      </w:r>
      <w:r w:rsidR="00250375">
        <w:t xml:space="preserve">Figure </w:t>
      </w:r>
      <w:r w:rsidR="00250375">
        <w:rPr>
          <w:noProof/>
        </w:rPr>
        <w:t>6</w:t>
      </w:r>
      <w:r>
        <w:fldChar w:fldCharType="end"/>
      </w:r>
      <w:r>
        <w:t xml:space="preserve"> provides the approach used in these calculations.</w:t>
      </w:r>
      <w:r w:rsidR="007920AB">
        <w:t xml:space="preserve"> Different estimates were prepared for the separate public holidays based on:</w:t>
      </w:r>
    </w:p>
    <w:p w:rsidR="005774C1" w:rsidRDefault="007920AB" w:rsidP="00091AF8">
      <w:pPr>
        <w:pStyle w:val="ListBullet"/>
      </w:pPr>
      <w:r>
        <w:t>the proportions of employees expected to be working in different industries on different days of the week</w:t>
      </w:r>
    </w:p>
    <w:p w:rsidR="007920AB" w:rsidRDefault="007920AB" w:rsidP="00091AF8">
      <w:pPr>
        <w:pStyle w:val="ListBullet"/>
      </w:pPr>
      <w:proofErr w:type="gramStart"/>
      <w:r>
        <w:t>the</w:t>
      </w:r>
      <w:proofErr w:type="gramEnd"/>
      <w:r>
        <w:t xml:space="preserve"> expected level of additional employer closures in different industries on the various public holidays considered.</w:t>
      </w:r>
    </w:p>
    <w:p w:rsidR="005774C1" w:rsidRDefault="005774C1">
      <w:pPr>
        <w:pStyle w:val="Caption"/>
      </w:pPr>
      <w:bookmarkStart w:id="108" w:name="_Ref420425492"/>
      <w:r>
        <w:t xml:space="preserve">Figure </w:t>
      </w:r>
      <w:r w:rsidR="00663565">
        <w:fldChar w:fldCharType="begin"/>
      </w:r>
      <w:r w:rsidR="00663565">
        <w:instrText xml:space="preserve"> SEQ Figure \* ARABIC </w:instrText>
      </w:r>
      <w:r w:rsidR="00663565">
        <w:fldChar w:fldCharType="separate"/>
      </w:r>
      <w:r w:rsidR="00250375">
        <w:rPr>
          <w:noProof/>
        </w:rPr>
        <w:t>6</w:t>
      </w:r>
      <w:r w:rsidR="00663565">
        <w:rPr>
          <w:noProof/>
        </w:rPr>
        <w:fldChar w:fldCharType="end"/>
      </w:r>
      <w:bookmarkEnd w:id="108"/>
      <w:r>
        <w:t>: Approach used to calculate the number of additional days off for employees due to public holidays</w:t>
      </w:r>
    </w:p>
    <w:p w:rsidR="00851AE5" w:rsidRDefault="00E20A21" w:rsidP="00091AF8">
      <w:pPr>
        <w:pStyle w:val="Sources"/>
        <w:keepNext/>
      </w:pPr>
      <w:r w:rsidRPr="00E20A21">
        <w:rPr>
          <w:noProof/>
          <w:lang w:eastAsia="en-AU"/>
        </w:rPr>
        <w:drawing>
          <wp:inline distT="0" distB="0" distL="0" distR="0" wp14:anchorId="6B1C5FCC" wp14:editId="3A94037B">
            <wp:extent cx="5220335" cy="1032355"/>
            <wp:effectExtent l="0" t="0" r="37465" b="0"/>
            <wp:docPr id="56" name="Diagram 56" descr="The figure illustrates the approach used to calculate the number of additional days off for employees due to public holidays. The calculation is as follows: Industry employment multiplied by the proportion of employees normally working multiplied by the proportion of employers normally operating less the industry employment multiplied by the proportion of employees working multiplied by the proportion of employers staying open which is equal to the additional days off due to the holiday." title="Approach used to calculate the number of additional days off for employees due to public holidays"/>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r w:rsidR="00851AE5" w:rsidRPr="00851AE5">
        <w:t xml:space="preserve"> Source: PwC analysis.</w:t>
      </w:r>
    </w:p>
    <w:p w:rsidR="009D1851" w:rsidRDefault="00E20A21" w:rsidP="00091AF8">
      <w:pPr>
        <w:pStyle w:val="StylePwCNormalnmajNormalnotetextcvteCNormalnotetext2"/>
      </w:pPr>
      <w:r>
        <w:fldChar w:fldCharType="begin"/>
      </w:r>
      <w:r>
        <w:instrText xml:space="preserve"> REF _Ref420426328 \h </w:instrText>
      </w:r>
      <w:r>
        <w:fldChar w:fldCharType="separate"/>
      </w:r>
      <w:r w:rsidR="00250375">
        <w:t xml:space="preserve">Table </w:t>
      </w:r>
      <w:r w:rsidR="00250375">
        <w:rPr>
          <w:noProof/>
        </w:rPr>
        <w:t>21</w:t>
      </w:r>
      <w:r>
        <w:fldChar w:fldCharType="end"/>
      </w:r>
      <w:r>
        <w:t xml:space="preserve"> lists the assumptions </w:t>
      </w:r>
      <w:r w:rsidR="009D1851">
        <w:t>made</w:t>
      </w:r>
      <w:r>
        <w:t xml:space="preserve"> in addition to those provided earlier in </w:t>
      </w:r>
      <w:r>
        <w:fldChar w:fldCharType="begin"/>
      </w:r>
      <w:r>
        <w:instrText xml:space="preserve"> REF _Ref416948784 \h </w:instrText>
      </w:r>
      <w:r>
        <w:fldChar w:fldCharType="separate"/>
      </w:r>
      <w:r w:rsidR="00250375">
        <w:t xml:space="preserve">Table </w:t>
      </w:r>
      <w:r w:rsidR="00250375">
        <w:rPr>
          <w:noProof/>
        </w:rPr>
        <w:t>20</w:t>
      </w:r>
      <w:r>
        <w:fldChar w:fldCharType="end"/>
      </w:r>
      <w:r>
        <w:t xml:space="preserve"> (in respect of the proportions of employees at work on public holidays and weekends)</w:t>
      </w:r>
      <w:r w:rsidR="007A6E74">
        <w:t>.</w:t>
      </w:r>
    </w:p>
    <w:p w:rsidR="00E20A21" w:rsidRDefault="00E20A21" w:rsidP="00091AF8">
      <w:pPr>
        <w:pStyle w:val="Caption"/>
      </w:pPr>
      <w:bookmarkStart w:id="109" w:name="_Ref420426328"/>
      <w:r>
        <w:t xml:space="preserve">Table </w:t>
      </w:r>
      <w:r w:rsidR="00663565">
        <w:fldChar w:fldCharType="begin"/>
      </w:r>
      <w:r w:rsidR="00663565">
        <w:instrText xml:space="preserve"> SEQ Table \* ARABIC </w:instrText>
      </w:r>
      <w:r w:rsidR="00663565">
        <w:fldChar w:fldCharType="separate"/>
      </w:r>
      <w:r w:rsidR="00250375">
        <w:rPr>
          <w:noProof/>
        </w:rPr>
        <w:t>21</w:t>
      </w:r>
      <w:r w:rsidR="00663565">
        <w:rPr>
          <w:noProof/>
        </w:rPr>
        <w:fldChar w:fldCharType="end"/>
      </w:r>
      <w:bookmarkEnd w:id="109"/>
      <w:r>
        <w:t>: Assumptions used in calculating additional days off for employees</w:t>
      </w:r>
    </w:p>
    <w:tbl>
      <w:tblPr>
        <w:tblStyle w:val="Tables-APBase"/>
        <w:tblW w:w="5000" w:type="pct"/>
        <w:tblLayout w:type="fixed"/>
        <w:tblLook w:val="04A0" w:firstRow="1" w:lastRow="0" w:firstColumn="1" w:lastColumn="0" w:noHBand="0" w:noVBand="1"/>
        <w:tblCaption w:val="Assumptions used in calculating additional days off for employees"/>
        <w:tblDescription w:val="The table lists the assumptions used in calculating the estimated additional days off for employees."/>
      </w:tblPr>
      <w:tblGrid>
        <w:gridCol w:w="2109"/>
        <w:gridCol w:w="2109"/>
        <w:gridCol w:w="2109"/>
        <w:gridCol w:w="2110"/>
      </w:tblGrid>
      <w:tr w:rsidR="009D1851" w:rsidTr="00091AF8">
        <w:trPr>
          <w:cnfStyle w:val="100000000000" w:firstRow="1" w:lastRow="0" w:firstColumn="0" w:lastColumn="0" w:oddVBand="0" w:evenVBand="0" w:oddHBand="0" w:evenHBand="0" w:firstRowFirstColumn="0" w:firstRowLastColumn="0" w:lastRowFirstColumn="0" w:lastRowLastColumn="0"/>
        </w:trPr>
        <w:tc>
          <w:tcPr>
            <w:cnfStyle w:val="000000000100" w:firstRow="0" w:lastRow="0" w:firstColumn="0" w:lastColumn="0" w:oddVBand="0" w:evenVBand="0" w:oddHBand="0" w:evenHBand="0" w:firstRowFirstColumn="1" w:firstRowLastColumn="0" w:lastRowFirstColumn="0" w:lastRowLastColumn="0"/>
            <w:tcW w:w="2109" w:type="dxa"/>
          </w:tcPr>
          <w:p w:rsidR="009D1851" w:rsidRDefault="009D1851" w:rsidP="00091AF8">
            <w:pPr>
              <w:pStyle w:val="TableColumnHeadingSmall"/>
            </w:pPr>
            <w:r>
              <w:t>Category</w:t>
            </w:r>
          </w:p>
        </w:tc>
        <w:tc>
          <w:tcPr>
            <w:tcW w:w="2109" w:type="dxa"/>
          </w:tcPr>
          <w:p w:rsidR="009D1851" w:rsidRDefault="009D1851" w:rsidP="00091AF8">
            <w:pPr>
              <w:pStyle w:val="TableColumnHeadingSmall"/>
              <w:cnfStyle w:val="100000000000" w:firstRow="1" w:lastRow="0" w:firstColumn="0" w:lastColumn="0" w:oddVBand="0" w:evenVBand="0" w:oddHBand="0" w:evenHBand="0" w:firstRowFirstColumn="0" w:firstRowLastColumn="0" w:lastRowFirstColumn="0" w:lastRowLastColumn="0"/>
            </w:pPr>
            <w:r>
              <w:t>Units</w:t>
            </w:r>
          </w:p>
        </w:tc>
        <w:tc>
          <w:tcPr>
            <w:tcW w:w="2109" w:type="dxa"/>
          </w:tcPr>
          <w:p w:rsidR="009D1851" w:rsidRDefault="00E20A21" w:rsidP="00091AF8">
            <w:pPr>
              <w:pStyle w:val="TableColumnHeadingSmall"/>
              <w:cnfStyle w:val="100000000000" w:firstRow="1" w:lastRow="0" w:firstColumn="0" w:lastColumn="0" w:oddVBand="0" w:evenVBand="0" w:oddHBand="0" w:evenHBand="0" w:firstRowFirstColumn="0" w:firstRowLastColumn="0" w:lastRowFirstColumn="0" w:lastRowLastColumn="0"/>
            </w:pPr>
            <w:r>
              <w:t>Assumption</w:t>
            </w:r>
          </w:p>
        </w:tc>
        <w:tc>
          <w:tcPr>
            <w:tcW w:w="2110" w:type="dxa"/>
          </w:tcPr>
          <w:p w:rsidR="009D1851" w:rsidRDefault="009D1851" w:rsidP="00091AF8">
            <w:pPr>
              <w:pStyle w:val="TableColumnHeadingSmall"/>
              <w:cnfStyle w:val="100000000000" w:firstRow="1" w:lastRow="0" w:firstColumn="0" w:lastColumn="0" w:oddVBand="0" w:evenVBand="0" w:oddHBand="0" w:evenHBand="0" w:firstRowFirstColumn="0" w:firstRowLastColumn="0" w:lastRowFirstColumn="0" w:lastRowLastColumn="0"/>
            </w:pPr>
            <w:r>
              <w:t>Source</w:t>
            </w:r>
          </w:p>
        </w:tc>
      </w:tr>
      <w:tr w:rsidR="009D1851" w:rsidTr="00091AF8">
        <w:tc>
          <w:tcPr>
            <w:tcW w:w="2109" w:type="dxa"/>
            <w:vAlign w:val="center"/>
          </w:tcPr>
          <w:p w:rsidR="009D1851" w:rsidRDefault="009D1851" w:rsidP="00091AF8">
            <w:pPr>
              <w:pStyle w:val="TableTextSmall"/>
              <w:keepNext/>
            </w:pPr>
            <w:r>
              <w:t>Hours worked per day</w:t>
            </w:r>
          </w:p>
        </w:tc>
        <w:tc>
          <w:tcPr>
            <w:tcW w:w="2109" w:type="dxa"/>
            <w:vAlign w:val="center"/>
          </w:tcPr>
          <w:p w:rsidR="009D1851" w:rsidRDefault="009D1851" w:rsidP="00091AF8">
            <w:pPr>
              <w:pStyle w:val="TableTextSmall"/>
              <w:keepNext/>
              <w:jc w:val="center"/>
            </w:pPr>
            <w:r>
              <w:t>Hours</w:t>
            </w:r>
          </w:p>
        </w:tc>
        <w:tc>
          <w:tcPr>
            <w:tcW w:w="2109" w:type="dxa"/>
            <w:vAlign w:val="center"/>
          </w:tcPr>
          <w:p w:rsidR="009D1851" w:rsidRDefault="009D1851" w:rsidP="00091AF8">
            <w:pPr>
              <w:pStyle w:val="TableTextSmall"/>
              <w:keepNext/>
              <w:jc w:val="center"/>
            </w:pPr>
            <w:r>
              <w:t>7.5</w:t>
            </w:r>
          </w:p>
        </w:tc>
        <w:tc>
          <w:tcPr>
            <w:tcW w:w="2110" w:type="dxa"/>
            <w:vAlign w:val="center"/>
          </w:tcPr>
          <w:p w:rsidR="009D1851" w:rsidRDefault="009D1851" w:rsidP="00091AF8">
            <w:pPr>
              <w:pStyle w:val="TableTextSmall"/>
              <w:keepNext/>
              <w:jc w:val="center"/>
            </w:pPr>
            <w:r>
              <w:t>Stakeholder consultation</w:t>
            </w:r>
          </w:p>
        </w:tc>
      </w:tr>
      <w:tr w:rsidR="009D1851" w:rsidTr="00091AF8">
        <w:tc>
          <w:tcPr>
            <w:tcW w:w="2109" w:type="dxa"/>
            <w:vAlign w:val="center"/>
          </w:tcPr>
          <w:p w:rsidR="009D1851" w:rsidRDefault="009D1851" w:rsidP="00091AF8">
            <w:pPr>
              <w:pStyle w:val="TableTextSmall"/>
              <w:keepNext/>
            </w:pPr>
            <w:r>
              <w:t>Proportion of full-time workers who would usually be at work on a weekday in Category B industries</w:t>
            </w:r>
            <w:r w:rsidR="008D0055">
              <w:t>*</w:t>
            </w:r>
          </w:p>
        </w:tc>
        <w:tc>
          <w:tcPr>
            <w:tcW w:w="2109" w:type="dxa"/>
            <w:vAlign w:val="center"/>
          </w:tcPr>
          <w:p w:rsidR="009D1851" w:rsidRDefault="009D1851" w:rsidP="00091AF8">
            <w:pPr>
              <w:pStyle w:val="TableTextSmall"/>
              <w:keepNext/>
              <w:jc w:val="center"/>
            </w:pPr>
            <w:r>
              <w:t>Per cent</w:t>
            </w:r>
          </w:p>
        </w:tc>
        <w:tc>
          <w:tcPr>
            <w:tcW w:w="2109" w:type="dxa"/>
            <w:vAlign w:val="center"/>
          </w:tcPr>
          <w:p w:rsidR="009D1851" w:rsidRDefault="009D1851" w:rsidP="00091AF8">
            <w:pPr>
              <w:pStyle w:val="TableTextSmall"/>
              <w:keepNext/>
              <w:jc w:val="center"/>
            </w:pPr>
            <w:r>
              <w:t>95</w:t>
            </w:r>
          </w:p>
        </w:tc>
        <w:tc>
          <w:tcPr>
            <w:tcW w:w="2110" w:type="dxa"/>
            <w:vAlign w:val="center"/>
          </w:tcPr>
          <w:p w:rsidR="009D1851" w:rsidRDefault="009D1851" w:rsidP="00091AF8">
            <w:pPr>
              <w:pStyle w:val="TableTextSmall"/>
              <w:keepNext/>
              <w:jc w:val="center"/>
            </w:pPr>
            <w:r>
              <w:t>Stakeholder consultation</w:t>
            </w:r>
          </w:p>
        </w:tc>
      </w:tr>
      <w:tr w:rsidR="009D1851" w:rsidTr="00091AF8">
        <w:tc>
          <w:tcPr>
            <w:tcW w:w="2109" w:type="dxa"/>
            <w:vAlign w:val="center"/>
          </w:tcPr>
          <w:p w:rsidR="009D1851" w:rsidRDefault="009D1851" w:rsidP="00091AF8">
            <w:pPr>
              <w:pStyle w:val="TableTextSmall"/>
              <w:keepNext/>
            </w:pPr>
            <w:r>
              <w:t>Proportion of part-time workers who would usually be at work on a weekday in Category B industries</w:t>
            </w:r>
          </w:p>
        </w:tc>
        <w:tc>
          <w:tcPr>
            <w:tcW w:w="2109" w:type="dxa"/>
            <w:vAlign w:val="center"/>
          </w:tcPr>
          <w:p w:rsidR="009D1851" w:rsidRDefault="009D1851" w:rsidP="00091AF8">
            <w:pPr>
              <w:pStyle w:val="TableTextSmall"/>
              <w:keepNext/>
              <w:jc w:val="center"/>
            </w:pPr>
            <w:r>
              <w:t>Per cent</w:t>
            </w:r>
          </w:p>
        </w:tc>
        <w:tc>
          <w:tcPr>
            <w:tcW w:w="2109" w:type="dxa"/>
            <w:vAlign w:val="center"/>
          </w:tcPr>
          <w:p w:rsidR="009D1851" w:rsidRDefault="009D1851" w:rsidP="00091AF8">
            <w:pPr>
              <w:pStyle w:val="TableTextSmall"/>
              <w:keepNext/>
              <w:jc w:val="center"/>
            </w:pPr>
            <w:r>
              <w:t>55</w:t>
            </w:r>
          </w:p>
        </w:tc>
        <w:tc>
          <w:tcPr>
            <w:tcW w:w="2110" w:type="dxa"/>
          </w:tcPr>
          <w:p w:rsidR="009D1851" w:rsidRDefault="00E20A21" w:rsidP="00091AF8">
            <w:pPr>
              <w:pStyle w:val="TableTextSmall"/>
              <w:keepNext/>
            </w:pPr>
            <w:r>
              <w:t xml:space="preserve">Based on median hours worked by Australian employees not employed full-time, ABS </w:t>
            </w:r>
            <w:r w:rsidRPr="00982DF2">
              <w:t>63590DO002_201311 Forms of Employment, Australia, November 2013</w:t>
            </w:r>
            <w:r>
              <w:t>, Table 2.</w:t>
            </w:r>
          </w:p>
        </w:tc>
      </w:tr>
    </w:tbl>
    <w:p w:rsidR="008D0055" w:rsidRDefault="008D0055" w:rsidP="000D6E9A">
      <w:pPr>
        <w:pStyle w:val="Sources"/>
      </w:pPr>
      <w:r>
        <w:t>*Excluding the Education and Training industry</w:t>
      </w:r>
    </w:p>
    <w:p w:rsidR="00BE03AE" w:rsidRDefault="00BE03AE" w:rsidP="00BE03AE">
      <w:pPr>
        <w:pStyle w:val="Majorheading"/>
      </w:pPr>
      <w:r>
        <w:t>Distributional impacts</w:t>
      </w:r>
    </w:p>
    <w:p w:rsidR="00BE03AE" w:rsidRDefault="00BE03AE" w:rsidP="000D6E9A">
      <w:pPr>
        <w:pStyle w:val="StylePwCNormalnmajNormalnotetextcvteCNormalnotetext2"/>
      </w:pPr>
      <w:r>
        <w:t>Estimates have been prepared of the distributional impacts of the Government’s proposal. The net impacts and transfers have been split among three groups:</w:t>
      </w:r>
    </w:p>
    <w:p w:rsidR="00BE03AE" w:rsidRDefault="0063419D" w:rsidP="006566AE">
      <w:pPr>
        <w:pStyle w:val="ChapterNumberedList1"/>
        <w:numPr>
          <w:ilvl w:val="7"/>
          <w:numId w:val="31"/>
        </w:numPr>
        <w:spacing w:before="0" w:after="240"/>
      </w:pPr>
      <w:r>
        <w:t>m</w:t>
      </w:r>
      <w:r w:rsidR="00BE03AE">
        <w:t>edium and large business/</w:t>
      </w:r>
      <w:r w:rsidR="001F25E8">
        <w:t>not-for-profit</w:t>
      </w:r>
      <w:r w:rsidR="00BE03AE">
        <w:t>s</w:t>
      </w:r>
    </w:p>
    <w:p w:rsidR="00BE03AE" w:rsidRDefault="0063419D" w:rsidP="00BE03AE">
      <w:pPr>
        <w:pStyle w:val="ChapterNumberedList1"/>
        <w:numPr>
          <w:ilvl w:val="7"/>
          <w:numId w:val="29"/>
        </w:numPr>
        <w:spacing w:before="0" w:after="240"/>
      </w:pPr>
      <w:r>
        <w:t>s</w:t>
      </w:r>
      <w:r w:rsidR="00BE03AE">
        <w:t>mall business/</w:t>
      </w:r>
      <w:r w:rsidR="001F25E8">
        <w:t>not-for-profit</w:t>
      </w:r>
      <w:r w:rsidR="00BE03AE">
        <w:t>s</w:t>
      </w:r>
    </w:p>
    <w:p w:rsidR="00BE03AE" w:rsidRDefault="0063419D" w:rsidP="00BE03AE">
      <w:pPr>
        <w:pStyle w:val="ChapterNumberedList1"/>
        <w:numPr>
          <w:ilvl w:val="7"/>
          <w:numId w:val="29"/>
        </w:numPr>
        <w:spacing w:before="0" w:after="240"/>
      </w:pPr>
      <w:proofErr w:type="gramStart"/>
      <w:r>
        <w:t>g</w:t>
      </w:r>
      <w:r w:rsidR="00BE03AE">
        <w:t>overnment</w:t>
      </w:r>
      <w:proofErr w:type="gramEnd"/>
      <w:r w:rsidR="00E70C94">
        <w:t>.</w:t>
      </w:r>
    </w:p>
    <w:p w:rsidR="00BE03AE" w:rsidRDefault="00BE03AE" w:rsidP="000D6E9A">
      <w:pPr>
        <w:pStyle w:val="StylePwCNormalnmajNormalnotetextcvteCNormalnotetext2"/>
      </w:pPr>
      <w:r>
        <w:t>To prepare these estimates</w:t>
      </w:r>
      <w:r w:rsidR="009152EC">
        <w:t>,</w:t>
      </w:r>
      <w:r>
        <w:t xml:space="preserve"> the overall impacts (in terms of both net impacts and transfers) associated with option 1 were split between all business/</w:t>
      </w:r>
      <w:r w:rsidR="001F25E8">
        <w:t>not-for-profit</w:t>
      </w:r>
      <w:r>
        <w:t xml:space="preserve">s and </w:t>
      </w:r>
      <w:r w:rsidR="0063419D">
        <w:t>g</w:t>
      </w:r>
      <w:r>
        <w:t xml:space="preserve">overnment. The </w:t>
      </w:r>
      <w:r w:rsidR="0063419D">
        <w:t>g</w:t>
      </w:r>
      <w:r>
        <w:t>overnment proportion is assumed to be approximately 15 per cent of the estimated amount for both net impacts and transfers</w:t>
      </w:r>
      <w:r w:rsidR="00DE5820">
        <w:t xml:space="preserve"> (excluding the impacts to government taxes and subsidies, which are assumed to fall to government for the purposes of the distributional analysis)</w:t>
      </w:r>
      <w:r>
        <w:t>. This is based on the proportion of Victorian employment associated with public sector employees as reported by the ABS.</w:t>
      </w:r>
      <w:r>
        <w:rPr>
          <w:rStyle w:val="FootnoteReference"/>
        </w:rPr>
        <w:footnoteReference w:id="38"/>
      </w:r>
    </w:p>
    <w:p w:rsidR="00BE03AE" w:rsidRDefault="00BE03AE" w:rsidP="00BE03AE">
      <w:pPr>
        <w:pStyle w:val="StylePwCNormalnmajNormalnotetextcvteCNormalnotetext"/>
        <w:numPr>
          <w:ilvl w:val="0"/>
          <w:numId w:val="26"/>
        </w:numPr>
      </w:pPr>
      <w:r>
        <w:t>The remaining business/</w:t>
      </w:r>
      <w:r w:rsidR="001F25E8">
        <w:t>not-for-profit</w:t>
      </w:r>
      <w:r>
        <w:t xml:space="preserve"> component is split between small business/</w:t>
      </w:r>
      <w:r w:rsidR="001F25E8">
        <w:t>not-for-profit</w:t>
      </w:r>
      <w:r>
        <w:t xml:space="preserve"> and medium to large business/</w:t>
      </w:r>
      <w:r w:rsidR="001F25E8">
        <w:t>not-for-profit</w:t>
      </w:r>
      <w:r>
        <w:t xml:space="preserve"> by taking the average of two separate figures:</w:t>
      </w:r>
    </w:p>
    <w:p w:rsidR="00BE03AE" w:rsidRDefault="00BE03AE" w:rsidP="00091AF8">
      <w:pPr>
        <w:pStyle w:val="ListBullet"/>
      </w:pPr>
      <w:r>
        <w:t xml:space="preserve">The proportion of employing businesses that are small businesses in Australia, which </w:t>
      </w:r>
      <w:r w:rsidR="009152EC">
        <w:t xml:space="preserve">is </w:t>
      </w:r>
      <w:r>
        <w:t>approximately 37 per cent</w:t>
      </w:r>
      <w:r>
        <w:rPr>
          <w:rStyle w:val="FootnoteReference"/>
        </w:rPr>
        <w:footnoteReference w:id="39"/>
      </w:r>
    </w:p>
    <w:p w:rsidR="00BE03AE" w:rsidRDefault="00BE03AE" w:rsidP="00091AF8">
      <w:pPr>
        <w:pStyle w:val="ListBullet"/>
      </w:pPr>
      <w:r>
        <w:t xml:space="preserve">The proportion of employees that work for small businesses in Australia, which </w:t>
      </w:r>
      <w:r w:rsidR="009152EC">
        <w:t xml:space="preserve">is </w:t>
      </w:r>
      <w:r>
        <w:t>approximately 30 per cent.</w:t>
      </w:r>
      <w:r>
        <w:rPr>
          <w:rStyle w:val="FootnoteReference"/>
        </w:rPr>
        <w:footnoteReference w:id="40"/>
      </w:r>
    </w:p>
    <w:p w:rsidR="00BE03AE" w:rsidRDefault="00BE03AE" w:rsidP="00BE03AE">
      <w:pPr>
        <w:pStyle w:val="StylePwCNormalnmajNormalnotetextcvteCNormalnotetext"/>
        <w:numPr>
          <w:ilvl w:val="0"/>
          <w:numId w:val="26"/>
        </w:numPr>
      </w:pPr>
      <w:r>
        <w:t>By taking the average of these two figures the proportion of the estimated impacts (both net impacts and transfers) attributed to small business/</w:t>
      </w:r>
      <w:r w:rsidR="001F25E8">
        <w:t>not-for-profit</w:t>
      </w:r>
      <w:r>
        <w:t xml:space="preserve"> is approximately 33 per cent. </w:t>
      </w:r>
    </w:p>
    <w:p w:rsidR="00BE03AE" w:rsidRDefault="00BE03AE" w:rsidP="00BE03AE">
      <w:pPr>
        <w:pStyle w:val="Majorheading"/>
      </w:pPr>
      <w:r>
        <w:t>Sensitivity testing</w:t>
      </w:r>
    </w:p>
    <w:p w:rsidR="00BE03AE" w:rsidRDefault="00BE03AE" w:rsidP="00BE03AE">
      <w:pPr>
        <w:pStyle w:val="StylePwCNormalnmajNormalnotetextcvteCNormalnotetext"/>
        <w:numPr>
          <w:ilvl w:val="0"/>
          <w:numId w:val="26"/>
        </w:numPr>
        <w:rPr>
          <w:snapToGrid/>
          <w:lang w:eastAsia="en-AU"/>
        </w:rPr>
      </w:pPr>
      <w:r w:rsidRPr="00975690">
        <w:rPr>
          <w:snapToGrid/>
          <w:lang w:eastAsia="en-AU"/>
        </w:rPr>
        <w:t xml:space="preserve">Due to the significant uncertainty related to the potential impacts of the </w:t>
      </w:r>
      <w:r>
        <w:rPr>
          <w:snapToGrid/>
          <w:lang w:eastAsia="en-AU"/>
        </w:rPr>
        <w:t>options</w:t>
      </w:r>
      <w:r w:rsidRPr="00975690">
        <w:rPr>
          <w:snapToGrid/>
          <w:lang w:eastAsia="en-AU"/>
        </w:rPr>
        <w:t xml:space="preserve"> and the difficulty that consultation participants had in estimating impacts, sensitivity analysis has been undertaken to test the impacts of a range of inputs. </w:t>
      </w:r>
    </w:p>
    <w:p w:rsidR="00BE03AE" w:rsidRDefault="00BE03AE" w:rsidP="00BE03AE">
      <w:pPr>
        <w:pStyle w:val="StylePwCNormalnmajNormalnotetextcvteCNormalnotetext"/>
        <w:numPr>
          <w:ilvl w:val="0"/>
          <w:numId w:val="26"/>
        </w:numPr>
        <w:rPr>
          <w:snapToGrid/>
          <w:lang w:eastAsia="en-AU"/>
        </w:rPr>
      </w:pPr>
      <w:r w:rsidRPr="00975690">
        <w:rPr>
          <w:snapToGrid/>
          <w:lang w:eastAsia="en-AU"/>
        </w:rPr>
        <w:t>Where it was considered that modelling inputs exhibited significant uncertainty, minimum and maximum value</w:t>
      </w:r>
      <w:r w:rsidR="00756D19">
        <w:rPr>
          <w:snapToGrid/>
          <w:lang w:eastAsia="en-AU"/>
        </w:rPr>
        <w:t>s</w:t>
      </w:r>
      <w:r w:rsidRPr="00975690">
        <w:rPr>
          <w:snapToGrid/>
          <w:lang w:eastAsia="en-AU"/>
        </w:rPr>
        <w:t xml:space="preserve"> </w:t>
      </w:r>
      <w:r>
        <w:rPr>
          <w:snapToGrid/>
          <w:lang w:eastAsia="en-AU"/>
        </w:rPr>
        <w:t>were</w:t>
      </w:r>
      <w:r w:rsidRPr="00975690">
        <w:rPr>
          <w:snapToGrid/>
          <w:lang w:eastAsia="en-AU"/>
        </w:rPr>
        <w:t xml:space="preserve"> assigned based </w:t>
      </w:r>
      <w:r>
        <w:rPr>
          <w:snapToGrid/>
          <w:lang w:eastAsia="en-AU"/>
        </w:rPr>
        <w:t>on</w:t>
      </w:r>
      <w:r w:rsidRPr="00975690">
        <w:rPr>
          <w:snapToGrid/>
          <w:lang w:eastAsia="en-AU"/>
        </w:rPr>
        <w:t xml:space="preserve"> feedback provide</w:t>
      </w:r>
      <w:r>
        <w:rPr>
          <w:snapToGrid/>
          <w:lang w:eastAsia="en-AU"/>
        </w:rPr>
        <w:t>d</w:t>
      </w:r>
      <w:r w:rsidRPr="00975690">
        <w:rPr>
          <w:snapToGrid/>
          <w:lang w:eastAsia="en-AU"/>
        </w:rPr>
        <w:t xml:space="preserve"> during the consultation </w:t>
      </w:r>
      <w:r>
        <w:rPr>
          <w:snapToGrid/>
          <w:lang w:eastAsia="en-AU"/>
        </w:rPr>
        <w:t>process</w:t>
      </w:r>
      <w:r w:rsidRPr="00975690">
        <w:rPr>
          <w:snapToGrid/>
          <w:lang w:eastAsia="en-AU"/>
        </w:rPr>
        <w:t>. Using the minimum, maximum and most likely values, distributions were created</w:t>
      </w:r>
      <w:r>
        <w:rPr>
          <w:snapToGrid/>
          <w:lang w:eastAsia="en-AU"/>
        </w:rPr>
        <w:t xml:space="preserve"> </w:t>
      </w:r>
      <w:r w:rsidRPr="00975690">
        <w:rPr>
          <w:snapToGrid/>
          <w:lang w:eastAsia="en-AU"/>
        </w:rPr>
        <w:t xml:space="preserve">for each of these inputs and Monte Carlo simulations were run </w:t>
      </w:r>
      <w:r>
        <w:rPr>
          <w:snapToGrid/>
          <w:lang w:eastAsia="en-AU"/>
        </w:rPr>
        <w:t>5</w:t>
      </w:r>
      <w:r w:rsidRPr="00975690">
        <w:rPr>
          <w:snapToGrid/>
          <w:lang w:eastAsia="en-AU"/>
        </w:rPr>
        <w:t>,000 times to generate a</w:t>
      </w:r>
      <w:r>
        <w:rPr>
          <w:snapToGrid/>
          <w:lang w:eastAsia="en-AU"/>
        </w:rPr>
        <w:t xml:space="preserve"> distribution of outputs. </w:t>
      </w:r>
    </w:p>
    <w:p w:rsidR="00BE03AE" w:rsidRDefault="00BE03AE" w:rsidP="00BE03AE">
      <w:pPr>
        <w:pStyle w:val="StylePwCNormalnmajNormalnotetextcvteCNormalnotetext"/>
        <w:numPr>
          <w:ilvl w:val="0"/>
          <w:numId w:val="26"/>
        </w:numPr>
        <w:rPr>
          <w:snapToGrid/>
          <w:lang w:eastAsia="en-AU"/>
        </w:rPr>
      </w:pPr>
      <w:r>
        <w:rPr>
          <w:snapToGrid/>
          <w:lang w:eastAsia="en-AU"/>
        </w:rPr>
        <w:t xml:space="preserve">These distributions were used to form a range for each model output. </w:t>
      </w:r>
    </w:p>
    <w:p w:rsidR="00BE03AE" w:rsidRPr="00592B76" w:rsidRDefault="00BE03AE" w:rsidP="00BE03AE">
      <w:pPr>
        <w:pStyle w:val="Majorheading"/>
      </w:pPr>
      <w:r>
        <w:t>Timeline</w:t>
      </w:r>
    </w:p>
    <w:p w:rsidR="00BE03AE" w:rsidRDefault="00BE03AE" w:rsidP="00091AF8">
      <w:pPr>
        <w:pStyle w:val="StylePwCNormalnmajNormalnotetextcvteCNormalnotetext2"/>
      </w:pPr>
      <w:r w:rsidRPr="00592B76">
        <w:t xml:space="preserve">The </w:t>
      </w:r>
      <w:r>
        <w:t xml:space="preserve">net </w:t>
      </w:r>
      <w:r w:rsidRPr="00592B76">
        <w:t>impact</w:t>
      </w:r>
      <w:r>
        <w:t>s</w:t>
      </w:r>
      <w:r w:rsidRPr="00592B76">
        <w:t xml:space="preserve"> </w:t>
      </w:r>
      <w:r>
        <w:t xml:space="preserve">and transfers associated with </w:t>
      </w:r>
      <w:r w:rsidRPr="00592B76">
        <w:t xml:space="preserve">each </w:t>
      </w:r>
      <w:r>
        <w:t>option have</w:t>
      </w:r>
      <w:r w:rsidRPr="00592B76">
        <w:t xml:space="preserve"> been estimated over a 10</w:t>
      </w:r>
      <w:r w:rsidR="00756D19">
        <w:t> </w:t>
      </w:r>
      <w:r w:rsidRPr="00592B76">
        <w:t xml:space="preserve">year time period. The </w:t>
      </w:r>
      <w:r>
        <w:t>10 year</w:t>
      </w:r>
      <w:r w:rsidRPr="00592B76">
        <w:t xml:space="preserve"> estimates have been discounted us</w:t>
      </w:r>
      <w:r>
        <w:t>ing a real discount rate of 4.0 per cent</w:t>
      </w:r>
      <w:r w:rsidRPr="00592B76">
        <w:t xml:space="preserve"> and then reported as an overall 10 year </w:t>
      </w:r>
      <w:r>
        <w:t>net present value (</w:t>
      </w:r>
      <w:r w:rsidRPr="00592B76">
        <w:t>NPV</w:t>
      </w:r>
      <w:r>
        <w:t>)</w:t>
      </w:r>
      <w:r w:rsidRPr="00592B76">
        <w:t>.</w:t>
      </w:r>
      <w:r>
        <w:t xml:space="preserve"> </w:t>
      </w:r>
    </w:p>
    <w:p w:rsidR="00BE03AE" w:rsidRDefault="00BE03AE" w:rsidP="00091AF8">
      <w:pPr>
        <w:pStyle w:val="StylePwCNormalnmajNormalnotetextcvteCNormalnotetext2"/>
      </w:pPr>
      <w:r>
        <w:t xml:space="preserve">The calculated impacts are assumed to </w:t>
      </w:r>
      <w:r w:rsidR="00756D19">
        <w:t xml:space="preserve">increase </w:t>
      </w:r>
      <w:r>
        <w:t>over time as follows:</w:t>
      </w:r>
    </w:p>
    <w:p w:rsidR="00BE03AE" w:rsidRDefault="00BE03AE" w:rsidP="00091AF8">
      <w:pPr>
        <w:pStyle w:val="ListBullet"/>
      </w:pPr>
      <w:r>
        <w:t>Wage transfers grow over time according to growth in the wage price index (3.3 per cent) and in Victorian employment (1.7 per cent), based on historical growth.</w:t>
      </w:r>
    </w:p>
    <w:p w:rsidR="00BE03AE" w:rsidRDefault="00BE03AE" w:rsidP="00091AF8">
      <w:pPr>
        <w:pStyle w:val="ListBullet"/>
      </w:pPr>
      <w:r>
        <w:t>Net impacts associated with reduced economic activity are assumed to grow at the historical rate of GSP growth in Victoria, which is calculated to be</w:t>
      </w:r>
      <w:r w:rsidR="00756D19">
        <w:t xml:space="preserve"> around</w:t>
      </w:r>
      <w:r>
        <w:t xml:space="preserve"> 2.4 per cent over the last 10 years.</w:t>
      </w:r>
    </w:p>
    <w:p w:rsidR="000B469B" w:rsidRDefault="000B469B" w:rsidP="000D6E9A">
      <w:pPr>
        <w:pStyle w:val="StylePwCNormalnmajNormalnotetextcvteCNormalnotetext2"/>
      </w:pPr>
      <w:r>
        <w:t>All calculations were undertaken in 2014 dollars and then inflated to 2015 dollars</w:t>
      </w:r>
      <w:r w:rsidR="009A4CDD">
        <w:t xml:space="preserve"> in line with the Victorian </w:t>
      </w:r>
      <w:r w:rsidR="003804F5">
        <w:t>Guide to Regulation</w:t>
      </w:r>
      <w:r w:rsidR="009A4CDD">
        <w:t>.</w:t>
      </w:r>
      <w:r>
        <w:t xml:space="preserve"> </w:t>
      </w:r>
      <w:r w:rsidR="009A4CDD">
        <w:t>The adjustment was made using</w:t>
      </w:r>
      <w:r>
        <w:t xml:space="preserve"> the latest available data for the Consumer Price Index (CPI) in Australia, which gives a rate of 1.3 per cent for the year ended 31 March 2015.</w:t>
      </w:r>
      <w:r>
        <w:rPr>
          <w:rStyle w:val="FootnoteReference"/>
        </w:rPr>
        <w:footnoteReference w:id="41"/>
      </w:r>
    </w:p>
    <w:p w:rsidR="00815D5A" w:rsidRDefault="00815D5A" w:rsidP="000D6E9A">
      <w:pPr>
        <w:pStyle w:val="Majorheading"/>
      </w:pPr>
      <w:r>
        <w:t>Consideration of further impacts</w:t>
      </w:r>
    </w:p>
    <w:p w:rsidR="00815D5A" w:rsidRDefault="00815D5A" w:rsidP="00815D5A">
      <w:pPr>
        <w:pStyle w:val="StylePwCNormalnmajNormalnotetextcvteCNormalnotetext2"/>
      </w:pPr>
      <w:r>
        <w:t xml:space="preserve">The analysis in this RIS focuses on the direct impacts to </w:t>
      </w:r>
      <w:r w:rsidR="009D0F21">
        <w:t xml:space="preserve">provide the key information </w:t>
      </w:r>
      <w:r w:rsidR="00CD4BCD">
        <w:t xml:space="preserve">necessary </w:t>
      </w:r>
      <w:r w:rsidR="009D0F21">
        <w:t>to facilitate</w:t>
      </w:r>
      <w:r>
        <w:t xml:space="preserve"> </w:t>
      </w:r>
      <w:r w:rsidR="00CD4BCD">
        <w:t xml:space="preserve">informed </w:t>
      </w:r>
      <w:r>
        <w:t xml:space="preserve">community engagement and consideration of the Government’s commitment and the alternatives considered. Beyond the direct impacts, it is acknowledged that there would be </w:t>
      </w:r>
      <w:r w:rsidR="009D0F21">
        <w:t>potential flow-on (or second order)</w:t>
      </w:r>
      <w:r>
        <w:t xml:space="preserve"> effects which have not been estimated. For example, stakeholders consulted for this analysis indicated that there </w:t>
      </w:r>
      <w:r w:rsidR="009D0F21">
        <w:t>could</w:t>
      </w:r>
      <w:r>
        <w:t xml:space="preserve"> be flow-on impacts from additional public holidays such as:</w:t>
      </w:r>
    </w:p>
    <w:p w:rsidR="00815D5A" w:rsidRDefault="00815D5A" w:rsidP="00815D5A">
      <w:pPr>
        <w:pStyle w:val="ListBullet"/>
      </w:pPr>
      <w:r>
        <w:t xml:space="preserve">increased </w:t>
      </w:r>
      <w:r w:rsidR="00831D07">
        <w:t xml:space="preserve">hospitalisation costs (due to </w:t>
      </w:r>
      <w:r>
        <w:t>road trauma</w:t>
      </w:r>
      <w:r w:rsidR="001A076D">
        <w:t xml:space="preserve">, personal injury, </w:t>
      </w:r>
      <w:proofErr w:type="spellStart"/>
      <w:r w:rsidR="001A076D">
        <w:t>etc</w:t>
      </w:r>
      <w:proofErr w:type="spellEnd"/>
      <w:r w:rsidR="001A076D">
        <w:t>)</w:t>
      </w:r>
      <w:r>
        <w:t xml:space="preserve"> </w:t>
      </w:r>
    </w:p>
    <w:p w:rsidR="009A4CDD" w:rsidRDefault="00CA4932" w:rsidP="001A076D">
      <w:pPr>
        <w:pStyle w:val="ListBullet"/>
      </w:pPr>
      <w:r>
        <w:t xml:space="preserve">longer-term </w:t>
      </w:r>
      <w:r w:rsidR="00E60BAF">
        <w:t xml:space="preserve">impacts </w:t>
      </w:r>
      <w:r w:rsidR="001A076D">
        <w:t>on</w:t>
      </w:r>
      <w:r w:rsidR="00E60BAF">
        <w:t xml:space="preserve"> employment, </w:t>
      </w:r>
      <w:r w:rsidR="009A4CDD">
        <w:t xml:space="preserve">trade, </w:t>
      </w:r>
      <w:r w:rsidR="00E60BAF">
        <w:t xml:space="preserve">wages and business activity </w:t>
      </w:r>
      <w:r w:rsidR="00A601CF">
        <w:t>in Victoria</w:t>
      </w:r>
    </w:p>
    <w:p w:rsidR="00E60BAF" w:rsidRDefault="009A4CDD" w:rsidP="001A076D">
      <w:pPr>
        <w:pStyle w:val="ListBullet"/>
      </w:pPr>
      <w:proofErr w:type="gramStart"/>
      <w:r>
        <w:t>the</w:t>
      </w:r>
      <w:proofErr w:type="gramEnd"/>
      <w:r>
        <w:t xml:space="preserve"> value of coordinated leisure time (beyond the value of individual leisure time). </w:t>
      </w:r>
    </w:p>
    <w:p w:rsidR="00815D5A" w:rsidRPr="009C6D27" w:rsidRDefault="00815D5A" w:rsidP="00815D5A">
      <w:pPr>
        <w:pStyle w:val="StylePwCNormalnmajNormalnotetextcvteCNormalnotetext2"/>
      </w:pPr>
      <w:r>
        <w:t>To estimate the impacts of these and other second-order effects would require comprehensive computable general equilibrium and choice modelling</w:t>
      </w:r>
      <w:r w:rsidR="00CD4BCD">
        <w:t xml:space="preserve"> to be undertaken</w:t>
      </w:r>
      <w:r>
        <w:t xml:space="preserve">. Rather than being a definitive analysis, this RIS concentrates </w:t>
      </w:r>
      <w:r w:rsidR="00CA4932">
        <w:t>on the direct</w:t>
      </w:r>
      <w:r>
        <w:t xml:space="preserve"> impacts </w:t>
      </w:r>
      <w:r w:rsidR="00CA4932">
        <w:t>of the additional public holidays and acknowledges the additional, flow-on impacts that may occur</w:t>
      </w:r>
      <w:r>
        <w:t xml:space="preserve">. </w:t>
      </w:r>
    </w:p>
    <w:p w:rsidR="00BE03AE" w:rsidRPr="00BE03AE" w:rsidRDefault="00BE03AE" w:rsidP="00BE03AE"/>
    <w:p w:rsidR="00CE4910" w:rsidRDefault="00CE4910" w:rsidP="00BE03AE">
      <w:pPr>
        <w:pStyle w:val="PwCNormal"/>
        <w:numPr>
          <w:ilvl w:val="0"/>
          <w:numId w:val="0"/>
        </w:numPr>
        <w:sectPr w:rsidR="00CE4910" w:rsidSect="00F81690">
          <w:headerReference w:type="even" r:id="rId56"/>
          <w:headerReference w:type="default" r:id="rId57"/>
          <w:footerReference w:type="even" r:id="rId58"/>
          <w:footerReference w:type="default" r:id="rId59"/>
          <w:headerReference w:type="first" r:id="rId60"/>
          <w:footerReference w:type="first" r:id="rId61"/>
          <w:type w:val="oddPage"/>
          <w:pgSz w:w="11907" w:h="16840" w:code="9"/>
          <w:pgMar w:top="1588" w:right="1843" w:bottom="1418" w:left="1843" w:header="567" w:footer="567" w:gutter="0"/>
          <w:cols w:space="227"/>
          <w:titlePg/>
          <w:docGrid w:linePitch="360"/>
        </w:sectPr>
      </w:pPr>
    </w:p>
    <w:p w:rsidR="00CE4910" w:rsidRDefault="00BE03AE" w:rsidP="00AE506B">
      <w:pPr>
        <w:pStyle w:val="Heading4"/>
      </w:pPr>
      <w:bookmarkStart w:id="110" w:name="_Ref417306623"/>
      <w:bookmarkStart w:id="111" w:name="_Ref417306681"/>
      <w:bookmarkStart w:id="112" w:name="_Ref417306725"/>
      <w:bookmarkStart w:id="113" w:name="_Toc423453469"/>
      <w:bookmarkStart w:id="114" w:name="_Toc423453471"/>
      <w:bookmarkStart w:id="115" w:name="CVs"/>
      <w:r>
        <w:t>Potential impacts of additional public holidays</w:t>
      </w:r>
      <w:bookmarkEnd w:id="110"/>
      <w:bookmarkEnd w:id="111"/>
      <w:bookmarkEnd w:id="112"/>
      <w:bookmarkEnd w:id="113"/>
      <w:bookmarkEnd w:id="114"/>
    </w:p>
    <w:p w:rsidR="00BE03AE" w:rsidRDefault="00BE03AE" w:rsidP="00BE03AE">
      <w:pPr>
        <w:pStyle w:val="Majorheading"/>
      </w:pPr>
      <w:bookmarkStart w:id="116" w:name="_Ref416275939"/>
      <w:bookmarkStart w:id="117" w:name="_Ref416441840"/>
      <w:r>
        <w:t>Transfe</w:t>
      </w:r>
      <w:bookmarkEnd w:id="116"/>
      <w:r>
        <w:t>r impacts</w:t>
      </w:r>
    </w:p>
    <w:p w:rsidR="00BE03AE" w:rsidRDefault="00BE03AE" w:rsidP="00BE03AE">
      <w:pPr>
        <w:pStyle w:val="Minorheading2"/>
      </w:pPr>
      <w:r>
        <w:t>Overview – Industry awards and the application of penalty rates</w:t>
      </w:r>
    </w:p>
    <w:p w:rsidR="00BE03AE" w:rsidRDefault="00BE03AE" w:rsidP="00091AF8">
      <w:pPr>
        <w:pStyle w:val="StylePwCNormalnmajNormalnotetextcvteCNormalnotetext2"/>
      </w:pPr>
      <w:r>
        <w:t>Many Victorians are employed under industry awards, which specify minimum rates of pay for workers in the industry among other conditions of employment. Awards also specify the penalty rates that apply to work undertaken at certain times or on certain days. Commonly, penalty rates within a single award vary by:</w:t>
      </w:r>
    </w:p>
    <w:p w:rsidR="00BE03AE" w:rsidRDefault="00BE03AE" w:rsidP="00091AF8">
      <w:pPr>
        <w:pStyle w:val="ListBullet"/>
      </w:pPr>
      <w:r w:rsidRPr="00614E50">
        <w:rPr>
          <w:b/>
        </w:rPr>
        <w:t>The time of day</w:t>
      </w:r>
      <w:r>
        <w:t>: Many awards offer penalty rates for work undertaken during ‘unsociable’ hours such as late evenings or very early mornings.</w:t>
      </w:r>
    </w:p>
    <w:p w:rsidR="00BE03AE" w:rsidRDefault="00BE03AE" w:rsidP="00091AF8">
      <w:pPr>
        <w:pStyle w:val="ListBullet"/>
      </w:pPr>
      <w:r w:rsidRPr="00614E50">
        <w:rPr>
          <w:b/>
        </w:rPr>
        <w:t>The day of the week</w:t>
      </w:r>
      <w:r w:rsidRPr="00614E50">
        <w:t>:</w:t>
      </w:r>
      <w:r>
        <w:t xml:space="preserve"> For example, the penalty rate for Saturdays is frequently different to that which applies to Sunday work.</w:t>
      </w:r>
    </w:p>
    <w:p w:rsidR="00BE03AE" w:rsidRDefault="00BE03AE" w:rsidP="00091AF8">
      <w:pPr>
        <w:pStyle w:val="ListBullet"/>
      </w:pPr>
      <w:r w:rsidRPr="00614E50">
        <w:rPr>
          <w:b/>
        </w:rPr>
        <w:t>The day of the year</w:t>
      </w:r>
      <w:r>
        <w:t>: Awards generally specify penalty rates for the public holidays that fall within the year.</w:t>
      </w:r>
    </w:p>
    <w:p w:rsidR="00BE03AE" w:rsidRDefault="00BE03AE" w:rsidP="00091AF8">
      <w:pPr>
        <w:pStyle w:val="ListBullet"/>
      </w:pPr>
      <w:r>
        <w:rPr>
          <w:b/>
        </w:rPr>
        <w:t>The basis of employment</w:t>
      </w:r>
      <w:r>
        <w:t>: Casual workers are frequently paid an additional wage loading relative to those employed under permanent arrangements.</w:t>
      </w:r>
    </w:p>
    <w:p w:rsidR="00BE03AE" w:rsidRDefault="00BE03AE" w:rsidP="00091AF8">
      <w:pPr>
        <w:pStyle w:val="StylePwCNormalnmajNormalnotetextcvteCNormalnotetext2"/>
      </w:pPr>
      <w:r>
        <w:t xml:space="preserve">Penalty rates apply a loading to the base or agreed rate of employee pay, which increases the wages paid to employees working at times or on days where penalty rates are applicable. An example of this is provided in </w:t>
      </w:r>
      <w:r>
        <w:fldChar w:fldCharType="begin"/>
      </w:r>
      <w:r>
        <w:instrText xml:space="preserve"> REF _Ref416779158 \h </w:instrText>
      </w:r>
      <w:r>
        <w:fldChar w:fldCharType="separate"/>
      </w:r>
      <w:r w:rsidR="00250375">
        <w:t xml:space="preserve">Table </w:t>
      </w:r>
      <w:r w:rsidR="00250375">
        <w:rPr>
          <w:noProof/>
        </w:rPr>
        <w:t>22</w:t>
      </w:r>
      <w:r>
        <w:fldChar w:fldCharType="end"/>
      </w:r>
      <w:r>
        <w:t xml:space="preserve">, which shows the penalty rates in the electrical power industry that apply on Saturdays, Sundays and public holidays, along with the difference between the normal day penalty rate and the public holiday penalty rate.  </w:t>
      </w:r>
    </w:p>
    <w:p w:rsidR="00BE03AE" w:rsidRDefault="00BE03AE">
      <w:pPr>
        <w:pStyle w:val="Caption"/>
      </w:pPr>
      <w:bookmarkStart w:id="118" w:name="_Ref416779158"/>
      <w:r>
        <w:t xml:space="preserve">Table </w:t>
      </w:r>
      <w:r w:rsidR="00663565">
        <w:fldChar w:fldCharType="begin"/>
      </w:r>
      <w:r w:rsidR="00663565">
        <w:instrText xml:space="preserve"> SEQ Table \* ARABIC </w:instrText>
      </w:r>
      <w:r w:rsidR="00663565">
        <w:fldChar w:fldCharType="separate"/>
      </w:r>
      <w:r w:rsidR="00250375">
        <w:rPr>
          <w:noProof/>
        </w:rPr>
        <w:t>22</w:t>
      </w:r>
      <w:r w:rsidR="00663565">
        <w:rPr>
          <w:noProof/>
        </w:rPr>
        <w:fldChar w:fldCharType="end"/>
      </w:r>
      <w:bookmarkEnd w:id="118"/>
      <w:r>
        <w:t>: Penalty rates in the electrical power industry</w:t>
      </w:r>
    </w:p>
    <w:tbl>
      <w:tblPr>
        <w:tblStyle w:val="Tables-APBase"/>
        <w:tblW w:w="5000" w:type="pct"/>
        <w:tblLook w:val="04A0" w:firstRow="1" w:lastRow="0" w:firstColumn="1" w:lastColumn="0" w:noHBand="0" w:noVBand="1"/>
        <w:tblCaption w:val="Penalty rates in the electrical power industry"/>
        <w:tblDescription w:val="The table shows the penalty rates that apply currently in the electrical power industry on different days of the week and on public holidays. The table provides the penalty rate as a percentage of the normal rate, and also provides the difference in the rate on a particular day compared with the public holiday penalty rate."/>
      </w:tblPr>
      <w:tblGrid>
        <w:gridCol w:w="1687"/>
        <w:gridCol w:w="1688"/>
        <w:gridCol w:w="1688"/>
        <w:gridCol w:w="1687"/>
        <w:gridCol w:w="1687"/>
      </w:tblGrid>
      <w:tr w:rsidR="00BE03AE" w:rsidTr="00BE03AE">
        <w:trPr>
          <w:cnfStyle w:val="100000000000" w:firstRow="1" w:lastRow="0" w:firstColumn="0" w:lastColumn="0" w:oddVBand="0" w:evenVBand="0" w:oddHBand="0" w:evenHBand="0" w:firstRowFirstColumn="0" w:firstRowLastColumn="0" w:lastRowFirstColumn="0" w:lastRowLastColumn="0"/>
        </w:trPr>
        <w:tc>
          <w:tcPr>
            <w:cnfStyle w:val="000000000100" w:firstRow="0" w:lastRow="0" w:firstColumn="0" w:lastColumn="0" w:oddVBand="0" w:evenVBand="0" w:oddHBand="0" w:evenHBand="0" w:firstRowFirstColumn="1" w:firstRowLastColumn="0" w:lastRowFirstColumn="0" w:lastRowLastColumn="0"/>
            <w:tcW w:w="999" w:type="pct"/>
          </w:tcPr>
          <w:p w:rsidR="00BE03AE" w:rsidRDefault="00BE03AE">
            <w:pPr>
              <w:pStyle w:val="TableColumnHeadingSmall"/>
            </w:pPr>
          </w:p>
        </w:tc>
        <w:tc>
          <w:tcPr>
            <w:tcW w:w="1000" w:type="pct"/>
          </w:tcPr>
          <w:p w:rsidR="00BE03AE" w:rsidRDefault="00BE03AE">
            <w:pPr>
              <w:pStyle w:val="TableColumnHeadingSmall"/>
              <w:cnfStyle w:val="100000000000" w:firstRow="1" w:lastRow="0" w:firstColumn="0" w:lastColumn="0" w:oddVBand="0" w:evenVBand="0" w:oddHBand="0" w:evenHBand="0" w:firstRowFirstColumn="0" w:firstRowLastColumn="0" w:lastRowFirstColumn="0" w:lastRowLastColumn="0"/>
            </w:pPr>
            <w:r>
              <w:t>Public holiday</w:t>
            </w:r>
          </w:p>
        </w:tc>
        <w:tc>
          <w:tcPr>
            <w:tcW w:w="1000" w:type="pct"/>
          </w:tcPr>
          <w:p w:rsidR="00BE03AE" w:rsidRDefault="00BE03AE">
            <w:pPr>
              <w:pStyle w:val="TableColumnHeadingSmall"/>
              <w:cnfStyle w:val="100000000000" w:firstRow="1" w:lastRow="0" w:firstColumn="0" w:lastColumn="0" w:oddVBand="0" w:evenVBand="0" w:oddHBand="0" w:evenHBand="0" w:firstRowFirstColumn="0" w:firstRowLastColumn="0" w:lastRowFirstColumn="0" w:lastRowLastColumn="0"/>
            </w:pPr>
            <w:r>
              <w:t>Saturday</w:t>
            </w:r>
          </w:p>
        </w:tc>
        <w:tc>
          <w:tcPr>
            <w:tcW w:w="1000" w:type="pct"/>
          </w:tcPr>
          <w:p w:rsidR="00BE03AE" w:rsidRDefault="00BE03AE">
            <w:pPr>
              <w:pStyle w:val="TableColumnHeadingSmall"/>
              <w:cnfStyle w:val="100000000000" w:firstRow="1" w:lastRow="0" w:firstColumn="0" w:lastColumn="0" w:oddVBand="0" w:evenVBand="0" w:oddHBand="0" w:evenHBand="0" w:firstRowFirstColumn="0" w:firstRowLastColumn="0" w:lastRowFirstColumn="0" w:lastRowLastColumn="0"/>
            </w:pPr>
            <w:r>
              <w:t>Sunday</w:t>
            </w:r>
          </w:p>
        </w:tc>
        <w:tc>
          <w:tcPr>
            <w:tcW w:w="1000" w:type="pct"/>
          </w:tcPr>
          <w:p w:rsidR="00BE03AE" w:rsidRDefault="00BE03AE">
            <w:pPr>
              <w:pStyle w:val="TableColumnHeadingSmall"/>
              <w:cnfStyle w:val="100000000000" w:firstRow="1" w:lastRow="0" w:firstColumn="0" w:lastColumn="0" w:oddVBand="0" w:evenVBand="0" w:oddHBand="0" w:evenHBand="0" w:firstRowFirstColumn="0" w:firstRowLastColumn="0" w:lastRowFirstColumn="0" w:lastRowLastColumn="0"/>
            </w:pPr>
            <w:r>
              <w:t>Weekday</w:t>
            </w:r>
          </w:p>
        </w:tc>
      </w:tr>
      <w:tr w:rsidR="00BE03AE" w:rsidTr="00C873BE">
        <w:tc>
          <w:tcPr>
            <w:tcW w:w="999" w:type="pct"/>
            <w:vAlign w:val="center"/>
          </w:tcPr>
          <w:p w:rsidR="00BE03AE" w:rsidRDefault="00BE03AE" w:rsidP="007B1964">
            <w:pPr>
              <w:pStyle w:val="TableTextSmall"/>
              <w:keepNext/>
            </w:pPr>
            <w:r>
              <w:t>Penalty rate</w:t>
            </w:r>
          </w:p>
        </w:tc>
        <w:tc>
          <w:tcPr>
            <w:tcW w:w="1000" w:type="pct"/>
            <w:vAlign w:val="center"/>
          </w:tcPr>
          <w:p w:rsidR="00BE03AE" w:rsidRDefault="00BE03AE" w:rsidP="00091AF8">
            <w:pPr>
              <w:pStyle w:val="TableTextSmall"/>
              <w:keepNext/>
              <w:jc w:val="center"/>
            </w:pPr>
            <w:r>
              <w:t>250%</w:t>
            </w:r>
          </w:p>
        </w:tc>
        <w:tc>
          <w:tcPr>
            <w:tcW w:w="1000" w:type="pct"/>
            <w:vAlign w:val="center"/>
          </w:tcPr>
          <w:p w:rsidR="00BE03AE" w:rsidRDefault="00BE03AE" w:rsidP="00091AF8">
            <w:pPr>
              <w:pStyle w:val="TableTextSmall"/>
              <w:keepNext/>
              <w:jc w:val="center"/>
            </w:pPr>
            <w:r>
              <w:t>150%</w:t>
            </w:r>
          </w:p>
        </w:tc>
        <w:tc>
          <w:tcPr>
            <w:tcW w:w="1000" w:type="pct"/>
            <w:vAlign w:val="center"/>
          </w:tcPr>
          <w:p w:rsidR="00BE03AE" w:rsidRDefault="00BE03AE" w:rsidP="00091AF8">
            <w:pPr>
              <w:pStyle w:val="TableTextSmall"/>
              <w:keepNext/>
              <w:jc w:val="center"/>
            </w:pPr>
            <w:r>
              <w:t>200%</w:t>
            </w:r>
          </w:p>
        </w:tc>
        <w:tc>
          <w:tcPr>
            <w:tcW w:w="1000" w:type="pct"/>
            <w:vAlign w:val="center"/>
          </w:tcPr>
          <w:p w:rsidR="00BE03AE" w:rsidRDefault="00BE03AE" w:rsidP="00091AF8">
            <w:pPr>
              <w:pStyle w:val="TableTextSmall"/>
              <w:keepNext/>
              <w:jc w:val="center"/>
            </w:pPr>
            <w:r>
              <w:t>100% (no penalty rate)</w:t>
            </w:r>
          </w:p>
        </w:tc>
      </w:tr>
      <w:tr w:rsidR="00BE03AE" w:rsidTr="00C873BE">
        <w:tc>
          <w:tcPr>
            <w:tcW w:w="999" w:type="pct"/>
            <w:vAlign w:val="center"/>
          </w:tcPr>
          <w:p w:rsidR="00BE03AE" w:rsidRDefault="00BE03AE" w:rsidP="007B1964">
            <w:pPr>
              <w:pStyle w:val="TableTextSmall"/>
              <w:keepNext/>
            </w:pPr>
            <w:r>
              <w:t>Difference from public holiday penalty rate</w:t>
            </w:r>
          </w:p>
        </w:tc>
        <w:tc>
          <w:tcPr>
            <w:tcW w:w="1000" w:type="pct"/>
            <w:vAlign w:val="center"/>
          </w:tcPr>
          <w:p w:rsidR="00BE03AE" w:rsidRDefault="00BE03AE" w:rsidP="00091AF8">
            <w:pPr>
              <w:pStyle w:val="TableTextSmall"/>
              <w:keepNext/>
              <w:jc w:val="center"/>
            </w:pPr>
            <w:r>
              <w:t>-</w:t>
            </w:r>
          </w:p>
        </w:tc>
        <w:tc>
          <w:tcPr>
            <w:tcW w:w="1000" w:type="pct"/>
            <w:vAlign w:val="center"/>
          </w:tcPr>
          <w:p w:rsidR="00BE03AE" w:rsidRDefault="00BF34E0" w:rsidP="00091AF8">
            <w:pPr>
              <w:pStyle w:val="TableTextSmall"/>
              <w:keepNext/>
              <w:jc w:val="center"/>
            </w:pPr>
            <w:r>
              <w:t>-</w:t>
            </w:r>
            <w:r w:rsidR="00BE03AE">
              <w:t>100%</w:t>
            </w:r>
          </w:p>
        </w:tc>
        <w:tc>
          <w:tcPr>
            <w:tcW w:w="1000" w:type="pct"/>
            <w:vAlign w:val="center"/>
          </w:tcPr>
          <w:p w:rsidR="00BE03AE" w:rsidRDefault="00BF34E0" w:rsidP="00091AF8">
            <w:pPr>
              <w:pStyle w:val="TableTextSmall"/>
              <w:keepNext/>
              <w:jc w:val="center"/>
            </w:pPr>
            <w:r>
              <w:t>-</w:t>
            </w:r>
            <w:r w:rsidR="00BE03AE">
              <w:t>50%</w:t>
            </w:r>
          </w:p>
        </w:tc>
        <w:tc>
          <w:tcPr>
            <w:tcW w:w="1000" w:type="pct"/>
            <w:vAlign w:val="center"/>
          </w:tcPr>
          <w:p w:rsidR="00BE03AE" w:rsidRDefault="00BF34E0" w:rsidP="00091AF8">
            <w:pPr>
              <w:pStyle w:val="TableTextSmall"/>
              <w:keepNext/>
              <w:jc w:val="center"/>
            </w:pPr>
            <w:r>
              <w:t>-</w:t>
            </w:r>
            <w:r w:rsidR="00BE03AE">
              <w:t>150%</w:t>
            </w:r>
          </w:p>
        </w:tc>
      </w:tr>
    </w:tbl>
    <w:p w:rsidR="00BE03AE" w:rsidRDefault="00BE03AE" w:rsidP="00091AF8">
      <w:pPr>
        <w:pStyle w:val="Sources"/>
        <w:keepNext/>
      </w:pPr>
      <w:r>
        <w:t xml:space="preserve">Source: Fair Work Ombudsman, ‘Pay guide for the Electrical Power Industry Award 2010’, 12 December 2014. </w:t>
      </w:r>
    </w:p>
    <w:p w:rsidR="00BE03AE" w:rsidRDefault="00BE03AE" w:rsidP="00091AF8">
      <w:pPr>
        <w:pStyle w:val="StylePwCNormalnmajNormalnotetextcvteCNormalnotetext2"/>
      </w:pPr>
      <w:r>
        <w:t xml:space="preserve">As </w:t>
      </w:r>
      <w:r>
        <w:fldChar w:fldCharType="begin"/>
      </w:r>
      <w:r>
        <w:instrText xml:space="preserve"> REF _Ref416779158 \h </w:instrText>
      </w:r>
      <w:r>
        <w:fldChar w:fldCharType="separate"/>
      </w:r>
      <w:r w:rsidR="00250375">
        <w:t xml:space="preserve">Table </w:t>
      </w:r>
      <w:r w:rsidR="00250375">
        <w:rPr>
          <w:noProof/>
        </w:rPr>
        <w:t>22</w:t>
      </w:r>
      <w:r>
        <w:fldChar w:fldCharType="end"/>
      </w:r>
      <w:r>
        <w:t xml:space="preserve"> shows, employees working on a weekday public holiday in the electrical power industry are paid 150 per cent more than a typical weekday. Conversely, a Sunday public holiday would add 50 per cent to their earnings relative to a typical Sunday. </w:t>
      </w:r>
    </w:p>
    <w:p w:rsidR="00BE03AE" w:rsidRDefault="00BE03AE" w:rsidP="00091AF8">
      <w:pPr>
        <w:pStyle w:val="StylePwCNormalnmajNormalnotetextcvteCNormalnotetext2"/>
      </w:pPr>
      <w:r>
        <w:t xml:space="preserve">While awards and penalty rates apply to most industries in Australia, the impact of penalty rates is greatest in those industries where the days and hours of work are not considered ‘standard’, meaning industries where weekend, evening and night work are common. This includes health and other essential services, along with retail traders, restaurants and accommodation service providers. Employers in these industries are more likely to require their employees to work outside ‘standard’ </w:t>
      </w:r>
      <w:proofErr w:type="gramStart"/>
      <w:r>
        <w:t>hours,</w:t>
      </w:r>
      <w:proofErr w:type="gramEnd"/>
      <w:r>
        <w:t xml:space="preserve"> hence it is more likely that penalty rates are relevant for such employers.  </w:t>
      </w:r>
    </w:p>
    <w:p w:rsidR="00BE03AE" w:rsidRDefault="00BE03AE" w:rsidP="00BE03AE">
      <w:pPr>
        <w:pStyle w:val="Minorheading2"/>
      </w:pPr>
      <w:r>
        <w:t>Implications for additional public holidays</w:t>
      </w:r>
    </w:p>
    <w:p w:rsidR="00BE03AE" w:rsidRDefault="00BE03AE" w:rsidP="00091AF8">
      <w:pPr>
        <w:pStyle w:val="StylePwCNormalnmajNormalnotetextcvteCNormalnotetext2"/>
      </w:pPr>
      <w:r>
        <w:t xml:space="preserve">Introducing additional public holidays in Victoria would increase the wages paid to many Victorian employees working on those days due to public holiday penalty rates.  </w:t>
      </w:r>
    </w:p>
    <w:p w:rsidR="00BE03AE" w:rsidRDefault="00BE03AE" w:rsidP="00091AF8">
      <w:pPr>
        <w:pStyle w:val="StylePwCNormalnmajNormalnotetextcvteCNormalnotetext2"/>
      </w:pPr>
      <w:r>
        <w:t xml:space="preserve">These additional wages are a key concern for Victorian business and other employers operating on public holidays, in particular for small businesses and </w:t>
      </w:r>
      <w:r w:rsidR="001F25E8">
        <w:t>not-for-profit</w:t>
      </w:r>
      <w:r>
        <w:t xml:space="preserve"> entities. Consultation with stakeholders has highlighted that this concern is sufficiently high to result in some potential business closures on these days. Business closures would result in reduced economic activity, which is captured in this RIS under ‘net impacts’.  </w:t>
      </w:r>
    </w:p>
    <w:p w:rsidR="00BE03AE" w:rsidRDefault="00BE03AE" w:rsidP="00091AF8">
      <w:pPr>
        <w:pStyle w:val="StylePwCNormalnmajNormalnotetextcvteCNormalnotetext2"/>
      </w:pPr>
      <w:r>
        <w:t>From a net or ‘social impact’ perspective, the additional wages paid by employers  trading on public holidays are considered a transfer given the cost to employer of paying the additional wages is matched by an equivalent benefit to the employees who receive the wages. As a community, Victoria is no better- or worse-off due to the impact of these wages alone. In fact, the economy-wide impact is measured in terms of changes to output at the State level</w:t>
      </w:r>
      <w:r w:rsidR="00085E7F">
        <w:t>.</w:t>
      </w:r>
    </w:p>
    <w:p w:rsidR="00BE03AE" w:rsidRDefault="00BE03AE" w:rsidP="00BE03AE">
      <w:pPr>
        <w:pStyle w:val="Minorheading2"/>
      </w:pPr>
      <w:r>
        <w:t>Revisions to penalty rates</w:t>
      </w:r>
    </w:p>
    <w:p w:rsidR="00BE03AE" w:rsidRDefault="00BE03AE" w:rsidP="00091AF8">
      <w:pPr>
        <w:pStyle w:val="StylePwCNormalnmajNormalnotetextcvteCNormalnotetext2"/>
      </w:pPr>
      <w:r>
        <w:t>The impact of additional public holidays in terms of wage transfers is not necessarily attributable to the holiday itself but rather to the differences between public holiday penalty rates and the otherwise prevailing rate of pay on the day. These differences are not fixed over time as the penalty rates paid to workers in different industries are subject to change. In fact, a review into workplace arrangements including penalty rates is currently being undertaken by the Productivity Commission.</w:t>
      </w:r>
    </w:p>
    <w:p w:rsidR="00BE03AE" w:rsidRDefault="00BE03AE" w:rsidP="00091AF8">
      <w:pPr>
        <w:pStyle w:val="StylePwCNormalnmajNormalnotetextcvteCNormalnotetext2"/>
      </w:pPr>
      <w:r>
        <w:t xml:space="preserve">Due to these considerations, the wage transfer impacts explored in this analysis relate to prevailing penalty rates paid to Victorians at the time of writing and it is acknowledged that these impacts would be subject to change wherever there are changes to these rates. </w:t>
      </w:r>
    </w:p>
    <w:p w:rsidR="00BE03AE" w:rsidRDefault="00BE03AE" w:rsidP="00BE03AE">
      <w:pPr>
        <w:pStyle w:val="Minorheading2"/>
      </w:pPr>
      <w:r>
        <w:t>Nature of wage transfers over time</w:t>
      </w:r>
    </w:p>
    <w:p w:rsidR="00BE03AE" w:rsidRDefault="00BE03AE" w:rsidP="00091AF8">
      <w:pPr>
        <w:pStyle w:val="StylePwCNormalnmajNormalnotetextcvteCNormalnotetext2"/>
      </w:pPr>
      <w:r>
        <w:t>Over the long term, it is possible that the impact of wage transfers on employers (cost) and employees (benefit) could reduce. To the extent that employers (businesses, not-for-profits and the government sector) are able to factor these additional wage costs into their future wage agreements in the form of lower than otherwise wage offers, it possible that employers may be able to reduce the size of the wage transfers in the future.</w:t>
      </w:r>
    </w:p>
    <w:p w:rsidR="00BE03AE" w:rsidRDefault="00BE03AE" w:rsidP="00091AF8">
      <w:pPr>
        <w:pStyle w:val="StylePwCNormalnmajNormalnotetextcvteCNormalnotetext2"/>
      </w:pPr>
      <w:r>
        <w:t xml:space="preserve">Further, while employers bear the additional wage costs in the first instance, it is possible that some of these costs may be passed on to consumers in the form of higher prices for goods and services. </w:t>
      </w:r>
    </w:p>
    <w:p w:rsidR="00BE03AE" w:rsidRDefault="00BE03AE" w:rsidP="00BE03AE">
      <w:pPr>
        <w:pStyle w:val="Minorheading3"/>
      </w:pPr>
      <w:r>
        <w:t>Rational wage bargaining</w:t>
      </w:r>
    </w:p>
    <w:p w:rsidR="00BE03AE" w:rsidRDefault="00BE03AE" w:rsidP="00091AF8">
      <w:pPr>
        <w:pStyle w:val="StylePwCNormalnmajNormalnotetextcvteCNormalnotetext2"/>
      </w:pPr>
      <w:r>
        <w:t xml:space="preserve">Where employers engage in rational wage bargaining, they </w:t>
      </w:r>
      <w:r w:rsidR="009E204A">
        <w:t xml:space="preserve">are expected to </w:t>
      </w:r>
      <w:r>
        <w:t xml:space="preserve">form expectations around employee productivity over the year when making salary offers to employees or considering salary increases year-on-year. </w:t>
      </w:r>
      <w:r w:rsidRPr="004E13C0">
        <w:t xml:space="preserve">For </w:t>
      </w:r>
      <w:r>
        <w:t xml:space="preserve">many employers it is likely that </w:t>
      </w:r>
      <w:r w:rsidRPr="004E13C0">
        <w:t>the creation of new public holiday</w:t>
      </w:r>
      <w:r>
        <w:t xml:space="preserve">s </w:t>
      </w:r>
      <w:r w:rsidR="009E204A">
        <w:t>may</w:t>
      </w:r>
      <w:r w:rsidR="009E204A" w:rsidRPr="004E13C0">
        <w:t xml:space="preserve"> </w:t>
      </w:r>
      <w:r w:rsidRPr="004E13C0">
        <w:t xml:space="preserve">be taken into account in </w:t>
      </w:r>
      <w:r>
        <w:t xml:space="preserve">future </w:t>
      </w:r>
      <w:r w:rsidRPr="004E13C0">
        <w:t>wage negotiations</w:t>
      </w:r>
      <w:r>
        <w:t>.</w:t>
      </w:r>
      <w:r>
        <w:rPr>
          <w:rStyle w:val="FootnoteReference"/>
        </w:rPr>
        <w:footnoteReference w:id="42"/>
      </w:r>
    </w:p>
    <w:p w:rsidR="00BE03AE" w:rsidRDefault="00BE03AE" w:rsidP="00091AF8">
      <w:pPr>
        <w:pStyle w:val="StylePwCNormalnmajNormalnotetextcvteCNormalnotetext2"/>
      </w:pPr>
      <w:r>
        <w:t xml:space="preserve">Firms engaging in rational wage bargaining will base their wage offers to workers on the basis of </w:t>
      </w:r>
      <w:r w:rsidR="008475EB">
        <w:t xml:space="preserve">their employees’ </w:t>
      </w:r>
      <w:r>
        <w:t xml:space="preserve">level of production through the year. An increase in annual wage costs due to additional public holidays, while holding the level of production constant, would result in lower wages being paid or lower wage offers being made to workers in the future. </w:t>
      </w:r>
    </w:p>
    <w:p w:rsidR="00BE03AE" w:rsidRDefault="009E204A" w:rsidP="00091AF8">
      <w:pPr>
        <w:pStyle w:val="StylePwCNormalnmajNormalnotetextcvteCNormalnotetext2"/>
      </w:pPr>
      <w:r>
        <w:t>It is acknowledged</w:t>
      </w:r>
      <w:r w:rsidR="00BE03AE">
        <w:t xml:space="preserve"> that firms’ ability to lower the wage offers made to workers will vary. For example, firms that pay their workers at award rates are less likely to be able to adjust their employees’ wages. This is because the award creates a lower bound beyond which wages cannot be reduced. An additional consideration is that most awards are set at the national level, meaning Victorian firms would be less able to campaign for smaller award increases following the gazettal of additional public holidays.</w:t>
      </w:r>
    </w:p>
    <w:p w:rsidR="00BE03AE" w:rsidRDefault="00BE03AE" w:rsidP="00BE03AE">
      <w:pPr>
        <w:pStyle w:val="Minorheading3"/>
      </w:pPr>
      <w:r>
        <w:t>Insights from increases in the superannuation guarantee levy</w:t>
      </w:r>
    </w:p>
    <w:p w:rsidR="00BE03AE" w:rsidRDefault="00BE03AE" w:rsidP="00091AF8">
      <w:pPr>
        <w:pStyle w:val="StylePwCNormalnmajNormalnotetextcvteCNormalnotetext2"/>
      </w:pPr>
      <w:r>
        <w:t>The effects of rational wage bargaining can be seen by examining the anticipated impacts of the recent changes to the superannuation guarantee levy. Wages and/or future wage offers are expected to be lower due to increases in the superannuation guarantee levy in Australia from nine per cent to 12 per cent, which effectively raises the wages paid to employees in Australia. Research on the impacts of the changes prepared on behalf of The Association of Superannuation Funds of Australia suggested that employer costs could be increased in the short term, but that in the longer term:</w:t>
      </w:r>
    </w:p>
    <w:p w:rsidR="00BE03AE" w:rsidRDefault="00BE03AE" w:rsidP="00BE03AE">
      <w:pPr>
        <w:pStyle w:val="Indent1"/>
        <w:numPr>
          <w:ilvl w:val="0"/>
          <w:numId w:val="0"/>
        </w:numPr>
        <w:ind w:left="284"/>
      </w:pPr>
      <w:r>
        <w:rPr>
          <w:i/>
        </w:rPr>
        <w:t>“</w:t>
      </w:r>
      <w:proofErr w:type="gramStart"/>
      <w:r w:rsidRPr="009C64D7">
        <w:rPr>
          <w:i/>
        </w:rPr>
        <w:t>employers</w:t>
      </w:r>
      <w:proofErr w:type="gramEnd"/>
      <w:r w:rsidRPr="009C64D7">
        <w:rPr>
          <w:i/>
        </w:rPr>
        <w:t xml:space="preserve"> will pass on the burden of increase either in the form of price rises on the goods and services they sell, or in the form of lowered wages (or wage growth) for their employees, or both</w:t>
      </w:r>
      <w:r>
        <w:rPr>
          <w:i/>
        </w:rPr>
        <w:t>”</w:t>
      </w:r>
      <w:r w:rsidRPr="00091AF8">
        <w:rPr>
          <w:rStyle w:val="FootnoteReference"/>
        </w:rPr>
        <w:footnoteReference w:id="43"/>
      </w:r>
      <w:r>
        <w:rPr>
          <w:i/>
        </w:rPr>
        <w:br/>
      </w:r>
    </w:p>
    <w:p w:rsidR="00BE03AE" w:rsidRDefault="00BE03AE">
      <w:pPr>
        <w:pStyle w:val="StylePwCNormalnmajNormalnotetextcvteCNormalnotetext2"/>
      </w:pPr>
      <w:r w:rsidRPr="00356069">
        <w:t>In respect of the increases in the superannuation guarantee levy, the Australian Industry Group advised its members to consider the increases in the levy when negotiating new enterprise</w:t>
      </w:r>
      <w:r w:rsidRPr="00C11E79">
        <w:t xml:space="preserve"> agreements over the years ahead</w:t>
      </w:r>
      <w:r>
        <w:t>.</w:t>
      </w:r>
      <w:r>
        <w:rPr>
          <w:rStyle w:val="FootnoteReference"/>
        </w:rPr>
        <w:footnoteReference w:id="44"/>
      </w:r>
      <w:r>
        <w:t xml:space="preserve"> </w:t>
      </w:r>
    </w:p>
    <w:p w:rsidR="00BE03AE" w:rsidRPr="009C64D7" w:rsidRDefault="00BE03AE">
      <w:pPr>
        <w:pStyle w:val="StylePwCNormalnmajNormalnotetextcvteCNormalnotetext2"/>
      </w:pPr>
      <w:r>
        <w:t xml:space="preserve">These findings suggest that </w:t>
      </w:r>
      <w:r w:rsidR="009E204A">
        <w:t xml:space="preserve">some </w:t>
      </w:r>
      <w:r>
        <w:t xml:space="preserve">firms </w:t>
      </w:r>
      <w:r w:rsidR="009E204A">
        <w:t xml:space="preserve">may </w:t>
      </w:r>
      <w:r>
        <w:t xml:space="preserve">engage in rational wage bargaining following changes to employee remuneration. Hence, it is expected that the changes to remuneration that flow from the payment of additional public holiday penalty rates </w:t>
      </w:r>
      <w:r w:rsidR="009E204A">
        <w:t xml:space="preserve">could potentially </w:t>
      </w:r>
      <w:r>
        <w:t xml:space="preserve">be passed on to workers in the form of lower wages (or lower wage increases in future periods) and potentially also to consumers in the form of product price increases. </w:t>
      </w:r>
    </w:p>
    <w:p w:rsidR="00BE03AE" w:rsidRDefault="00BE03AE">
      <w:pPr>
        <w:pStyle w:val="StylePwCNormalnmajNormalnotetextcvteCNormalnotetext2"/>
      </w:pPr>
      <w:r>
        <w:t xml:space="preserve">In the short term, it is likely that firms would bear at least the majority of the costs associated with increased wages due to penalty rates. This is because most firms would be unable to adjust the wages paid to their employees in the short term. </w:t>
      </w:r>
    </w:p>
    <w:p w:rsidR="00BE03AE" w:rsidRDefault="00BE03AE">
      <w:pPr>
        <w:pStyle w:val="StylePwCNormalnmajNormalnotetextcvteCNormalnotetext2"/>
      </w:pPr>
      <w:r>
        <w:t xml:space="preserve">In the long term, when such changes can be incorporated into the wage bargaining process, the costs of wage transfers are expected to reduce. This implies that the benefits to employees of increased wages in the short term </w:t>
      </w:r>
      <w:r w:rsidR="009E204A">
        <w:t xml:space="preserve">could be </w:t>
      </w:r>
      <w:r>
        <w:t xml:space="preserve">eroded in the long term by lower wages or lower wage increases overall. </w:t>
      </w:r>
    </w:p>
    <w:p w:rsidR="00BE03AE" w:rsidRDefault="00BE03AE" w:rsidP="00BE03AE">
      <w:pPr>
        <w:pStyle w:val="Majorheading"/>
      </w:pPr>
      <w:r>
        <w:t>Net impacts</w:t>
      </w:r>
      <w:bookmarkEnd w:id="117"/>
    </w:p>
    <w:p w:rsidR="00BE03AE" w:rsidRDefault="00BE03AE" w:rsidP="00BE03AE">
      <w:pPr>
        <w:pStyle w:val="Minorheading"/>
      </w:pPr>
      <w:r>
        <w:t>Social and community benefits</w:t>
      </w:r>
    </w:p>
    <w:p w:rsidR="00BE03AE" w:rsidRDefault="00BE03AE" w:rsidP="00BE03AE">
      <w:pPr>
        <w:pStyle w:val="Minorheading2"/>
      </w:pPr>
      <w:r>
        <w:t>Increased benefits from coordinated leisure time</w:t>
      </w:r>
    </w:p>
    <w:p w:rsidR="00BE03AE" w:rsidRDefault="00BE03AE" w:rsidP="00091AF8">
      <w:pPr>
        <w:pStyle w:val="StylePwCNormalnmajNormalnotetextcvteCNormalnotetext2"/>
      </w:pPr>
      <w:r>
        <w:t xml:space="preserve">As set out in </w:t>
      </w:r>
      <w:proofErr w:type="spellStart"/>
      <w:r>
        <w:t>Labor’s</w:t>
      </w:r>
      <w:proofErr w:type="spellEnd"/>
      <w:r>
        <w:t xml:space="preserve"> Platform 2014, to many Victorians public holidays represent significant religious, national, state and local occasions. They also provide the opportunity for families and friends to take a break from normal work or study activities and to enjoy leisure time. </w:t>
      </w:r>
    </w:p>
    <w:p w:rsidR="00BE03AE" w:rsidRDefault="00BE03AE" w:rsidP="00091AF8">
      <w:pPr>
        <w:pStyle w:val="StylePwCNormalnmajNormalnotetextcvteCNormalnotetext2"/>
      </w:pPr>
      <w:r>
        <w:t>The benefit that individuals derive from leisure time frequently depends, at least in part, on the presence of companions. For the majority of people, leisure time spent among friends or family is preferable to leisure time spent alone, which is often only enjoyable in periods of smaller duration.</w:t>
      </w:r>
      <w:r>
        <w:rPr>
          <w:rStyle w:val="FootnoteReference"/>
        </w:rPr>
        <w:footnoteReference w:id="45"/>
      </w:r>
      <w:r>
        <w:t xml:space="preserve"> </w:t>
      </w:r>
    </w:p>
    <w:p w:rsidR="00BE03AE" w:rsidRDefault="00BE03AE" w:rsidP="00091AF8">
      <w:pPr>
        <w:pStyle w:val="StylePwCNormalnmajNormalnotetextcvteCNormalnotetext2"/>
      </w:pPr>
      <w:r>
        <w:t xml:space="preserve">This suggests that in addition to the benefits associated with providing a break from work or study, additional public holidays would increase social benefits by providing </w:t>
      </w:r>
      <w:r w:rsidRPr="00D249B3">
        <w:rPr>
          <w:i/>
        </w:rPr>
        <w:t>coordinated</w:t>
      </w:r>
      <w:r>
        <w:t xml:space="preserve"> leisure time.  </w:t>
      </w:r>
    </w:p>
    <w:p w:rsidR="00BE03AE" w:rsidRDefault="00BE03AE" w:rsidP="00BE03AE">
      <w:pPr>
        <w:pStyle w:val="Minorheading2"/>
      </w:pPr>
      <w:r>
        <w:t>Workers preferences: paid work or an extra day off?</w:t>
      </w:r>
    </w:p>
    <w:p w:rsidR="00BE03AE" w:rsidRDefault="00BE03AE" w:rsidP="00091AF8">
      <w:pPr>
        <w:pStyle w:val="StylePwCNormalnmajNormalnotetextcvteCNormalnotetext2"/>
      </w:pPr>
      <w:r>
        <w:t xml:space="preserve">The preferences of workers on permanent employment arrangements (those with paid leave entitlements) are important to consider. Despite securing a potential day or two days’ paid holiday, which represents a strict benefit to affected employees, it is possible that workers will find it more difficult to secure pay increases from their employees in light of the additional paid holiday(s) on offer. </w:t>
      </w:r>
    </w:p>
    <w:p w:rsidR="00BE03AE" w:rsidRDefault="00BE03AE" w:rsidP="00091AF8">
      <w:pPr>
        <w:pStyle w:val="StylePwCNormalnmajNormalnotetextcvteCNormalnotetext2"/>
      </w:pPr>
      <w:r>
        <w:t>Given the choice between more pay and more holidays, the literature suggests that many respondents choose more holidays. In a 2002 study it was found that 51.6 per cent of those surveyed preferred a holiday to an equivalent pay rise.</w:t>
      </w:r>
      <w:r>
        <w:rPr>
          <w:rStyle w:val="FootnoteReference"/>
        </w:rPr>
        <w:footnoteReference w:id="46"/>
      </w:r>
      <w:r>
        <w:t xml:space="preserve"> Other work has estimated that 56.5 per cent of the Australian population exhibited a preference for leave time over money. These preferences were found to be consistent among different groups of workers, including professionals and non-professionals.</w:t>
      </w:r>
      <w:r>
        <w:rPr>
          <w:rStyle w:val="FootnoteReference"/>
        </w:rPr>
        <w:footnoteReference w:id="47"/>
      </w:r>
      <w:r>
        <w:t xml:space="preserve"> </w:t>
      </w:r>
    </w:p>
    <w:p w:rsidR="00BE03AE" w:rsidRDefault="00BE03AE" w:rsidP="00091AF8">
      <w:pPr>
        <w:pStyle w:val="StylePwCNormalnmajNormalnotetextcvteCNormalnotetext2"/>
      </w:pPr>
      <w:r>
        <w:t xml:space="preserve">These findings suggest that beyond the benefits of a paid day off, many workers </w:t>
      </w:r>
      <w:r w:rsidR="009E204A">
        <w:t xml:space="preserve">may </w:t>
      </w:r>
      <w:r>
        <w:t>also prefer a public holiday to an equivalent pay rise.</w:t>
      </w:r>
    </w:p>
    <w:p w:rsidR="00BE03AE" w:rsidRDefault="00BE03AE" w:rsidP="00BE03AE">
      <w:pPr>
        <w:pStyle w:val="Minorheading2"/>
      </w:pPr>
      <w:r>
        <w:t>Further social benefits of public holidays</w:t>
      </w:r>
    </w:p>
    <w:p w:rsidR="00BE03AE" w:rsidRPr="002323D9" w:rsidRDefault="00BE03AE" w:rsidP="00091AF8">
      <w:pPr>
        <w:pStyle w:val="StylePwCNormalnmajNormalnotetextcvteCNormalnotetext2"/>
      </w:pPr>
      <w:r w:rsidRPr="002323D9">
        <w:t>Public holidays have a range of specific historic origins, but their existence can be explained generally as the common enjoyment of festivals and events of historical importance.</w:t>
      </w:r>
      <w:r w:rsidRPr="002323D9">
        <w:rPr>
          <w:rStyle w:val="FootnoteReference"/>
          <w:szCs w:val="21"/>
        </w:rPr>
        <w:footnoteReference w:id="48"/>
      </w:r>
      <w:r w:rsidRPr="002323D9">
        <w:t xml:space="preserve"> Obvious examples of festivals are Christmas and Easter, with ANZAC Day and Australia Day being examples of national days with historical significance. Historically, festivals and holidays have combined time away from work with community-wide social activities that bring people together for an occasion with common symbolic meaning.</w:t>
      </w:r>
    </w:p>
    <w:p w:rsidR="00BE03AE" w:rsidRDefault="00BE03AE" w:rsidP="00091AF8">
      <w:pPr>
        <w:pStyle w:val="StylePwCNormalnmajNormalnotetextcvteCNormalnotetext2"/>
      </w:pPr>
      <w:r w:rsidRPr="002323D9">
        <w:t xml:space="preserve">Enjoying oneself in this way adds to the benefit of participants on the day which implies that the </w:t>
      </w:r>
      <w:r>
        <w:t>benefits</w:t>
      </w:r>
      <w:r w:rsidRPr="002323D9">
        <w:t xml:space="preserve"> of leisure consumed on holidays includes some additional direct </w:t>
      </w:r>
      <w:r>
        <w:t>benefits</w:t>
      </w:r>
      <w:r w:rsidRPr="002323D9">
        <w:t xml:space="preserve"> from the common enjoyment of that time, as well as building social cohesion and social capital.</w:t>
      </w:r>
      <w:r w:rsidRPr="002323D9">
        <w:rPr>
          <w:rStyle w:val="FootnoteReference"/>
          <w:szCs w:val="21"/>
        </w:rPr>
        <w:footnoteReference w:id="49"/>
      </w:r>
      <w:r w:rsidRPr="002323D9">
        <w:t xml:space="preserve"> Studies have demonstrated that the benefits that flow from improved social cohesion and social capital include faster economic growth, better health and lower social costs.</w:t>
      </w:r>
      <w:r w:rsidRPr="002323D9">
        <w:rPr>
          <w:rStyle w:val="FootnoteReference"/>
          <w:szCs w:val="21"/>
        </w:rPr>
        <w:footnoteReference w:id="50"/>
      </w:r>
      <w:r w:rsidRPr="002323D9">
        <w:t xml:space="preserve"> Similar benefits have also been found to be associated with time away from work.</w:t>
      </w:r>
      <w:r>
        <w:rPr>
          <w:rStyle w:val="FootnoteReference"/>
        </w:rPr>
        <w:footnoteReference w:id="51"/>
      </w:r>
    </w:p>
    <w:p w:rsidR="00BE03AE" w:rsidRDefault="00BE03AE" w:rsidP="00BE03AE">
      <w:pPr>
        <w:pStyle w:val="Minorheading2"/>
      </w:pPr>
      <w:r>
        <w:t>Timing considerations</w:t>
      </w:r>
    </w:p>
    <w:p w:rsidR="000D0FD6" w:rsidRDefault="00BE03AE" w:rsidP="00091AF8">
      <w:pPr>
        <w:pStyle w:val="StylePwCNormalnmajNormalnotetextcvteCNormalnotetext2"/>
      </w:pPr>
      <w:r w:rsidRPr="002323D9">
        <w:t>While these findings support the provision of public holidays, there are different views as to which public holidays might be the most beneficial. It has been argued that for days of national or religious significance such as Australia Day, ANZAC Day or Christmas Day</w:t>
      </w:r>
      <w:r>
        <w:t xml:space="preserve">, </w:t>
      </w:r>
      <w:r w:rsidRPr="002323D9">
        <w:t xml:space="preserve">activities associated with these days may </w:t>
      </w:r>
      <w:r>
        <w:t>still be coordinated absent a public holiday.</w:t>
      </w:r>
      <w:r w:rsidRPr="002323D9">
        <w:rPr>
          <w:rStyle w:val="FootnoteReference"/>
          <w:szCs w:val="21"/>
        </w:rPr>
        <w:footnoteReference w:id="52"/>
      </w:r>
      <w:r w:rsidRPr="002323D9">
        <w:t xml:space="preserve"> That is, if there is a ‘natural’ reason to take certain days off voluntarily then a coordinating device, such as a compulsory public holiday, </w:t>
      </w:r>
      <w:r>
        <w:t>has a smaller impact</w:t>
      </w:r>
      <w:r w:rsidRPr="002323D9">
        <w:t xml:space="preserve">. </w:t>
      </w:r>
    </w:p>
    <w:p w:rsidR="00BE03AE" w:rsidRDefault="00BE03AE" w:rsidP="00091AF8">
      <w:pPr>
        <w:pStyle w:val="StylePwCNormalnmajNormalnotetextcvteCNormalnotetext2"/>
      </w:pPr>
      <w:r w:rsidRPr="002323D9">
        <w:t xml:space="preserve">This does not negate the argument that public holidays are beneficial to individuals but rather asserts that the public holidays that are the most beneficial are those that are </w:t>
      </w:r>
      <w:r>
        <w:t>not attached to existing coordinated activities.</w:t>
      </w:r>
      <w:r w:rsidRPr="002323D9">
        <w:t xml:space="preserve"> That is, those days that are provided as public holidays upon which it is unlikely that individuals would voluntarily take time off as such days provide an opportunity for social behaviour that otherwise is unlikely to occur.</w:t>
      </w:r>
      <w:r w:rsidRPr="002323D9">
        <w:rPr>
          <w:rStyle w:val="FootnoteReference"/>
          <w:szCs w:val="21"/>
        </w:rPr>
        <w:footnoteReference w:id="53"/>
      </w:r>
    </w:p>
    <w:p w:rsidR="00BE03AE" w:rsidRDefault="00BE03AE" w:rsidP="00BE03AE">
      <w:pPr>
        <w:pStyle w:val="Minorheading"/>
      </w:pPr>
      <w:bookmarkStart w:id="119" w:name="_Ref416194600"/>
      <w:r>
        <w:t>Tourism and sport</w:t>
      </w:r>
      <w:bookmarkEnd w:id="119"/>
    </w:p>
    <w:p w:rsidR="00931756" w:rsidRDefault="00931756" w:rsidP="00931756">
      <w:pPr>
        <w:pStyle w:val="StylePwCNormalnmajNormalnotetextcvteCNormalnotetext2"/>
      </w:pPr>
      <w:r>
        <w:t>Public holidays carry the potential to stimulate Victorian tourism and associated industries, including transport services, restaurants, accommodation providers and retail services. Tourism benefits are expected to flow to Victoria through:</w:t>
      </w:r>
    </w:p>
    <w:p w:rsidR="00931756" w:rsidRDefault="00931756" w:rsidP="00931756">
      <w:pPr>
        <w:pStyle w:val="ListBullet"/>
      </w:pPr>
      <w:r>
        <w:t>enhancing the status of existing sporting and cultural events and coordinating new events on or surrounding the new public holidays</w:t>
      </w:r>
    </w:p>
    <w:p w:rsidR="00931756" w:rsidRDefault="00931756" w:rsidP="00931756">
      <w:pPr>
        <w:pStyle w:val="ListBullet"/>
      </w:pPr>
      <w:proofErr w:type="gramStart"/>
      <w:r>
        <w:t>increased</w:t>
      </w:r>
      <w:proofErr w:type="gramEnd"/>
      <w:r>
        <w:t xml:space="preserve"> visitation to regional Victoria. </w:t>
      </w:r>
    </w:p>
    <w:p w:rsidR="00931756" w:rsidRDefault="00931756" w:rsidP="00931756">
      <w:pPr>
        <w:pStyle w:val="StylePwCNormalnmajNormalnotetextcvteCNormalnotetext2"/>
      </w:pPr>
      <w:r>
        <w:t xml:space="preserve">Public holidays present additional opportunities for leisure activities to be undertaken by those Victorians </w:t>
      </w:r>
      <w:r w:rsidR="00166A0B">
        <w:t>that are no longer required to work due to the public holiday</w:t>
      </w:r>
      <w:r>
        <w:t xml:space="preserve">. For example, some individuals may be more likely to dine out or to consume other forms of entertainment on a public holiday relative to a normal working day. To the extent that this occurs, this would result in potential benefits (in the form of increased revenue) to some employers that remain open on public holidays. </w:t>
      </w:r>
    </w:p>
    <w:p w:rsidR="00931756" w:rsidRDefault="00931756" w:rsidP="00931756">
      <w:pPr>
        <w:pStyle w:val="StylePwCNormalnmajNormalnotetextcvteCNormalnotetext2"/>
      </w:pPr>
      <w:r>
        <w:t xml:space="preserve">It is acknowledged that increased consumption on additional public holidays would </w:t>
      </w:r>
      <w:r w:rsidR="00106491">
        <w:t xml:space="preserve">likely </w:t>
      </w:r>
      <w:r>
        <w:t>be partially offset by reduced consumption on other days of the year. Despite this</w:t>
      </w:r>
      <w:r w:rsidR="00166A0B">
        <w:t>,</w:t>
      </w:r>
      <w:r>
        <w:t xml:space="preserve"> it is possible that the </w:t>
      </w:r>
      <w:r w:rsidR="00166A0B">
        <w:t xml:space="preserve">public </w:t>
      </w:r>
      <w:r>
        <w:t xml:space="preserve">holidays could generate additional activity that encourages </w:t>
      </w:r>
      <w:r w:rsidR="00166A0B">
        <w:t xml:space="preserve">increased </w:t>
      </w:r>
      <w:r>
        <w:t xml:space="preserve">expenditure. For instance, this could occur due to increased interstate or international visitation to the extent that the </w:t>
      </w:r>
      <w:r w:rsidR="00166A0B">
        <w:t xml:space="preserve">public </w:t>
      </w:r>
      <w:r>
        <w:t xml:space="preserve">holidays create additional attractions on the Victorian calendar. </w:t>
      </w:r>
    </w:p>
    <w:p w:rsidR="00931756" w:rsidRPr="006101FF" w:rsidRDefault="00166A0B" w:rsidP="00931756">
      <w:pPr>
        <w:pStyle w:val="StylePwCNormalnmajNormalnotetextcvteCNormalnotetext2"/>
      </w:pPr>
      <w:r>
        <w:t>It is also possible that more Victorians would travel interstate on a long weekend, compared with a normal weekend. This would lead to reduced expenditure within Victoria for this cohort.</w:t>
      </w:r>
      <w:r w:rsidR="00931756">
        <w:t xml:space="preserve"> </w:t>
      </w:r>
    </w:p>
    <w:p w:rsidR="00BE03AE" w:rsidRDefault="00BE03AE" w:rsidP="00BE03AE">
      <w:pPr>
        <w:pStyle w:val="Minorheading"/>
      </w:pPr>
      <w:r>
        <w:t>Other factors</w:t>
      </w:r>
    </w:p>
    <w:p w:rsidR="00BE03AE" w:rsidRDefault="00BE03AE" w:rsidP="00BE03AE">
      <w:pPr>
        <w:pStyle w:val="Minorheading2"/>
      </w:pPr>
      <w:r>
        <w:t>Increased productivity due to additional leisure time</w:t>
      </w:r>
    </w:p>
    <w:p w:rsidR="00BE03AE" w:rsidRDefault="00BE03AE" w:rsidP="00091AF8">
      <w:pPr>
        <w:pStyle w:val="StylePwCNormalnmajNormalnotetextcvteCNormalnotetext2"/>
      </w:pPr>
      <w:r>
        <w:t xml:space="preserve">It is widely acknowledged that individuals require periods of rest from work in order to achieve optimal levels of productivity. This concept is consistent with the existence of weekends and limits established on the number of consecutive hours employees may be required to work. </w:t>
      </w:r>
    </w:p>
    <w:p w:rsidR="00BE03AE" w:rsidRPr="004E13C0" w:rsidRDefault="00BE03AE" w:rsidP="00091AF8">
      <w:pPr>
        <w:pStyle w:val="StylePwCNormalnmajNormalnotetextcvteCNormalnotetext2"/>
      </w:pPr>
      <w:r>
        <w:rPr>
          <w:snapToGrid/>
          <w:lang w:eastAsia="en-AU"/>
        </w:rPr>
        <w:t>Research prepared by Oxford Economics found</w:t>
      </w:r>
      <w:r w:rsidRPr="005A6A63">
        <w:rPr>
          <w:snapToGrid/>
          <w:lang w:eastAsia="en-AU"/>
        </w:rPr>
        <w:t xml:space="preserve"> that </w:t>
      </w:r>
      <w:r>
        <w:rPr>
          <w:snapToGrid/>
          <w:lang w:eastAsia="en-AU"/>
        </w:rPr>
        <w:t xml:space="preserve">both </w:t>
      </w:r>
      <w:r w:rsidRPr="005A6A63">
        <w:rPr>
          <w:snapToGrid/>
          <w:lang w:eastAsia="en-AU"/>
        </w:rPr>
        <w:t xml:space="preserve">employers and employees perceive significant benefits to </w:t>
      </w:r>
      <w:r>
        <w:rPr>
          <w:snapToGrid/>
          <w:lang w:eastAsia="en-AU"/>
        </w:rPr>
        <w:t>paid time off in the United States</w:t>
      </w:r>
      <w:r w:rsidRPr="005A6A63">
        <w:rPr>
          <w:snapToGrid/>
          <w:lang w:eastAsia="en-AU"/>
        </w:rPr>
        <w:t xml:space="preserve">. </w:t>
      </w:r>
    </w:p>
    <w:p w:rsidR="00BE03AE" w:rsidRPr="004E13C0" w:rsidRDefault="00BE03AE" w:rsidP="00BE03AE">
      <w:pPr>
        <w:pStyle w:val="Indent1"/>
        <w:rPr>
          <w:i/>
        </w:rPr>
      </w:pPr>
      <w:r w:rsidRPr="004E13C0">
        <w:rPr>
          <w:i/>
          <w:snapToGrid/>
          <w:lang w:eastAsia="en-AU"/>
        </w:rPr>
        <w:t>For the employer, benefits include more productive, focused and dedicated employees. For employees, time away from work reduces stress with notable benefits to relationships and health. Most employees report coming back to work feeling renewed and refreshed, and ready to focus on work.</w:t>
      </w:r>
      <w:r w:rsidRPr="004E13C0">
        <w:rPr>
          <w:rStyle w:val="FootnoteReference"/>
          <w:i/>
          <w:snapToGrid/>
          <w:lang w:eastAsia="en-AU"/>
        </w:rPr>
        <w:footnoteReference w:id="54"/>
      </w:r>
    </w:p>
    <w:p w:rsidR="00BE03AE" w:rsidRDefault="00BE03AE" w:rsidP="00091AF8">
      <w:pPr>
        <w:pStyle w:val="StylePwCNormalnmajNormalnotetextcvteCNormalnotetext2"/>
      </w:pPr>
      <w:r>
        <w:t>Other research has identified that countries with relatively high numbers of paid days off for workers also have relatively high productivity per worker.</w:t>
      </w:r>
      <w:r>
        <w:rPr>
          <w:rStyle w:val="FootnoteReference"/>
        </w:rPr>
        <w:footnoteReference w:id="55"/>
      </w:r>
      <w:r w:rsidRPr="009937B0">
        <w:t xml:space="preserve"> </w:t>
      </w:r>
      <w:r>
        <w:t xml:space="preserve">These findings suggest that providing additional paid time off through a public holiday </w:t>
      </w:r>
      <w:r w:rsidR="00851E54">
        <w:t xml:space="preserve">has the potential to provide some </w:t>
      </w:r>
      <w:r>
        <w:t xml:space="preserve">direct benefits to employees and indirect benefits to businesses in terms of increased worker productivity. </w:t>
      </w:r>
    </w:p>
    <w:p w:rsidR="00BE03AE" w:rsidRDefault="00BE03AE" w:rsidP="00BE03AE">
      <w:pPr>
        <w:pStyle w:val="Minorheading2"/>
      </w:pPr>
      <w:r>
        <w:t>Reduced absenteeism</w:t>
      </w:r>
    </w:p>
    <w:p w:rsidR="00BE03AE" w:rsidRDefault="00BE03AE" w:rsidP="00091AF8">
      <w:pPr>
        <w:pStyle w:val="StylePwCNormalnmajNormalnotetextcvteCNormalnotetext2"/>
      </w:pPr>
      <w:r>
        <w:t>The above findings also have potential implications for workplace absenteeism. Where workers are not offered paid time off, the literature indicates that they may be more likely to take absence from work to get an extended break. This would reduce the overall productivity of that employee within the business.</w:t>
      </w:r>
    </w:p>
    <w:p w:rsidR="00BE03AE" w:rsidRDefault="00BE03AE" w:rsidP="00091AF8">
      <w:pPr>
        <w:pStyle w:val="StylePwCNormalnmajNormalnotetextcvteCNormalnotetext2"/>
      </w:pPr>
      <w:r>
        <w:t xml:space="preserve">Research on worker absenteeism </w:t>
      </w:r>
      <w:r w:rsidR="009E204A">
        <w:t xml:space="preserve">suggests </w:t>
      </w:r>
      <w:r>
        <w:t>that workers are more likely to take sick leave on a Monday or a Friday in order to achieve a longer weekend. In Australia it was found that workers were three times as likely to take a sick day on a Monday compared to a Wednesday, with Fridays the next most likely after Mondays.</w:t>
      </w:r>
      <w:r>
        <w:rPr>
          <w:rStyle w:val="FootnoteReference"/>
        </w:rPr>
        <w:footnoteReference w:id="56"/>
      </w:r>
      <w:r>
        <w:t xml:space="preserve"> </w:t>
      </w:r>
    </w:p>
    <w:p w:rsidR="00BE03AE" w:rsidRDefault="00BE03AE" w:rsidP="00091AF8">
      <w:pPr>
        <w:pStyle w:val="StylePwCNormalnmajNormalnotetextcvteCNormalnotetext2"/>
        <w:sectPr w:rsidR="00BE03AE" w:rsidSect="00BE03AE">
          <w:headerReference w:type="first" r:id="rId62"/>
          <w:pgSz w:w="11907" w:h="16840" w:code="9"/>
          <w:pgMar w:top="1588" w:right="1843" w:bottom="1418" w:left="1843" w:header="567" w:footer="567" w:gutter="0"/>
          <w:cols w:space="227"/>
          <w:titlePg/>
          <w:docGrid w:linePitch="360"/>
        </w:sectPr>
      </w:pPr>
      <w:r>
        <w:t>Currently in Victoria there is a significant period through the latter-half of the year where no public holidays occur on the calendar. After the Queen’s Birthday holiday in mid-June, there are no public holidays for almost five months until Melbourne Cup Day in November. A new public holiday in the latter half of the year between June and November would provide many workers with an additional paid day off and a long weekend. This could potentially influence workers’ decisions around unplanned leave in that period.</w:t>
      </w:r>
    </w:p>
    <w:bookmarkEnd w:id="115"/>
    <w:p w:rsidR="005236F7" w:rsidRDefault="005236F7">
      <w:pPr>
        <w:kinsoku/>
        <w:overflowPunct/>
        <w:autoSpaceDE/>
        <w:autoSpaceDN/>
        <w:adjustRightInd/>
        <w:snapToGrid/>
      </w:pPr>
    </w:p>
    <w:sectPr w:rsidR="005236F7" w:rsidSect="008A3C08">
      <w:headerReference w:type="even" r:id="rId63"/>
      <w:headerReference w:type="default" r:id="rId64"/>
      <w:footerReference w:type="even" r:id="rId65"/>
      <w:footerReference w:type="default" r:id="rId66"/>
      <w:headerReference w:type="first" r:id="rId67"/>
      <w:footerReference w:type="first" r:id="rId68"/>
      <w:type w:val="evenPage"/>
      <w:pgSz w:w="11907" w:h="16840" w:code="9"/>
      <w:pgMar w:top="1701" w:right="1021" w:bottom="1418" w:left="102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56B4" w:rsidRDefault="00FE56B4" w:rsidP="004343B3">
      <w:pPr>
        <w:pStyle w:val="Separator"/>
      </w:pPr>
      <w:r>
        <w:separator/>
      </w:r>
    </w:p>
    <w:p w:rsidR="00FE56B4" w:rsidRDefault="00FE56B4"/>
  </w:endnote>
  <w:endnote w:type="continuationSeparator" w:id="0">
    <w:p w:rsidR="00FE56B4" w:rsidRDefault="00FE56B4" w:rsidP="004343B3">
      <w:pPr>
        <w:pStyle w:val="Separator"/>
      </w:pPr>
      <w:r>
        <w:continuationSeparator/>
      </w:r>
    </w:p>
    <w:p w:rsidR="00FE56B4" w:rsidRDefault="00FE56B4"/>
  </w:endnote>
  <w:endnote w:type="continuationNotice" w:id="1">
    <w:p w:rsidR="00FE56B4" w:rsidRDefault="00FE56B4" w:rsidP="004343B3">
      <w:pPr>
        <w:pStyle w:val="Separator"/>
      </w:pPr>
    </w:p>
    <w:p w:rsidR="00FE56B4" w:rsidRDefault="00FE56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mn-ea">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NeueLT Std Lt">
    <w:altName w:val="HelveticaNeueLT Std L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6B4" w:rsidRDefault="00FE56B4">
    <w:pPr>
      <w:pStyle w:val="Footer"/>
    </w:pPr>
    <w:r>
      <w:rPr>
        <w:noProof/>
        <w:snapToGrid/>
        <w:lang w:eastAsia="en-AU"/>
      </w:rPr>
      <w:drawing>
        <wp:anchor distT="0" distB="0" distL="114300" distR="114300" simplePos="0" relativeHeight="251672576" behindDoc="1" locked="0" layoutInCell="1" allowOverlap="1" wp14:anchorId="5662F47F" wp14:editId="2D4A7D10">
          <wp:simplePos x="0" y="0"/>
          <wp:positionH relativeFrom="page">
            <wp:posOffset>1248410</wp:posOffset>
          </wp:positionH>
          <wp:positionV relativeFrom="page">
            <wp:posOffset>9674860</wp:posOffset>
          </wp:positionV>
          <wp:extent cx="935990" cy="545465"/>
          <wp:effectExtent l="0" t="0" r="0" b="6985"/>
          <wp:wrapNone/>
          <wp:docPr id="55" name="PwCLogoPAL1" descr="This image is the PwC logo, which is applied to the front cover of all PwC documents of this type.&#10;" title="Pw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35990" cy="545465"/>
                  </a:xfrm>
                  <a:prstGeom prst="rect">
                    <a:avLst/>
                  </a:prstGeom>
                  <a:noFill/>
                  <a:ln w="9525">
                    <a:noFill/>
                    <a:miter lim="800000"/>
                    <a:headEnd/>
                    <a:tailEnd/>
                  </a:ln>
                </pic:spPr>
              </pic:pic>
            </a:graphicData>
          </a:graphic>
        </wp:anchor>
      </w:drawing>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6B4" w:rsidRDefault="00FE56B4" w:rsidP="006650EF">
    <w:pPr>
      <w:pStyle w:val="Footer"/>
    </w:pPr>
    <w:r w:rsidRPr="006650EF">
      <w:rPr>
        <w:sz w:val="18"/>
      </w:rPr>
      <w:fldChar w:fldCharType="begin"/>
    </w:r>
    <w:r>
      <w:instrText xml:space="preserve"> IF </w:instrText>
    </w:r>
    <w:r w:rsidR="00663565">
      <w:fldChar w:fldCharType="begin"/>
    </w:r>
    <w:r w:rsidR="00663565">
      <w:instrText xml:space="preserve"> DOCPROPERTY "Mirror Margins" </w:instrText>
    </w:r>
    <w:r w:rsidR="00663565">
      <w:fldChar w:fldCharType="separate"/>
    </w:r>
    <w:r>
      <w:instrText>N</w:instrText>
    </w:r>
    <w:r w:rsidR="00663565">
      <w:fldChar w:fldCharType="end"/>
    </w:r>
    <w:r>
      <w:instrText xml:space="preserve"> = "N" "</w:instrText>
    </w:r>
    <w:r w:rsidR="00663565">
      <w:fldChar w:fldCharType="begin"/>
    </w:r>
    <w:r w:rsidR="00663565">
      <w:instrText xml:space="preserve"> STYLEREF "Cover title" </w:instrText>
    </w:r>
    <w:r w:rsidR="00663565">
      <w:fldChar w:fldCharType="separate"/>
    </w:r>
    <w:r w:rsidR="00DD7BCE">
      <w:rPr>
        <w:noProof/>
      </w:rPr>
      <w:instrText>Department of Economic Development, Jobs, Transport and Resources</w:instrText>
    </w:r>
    <w:r w:rsidR="00663565">
      <w:rPr>
        <w:noProof/>
      </w:rPr>
      <w:fldChar w:fldCharType="end"/>
    </w:r>
  </w:p>
  <w:p w:rsidR="00FE56B4" w:rsidRDefault="00FE56B4" w:rsidP="006650EF">
    <w:pPr>
      <w:pStyle w:val="Footer"/>
    </w:pPr>
    <w:r>
      <w:instrText>PwC</w:instrText>
    </w:r>
    <w:r>
      <w:ptab w:relativeTo="margin" w:alignment="right" w:leader="none"/>
    </w:r>
    <w:r>
      <w:fldChar w:fldCharType="begin"/>
    </w:r>
    <w:r>
      <w:instrText xml:space="preserve"> PAGE </w:instrText>
    </w:r>
    <w:r>
      <w:fldChar w:fldCharType="separate"/>
    </w:r>
    <w:r w:rsidR="00DD7BCE">
      <w:rPr>
        <w:noProof/>
      </w:rPr>
      <w:instrText>21</w:instrText>
    </w:r>
    <w:r>
      <w:rPr>
        <w:noProof/>
      </w:rPr>
      <w:fldChar w:fldCharType="end"/>
    </w:r>
    <w:r>
      <w:instrText xml:space="preserve">" </w:instrText>
    </w:r>
    <w:r w:rsidRPr="006650EF">
      <w:rPr>
        <w:sz w:val="18"/>
      </w:rPr>
      <w:fldChar w:fldCharType="begin"/>
    </w:r>
    <w:r>
      <w:instrText xml:space="preserve"> IF </w:instrText>
    </w:r>
    <w:r>
      <w:fldChar w:fldCharType="begin"/>
    </w:r>
    <w:r>
      <w:instrText xml:space="preserve"> =mod( </w:instrText>
    </w:r>
    <w:r>
      <w:fldChar w:fldCharType="begin"/>
    </w:r>
    <w:r>
      <w:instrText xml:space="preserve"> PAGE \* Arabic </w:instrText>
    </w:r>
    <w:r>
      <w:fldChar w:fldCharType="separate"/>
    </w:r>
    <w:r>
      <w:rPr>
        <w:noProof/>
      </w:rPr>
      <w:instrText>5</w:instrText>
    </w:r>
    <w:r>
      <w:rPr>
        <w:noProof/>
      </w:rPr>
      <w:fldChar w:fldCharType="end"/>
    </w:r>
    <w:r>
      <w:instrText xml:space="preserve"> ,2) </w:instrText>
    </w:r>
    <w:r>
      <w:fldChar w:fldCharType="separate"/>
    </w:r>
    <w:r>
      <w:rPr>
        <w:noProof/>
      </w:rPr>
      <w:instrText>1</w:instrText>
    </w:r>
    <w:r>
      <w:fldChar w:fldCharType="end"/>
    </w:r>
    <w:r>
      <w:instrText xml:space="preserve"> = "1" "</w:instrText>
    </w:r>
    <w:r w:rsidR="00663565">
      <w:fldChar w:fldCharType="begin"/>
    </w:r>
    <w:r w:rsidR="00663565">
      <w:instrText xml:space="preserve"> STYLEREF "Cover title" </w:instrText>
    </w:r>
    <w:r w:rsidR="00663565">
      <w:fldChar w:fldCharType="separate"/>
    </w:r>
    <w:r>
      <w:rPr>
        <w:noProof/>
      </w:rPr>
      <w:instrText>Prospect name</w:instrText>
    </w:r>
    <w:r w:rsidR="00663565">
      <w:rPr>
        <w:noProof/>
      </w:rPr>
      <w:fldChar w:fldCharType="end"/>
    </w:r>
  </w:p>
  <w:p w:rsidR="00FE56B4" w:rsidRDefault="00FE56B4" w:rsidP="006650EF">
    <w:pPr>
      <w:pStyle w:val="Footer"/>
    </w:pPr>
    <w:r>
      <w:instrText>PwC</w:instrText>
    </w:r>
    <w:r>
      <w:ptab w:relativeTo="margin" w:alignment="right" w:leader="none"/>
    </w:r>
    <w:r>
      <w:fldChar w:fldCharType="begin"/>
    </w:r>
    <w:r>
      <w:instrText xml:space="preserve"> PAGE </w:instrText>
    </w:r>
    <w:r>
      <w:fldChar w:fldCharType="separate"/>
    </w:r>
    <w:r>
      <w:rPr>
        <w:noProof/>
      </w:rPr>
      <w:instrText>5</w:instrText>
    </w:r>
    <w:r>
      <w:rPr>
        <w:noProof/>
      </w:rPr>
      <w:fldChar w:fldCharType="end"/>
    </w:r>
  </w:p>
  <w:p w:rsidR="00FE56B4" w:rsidRDefault="00FE56B4" w:rsidP="006650EF">
    <w:pPr>
      <w:pStyle w:val="Footer-Even"/>
    </w:pPr>
    <w:r>
      <w:instrText>" "</w:instrText>
    </w:r>
    <w:r>
      <w:ptab w:relativeTo="margin" w:alignment="right" w:leader="none"/>
    </w:r>
    <w:r w:rsidR="00663565">
      <w:fldChar w:fldCharType="begin"/>
    </w:r>
    <w:r w:rsidR="00663565">
      <w:instrText xml:space="preserve"> STYLEREF "Cover title" </w:instrText>
    </w:r>
    <w:r w:rsidR="00663565">
      <w:fldChar w:fldCharType="separate"/>
    </w:r>
    <w:r>
      <w:rPr>
        <w:noProof/>
      </w:rPr>
      <w:instrText>Prospect name</w:instrText>
    </w:r>
    <w:r w:rsidR="00663565">
      <w:rPr>
        <w:noProof/>
      </w:rPr>
      <w:fldChar w:fldCharType="end"/>
    </w:r>
  </w:p>
  <w:p w:rsidR="00FE56B4" w:rsidRDefault="00FE56B4" w:rsidP="006650EF">
    <w:pPr>
      <w:pStyle w:val="Footer-Even"/>
    </w:pPr>
    <w:r>
      <w:fldChar w:fldCharType="begin"/>
    </w:r>
    <w:r>
      <w:instrText xml:space="preserve"> PAGE </w:instrText>
    </w:r>
    <w:r>
      <w:fldChar w:fldCharType="separate"/>
    </w:r>
    <w:r>
      <w:rPr>
        <w:noProof/>
      </w:rPr>
      <w:instrText>4</w:instrText>
    </w:r>
    <w:r>
      <w:rPr>
        <w:noProof/>
      </w:rPr>
      <w:fldChar w:fldCharType="end"/>
    </w:r>
    <w:r>
      <w:ptab w:relativeTo="margin" w:alignment="right" w:leader="none"/>
    </w:r>
    <w:r>
      <w:instrText>PwC</w:instrText>
    </w:r>
  </w:p>
  <w:p w:rsidR="00FE56B4" w:rsidRPr="006650EF" w:rsidRDefault="00FE56B4" w:rsidP="006650EF">
    <w:pPr>
      <w:pStyle w:val="Footer"/>
      <w:rPr>
        <w:noProof/>
        <w:sz w:val="2"/>
      </w:rPr>
    </w:pPr>
    <w:r w:rsidRPr="006650EF">
      <w:rPr>
        <w:sz w:val="2"/>
      </w:rPr>
      <w:instrText xml:space="preserve">" </w:instrText>
    </w:r>
    <w:r w:rsidRPr="006650EF">
      <w:rPr>
        <w:sz w:val="2"/>
      </w:rPr>
      <w:fldChar w:fldCharType="separate"/>
    </w:r>
    <w:r w:rsidRPr="006650EF">
      <w:rPr>
        <w:noProof/>
        <w:sz w:val="2"/>
      </w:rPr>
      <w:instrText>Prospect name</w:instrText>
    </w:r>
  </w:p>
  <w:p w:rsidR="00FE56B4" w:rsidRPr="006650EF" w:rsidRDefault="00FE56B4" w:rsidP="006650EF">
    <w:pPr>
      <w:pStyle w:val="Footer"/>
      <w:rPr>
        <w:noProof/>
        <w:sz w:val="2"/>
      </w:rPr>
    </w:pPr>
    <w:r w:rsidRPr="006650EF">
      <w:rPr>
        <w:noProof/>
        <w:sz w:val="2"/>
      </w:rPr>
      <w:instrText>PwC</w:instrText>
    </w:r>
    <w:r w:rsidRPr="006650EF">
      <w:rPr>
        <w:noProof/>
        <w:sz w:val="2"/>
      </w:rPr>
      <w:tab/>
      <w:instrText>5</w:instrText>
    </w:r>
    <w:r w:rsidRPr="006650EF">
      <w:rPr>
        <w:noProof/>
        <w:sz w:val="2"/>
      </w:rPr>
      <w:tab/>
      <w:instrText>WWYLTG?</w:instrText>
    </w:r>
  </w:p>
  <w:p w:rsidR="00DD7BCE" w:rsidRDefault="00FE56B4" w:rsidP="006650EF">
    <w:pPr>
      <w:pStyle w:val="Footer"/>
      <w:rPr>
        <w:noProof/>
      </w:rPr>
    </w:pPr>
    <w:r w:rsidRPr="006650EF">
      <w:rPr>
        <w:sz w:val="2"/>
      </w:rPr>
      <w:fldChar w:fldCharType="end"/>
    </w:r>
    <w:r w:rsidRPr="006650EF">
      <w:rPr>
        <w:sz w:val="2"/>
      </w:rPr>
      <w:instrText xml:space="preserve"> </w:instrText>
    </w:r>
    <w:r w:rsidRPr="006650EF">
      <w:rPr>
        <w:sz w:val="2"/>
      </w:rPr>
      <w:fldChar w:fldCharType="separate"/>
    </w:r>
    <w:r w:rsidR="00DD7BCE">
      <w:rPr>
        <w:noProof/>
      </w:rPr>
      <w:t>Department of Economic Development, Jobs, Transport and Resources</w:t>
    </w:r>
  </w:p>
  <w:p w:rsidR="00FE56B4" w:rsidRPr="006650EF" w:rsidRDefault="00DD7BCE" w:rsidP="006650EF">
    <w:pPr>
      <w:pStyle w:val="Footer"/>
      <w:rPr>
        <w:sz w:val="2"/>
      </w:rPr>
    </w:pPr>
    <w:r>
      <w:rPr>
        <w:noProof/>
      </w:rPr>
      <w:t>PwC</w:t>
    </w:r>
    <w:r>
      <w:rPr>
        <w:noProof/>
      </w:rPr>
      <w:ptab w:relativeTo="margin" w:alignment="right" w:leader="none"/>
    </w:r>
    <w:r>
      <w:rPr>
        <w:noProof/>
      </w:rPr>
      <w:t>21</w:t>
    </w:r>
    <w:r w:rsidR="00FE56B4" w:rsidRPr="006650EF">
      <w:rPr>
        <w:sz w:val="2"/>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6B4" w:rsidRDefault="00663565" w:rsidP="00F81690">
    <w:pPr>
      <w:pStyle w:val="Footer-ToCEven"/>
    </w:pPr>
    <w:r>
      <w:fldChar w:fldCharType="begin"/>
    </w:r>
    <w:r>
      <w:instrText xml:space="preserve"> STYLEREF "Cover Title" </w:instrText>
    </w:r>
    <w:r>
      <w:fldChar w:fldCharType="separate"/>
    </w:r>
    <w:r w:rsidR="00FE56B4">
      <w:rPr>
        <w:noProof/>
      </w:rPr>
      <w:t>Department of Economic Development, Jobs, Transport and Resources</w:t>
    </w:r>
    <w:r>
      <w:rPr>
        <w:noProof/>
      </w:rPr>
      <w:fldChar w:fldCharType="end"/>
    </w:r>
  </w:p>
  <w:p w:rsidR="00FE56B4" w:rsidRPr="002628D1" w:rsidRDefault="00FE56B4" w:rsidP="00F81690">
    <w:pPr>
      <w:pStyle w:val="Footer-ToCEven"/>
    </w:pPr>
    <w:r>
      <w:t>PwC</w:t>
    </w:r>
    <w:r>
      <w:tab/>
    </w:r>
    <w:r>
      <w:fldChar w:fldCharType="begin"/>
    </w:r>
    <w:r>
      <w:instrText xml:space="preserve"> PAGE  \* MERGEFORMAT </w:instrText>
    </w:r>
    <w:r>
      <w:fldChar w:fldCharType="separate"/>
    </w:r>
    <w:r>
      <w:rPr>
        <w:noProof/>
      </w:rPr>
      <w:t>7</w:t>
    </w:r>
    <w:r>
      <w:rPr>
        <w:noProof/>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6B4" w:rsidRPr="008C6722" w:rsidRDefault="00663565" w:rsidP="00F81690">
    <w:pPr>
      <w:pStyle w:val="Footer-ToC"/>
    </w:pPr>
    <w:r>
      <w:fldChar w:fldCharType="begin"/>
    </w:r>
    <w:r>
      <w:instrText xml:space="preserve"> STYLEREF "Cover Title" </w:instrText>
    </w:r>
    <w:r>
      <w:fldChar w:fldCharType="separate"/>
    </w:r>
    <w:r w:rsidR="00FE56B4">
      <w:rPr>
        <w:noProof/>
      </w:rPr>
      <w:t>Department of Economic Development, Jobs, Transport and Resources</w:t>
    </w:r>
    <w:r>
      <w:rPr>
        <w:noProof/>
      </w:rPr>
      <w:fldChar w:fldCharType="end"/>
    </w:r>
  </w:p>
  <w:p w:rsidR="00FE56B4" w:rsidRPr="008C6722" w:rsidRDefault="00FE56B4" w:rsidP="00F81690">
    <w:pPr>
      <w:pStyle w:val="Footer-ToC"/>
    </w:pPr>
    <w:r w:rsidRPr="008C6722">
      <w:t>PwC</w:t>
    </w:r>
    <w:r w:rsidRPr="008C6722">
      <w:tab/>
    </w:r>
    <w:r>
      <w:fldChar w:fldCharType="begin"/>
    </w:r>
    <w:r>
      <w:instrText xml:space="preserve"> PAGE  \* MERGEFORMAT </w:instrText>
    </w:r>
    <w:r>
      <w:fldChar w:fldCharType="separate"/>
    </w:r>
    <w:r>
      <w:rPr>
        <w:noProof/>
      </w:rPr>
      <w:t>7</w:t>
    </w:r>
    <w:r>
      <w:rPr>
        <w:noProof/>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6B4" w:rsidRDefault="00FE56B4" w:rsidP="00F81690">
    <w:pPr>
      <w:pStyle w:val="Footer-ToC"/>
    </w:pPr>
    <w:r w:rsidRPr="00F81690">
      <w:rPr>
        <w:sz w:val="18"/>
      </w:rPr>
      <w:fldChar w:fldCharType="begin"/>
    </w:r>
    <w:r>
      <w:instrText xml:space="preserve"> IF </w:instrText>
    </w:r>
    <w:r w:rsidR="00663565">
      <w:fldChar w:fldCharType="begin"/>
    </w:r>
    <w:r w:rsidR="00663565">
      <w:instrText xml:space="preserve"> DOCPROPERTY "Mirror Margins" </w:instrText>
    </w:r>
    <w:r w:rsidR="00663565">
      <w:fldChar w:fldCharType="separate"/>
    </w:r>
    <w:r>
      <w:instrText>N</w:instrText>
    </w:r>
    <w:r w:rsidR="00663565">
      <w:fldChar w:fldCharType="end"/>
    </w:r>
    <w:r>
      <w:instrText xml:space="preserve"> = "N" "</w:instrText>
    </w:r>
    <w:r w:rsidR="00663565">
      <w:fldChar w:fldCharType="begin"/>
    </w:r>
    <w:r w:rsidR="00663565">
      <w:instrText xml:space="preserve"> STYLEREF "Cover title" </w:instrText>
    </w:r>
    <w:r w:rsidR="00663565">
      <w:fldChar w:fldCharType="separate"/>
    </w:r>
    <w:r w:rsidR="00DD7BCE">
      <w:rPr>
        <w:noProof/>
      </w:rPr>
      <w:instrText>Department of Economic Development, Jobs, Transport and Resources</w:instrText>
    </w:r>
    <w:r w:rsidR="00663565">
      <w:rPr>
        <w:noProof/>
      </w:rPr>
      <w:fldChar w:fldCharType="end"/>
    </w:r>
  </w:p>
  <w:p w:rsidR="00FE56B4" w:rsidRDefault="00FE56B4" w:rsidP="00F81690">
    <w:pPr>
      <w:pStyle w:val="Footer-ToC"/>
    </w:pPr>
    <w:r>
      <w:instrText>PwC</w:instrText>
    </w:r>
    <w:r>
      <w:ptab w:relativeTo="margin" w:alignment="right" w:leader="none"/>
    </w:r>
    <w:r>
      <w:fldChar w:fldCharType="begin"/>
    </w:r>
    <w:r>
      <w:instrText xml:space="preserve"> PAGE </w:instrText>
    </w:r>
    <w:r>
      <w:fldChar w:fldCharType="separate"/>
    </w:r>
    <w:r w:rsidR="00DD7BCE">
      <w:rPr>
        <w:noProof/>
      </w:rPr>
      <w:instrText>29</w:instrText>
    </w:r>
    <w:r>
      <w:rPr>
        <w:noProof/>
      </w:rPr>
      <w:fldChar w:fldCharType="end"/>
    </w:r>
    <w:r>
      <w:instrText xml:space="preserve">" </w:instrText>
    </w:r>
    <w:r w:rsidRPr="00F81690">
      <w:rPr>
        <w:sz w:val="18"/>
      </w:rPr>
      <w:fldChar w:fldCharType="begin"/>
    </w:r>
    <w:r>
      <w:instrText xml:space="preserve"> IF </w:instrText>
    </w:r>
    <w:r>
      <w:fldChar w:fldCharType="begin"/>
    </w:r>
    <w:r>
      <w:instrText xml:space="preserve"> =mod( </w:instrText>
    </w:r>
    <w:r>
      <w:fldChar w:fldCharType="begin"/>
    </w:r>
    <w:r>
      <w:instrText xml:space="preserve"> PAGE \* Arabic </w:instrText>
    </w:r>
    <w:r>
      <w:fldChar w:fldCharType="separate"/>
    </w:r>
    <w:r>
      <w:rPr>
        <w:noProof/>
      </w:rPr>
      <w:instrText>5</w:instrText>
    </w:r>
    <w:r>
      <w:rPr>
        <w:noProof/>
      </w:rPr>
      <w:fldChar w:fldCharType="end"/>
    </w:r>
    <w:r>
      <w:instrText xml:space="preserve"> ,2) </w:instrText>
    </w:r>
    <w:r>
      <w:fldChar w:fldCharType="separate"/>
    </w:r>
    <w:r>
      <w:rPr>
        <w:noProof/>
      </w:rPr>
      <w:instrText>1</w:instrText>
    </w:r>
    <w:r>
      <w:fldChar w:fldCharType="end"/>
    </w:r>
    <w:r>
      <w:instrText xml:space="preserve"> = "1" "</w:instrText>
    </w:r>
    <w:r w:rsidR="00663565">
      <w:fldChar w:fldCharType="begin"/>
    </w:r>
    <w:r w:rsidR="00663565">
      <w:instrText xml:space="preserve"> STYLEREF "Cover title" </w:instrText>
    </w:r>
    <w:r w:rsidR="00663565">
      <w:fldChar w:fldCharType="separate"/>
    </w:r>
    <w:r>
      <w:rPr>
        <w:noProof/>
      </w:rPr>
      <w:instrText>Prospect name</w:instrText>
    </w:r>
    <w:r w:rsidR="00663565">
      <w:rPr>
        <w:noProof/>
      </w:rPr>
      <w:fldChar w:fldCharType="end"/>
    </w:r>
  </w:p>
  <w:p w:rsidR="00FE56B4" w:rsidRDefault="00FE56B4" w:rsidP="00F81690">
    <w:pPr>
      <w:pStyle w:val="Footer-ToC"/>
    </w:pPr>
    <w:r>
      <w:instrText>PwC</w:instrText>
    </w:r>
    <w:r>
      <w:ptab w:relativeTo="margin" w:alignment="right" w:leader="none"/>
    </w:r>
    <w:r>
      <w:fldChar w:fldCharType="begin"/>
    </w:r>
    <w:r>
      <w:instrText xml:space="preserve"> PAGE </w:instrText>
    </w:r>
    <w:r>
      <w:fldChar w:fldCharType="separate"/>
    </w:r>
    <w:r>
      <w:rPr>
        <w:noProof/>
      </w:rPr>
      <w:instrText>5</w:instrText>
    </w:r>
    <w:r>
      <w:rPr>
        <w:noProof/>
      </w:rPr>
      <w:fldChar w:fldCharType="end"/>
    </w:r>
  </w:p>
  <w:p w:rsidR="00FE56B4" w:rsidRDefault="00FE56B4" w:rsidP="00F81690">
    <w:pPr>
      <w:pStyle w:val="Footer-ToC"/>
    </w:pPr>
    <w:r>
      <w:instrText>" "</w:instrText>
    </w:r>
    <w:r>
      <w:ptab w:relativeTo="margin" w:alignment="right" w:leader="none"/>
    </w:r>
    <w:r w:rsidR="00663565">
      <w:fldChar w:fldCharType="begin"/>
    </w:r>
    <w:r w:rsidR="00663565">
      <w:instrText xml:space="preserve"> STYLEREF "Cover title" </w:instrText>
    </w:r>
    <w:r w:rsidR="00663565">
      <w:fldChar w:fldCharType="separate"/>
    </w:r>
    <w:r>
      <w:rPr>
        <w:noProof/>
      </w:rPr>
      <w:instrText>Prospect name</w:instrText>
    </w:r>
    <w:r w:rsidR="00663565">
      <w:rPr>
        <w:noProof/>
      </w:rPr>
      <w:fldChar w:fldCharType="end"/>
    </w:r>
  </w:p>
  <w:p w:rsidR="00FE56B4" w:rsidRDefault="00FE56B4" w:rsidP="00F81690">
    <w:pPr>
      <w:pStyle w:val="Footer-ToC"/>
    </w:pPr>
    <w:r>
      <w:fldChar w:fldCharType="begin"/>
    </w:r>
    <w:r>
      <w:instrText xml:space="preserve"> PAGE </w:instrText>
    </w:r>
    <w:r>
      <w:fldChar w:fldCharType="separate"/>
    </w:r>
    <w:r>
      <w:rPr>
        <w:noProof/>
      </w:rPr>
      <w:instrText>4</w:instrText>
    </w:r>
    <w:r>
      <w:rPr>
        <w:noProof/>
      </w:rPr>
      <w:fldChar w:fldCharType="end"/>
    </w:r>
    <w:r>
      <w:ptab w:relativeTo="margin" w:alignment="right" w:leader="none"/>
    </w:r>
    <w:r>
      <w:instrText>PwC</w:instrText>
    </w:r>
  </w:p>
  <w:p w:rsidR="00FE56B4" w:rsidRPr="00F81690" w:rsidRDefault="00FE56B4" w:rsidP="00F81690">
    <w:pPr>
      <w:pStyle w:val="Footer-ToC"/>
      <w:rPr>
        <w:noProof/>
        <w:sz w:val="2"/>
      </w:rPr>
    </w:pPr>
    <w:r w:rsidRPr="00F81690">
      <w:rPr>
        <w:sz w:val="2"/>
      </w:rPr>
      <w:instrText xml:space="preserve">" </w:instrText>
    </w:r>
    <w:r w:rsidRPr="00F81690">
      <w:rPr>
        <w:sz w:val="2"/>
      </w:rPr>
      <w:fldChar w:fldCharType="separate"/>
    </w:r>
    <w:r w:rsidRPr="00F81690">
      <w:rPr>
        <w:noProof/>
        <w:sz w:val="2"/>
      </w:rPr>
      <w:instrText>Prospect name</w:instrText>
    </w:r>
  </w:p>
  <w:p w:rsidR="00FE56B4" w:rsidRPr="00F81690" w:rsidRDefault="00FE56B4" w:rsidP="00F81690">
    <w:pPr>
      <w:pStyle w:val="Footer-ToC"/>
      <w:rPr>
        <w:noProof/>
        <w:sz w:val="2"/>
      </w:rPr>
    </w:pPr>
    <w:r w:rsidRPr="00F81690">
      <w:rPr>
        <w:noProof/>
        <w:sz w:val="2"/>
      </w:rPr>
      <w:instrText>PwC</w:instrText>
    </w:r>
    <w:r w:rsidRPr="00F81690">
      <w:rPr>
        <w:noProof/>
        <w:sz w:val="2"/>
      </w:rPr>
      <w:tab/>
      <w:instrText>5</w:instrText>
    </w:r>
    <w:r w:rsidRPr="00F81690">
      <w:rPr>
        <w:noProof/>
        <w:sz w:val="2"/>
      </w:rPr>
      <w:tab/>
      <w:instrText>WWYLTG?</w:instrText>
    </w:r>
  </w:p>
  <w:p w:rsidR="00DD7BCE" w:rsidRDefault="00FE56B4" w:rsidP="00F81690">
    <w:pPr>
      <w:pStyle w:val="Footer-ToC"/>
      <w:rPr>
        <w:noProof/>
      </w:rPr>
    </w:pPr>
    <w:r w:rsidRPr="00F81690">
      <w:rPr>
        <w:sz w:val="2"/>
      </w:rPr>
      <w:fldChar w:fldCharType="end"/>
    </w:r>
    <w:r w:rsidRPr="00F81690">
      <w:rPr>
        <w:sz w:val="2"/>
      </w:rPr>
      <w:instrText xml:space="preserve"> </w:instrText>
    </w:r>
    <w:r w:rsidRPr="00F81690">
      <w:rPr>
        <w:sz w:val="2"/>
      </w:rPr>
      <w:fldChar w:fldCharType="separate"/>
    </w:r>
    <w:r w:rsidR="00DD7BCE">
      <w:rPr>
        <w:noProof/>
      </w:rPr>
      <w:t>Department of Economic Development, Jobs, Transport and Resources</w:t>
    </w:r>
  </w:p>
  <w:p w:rsidR="00FE56B4" w:rsidRPr="00F81690" w:rsidRDefault="00DD7BCE" w:rsidP="00F81690">
    <w:pPr>
      <w:pStyle w:val="Footer-ToC"/>
      <w:rPr>
        <w:sz w:val="2"/>
      </w:rPr>
    </w:pPr>
    <w:r>
      <w:rPr>
        <w:noProof/>
      </w:rPr>
      <w:t>PwC</w:t>
    </w:r>
    <w:r>
      <w:rPr>
        <w:noProof/>
      </w:rPr>
      <w:ptab w:relativeTo="margin" w:alignment="right" w:leader="none"/>
    </w:r>
    <w:r>
      <w:rPr>
        <w:noProof/>
      </w:rPr>
      <w:t>29</w:t>
    </w:r>
    <w:r w:rsidR="00FE56B4" w:rsidRPr="00F81690">
      <w:rPr>
        <w:sz w:val="2"/>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6B4" w:rsidRDefault="00663565" w:rsidP="00F81690">
    <w:pPr>
      <w:pStyle w:val="Footer-Even"/>
    </w:pPr>
    <w:r>
      <w:fldChar w:fldCharType="begin"/>
    </w:r>
    <w:r>
      <w:instrText xml:space="preserve"> STYLEREF "Cover Title" </w:instrText>
    </w:r>
    <w:r>
      <w:fldChar w:fldCharType="separate"/>
    </w:r>
    <w:r w:rsidR="00DD7BCE">
      <w:rPr>
        <w:noProof/>
      </w:rPr>
      <w:t>Department of Economic Development, Jobs, Transport and Resources</w:t>
    </w:r>
    <w:r>
      <w:rPr>
        <w:noProof/>
      </w:rPr>
      <w:fldChar w:fldCharType="end"/>
    </w:r>
  </w:p>
  <w:p w:rsidR="00FE56B4" w:rsidRPr="002628D1" w:rsidRDefault="00FE56B4" w:rsidP="00F81690">
    <w:pPr>
      <w:pStyle w:val="Footer-Even"/>
    </w:pPr>
    <w:r>
      <w:t>PwC</w:t>
    </w:r>
    <w:r>
      <w:ptab w:relativeTo="margin" w:alignment="right" w:leader="none"/>
    </w:r>
    <w:r>
      <w:fldChar w:fldCharType="begin"/>
    </w:r>
    <w:r>
      <w:instrText xml:space="preserve"> PAGE  \* MERGEFORMAT </w:instrText>
    </w:r>
    <w:r>
      <w:fldChar w:fldCharType="separate"/>
    </w:r>
    <w:r w:rsidR="00DD7BCE">
      <w:rPr>
        <w:noProof/>
      </w:rPr>
      <w:t>46</w:t>
    </w:r>
    <w:r>
      <w:rPr>
        <w:noProof/>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6B4" w:rsidRPr="008C6722" w:rsidRDefault="00663565" w:rsidP="00F81690">
    <w:pPr>
      <w:pStyle w:val="Footer"/>
    </w:pPr>
    <w:r>
      <w:fldChar w:fldCharType="begin"/>
    </w:r>
    <w:r>
      <w:instrText xml:space="preserve"> STYLEREF "Cover Title" </w:instrText>
    </w:r>
    <w:r>
      <w:fldChar w:fldCharType="separate"/>
    </w:r>
    <w:r w:rsidR="00DD7BCE">
      <w:rPr>
        <w:noProof/>
      </w:rPr>
      <w:t>Department of Economic Development, Jobs, Transport and Resources</w:t>
    </w:r>
    <w:r>
      <w:rPr>
        <w:noProof/>
      </w:rPr>
      <w:fldChar w:fldCharType="end"/>
    </w:r>
  </w:p>
  <w:p w:rsidR="00FE56B4" w:rsidRPr="008C6722" w:rsidRDefault="00FE56B4" w:rsidP="00F81690">
    <w:pPr>
      <w:pStyle w:val="Footer"/>
    </w:pPr>
    <w:r w:rsidRPr="008C6722">
      <w:t>PwC</w:t>
    </w:r>
    <w:r>
      <w:ptab w:relativeTo="margin" w:alignment="right" w:leader="none"/>
    </w:r>
    <w:r>
      <w:fldChar w:fldCharType="begin"/>
    </w:r>
    <w:r>
      <w:instrText xml:space="preserve"> PAGE  \* MERGEFORMAT </w:instrText>
    </w:r>
    <w:r>
      <w:fldChar w:fldCharType="separate"/>
    </w:r>
    <w:r w:rsidR="00DD7BCE">
      <w:rPr>
        <w:noProof/>
      </w:rPr>
      <w:t>47</w:t>
    </w:r>
    <w:r>
      <w:rPr>
        <w:noProof/>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6B4" w:rsidRDefault="00FE56B4" w:rsidP="006650EF">
    <w:pPr>
      <w:pStyle w:val="Footer"/>
    </w:pPr>
    <w:r w:rsidRPr="006650EF">
      <w:rPr>
        <w:sz w:val="18"/>
      </w:rPr>
      <w:fldChar w:fldCharType="begin"/>
    </w:r>
    <w:r>
      <w:instrText xml:space="preserve"> IF </w:instrText>
    </w:r>
    <w:r w:rsidR="00663565">
      <w:fldChar w:fldCharType="begin"/>
    </w:r>
    <w:r w:rsidR="00663565">
      <w:instrText xml:space="preserve"> DOCPROPERTY "Mirror Margins" </w:instrText>
    </w:r>
    <w:r w:rsidR="00663565">
      <w:fldChar w:fldCharType="separate"/>
    </w:r>
    <w:r>
      <w:instrText>N</w:instrText>
    </w:r>
    <w:r w:rsidR="00663565">
      <w:fldChar w:fldCharType="end"/>
    </w:r>
    <w:r>
      <w:instrText xml:space="preserve"> = "N" "</w:instrText>
    </w:r>
    <w:r w:rsidR="00663565">
      <w:fldChar w:fldCharType="begin"/>
    </w:r>
    <w:r w:rsidR="00663565">
      <w:instrText xml:space="preserve"> STYLEREF "Cover title" </w:instrText>
    </w:r>
    <w:r w:rsidR="00663565">
      <w:fldChar w:fldCharType="separate"/>
    </w:r>
    <w:r w:rsidR="00DD7BCE">
      <w:rPr>
        <w:noProof/>
      </w:rPr>
      <w:instrText>Department of Economic Development, Jobs, Transport and Resources</w:instrText>
    </w:r>
    <w:r w:rsidR="00663565">
      <w:rPr>
        <w:noProof/>
      </w:rPr>
      <w:fldChar w:fldCharType="end"/>
    </w:r>
  </w:p>
  <w:p w:rsidR="00FE56B4" w:rsidRDefault="00FE56B4" w:rsidP="006650EF">
    <w:pPr>
      <w:pStyle w:val="Footer"/>
    </w:pPr>
    <w:r>
      <w:instrText>PwC</w:instrText>
    </w:r>
    <w:r>
      <w:ptab w:relativeTo="margin" w:alignment="right" w:leader="none"/>
    </w:r>
    <w:r>
      <w:fldChar w:fldCharType="begin"/>
    </w:r>
    <w:r>
      <w:instrText xml:space="preserve"> PAGE </w:instrText>
    </w:r>
    <w:r>
      <w:fldChar w:fldCharType="separate"/>
    </w:r>
    <w:r w:rsidR="00DD7BCE">
      <w:rPr>
        <w:noProof/>
      </w:rPr>
      <w:instrText>42</w:instrText>
    </w:r>
    <w:r>
      <w:rPr>
        <w:noProof/>
      </w:rPr>
      <w:fldChar w:fldCharType="end"/>
    </w:r>
    <w:r>
      <w:instrText xml:space="preserve">" </w:instrText>
    </w:r>
    <w:r w:rsidRPr="006650EF">
      <w:rPr>
        <w:sz w:val="18"/>
      </w:rPr>
      <w:fldChar w:fldCharType="begin"/>
    </w:r>
    <w:r>
      <w:instrText xml:space="preserve"> IF </w:instrText>
    </w:r>
    <w:r>
      <w:fldChar w:fldCharType="begin"/>
    </w:r>
    <w:r>
      <w:instrText xml:space="preserve"> =mod( </w:instrText>
    </w:r>
    <w:r>
      <w:fldChar w:fldCharType="begin"/>
    </w:r>
    <w:r>
      <w:instrText xml:space="preserve"> PAGE \* Arabic </w:instrText>
    </w:r>
    <w:r>
      <w:fldChar w:fldCharType="separate"/>
    </w:r>
    <w:r>
      <w:rPr>
        <w:noProof/>
      </w:rPr>
      <w:instrText>5</w:instrText>
    </w:r>
    <w:r>
      <w:rPr>
        <w:noProof/>
      </w:rPr>
      <w:fldChar w:fldCharType="end"/>
    </w:r>
    <w:r>
      <w:instrText xml:space="preserve"> ,2) </w:instrText>
    </w:r>
    <w:r>
      <w:fldChar w:fldCharType="separate"/>
    </w:r>
    <w:r>
      <w:rPr>
        <w:noProof/>
      </w:rPr>
      <w:instrText>1</w:instrText>
    </w:r>
    <w:r>
      <w:fldChar w:fldCharType="end"/>
    </w:r>
    <w:r>
      <w:instrText xml:space="preserve"> = "1" "</w:instrText>
    </w:r>
    <w:r w:rsidR="00663565">
      <w:fldChar w:fldCharType="begin"/>
    </w:r>
    <w:r w:rsidR="00663565">
      <w:instrText xml:space="preserve"> STYLEREF "Cover title" </w:instrText>
    </w:r>
    <w:r w:rsidR="00663565">
      <w:fldChar w:fldCharType="separate"/>
    </w:r>
    <w:r>
      <w:rPr>
        <w:noProof/>
      </w:rPr>
      <w:instrText>Prospect name</w:instrText>
    </w:r>
    <w:r w:rsidR="00663565">
      <w:rPr>
        <w:noProof/>
      </w:rPr>
      <w:fldChar w:fldCharType="end"/>
    </w:r>
  </w:p>
  <w:p w:rsidR="00FE56B4" w:rsidRDefault="00FE56B4" w:rsidP="006650EF">
    <w:pPr>
      <w:pStyle w:val="Footer"/>
    </w:pPr>
    <w:r>
      <w:instrText>PwC</w:instrText>
    </w:r>
    <w:r>
      <w:ptab w:relativeTo="margin" w:alignment="right" w:leader="none"/>
    </w:r>
    <w:r>
      <w:fldChar w:fldCharType="begin"/>
    </w:r>
    <w:r>
      <w:instrText xml:space="preserve"> PAGE </w:instrText>
    </w:r>
    <w:r>
      <w:fldChar w:fldCharType="separate"/>
    </w:r>
    <w:r>
      <w:rPr>
        <w:noProof/>
      </w:rPr>
      <w:instrText>5</w:instrText>
    </w:r>
    <w:r>
      <w:rPr>
        <w:noProof/>
      </w:rPr>
      <w:fldChar w:fldCharType="end"/>
    </w:r>
  </w:p>
  <w:p w:rsidR="00FE56B4" w:rsidRDefault="00FE56B4" w:rsidP="006650EF">
    <w:pPr>
      <w:pStyle w:val="Footer-Even"/>
    </w:pPr>
    <w:r>
      <w:instrText>" "</w:instrText>
    </w:r>
    <w:r>
      <w:ptab w:relativeTo="margin" w:alignment="right" w:leader="none"/>
    </w:r>
    <w:r w:rsidR="00663565">
      <w:fldChar w:fldCharType="begin"/>
    </w:r>
    <w:r w:rsidR="00663565">
      <w:instrText xml:space="preserve"> STYLEREF "Cover title" </w:instrText>
    </w:r>
    <w:r w:rsidR="00663565">
      <w:fldChar w:fldCharType="separate"/>
    </w:r>
    <w:r>
      <w:rPr>
        <w:noProof/>
      </w:rPr>
      <w:instrText>Prospect name</w:instrText>
    </w:r>
    <w:r w:rsidR="00663565">
      <w:rPr>
        <w:noProof/>
      </w:rPr>
      <w:fldChar w:fldCharType="end"/>
    </w:r>
  </w:p>
  <w:p w:rsidR="00FE56B4" w:rsidRDefault="00FE56B4" w:rsidP="006650EF">
    <w:pPr>
      <w:pStyle w:val="Footer-Even"/>
    </w:pPr>
    <w:r>
      <w:fldChar w:fldCharType="begin"/>
    </w:r>
    <w:r>
      <w:instrText xml:space="preserve"> PAGE </w:instrText>
    </w:r>
    <w:r>
      <w:fldChar w:fldCharType="separate"/>
    </w:r>
    <w:r>
      <w:rPr>
        <w:noProof/>
      </w:rPr>
      <w:instrText>4</w:instrText>
    </w:r>
    <w:r>
      <w:rPr>
        <w:noProof/>
      </w:rPr>
      <w:fldChar w:fldCharType="end"/>
    </w:r>
    <w:r>
      <w:ptab w:relativeTo="margin" w:alignment="right" w:leader="none"/>
    </w:r>
    <w:r>
      <w:instrText>PwC</w:instrText>
    </w:r>
  </w:p>
  <w:p w:rsidR="00FE56B4" w:rsidRPr="006650EF" w:rsidRDefault="00FE56B4" w:rsidP="006650EF">
    <w:pPr>
      <w:pStyle w:val="Footer"/>
      <w:rPr>
        <w:noProof/>
        <w:sz w:val="2"/>
      </w:rPr>
    </w:pPr>
    <w:r w:rsidRPr="006650EF">
      <w:rPr>
        <w:sz w:val="2"/>
      </w:rPr>
      <w:instrText xml:space="preserve">" </w:instrText>
    </w:r>
    <w:r w:rsidRPr="006650EF">
      <w:rPr>
        <w:sz w:val="2"/>
      </w:rPr>
      <w:fldChar w:fldCharType="separate"/>
    </w:r>
    <w:r w:rsidRPr="006650EF">
      <w:rPr>
        <w:noProof/>
        <w:sz w:val="2"/>
      </w:rPr>
      <w:instrText>Prospect name</w:instrText>
    </w:r>
  </w:p>
  <w:p w:rsidR="00FE56B4" w:rsidRPr="006650EF" w:rsidRDefault="00FE56B4" w:rsidP="006650EF">
    <w:pPr>
      <w:pStyle w:val="Footer"/>
      <w:rPr>
        <w:noProof/>
        <w:sz w:val="2"/>
      </w:rPr>
    </w:pPr>
    <w:r w:rsidRPr="006650EF">
      <w:rPr>
        <w:noProof/>
        <w:sz w:val="2"/>
      </w:rPr>
      <w:instrText>PwC</w:instrText>
    </w:r>
    <w:r w:rsidRPr="006650EF">
      <w:rPr>
        <w:noProof/>
        <w:sz w:val="2"/>
      </w:rPr>
      <w:tab/>
      <w:instrText>5</w:instrText>
    </w:r>
    <w:r w:rsidRPr="006650EF">
      <w:rPr>
        <w:noProof/>
        <w:sz w:val="2"/>
      </w:rPr>
      <w:tab/>
      <w:instrText>WWYLTG?</w:instrText>
    </w:r>
  </w:p>
  <w:p w:rsidR="00DD7BCE" w:rsidRDefault="00FE56B4" w:rsidP="006650EF">
    <w:pPr>
      <w:pStyle w:val="Footer"/>
      <w:rPr>
        <w:noProof/>
      </w:rPr>
    </w:pPr>
    <w:r w:rsidRPr="006650EF">
      <w:rPr>
        <w:sz w:val="2"/>
      </w:rPr>
      <w:fldChar w:fldCharType="end"/>
    </w:r>
    <w:r w:rsidRPr="006650EF">
      <w:rPr>
        <w:sz w:val="2"/>
      </w:rPr>
      <w:instrText xml:space="preserve"> </w:instrText>
    </w:r>
    <w:r w:rsidRPr="006650EF">
      <w:rPr>
        <w:sz w:val="2"/>
      </w:rPr>
      <w:fldChar w:fldCharType="separate"/>
    </w:r>
    <w:r w:rsidR="00DD7BCE">
      <w:rPr>
        <w:noProof/>
      </w:rPr>
      <w:t>Department of Economic Development, Jobs, Transport and Resources</w:t>
    </w:r>
  </w:p>
  <w:p w:rsidR="00FE56B4" w:rsidRPr="006650EF" w:rsidRDefault="00DD7BCE" w:rsidP="006650EF">
    <w:pPr>
      <w:pStyle w:val="Footer"/>
      <w:rPr>
        <w:sz w:val="2"/>
      </w:rPr>
    </w:pPr>
    <w:r>
      <w:rPr>
        <w:noProof/>
      </w:rPr>
      <w:t>PwC</w:t>
    </w:r>
    <w:r>
      <w:rPr>
        <w:noProof/>
      </w:rPr>
      <w:ptab w:relativeTo="margin" w:alignment="right" w:leader="none"/>
    </w:r>
    <w:r>
      <w:rPr>
        <w:noProof/>
      </w:rPr>
      <w:t>42</w:t>
    </w:r>
    <w:r w:rsidR="00FE56B4" w:rsidRPr="006650EF">
      <w:rPr>
        <w:sz w:val="2"/>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6B4" w:rsidRDefault="00FE56B4" w:rsidP="005B4BF3">
    <w:pPr>
      <w:pStyle w:val="URL"/>
      <w:framePr w:wrap="around"/>
    </w:pPr>
    <w:r>
      <w:t>www.pwc.com.au</w:t>
    </w:r>
  </w:p>
  <w:p w:rsidR="00FE56B4" w:rsidRPr="00A84ADF" w:rsidRDefault="00FE56B4" w:rsidP="00483E95">
    <w:pPr>
      <w:pStyle w:val="Copyright"/>
      <w:framePr w:wrap="around"/>
    </w:pPr>
    <w:r>
      <w:t>© 2015 PricewaterhouseCoopers. All rights reserved.</w:t>
    </w:r>
    <w:r>
      <w:br/>
      <w:t>PwC refers to the Australian member firm, and may sometimes refer to the PwC network.</w:t>
    </w:r>
    <w:r>
      <w:br/>
      <w:t xml:space="preserve">Each member firm is a separate legal entity. Please see </w:t>
    </w:r>
    <w:r w:rsidRPr="00B95011">
      <w:t>www.pwc.com/structure</w:t>
    </w:r>
    <w:r>
      <w:t xml:space="preserve"> for further details.</w:t>
    </w:r>
    <w:r>
      <w:br/>
    </w:r>
    <w:r>
      <w:br/>
    </w:r>
    <w:r w:rsidRPr="00A75868">
      <w:t>Liability limited by a scheme approved under Professional Standards Legislation</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6B4" w:rsidRDefault="00FE56B4" w:rsidP="005B4BF3">
    <w:pPr>
      <w:pStyle w:val="URL"/>
      <w:framePr w:wrap="around"/>
    </w:pPr>
    <w:r>
      <w:t>www.pwc.com.au</w:t>
    </w:r>
  </w:p>
  <w:p w:rsidR="00FE56B4" w:rsidRPr="00A84ADF" w:rsidRDefault="00FE56B4" w:rsidP="003333C5">
    <w:pPr>
      <w:pStyle w:val="Copyright"/>
      <w:framePr w:w="0" w:wrap="auto" w:vAnchor="margin" w:hAnchor="text" w:xAlign="left" w:yAlign="inline"/>
    </w:pPr>
    <w:r>
      <w:t>© 2013 PricewaterhouseCoopers. All rights reserved.</w:t>
    </w:r>
    <w:r>
      <w:br/>
      <w:t>PwC refers to the Australian member firm, and may sometimes refer to the PwC network.</w:t>
    </w:r>
    <w:r>
      <w:br/>
      <w:t xml:space="preserve">Each member firm is a separate legal entity. Please see </w:t>
    </w:r>
    <w:r w:rsidRPr="00B95011">
      <w:t>www.pwc.com/structure</w:t>
    </w:r>
    <w:r>
      <w:t xml:space="preserve"> for further details.</w:t>
    </w:r>
    <w:r>
      <w:br/>
    </w:r>
    <w:r>
      <w:br/>
    </w:r>
    <w:r w:rsidRPr="00A75868">
      <w:t>Liability limited by a scheme approved under Professional Standards Legislation</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6B4" w:rsidRDefault="00FE56B4" w:rsidP="006650EF">
    <w:pPr>
      <w:pStyle w:val="Footer"/>
    </w:pPr>
    <w:r w:rsidRPr="006650EF">
      <w:rPr>
        <w:sz w:val="18"/>
      </w:rPr>
      <w:fldChar w:fldCharType="begin"/>
    </w:r>
    <w:r>
      <w:instrText xml:space="preserve"> IF </w:instrText>
    </w:r>
    <w:r w:rsidR="00663565">
      <w:fldChar w:fldCharType="begin"/>
    </w:r>
    <w:r w:rsidR="00663565">
      <w:instrText xml:space="preserve"> DOCPROPERTY "Mirror Margins" </w:instrText>
    </w:r>
    <w:r w:rsidR="00663565">
      <w:fldChar w:fldCharType="separate"/>
    </w:r>
    <w:r>
      <w:instrText>N</w:instrText>
    </w:r>
    <w:r w:rsidR="00663565">
      <w:fldChar w:fldCharType="end"/>
    </w:r>
    <w:r>
      <w:instrText xml:space="preserve"> = "N" "</w:instrText>
    </w:r>
    <w:r w:rsidR="00663565">
      <w:fldChar w:fldCharType="begin"/>
    </w:r>
    <w:r w:rsidR="00663565">
      <w:instrText xml:space="preserve"> STYLEREF "Cover title"</w:instrText>
    </w:r>
    <w:r w:rsidR="00663565">
      <w:instrText xml:space="preserve"> </w:instrText>
    </w:r>
    <w:r w:rsidR="00663565">
      <w:fldChar w:fldCharType="separate"/>
    </w:r>
    <w:r>
      <w:rPr>
        <w:noProof/>
      </w:rPr>
      <w:instrText>Department of Economic Development, Jobs, Transport and Resources</w:instrText>
    </w:r>
    <w:r w:rsidR="00663565">
      <w:rPr>
        <w:noProof/>
      </w:rPr>
      <w:fldChar w:fldCharType="end"/>
    </w:r>
  </w:p>
  <w:p w:rsidR="00FE56B4" w:rsidRDefault="00FE56B4" w:rsidP="006650EF">
    <w:pPr>
      <w:pStyle w:val="Footer"/>
    </w:pPr>
    <w:r>
      <w:instrText>PwC</w:instrText>
    </w:r>
    <w:r>
      <w:ptab w:relativeTo="margin" w:alignment="right" w:leader="none"/>
    </w:r>
    <w:r>
      <w:fldChar w:fldCharType="begin"/>
    </w:r>
    <w:r>
      <w:instrText xml:space="preserve"> PAGE </w:instrText>
    </w:r>
    <w:r>
      <w:fldChar w:fldCharType="separate"/>
    </w:r>
    <w:r>
      <w:rPr>
        <w:noProof/>
      </w:rPr>
      <w:instrText>6</w:instrText>
    </w:r>
    <w:r>
      <w:rPr>
        <w:noProof/>
      </w:rPr>
      <w:fldChar w:fldCharType="end"/>
    </w:r>
    <w:r>
      <w:instrText xml:space="preserve">" </w:instrText>
    </w:r>
    <w:r w:rsidRPr="006650EF">
      <w:rPr>
        <w:sz w:val="18"/>
      </w:rPr>
      <w:fldChar w:fldCharType="begin"/>
    </w:r>
    <w:r>
      <w:instrText xml:space="preserve"> IF </w:instrText>
    </w:r>
    <w:r>
      <w:fldChar w:fldCharType="begin"/>
    </w:r>
    <w:r>
      <w:instrText xml:space="preserve"> =mod( </w:instrText>
    </w:r>
    <w:r>
      <w:fldChar w:fldCharType="begin"/>
    </w:r>
    <w:r>
      <w:instrText xml:space="preserve"> PAGE \* Arabic </w:instrText>
    </w:r>
    <w:r>
      <w:fldChar w:fldCharType="separate"/>
    </w:r>
    <w:r>
      <w:rPr>
        <w:noProof/>
      </w:rPr>
      <w:instrText>5</w:instrText>
    </w:r>
    <w:r>
      <w:rPr>
        <w:noProof/>
      </w:rPr>
      <w:fldChar w:fldCharType="end"/>
    </w:r>
    <w:r>
      <w:instrText xml:space="preserve"> ,2) </w:instrText>
    </w:r>
    <w:r>
      <w:fldChar w:fldCharType="separate"/>
    </w:r>
    <w:r>
      <w:rPr>
        <w:noProof/>
      </w:rPr>
      <w:instrText>1</w:instrText>
    </w:r>
    <w:r>
      <w:fldChar w:fldCharType="end"/>
    </w:r>
    <w:r>
      <w:instrText xml:space="preserve"> = "1" "</w:instrText>
    </w:r>
    <w:r w:rsidR="00663565">
      <w:fldChar w:fldCharType="begin"/>
    </w:r>
    <w:r w:rsidR="00663565">
      <w:instrText xml:space="preserve"> STYLEREF "Cover title" </w:instrText>
    </w:r>
    <w:r w:rsidR="00663565">
      <w:fldChar w:fldCharType="separate"/>
    </w:r>
    <w:r>
      <w:rPr>
        <w:noProof/>
      </w:rPr>
      <w:instrText>Prospect name</w:instrText>
    </w:r>
    <w:r w:rsidR="00663565">
      <w:rPr>
        <w:noProof/>
      </w:rPr>
      <w:fldChar w:fldCharType="end"/>
    </w:r>
  </w:p>
  <w:p w:rsidR="00FE56B4" w:rsidRDefault="00FE56B4" w:rsidP="006650EF">
    <w:pPr>
      <w:pStyle w:val="Footer"/>
    </w:pPr>
    <w:r>
      <w:instrText>PwC</w:instrText>
    </w:r>
    <w:r>
      <w:ptab w:relativeTo="margin" w:alignment="right" w:leader="none"/>
    </w:r>
    <w:r>
      <w:fldChar w:fldCharType="begin"/>
    </w:r>
    <w:r>
      <w:instrText xml:space="preserve"> PAGE </w:instrText>
    </w:r>
    <w:r>
      <w:fldChar w:fldCharType="separate"/>
    </w:r>
    <w:r>
      <w:rPr>
        <w:noProof/>
      </w:rPr>
      <w:instrText>5</w:instrText>
    </w:r>
    <w:r>
      <w:rPr>
        <w:noProof/>
      </w:rPr>
      <w:fldChar w:fldCharType="end"/>
    </w:r>
  </w:p>
  <w:p w:rsidR="00FE56B4" w:rsidRDefault="00FE56B4" w:rsidP="006650EF">
    <w:pPr>
      <w:pStyle w:val="Footer-Even"/>
    </w:pPr>
    <w:r>
      <w:instrText>" "</w:instrText>
    </w:r>
    <w:r>
      <w:ptab w:relativeTo="margin" w:alignment="right" w:leader="none"/>
    </w:r>
    <w:r w:rsidR="00663565">
      <w:fldChar w:fldCharType="begin"/>
    </w:r>
    <w:r w:rsidR="00663565">
      <w:instrText xml:space="preserve"> STYLEREF "Cover title" </w:instrText>
    </w:r>
    <w:r w:rsidR="00663565">
      <w:fldChar w:fldCharType="separate"/>
    </w:r>
    <w:r>
      <w:rPr>
        <w:noProof/>
      </w:rPr>
      <w:instrText>Prospect name</w:instrText>
    </w:r>
    <w:r w:rsidR="00663565">
      <w:rPr>
        <w:noProof/>
      </w:rPr>
      <w:fldChar w:fldCharType="end"/>
    </w:r>
  </w:p>
  <w:p w:rsidR="00FE56B4" w:rsidRDefault="00FE56B4" w:rsidP="006650EF">
    <w:pPr>
      <w:pStyle w:val="Footer-Even"/>
    </w:pPr>
    <w:r>
      <w:fldChar w:fldCharType="begin"/>
    </w:r>
    <w:r>
      <w:instrText xml:space="preserve"> PAGE </w:instrText>
    </w:r>
    <w:r>
      <w:fldChar w:fldCharType="separate"/>
    </w:r>
    <w:r>
      <w:rPr>
        <w:noProof/>
      </w:rPr>
      <w:instrText>4</w:instrText>
    </w:r>
    <w:r>
      <w:rPr>
        <w:noProof/>
      </w:rPr>
      <w:fldChar w:fldCharType="end"/>
    </w:r>
    <w:r>
      <w:ptab w:relativeTo="margin" w:alignment="right" w:leader="none"/>
    </w:r>
    <w:r>
      <w:instrText>PwC</w:instrText>
    </w:r>
  </w:p>
  <w:p w:rsidR="00FE56B4" w:rsidRPr="006650EF" w:rsidRDefault="00FE56B4" w:rsidP="006650EF">
    <w:pPr>
      <w:pStyle w:val="Footer"/>
      <w:rPr>
        <w:noProof/>
        <w:sz w:val="2"/>
      </w:rPr>
    </w:pPr>
    <w:r w:rsidRPr="006650EF">
      <w:rPr>
        <w:sz w:val="2"/>
      </w:rPr>
      <w:instrText xml:space="preserve">" </w:instrText>
    </w:r>
    <w:r w:rsidRPr="006650EF">
      <w:rPr>
        <w:sz w:val="2"/>
      </w:rPr>
      <w:fldChar w:fldCharType="separate"/>
    </w:r>
    <w:r w:rsidRPr="006650EF">
      <w:rPr>
        <w:noProof/>
        <w:sz w:val="2"/>
      </w:rPr>
      <w:instrText>Prospect name</w:instrText>
    </w:r>
  </w:p>
  <w:p w:rsidR="00FE56B4" w:rsidRPr="006650EF" w:rsidRDefault="00FE56B4" w:rsidP="006650EF">
    <w:pPr>
      <w:pStyle w:val="Footer"/>
      <w:rPr>
        <w:noProof/>
        <w:sz w:val="2"/>
      </w:rPr>
    </w:pPr>
    <w:r w:rsidRPr="006650EF">
      <w:rPr>
        <w:noProof/>
        <w:sz w:val="2"/>
      </w:rPr>
      <w:instrText>PwC</w:instrText>
    </w:r>
    <w:r w:rsidRPr="006650EF">
      <w:rPr>
        <w:noProof/>
        <w:sz w:val="2"/>
      </w:rPr>
      <w:tab/>
      <w:instrText>5</w:instrText>
    </w:r>
    <w:r w:rsidRPr="006650EF">
      <w:rPr>
        <w:noProof/>
        <w:sz w:val="2"/>
      </w:rPr>
      <w:tab/>
      <w:instrText>WWYLTG?</w:instrText>
    </w:r>
  </w:p>
  <w:p w:rsidR="00FE56B4" w:rsidRDefault="00FE56B4" w:rsidP="006650EF">
    <w:pPr>
      <w:pStyle w:val="Footer"/>
      <w:rPr>
        <w:noProof/>
      </w:rPr>
    </w:pPr>
    <w:r w:rsidRPr="006650EF">
      <w:rPr>
        <w:sz w:val="2"/>
      </w:rPr>
      <w:fldChar w:fldCharType="end"/>
    </w:r>
    <w:r w:rsidRPr="006650EF">
      <w:rPr>
        <w:sz w:val="2"/>
      </w:rPr>
      <w:instrText xml:space="preserve"> </w:instrText>
    </w:r>
    <w:r w:rsidRPr="006650EF">
      <w:rPr>
        <w:sz w:val="2"/>
      </w:rPr>
      <w:fldChar w:fldCharType="separate"/>
    </w:r>
    <w:r>
      <w:rPr>
        <w:noProof/>
      </w:rPr>
      <w:t>Department of Economic Development, Jobs, Transport and Resources</w:t>
    </w:r>
  </w:p>
  <w:p w:rsidR="00FE56B4" w:rsidRPr="006650EF" w:rsidRDefault="00FE56B4" w:rsidP="006650EF">
    <w:pPr>
      <w:pStyle w:val="Footer"/>
      <w:rPr>
        <w:sz w:val="2"/>
      </w:rPr>
    </w:pPr>
    <w:r>
      <w:rPr>
        <w:noProof/>
      </w:rPr>
      <w:t>PwC</w:t>
    </w:r>
    <w:r>
      <w:rPr>
        <w:noProof/>
      </w:rPr>
      <w:ptab w:relativeTo="margin" w:alignment="right" w:leader="none"/>
    </w:r>
    <w:r>
      <w:rPr>
        <w:noProof/>
      </w:rPr>
      <w:t>6</w:t>
    </w:r>
    <w:r w:rsidRPr="006650EF">
      <w:rPr>
        <w:sz w:val="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6B4" w:rsidRDefault="00663565" w:rsidP="00F81690">
    <w:pPr>
      <w:pStyle w:val="Footer-Even"/>
    </w:pPr>
    <w:r>
      <w:fldChar w:fldCharType="begin"/>
    </w:r>
    <w:r>
      <w:instrText xml:space="preserve"> STYLEREF "Cover Title" </w:instrText>
    </w:r>
    <w:r>
      <w:fldChar w:fldCharType="separate"/>
    </w:r>
    <w:r w:rsidR="00DD7BCE">
      <w:rPr>
        <w:noProof/>
      </w:rPr>
      <w:t>Department of Economic Development, Jobs, Transport and Resources</w:t>
    </w:r>
    <w:r>
      <w:rPr>
        <w:noProof/>
      </w:rPr>
      <w:fldChar w:fldCharType="end"/>
    </w:r>
  </w:p>
  <w:p w:rsidR="00FE56B4" w:rsidRPr="006650EF" w:rsidRDefault="00FE56B4" w:rsidP="00F81690">
    <w:pPr>
      <w:pStyle w:val="Footer-Even"/>
    </w:pPr>
    <w:r>
      <w:t>PwC</w:t>
    </w:r>
    <w:r>
      <w:tab/>
    </w:r>
    <w:r>
      <w:fldChar w:fldCharType="begin"/>
    </w:r>
    <w:r>
      <w:instrText xml:space="preserve"> PAGE  \* MERGEFORMAT </w:instrText>
    </w:r>
    <w:r>
      <w:fldChar w:fldCharType="separate"/>
    </w:r>
    <w:r w:rsidR="00DD7BCE">
      <w:rPr>
        <w:noProof/>
      </w:rPr>
      <w:t>x</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6B4" w:rsidRDefault="00663565" w:rsidP="00F81690">
    <w:pPr>
      <w:pStyle w:val="Footer"/>
    </w:pPr>
    <w:r>
      <w:fldChar w:fldCharType="begin"/>
    </w:r>
    <w:r>
      <w:instrText xml:space="preserve"> STYLEREF "Cover Title" </w:instrText>
    </w:r>
    <w:r>
      <w:fldChar w:fldCharType="separate"/>
    </w:r>
    <w:r w:rsidR="00DD7BCE">
      <w:rPr>
        <w:noProof/>
      </w:rPr>
      <w:t>Department of Economic Development, Jobs, Transport and Resources</w:t>
    </w:r>
    <w:r>
      <w:rPr>
        <w:noProof/>
      </w:rPr>
      <w:fldChar w:fldCharType="end"/>
    </w:r>
  </w:p>
  <w:p w:rsidR="00FE56B4" w:rsidRPr="00A84ADF" w:rsidRDefault="00FE56B4" w:rsidP="00F81690">
    <w:pPr>
      <w:pStyle w:val="Footer"/>
    </w:pPr>
    <w:r>
      <w:t>PwC</w:t>
    </w:r>
    <w:r>
      <w:tab/>
    </w:r>
    <w:r>
      <w:fldChar w:fldCharType="begin"/>
    </w:r>
    <w:r>
      <w:instrText xml:space="preserve"> PAGE  \* MERGEFORMAT </w:instrText>
    </w:r>
    <w:r>
      <w:fldChar w:fldCharType="separate"/>
    </w:r>
    <w:r w:rsidR="00DD7BCE">
      <w:rPr>
        <w:noProof/>
      </w:rPr>
      <w:t>ix</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6B4" w:rsidRDefault="00FE56B4" w:rsidP="006650EF">
    <w:pPr>
      <w:pStyle w:val="Footer"/>
    </w:pPr>
    <w:r w:rsidRPr="006650EF">
      <w:rPr>
        <w:sz w:val="18"/>
      </w:rPr>
      <w:fldChar w:fldCharType="begin"/>
    </w:r>
    <w:r>
      <w:instrText xml:space="preserve"> IF </w:instrText>
    </w:r>
    <w:r w:rsidR="00663565">
      <w:fldChar w:fldCharType="begin"/>
    </w:r>
    <w:r w:rsidR="00663565">
      <w:instrText xml:space="preserve"> D</w:instrText>
    </w:r>
    <w:r w:rsidR="00663565">
      <w:instrText xml:space="preserve">OCPROPERTY "Mirror Margins" </w:instrText>
    </w:r>
    <w:r w:rsidR="00663565">
      <w:fldChar w:fldCharType="separate"/>
    </w:r>
    <w:r>
      <w:instrText>N</w:instrText>
    </w:r>
    <w:r w:rsidR="00663565">
      <w:fldChar w:fldCharType="end"/>
    </w:r>
    <w:r>
      <w:instrText xml:space="preserve"> = "N" "</w:instrText>
    </w:r>
    <w:r w:rsidR="00663565">
      <w:fldChar w:fldCharType="begin"/>
    </w:r>
    <w:r w:rsidR="00663565">
      <w:instrText xml:space="preserve"> STYLEREF "Cover title" </w:instrText>
    </w:r>
    <w:r w:rsidR="00663565">
      <w:fldChar w:fldCharType="separate"/>
    </w:r>
    <w:r w:rsidR="00663565">
      <w:rPr>
        <w:noProof/>
      </w:rPr>
      <w:instrText>Department of Economic Development, Jobs, Transport and Resources</w:instrText>
    </w:r>
    <w:r w:rsidR="00663565">
      <w:rPr>
        <w:noProof/>
      </w:rPr>
      <w:fldChar w:fldCharType="end"/>
    </w:r>
  </w:p>
  <w:p w:rsidR="00FE56B4" w:rsidRDefault="00FE56B4" w:rsidP="006650EF">
    <w:pPr>
      <w:pStyle w:val="Footer"/>
    </w:pPr>
    <w:r>
      <w:instrText>PwC</w:instrText>
    </w:r>
    <w:r>
      <w:ptab w:relativeTo="margin" w:alignment="right" w:leader="none"/>
    </w:r>
    <w:r>
      <w:fldChar w:fldCharType="begin"/>
    </w:r>
    <w:r>
      <w:instrText xml:space="preserve"> PAGE </w:instrText>
    </w:r>
    <w:r>
      <w:fldChar w:fldCharType="separate"/>
    </w:r>
    <w:r w:rsidR="00663565">
      <w:rPr>
        <w:noProof/>
      </w:rPr>
      <w:instrText>i</w:instrText>
    </w:r>
    <w:r>
      <w:rPr>
        <w:noProof/>
      </w:rPr>
      <w:fldChar w:fldCharType="end"/>
    </w:r>
    <w:r>
      <w:instrText xml:space="preserve">" </w:instrText>
    </w:r>
    <w:r w:rsidRPr="006650EF">
      <w:rPr>
        <w:sz w:val="18"/>
      </w:rPr>
      <w:fldChar w:fldCharType="begin"/>
    </w:r>
    <w:r>
      <w:instrText xml:space="preserve"> IF </w:instrText>
    </w:r>
    <w:r>
      <w:fldChar w:fldCharType="begin"/>
    </w:r>
    <w:r>
      <w:instrText xml:space="preserve"> =mod( </w:instrText>
    </w:r>
    <w:r>
      <w:fldChar w:fldCharType="begin"/>
    </w:r>
    <w:r>
      <w:instrText xml:space="preserve"> PAGE \* Arabic </w:instrText>
    </w:r>
    <w:r>
      <w:fldChar w:fldCharType="separate"/>
    </w:r>
    <w:r>
      <w:rPr>
        <w:noProof/>
      </w:rPr>
      <w:instrText>5</w:instrText>
    </w:r>
    <w:r>
      <w:rPr>
        <w:noProof/>
      </w:rPr>
      <w:fldChar w:fldCharType="end"/>
    </w:r>
    <w:r>
      <w:instrText xml:space="preserve"> ,2) </w:instrText>
    </w:r>
    <w:r>
      <w:fldChar w:fldCharType="separate"/>
    </w:r>
    <w:r>
      <w:rPr>
        <w:noProof/>
      </w:rPr>
      <w:instrText>1</w:instrText>
    </w:r>
    <w:r>
      <w:fldChar w:fldCharType="end"/>
    </w:r>
    <w:r>
      <w:instrText xml:space="preserve"> = "1" "</w:instrText>
    </w:r>
    <w:r w:rsidR="00663565">
      <w:fldChar w:fldCharType="begin"/>
    </w:r>
    <w:r w:rsidR="00663565">
      <w:instrText xml:space="preserve"> STYLEREF "Cover title" </w:instrText>
    </w:r>
    <w:r w:rsidR="00663565">
      <w:fldChar w:fldCharType="separate"/>
    </w:r>
    <w:r>
      <w:rPr>
        <w:noProof/>
      </w:rPr>
      <w:instrText>Prospect name</w:instrText>
    </w:r>
    <w:r w:rsidR="00663565">
      <w:rPr>
        <w:noProof/>
      </w:rPr>
      <w:fldChar w:fldCharType="end"/>
    </w:r>
  </w:p>
  <w:p w:rsidR="00FE56B4" w:rsidRDefault="00FE56B4" w:rsidP="006650EF">
    <w:pPr>
      <w:pStyle w:val="Footer"/>
    </w:pPr>
    <w:r>
      <w:instrText>PwC</w:instrText>
    </w:r>
    <w:r>
      <w:ptab w:relativeTo="margin" w:alignment="right" w:leader="none"/>
    </w:r>
    <w:r>
      <w:fldChar w:fldCharType="begin"/>
    </w:r>
    <w:r>
      <w:instrText xml:space="preserve"> PAGE </w:instrText>
    </w:r>
    <w:r>
      <w:fldChar w:fldCharType="separate"/>
    </w:r>
    <w:r>
      <w:rPr>
        <w:noProof/>
      </w:rPr>
      <w:instrText>5</w:instrText>
    </w:r>
    <w:r>
      <w:rPr>
        <w:noProof/>
      </w:rPr>
      <w:fldChar w:fldCharType="end"/>
    </w:r>
  </w:p>
  <w:p w:rsidR="00FE56B4" w:rsidRDefault="00FE56B4" w:rsidP="006650EF">
    <w:pPr>
      <w:pStyle w:val="Footer-Even"/>
    </w:pPr>
    <w:r>
      <w:instrText>" "</w:instrText>
    </w:r>
    <w:r>
      <w:ptab w:relativeTo="margin" w:alignment="right" w:leader="none"/>
    </w:r>
    <w:r w:rsidR="00663565">
      <w:fldChar w:fldCharType="begin"/>
    </w:r>
    <w:r w:rsidR="00663565">
      <w:instrText xml:space="preserve"> STYLEREF "Cover title" </w:instrText>
    </w:r>
    <w:r w:rsidR="00663565">
      <w:fldChar w:fldCharType="separate"/>
    </w:r>
    <w:r>
      <w:rPr>
        <w:noProof/>
      </w:rPr>
      <w:instrText>Prospect name</w:instrText>
    </w:r>
    <w:r w:rsidR="00663565">
      <w:rPr>
        <w:noProof/>
      </w:rPr>
      <w:fldChar w:fldCharType="end"/>
    </w:r>
  </w:p>
  <w:p w:rsidR="00FE56B4" w:rsidRDefault="00FE56B4" w:rsidP="006650EF">
    <w:pPr>
      <w:pStyle w:val="Footer-Even"/>
    </w:pPr>
    <w:r>
      <w:fldChar w:fldCharType="begin"/>
    </w:r>
    <w:r>
      <w:instrText xml:space="preserve"> PAGE </w:instrText>
    </w:r>
    <w:r>
      <w:fldChar w:fldCharType="separate"/>
    </w:r>
    <w:r>
      <w:rPr>
        <w:noProof/>
      </w:rPr>
      <w:instrText>4</w:instrText>
    </w:r>
    <w:r>
      <w:rPr>
        <w:noProof/>
      </w:rPr>
      <w:fldChar w:fldCharType="end"/>
    </w:r>
    <w:r>
      <w:ptab w:relativeTo="margin" w:alignment="right" w:leader="none"/>
    </w:r>
    <w:r>
      <w:instrText>PwC</w:instrText>
    </w:r>
  </w:p>
  <w:p w:rsidR="00FE56B4" w:rsidRPr="006650EF" w:rsidRDefault="00FE56B4" w:rsidP="006650EF">
    <w:pPr>
      <w:pStyle w:val="Footer"/>
      <w:rPr>
        <w:noProof/>
        <w:sz w:val="2"/>
      </w:rPr>
    </w:pPr>
    <w:r w:rsidRPr="006650EF">
      <w:rPr>
        <w:sz w:val="2"/>
      </w:rPr>
      <w:instrText xml:space="preserve">" </w:instrText>
    </w:r>
    <w:r w:rsidRPr="006650EF">
      <w:rPr>
        <w:sz w:val="2"/>
      </w:rPr>
      <w:fldChar w:fldCharType="separate"/>
    </w:r>
    <w:r w:rsidRPr="006650EF">
      <w:rPr>
        <w:noProof/>
        <w:sz w:val="2"/>
      </w:rPr>
      <w:instrText>Prospect name</w:instrText>
    </w:r>
  </w:p>
  <w:p w:rsidR="00FE56B4" w:rsidRPr="006650EF" w:rsidRDefault="00FE56B4" w:rsidP="006650EF">
    <w:pPr>
      <w:pStyle w:val="Footer"/>
      <w:rPr>
        <w:noProof/>
        <w:sz w:val="2"/>
      </w:rPr>
    </w:pPr>
    <w:r w:rsidRPr="006650EF">
      <w:rPr>
        <w:noProof/>
        <w:sz w:val="2"/>
      </w:rPr>
      <w:instrText>PwC</w:instrText>
    </w:r>
    <w:r w:rsidRPr="006650EF">
      <w:rPr>
        <w:noProof/>
        <w:sz w:val="2"/>
      </w:rPr>
      <w:tab/>
      <w:instrText>5</w:instrText>
    </w:r>
    <w:r w:rsidRPr="006650EF">
      <w:rPr>
        <w:noProof/>
        <w:sz w:val="2"/>
      </w:rPr>
      <w:tab/>
      <w:instrText>WWYLTG?</w:instrText>
    </w:r>
  </w:p>
  <w:p w:rsidR="00663565" w:rsidRDefault="00FE56B4" w:rsidP="006650EF">
    <w:pPr>
      <w:pStyle w:val="Footer"/>
      <w:rPr>
        <w:noProof/>
      </w:rPr>
    </w:pPr>
    <w:r w:rsidRPr="006650EF">
      <w:rPr>
        <w:sz w:val="2"/>
      </w:rPr>
      <w:fldChar w:fldCharType="end"/>
    </w:r>
    <w:r w:rsidRPr="006650EF">
      <w:rPr>
        <w:sz w:val="2"/>
      </w:rPr>
      <w:instrText xml:space="preserve"> </w:instrText>
    </w:r>
    <w:r w:rsidRPr="006650EF">
      <w:rPr>
        <w:sz w:val="2"/>
      </w:rPr>
      <w:fldChar w:fldCharType="separate"/>
    </w:r>
    <w:r w:rsidR="00663565">
      <w:rPr>
        <w:noProof/>
      </w:rPr>
      <w:t>Department of Economic Development, Jobs, Transport and Resources</w:t>
    </w:r>
  </w:p>
  <w:p w:rsidR="00FE56B4" w:rsidRPr="006650EF" w:rsidRDefault="00663565" w:rsidP="006650EF">
    <w:pPr>
      <w:pStyle w:val="Footer"/>
      <w:rPr>
        <w:sz w:val="2"/>
      </w:rPr>
    </w:pPr>
    <w:r>
      <w:rPr>
        <w:noProof/>
      </w:rPr>
      <w:t>PwC</w:t>
    </w:r>
    <w:r>
      <w:rPr>
        <w:noProof/>
      </w:rPr>
      <w:ptab w:relativeTo="margin" w:alignment="right" w:leader="none"/>
    </w:r>
    <w:r>
      <w:rPr>
        <w:noProof/>
      </w:rPr>
      <w:t>i</w:t>
    </w:r>
    <w:r w:rsidR="00FE56B4" w:rsidRPr="006650EF">
      <w:rPr>
        <w:sz w:val="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6B4" w:rsidRDefault="00663565" w:rsidP="00F81690">
    <w:pPr>
      <w:pStyle w:val="Footer-ToCEven"/>
    </w:pPr>
    <w:r>
      <w:fldChar w:fldCharType="begin"/>
    </w:r>
    <w:r>
      <w:instrText xml:space="preserve"> STYLEREF "Cover Title" </w:instrText>
    </w:r>
    <w:r>
      <w:fldChar w:fldCharType="separate"/>
    </w:r>
    <w:r w:rsidR="00FE56B4">
      <w:rPr>
        <w:noProof/>
      </w:rPr>
      <w:t>Department of Economic Development, Jobs, Transport and Resources</w:t>
    </w:r>
    <w:r>
      <w:rPr>
        <w:noProof/>
      </w:rPr>
      <w:fldChar w:fldCharType="end"/>
    </w:r>
  </w:p>
  <w:p w:rsidR="00FE56B4" w:rsidRPr="006650EF" w:rsidRDefault="00FE56B4" w:rsidP="00F81690">
    <w:pPr>
      <w:pStyle w:val="Footer-ToCEven"/>
    </w:pPr>
    <w:r>
      <w:t>PwC</w:t>
    </w:r>
    <w:r>
      <w:tab/>
    </w:r>
    <w:r>
      <w:fldChar w:fldCharType="begin"/>
    </w:r>
    <w:r>
      <w:instrText xml:space="preserve"> PAGE  \* MERGEFORMAT </w:instrText>
    </w:r>
    <w:r>
      <w:fldChar w:fldCharType="separate"/>
    </w:r>
    <w:r>
      <w:rPr>
        <w:noProof/>
      </w:rPr>
      <w:t>16</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6B4" w:rsidRDefault="00663565" w:rsidP="00F81690">
    <w:pPr>
      <w:pStyle w:val="Footer-ToC"/>
    </w:pPr>
    <w:r>
      <w:fldChar w:fldCharType="begin"/>
    </w:r>
    <w:r>
      <w:instrText xml:space="preserve"> STYLEREF "Cover Title" </w:instrText>
    </w:r>
    <w:r>
      <w:fldChar w:fldCharType="separate"/>
    </w:r>
    <w:r w:rsidR="00FE56B4">
      <w:rPr>
        <w:noProof/>
      </w:rPr>
      <w:t>Department of Economic Development, Jobs, Transport and Resources</w:t>
    </w:r>
    <w:r>
      <w:rPr>
        <w:noProof/>
      </w:rPr>
      <w:fldChar w:fldCharType="end"/>
    </w:r>
  </w:p>
  <w:p w:rsidR="00FE56B4" w:rsidRPr="00A84ADF" w:rsidRDefault="00FE56B4" w:rsidP="00F81690">
    <w:pPr>
      <w:pStyle w:val="Footer-ToC"/>
    </w:pPr>
    <w:r>
      <w:t>PwC</w:t>
    </w:r>
    <w:r>
      <w:tab/>
    </w:r>
    <w:r>
      <w:fldChar w:fldCharType="begin"/>
    </w:r>
    <w:r>
      <w:instrText xml:space="preserve"> PAGE  \* MERGEFORMAT </w:instrText>
    </w:r>
    <w:r>
      <w:fldChar w:fldCharType="separate"/>
    </w:r>
    <w:r>
      <w:rPr>
        <w:noProof/>
      </w:rPr>
      <w:t>15</w:t>
    </w:r>
    <w:r>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6B4" w:rsidRDefault="00FE56B4" w:rsidP="00F81690">
    <w:pPr>
      <w:pStyle w:val="Footer-ToC"/>
    </w:pPr>
    <w:r w:rsidRPr="006650EF">
      <w:rPr>
        <w:sz w:val="18"/>
      </w:rPr>
      <w:fldChar w:fldCharType="begin"/>
    </w:r>
    <w:r>
      <w:instrText xml:space="preserve"> IF </w:instrText>
    </w:r>
    <w:r w:rsidR="00663565">
      <w:fldChar w:fldCharType="begin"/>
    </w:r>
    <w:r w:rsidR="00663565">
      <w:instrText xml:space="preserve"> DOCPROPERTY "Mirror Margins" </w:instrText>
    </w:r>
    <w:r w:rsidR="00663565">
      <w:fldChar w:fldCharType="separate"/>
    </w:r>
    <w:r>
      <w:instrText>N</w:instrText>
    </w:r>
    <w:r w:rsidR="00663565">
      <w:fldChar w:fldCharType="end"/>
    </w:r>
    <w:r>
      <w:instrText xml:space="preserve"> = "N" "</w:instrText>
    </w:r>
    <w:r w:rsidR="00663565">
      <w:fldChar w:fldCharType="begin"/>
    </w:r>
    <w:r w:rsidR="00663565">
      <w:instrText xml:space="preserve"> STYLEREF "Cover title" </w:instrText>
    </w:r>
    <w:r w:rsidR="00663565">
      <w:fldChar w:fldCharType="separate"/>
    </w:r>
    <w:r w:rsidR="00DD7BCE">
      <w:rPr>
        <w:noProof/>
      </w:rPr>
      <w:instrText>Department of Economic Development, Jobs, Transport and Resources</w:instrText>
    </w:r>
    <w:r w:rsidR="00663565">
      <w:rPr>
        <w:noProof/>
      </w:rPr>
      <w:fldChar w:fldCharType="end"/>
    </w:r>
  </w:p>
  <w:p w:rsidR="00FE56B4" w:rsidRDefault="00FE56B4" w:rsidP="00F81690">
    <w:pPr>
      <w:pStyle w:val="Footer-ToC"/>
    </w:pPr>
    <w:r>
      <w:instrText>PwC</w:instrText>
    </w:r>
    <w:r>
      <w:ptab w:relativeTo="margin" w:alignment="right" w:leader="none"/>
    </w:r>
    <w:r>
      <w:fldChar w:fldCharType="begin"/>
    </w:r>
    <w:r>
      <w:instrText xml:space="preserve"> PAGE </w:instrText>
    </w:r>
    <w:r>
      <w:fldChar w:fldCharType="separate"/>
    </w:r>
    <w:r w:rsidR="00DD7BCE">
      <w:rPr>
        <w:noProof/>
      </w:rPr>
      <w:instrText>xi</w:instrText>
    </w:r>
    <w:r>
      <w:rPr>
        <w:noProof/>
      </w:rPr>
      <w:fldChar w:fldCharType="end"/>
    </w:r>
    <w:r>
      <w:instrText xml:space="preserve">" </w:instrText>
    </w:r>
    <w:r w:rsidRPr="006650EF">
      <w:rPr>
        <w:sz w:val="18"/>
      </w:rPr>
      <w:fldChar w:fldCharType="begin"/>
    </w:r>
    <w:r>
      <w:instrText xml:space="preserve"> IF </w:instrText>
    </w:r>
    <w:r>
      <w:fldChar w:fldCharType="begin"/>
    </w:r>
    <w:r>
      <w:instrText xml:space="preserve"> =mod( </w:instrText>
    </w:r>
    <w:r>
      <w:fldChar w:fldCharType="begin"/>
    </w:r>
    <w:r>
      <w:instrText xml:space="preserve"> PAGE \* Arabic </w:instrText>
    </w:r>
    <w:r>
      <w:fldChar w:fldCharType="separate"/>
    </w:r>
    <w:r>
      <w:rPr>
        <w:noProof/>
      </w:rPr>
      <w:instrText>5</w:instrText>
    </w:r>
    <w:r>
      <w:rPr>
        <w:noProof/>
      </w:rPr>
      <w:fldChar w:fldCharType="end"/>
    </w:r>
    <w:r>
      <w:instrText xml:space="preserve"> ,2) </w:instrText>
    </w:r>
    <w:r>
      <w:fldChar w:fldCharType="separate"/>
    </w:r>
    <w:r>
      <w:rPr>
        <w:noProof/>
      </w:rPr>
      <w:instrText>1</w:instrText>
    </w:r>
    <w:r>
      <w:fldChar w:fldCharType="end"/>
    </w:r>
    <w:r>
      <w:instrText xml:space="preserve"> = "1" "</w:instrText>
    </w:r>
    <w:r w:rsidR="00663565">
      <w:fldChar w:fldCharType="begin"/>
    </w:r>
    <w:r w:rsidR="00663565">
      <w:instrText xml:space="preserve"> STYLEREF "Cover title" </w:instrText>
    </w:r>
    <w:r w:rsidR="00663565">
      <w:fldChar w:fldCharType="separate"/>
    </w:r>
    <w:r>
      <w:rPr>
        <w:noProof/>
      </w:rPr>
      <w:instrText>Prospect name</w:instrText>
    </w:r>
    <w:r w:rsidR="00663565">
      <w:rPr>
        <w:noProof/>
      </w:rPr>
      <w:fldChar w:fldCharType="end"/>
    </w:r>
  </w:p>
  <w:p w:rsidR="00FE56B4" w:rsidRDefault="00FE56B4" w:rsidP="00F81690">
    <w:pPr>
      <w:pStyle w:val="Footer-ToC"/>
    </w:pPr>
    <w:r>
      <w:instrText>PwC</w:instrText>
    </w:r>
    <w:r>
      <w:ptab w:relativeTo="margin" w:alignment="right" w:leader="none"/>
    </w:r>
    <w:r>
      <w:fldChar w:fldCharType="begin"/>
    </w:r>
    <w:r>
      <w:instrText xml:space="preserve"> PAGE </w:instrText>
    </w:r>
    <w:r>
      <w:fldChar w:fldCharType="separate"/>
    </w:r>
    <w:r>
      <w:rPr>
        <w:noProof/>
      </w:rPr>
      <w:instrText>5</w:instrText>
    </w:r>
    <w:r>
      <w:rPr>
        <w:noProof/>
      </w:rPr>
      <w:fldChar w:fldCharType="end"/>
    </w:r>
  </w:p>
  <w:p w:rsidR="00FE56B4" w:rsidRDefault="00FE56B4" w:rsidP="00F81690">
    <w:pPr>
      <w:pStyle w:val="Footer-ToC"/>
    </w:pPr>
    <w:r>
      <w:instrText>" "</w:instrText>
    </w:r>
    <w:r>
      <w:ptab w:relativeTo="margin" w:alignment="right" w:leader="none"/>
    </w:r>
    <w:r w:rsidR="00663565">
      <w:fldChar w:fldCharType="begin"/>
    </w:r>
    <w:r w:rsidR="00663565">
      <w:instrText xml:space="preserve"> STYLEREF "Cover title" </w:instrText>
    </w:r>
    <w:r w:rsidR="00663565">
      <w:fldChar w:fldCharType="separate"/>
    </w:r>
    <w:r>
      <w:rPr>
        <w:noProof/>
      </w:rPr>
      <w:instrText>Prospect name</w:instrText>
    </w:r>
    <w:r w:rsidR="00663565">
      <w:rPr>
        <w:noProof/>
      </w:rPr>
      <w:fldChar w:fldCharType="end"/>
    </w:r>
  </w:p>
  <w:p w:rsidR="00FE56B4" w:rsidRDefault="00FE56B4" w:rsidP="00F81690">
    <w:pPr>
      <w:pStyle w:val="Footer-ToC"/>
    </w:pPr>
    <w:r>
      <w:fldChar w:fldCharType="begin"/>
    </w:r>
    <w:r>
      <w:instrText xml:space="preserve"> PAGE </w:instrText>
    </w:r>
    <w:r>
      <w:fldChar w:fldCharType="separate"/>
    </w:r>
    <w:r>
      <w:rPr>
        <w:noProof/>
      </w:rPr>
      <w:instrText>4</w:instrText>
    </w:r>
    <w:r>
      <w:rPr>
        <w:noProof/>
      </w:rPr>
      <w:fldChar w:fldCharType="end"/>
    </w:r>
    <w:r>
      <w:ptab w:relativeTo="margin" w:alignment="right" w:leader="none"/>
    </w:r>
    <w:r>
      <w:instrText>PwC</w:instrText>
    </w:r>
  </w:p>
  <w:p w:rsidR="00FE56B4" w:rsidRPr="006650EF" w:rsidRDefault="00FE56B4" w:rsidP="00F81690">
    <w:pPr>
      <w:pStyle w:val="Footer-ToC"/>
      <w:rPr>
        <w:noProof/>
        <w:sz w:val="2"/>
      </w:rPr>
    </w:pPr>
    <w:r w:rsidRPr="006650EF">
      <w:rPr>
        <w:sz w:val="2"/>
      </w:rPr>
      <w:instrText xml:space="preserve">" </w:instrText>
    </w:r>
    <w:r w:rsidRPr="006650EF">
      <w:rPr>
        <w:sz w:val="2"/>
      </w:rPr>
      <w:fldChar w:fldCharType="separate"/>
    </w:r>
    <w:r w:rsidRPr="006650EF">
      <w:rPr>
        <w:noProof/>
        <w:sz w:val="2"/>
      </w:rPr>
      <w:instrText>Prospect name</w:instrText>
    </w:r>
  </w:p>
  <w:p w:rsidR="00FE56B4" w:rsidRPr="006650EF" w:rsidRDefault="00FE56B4" w:rsidP="00F81690">
    <w:pPr>
      <w:pStyle w:val="Footer-ToC"/>
      <w:rPr>
        <w:noProof/>
        <w:sz w:val="2"/>
      </w:rPr>
    </w:pPr>
    <w:r w:rsidRPr="006650EF">
      <w:rPr>
        <w:noProof/>
        <w:sz w:val="2"/>
      </w:rPr>
      <w:instrText>PwC</w:instrText>
    </w:r>
    <w:r w:rsidRPr="006650EF">
      <w:rPr>
        <w:noProof/>
        <w:sz w:val="2"/>
      </w:rPr>
      <w:tab/>
      <w:instrText>5</w:instrText>
    </w:r>
    <w:r w:rsidRPr="006650EF">
      <w:rPr>
        <w:noProof/>
        <w:sz w:val="2"/>
      </w:rPr>
      <w:tab/>
      <w:instrText>WWYLTG?</w:instrText>
    </w:r>
  </w:p>
  <w:p w:rsidR="00DD7BCE" w:rsidRDefault="00FE56B4" w:rsidP="00F81690">
    <w:pPr>
      <w:pStyle w:val="Footer-ToC"/>
      <w:rPr>
        <w:noProof/>
      </w:rPr>
    </w:pPr>
    <w:r w:rsidRPr="006650EF">
      <w:rPr>
        <w:sz w:val="2"/>
      </w:rPr>
      <w:fldChar w:fldCharType="end"/>
    </w:r>
    <w:r w:rsidRPr="006650EF">
      <w:rPr>
        <w:sz w:val="2"/>
      </w:rPr>
      <w:instrText xml:space="preserve"> </w:instrText>
    </w:r>
    <w:r w:rsidRPr="006650EF">
      <w:rPr>
        <w:sz w:val="2"/>
      </w:rPr>
      <w:fldChar w:fldCharType="separate"/>
    </w:r>
    <w:r w:rsidR="00DD7BCE">
      <w:rPr>
        <w:noProof/>
      </w:rPr>
      <w:t>Department of Economic Development, Jobs, Transport and Resources</w:t>
    </w:r>
  </w:p>
  <w:p w:rsidR="00FE56B4" w:rsidRPr="006650EF" w:rsidRDefault="00DD7BCE" w:rsidP="00F81690">
    <w:pPr>
      <w:pStyle w:val="Footer-ToC"/>
      <w:rPr>
        <w:sz w:val="2"/>
      </w:rPr>
    </w:pPr>
    <w:r>
      <w:rPr>
        <w:noProof/>
      </w:rPr>
      <w:t>PwC</w:t>
    </w:r>
    <w:r>
      <w:rPr>
        <w:noProof/>
      </w:rPr>
      <w:ptab w:relativeTo="margin" w:alignment="right" w:leader="none"/>
    </w:r>
    <w:r>
      <w:rPr>
        <w:noProof/>
      </w:rPr>
      <w:t>xi</w:t>
    </w:r>
    <w:r w:rsidR="00FE56B4" w:rsidRPr="006650EF">
      <w:rPr>
        <w:sz w:val="2"/>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6B4" w:rsidRDefault="00663565" w:rsidP="00F81690">
    <w:pPr>
      <w:pStyle w:val="Footer-Even"/>
    </w:pPr>
    <w:r>
      <w:fldChar w:fldCharType="begin"/>
    </w:r>
    <w:r>
      <w:instrText xml:space="preserve"> STYLEREF "Cover Title" </w:instrText>
    </w:r>
    <w:r>
      <w:fldChar w:fldCharType="separate"/>
    </w:r>
    <w:r w:rsidR="00DD7BCE">
      <w:rPr>
        <w:noProof/>
      </w:rPr>
      <w:t>Department of Economic Development, Jobs, Transport and Resources</w:t>
    </w:r>
    <w:r>
      <w:rPr>
        <w:noProof/>
      </w:rPr>
      <w:fldChar w:fldCharType="end"/>
    </w:r>
  </w:p>
  <w:p w:rsidR="00FE56B4" w:rsidRPr="006650EF" w:rsidRDefault="00FE56B4" w:rsidP="00F81690">
    <w:pPr>
      <w:pStyle w:val="Footer-Even"/>
    </w:pPr>
    <w:r>
      <w:t>PwC</w:t>
    </w:r>
    <w:r>
      <w:ptab w:relativeTo="margin" w:alignment="right" w:leader="none"/>
    </w:r>
    <w:r>
      <w:fldChar w:fldCharType="begin"/>
    </w:r>
    <w:r>
      <w:instrText xml:space="preserve"> PAGE  \* MERGEFORMAT </w:instrText>
    </w:r>
    <w:r>
      <w:fldChar w:fldCharType="separate"/>
    </w:r>
    <w:r w:rsidR="00DD7BCE">
      <w:rPr>
        <w:noProof/>
      </w:rPr>
      <w:t>26</w:t>
    </w:r>
    <w:r>
      <w:rPr>
        <w:noProof/>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6B4" w:rsidRPr="008C6722" w:rsidRDefault="00663565" w:rsidP="00F81690">
    <w:pPr>
      <w:pStyle w:val="Footer"/>
    </w:pPr>
    <w:r>
      <w:fldChar w:fldCharType="begin"/>
    </w:r>
    <w:r>
      <w:instrText xml:space="preserve"> STYLEREF "Cover Title" </w:instrText>
    </w:r>
    <w:r>
      <w:fldChar w:fldCharType="separate"/>
    </w:r>
    <w:r w:rsidR="00DD7BCE">
      <w:rPr>
        <w:noProof/>
      </w:rPr>
      <w:t>Department of Economic Development, Jobs, Transport and Resources</w:t>
    </w:r>
    <w:r>
      <w:rPr>
        <w:noProof/>
      </w:rPr>
      <w:fldChar w:fldCharType="end"/>
    </w:r>
  </w:p>
  <w:p w:rsidR="00FE56B4" w:rsidRPr="008C6722" w:rsidRDefault="00FE56B4" w:rsidP="00F81690">
    <w:pPr>
      <w:pStyle w:val="Footer"/>
    </w:pPr>
    <w:r w:rsidRPr="008C6722">
      <w:t>PwC</w:t>
    </w:r>
    <w:r>
      <w:ptab w:relativeTo="margin" w:alignment="right" w:leader="none"/>
    </w:r>
    <w:r>
      <w:fldChar w:fldCharType="begin"/>
    </w:r>
    <w:r>
      <w:instrText xml:space="preserve"> PAGE  \* MERGEFORMAT </w:instrText>
    </w:r>
    <w:r>
      <w:fldChar w:fldCharType="separate"/>
    </w:r>
    <w:r w:rsidR="00DD7BCE">
      <w:rPr>
        <w:noProof/>
      </w:rPr>
      <w:t>27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56B4" w:rsidRDefault="00FE56B4" w:rsidP="004343B3">
      <w:pPr>
        <w:pStyle w:val="Separator"/>
      </w:pPr>
      <w:r>
        <w:separator/>
      </w:r>
    </w:p>
    <w:p w:rsidR="00FE56B4" w:rsidRDefault="00FE56B4"/>
  </w:footnote>
  <w:footnote w:type="continuationSeparator" w:id="0">
    <w:p w:rsidR="00FE56B4" w:rsidRDefault="00FE56B4" w:rsidP="004343B3">
      <w:pPr>
        <w:pStyle w:val="Separator"/>
      </w:pPr>
      <w:r>
        <w:continuationSeparator/>
      </w:r>
    </w:p>
    <w:p w:rsidR="00FE56B4" w:rsidRDefault="00FE56B4"/>
  </w:footnote>
  <w:footnote w:type="continuationNotice" w:id="1">
    <w:p w:rsidR="00FE56B4" w:rsidRPr="00F20B7D" w:rsidRDefault="00FE56B4" w:rsidP="00F20B7D">
      <w:pPr>
        <w:pStyle w:val="Footer"/>
        <w:rPr>
          <w:sz w:val="2"/>
          <w:szCs w:val="2"/>
        </w:rPr>
      </w:pPr>
    </w:p>
    <w:p w:rsidR="00FE56B4" w:rsidRDefault="00FE56B4"/>
  </w:footnote>
  <w:footnote w:id="2">
    <w:p w:rsidR="00FE56B4" w:rsidRDefault="00FE56B4">
      <w:pPr>
        <w:pStyle w:val="FootnoteText"/>
      </w:pPr>
      <w:r>
        <w:rPr>
          <w:rStyle w:val="FootnoteReference"/>
        </w:rPr>
        <w:footnoteRef/>
      </w:r>
      <w:r>
        <w:t xml:space="preserve"> </w:t>
      </w:r>
      <w:r>
        <w:tab/>
      </w:r>
      <w:proofErr w:type="gramStart"/>
      <w:r>
        <w:t xml:space="preserve">Victorian </w:t>
      </w:r>
      <w:proofErr w:type="spellStart"/>
      <w:r>
        <w:t>Labor</w:t>
      </w:r>
      <w:proofErr w:type="spellEnd"/>
      <w:r>
        <w:t xml:space="preserve"> Party, ‘Platform 2014’, 2014.</w:t>
      </w:r>
      <w:proofErr w:type="gramEnd"/>
    </w:p>
  </w:footnote>
  <w:footnote w:id="3">
    <w:p w:rsidR="00FE56B4" w:rsidRDefault="00FE56B4">
      <w:pPr>
        <w:pStyle w:val="FootnoteText"/>
      </w:pPr>
      <w:r>
        <w:rPr>
          <w:rStyle w:val="FootnoteReference"/>
        </w:rPr>
        <w:footnoteRef/>
      </w:r>
      <w:r>
        <w:t xml:space="preserve"> </w:t>
      </w:r>
      <w:r>
        <w:tab/>
        <w:t>It is noted that the Easter Sunday public holiday for 2015 was gazetted temporarily for 2015 and has already passed at the time of writing this RIS. The analysis presented here is anticipated to be indicative of what would occur in future years should the Easter Sunday public holiday be introduced</w:t>
      </w:r>
      <w:r w:rsidRPr="009C5463">
        <w:t xml:space="preserve"> </w:t>
      </w:r>
      <w:r>
        <w:t xml:space="preserve">permanently. </w:t>
      </w:r>
    </w:p>
  </w:footnote>
  <w:footnote w:id="4">
    <w:p w:rsidR="00FE56B4" w:rsidRDefault="00FE56B4" w:rsidP="00383458">
      <w:pPr>
        <w:pStyle w:val="FootnoteText"/>
      </w:pPr>
      <w:r>
        <w:rPr>
          <w:rStyle w:val="FootnoteReference"/>
        </w:rPr>
        <w:footnoteRef/>
      </w:r>
      <w:r>
        <w:t xml:space="preserve"> </w:t>
      </w:r>
      <w:r>
        <w:tab/>
        <w:t>ABS</w:t>
      </w:r>
      <w:r w:rsidRPr="00320329">
        <w:t xml:space="preserve"> 6291.0.55.003 Labour Force, Australia</w:t>
      </w:r>
      <w:r>
        <w:t xml:space="preserve">, Table 5. Data for Victoria for May 2014. Includes total employment in Victoria for industries assumed to trade on weekends and public holidays; refer to </w:t>
      </w:r>
      <w:r>
        <w:fldChar w:fldCharType="begin"/>
      </w:r>
      <w:r>
        <w:instrText xml:space="preserve"> REF _Ref417306653 \n \h </w:instrText>
      </w:r>
      <w:r>
        <w:fldChar w:fldCharType="separate"/>
      </w:r>
      <w:r>
        <w:t>Appendix A</w:t>
      </w:r>
      <w:r>
        <w:fldChar w:fldCharType="end"/>
      </w:r>
      <w:r>
        <w:t xml:space="preserve"> for details of which industries this includes.</w:t>
      </w:r>
    </w:p>
  </w:footnote>
  <w:footnote w:id="5">
    <w:p w:rsidR="00FE56B4" w:rsidRDefault="00FE56B4" w:rsidP="00383458">
      <w:pPr>
        <w:pStyle w:val="FootnoteText"/>
      </w:pPr>
      <w:r>
        <w:rPr>
          <w:rStyle w:val="FootnoteReference"/>
        </w:rPr>
        <w:footnoteRef/>
      </w:r>
      <w:r>
        <w:t xml:space="preserve"> </w:t>
      </w:r>
      <w:r>
        <w:tab/>
      </w:r>
      <w:proofErr w:type="gramStart"/>
      <w:r>
        <w:t>Tourism Victoria, ‘Economic contribution of tourism to Victoria, 2013-14’, April 2015, p. 2.</w:t>
      </w:r>
      <w:proofErr w:type="gramEnd"/>
    </w:p>
  </w:footnote>
  <w:footnote w:id="6">
    <w:p w:rsidR="00FE56B4" w:rsidRDefault="00FE56B4">
      <w:pPr>
        <w:pStyle w:val="FootnoteText"/>
      </w:pPr>
      <w:r>
        <w:rPr>
          <w:rStyle w:val="FootnoteReference"/>
        </w:rPr>
        <w:footnoteRef/>
      </w:r>
      <w:r>
        <w:t xml:space="preserve"> </w:t>
      </w:r>
      <w:r>
        <w:tab/>
      </w:r>
      <w:proofErr w:type="gramStart"/>
      <w:r>
        <w:t xml:space="preserve">Victorian </w:t>
      </w:r>
      <w:proofErr w:type="spellStart"/>
      <w:r>
        <w:t>Labor</w:t>
      </w:r>
      <w:proofErr w:type="spellEnd"/>
      <w:r>
        <w:t xml:space="preserve"> Party, ‘Platform 2014’, 2014.</w:t>
      </w:r>
      <w:proofErr w:type="gramEnd"/>
    </w:p>
  </w:footnote>
  <w:footnote w:id="7">
    <w:p w:rsidR="00FE56B4" w:rsidRDefault="00FE56B4">
      <w:pPr>
        <w:pStyle w:val="FootnoteText"/>
      </w:pPr>
      <w:r>
        <w:rPr>
          <w:rStyle w:val="FootnoteReference"/>
        </w:rPr>
        <w:footnoteRef/>
      </w:r>
      <w:r>
        <w:t xml:space="preserve"> </w:t>
      </w:r>
      <w:r>
        <w:tab/>
      </w:r>
      <w:r w:rsidRPr="0044050F">
        <w:t>The ABS does not provide estimates of the average weekly earnings of those employed in the Agriculture,</w:t>
      </w:r>
      <w:r>
        <w:t xml:space="preserve"> Forestry and Fishing industry</w:t>
      </w:r>
      <w:r w:rsidRPr="0044050F">
        <w:t>. As such, the wage transfers estimated in this RIS do not capture those transfers associated with workers in that industry earning additional wages due to public holiday penalty rates. Using a separate data source</w:t>
      </w:r>
      <w:r>
        <w:t xml:space="preserve"> (available from </w:t>
      </w:r>
      <w:r w:rsidRPr="00E21466">
        <w:t>http://lmip.gov.au/default.aspx?LMIP/IndustryInformation/AgricultureForestryandFishing</w:t>
      </w:r>
      <w:r>
        <w:t xml:space="preserve">) </w:t>
      </w:r>
      <w:r w:rsidRPr="0044050F">
        <w:t>on the</w:t>
      </w:r>
      <w:r>
        <w:t xml:space="preserve"> median</w:t>
      </w:r>
      <w:r w:rsidRPr="0044050F">
        <w:t xml:space="preserve"> earnings of employees in Agriculture, Forestry and Fishing, it was estimated that the wage transfer impacts in that industry could potentially contribute an additional 1 per cent to the estimates presented.  Due to the uncertainty and size of this estimate, this RIS has not included these transfers in the overall transfer estimates presented.</w:t>
      </w:r>
    </w:p>
  </w:footnote>
  <w:footnote w:id="8">
    <w:p w:rsidR="00FE56B4" w:rsidRDefault="00FE56B4" w:rsidP="00BE03AE">
      <w:pPr>
        <w:pStyle w:val="FootnoteText"/>
      </w:pPr>
      <w:r>
        <w:rPr>
          <w:rStyle w:val="FootnoteReference"/>
        </w:rPr>
        <w:footnoteRef/>
      </w:r>
      <w:r>
        <w:t xml:space="preserve"> </w:t>
      </w:r>
      <w:r>
        <w:tab/>
      </w:r>
      <w:proofErr w:type="spellStart"/>
      <w:r>
        <w:t>Merz</w:t>
      </w:r>
      <w:proofErr w:type="spellEnd"/>
      <w:r>
        <w:t xml:space="preserve">, J. and </w:t>
      </w:r>
      <w:proofErr w:type="spellStart"/>
      <w:r>
        <w:t>Osberg</w:t>
      </w:r>
      <w:proofErr w:type="spellEnd"/>
      <w:r>
        <w:t>, L., ‘</w:t>
      </w:r>
      <w:proofErr w:type="gramStart"/>
      <w:r>
        <w:t>Keeping</w:t>
      </w:r>
      <w:proofErr w:type="gramEnd"/>
      <w:r>
        <w:t xml:space="preserve"> in Touch: A Benefit of Public Holidays’,</w:t>
      </w:r>
      <w:r w:rsidRPr="00E66E62">
        <w:rPr>
          <w:i/>
        </w:rPr>
        <w:t xml:space="preserve"> Institute for the Study of </w:t>
      </w:r>
      <w:proofErr w:type="spellStart"/>
      <w:r w:rsidRPr="00E66E62">
        <w:rPr>
          <w:i/>
        </w:rPr>
        <w:t>Labor</w:t>
      </w:r>
      <w:proofErr w:type="spellEnd"/>
      <w:r w:rsidRPr="00E66E62">
        <w:rPr>
          <w:i/>
        </w:rPr>
        <w:t xml:space="preserve"> Discussion Paper No. 2089</w:t>
      </w:r>
      <w:r>
        <w:t>, April 2006, p.18.</w:t>
      </w:r>
    </w:p>
  </w:footnote>
  <w:footnote w:id="9">
    <w:p w:rsidR="00FE56B4" w:rsidRDefault="00FE56B4" w:rsidP="00BE03AE">
      <w:pPr>
        <w:pStyle w:val="FootnoteText"/>
      </w:pPr>
      <w:r>
        <w:rPr>
          <w:rStyle w:val="FootnoteReference"/>
        </w:rPr>
        <w:footnoteRef/>
      </w:r>
      <w:r>
        <w:t xml:space="preserve"> </w:t>
      </w:r>
      <w:r>
        <w:tab/>
      </w:r>
      <w:proofErr w:type="gramStart"/>
      <w:r>
        <w:rPr>
          <w:rFonts w:cs="Georgia"/>
          <w:snapToGrid/>
          <w:color w:val="000000"/>
          <w:szCs w:val="14"/>
          <w:lang w:eastAsia="en-AU"/>
        </w:rPr>
        <w:t>SDA submission to Small Business Victoria regarding the proposed gazettal of Easter Sunday 2015 as a public holiday, 30 January 2015.</w:t>
      </w:r>
      <w:proofErr w:type="gramEnd"/>
    </w:p>
  </w:footnote>
  <w:footnote w:id="10">
    <w:p w:rsidR="00FE56B4" w:rsidRDefault="00FE56B4" w:rsidP="00BE03AE">
      <w:pPr>
        <w:pStyle w:val="FootnoteText"/>
      </w:pPr>
      <w:r>
        <w:rPr>
          <w:rStyle w:val="FootnoteReference"/>
        </w:rPr>
        <w:footnoteRef/>
      </w:r>
      <w:r>
        <w:t xml:space="preserve"> </w:t>
      </w:r>
      <w:r>
        <w:tab/>
      </w:r>
      <w:proofErr w:type="spellStart"/>
      <w:r>
        <w:t>Merz</w:t>
      </w:r>
      <w:proofErr w:type="spellEnd"/>
      <w:r>
        <w:t xml:space="preserve">, J. and </w:t>
      </w:r>
      <w:proofErr w:type="spellStart"/>
      <w:r>
        <w:t>Osberg</w:t>
      </w:r>
      <w:proofErr w:type="spellEnd"/>
      <w:r>
        <w:t>, L., ‘Keeping in Touch: A Benefit of Public Holidays’,</w:t>
      </w:r>
      <w:r w:rsidRPr="00E66E62">
        <w:rPr>
          <w:i/>
        </w:rPr>
        <w:t xml:space="preserve"> Institute for the Study of </w:t>
      </w:r>
      <w:proofErr w:type="spellStart"/>
      <w:r w:rsidRPr="00E66E62">
        <w:rPr>
          <w:i/>
        </w:rPr>
        <w:t>Labor</w:t>
      </w:r>
      <w:proofErr w:type="spellEnd"/>
      <w:r w:rsidRPr="00E66E62">
        <w:rPr>
          <w:i/>
        </w:rPr>
        <w:t xml:space="preserve"> Discussion Paper No. 2089</w:t>
      </w:r>
      <w:r>
        <w:t xml:space="preserve">, </w:t>
      </w:r>
      <w:proofErr w:type="gramStart"/>
      <w:r>
        <w:t>April</w:t>
      </w:r>
      <w:proofErr w:type="gramEnd"/>
      <w:r>
        <w:t xml:space="preserve"> 2006.</w:t>
      </w:r>
    </w:p>
  </w:footnote>
  <w:footnote w:id="11">
    <w:p w:rsidR="00FE56B4" w:rsidRDefault="00FE56B4" w:rsidP="000D4FC1">
      <w:pPr>
        <w:pStyle w:val="FootnoteText"/>
      </w:pPr>
      <w:r>
        <w:rPr>
          <w:rStyle w:val="FootnoteReference"/>
        </w:rPr>
        <w:footnoteRef/>
      </w:r>
      <w:r>
        <w:t xml:space="preserve"> </w:t>
      </w:r>
      <w:r>
        <w:tab/>
        <w:t>Ibid.</w:t>
      </w:r>
    </w:p>
  </w:footnote>
  <w:footnote w:id="12">
    <w:p w:rsidR="00FE56B4" w:rsidRPr="00124957" w:rsidRDefault="00FE56B4" w:rsidP="000D4FC1">
      <w:pPr>
        <w:pStyle w:val="FootnoteText"/>
      </w:pPr>
      <w:r>
        <w:rPr>
          <w:rStyle w:val="FootnoteReference"/>
        </w:rPr>
        <w:footnoteRef/>
      </w:r>
      <w:r>
        <w:t xml:space="preserve"> </w:t>
      </w:r>
      <w:r>
        <w:tab/>
      </w:r>
      <w:proofErr w:type="spellStart"/>
      <w:r>
        <w:t>Bonke</w:t>
      </w:r>
      <w:proofErr w:type="spellEnd"/>
      <w:r>
        <w:t xml:space="preserve">, J., </w:t>
      </w:r>
      <w:proofErr w:type="spellStart"/>
      <w:r>
        <w:t>Deding</w:t>
      </w:r>
      <w:proofErr w:type="spellEnd"/>
      <w:r>
        <w:t xml:space="preserve">, M. and </w:t>
      </w:r>
      <w:proofErr w:type="spellStart"/>
      <w:r>
        <w:t>Lausten</w:t>
      </w:r>
      <w:proofErr w:type="spellEnd"/>
      <w:r>
        <w:t xml:space="preserve">, M., ‘Time and Money: Substitutes in Real Terms and Complements in Satisfaction’, </w:t>
      </w:r>
      <w:proofErr w:type="gramStart"/>
      <w:r w:rsidRPr="00124957">
        <w:rPr>
          <w:i/>
        </w:rPr>
        <w:t>The</w:t>
      </w:r>
      <w:proofErr w:type="gramEnd"/>
      <w:r w:rsidRPr="00124957">
        <w:rPr>
          <w:i/>
        </w:rPr>
        <w:t xml:space="preserve"> Levy Economics Institute</w:t>
      </w:r>
      <w:r>
        <w:rPr>
          <w:i/>
        </w:rPr>
        <w:t xml:space="preserve"> </w:t>
      </w:r>
      <w:r w:rsidRPr="00124957">
        <w:rPr>
          <w:i/>
        </w:rPr>
        <w:t>Working Paper No. 451</w:t>
      </w:r>
      <w:r>
        <w:t xml:space="preserve">, May 2006, pp. 15-16. </w:t>
      </w:r>
      <w:proofErr w:type="spellStart"/>
      <w:proofErr w:type="gramStart"/>
      <w:r>
        <w:t>Hamermesh</w:t>
      </w:r>
      <w:proofErr w:type="spellEnd"/>
      <w:r>
        <w:t xml:space="preserve">, D., ‘Timing, togetherness and time windfalls’, </w:t>
      </w:r>
      <w:r>
        <w:rPr>
          <w:i/>
        </w:rPr>
        <w:t>Journal of Population Economics</w:t>
      </w:r>
      <w:r>
        <w:t>, vol. 15, 2002, p. 621.</w:t>
      </w:r>
      <w:proofErr w:type="gramEnd"/>
      <w:r>
        <w:t xml:space="preserve"> </w:t>
      </w:r>
      <w:proofErr w:type="spellStart"/>
      <w:r>
        <w:t>Merz</w:t>
      </w:r>
      <w:proofErr w:type="spellEnd"/>
      <w:r>
        <w:t xml:space="preserve">, J. and </w:t>
      </w:r>
      <w:proofErr w:type="spellStart"/>
      <w:r>
        <w:t>Osberg</w:t>
      </w:r>
      <w:proofErr w:type="spellEnd"/>
      <w:r>
        <w:t xml:space="preserve">, L., </w:t>
      </w:r>
      <w:proofErr w:type="spellStart"/>
      <w:proofErr w:type="gramStart"/>
      <w:r>
        <w:t>op.cit</w:t>
      </w:r>
      <w:proofErr w:type="spellEnd"/>
      <w:r>
        <w:t>.,</w:t>
      </w:r>
      <w:proofErr w:type="gramEnd"/>
      <w:r>
        <w:t xml:space="preserve"> p. 1.</w:t>
      </w:r>
    </w:p>
  </w:footnote>
  <w:footnote w:id="13">
    <w:p w:rsidR="00FE56B4" w:rsidRPr="00A14E82" w:rsidRDefault="00FE56B4" w:rsidP="000D4FC1">
      <w:pPr>
        <w:pStyle w:val="FootnoteText"/>
      </w:pPr>
      <w:r>
        <w:rPr>
          <w:rStyle w:val="FootnoteReference"/>
        </w:rPr>
        <w:footnoteRef/>
      </w:r>
      <w:r>
        <w:t xml:space="preserve"> </w:t>
      </w:r>
      <w:r>
        <w:tab/>
      </w:r>
      <w:proofErr w:type="spellStart"/>
      <w:r>
        <w:t>Cairncross</w:t>
      </w:r>
      <w:proofErr w:type="spellEnd"/>
      <w:r>
        <w:t>, G. and Waller, I., ‘Not Taking Annual Leave: What Could it cost Australia?</w:t>
      </w:r>
      <w:proofErr w:type="gramStart"/>
      <w:r>
        <w:t>’,</w:t>
      </w:r>
      <w:proofErr w:type="gramEnd"/>
      <w:r>
        <w:t xml:space="preserve"> </w:t>
      </w:r>
      <w:r>
        <w:rPr>
          <w:i/>
        </w:rPr>
        <w:t>Journal of Economic and Social Policy</w:t>
      </w:r>
      <w:r w:rsidRPr="00A14E82">
        <w:t>, v</w:t>
      </w:r>
      <w:r>
        <w:t>ol. 9, no</w:t>
      </w:r>
      <w:r w:rsidRPr="00A14E82">
        <w:t>. 1, Summer 2004</w:t>
      </w:r>
      <w:r>
        <w:t xml:space="preserve">, </w:t>
      </w:r>
      <w:r w:rsidRPr="00A14E82">
        <w:t>pp. 43-59</w:t>
      </w:r>
      <w:r>
        <w:t xml:space="preserve">. </w:t>
      </w:r>
      <w:proofErr w:type="spellStart"/>
      <w:r>
        <w:t>Merz</w:t>
      </w:r>
      <w:proofErr w:type="spellEnd"/>
      <w:r>
        <w:t xml:space="preserve">, J. and </w:t>
      </w:r>
      <w:proofErr w:type="spellStart"/>
      <w:r>
        <w:t>Osberg</w:t>
      </w:r>
      <w:proofErr w:type="spellEnd"/>
      <w:r>
        <w:t xml:space="preserve">, L., </w:t>
      </w:r>
      <w:proofErr w:type="spellStart"/>
      <w:proofErr w:type="gramStart"/>
      <w:r>
        <w:t>op.cit</w:t>
      </w:r>
      <w:proofErr w:type="spellEnd"/>
      <w:r>
        <w:t>.,</w:t>
      </w:r>
      <w:proofErr w:type="gramEnd"/>
      <w:r>
        <w:t xml:space="preserve"> p.19. Putnam, R., ‘Bowling Alone: America’s Declining Social Capital’, </w:t>
      </w:r>
      <w:r>
        <w:rPr>
          <w:i/>
        </w:rPr>
        <w:t>Journal of Democracy</w:t>
      </w:r>
      <w:r>
        <w:t>, vol. 6, no. 1, 1995, pp. 65-66.</w:t>
      </w:r>
    </w:p>
  </w:footnote>
  <w:footnote w:id="14">
    <w:p w:rsidR="00FE56B4" w:rsidRDefault="00FE56B4" w:rsidP="000D4FC1">
      <w:pPr>
        <w:pStyle w:val="FootnoteText"/>
      </w:pPr>
      <w:r>
        <w:rPr>
          <w:rStyle w:val="FootnoteReference"/>
        </w:rPr>
        <w:footnoteRef/>
      </w:r>
      <w:r>
        <w:t xml:space="preserve"> </w:t>
      </w:r>
      <w:r>
        <w:tab/>
        <w:t xml:space="preserve">Gilbert, D. and Abdullah, J., ‘A Study on the Impact of the Expectation of a Holiday on an Individual’s Sense of Well-being’, </w:t>
      </w:r>
      <w:r>
        <w:rPr>
          <w:i/>
        </w:rPr>
        <w:t>Journal of Vacation Marketing</w:t>
      </w:r>
      <w:r>
        <w:t>, vol. 8, no. 4, 2002, p. 353.</w:t>
      </w:r>
    </w:p>
  </w:footnote>
  <w:footnote w:id="15">
    <w:p w:rsidR="00FE56B4" w:rsidRDefault="00FE56B4">
      <w:pPr>
        <w:pStyle w:val="FootnoteText"/>
      </w:pPr>
      <w:r>
        <w:rPr>
          <w:rStyle w:val="FootnoteReference"/>
        </w:rPr>
        <w:footnoteRef/>
      </w:r>
      <w:r>
        <w:t xml:space="preserve"> </w:t>
      </w:r>
      <w:r>
        <w:tab/>
      </w:r>
      <w:r w:rsidRPr="00D07DF1">
        <w:t>Brown</w:t>
      </w:r>
      <w:r>
        <w:t>, E.</w:t>
      </w:r>
      <w:r w:rsidRPr="00D07DF1">
        <w:t xml:space="preserve">, 'Assessing the value of volunteer activity', </w:t>
      </w:r>
      <w:proofErr w:type="spellStart"/>
      <w:r w:rsidRPr="00D07DF1">
        <w:t>Nonprofit</w:t>
      </w:r>
      <w:proofErr w:type="spellEnd"/>
      <w:r w:rsidRPr="00D07DF1">
        <w:t xml:space="preserve"> and Voluntary Sector Quarterly, </w:t>
      </w:r>
      <w:proofErr w:type="spellStart"/>
      <w:r w:rsidRPr="00D07DF1">
        <w:t>Vol</w:t>
      </w:r>
      <w:proofErr w:type="spellEnd"/>
      <w:r w:rsidRPr="00D07DF1">
        <w:t xml:space="preserve"> 28, Issue 3, 1999, p</w:t>
      </w:r>
      <w:r>
        <w:t>.</w:t>
      </w:r>
      <w:r w:rsidRPr="00D07DF1">
        <w:t xml:space="preserve"> 11.</w:t>
      </w:r>
    </w:p>
  </w:footnote>
  <w:footnote w:id="16">
    <w:p w:rsidR="00FE56B4" w:rsidRDefault="00FE56B4" w:rsidP="00FB1F68">
      <w:pPr>
        <w:pStyle w:val="FootnoteText"/>
      </w:pPr>
      <w:r>
        <w:rPr>
          <w:rStyle w:val="FootnoteReference"/>
        </w:rPr>
        <w:footnoteRef/>
      </w:r>
      <w:r>
        <w:t xml:space="preserve"> </w:t>
      </w:r>
      <w:r>
        <w:tab/>
        <w:t xml:space="preserve">The Commonwealth Office of Best Practice Regulation’s (OBPR) Regulatory Burden Measurement Framework suggests using the average hourly wage of $27 per hour: Department of the Prime Minister and Cabinet, </w:t>
      </w:r>
      <w:r w:rsidRPr="00017DFD">
        <w:rPr>
          <w:i/>
        </w:rPr>
        <w:t>Office of Best Practice Regulation</w:t>
      </w:r>
      <w:r>
        <w:t>, ‘Regulatory Burden Measurement Framework’, July 2014.</w:t>
      </w:r>
    </w:p>
  </w:footnote>
  <w:footnote w:id="17">
    <w:p w:rsidR="00FE56B4" w:rsidRDefault="00FE56B4">
      <w:pPr>
        <w:pStyle w:val="FootnoteText"/>
      </w:pPr>
      <w:r>
        <w:rPr>
          <w:rStyle w:val="FootnoteReference"/>
        </w:rPr>
        <w:footnoteRef/>
      </w:r>
      <w:r>
        <w:t xml:space="preserve"> </w:t>
      </w:r>
      <w:r>
        <w:tab/>
      </w:r>
      <w:proofErr w:type="gramStart"/>
      <w:r>
        <w:t xml:space="preserve">Based on the Commonwealth Office of Best Practice Regulation’s suggested average hourly wage of $27 per hour: Department of the Prime Minister and Cabinet, </w:t>
      </w:r>
      <w:r w:rsidRPr="00017DFD">
        <w:rPr>
          <w:i/>
        </w:rPr>
        <w:t>Office of Best Practice Regulation</w:t>
      </w:r>
      <w:r>
        <w:t>, ‘Regulatory Burden Measurement Framework’, July 2014.</w:t>
      </w:r>
      <w:proofErr w:type="gramEnd"/>
    </w:p>
  </w:footnote>
  <w:footnote w:id="18">
    <w:p w:rsidR="00FE56B4" w:rsidRDefault="00FE56B4">
      <w:pPr>
        <w:pStyle w:val="FootnoteText"/>
      </w:pPr>
      <w:r>
        <w:rPr>
          <w:rStyle w:val="FootnoteReference"/>
        </w:rPr>
        <w:footnoteRef/>
      </w:r>
      <w:r>
        <w:t xml:space="preserve"> </w:t>
      </w:r>
      <w:r>
        <w:tab/>
      </w:r>
      <w:proofErr w:type="spellStart"/>
      <w:r>
        <w:t>Bonke</w:t>
      </w:r>
      <w:proofErr w:type="spellEnd"/>
      <w:r>
        <w:t xml:space="preserve">, J., </w:t>
      </w:r>
      <w:proofErr w:type="spellStart"/>
      <w:r>
        <w:t>Deding</w:t>
      </w:r>
      <w:proofErr w:type="spellEnd"/>
      <w:r>
        <w:t xml:space="preserve">, M. and </w:t>
      </w:r>
      <w:proofErr w:type="spellStart"/>
      <w:r>
        <w:t>Lausten</w:t>
      </w:r>
      <w:proofErr w:type="spellEnd"/>
      <w:r>
        <w:t xml:space="preserve">, M., ‘Time and Money: Substitutes in Real Terms and Complements in Satisfaction’, </w:t>
      </w:r>
      <w:proofErr w:type="gramStart"/>
      <w:r w:rsidRPr="00124957">
        <w:rPr>
          <w:i/>
        </w:rPr>
        <w:t>The</w:t>
      </w:r>
      <w:proofErr w:type="gramEnd"/>
      <w:r w:rsidRPr="00124957">
        <w:rPr>
          <w:i/>
        </w:rPr>
        <w:t xml:space="preserve"> Levy Economics Institute</w:t>
      </w:r>
      <w:r>
        <w:rPr>
          <w:i/>
        </w:rPr>
        <w:t xml:space="preserve"> </w:t>
      </w:r>
      <w:r w:rsidRPr="00124957">
        <w:rPr>
          <w:i/>
        </w:rPr>
        <w:t>Working Paper No. 451</w:t>
      </w:r>
      <w:r>
        <w:t xml:space="preserve">, May 2006, pp. 15-16. D </w:t>
      </w:r>
      <w:proofErr w:type="spellStart"/>
      <w:r>
        <w:t>Hamermesh</w:t>
      </w:r>
      <w:proofErr w:type="spellEnd"/>
      <w:r>
        <w:t xml:space="preserve">, ‘Timing, togetherness and time windfalls’, </w:t>
      </w:r>
      <w:r>
        <w:rPr>
          <w:i/>
        </w:rPr>
        <w:t>Journal of Population Economics</w:t>
      </w:r>
      <w:r>
        <w:t xml:space="preserve">, vol. 15, 2002, p. 621. </w:t>
      </w:r>
      <w:proofErr w:type="spellStart"/>
      <w:r>
        <w:t>Merz</w:t>
      </w:r>
      <w:proofErr w:type="spellEnd"/>
      <w:r>
        <w:t xml:space="preserve">, J. and </w:t>
      </w:r>
      <w:proofErr w:type="spellStart"/>
      <w:r>
        <w:t>Osberg</w:t>
      </w:r>
      <w:proofErr w:type="spellEnd"/>
      <w:r>
        <w:t>, L., ‘Keeping in Touch: A Benefit of Public Holidays’,</w:t>
      </w:r>
      <w:r w:rsidRPr="00E66E62">
        <w:rPr>
          <w:i/>
        </w:rPr>
        <w:t xml:space="preserve"> Institute for the Study of </w:t>
      </w:r>
      <w:proofErr w:type="spellStart"/>
      <w:r w:rsidRPr="00E66E62">
        <w:rPr>
          <w:i/>
        </w:rPr>
        <w:t>Labor</w:t>
      </w:r>
      <w:proofErr w:type="spellEnd"/>
      <w:r w:rsidRPr="00E66E62">
        <w:rPr>
          <w:i/>
        </w:rPr>
        <w:t xml:space="preserve"> Discussion Paper No. 2089</w:t>
      </w:r>
      <w:r>
        <w:t>, April 2006, p. 1.</w:t>
      </w:r>
    </w:p>
  </w:footnote>
  <w:footnote w:id="19">
    <w:p w:rsidR="00FE56B4" w:rsidRDefault="00FE56B4">
      <w:pPr>
        <w:pStyle w:val="FootnoteText"/>
      </w:pPr>
      <w:r>
        <w:rPr>
          <w:rStyle w:val="FootnoteReference"/>
        </w:rPr>
        <w:footnoteRef/>
      </w:r>
      <w:r>
        <w:t xml:space="preserve"> </w:t>
      </w:r>
      <w:r>
        <w:tab/>
        <w:t>Benefits to tourism operators could be tempered to some extent by any additional wage costs they incur as a result of public holiday penalty rates</w:t>
      </w:r>
    </w:p>
  </w:footnote>
  <w:footnote w:id="20">
    <w:p w:rsidR="00FE56B4" w:rsidRDefault="00FE56B4">
      <w:pPr>
        <w:pStyle w:val="FootnoteText"/>
      </w:pPr>
      <w:r>
        <w:rPr>
          <w:rStyle w:val="FootnoteReference"/>
        </w:rPr>
        <w:footnoteRef/>
      </w:r>
      <w:r>
        <w:t xml:space="preserve"> </w:t>
      </w:r>
      <w:r>
        <w:tab/>
        <w:t xml:space="preserve">PwC, ‘Estimation of the economic contribution to the Tasmanian economy: Hawthorn Football Club games in Launceston in 2014’, November 2014. </w:t>
      </w:r>
    </w:p>
  </w:footnote>
  <w:footnote w:id="21">
    <w:p w:rsidR="00FE56B4" w:rsidRDefault="00FE56B4">
      <w:pPr>
        <w:pStyle w:val="FootnoteText"/>
      </w:pPr>
      <w:r>
        <w:rPr>
          <w:rStyle w:val="FootnoteReference"/>
        </w:rPr>
        <w:footnoteRef/>
      </w:r>
      <w:r>
        <w:t xml:space="preserve"> </w:t>
      </w:r>
      <w:r>
        <w:tab/>
      </w:r>
      <w:proofErr w:type="gramStart"/>
      <w:r>
        <w:t>Ernst &amp; Young, ‘The economic impact of the 2011 Formula 1 Australian Grand Prix’, July 2011.</w:t>
      </w:r>
      <w:proofErr w:type="gramEnd"/>
      <w:r>
        <w:t xml:space="preserve"> </w:t>
      </w:r>
      <w:proofErr w:type="gramStart"/>
      <w:r>
        <w:t>Prepared on behalf of Tourism Victoria.</w:t>
      </w:r>
      <w:proofErr w:type="gramEnd"/>
    </w:p>
  </w:footnote>
  <w:footnote w:id="22">
    <w:p w:rsidR="00FE56B4" w:rsidRDefault="00FE56B4">
      <w:pPr>
        <w:pStyle w:val="FootnoteText"/>
      </w:pPr>
      <w:r>
        <w:rPr>
          <w:rStyle w:val="FootnoteReference"/>
        </w:rPr>
        <w:footnoteRef/>
      </w:r>
      <w:r>
        <w:t xml:space="preserve"> </w:t>
      </w:r>
      <w:r>
        <w:tab/>
      </w:r>
      <w:r w:rsidRPr="00CF2AB8">
        <w:t xml:space="preserve">Victorian Government media release, the Hon John </w:t>
      </w:r>
      <w:proofErr w:type="spellStart"/>
      <w:r w:rsidRPr="00CF2AB8">
        <w:t>Eren</w:t>
      </w:r>
      <w:proofErr w:type="spellEnd"/>
      <w:r w:rsidRPr="00CF2AB8">
        <w:t xml:space="preserve"> MP, 'Melbourne Cup Carnival pays tourism dividends</w:t>
      </w:r>
      <w:r>
        <w:t>’</w:t>
      </w:r>
      <w:r w:rsidRPr="00CF2AB8">
        <w:t>, 19 March 2015</w:t>
      </w:r>
      <w:r>
        <w:t>.</w:t>
      </w:r>
    </w:p>
  </w:footnote>
  <w:footnote w:id="23">
    <w:p w:rsidR="00FE56B4" w:rsidRPr="006646EE" w:rsidRDefault="00FE56B4" w:rsidP="000123EA">
      <w:pPr>
        <w:pStyle w:val="FootnoteText"/>
      </w:pPr>
      <w:r>
        <w:rPr>
          <w:rStyle w:val="FootnoteReference"/>
        </w:rPr>
        <w:footnoteRef/>
      </w:r>
      <w:r>
        <w:t xml:space="preserve"> </w:t>
      </w:r>
      <w:r>
        <w:tab/>
      </w:r>
      <w:proofErr w:type="gramStart"/>
      <w:r>
        <w:t>Thomson, M, ‘New route announced for Grand Final Parade’, 13 May 2015.</w:t>
      </w:r>
      <w:proofErr w:type="gramEnd"/>
      <w:r>
        <w:t xml:space="preserve"> </w:t>
      </w:r>
      <w:proofErr w:type="gramStart"/>
      <w:r>
        <w:t xml:space="preserve">Available from </w:t>
      </w:r>
      <w:r w:rsidRPr="00615923">
        <w:t>http://www.afl.com.au/news/2015-05-13/new-route-announced-for-grand-final-parade</w:t>
      </w:r>
      <w:r>
        <w:t>.</w:t>
      </w:r>
      <w:proofErr w:type="gramEnd"/>
      <w:r w:rsidDel="00664450">
        <w:t xml:space="preserve"> </w:t>
      </w:r>
    </w:p>
  </w:footnote>
  <w:footnote w:id="24">
    <w:p w:rsidR="00FE56B4" w:rsidRDefault="00FE56B4">
      <w:pPr>
        <w:pStyle w:val="FootnoteText"/>
      </w:pPr>
      <w:r>
        <w:rPr>
          <w:rStyle w:val="FootnoteReference"/>
        </w:rPr>
        <w:footnoteRef/>
      </w:r>
      <w:r>
        <w:t xml:space="preserve"> </w:t>
      </w:r>
      <w:r>
        <w:tab/>
        <w:t>Wilson, C. ‘AFL may move grand final parade’</w:t>
      </w:r>
      <w:proofErr w:type="gramStart"/>
      <w:r>
        <w:t xml:space="preserve">,  </w:t>
      </w:r>
      <w:r>
        <w:rPr>
          <w:i/>
        </w:rPr>
        <w:t>The</w:t>
      </w:r>
      <w:proofErr w:type="gramEnd"/>
      <w:r>
        <w:rPr>
          <w:i/>
        </w:rPr>
        <w:t xml:space="preserve"> Age</w:t>
      </w:r>
      <w:r>
        <w:t>, April 22 2015.</w:t>
      </w:r>
    </w:p>
  </w:footnote>
  <w:footnote w:id="25">
    <w:p w:rsidR="00FE56B4" w:rsidRPr="004F2D01" w:rsidRDefault="00FE56B4" w:rsidP="00D228E4">
      <w:pPr>
        <w:pStyle w:val="FootnoteText"/>
      </w:pPr>
      <w:r>
        <w:rPr>
          <w:rStyle w:val="FootnoteReference"/>
        </w:rPr>
        <w:footnoteRef/>
      </w:r>
      <w:r>
        <w:t xml:space="preserve"> </w:t>
      </w:r>
      <w:r>
        <w:tab/>
      </w:r>
      <w:proofErr w:type="gramStart"/>
      <w:r>
        <w:t xml:space="preserve">Gower, C., ‘Long weekend a Ballarat tourism bonanza’, </w:t>
      </w:r>
      <w:r>
        <w:rPr>
          <w:i/>
        </w:rPr>
        <w:t>The Courier</w:t>
      </w:r>
      <w:r>
        <w:t>, June 11, 2013.</w:t>
      </w:r>
      <w:proofErr w:type="gramEnd"/>
      <w:r>
        <w:t xml:space="preserve"> Comments attributed to </w:t>
      </w:r>
      <w:proofErr w:type="spellStart"/>
      <w:r>
        <w:t>Sossi</w:t>
      </w:r>
      <w:proofErr w:type="spellEnd"/>
      <w:r>
        <w:t xml:space="preserve">, G., </w:t>
      </w:r>
      <w:proofErr w:type="gramStart"/>
      <w:r>
        <w:t>Chief</w:t>
      </w:r>
      <w:proofErr w:type="gramEnd"/>
      <w:r>
        <w:t xml:space="preserve"> Executive Officer of Ballarat Regional Tourism. </w:t>
      </w:r>
    </w:p>
  </w:footnote>
  <w:footnote w:id="26">
    <w:p w:rsidR="00FE56B4" w:rsidRDefault="00FE56B4">
      <w:pPr>
        <w:pStyle w:val="FootnoteText"/>
      </w:pPr>
      <w:r>
        <w:rPr>
          <w:rStyle w:val="FootnoteReference"/>
        </w:rPr>
        <w:footnoteRef/>
      </w:r>
      <w:r>
        <w:t xml:space="preserve"> </w:t>
      </w:r>
      <w:r>
        <w:tab/>
      </w:r>
      <w:proofErr w:type="gramStart"/>
      <w:r>
        <w:t>Oxford Economics, ‘An assessment of paid time off in the U.S’, February 2014.</w:t>
      </w:r>
      <w:proofErr w:type="gramEnd"/>
      <w:r>
        <w:t xml:space="preserve"> </w:t>
      </w:r>
      <w:proofErr w:type="spellStart"/>
      <w:r>
        <w:t>Stansberry</w:t>
      </w:r>
      <w:proofErr w:type="spellEnd"/>
      <w:r>
        <w:t xml:space="preserve">, G., ‘How more vacation time can increase productivity’, November 2010. Available from </w:t>
      </w:r>
      <w:r w:rsidRPr="00B51898">
        <w:t>https://www.americanexpress.com/us/small-business/openforum/articles/how-more-vacation-time-can-increase-productivity-1/</w:t>
      </w:r>
    </w:p>
  </w:footnote>
  <w:footnote w:id="27">
    <w:p w:rsidR="00FE56B4" w:rsidRDefault="00FE56B4">
      <w:pPr>
        <w:pStyle w:val="FootnoteText"/>
      </w:pPr>
      <w:r>
        <w:rPr>
          <w:rStyle w:val="FootnoteReference"/>
        </w:rPr>
        <w:footnoteRef/>
      </w:r>
      <w:r>
        <w:t xml:space="preserve"> </w:t>
      </w:r>
      <w:r>
        <w:tab/>
        <w:t>The proportion of Victorian GSP associated with ownership of dwellings is excluded from the analysis on the basis that it is unaffected by additional public holidays.</w:t>
      </w:r>
    </w:p>
  </w:footnote>
  <w:footnote w:id="28">
    <w:p w:rsidR="00FE56B4" w:rsidRDefault="00FE56B4" w:rsidP="0084248C">
      <w:pPr>
        <w:pStyle w:val="FootnoteText"/>
      </w:pPr>
      <w:r>
        <w:rPr>
          <w:rStyle w:val="FootnoteReference"/>
        </w:rPr>
        <w:footnoteRef/>
      </w:r>
      <w:r>
        <w:t xml:space="preserve"> </w:t>
      </w:r>
      <w:r>
        <w:tab/>
        <w:t>It is acknowledged that the estimates of foregone economic activity associated with each of the options could be higher where employers produce less than on similar trading days. Our analysis has provided for a range of estimates under each option considered to capture this uncertainty. For example, employers in some industries may experience reduced sales on a weekday public holiday relative to a normal trading day, while others operating on a reduced roster may also produce less than would normally be expected. Similarly, the estimated value of foregone economic activity could be lower where employers are more productive on public holidays relative to similar trading days. For instance, in some service industries such as the Accommodation and food services industry some employers may experience increased trade and hence be more productive on a public holiday relative to a similar trading day.</w:t>
      </w:r>
    </w:p>
  </w:footnote>
  <w:footnote w:id="29">
    <w:p w:rsidR="00FE56B4" w:rsidRDefault="00FE56B4" w:rsidP="00BE03AE">
      <w:pPr>
        <w:pStyle w:val="FootnoteText"/>
      </w:pPr>
      <w:r>
        <w:rPr>
          <w:rStyle w:val="FootnoteReference"/>
        </w:rPr>
        <w:footnoteRef/>
      </w:r>
      <w:r>
        <w:t xml:space="preserve"> </w:t>
      </w:r>
      <w:r>
        <w:tab/>
        <w:t>We note that this includes a proportion associated with Commonwealth and Local Government operations occurring in Victoria; we have not sought to separate the State, Local and Commonwealth Government components of these figures.</w:t>
      </w:r>
    </w:p>
  </w:footnote>
  <w:footnote w:id="30">
    <w:p w:rsidR="00FE56B4" w:rsidRDefault="00FE56B4">
      <w:pPr>
        <w:pStyle w:val="FootnoteText"/>
      </w:pPr>
      <w:r>
        <w:rPr>
          <w:rStyle w:val="FootnoteReference"/>
        </w:rPr>
        <w:footnoteRef/>
      </w:r>
      <w:r>
        <w:t xml:space="preserve"> </w:t>
      </w:r>
      <w:r>
        <w:tab/>
        <w:t xml:space="preserve">It is noted that the wage transfer estimates associated with government differ from those provided in </w:t>
      </w:r>
      <w:proofErr w:type="spellStart"/>
      <w:r>
        <w:t>Labor’s</w:t>
      </w:r>
      <w:proofErr w:type="spellEnd"/>
      <w:r>
        <w:t xml:space="preserve"> Financial Statement 2014 (LFS). The estimates provided in this analysis are inclusive of all levels of government (Federal, State and Local) and would be expected to be higher than the LFS figures which capture State Government impacts only. Additional differences between the estimates presented here and the LFS figures could arise due to the different approaches used; this RIS adopts a top-down estimation approach while the LFS figures were developed using a bottom-up approach.</w:t>
      </w:r>
    </w:p>
  </w:footnote>
  <w:footnote w:id="31">
    <w:p w:rsidR="00FE56B4" w:rsidRDefault="00FE56B4">
      <w:pPr>
        <w:pStyle w:val="FootnoteText"/>
      </w:pPr>
      <w:r>
        <w:rPr>
          <w:rStyle w:val="FootnoteReference"/>
        </w:rPr>
        <w:footnoteRef/>
      </w:r>
      <w:r>
        <w:t xml:space="preserve"> </w:t>
      </w:r>
      <w:r>
        <w:tab/>
        <w:t xml:space="preserve">This estimate is calculated on the basis of the proportions of employers in different industries remaining open on the proposed holidays along with the proportions of casual employees (both full-time and part-time) expected to be working. </w:t>
      </w:r>
    </w:p>
  </w:footnote>
  <w:footnote w:id="32">
    <w:p w:rsidR="00FE56B4" w:rsidRDefault="00FE56B4">
      <w:pPr>
        <w:pStyle w:val="FootnoteText"/>
      </w:pPr>
      <w:r>
        <w:rPr>
          <w:rStyle w:val="FootnoteReference"/>
        </w:rPr>
        <w:footnoteRef/>
      </w:r>
      <w:r>
        <w:t xml:space="preserve"> </w:t>
      </w:r>
      <w:r>
        <w:tab/>
        <w:t xml:space="preserve">This estimate is based on the number of casuals by industry and employment category (full-time and part-time) receiving an additional day off under the Government’s proposal. </w:t>
      </w:r>
      <w:r>
        <w:fldChar w:fldCharType="begin"/>
      </w:r>
      <w:r>
        <w:instrText xml:space="preserve"> REF _Ref417306653 \n \h </w:instrText>
      </w:r>
      <w:r>
        <w:fldChar w:fldCharType="separate"/>
      </w:r>
      <w:r>
        <w:t>Appendix A</w:t>
      </w:r>
      <w:r>
        <w:fldChar w:fldCharType="end"/>
      </w:r>
      <w:r>
        <w:t xml:space="preserve"> provides additional information on how the number of additional days off was estimated.</w:t>
      </w:r>
    </w:p>
  </w:footnote>
  <w:footnote w:id="33">
    <w:p w:rsidR="00FE56B4" w:rsidRDefault="00FE56B4">
      <w:pPr>
        <w:pStyle w:val="FootnoteText"/>
      </w:pPr>
      <w:r>
        <w:rPr>
          <w:rStyle w:val="FootnoteReference"/>
        </w:rPr>
        <w:footnoteRef/>
      </w:r>
      <w:r>
        <w:t xml:space="preserve"> </w:t>
      </w:r>
      <w:r>
        <w:tab/>
        <w:t>Department of Treasury and Finance Victoria, </w:t>
      </w:r>
      <w:r w:rsidRPr="00B43EA3">
        <w:rPr>
          <w:i/>
        </w:rPr>
        <w:t>Victorian Guide to Regulatio</w:t>
      </w:r>
      <w:r>
        <w:rPr>
          <w:i/>
        </w:rPr>
        <w:t xml:space="preserve">n, </w:t>
      </w:r>
      <w:r w:rsidRPr="00091AF8">
        <w:t>Mel</w:t>
      </w:r>
      <w:r>
        <w:t xml:space="preserve">bourne, December 2014. </w:t>
      </w:r>
    </w:p>
  </w:footnote>
  <w:footnote w:id="34">
    <w:p w:rsidR="00FE56B4" w:rsidRDefault="00FE56B4" w:rsidP="00BD56F8">
      <w:pPr>
        <w:pStyle w:val="FootnoteText"/>
      </w:pPr>
      <w:r>
        <w:rPr>
          <w:rStyle w:val="FootnoteReference"/>
        </w:rPr>
        <w:footnoteRef/>
      </w:r>
      <w:r>
        <w:t xml:space="preserve"> </w:t>
      </w:r>
      <w:r>
        <w:tab/>
        <w:t>Australian Hotels Association, ‘Four Year review of Hospitality Industry (General) Award 2010 (“The HIGA”) AHA Position Statement’, Updated 16 February 2015, p. 3.</w:t>
      </w:r>
    </w:p>
  </w:footnote>
  <w:footnote w:id="35">
    <w:p w:rsidR="00FE56B4" w:rsidRDefault="00FE56B4" w:rsidP="00BE03AE">
      <w:pPr>
        <w:pStyle w:val="FootnoteText"/>
      </w:pPr>
      <w:r>
        <w:rPr>
          <w:rStyle w:val="FootnoteReference"/>
        </w:rPr>
        <w:footnoteRef/>
      </w:r>
      <w:r>
        <w:t xml:space="preserve"> </w:t>
      </w:r>
      <w:r>
        <w:tab/>
        <w:t xml:space="preserve">Wilson, P., ‘The Australian sickie’, </w:t>
      </w:r>
      <w:proofErr w:type="spellStart"/>
      <w:r w:rsidRPr="00B766D2">
        <w:rPr>
          <w:i/>
        </w:rPr>
        <w:t>HRmonthly</w:t>
      </w:r>
      <w:proofErr w:type="spellEnd"/>
      <w:r>
        <w:t>, November 2012, p. 4.</w:t>
      </w:r>
    </w:p>
  </w:footnote>
  <w:footnote w:id="36">
    <w:p w:rsidR="00FE56B4" w:rsidRDefault="00FE56B4">
      <w:pPr>
        <w:pStyle w:val="FootnoteText"/>
      </w:pPr>
      <w:r>
        <w:rPr>
          <w:rStyle w:val="FootnoteReference"/>
        </w:rPr>
        <w:footnoteRef/>
      </w:r>
      <w:r>
        <w:t xml:space="preserve"> </w:t>
      </w:r>
      <w:r>
        <w:tab/>
      </w:r>
      <w:r w:rsidRPr="005A7CF8">
        <w:t>Bryson, A. and Forth, J., 'Are there day of the week productivity effects?</w:t>
      </w:r>
      <w:proofErr w:type="gramStart"/>
      <w:r w:rsidRPr="005A7CF8">
        <w:t>',</w:t>
      </w:r>
      <w:proofErr w:type="gramEnd"/>
      <w:r w:rsidRPr="005A7CF8">
        <w:t xml:space="preserve"> Manpower Human Resources Lab: The London School of Economics and Political Science, July 2007.</w:t>
      </w:r>
    </w:p>
  </w:footnote>
  <w:footnote w:id="37">
    <w:p w:rsidR="00FE56B4" w:rsidRDefault="00FE56B4">
      <w:pPr>
        <w:pStyle w:val="FootnoteText"/>
      </w:pPr>
      <w:r>
        <w:rPr>
          <w:rStyle w:val="FootnoteReference"/>
        </w:rPr>
        <w:footnoteRef/>
      </w:r>
      <w:r>
        <w:t xml:space="preserve"> </w:t>
      </w:r>
      <w:r>
        <w:tab/>
      </w:r>
      <w:proofErr w:type="gramStart"/>
      <w:r>
        <w:t>Ibid, p. 32.</w:t>
      </w:r>
      <w:proofErr w:type="gramEnd"/>
    </w:p>
  </w:footnote>
  <w:footnote w:id="38">
    <w:p w:rsidR="00FE56B4" w:rsidRDefault="00FE56B4" w:rsidP="00BE03AE">
      <w:pPr>
        <w:pStyle w:val="FootnoteText"/>
      </w:pPr>
      <w:r>
        <w:rPr>
          <w:rStyle w:val="FootnoteReference"/>
        </w:rPr>
        <w:footnoteRef/>
      </w:r>
      <w:r>
        <w:t xml:space="preserve"> </w:t>
      </w:r>
      <w:r>
        <w:tab/>
      </w:r>
      <w:proofErr w:type="gramStart"/>
      <w:r>
        <w:t xml:space="preserve">ABS 6248055002DO001_2013-14 Employment and Earnings, Public Sector, Australia, 2013-14; ABS </w:t>
      </w:r>
      <w:r w:rsidRPr="00BE37A1">
        <w:t>6291.0.55.003 Labour Force, Australia, Detailed, Quarterly</w:t>
      </w:r>
      <w:r>
        <w:t>.</w:t>
      </w:r>
      <w:proofErr w:type="gramEnd"/>
    </w:p>
  </w:footnote>
  <w:footnote w:id="39">
    <w:p w:rsidR="00FE56B4" w:rsidRDefault="00FE56B4" w:rsidP="00BE03AE">
      <w:pPr>
        <w:pStyle w:val="FootnoteText"/>
      </w:pPr>
      <w:r>
        <w:rPr>
          <w:rStyle w:val="FootnoteReference"/>
        </w:rPr>
        <w:footnoteRef/>
      </w:r>
      <w:r>
        <w:t xml:space="preserve"> </w:t>
      </w:r>
      <w:r>
        <w:tab/>
        <w:t xml:space="preserve">ABS </w:t>
      </w:r>
      <w:r w:rsidRPr="00BE37A1">
        <w:t>8165.0 Counts of Australian Businesses, including Entries and Exits, Jun</w:t>
      </w:r>
      <w:r>
        <w:t>e</w:t>
      </w:r>
      <w:r w:rsidRPr="00BE37A1">
        <w:t xml:space="preserve"> 2009 to Jun</w:t>
      </w:r>
      <w:r>
        <w:t>e</w:t>
      </w:r>
      <w:r w:rsidRPr="00BE37A1">
        <w:t xml:space="preserve"> 2013</w:t>
      </w:r>
      <w:r>
        <w:t>.</w:t>
      </w:r>
    </w:p>
  </w:footnote>
  <w:footnote w:id="40">
    <w:p w:rsidR="00FE56B4" w:rsidRDefault="00FE56B4" w:rsidP="00BE03AE">
      <w:pPr>
        <w:pStyle w:val="FootnoteText"/>
      </w:pPr>
      <w:r>
        <w:rPr>
          <w:rStyle w:val="FootnoteReference"/>
        </w:rPr>
        <w:footnoteRef/>
      </w:r>
      <w:r>
        <w:t xml:space="preserve"> </w:t>
      </w:r>
      <w:r>
        <w:tab/>
      </w:r>
      <w:proofErr w:type="gramStart"/>
      <w:r>
        <w:t>ABS 6306.0 Employee earnings and hours, Australia May 2014.</w:t>
      </w:r>
      <w:proofErr w:type="gramEnd"/>
    </w:p>
  </w:footnote>
  <w:footnote w:id="41">
    <w:p w:rsidR="00FE56B4" w:rsidRDefault="00FE56B4">
      <w:pPr>
        <w:pStyle w:val="FootnoteText"/>
      </w:pPr>
      <w:r>
        <w:rPr>
          <w:rStyle w:val="FootnoteReference"/>
        </w:rPr>
        <w:footnoteRef/>
      </w:r>
      <w:r>
        <w:t xml:space="preserve"> </w:t>
      </w:r>
      <w:r>
        <w:tab/>
        <w:t xml:space="preserve">ABS, </w:t>
      </w:r>
      <w:r w:rsidRPr="000B469B">
        <w:t>6401.0 Consumer Price Index, Australia, Mar</w:t>
      </w:r>
      <w:r>
        <w:t>ch</w:t>
      </w:r>
      <w:r w:rsidRPr="000B469B">
        <w:t xml:space="preserve"> 2015</w:t>
      </w:r>
      <w:r>
        <w:t xml:space="preserve">. </w:t>
      </w:r>
    </w:p>
  </w:footnote>
  <w:footnote w:id="42">
    <w:p w:rsidR="00FE56B4" w:rsidRDefault="00FE56B4" w:rsidP="00BE03AE">
      <w:pPr>
        <w:pStyle w:val="FootnoteText"/>
      </w:pPr>
      <w:r>
        <w:rPr>
          <w:rStyle w:val="FootnoteReference"/>
        </w:rPr>
        <w:footnoteRef/>
      </w:r>
      <w:r>
        <w:t xml:space="preserve"> </w:t>
      </w:r>
      <w:r>
        <w:tab/>
      </w:r>
      <w:proofErr w:type="gramStart"/>
      <w:r>
        <w:t>Leigh, A., ‘An economic case for more public holidays’, July 8 2006.</w:t>
      </w:r>
      <w:proofErr w:type="gramEnd"/>
      <w:r>
        <w:t xml:space="preserve"> Available from </w:t>
      </w:r>
      <w:r w:rsidRPr="00D80AE6">
        <w:t>https://previousleigh.wordpress.com/2006/07/08/an-economic-case-for-more-public-holidays/</w:t>
      </w:r>
    </w:p>
  </w:footnote>
  <w:footnote w:id="43">
    <w:p w:rsidR="00FE56B4" w:rsidRDefault="00FE56B4" w:rsidP="00BE03AE">
      <w:pPr>
        <w:pStyle w:val="FootnoteText"/>
      </w:pPr>
      <w:r>
        <w:rPr>
          <w:rStyle w:val="FootnoteReference"/>
        </w:rPr>
        <w:footnoteRef/>
      </w:r>
      <w:r>
        <w:t xml:space="preserve"> </w:t>
      </w:r>
      <w:r>
        <w:tab/>
      </w:r>
      <w:proofErr w:type="gramStart"/>
      <w:r>
        <w:t>Association of Superannuation Funds of Australia, ‘Moving the superannuation guarantee from nine per cent to 12 per cent’, May 2013.</w:t>
      </w:r>
      <w:proofErr w:type="gramEnd"/>
    </w:p>
  </w:footnote>
  <w:footnote w:id="44">
    <w:p w:rsidR="00FE56B4" w:rsidRDefault="00FE56B4" w:rsidP="00BE03AE">
      <w:pPr>
        <w:pStyle w:val="FootnoteText"/>
      </w:pPr>
      <w:r>
        <w:rPr>
          <w:rStyle w:val="FootnoteReference"/>
        </w:rPr>
        <w:footnoteRef/>
      </w:r>
      <w:r>
        <w:t xml:space="preserve"> </w:t>
      </w:r>
      <w:r>
        <w:tab/>
        <w:t>Australian Industry Group, ‘Member advice: Increase in the superannuation guarantee levy’, 2012.</w:t>
      </w:r>
    </w:p>
  </w:footnote>
  <w:footnote w:id="45">
    <w:p w:rsidR="00FE56B4" w:rsidRDefault="00FE56B4" w:rsidP="00BE03AE">
      <w:pPr>
        <w:pStyle w:val="FootnoteText"/>
      </w:pPr>
      <w:r>
        <w:rPr>
          <w:rStyle w:val="FootnoteReference"/>
        </w:rPr>
        <w:footnoteRef/>
      </w:r>
      <w:r>
        <w:t xml:space="preserve"> </w:t>
      </w:r>
      <w:r>
        <w:tab/>
      </w:r>
      <w:proofErr w:type="spellStart"/>
      <w:r>
        <w:t>Merz</w:t>
      </w:r>
      <w:proofErr w:type="spellEnd"/>
      <w:r>
        <w:t xml:space="preserve">, J. and </w:t>
      </w:r>
      <w:proofErr w:type="spellStart"/>
      <w:r>
        <w:t>Osberg</w:t>
      </w:r>
      <w:proofErr w:type="spellEnd"/>
      <w:r>
        <w:t>, L., ‘Keeping in Touch: A Benefit of Public Holidays’,</w:t>
      </w:r>
      <w:r w:rsidRPr="00E66E62">
        <w:rPr>
          <w:i/>
        </w:rPr>
        <w:t xml:space="preserve"> Institute for the Study of </w:t>
      </w:r>
      <w:proofErr w:type="spellStart"/>
      <w:r w:rsidRPr="00E66E62">
        <w:rPr>
          <w:i/>
        </w:rPr>
        <w:t>Labor</w:t>
      </w:r>
      <w:proofErr w:type="spellEnd"/>
      <w:r w:rsidRPr="00E66E62">
        <w:rPr>
          <w:i/>
        </w:rPr>
        <w:t xml:space="preserve"> Discussion Paper No. 2089</w:t>
      </w:r>
      <w:r>
        <w:t xml:space="preserve">, </w:t>
      </w:r>
      <w:proofErr w:type="gramStart"/>
      <w:r>
        <w:t>April</w:t>
      </w:r>
      <w:proofErr w:type="gramEnd"/>
      <w:r>
        <w:t xml:space="preserve"> 2006.</w:t>
      </w:r>
    </w:p>
  </w:footnote>
  <w:footnote w:id="46">
    <w:p w:rsidR="00FE56B4" w:rsidRPr="00690A45" w:rsidRDefault="00FE56B4" w:rsidP="00BE03AE">
      <w:pPr>
        <w:pStyle w:val="FootnoteText"/>
      </w:pPr>
      <w:r>
        <w:rPr>
          <w:rStyle w:val="FootnoteReference"/>
        </w:rPr>
        <w:footnoteRef/>
      </w:r>
      <w:r>
        <w:t xml:space="preserve"> </w:t>
      </w:r>
      <w:r>
        <w:tab/>
      </w:r>
      <w:proofErr w:type="spellStart"/>
      <w:r>
        <w:t>Denniss</w:t>
      </w:r>
      <w:proofErr w:type="spellEnd"/>
      <w:r>
        <w:t xml:space="preserve">, R, ‘Annual leave in Australia: An analysis of entitlements, wage and preferences’, </w:t>
      </w:r>
      <w:r>
        <w:rPr>
          <w:i/>
        </w:rPr>
        <w:t>The Australia Institute Discussion Paper No. 56</w:t>
      </w:r>
      <w:r>
        <w:t xml:space="preserve">, 2002, Canberra. Cited in </w:t>
      </w:r>
      <w:proofErr w:type="spellStart"/>
      <w:r>
        <w:t>Pocock</w:t>
      </w:r>
      <w:proofErr w:type="spellEnd"/>
      <w:r>
        <w:t xml:space="preserve">, Skinner and </w:t>
      </w:r>
      <w:proofErr w:type="spellStart"/>
      <w:r>
        <w:t>Pisaniello</w:t>
      </w:r>
      <w:proofErr w:type="spellEnd"/>
      <w:r>
        <w:t xml:space="preserve">, ‘The Australian Work and Life Index 2010’, University of South Australia, July 2010. </w:t>
      </w:r>
    </w:p>
  </w:footnote>
  <w:footnote w:id="47">
    <w:p w:rsidR="00FE56B4" w:rsidRDefault="00FE56B4" w:rsidP="00BE03AE">
      <w:pPr>
        <w:pStyle w:val="FootnoteText"/>
      </w:pPr>
      <w:r>
        <w:rPr>
          <w:rStyle w:val="FootnoteReference"/>
        </w:rPr>
        <w:footnoteRef/>
      </w:r>
      <w:r>
        <w:t xml:space="preserve"> </w:t>
      </w:r>
      <w:r>
        <w:tab/>
      </w:r>
      <w:proofErr w:type="spellStart"/>
      <w:r>
        <w:t>Pocock</w:t>
      </w:r>
      <w:proofErr w:type="spellEnd"/>
      <w:r>
        <w:t xml:space="preserve">, Skinner and </w:t>
      </w:r>
      <w:proofErr w:type="spellStart"/>
      <w:r>
        <w:t>Pisaniello</w:t>
      </w:r>
      <w:proofErr w:type="spellEnd"/>
      <w:r>
        <w:t>, ‘The Australian Work and Life Index 2010’, University of South Australia, July 2010.</w:t>
      </w:r>
    </w:p>
  </w:footnote>
  <w:footnote w:id="48">
    <w:p w:rsidR="00FE56B4" w:rsidRDefault="00FE56B4" w:rsidP="00BE03AE">
      <w:pPr>
        <w:pStyle w:val="FootnoteText"/>
      </w:pPr>
      <w:r>
        <w:rPr>
          <w:rStyle w:val="FootnoteReference"/>
        </w:rPr>
        <w:footnoteRef/>
      </w:r>
      <w:r>
        <w:t xml:space="preserve"> </w:t>
      </w:r>
      <w:r>
        <w:tab/>
      </w:r>
      <w:proofErr w:type="spellStart"/>
      <w:r>
        <w:t>Merz</w:t>
      </w:r>
      <w:proofErr w:type="spellEnd"/>
      <w:r>
        <w:t xml:space="preserve">, J. and </w:t>
      </w:r>
      <w:proofErr w:type="spellStart"/>
      <w:r>
        <w:t>Osberg</w:t>
      </w:r>
      <w:proofErr w:type="spellEnd"/>
      <w:r>
        <w:t>, L., ‘</w:t>
      </w:r>
      <w:proofErr w:type="gramStart"/>
      <w:r>
        <w:t>Keeping</w:t>
      </w:r>
      <w:proofErr w:type="gramEnd"/>
      <w:r>
        <w:t xml:space="preserve"> in Touch: A Benefit of Public Holidays’,</w:t>
      </w:r>
      <w:r w:rsidRPr="00E66E62">
        <w:rPr>
          <w:i/>
        </w:rPr>
        <w:t xml:space="preserve"> Institute for the Study of </w:t>
      </w:r>
      <w:proofErr w:type="spellStart"/>
      <w:r w:rsidRPr="00E66E62">
        <w:rPr>
          <w:i/>
        </w:rPr>
        <w:t>Labor</w:t>
      </w:r>
      <w:proofErr w:type="spellEnd"/>
      <w:r w:rsidRPr="00E66E62">
        <w:rPr>
          <w:i/>
        </w:rPr>
        <w:t xml:space="preserve"> Discussion Paper No. 2089</w:t>
      </w:r>
      <w:r>
        <w:t>, April 2006, p.18.</w:t>
      </w:r>
    </w:p>
  </w:footnote>
  <w:footnote w:id="49">
    <w:p w:rsidR="00FE56B4" w:rsidRDefault="00FE56B4" w:rsidP="00BE03AE">
      <w:pPr>
        <w:pStyle w:val="FootnoteText"/>
      </w:pPr>
      <w:r>
        <w:rPr>
          <w:rStyle w:val="FootnoteReference"/>
        </w:rPr>
        <w:footnoteRef/>
      </w:r>
      <w:r>
        <w:t xml:space="preserve"> </w:t>
      </w:r>
      <w:r>
        <w:tab/>
      </w:r>
      <w:proofErr w:type="gramStart"/>
      <w:r>
        <w:t>Ibid, p. 19.</w:t>
      </w:r>
      <w:proofErr w:type="gramEnd"/>
    </w:p>
  </w:footnote>
  <w:footnote w:id="50">
    <w:p w:rsidR="00FE56B4" w:rsidRPr="00A14E82" w:rsidRDefault="00FE56B4" w:rsidP="00BE03AE">
      <w:pPr>
        <w:pStyle w:val="FootnoteText"/>
      </w:pPr>
      <w:r>
        <w:rPr>
          <w:rStyle w:val="FootnoteReference"/>
        </w:rPr>
        <w:footnoteRef/>
      </w:r>
      <w:r>
        <w:t xml:space="preserve"> </w:t>
      </w:r>
      <w:r>
        <w:tab/>
      </w:r>
      <w:proofErr w:type="spellStart"/>
      <w:r>
        <w:t>Cairncross</w:t>
      </w:r>
      <w:proofErr w:type="spellEnd"/>
      <w:r>
        <w:t>, G. and Waller, I., ‘Not Taking Annual Leave: What Could it cost Australia?</w:t>
      </w:r>
      <w:proofErr w:type="gramStart"/>
      <w:r>
        <w:t>’,</w:t>
      </w:r>
      <w:proofErr w:type="gramEnd"/>
      <w:r>
        <w:t xml:space="preserve"> </w:t>
      </w:r>
      <w:r>
        <w:rPr>
          <w:i/>
        </w:rPr>
        <w:t>Journal of Economic and Social Policy</w:t>
      </w:r>
      <w:r w:rsidRPr="00A14E82">
        <w:t>, v</w:t>
      </w:r>
      <w:r>
        <w:t>ol. 9, no</w:t>
      </w:r>
      <w:r w:rsidRPr="00A14E82">
        <w:t>. 1, Summer 2004</w:t>
      </w:r>
      <w:r>
        <w:t xml:space="preserve">, </w:t>
      </w:r>
      <w:r w:rsidRPr="00A14E82">
        <w:t>pp. 43-59</w:t>
      </w:r>
      <w:r>
        <w:t xml:space="preserve">. </w:t>
      </w:r>
      <w:proofErr w:type="spellStart"/>
      <w:r>
        <w:t>Merz</w:t>
      </w:r>
      <w:proofErr w:type="spellEnd"/>
      <w:r>
        <w:t xml:space="preserve">, J. and </w:t>
      </w:r>
      <w:proofErr w:type="spellStart"/>
      <w:r>
        <w:t>Osberg</w:t>
      </w:r>
      <w:proofErr w:type="spellEnd"/>
      <w:r>
        <w:t xml:space="preserve">, L., </w:t>
      </w:r>
      <w:proofErr w:type="spellStart"/>
      <w:proofErr w:type="gramStart"/>
      <w:r>
        <w:t>op.cit</w:t>
      </w:r>
      <w:proofErr w:type="spellEnd"/>
      <w:r>
        <w:t>.,</w:t>
      </w:r>
      <w:proofErr w:type="gramEnd"/>
      <w:r>
        <w:t xml:space="preserve"> p.19. Putnam, R., ‘Bowling Alone: America’s Declining Social Capital’, </w:t>
      </w:r>
      <w:r>
        <w:rPr>
          <w:i/>
        </w:rPr>
        <w:t>Journal of Democracy</w:t>
      </w:r>
      <w:r>
        <w:t>, vol. 6, no. 1, 1995, pp. 65-66.</w:t>
      </w:r>
    </w:p>
  </w:footnote>
  <w:footnote w:id="51">
    <w:p w:rsidR="00FE56B4" w:rsidRDefault="00FE56B4" w:rsidP="00BE03AE">
      <w:pPr>
        <w:pStyle w:val="FootnoteText"/>
      </w:pPr>
      <w:r>
        <w:rPr>
          <w:rStyle w:val="FootnoteReference"/>
        </w:rPr>
        <w:footnoteRef/>
      </w:r>
      <w:r>
        <w:t xml:space="preserve"> </w:t>
      </w:r>
      <w:r>
        <w:tab/>
        <w:t xml:space="preserve">Gilbert D. and Abdullah, J., ‘A Study on the Impact of the Expectation of a Holiday on an Individual’s Sense of Well-being’, </w:t>
      </w:r>
      <w:r>
        <w:rPr>
          <w:i/>
        </w:rPr>
        <w:t>Journal of Vacation Marketing</w:t>
      </w:r>
      <w:r>
        <w:t>, vol. 8, no. 4, 2002, p. 353.</w:t>
      </w:r>
    </w:p>
  </w:footnote>
  <w:footnote w:id="52">
    <w:p w:rsidR="00FE56B4" w:rsidRDefault="00FE56B4" w:rsidP="00BE03AE">
      <w:pPr>
        <w:pStyle w:val="FootnoteText"/>
      </w:pPr>
      <w:r>
        <w:rPr>
          <w:rStyle w:val="FootnoteReference"/>
        </w:rPr>
        <w:footnoteRef/>
      </w:r>
      <w:r>
        <w:t xml:space="preserve"> </w:t>
      </w:r>
      <w:r>
        <w:tab/>
      </w:r>
      <w:proofErr w:type="spellStart"/>
      <w:r>
        <w:t>Gans</w:t>
      </w:r>
      <w:proofErr w:type="spellEnd"/>
      <w:r>
        <w:t xml:space="preserve">, J., </w:t>
      </w:r>
      <w:proofErr w:type="gramStart"/>
      <w:r>
        <w:t>The</w:t>
      </w:r>
      <w:proofErr w:type="gramEnd"/>
      <w:r>
        <w:t xml:space="preserve"> Use and Uselessness of Public Holidays, 2006. </w:t>
      </w:r>
      <w:proofErr w:type="gramStart"/>
      <w:r>
        <w:t xml:space="preserve">Available from </w:t>
      </w:r>
      <w:hyperlink r:id="rId1" w:history="1">
        <w:r w:rsidRPr="00C873BE">
          <w:t>www.economics.com.au/?p=253</w:t>
        </w:r>
      </w:hyperlink>
      <w:r>
        <w:t>.</w:t>
      </w:r>
      <w:proofErr w:type="gramEnd"/>
      <w:r>
        <w:t xml:space="preserve"> </w:t>
      </w:r>
      <w:proofErr w:type="gramStart"/>
      <w:r>
        <w:t>Accessed on 3 April 2015.</w:t>
      </w:r>
      <w:proofErr w:type="gramEnd"/>
    </w:p>
  </w:footnote>
  <w:footnote w:id="53">
    <w:p w:rsidR="00FE56B4" w:rsidRDefault="00FE56B4" w:rsidP="00BE03AE">
      <w:pPr>
        <w:pStyle w:val="FootnoteText"/>
      </w:pPr>
      <w:r>
        <w:rPr>
          <w:rStyle w:val="FootnoteReference"/>
        </w:rPr>
        <w:footnoteRef/>
      </w:r>
      <w:r>
        <w:t xml:space="preserve"> </w:t>
      </w:r>
      <w:r>
        <w:tab/>
        <w:t>Ibid.</w:t>
      </w:r>
    </w:p>
  </w:footnote>
  <w:footnote w:id="54">
    <w:p w:rsidR="00FE56B4" w:rsidRDefault="00FE56B4" w:rsidP="00BE03AE">
      <w:pPr>
        <w:pStyle w:val="FootnoteText"/>
      </w:pPr>
      <w:r>
        <w:rPr>
          <w:rStyle w:val="FootnoteReference"/>
        </w:rPr>
        <w:footnoteRef/>
      </w:r>
      <w:r>
        <w:t xml:space="preserve"> </w:t>
      </w:r>
      <w:r>
        <w:tab/>
      </w:r>
      <w:proofErr w:type="gramStart"/>
      <w:r>
        <w:t>Oxford Economics, ‘An assessment of paid time off in the U.S’, February 2014.</w:t>
      </w:r>
      <w:proofErr w:type="gramEnd"/>
      <w:r>
        <w:t xml:space="preserve"> </w:t>
      </w:r>
    </w:p>
  </w:footnote>
  <w:footnote w:id="55">
    <w:p w:rsidR="00FE56B4" w:rsidRDefault="00FE56B4" w:rsidP="00BE03AE">
      <w:pPr>
        <w:pStyle w:val="FootnoteText"/>
      </w:pPr>
      <w:r>
        <w:rPr>
          <w:rStyle w:val="FootnoteReference"/>
        </w:rPr>
        <w:footnoteRef/>
      </w:r>
      <w:r>
        <w:t xml:space="preserve"> </w:t>
      </w:r>
      <w:r>
        <w:tab/>
      </w:r>
      <w:proofErr w:type="spellStart"/>
      <w:r>
        <w:t>Stansberry</w:t>
      </w:r>
      <w:proofErr w:type="spellEnd"/>
      <w:r>
        <w:t xml:space="preserve">, G., ‘How more vacation time can increase productivity’, November 2010. Available from </w:t>
      </w:r>
      <w:r w:rsidRPr="00B51898">
        <w:t>https://www.americanexpress.com/us/small-business/openforum/articles/how-more-vacation-time-can-increase-productivity-1/</w:t>
      </w:r>
    </w:p>
  </w:footnote>
  <w:footnote w:id="56">
    <w:p w:rsidR="00FE56B4" w:rsidRDefault="00FE56B4" w:rsidP="00BE03AE">
      <w:pPr>
        <w:pStyle w:val="FootnoteText"/>
      </w:pPr>
      <w:r>
        <w:rPr>
          <w:rStyle w:val="FootnoteReference"/>
        </w:rPr>
        <w:footnoteRef/>
      </w:r>
      <w:r>
        <w:t xml:space="preserve"> </w:t>
      </w:r>
      <w:r>
        <w:tab/>
        <w:t xml:space="preserve">Wilson, P., ‘The Australian sickie’, </w:t>
      </w:r>
      <w:proofErr w:type="spellStart"/>
      <w:r w:rsidRPr="00B766D2">
        <w:rPr>
          <w:i/>
        </w:rPr>
        <w:t>HRmonthly</w:t>
      </w:r>
      <w:proofErr w:type="spellEnd"/>
      <w:r>
        <w:t>, November 2012, p. 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6B4" w:rsidRPr="008F0566" w:rsidRDefault="00FE56B4" w:rsidP="008F0566">
    <w:pPr>
      <w:pStyle w:val="Header"/>
    </w:pPr>
    <w:r>
      <w:rPr>
        <w:noProof/>
        <w:snapToGrid/>
        <w:lang w:eastAsia="en-AU"/>
      </w:rPr>
      <mc:AlternateContent>
        <mc:Choice Requires="wpg">
          <w:drawing>
            <wp:anchor distT="0" distB="0" distL="114300" distR="114300" simplePos="0" relativeHeight="251656192" behindDoc="0" locked="0" layoutInCell="1" allowOverlap="1" wp14:anchorId="02831BB3" wp14:editId="7ACA5FFD">
              <wp:simplePos x="0" y="0"/>
              <wp:positionH relativeFrom="page">
                <wp:posOffset>0</wp:posOffset>
              </wp:positionH>
              <wp:positionV relativeFrom="page">
                <wp:posOffset>0</wp:posOffset>
              </wp:positionV>
              <wp:extent cx="6912610" cy="10692130"/>
              <wp:effectExtent l="9525" t="9525" r="12065" b="13970"/>
              <wp:wrapNone/>
              <wp:docPr id="71" name="EvenGrid" descr="Gri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2610" cy="10692130"/>
                        <a:chOff x="0" y="0"/>
                        <a:chExt cx="10886" cy="16838"/>
                      </a:xfrm>
                    </wpg:grpSpPr>
                    <wpg:grpSp>
                      <wpg:cNvPr id="72" name="Group 2851"/>
                      <wpg:cNvGrpSpPr>
                        <a:grpSpLocks/>
                      </wpg:cNvGrpSpPr>
                      <wpg:grpSpPr bwMode="auto">
                        <a:xfrm>
                          <a:off x="1021" y="567"/>
                          <a:ext cx="9251" cy="15704"/>
                          <a:chOff x="1021" y="567"/>
                          <a:chExt cx="9251" cy="15704"/>
                        </a:xfrm>
                      </wpg:grpSpPr>
                      <wps:wsp>
                        <wps:cNvPr id="73" name="AutoShape 2852"/>
                        <wps:cNvCnPr>
                          <a:cxnSpLocks noChangeShapeType="1"/>
                        </wps:cNvCnPr>
                        <wps:spPr bwMode="auto">
                          <a:xfrm>
                            <a:off x="1021" y="567"/>
                            <a:ext cx="0" cy="15704"/>
                          </a:xfrm>
                          <a:prstGeom prst="straightConnector1">
                            <a:avLst/>
                          </a:prstGeom>
                          <a:noFill/>
                          <a:ln w="9525">
                            <a:solidFill>
                              <a:srgbClr val="002060"/>
                            </a:solidFill>
                            <a:round/>
                            <a:headEnd/>
                            <a:tailEnd/>
                          </a:ln>
                          <a:extLst>
                            <a:ext uri="{909E8E84-426E-40DD-AFC4-6F175D3DCCD1}">
                              <a14:hiddenFill xmlns:a14="http://schemas.microsoft.com/office/drawing/2010/main">
                                <a:noFill/>
                              </a14:hiddenFill>
                            </a:ext>
                          </a:extLst>
                        </wps:spPr>
                        <wps:bodyPr/>
                      </wps:wsp>
                      <wps:wsp>
                        <wps:cNvPr id="74" name="AutoShape 2853"/>
                        <wps:cNvCnPr>
                          <a:cxnSpLocks noChangeShapeType="1"/>
                        </wps:cNvCnPr>
                        <wps:spPr bwMode="auto">
                          <a:xfrm>
                            <a:off x="1862"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75" name="AutoShape 2854"/>
                        <wps:cNvCnPr>
                          <a:cxnSpLocks noChangeShapeType="1"/>
                        </wps:cNvCnPr>
                        <wps:spPr bwMode="auto">
                          <a:xfrm>
                            <a:off x="2703"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76" name="AutoShape 2855"/>
                        <wps:cNvCnPr>
                          <a:cxnSpLocks noChangeShapeType="1"/>
                        </wps:cNvCnPr>
                        <wps:spPr bwMode="auto">
                          <a:xfrm>
                            <a:off x="3544" y="567"/>
                            <a:ext cx="0" cy="15704"/>
                          </a:xfrm>
                          <a:prstGeom prst="straightConnector1">
                            <a:avLst/>
                          </a:prstGeom>
                          <a:noFill/>
                          <a:ln w="9525">
                            <a:solidFill>
                              <a:srgbClr val="002060"/>
                            </a:solidFill>
                            <a:round/>
                            <a:headEnd/>
                            <a:tailEnd/>
                          </a:ln>
                          <a:extLst>
                            <a:ext uri="{909E8E84-426E-40DD-AFC4-6F175D3DCCD1}">
                              <a14:hiddenFill xmlns:a14="http://schemas.microsoft.com/office/drawing/2010/main">
                                <a:noFill/>
                              </a14:hiddenFill>
                            </a:ext>
                          </a:extLst>
                        </wps:spPr>
                        <wps:bodyPr/>
                      </wps:wsp>
                      <wps:wsp>
                        <wps:cNvPr id="77" name="AutoShape 2856"/>
                        <wps:cNvCnPr>
                          <a:cxnSpLocks noChangeShapeType="1"/>
                        </wps:cNvCnPr>
                        <wps:spPr bwMode="auto">
                          <a:xfrm>
                            <a:off x="4385"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78" name="AutoShape 2857"/>
                        <wps:cNvCnPr>
                          <a:cxnSpLocks noChangeShapeType="1"/>
                        </wps:cNvCnPr>
                        <wps:spPr bwMode="auto">
                          <a:xfrm>
                            <a:off x="5226"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79" name="AutoShape 2858"/>
                        <wps:cNvCnPr>
                          <a:cxnSpLocks noChangeShapeType="1"/>
                        </wps:cNvCnPr>
                        <wps:spPr bwMode="auto">
                          <a:xfrm>
                            <a:off x="6067" y="567"/>
                            <a:ext cx="0" cy="15704"/>
                          </a:xfrm>
                          <a:prstGeom prst="straightConnector1">
                            <a:avLst/>
                          </a:prstGeom>
                          <a:noFill/>
                          <a:ln w="9525">
                            <a:solidFill>
                              <a:srgbClr val="002060"/>
                            </a:solidFill>
                            <a:round/>
                            <a:headEnd/>
                            <a:tailEnd/>
                          </a:ln>
                          <a:extLst>
                            <a:ext uri="{909E8E84-426E-40DD-AFC4-6F175D3DCCD1}">
                              <a14:hiddenFill xmlns:a14="http://schemas.microsoft.com/office/drawing/2010/main">
                                <a:noFill/>
                              </a14:hiddenFill>
                            </a:ext>
                          </a:extLst>
                        </wps:spPr>
                        <wps:bodyPr/>
                      </wps:wsp>
                      <wps:wsp>
                        <wps:cNvPr id="80" name="AutoShape 2859"/>
                        <wps:cNvCnPr>
                          <a:cxnSpLocks noChangeShapeType="1"/>
                        </wps:cNvCnPr>
                        <wps:spPr bwMode="auto">
                          <a:xfrm>
                            <a:off x="6908"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81" name="AutoShape 2860"/>
                        <wps:cNvCnPr>
                          <a:cxnSpLocks noChangeShapeType="1"/>
                        </wps:cNvCnPr>
                        <wps:spPr bwMode="auto">
                          <a:xfrm>
                            <a:off x="7749"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82" name="AutoShape 2861"/>
                        <wps:cNvCnPr>
                          <a:cxnSpLocks noChangeShapeType="1"/>
                        </wps:cNvCnPr>
                        <wps:spPr bwMode="auto">
                          <a:xfrm>
                            <a:off x="8590" y="567"/>
                            <a:ext cx="0" cy="15704"/>
                          </a:xfrm>
                          <a:prstGeom prst="straightConnector1">
                            <a:avLst/>
                          </a:prstGeom>
                          <a:noFill/>
                          <a:ln w="9525">
                            <a:solidFill>
                              <a:srgbClr val="002060"/>
                            </a:solidFill>
                            <a:round/>
                            <a:headEnd/>
                            <a:tailEnd/>
                          </a:ln>
                          <a:extLst>
                            <a:ext uri="{909E8E84-426E-40DD-AFC4-6F175D3DCCD1}">
                              <a14:hiddenFill xmlns:a14="http://schemas.microsoft.com/office/drawing/2010/main">
                                <a:noFill/>
                              </a14:hiddenFill>
                            </a:ext>
                          </a:extLst>
                        </wps:spPr>
                        <wps:bodyPr/>
                      </wps:wsp>
                      <wps:wsp>
                        <wps:cNvPr id="83" name="AutoShape 2862"/>
                        <wps:cNvCnPr>
                          <a:cxnSpLocks noChangeShapeType="1"/>
                        </wps:cNvCnPr>
                        <wps:spPr bwMode="auto">
                          <a:xfrm>
                            <a:off x="9431"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84" name="AutoShape 2863"/>
                        <wps:cNvCnPr>
                          <a:cxnSpLocks noChangeShapeType="1"/>
                        </wps:cNvCnPr>
                        <wps:spPr bwMode="auto">
                          <a:xfrm>
                            <a:off x="10272"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g:grpSp>
                    <wps:wsp>
                      <wps:cNvPr id="85" name="AutoShape 2864"/>
                      <wps:cNvCnPr>
                        <a:cxnSpLocks noChangeShapeType="1"/>
                      </wps:cNvCnPr>
                      <wps:spPr bwMode="auto">
                        <a:xfrm>
                          <a:off x="0" y="0"/>
                          <a:ext cx="0" cy="16838"/>
                        </a:xfrm>
                        <a:prstGeom prst="straightConnector1">
                          <a:avLst/>
                        </a:prstGeom>
                        <a:noFill/>
                        <a:ln w="9525">
                          <a:solidFill>
                            <a:srgbClr val="FF66FF"/>
                          </a:solidFill>
                          <a:round/>
                          <a:headEnd/>
                          <a:tailEnd/>
                        </a:ln>
                        <a:extLst>
                          <a:ext uri="{909E8E84-426E-40DD-AFC4-6F175D3DCCD1}">
                            <a14:hiddenFill xmlns:a14="http://schemas.microsoft.com/office/drawing/2010/main">
                              <a:noFill/>
                            </a14:hiddenFill>
                          </a:ext>
                        </a:extLst>
                      </wps:spPr>
                      <wps:bodyPr/>
                    </wps:wsp>
                    <wps:wsp>
                      <wps:cNvPr id="86" name="AutoShape 2865"/>
                      <wps:cNvCnPr>
                        <a:cxnSpLocks noChangeShapeType="1"/>
                      </wps:cNvCnPr>
                      <wps:spPr bwMode="auto">
                        <a:xfrm>
                          <a:off x="794" y="0"/>
                          <a:ext cx="0" cy="16838"/>
                        </a:xfrm>
                        <a:prstGeom prst="straightConnector1">
                          <a:avLst/>
                        </a:prstGeom>
                        <a:noFill/>
                        <a:ln w="9525">
                          <a:solidFill>
                            <a:srgbClr val="FF66FF"/>
                          </a:solidFill>
                          <a:round/>
                          <a:headEnd/>
                          <a:tailEnd/>
                        </a:ln>
                        <a:extLst>
                          <a:ext uri="{909E8E84-426E-40DD-AFC4-6F175D3DCCD1}">
                            <a14:hiddenFill xmlns:a14="http://schemas.microsoft.com/office/drawing/2010/main">
                              <a:noFill/>
                            </a14:hiddenFill>
                          </a:ext>
                        </a:extLst>
                      </wps:spPr>
                      <wps:bodyPr/>
                    </wps:wsp>
                    <wpg:grpSp>
                      <wpg:cNvPr id="87" name="Group 2866"/>
                      <wpg:cNvGrpSpPr>
                        <a:grpSpLocks/>
                      </wpg:cNvGrpSpPr>
                      <wpg:grpSpPr bwMode="auto">
                        <a:xfrm>
                          <a:off x="1021" y="567"/>
                          <a:ext cx="9865" cy="15706"/>
                          <a:chOff x="907" y="567"/>
                          <a:chExt cx="9865" cy="15706"/>
                        </a:xfrm>
                      </wpg:grpSpPr>
                      <wps:wsp>
                        <wps:cNvPr id="88" name="AutoShape 2867"/>
                        <wps:cNvCnPr>
                          <a:cxnSpLocks noChangeShapeType="1"/>
                        </wps:cNvCnPr>
                        <wps:spPr bwMode="auto">
                          <a:xfrm>
                            <a:off x="907" y="16273"/>
                            <a:ext cx="9865" cy="0"/>
                          </a:xfrm>
                          <a:prstGeom prst="straightConnector1">
                            <a:avLst/>
                          </a:prstGeom>
                          <a:noFill/>
                          <a:ln w="9525">
                            <a:solidFill>
                              <a:srgbClr val="002060"/>
                            </a:solidFill>
                            <a:round/>
                            <a:headEnd/>
                            <a:tailEnd/>
                          </a:ln>
                          <a:extLst>
                            <a:ext uri="{909E8E84-426E-40DD-AFC4-6F175D3DCCD1}">
                              <a14:hiddenFill xmlns:a14="http://schemas.microsoft.com/office/drawing/2010/main">
                                <a:noFill/>
                              </a14:hiddenFill>
                            </a:ext>
                          </a:extLst>
                        </wps:spPr>
                        <wps:bodyPr/>
                      </wps:wsp>
                      <wps:wsp>
                        <wps:cNvPr id="89" name="AutoShape 2868"/>
                        <wps:cNvCnPr>
                          <a:cxnSpLocks noChangeShapeType="1"/>
                        </wps:cNvCnPr>
                        <wps:spPr bwMode="auto">
                          <a:xfrm>
                            <a:off x="907" y="14527"/>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90" name="AutoShape 2869"/>
                        <wps:cNvCnPr>
                          <a:cxnSpLocks noChangeShapeType="1"/>
                        </wps:cNvCnPr>
                        <wps:spPr bwMode="auto">
                          <a:xfrm>
                            <a:off x="907" y="567"/>
                            <a:ext cx="9865" cy="0"/>
                          </a:xfrm>
                          <a:prstGeom prst="straightConnector1">
                            <a:avLst/>
                          </a:prstGeom>
                          <a:noFill/>
                          <a:ln w="9525">
                            <a:solidFill>
                              <a:srgbClr val="002060"/>
                            </a:solidFill>
                            <a:round/>
                            <a:headEnd/>
                            <a:tailEnd/>
                          </a:ln>
                          <a:extLst>
                            <a:ext uri="{909E8E84-426E-40DD-AFC4-6F175D3DCCD1}">
                              <a14:hiddenFill xmlns:a14="http://schemas.microsoft.com/office/drawing/2010/main">
                                <a:noFill/>
                              </a14:hiddenFill>
                            </a:ext>
                          </a:extLst>
                        </wps:spPr>
                        <wps:bodyPr/>
                      </wps:wsp>
                      <wps:wsp>
                        <wps:cNvPr id="91" name="AutoShape 2870"/>
                        <wps:cNvCnPr>
                          <a:cxnSpLocks noChangeShapeType="1"/>
                        </wps:cNvCnPr>
                        <wps:spPr bwMode="auto">
                          <a:xfrm>
                            <a:off x="907" y="1439"/>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92" name="AutoShape 2871"/>
                        <wps:cNvCnPr>
                          <a:cxnSpLocks noChangeShapeType="1"/>
                        </wps:cNvCnPr>
                        <wps:spPr bwMode="auto">
                          <a:xfrm>
                            <a:off x="907" y="2312"/>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93" name="AutoShape 2872"/>
                        <wps:cNvCnPr>
                          <a:cxnSpLocks noChangeShapeType="1"/>
                        </wps:cNvCnPr>
                        <wps:spPr bwMode="auto">
                          <a:xfrm>
                            <a:off x="907" y="3184"/>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94" name="AutoShape 2873"/>
                        <wps:cNvCnPr>
                          <a:cxnSpLocks noChangeShapeType="1"/>
                        </wps:cNvCnPr>
                        <wps:spPr bwMode="auto">
                          <a:xfrm>
                            <a:off x="907" y="4057"/>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95" name="AutoShape 2874"/>
                        <wps:cNvCnPr>
                          <a:cxnSpLocks noChangeShapeType="1"/>
                        </wps:cNvCnPr>
                        <wps:spPr bwMode="auto">
                          <a:xfrm>
                            <a:off x="907" y="4929"/>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96" name="AutoShape 2875"/>
                        <wps:cNvCnPr>
                          <a:cxnSpLocks noChangeShapeType="1"/>
                        </wps:cNvCnPr>
                        <wps:spPr bwMode="auto">
                          <a:xfrm>
                            <a:off x="907" y="5802"/>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97" name="AutoShape 2876"/>
                        <wps:cNvCnPr>
                          <a:cxnSpLocks noChangeShapeType="1"/>
                        </wps:cNvCnPr>
                        <wps:spPr bwMode="auto">
                          <a:xfrm>
                            <a:off x="907" y="6674"/>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98" name="AutoShape 2877"/>
                        <wps:cNvCnPr>
                          <a:cxnSpLocks noChangeShapeType="1"/>
                        </wps:cNvCnPr>
                        <wps:spPr bwMode="auto">
                          <a:xfrm>
                            <a:off x="907" y="7547"/>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99" name="AutoShape 2878"/>
                        <wps:cNvCnPr>
                          <a:cxnSpLocks noChangeShapeType="1"/>
                        </wps:cNvCnPr>
                        <wps:spPr bwMode="auto">
                          <a:xfrm>
                            <a:off x="907" y="8420"/>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100" name="AutoShape 2879"/>
                        <wps:cNvCnPr>
                          <a:cxnSpLocks noChangeShapeType="1"/>
                        </wps:cNvCnPr>
                        <wps:spPr bwMode="auto">
                          <a:xfrm>
                            <a:off x="907" y="9292"/>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101" name="AutoShape 2880"/>
                        <wps:cNvCnPr>
                          <a:cxnSpLocks noChangeShapeType="1"/>
                        </wps:cNvCnPr>
                        <wps:spPr bwMode="auto">
                          <a:xfrm>
                            <a:off x="907" y="10165"/>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102" name="AutoShape 2881"/>
                        <wps:cNvCnPr>
                          <a:cxnSpLocks noChangeShapeType="1"/>
                        </wps:cNvCnPr>
                        <wps:spPr bwMode="auto">
                          <a:xfrm>
                            <a:off x="907" y="11037"/>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103" name="AutoShape 2882"/>
                        <wps:cNvCnPr>
                          <a:cxnSpLocks noChangeShapeType="1"/>
                        </wps:cNvCnPr>
                        <wps:spPr bwMode="auto">
                          <a:xfrm>
                            <a:off x="907" y="11910"/>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104" name="AutoShape 2883"/>
                        <wps:cNvCnPr>
                          <a:cxnSpLocks noChangeShapeType="1"/>
                        </wps:cNvCnPr>
                        <wps:spPr bwMode="auto">
                          <a:xfrm>
                            <a:off x="907" y="12782"/>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105" name="AutoShape 2884"/>
                        <wps:cNvCnPr>
                          <a:cxnSpLocks noChangeShapeType="1"/>
                        </wps:cNvCnPr>
                        <wps:spPr bwMode="auto">
                          <a:xfrm>
                            <a:off x="907" y="13655"/>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106" name="AutoShape 2885"/>
                        <wps:cNvCnPr>
                          <a:cxnSpLocks noChangeShapeType="1"/>
                        </wps:cNvCnPr>
                        <wps:spPr bwMode="auto">
                          <a:xfrm>
                            <a:off x="907" y="15400"/>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g:grpSp>
                    <wpg:grpSp>
                      <wpg:cNvPr id="107" name="Group 2886"/>
                      <wpg:cNvGrpSpPr>
                        <a:grpSpLocks/>
                      </wpg:cNvGrpSpPr>
                      <wpg:grpSpPr bwMode="auto">
                        <a:xfrm>
                          <a:off x="1633" y="567"/>
                          <a:ext cx="9251" cy="15704"/>
                          <a:chOff x="1635" y="567"/>
                          <a:chExt cx="9251" cy="15704"/>
                        </a:xfrm>
                      </wpg:grpSpPr>
                      <wps:wsp>
                        <wps:cNvPr id="108" name="AutoShape 2887"/>
                        <wps:cNvCnPr>
                          <a:cxnSpLocks noChangeShapeType="1"/>
                        </wps:cNvCnPr>
                        <wps:spPr bwMode="auto">
                          <a:xfrm>
                            <a:off x="1635"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109" name="AutoShape 2888"/>
                        <wps:cNvCnPr>
                          <a:cxnSpLocks noChangeShapeType="1"/>
                        </wps:cNvCnPr>
                        <wps:spPr bwMode="auto">
                          <a:xfrm>
                            <a:off x="2476"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110" name="AutoShape 2889"/>
                        <wps:cNvCnPr>
                          <a:cxnSpLocks noChangeShapeType="1"/>
                        </wps:cNvCnPr>
                        <wps:spPr bwMode="auto">
                          <a:xfrm>
                            <a:off x="3317" y="567"/>
                            <a:ext cx="0" cy="15704"/>
                          </a:xfrm>
                          <a:prstGeom prst="straightConnector1">
                            <a:avLst/>
                          </a:prstGeom>
                          <a:noFill/>
                          <a:ln w="9525">
                            <a:solidFill>
                              <a:srgbClr val="002060"/>
                            </a:solidFill>
                            <a:round/>
                            <a:headEnd/>
                            <a:tailEnd/>
                          </a:ln>
                          <a:extLst>
                            <a:ext uri="{909E8E84-426E-40DD-AFC4-6F175D3DCCD1}">
                              <a14:hiddenFill xmlns:a14="http://schemas.microsoft.com/office/drawing/2010/main">
                                <a:noFill/>
                              </a14:hiddenFill>
                            </a:ext>
                          </a:extLst>
                        </wps:spPr>
                        <wps:bodyPr/>
                      </wps:wsp>
                      <wps:wsp>
                        <wps:cNvPr id="111" name="AutoShape 2890"/>
                        <wps:cNvCnPr>
                          <a:cxnSpLocks noChangeShapeType="1"/>
                        </wps:cNvCnPr>
                        <wps:spPr bwMode="auto">
                          <a:xfrm>
                            <a:off x="4158"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112" name="AutoShape 2891"/>
                        <wps:cNvCnPr>
                          <a:cxnSpLocks noChangeShapeType="1"/>
                        </wps:cNvCnPr>
                        <wps:spPr bwMode="auto">
                          <a:xfrm>
                            <a:off x="4999"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113" name="AutoShape 2892"/>
                        <wps:cNvCnPr>
                          <a:cxnSpLocks noChangeShapeType="1"/>
                        </wps:cNvCnPr>
                        <wps:spPr bwMode="auto">
                          <a:xfrm>
                            <a:off x="5840" y="567"/>
                            <a:ext cx="0" cy="15704"/>
                          </a:xfrm>
                          <a:prstGeom prst="straightConnector1">
                            <a:avLst/>
                          </a:prstGeom>
                          <a:noFill/>
                          <a:ln w="9525">
                            <a:solidFill>
                              <a:srgbClr val="002060"/>
                            </a:solidFill>
                            <a:round/>
                            <a:headEnd/>
                            <a:tailEnd/>
                          </a:ln>
                          <a:extLst>
                            <a:ext uri="{909E8E84-426E-40DD-AFC4-6F175D3DCCD1}">
                              <a14:hiddenFill xmlns:a14="http://schemas.microsoft.com/office/drawing/2010/main">
                                <a:noFill/>
                              </a14:hiddenFill>
                            </a:ext>
                          </a:extLst>
                        </wps:spPr>
                        <wps:bodyPr/>
                      </wps:wsp>
                      <wps:wsp>
                        <wps:cNvPr id="114" name="AutoShape 2893"/>
                        <wps:cNvCnPr>
                          <a:cxnSpLocks noChangeShapeType="1"/>
                        </wps:cNvCnPr>
                        <wps:spPr bwMode="auto">
                          <a:xfrm>
                            <a:off x="6681"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115" name="AutoShape 2894"/>
                        <wps:cNvCnPr>
                          <a:cxnSpLocks noChangeShapeType="1"/>
                        </wps:cNvCnPr>
                        <wps:spPr bwMode="auto">
                          <a:xfrm>
                            <a:off x="7522"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116" name="AutoShape 2895"/>
                        <wps:cNvCnPr>
                          <a:cxnSpLocks noChangeShapeType="1"/>
                        </wps:cNvCnPr>
                        <wps:spPr bwMode="auto">
                          <a:xfrm>
                            <a:off x="8363" y="567"/>
                            <a:ext cx="0" cy="15704"/>
                          </a:xfrm>
                          <a:prstGeom prst="straightConnector1">
                            <a:avLst/>
                          </a:prstGeom>
                          <a:noFill/>
                          <a:ln w="9525">
                            <a:solidFill>
                              <a:srgbClr val="002060"/>
                            </a:solidFill>
                            <a:round/>
                            <a:headEnd/>
                            <a:tailEnd/>
                          </a:ln>
                          <a:extLst>
                            <a:ext uri="{909E8E84-426E-40DD-AFC4-6F175D3DCCD1}">
                              <a14:hiddenFill xmlns:a14="http://schemas.microsoft.com/office/drawing/2010/main">
                                <a:noFill/>
                              </a14:hiddenFill>
                            </a:ext>
                          </a:extLst>
                        </wps:spPr>
                        <wps:bodyPr/>
                      </wps:wsp>
                      <wps:wsp>
                        <wps:cNvPr id="117" name="AutoShape 2896"/>
                        <wps:cNvCnPr>
                          <a:cxnSpLocks noChangeShapeType="1"/>
                        </wps:cNvCnPr>
                        <wps:spPr bwMode="auto">
                          <a:xfrm>
                            <a:off x="9204"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118" name="AutoShape 2897"/>
                        <wps:cNvCnPr>
                          <a:cxnSpLocks noChangeShapeType="1"/>
                        </wps:cNvCnPr>
                        <wps:spPr bwMode="auto">
                          <a:xfrm>
                            <a:off x="10045"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119" name="AutoShape 2898"/>
                        <wps:cNvCnPr>
                          <a:cxnSpLocks noChangeShapeType="1"/>
                        </wps:cNvCnPr>
                        <wps:spPr bwMode="auto">
                          <a:xfrm>
                            <a:off x="10886" y="567"/>
                            <a:ext cx="0" cy="15704"/>
                          </a:xfrm>
                          <a:prstGeom prst="straightConnector1">
                            <a:avLst/>
                          </a:prstGeom>
                          <a:noFill/>
                          <a:ln w="9525">
                            <a:solidFill>
                              <a:srgbClr val="00206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EvenGrid" o:spid="_x0000_s1026" alt="Grid" style="position:absolute;margin-left:0;margin-top:0;width:544.3pt;height:841.9pt;z-index:251656192;mso-position-horizontal-relative:page;mso-position-vertical-relative:page" coordsize="10886,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">
              <v:group id="Group 2851" o:spid="_x0000_s1027" style="position:absolute;left:1021;top:567;width:9251;height:15704" coordorigin="1021,567" coordsize="9251,157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type id="_x0000_t32" coordsize="21600,21600" o:spt="32" o:oned="t" path="m,l21600,21600e" filled="f">
                  <v:path arrowok="t" fillok="f" o:connecttype="none"/>
                  <o:lock v:ext="edit" shapetype="t"/>
                </v:shapetype>
                <v:shape id="AutoShape 2852" o:spid="_x0000_s1028" type="#_x0000_t32" style="position:absolute;left:1021;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CW8MAAADbAAAADwAAAGRycy9kb3ducmV2LnhtbESPT2vCQBTE74LfYXkFL1I3KmhJXcW/&#10;4Klq2t4f2Wc2NPs2ZNeYfvtuQfA4zMxvmMWqs5VoqfGlYwXjUQKCOHe65ELB1+fh9Q2ED8gaK8ek&#10;4Jc8rJb93gJT7e58oTYLhYgQ9ikqMCHUqZQ+N2TRj1xNHL2rayyGKJtC6gbvEW4rOUmSmbRYclww&#10;WNPWUP6T3ayCc2vNOXzvb5OP42aY0O40y66tUoOXbv0OIlAXnuFH+6gVzKfw/yX+AL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wlvDAAAA2wAAAA8AAAAAAAAAAAAA&#10;AAAAoQIAAGRycy9kb3ducmV2LnhtbFBLBQYAAAAABAAEAPkAAACRAwAAAAA=&#10;" strokecolor="#002060"/>
                <v:shape id="AutoShape 2853" o:spid="_x0000_s1029" type="#_x0000_t32" style="position:absolute;left:1862;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9T98UAAADbAAAADwAAAGRycy9kb3ducmV2LnhtbESPQWvCQBSE74L/YXlCb3UTKa2kriKi&#10;UNpLjZG2t0f2mQSzb8PuVmN/fVcQPA4z8w0zW/SmFSdyvrGsIB0nIIhLqxuuFBS7zeMUhA/IGlvL&#10;pOBCHhbz4WCGmbZn3tIpD5WIEPYZKqhD6DIpfVmTQT+2HXH0DtYZDFG6SmqH5wg3rZwkybM02HBc&#10;qLGjVU3lMf81Cj7ovUgvX3b9893+5Z+H1Qb3LlXqYdQvX0EE6sM9fGu/aQUvT3D9En+AnP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49T98UAAADbAAAADwAAAAAAAAAA&#10;AAAAAAChAgAAZHJzL2Rvd25yZXYueG1sUEsFBgAAAAAEAAQA+QAAAJMDAAAAAA==&#10;" strokecolor="#00b0f0"/>
                <v:shape id="AutoShape 2854" o:spid="_x0000_s1030" type="#_x0000_t32" style="position:absolute;left:2703;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P2bMUAAADbAAAADwAAAGRycy9kb3ducmV2LnhtbESPQWvCQBSE74L/YXlCb3UToa2kriKi&#10;UNpLjZG2t0f2mQSzb8PuVmN/fVcQPA4z8w0zW/SmFSdyvrGsIB0nIIhLqxuuFBS7zeMUhA/IGlvL&#10;pOBCHhbz4WCGmbZn3tIpD5WIEPYZKqhD6DIpfVmTQT+2HXH0DtYZDFG6SmqH5wg3rZwkybM02HBc&#10;qLGjVU3lMf81Cj7ovUgvX3b9893+5Z+H1Qb3LlXqYdQvX0EE6sM9fGu/aQUvT3D9En+AnP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MP2bMUAAADbAAAADwAAAAAAAAAA&#10;AAAAAAChAgAAZHJzL2Rvd25yZXYueG1sUEsFBgAAAAAEAAQA+QAAAJMDAAAAAA==&#10;" strokecolor="#00b0f0"/>
                <v:shape id="AutoShape 2855" o:spid="_x0000_s1031" type="#_x0000_t32" style="position:absolute;left:3544;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hhw8MAAADbAAAADwAAAGRycy9kb3ducmV2LnhtbESPQWvCQBSE70L/w/IKvYhu6iGV6Cpq&#10;K3iyNur9kX1mg9m3IbvG+O/dQqHHYWa+YebL3taio9ZXjhW8jxMQxIXTFZcKTsftaArCB2SNtWNS&#10;8CAPy8XLYI6Zdnf+oS4PpYgQ9hkqMCE0mZS+MGTRj11DHL2Lay2GKNtS6hbvEW5rOUmSVFqsOC4Y&#10;bGhjqLjmN6vg0FlzCOev22S/Ww8T+vxO80un1Ntrv5qBCNSH//Bfe6cVfKTw+yX+ALl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YcPDAAAA2wAAAA8AAAAAAAAAAAAA&#10;AAAAoQIAAGRycy9kb3ducmV2LnhtbFBLBQYAAAAABAAEAPkAAACRAwAAAAA=&#10;" strokecolor="#002060"/>
                <v:shape id="AutoShape 2856" o:spid="_x0000_s1032" type="#_x0000_t32" style="position:absolute;left:4385;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3NgMUAAADbAAAADwAAAGRycy9kb3ducmV2LnhtbESPT2sCMRTE70K/Q3iF3jS7HqpsjUuR&#10;CmIv7Wppe3ts3v6hm5clibr66U1B8DjMzG+YRT6YThzJ+daygnSSgCAurW65VrDfrcdzED4ga+ws&#10;k4IzeciXD6MFZtqe+JOORahFhLDPUEETQp9J6cuGDPqJ7YmjV1lnMETpaqkdniLcdHKaJM/SYMtx&#10;ocGeVg2Vf8XBKHin7T49f9u335/uUnxUqzV+uVSpp8fh9QVEoCHcw7f2RiuYzeD/S/wBc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13NgMUAAADbAAAADwAAAAAAAAAA&#10;AAAAAAChAgAAZHJzL2Rvd25yZXYueG1sUEsFBgAAAAAEAAQA+QAAAJMDAAAAAA==&#10;" strokecolor="#00b0f0"/>
                <v:shape id="AutoShape 2857" o:spid="_x0000_s1033" type="#_x0000_t32" style="position:absolute;left:5226;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JZ8sEAAADbAAAADwAAAGRycy9kb3ducmV2LnhtbERPz2vCMBS+D/wfwhO8zbQedFSjiCiI&#10;u2ydot4ezbMtNi8liVr965fDYMeP7/ds0ZlG3Mn52rKCdJiAIC6srrlUsP/ZvH+A8AFZY2OZFDzJ&#10;w2Lee5thpu2Dv+meh1LEEPYZKqhCaDMpfVGRQT+0LXHkLtYZDBG6UmqHjxhuGjlKkrE0WHNsqLCl&#10;VUXFNb8ZBZ+026fPo12fT80r/7qsNnhwqVKDfrecggjUhX/xn3urFUzi2Pgl/gA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wlnywQAAANsAAAAPAAAAAAAAAAAAAAAA&#10;AKECAABkcnMvZG93bnJldi54bWxQSwUGAAAAAAQABAD5AAAAjwMAAAAA&#10;" strokecolor="#00b0f0"/>
                <v:shape id="AutoShape 2858" o:spid="_x0000_s1034" type="#_x0000_t32" style="position:absolute;left:6067;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f1scQAAADbAAAADwAAAGRycy9kb3ducmV2LnhtbESPS2/CMBCE70j8B2srcUHFKQegKQZR&#10;HhInHml7X8VLHDVeR7EJ4d/XlZA4jmbmG8182dlKtNT40rGCt1ECgjh3uuRCwffX7nUGwgdkjZVj&#10;UnAnD8tFvzfHVLsbn6nNQiEihH2KCkwIdSqlzw1Z9CNXE0fv4hqLIcqmkLrBW4TbSo6TZCItlhwX&#10;DNa0NpT/Zler4NRacwo/2+v4sP8cJrQ5TrJLq9TgpVt9gAjUhWf40d5rBdN3+P8Sf4B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J/WxxAAAANsAAAAPAAAAAAAAAAAA&#10;AAAAAKECAABkcnMvZG93bnJldi54bWxQSwUGAAAAAAQABAD5AAAAkgMAAAAA&#10;" strokecolor="#002060"/>
                <v:shape id="AutoShape 2859" o:spid="_x0000_s1035" type="#_x0000_t32" style="position:absolute;left:6908;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El08EAAADbAAAADwAAAGRycy9kb3ducmV2LnhtbERPTYvCMBC9C/sfwix407R7WKQaRURh&#10;cS9uVdTb0IxtsZmUJGrdX28OgsfH+57MOtOIGzlfW1aQDhMQxIXVNZcKdtvVYATCB2SNjWVS8CAP&#10;s+lHb4KZtnf+o1seShFD2GeooAqhzaT0RUUG/dC2xJE7W2cwROhKqR3eY7hp5FeSfEuDNceGClta&#10;VFRc8qtR8EvrXfo42OXp2Pznm/NihXuXKtX/7OZjEIG68Ba/3D9awSiuj1/iD5DT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YSXTwQAAANsAAAAPAAAAAAAAAAAAAAAA&#10;AKECAABkcnMvZG93bnJldi54bWxQSwUGAAAAAAQABAD5AAAAjwMAAAAA&#10;" strokecolor="#00b0f0"/>
                <v:shape id="AutoShape 2860" o:spid="_x0000_s1036" type="#_x0000_t32" style="position:absolute;left:7749;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2ASMQAAADbAAAADwAAAGRycy9kb3ducmV2LnhtbESPQWvCQBSE74L/YXmCN7NJDyLRVYoo&#10;lHqxqaK9PbLPJJh9G3a3Gvvru4WCx2FmvmEWq9604kbON5YVZEkKgri0uuFKweFzO5mB8AFZY2uZ&#10;FDzIw2o5HCww1/bOH3QrQiUihH2OCuoQulxKX9Zk0Ce2I47exTqDIUpXSe3wHuGmlS9pOpUGG44L&#10;NXa0rqm8Ft9GwY7eD9njZDdf5/an2F/WWzy6TKnxqH+dgwjUh2f4v/2mFcwy+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LYBIxAAAANsAAAAPAAAAAAAAAAAA&#10;AAAAAKECAABkcnMvZG93bnJldi54bWxQSwUGAAAAAAQABAD5AAAAkgMAAAAA&#10;" strokecolor="#00b0f0"/>
                <v:shape id="AutoShape 2861" o:spid="_x0000_s1037" type="#_x0000_t32" style="position:absolute;left:8590;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YX58MAAADbAAAADwAAAGRycy9kb3ducmV2LnhtbESPQWvCQBSE7wX/w/IEL6VumoNIdBOq&#10;VfDU2tTeH9lnNjT7NmTXGP99tyB4HGbmG2ZdjLYVA/W+cazgdZ6AIK6cbrhWcPrevyxB+ICssXVM&#10;Cm7kocgnT2vMtLvyFw1lqEWEsM9QgQmhy6T0lSGLfu464uidXW8xRNnXUvd4jXDbyjRJFtJiw3HB&#10;YEdbQ9VvebEKjoM1x/Czu6Qfh81zQu+fi/I8KDWbjm8rEIHG8Ajf2wetYJnC/5f4A2T+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WF+fDAAAA2wAAAA8AAAAAAAAAAAAA&#10;AAAAoQIAAGRycy9kb3ducmV2LnhtbFBLBQYAAAAABAAEAPkAAACRAwAAAAA=&#10;" strokecolor="#002060"/>
                <v:shape id="AutoShape 2862" o:spid="_x0000_s1038" type="#_x0000_t32" style="position:absolute;left:9431;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O7pMQAAADbAAAADwAAAGRycy9kb3ducmV2LnhtbESPQWvCQBSE70L/w/IK3nQTBZHUVYpU&#10;EL3YaGl7e2SfSWj2bdhdNfrru4LgcZiZb5jZojONOJPztWUF6TABQVxYXXOp4LBfDaYgfEDW2Fgm&#10;BVfysJi/9GaYaXvhTzrnoRQRwj5DBVUIbSalLyoy6Ie2JY7e0TqDIUpXSu3wEuGmkaMkmUiDNceF&#10;CltaVlT85SejYEubQ3r9th+/P80t3x2XK/xyqVL91+79DUSgLjzDj/ZaK5iO4f4l/gA5/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s7ukxAAAANsAAAAPAAAAAAAAAAAA&#10;AAAAAKECAABkcnMvZG93bnJldi54bWxQSwUGAAAAAAQABAD5AAAAkgMAAAAA&#10;" strokecolor="#00b0f0"/>
                <v:shape id="AutoShape 2863" o:spid="_x0000_s1039" type="#_x0000_t32" style="position:absolute;left:10272;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oj0MQAAADbAAAADwAAAGRycy9kb3ducmV2LnhtbESPQWvCQBSE70L/w/IK3nQTEZHUVYpU&#10;EL3YaGl7e2SfSWj2bdhdNfrru4LgcZiZb5jZojONOJPztWUF6TABQVxYXXOp4LBfDaYgfEDW2Fgm&#10;BVfysJi/9GaYaXvhTzrnoRQRwj5DBVUIbSalLyoy6Ie2JY7e0TqDIUpXSu3wEuGmkaMkmUiDNceF&#10;CltaVlT85SejYEubQ3r9th+/P80t3x2XK/xyqVL91+79DUSgLjzDj/ZaK5iO4f4l/gA5/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WiPQxAAAANsAAAAPAAAAAAAAAAAA&#10;AAAAAKECAABkcnMvZG93bnJldi54bWxQSwUGAAAAAAQABAD5AAAAkgMAAAAA&#10;" strokecolor="#00b0f0"/>
              </v:group>
              <v:shape id="AutoShape 2864" o:spid="_x0000_s1040" type="#_x0000_t32" style="position:absolute;width:0;height:168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i1SsUAAADbAAAADwAAAGRycy9kb3ducmV2LnhtbESPQWvCQBSE70L/w/IK3nRTQYkxG2kr&#10;RS8VqoJ4e2SfSTD7NmS3Seyv7xaEHoeZ+YZJ14OpRUetqywreJlGIIhzqysuFJyOH5MYhPPIGmvL&#10;pOBODtbZ0yjFRNuev6g7+EIECLsEFZTeN4mULi/JoJvahjh4V9sa9EG2hdQt9gFuajmLooU0WHFY&#10;KLGh95Ly2+HbKJjHn0N//Nks6/Nbt9z7ZqsvW1Zq/Dy8rkB4Gvx/+NHeaQXxHP6+hB8gs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Ti1SsUAAADbAAAADwAAAAAAAAAA&#10;AAAAAAChAgAAZHJzL2Rvd25yZXYueG1sUEsFBgAAAAAEAAQA+QAAAJMDAAAAAA==&#10;" strokecolor="#f6f"/>
              <v:shape id="AutoShape 2865" o:spid="_x0000_s1041" type="#_x0000_t32" style="position:absolute;left:794;width:0;height:168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orPcUAAADbAAAADwAAAGRycy9kb3ducmV2LnhtbESPT2vCQBTE7wW/w/IEb3XTghJjNtI/&#10;FL200CiIt0f2mQSzb0N2m0Q/vVso9DjMzG+YdDOaRvTUudqygqd5BIK4sLrmUsFh//EYg3AeWWNj&#10;mRRcycEmmzykmGg78Df1uS9FgLBLUEHlfZtI6YqKDLq5bYmDd7adQR9kV0rd4RDgppHPUbSUBmsO&#10;CxW29FZRccl/jIJF/DkO+9v7qjm+9qsv3271actKzabjyxqEp9H/h//aO60gXsLvl/ADZH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eorPcUAAADbAAAADwAAAAAAAAAA&#10;AAAAAAChAgAAZHJzL2Rvd25yZXYueG1sUEsFBgAAAAAEAAQA+QAAAJMDAAAAAA==&#10;" strokecolor="#f6f"/>
              <v:group id="Group 2866" o:spid="_x0000_s1042" style="position:absolute;left:1021;top:567;width:9865;height:15706" coordorigin="907,567" coordsize="9865,157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AutoShape 2867" o:spid="_x0000_s1043" type="#_x0000_t32" style="position:absolute;left:907;top:16273;width:98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4gDcEAAADbAAAADwAAAGRycy9kb3ducmV2LnhtbERPz2vCMBS+D/Y/hDfwMtZUD0U6o+im&#10;0NOm1d0fzWtT1ryUJtb635vDYMeP7/dqM9lOjDT41rGCeZKCIK6cbrlRcDkf3pYgfEDW2DkmBXfy&#10;sFk/P60w1+7GJxrL0IgYwj5HBSaEPpfSV4Ys+sT1xJGr3WAxRDg0Ug94i+G2k4s0zaTFlmODwZ4+&#10;DFW/5dUqOI7WHMPP/rr4KnavKX1+Z2U9KjV7mbbvIAJN4V/85y60gmUcG7/EHyD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viANwQAAANsAAAAPAAAAAAAAAAAAAAAA&#10;AKECAABkcnMvZG93bnJldi54bWxQSwUGAAAAAAQABAD5AAAAjwMAAAAA&#10;" strokecolor="#002060"/>
                <v:shape id="AutoShape 2868" o:spid="_x0000_s1044" type="#_x0000_t32" style="position:absolute;left:907;top:14527;width:98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uMTsUAAADbAAAADwAAAGRycy9kb3ducmV2LnhtbESPT2sCMRTE70K/Q3iF3jS7HopujUuR&#10;CmIv7Wppe3ts3v6hm5clibr66U1B8DjMzG+YRT6YThzJ+daygnSSgCAurW65VrDfrcczED4ga+ws&#10;k4IzeciXD6MFZtqe+JOORahFhLDPUEETQp9J6cuGDPqJ7YmjV1lnMETpaqkdniLcdHKaJM/SYMtx&#10;ocGeVg2Vf8XBKHin7T49f9u335/uUnxUqzV+uVSpp8fh9QVEoCHcw7f2RiuYzeH/S/wBc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uMTsUAAADbAAAADwAAAAAAAAAA&#10;AAAAAAChAgAAZHJzL2Rvd25yZXYueG1sUEsFBgAAAAAEAAQA+QAAAJMDAAAAAA==&#10;" strokecolor="#00b0f0"/>
                <v:shape id="AutoShape 2869" o:spid="_x0000_s1045" type="#_x0000_t32" style="position:absolute;left:907;top:567;width:98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G61sEAAADbAAAADwAAAGRycy9kb3ducmV2LnhtbERPu27CMBTdK/EP1kXqUhWnGVAJGFRo&#10;kTK1EMp+FV/iqPF1FDsP/r4eKnU8Ou/NbrKNGKjztWMFL4sEBHHpdM2Vgu/L8fkVhA/IGhvHpOBO&#10;Hnbb2cMGM+1GPtNQhErEEPYZKjAhtJmUvjRk0S9cSxy5m+sshgi7SuoOxxhuG5kmyVJarDk2GGzp&#10;YKj8KXqr4DRYcwrXjz79zPdPCb1/LYvboNTjfHpbgwg0hX/xnzvXClZxffwSf4D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EbrWwQAAANsAAAAPAAAAAAAAAAAAAAAA&#10;AKECAABkcnMvZG93bnJldi54bWxQSwUGAAAAAAQABAD5AAAAjwMAAAAA&#10;" strokecolor="#002060"/>
                <v:shape id="AutoShape 2870" o:spid="_x0000_s1046" type="#_x0000_t32" style="position:absolute;left:907;top:1439;width:98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WlcUAAADbAAAADwAAAGRycy9kb3ducmV2LnhtbESPT2sCMRTE70K/Q3gFb5rdHopujYtI&#10;hVIvdmup3h6bt39w87Ikqa799E1B8DjMzG+YRT6YTpzJ+daygnSagCAurW65VrD/3ExmIHxA1thZ&#10;JgVX8pAvH0YLzLS98Aedi1CLCGGfoYImhD6T0pcNGfRT2xNHr7LOYIjS1VI7vES46eRTkjxLgy3H&#10;hQZ7WjdUnoofo2BL7/v0+m1fj4fut9hV6w1+uVSp8eOwegERaAj38K39phXMU/j/En+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QWlcUAAADbAAAADwAAAAAAAAAA&#10;AAAAAAChAgAAZHJzL2Rvd25yZXYueG1sUEsFBgAAAAAEAAQA+QAAAJMDAAAAAA==&#10;" strokecolor="#00b0f0"/>
                <v:shape id="AutoShape 2871" o:spid="_x0000_s1047" type="#_x0000_t32" style="position:absolute;left:907;top:2312;width:98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aI4sQAAADbAAAADwAAAGRycy9kb3ducmV2LnhtbESPQWvCQBSE74L/YXmCN93Eg2jqKkUU&#10;il5sqtjeHtlnEsy+Dbtbjf313YLQ4zAz3zCLVWcacSPna8sK0nECgriwuuZSwfFjO5qB8AFZY2OZ&#10;FDzIw2rZ7y0w0/bO73TLQykihH2GCqoQ2kxKX1Rk0I9tSxy9i3UGQ5SulNrhPcJNIydJMpUGa44L&#10;Fba0rqi45t9GwZ52x/Rxtpuvz+YnP1zWWzy5VKnhoHt9ARGoC//hZ/tNK5hP4O9L/A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JojixAAAANsAAAAPAAAAAAAAAAAA&#10;AAAAAKECAABkcnMvZG93bnJldi54bWxQSwUGAAAAAAQABAD5AAAAkgMAAAAA&#10;" strokecolor="#00b0f0"/>
                <v:shape id="AutoShape 2872" o:spid="_x0000_s1048" type="#_x0000_t32" style="position:absolute;left:907;top:3184;width:98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otecUAAADbAAAADwAAAGRycy9kb3ducmV2LnhtbESPQWvCQBSE74L/YXlCb3UTC6WmriKi&#10;UNpLjZG2t0f2mQSzb8PuVmN/fVcQPA4z8w0zW/SmFSdyvrGsIB0nIIhLqxuuFBS7zeMLCB+QNbaW&#10;ScGFPCzmw8EMM23PvKVTHioRIewzVFCH0GVS+rImg35sO+LoHawzGKJ0ldQOzxFuWjlJkmdpsOG4&#10;UGNHq5rKY/5rFHzQe5Fevuz657v9yz8Pqw3uXarUw6hfvoII1Id7+NZ+0wqmT3D9En+AnP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otecUAAADbAAAADwAAAAAAAAAA&#10;AAAAAAChAgAAZHJzL2Rvd25yZXYueG1sUEsFBgAAAAAEAAQA+QAAAJMDAAAAAA==&#10;" strokecolor="#00b0f0"/>
                <v:shape id="AutoShape 2873" o:spid="_x0000_s1049" type="#_x0000_t32" style="position:absolute;left:907;top:4057;width:98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O1DcUAAADbAAAADwAAAGRycy9kb3ducmV2LnhtbESPQWvCQBSE74L/YXlCb3UTKaWmriKi&#10;UNpLjZG2t0f2mQSzb8PuVmN/fVcQPA4z8w0zW/SmFSdyvrGsIB0nIIhLqxuuFBS7zeMLCB+QNbaW&#10;ScGFPCzmw8EMM23PvKVTHioRIewzVFCH0GVS+rImg35sO+LoHawzGKJ0ldQOzxFuWjlJkmdpsOG4&#10;UGNHq5rKY/5rFHzQe5Fevuz657v9yz8Pqw3uXarUw6hfvoII1Id7+NZ+0wqmT3D9En+AnP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4O1DcUAAADbAAAADwAAAAAAAAAA&#10;AAAAAAChAgAAZHJzL2Rvd25yZXYueG1sUEsFBgAAAAAEAAQA+QAAAJMDAAAAAA==&#10;" strokecolor="#00b0f0"/>
                <v:shape id="AutoShape 2874" o:spid="_x0000_s1050" type="#_x0000_t32" style="position:absolute;left:907;top:4929;width:98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8QlsUAAADbAAAADwAAAGRycy9kb3ducmV2LnhtbESPQWvCQBSE74L/YXlCb3UToaWmriKi&#10;UNpLjZG2t0f2mQSzb8PuVmN/fVcQPA4z8w0zW/SmFSdyvrGsIB0nIIhLqxuuFBS7zeMLCB+QNbaW&#10;ScGFPCzmw8EMM23PvKVTHioRIewzVFCH0GVS+rImg35sO+LoHawzGKJ0ldQOzxFuWjlJkmdpsOG4&#10;UGNHq5rKY/5rFHzQe5Fevuz657v9yz8Pqw3uXarUw6hfvoII1Id7+NZ+0wqmT3D9En+AnP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M8QlsUAAADbAAAADwAAAAAAAAAA&#10;AAAAAAChAgAAZHJzL2Rvd25yZXYueG1sUEsFBgAAAAAEAAQA+QAAAJMDAAAAAA==&#10;" strokecolor="#00b0f0"/>
                <v:shape id="AutoShape 2875" o:spid="_x0000_s1051" type="#_x0000_t32" style="position:absolute;left:907;top:5802;width:98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2O4cUAAADbAAAADwAAAGRycy9kb3ducmV2LnhtbESPT2sCMRTE7wW/Q3hCbzW7PUi7GhcR&#10;hdJe6lZRb4/N2z+4eVmSVNd++kYo9DjMzG+YeT6YTlzI+daygnSSgCAurW65VrD72jy9gPABWWNn&#10;mRTcyEO+GD3MMdP2ylu6FKEWEcI+QwVNCH0mpS8bMugntieOXmWdwRClq6V2eI1w08nnJJlKgy3H&#10;hQZ7WjVUnotvo+CD3nfp7WDXp2P3U3xWqw3uXarU43hYzkAEGsJ/+K/9phW8TuH+Jf4A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2O4cUAAADbAAAADwAAAAAAAAAA&#10;AAAAAAChAgAAZHJzL2Rvd25yZXYueG1sUEsFBgAAAAAEAAQA+QAAAJMDAAAAAA==&#10;" strokecolor="#00b0f0"/>
                <v:shape id="AutoShape 2876" o:spid="_x0000_s1052" type="#_x0000_t32" style="position:absolute;left:907;top:6674;width:98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EresUAAADbAAAADwAAAGRycy9kb3ducmV2LnhtbESPQWvCQBSE74L/YXlCb3UTD21NXUVE&#10;obSXGiNtb4/sMwlm34bdrcb++q4geBxm5htmtuhNK07kfGNZQTpOQBCXVjdcKSh2m8cXED4ga2wt&#10;k4ILeVjMh4MZZtqeeUunPFQiQthnqKAOocuk9GVNBv3YdsTRO1hnMETpKqkdniPctHKSJE/SYMNx&#10;ocaOVjWVx/zXKPig9yK9fNn1z3f7l38eVhvcu1Sph1G/fAURqA/38K39phVMn+H6Jf4AOf8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1EresUAAADbAAAADwAAAAAAAAAA&#10;AAAAAAChAgAAZHJzL2Rvd25yZXYueG1sUEsFBgAAAAAEAAQA+QAAAJMDAAAAAA==&#10;" strokecolor="#00b0f0"/>
                <v:shape id="AutoShape 2877" o:spid="_x0000_s1053" type="#_x0000_t32" style="position:absolute;left:907;top:7547;width:98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6/CMEAAADbAAAADwAAAGRycy9kb3ducmV2LnhtbERPz2vCMBS+D/wfwhO8zbQexFWjiCiI&#10;u2ydot4ezbMtNi8liVr965fDYMeP7/ds0ZlG3Mn52rKCdJiAIC6srrlUsP/ZvE9A+ICssbFMCp7k&#10;YTHvvc0w0/bB33TPQyliCPsMFVQhtJmUvqjIoB/aljhyF+sMhghdKbXDRww3jRwlyVgarDk2VNjS&#10;qqLimt+Mgk/a7dPn0a7Pp+aVf11WGzy4VKlBv1tOQQTqwr/4z73VCj7i2Pgl/gA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zr8IwQAAANsAAAAPAAAAAAAAAAAAAAAA&#10;AKECAABkcnMvZG93bnJldi54bWxQSwUGAAAAAAQABAD5AAAAjwMAAAAA&#10;" strokecolor="#00b0f0"/>
                <v:shape id="AutoShape 2878" o:spid="_x0000_s1054" type="#_x0000_t32" style="position:absolute;left:907;top:8420;width:98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Iak8QAAADbAAAADwAAAGRycy9kb3ducmV2LnhtbESPQWvCQBSE70L/w/IK3nQTD6KpqxSp&#10;IHqx0dL29sg+k9Ds27C7avTXdwXB4zAz3zCzRWcacSbna8sK0mECgriwuuZSwWG/GkxA+ICssbFM&#10;Cq7kYTF/6c0w0/bCn3TOQykihH2GCqoQ2kxKX1Rk0A9tSxy9o3UGQ5SulNrhJcJNI0dJMpYGa44L&#10;Fba0rKj4y09GwZY2h/T6bT9+f5pbvjsuV/jlUqX6r937G4hAXXiGH+21VjCd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ghqTxAAAANsAAAAPAAAAAAAAAAAA&#10;AAAAAKECAABkcnMvZG93bnJldi54bWxQSwUGAAAAAAQABAD5AAAAkgMAAAAA&#10;" strokecolor="#00b0f0"/>
                <v:shape id="AutoShape 2879" o:spid="_x0000_s1055" type="#_x0000_t32" style="position:absolute;left:907;top:9292;width:98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rycYAAADcAAAADwAAAGRycy9kb3ducmV2LnhtbESPQWvCQBCF7wX/wzJCb3WTHkpJXUVE&#10;QerFpkrb25Adk2B2NuyuGv31nUOhtxnem/e+mc4H16kLhdh6NpBPMlDElbct1wb2n+unV1AxIVvs&#10;PJOBG0WYz0YPUyysv/IHXcpUKwnhWKCBJqW+0DpWDTmME98Ti3b0wWGSNdTaBrxKuOv0c5a9aIct&#10;S0ODPS0bqk7l2RnY0vs+v3351c93dy93x+UaDyE35nE8LN5AJRrSv/nvemMFPxN8eUYm0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8a8nGAAAA3AAAAA8AAAAAAAAA&#10;AAAAAAAAoQIAAGRycy9kb3ducmV2LnhtbFBLBQYAAAAABAAEAPkAAACUAwAAAAA=&#10;" strokecolor="#00b0f0"/>
                <v:shape id="AutoShape 2880" o:spid="_x0000_s1056" type="#_x0000_t32" style="position:absolute;left:907;top:10165;width:98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DOUsMAAADcAAAADwAAAGRycy9kb3ducmV2LnhtbERPS2sCMRC+F/wPYQreanZ7kLIaF5EK&#10;0l7s1qLehs3sAzeTJUl19dcbodDbfHzPmeeD6cSZnG8tK0gnCQji0uqWawW77/XLGwgfkDV2lknB&#10;lTzki9HTHDNtL/xF5yLUIoawz1BBE0KfSenLhgz6ie2JI1dZZzBE6GqpHV5iuOnka5JMpcGWY0OD&#10;Pa0aKk/Fr1HwSR+79Lq378dDdyu21WqNPy5Vavw8LGcgAg3hX/zn3ug4P0nh8Uy8QC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CwzlLDAAAA3AAAAA8AAAAAAAAAAAAA&#10;AAAAoQIAAGRycy9kb3ducmV2LnhtbFBLBQYAAAAABAAEAPkAAACRAwAAAAA=&#10;" strokecolor="#00b0f0"/>
                <v:shape id="AutoShape 2881" o:spid="_x0000_s1057" type="#_x0000_t32" style="position:absolute;left:907;top:11037;width:98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JQJcMAAADcAAAADwAAAGRycy9kb3ducmV2LnhtbERPS2sCMRC+C/0PYQreNLsepGyNi0iF&#10;0l7salFvw2b2QTeTJUl19dc3BcHbfHzPWeSD6cSZnG8tK0inCQji0uqWawX73WbyAsIHZI2dZVJw&#10;JQ/58mm0wEzbC3/RuQi1iCHsM1TQhNBnUvqyIYN+anviyFXWGQwRulpqh5cYbjo5S5K5NNhybGiw&#10;p3VD5U/xaxR80sc+vR7s2+nY3Ypttd7gt0uVGj8Pq1cQgYbwEN/d7zrOT2bw/0y8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iUCXDAAAA3AAAAA8AAAAAAAAAAAAA&#10;AAAAoQIAAGRycy9kb3ducmV2LnhtbFBLBQYAAAAABAAEAPkAAACRAwAAAAA=&#10;" strokecolor="#00b0f0"/>
                <v:shape id="AutoShape 2882" o:spid="_x0000_s1058" type="#_x0000_t32" style="position:absolute;left:907;top:11910;width:98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71vsMAAADcAAAADwAAAGRycy9kb3ducmV2LnhtbERPS2sCMRC+C/0PYQreNLstiGyNi0iF&#10;Ui92a6nehs3sAzeTJUl17a9vCoK3+fies8gH04kzOd9aVpBOExDEpdUt1wr2n5vJHIQPyBo7y6Tg&#10;Sh7y5cNogZm2F/6gcxFqEUPYZ6igCaHPpPRlQwb91PbEkausMxgidLXUDi8x3HTyKUlm0mDLsaHB&#10;ntYNlafixyjY0vs+vX7b1+Oh+y121XqDXy5Vavw4rF5ABBrCXXxzv+k4P3mG/2fiBX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8u9b7DAAAA3AAAAA8AAAAAAAAAAAAA&#10;AAAAoQIAAGRycy9kb3ducmV2LnhtbFBLBQYAAAAABAAEAPkAAACRAwAAAAA=&#10;" strokecolor="#00b0f0"/>
                <v:shape id="AutoShape 2883" o:spid="_x0000_s1059" type="#_x0000_t32" style="position:absolute;left:907;top:12782;width:98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dtysMAAADcAAAADwAAAGRycy9kb3ducmV2LnhtbERPS2sCMRC+C/0PYQreNLuliGyNi0iF&#10;Ui92a6nehs3sAzeTJUl17a9vCoK3+fies8gH04kzOd9aVpBOExDEpdUt1wr2n5vJHIQPyBo7y6Tg&#10;Sh7y5cNogZm2F/6gcxFqEUPYZ6igCaHPpPRlQwb91PbEkausMxgidLXUDi8x3HTyKUlm0mDLsaHB&#10;ntYNlafixyjY0vs+vX7b1+Oh+y121XqDXy5Vavw4rF5ABBrCXXxzv+k4P3mG/2fiBX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HbcrDAAAA3AAAAA8AAAAAAAAAAAAA&#10;AAAAoQIAAGRycy9kb3ducmV2LnhtbFBLBQYAAAAABAAEAPkAAACRAwAAAAA=&#10;" strokecolor="#00b0f0"/>
                <v:shape id="AutoShape 2884" o:spid="_x0000_s1060" type="#_x0000_t32" style="position:absolute;left:907;top:13655;width:98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vIUcMAAADcAAAADwAAAGRycy9kb3ducmV2LnhtbERPS2sCMRC+C/0PYQreNLuFimyNi0iF&#10;Ui92a6nehs3sAzeTJUl17a9vCoK3+fies8gH04kzOd9aVpBOExDEpdUt1wr2n5vJHIQPyBo7y6Tg&#10;Sh7y5cNogZm2F/6gcxFqEUPYZ6igCaHPpPRlQwb91PbEkausMxgidLXUDi8x3HTyKUlm0mDLsaHB&#10;ntYNlafixyjY0vs+vX7b1+Oh+y121XqDXy5Vavw4rF5ABBrCXXxzv+k4P3mG/2fiBX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yFHDAAAA3AAAAA8AAAAAAAAAAAAA&#10;AAAAoQIAAGRycy9kb3ducmV2LnhtbFBLBQYAAAAABAAEAPkAAACRAwAAAAA=&#10;" strokecolor="#00b0f0"/>
                <v:shape id="AutoShape 2885" o:spid="_x0000_s1061" type="#_x0000_t32" style="position:absolute;left:907;top:15400;width:98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lWJsIAAADcAAAADwAAAGRycy9kb3ducmV2LnhtbERPTYvCMBC9C/6HMII3TetBlmqURRRk&#10;vbhV2d3b0IxtsZmUJKvVX79ZELzN433OfNmZRlzJ+dqygnScgCAurK65VHA8bEZvIHxA1thYJgV3&#10;8rBc9HtzzLS98Sdd81CKGMI+QwVVCG0mpS8qMujHtiWO3Nk6gyFCV0rt8BbDTSMnSTKVBmuODRW2&#10;tKqouOS/RsGOPo7p/cuuf76bR74/rzZ4cqlSw0H3PgMRqAsv8dO91XF+MoX/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1lWJsIAAADcAAAADwAAAAAAAAAAAAAA&#10;AAChAgAAZHJzL2Rvd25yZXYueG1sUEsFBgAAAAAEAAQA+QAAAJADAAAAAA==&#10;" strokecolor="#00b0f0"/>
              </v:group>
              <v:group id="Group 2886" o:spid="_x0000_s1062" style="position:absolute;left:1633;top:567;width:9251;height:15704" coordorigin="1635,567" coordsize="9251,157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AutoShape 2887" o:spid="_x0000_s1063" type="#_x0000_t32" style="position:absolute;left:1635;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pnz8YAAADcAAAADwAAAGRycy9kb3ducmV2LnhtbESPQWvCQBCF7wX/wzJCb3WTHkpJXUVE&#10;QerFpkrb25Adk2B2NuyuGv31nUOhtxnem/e+mc4H16kLhdh6NpBPMlDElbct1wb2n+unV1AxIVvs&#10;PJOBG0WYz0YPUyysv/IHXcpUKwnhWKCBJqW+0DpWDTmME98Ti3b0wWGSNdTaBrxKuOv0c5a9aIct&#10;S0ODPS0bqk7l2RnY0vs+v3351c93dy93x+UaDyE35nE8LN5AJRrSv/nvemMFPxNaeUYm0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KZ8/GAAAA3AAAAA8AAAAAAAAA&#10;AAAAAAAAoQIAAGRycy9kb3ducmV2LnhtbFBLBQYAAAAABAAEAPkAAACUAwAAAAA=&#10;" strokecolor="#00b0f0"/>
                <v:shape id="AutoShape 2888" o:spid="_x0000_s1064" type="#_x0000_t32" style="position:absolute;left:2476;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bCVMMAAADcAAAADwAAAGRycy9kb3ducmV2LnhtbERPS2sCMRC+C/0PYQreNLs9FN0aF5EK&#10;pV7s1lK9DZvZB24mS5Lq2l/fFARv8/E9Z5EPphNncr61rCCdJiCIS6tbrhXsPzeTGQgfkDV2lknB&#10;lTzky4fRAjNtL/xB5yLUIoawz1BBE0KfSenLhgz6qe2JI1dZZzBE6GqpHV5iuOnkU5I8S4Mtx4YG&#10;e1o3VJ6KH6NgS+/79PptX4+H7rfYVesNfrlUqfHjsHoBEWgId/HN/abj/GQO/8/EC+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7GwlTDAAAA3AAAAA8AAAAAAAAAAAAA&#10;AAAAoQIAAGRycy9kb3ducmV2LnhtbFBLBQYAAAAABAAEAPkAAACRAwAAAAA=&#10;" strokecolor="#00b0f0"/>
                <v:shape id="AutoShape 2889" o:spid="_x0000_s1065" type="#_x0000_t32" style="position:absolute;left:3317;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slEcUAAADcAAAADwAAAGRycy9kb3ducmV2LnhtbESPT2/CMAzF75P4DpGRdpkghQOaCgHx&#10;Z5M4bdCNu9WYpqJxqiaU7tvPh0m72XrP7/282gy+UT11sQ5sYDbNQBGXwdZcGfj+ep+8gooJ2WIT&#10;mAz8UITNevS0wtyGB5+pL1KlJIRjjgZcSm2udSwdeYzT0BKLdg2dxyRrV2nb4UPCfaPnWbbQHmuW&#10;Boct7R2Vt+LuDZx6707p8naffxx3LxkdPhfFtTfmeTxsl6ASDenf/Hd9tII/E3x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HslEcUAAADcAAAADwAAAAAAAAAA&#10;AAAAAAChAgAAZHJzL2Rvd25yZXYueG1sUEsFBgAAAAAEAAQA+QAAAJMDAAAAAA==&#10;" strokecolor="#002060"/>
                <v:shape id="AutoShape 2890" o:spid="_x0000_s1066" type="#_x0000_t32" style="position:absolute;left:4158;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lYj8MAAADcAAAADwAAAGRycy9kb3ducmV2LnhtbERPTWsCMRC9F/wPYQq9dbPxUGRrFJEK&#10;Yi91tbS9DZtxd3EzWZJU1/56Iwi9zeN9znQ+2E6cyIfWsQaV5SCIK2darjXsd6vnCYgQkQ12jknD&#10;hQLMZ6OHKRbGnXlLpzLWIoVwKFBDE2NfSBmqhiyGzPXEiTs4bzEm6GtpPJ5TuO3kOM9fpMWWU0OD&#10;PS0bqo7lr9XwTpu9uny5t5/v7q/8OCxX+OmV1k+Pw+IVRKQh/ovv7rVJ85WC2zPpAjm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VpWI/DAAAA3AAAAA8AAAAAAAAAAAAA&#10;AAAAoQIAAGRycy9kb3ducmV2LnhtbFBLBQYAAAAABAAEAPkAAACRAwAAAAA=&#10;" strokecolor="#00b0f0"/>
                <v:shape id="AutoShape 2891" o:spid="_x0000_s1067" type="#_x0000_t32" style="position:absolute;left:4999;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vG+MMAAADcAAAADwAAAGRycy9kb3ducmV2LnhtbERPS2sCMRC+F/ofwhS81ex6kLI1LiIV&#10;Sr3YrUW9DZvZB91MliTq6q83QsHbfHzPmeWD6cSJnG8tK0jHCQji0uqWawXbn9XrGwgfkDV2lknB&#10;hTzk8+enGWbanvmbTkWoRQxhn6GCJoQ+k9KXDRn0Y9sTR66yzmCI0NVSOzzHcNPJSZJMpcGWY0OD&#10;PS0bKv+Ko1Gwpq9tetnZj8O+uxabarnCX5cqNXoZFu8gAg3hIf53f+o4P53A/Zl4gZ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7xvjDAAAA3AAAAA8AAAAAAAAAAAAA&#10;AAAAoQIAAGRycy9kb3ducmV2LnhtbFBLBQYAAAAABAAEAPkAAACRAwAAAAA=&#10;" strokecolor="#00b0f0"/>
                <v:shape id="AutoShape 2892" o:spid="_x0000_s1068" type="#_x0000_t32" style="position:absolute;left:5840;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m7ZsIAAADcAAAADwAAAGRycy9kb3ducmV2LnhtbERPS2vCQBC+F/wPywi9FN1oQSRmFe0D&#10;PLUa9T5kJ9lgdjZk15j++26h4G0+vudkm8E2oqfO144VzKYJCOLC6ZorBefT52QJwgdkjY1jUvBD&#10;Hjbr0VOGqXZ3PlKfh0rEEPYpKjAhtKmUvjBk0U9dSxy50nUWQ4RdJXWH9xhuGzlPkoW0WHNsMNjS&#10;m6Himt+sgkNvzSFcPm7zr/3uJaH370Ve9ko9j4ftCkSgITzE/+69jvNnr/D3TLxA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Km7ZsIAAADcAAAADwAAAAAAAAAAAAAA&#10;AAChAgAAZHJzL2Rvd25yZXYueG1sUEsFBgAAAAAEAAQA+QAAAJADAAAAAA==&#10;" strokecolor="#002060"/>
                <v:shape id="AutoShape 2893" o:spid="_x0000_s1069" type="#_x0000_t32" style="position:absolute;left:6681;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77F8MAAADcAAAADwAAAGRycy9kb3ducmV2LnhtbERPS2sCMRC+C/0PYQreNLuliGyNi0iF&#10;Ui92a6nehs3sAzeTJUl17a9vCoK3+fies8gH04kzOd9aVpBOExDEpdUt1wr2n5vJHIQPyBo7y6Tg&#10;Sh7y5cNogZm2F/6gcxFqEUPYZ6igCaHPpPRlQwb91PbEkausMxgidLXUDi8x3HTyKUlm0mDLsaHB&#10;ntYNlafixyjY0vs+vX7b1+Oh+y121XqDXy5Vavw4rF5ABBrCXXxzv+k4P32G/2fiBX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e+xfDAAAA3AAAAA8AAAAAAAAAAAAA&#10;AAAAoQIAAGRycy9kb3ducmV2LnhtbFBLBQYAAAAABAAEAPkAAACRAwAAAAA=&#10;" strokecolor="#00b0f0"/>
                <v:shape id="AutoShape 2894" o:spid="_x0000_s1070" type="#_x0000_t32" style="position:absolute;left:7522;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JejMMAAADcAAAADwAAAGRycy9kb3ducmV2LnhtbERPS2sCMRC+C/0PYQreNLuFimyNi0iF&#10;Ui92a6nehs3sAzeTJUl17a9vCoK3+fies8gH04kzOd9aVpBOExDEpdUt1wr2n5vJHIQPyBo7y6Tg&#10;Sh7y5cNogZm2F/6gcxFqEUPYZ6igCaHPpPRlQwb91PbEkausMxgidLXUDi8x3HTyKUlm0mDLsaHB&#10;ntYNlafixyjY0vs+vX7b1+Oh+y121XqDXy5Vavw4rF5ABBrCXXxzv+k4P32G/2fiBX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SXozDAAAA3AAAAA8AAAAAAAAAAAAA&#10;AAAAoQIAAGRycy9kb3ducmV2LnhtbFBLBQYAAAAABAAEAPkAAACRAwAAAAA=&#10;" strokecolor="#00b0f0"/>
                <v:shape id="AutoShape 2895" o:spid="_x0000_s1071" type="#_x0000_t32" style="position:absolute;left:8363;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4Y/sEAAADcAAAADwAAAGRycy9kb3ducmV2LnhtbERPTYvCMBC9L/gfwgheFk31UJZqFHVX&#10;8LRq1fvQjE2xmZQm1u6/3ywIe5vH+5zFqre16Kj1lWMF00kCgrhwuuJSweW8G3+A8AFZY+2YFPyQ&#10;h9Vy8LbATLsnn6jLQyliCPsMFZgQmkxKXxiy6CeuIY7czbUWQ4RtKXWLzxhuazlLklRarDg2GGxo&#10;a6i45w+r4NhZcwzXr8fse795T+jzkOa3TqnRsF/PQQTqw7/45d7rOH+awt8z8QK5/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3hj+wQAAANwAAAAPAAAAAAAAAAAAAAAA&#10;AKECAABkcnMvZG93bnJldi54bWxQSwUGAAAAAAQABAD5AAAAjwMAAAAA&#10;" strokecolor="#002060"/>
                <v:shape id="AutoShape 2896" o:spid="_x0000_s1072" type="#_x0000_t32" style="position:absolute;left:9204;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xlYMMAAADcAAAADwAAAGRycy9kb3ducmV2LnhtbERPS2sCMRC+C/0PYQreNLs9VNkaF5EK&#10;pV7s1lK9DZvZB24mS5Lq2l/fFARv8/E9Z5EPphNncr61rCCdJiCIS6tbrhXsPzeTOQgfkDV2lknB&#10;lTzky4fRAjNtL/xB5yLUIoawz1BBE0KfSenLhgz6qe2JI1dZZzBE6GqpHV5iuOnkU5I8S4Mtx4YG&#10;e1o3VJ6KH6NgS+/79PptX4+H7rfYVesNfrlUqfHjsHoBEWgId/HN/abj/HQG/8/EC+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XMZWDDAAAA3AAAAA8AAAAAAAAAAAAA&#10;AAAAoQIAAGRycy9kb3ducmV2LnhtbFBLBQYAAAAABAAEAPkAAACRAwAAAAA=&#10;" strokecolor="#00b0f0"/>
                <v:shape id="AutoShape 2897" o:spid="_x0000_s1073" type="#_x0000_t32" style="position:absolute;left:10045;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PxEsYAAADcAAAADwAAAGRycy9kb3ducmV2LnhtbESPQWvCQBCF7wX/wzJCb3WTHkpJXUVE&#10;QerFpkrb25Adk2B2NuyuGv31nUOhtxnem/e+mc4H16kLhdh6NpBPMlDElbct1wb2n+unV1AxIVvs&#10;PJOBG0WYz0YPUyysv/IHXcpUKwnhWKCBJqW+0DpWDTmME98Ti3b0wWGSNdTaBrxKuOv0c5a9aIct&#10;S0ODPS0bqk7l2RnY0vs+v3351c93dy93x+UaDyE35nE8LN5AJRrSv/nvemMFPxdaeUYm0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T8RLGAAAA3AAAAA8AAAAAAAAA&#10;AAAAAAAAoQIAAGRycy9kb3ducmV2LnhtbFBLBQYAAAAABAAEAPkAAACUAwAAAAA=&#10;" strokecolor="#00b0f0"/>
                <v:shape id="AutoShape 2898" o:spid="_x0000_s1074" type="#_x0000_t32" style="position:absolute;left:10886;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GMjMIAAADcAAAADwAAAGRycy9kb3ducmV2LnhtbERPS2vCQBC+F/wPyxS8lGajB6mpq9QX&#10;eLKatvchO2ZDs7Mhu8b4711B8DYf33Nmi97WoqPWV44VjJIUBHHhdMWlgt+f7fsHCB+QNdaOScGV&#10;PCzmg5cZZtpd+EhdHkoRQ9hnqMCE0GRS+sKQRZ+4hjhyJ9daDBG2pdQtXmK4reU4TSfSYsWxwWBD&#10;K0PFf362Cg6dNYfwtzmP97vlW0rr70l+6pQavvZfnyAC9eEpfrh3Os4fTeH+TLxAzm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UGMjMIAAADcAAAADwAAAAAAAAAAAAAA&#10;AAChAgAAZHJzL2Rvd25yZXYueG1sUEsFBgAAAAAEAAQA+QAAAJADAAAAAA==&#10;" strokecolor="#002060"/>
              </v:group>
              <w10:wrap anchorx="page" anchory="page"/>
            </v:group>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6B4" w:rsidRPr="00F81690" w:rsidRDefault="00FE56B4" w:rsidP="00F81690">
    <w:pPr>
      <w:pStyle w:val="Header-Even"/>
    </w:pPr>
    <w:r>
      <w:rPr>
        <w:noProof/>
        <w:snapToGrid/>
        <w:lang w:eastAsia="en-AU"/>
      </w:rPr>
      <w:fldChar w:fldCharType="begin"/>
    </w:r>
    <w:r>
      <w:rPr>
        <w:noProof/>
        <w:snapToGrid/>
        <w:lang w:eastAsia="en-AU"/>
      </w:rPr>
      <w:instrText xml:space="preserve"> STYLEREF "Heading 2" </w:instrText>
    </w:r>
    <w:r>
      <w:rPr>
        <w:noProof/>
        <w:snapToGrid/>
        <w:lang w:eastAsia="en-AU"/>
      </w:rPr>
      <w:fldChar w:fldCharType="separate"/>
    </w:r>
    <w:r w:rsidR="00DD7BCE">
      <w:rPr>
        <w:noProof/>
        <w:snapToGrid/>
        <w:lang w:eastAsia="en-AU"/>
      </w:rPr>
      <w:t>The proposed policy</w:t>
    </w:r>
    <w:r>
      <w:rPr>
        <w:noProof/>
        <w:snapToGrid/>
        <w:lang w:eastAsia="en-AU"/>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6B4" w:rsidRPr="00F81690" w:rsidRDefault="00FE56B4" w:rsidP="00F81690">
    <w:pPr>
      <w:pStyle w:val="Header"/>
    </w:pPr>
    <w:r>
      <w:rPr>
        <w:noProof/>
        <w:snapToGrid/>
        <w:lang w:eastAsia="en-AU"/>
      </w:rPr>
      <w:fldChar w:fldCharType="begin"/>
    </w:r>
    <w:r>
      <w:rPr>
        <w:noProof/>
        <w:snapToGrid/>
        <w:lang w:eastAsia="en-AU"/>
      </w:rPr>
      <w:instrText xml:space="preserve"> STYLEREF "Heading 2" </w:instrText>
    </w:r>
    <w:r>
      <w:rPr>
        <w:noProof/>
        <w:snapToGrid/>
        <w:lang w:eastAsia="en-AU"/>
      </w:rPr>
      <w:fldChar w:fldCharType="separate"/>
    </w:r>
    <w:r w:rsidR="00DD7BCE">
      <w:rPr>
        <w:noProof/>
        <w:snapToGrid/>
        <w:lang w:eastAsia="en-AU"/>
      </w:rPr>
      <w:t>The proposed policy</w:t>
    </w:r>
    <w:r>
      <w:rPr>
        <w:noProof/>
        <w:snapToGrid/>
        <w:lang w:eastAsia="en-AU"/>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6B4" w:rsidRDefault="00FE56B4" w:rsidP="0091050E">
    <w:pPr>
      <w:pStyle w:val="Header-FirstPage"/>
    </w:pPr>
  </w:p>
  <w:p w:rsidR="00FE56B4" w:rsidRPr="00460052" w:rsidRDefault="00FE56B4" w:rsidP="00460052">
    <w:pPr>
      <w:pStyle w:val="FirstPagePanelFrame"/>
      <w:framePr w:wrap="notBeside"/>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6B4" w:rsidRPr="009B05E3" w:rsidRDefault="00663565" w:rsidP="00574287">
    <w:pPr>
      <w:pStyle w:val="Header-Even"/>
    </w:pPr>
    <w:r>
      <w:fldChar w:fldCharType="begin"/>
    </w:r>
    <w:r>
      <w:instrText xml:space="preserve"> STYLEREF "Heading 4" </w:instrText>
    </w:r>
    <w:r>
      <w:fldChar w:fldCharType="separate"/>
    </w:r>
    <w:r w:rsidR="00FE56B4">
      <w:rPr>
        <w:noProof/>
      </w:rPr>
      <w:t>Methodology</w:t>
    </w:r>
    <w:r>
      <w:rPr>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6B4" w:rsidRPr="009B05E3" w:rsidRDefault="00663565" w:rsidP="009B05E3">
    <w:pPr>
      <w:pStyle w:val="Header"/>
    </w:pPr>
    <w:r>
      <w:fldChar w:fldCharType="begin"/>
    </w:r>
    <w:r>
      <w:instrText xml:space="preserve"> STYLEREF "Heading 4" </w:instrText>
    </w:r>
    <w:r>
      <w:fldChar w:fldCharType="separate"/>
    </w:r>
    <w:r w:rsidR="00FE56B4">
      <w:rPr>
        <w:noProof/>
      </w:rPr>
      <w:t>Methodology</w:t>
    </w:r>
    <w:r>
      <w:rPr>
        <w:noProof/>
      </w:rP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6B4" w:rsidRDefault="00FE56B4" w:rsidP="0091050E">
    <w:pPr>
      <w:pStyle w:val="Header-FirstPage"/>
    </w:pPr>
  </w:p>
  <w:p w:rsidR="00FE56B4" w:rsidRPr="007E5215" w:rsidRDefault="00FE56B4" w:rsidP="007E5215">
    <w:pPr>
      <w:pStyle w:val="FirstPagePanelFrame-Contents"/>
      <w:framePr w:wrap="notBeside"/>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6B4" w:rsidRPr="00F81690" w:rsidRDefault="00FE56B4" w:rsidP="00F81690">
    <w:pPr>
      <w:pStyle w:val="Header-Even"/>
    </w:pPr>
    <w:r>
      <w:rPr>
        <w:noProof/>
        <w:snapToGrid/>
        <w:lang w:eastAsia="en-AU"/>
      </w:rPr>
      <w:fldChar w:fldCharType="begin"/>
    </w:r>
    <w:r>
      <w:rPr>
        <w:noProof/>
        <w:snapToGrid/>
        <w:lang w:eastAsia="en-AU"/>
      </w:rPr>
      <w:instrText xml:space="preserve"> STYLEREF "Heading 4" </w:instrText>
    </w:r>
    <w:r>
      <w:rPr>
        <w:noProof/>
        <w:snapToGrid/>
        <w:lang w:eastAsia="en-AU"/>
      </w:rPr>
      <w:fldChar w:fldCharType="separate"/>
    </w:r>
    <w:r w:rsidR="00DD7BCE">
      <w:rPr>
        <w:noProof/>
        <w:snapToGrid/>
        <w:lang w:eastAsia="en-AU"/>
      </w:rPr>
      <w:t>Potential impacts of additional public holidays</w:t>
    </w:r>
    <w:r>
      <w:rPr>
        <w:noProof/>
        <w:snapToGrid/>
        <w:lang w:eastAsia="en-AU"/>
      </w:rP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6B4" w:rsidRPr="00F81690" w:rsidRDefault="00FE56B4" w:rsidP="00F81690">
    <w:pPr>
      <w:pStyle w:val="Header"/>
    </w:pPr>
    <w:r>
      <w:rPr>
        <w:noProof/>
        <w:snapToGrid/>
        <w:lang w:eastAsia="en-AU"/>
      </w:rPr>
      <w:fldChar w:fldCharType="begin"/>
    </w:r>
    <w:r>
      <w:rPr>
        <w:noProof/>
        <w:snapToGrid/>
        <w:lang w:eastAsia="en-AU"/>
      </w:rPr>
      <w:instrText xml:space="preserve"> STYLEREF "Heading 4" </w:instrText>
    </w:r>
    <w:r>
      <w:rPr>
        <w:noProof/>
        <w:snapToGrid/>
        <w:lang w:eastAsia="en-AU"/>
      </w:rPr>
      <w:fldChar w:fldCharType="separate"/>
    </w:r>
    <w:r w:rsidR="00DD7BCE">
      <w:rPr>
        <w:noProof/>
        <w:snapToGrid/>
        <w:lang w:eastAsia="en-AU"/>
      </w:rPr>
      <w:t>Potential impacts of additional public holidays</w:t>
    </w:r>
    <w:r>
      <w:rPr>
        <w:noProof/>
        <w:snapToGrid/>
        <w:lang w:eastAsia="en-AU"/>
      </w:rPr>
      <w:fldChar w:fldCharType="end"/>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6B4" w:rsidRDefault="00FE56B4" w:rsidP="00967C0A">
    <w:pPr>
      <w:pStyle w:val="Header"/>
    </w:pPr>
  </w:p>
  <w:p w:rsidR="00FE56B4" w:rsidRPr="0097760A" w:rsidRDefault="00FE56B4" w:rsidP="0059630D">
    <w:pPr>
      <w:pStyle w:val="FirstPagePanelFrame"/>
      <w:framePr w:wrap="notBeside"/>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6B4" w:rsidRPr="0097760A" w:rsidRDefault="00FE56B4" w:rsidP="0059630D">
    <w:pPr>
      <w:pStyle w:val="FirstPagePanelFrame"/>
      <w:framePr w:wrap="notBesid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6B4" w:rsidRPr="008F0566" w:rsidRDefault="00FE56B4" w:rsidP="008F0566">
    <w:pPr>
      <w:pStyle w:val="Header"/>
    </w:pPr>
    <w:r>
      <w:rPr>
        <w:noProof/>
        <w:snapToGrid/>
        <w:lang w:eastAsia="en-AU"/>
      </w:rPr>
      <mc:AlternateContent>
        <mc:Choice Requires="wpg">
          <w:drawing>
            <wp:anchor distT="0" distB="0" distL="114300" distR="114300" simplePos="0" relativeHeight="251655168" behindDoc="0" locked="0" layoutInCell="1" allowOverlap="1" wp14:anchorId="256C23EF" wp14:editId="40AB5E38">
              <wp:simplePos x="0" y="0"/>
              <wp:positionH relativeFrom="page">
                <wp:posOffset>0</wp:posOffset>
              </wp:positionH>
              <wp:positionV relativeFrom="page">
                <wp:posOffset>0</wp:posOffset>
              </wp:positionV>
              <wp:extent cx="6912610" cy="10692130"/>
              <wp:effectExtent l="9525" t="9525" r="12065" b="13970"/>
              <wp:wrapNone/>
              <wp:docPr id="17" name="OddGrid" descr="Gri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2610" cy="10692130"/>
                        <a:chOff x="0" y="0"/>
                        <a:chExt cx="10886" cy="16838"/>
                      </a:xfrm>
                    </wpg:grpSpPr>
                    <wpg:grpSp>
                      <wpg:cNvPr id="18" name="Group 2018"/>
                      <wpg:cNvGrpSpPr>
                        <a:grpSpLocks/>
                      </wpg:cNvGrpSpPr>
                      <wpg:grpSpPr bwMode="auto">
                        <a:xfrm>
                          <a:off x="1021" y="567"/>
                          <a:ext cx="9251" cy="15704"/>
                          <a:chOff x="1021" y="567"/>
                          <a:chExt cx="9251" cy="15704"/>
                        </a:xfrm>
                      </wpg:grpSpPr>
                      <wps:wsp>
                        <wps:cNvPr id="21" name="AutoShape 2019"/>
                        <wps:cNvCnPr>
                          <a:cxnSpLocks noChangeShapeType="1"/>
                        </wps:cNvCnPr>
                        <wps:spPr bwMode="auto">
                          <a:xfrm>
                            <a:off x="1021" y="567"/>
                            <a:ext cx="0" cy="15704"/>
                          </a:xfrm>
                          <a:prstGeom prst="straightConnector1">
                            <a:avLst/>
                          </a:prstGeom>
                          <a:noFill/>
                          <a:ln w="9525">
                            <a:solidFill>
                              <a:srgbClr val="002060"/>
                            </a:solidFill>
                            <a:round/>
                            <a:headEnd/>
                            <a:tailEnd/>
                          </a:ln>
                          <a:extLst>
                            <a:ext uri="{909E8E84-426E-40DD-AFC4-6F175D3DCCD1}">
                              <a14:hiddenFill xmlns:a14="http://schemas.microsoft.com/office/drawing/2010/main">
                                <a:noFill/>
                              </a14:hiddenFill>
                            </a:ext>
                          </a:extLst>
                        </wps:spPr>
                        <wps:bodyPr/>
                      </wps:wsp>
                      <wps:wsp>
                        <wps:cNvPr id="22" name="AutoShape 2020"/>
                        <wps:cNvCnPr>
                          <a:cxnSpLocks noChangeShapeType="1"/>
                        </wps:cNvCnPr>
                        <wps:spPr bwMode="auto">
                          <a:xfrm>
                            <a:off x="1862"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23" name="AutoShape 2021"/>
                        <wps:cNvCnPr>
                          <a:cxnSpLocks noChangeShapeType="1"/>
                        </wps:cNvCnPr>
                        <wps:spPr bwMode="auto">
                          <a:xfrm>
                            <a:off x="2703"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24" name="AutoShape 2022"/>
                        <wps:cNvCnPr>
                          <a:cxnSpLocks noChangeShapeType="1"/>
                        </wps:cNvCnPr>
                        <wps:spPr bwMode="auto">
                          <a:xfrm>
                            <a:off x="3544" y="567"/>
                            <a:ext cx="0" cy="15704"/>
                          </a:xfrm>
                          <a:prstGeom prst="straightConnector1">
                            <a:avLst/>
                          </a:prstGeom>
                          <a:noFill/>
                          <a:ln w="9525">
                            <a:solidFill>
                              <a:srgbClr val="002060"/>
                            </a:solidFill>
                            <a:round/>
                            <a:headEnd/>
                            <a:tailEnd/>
                          </a:ln>
                          <a:extLst>
                            <a:ext uri="{909E8E84-426E-40DD-AFC4-6F175D3DCCD1}">
                              <a14:hiddenFill xmlns:a14="http://schemas.microsoft.com/office/drawing/2010/main">
                                <a:noFill/>
                              </a14:hiddenFill>
                            </a:ext>
                          </a:extLst>
                        </wps:spPr>
                        <wps:bodyPr/>
                      </wps:wsp>
                      <wps:wsp>
                        <wps:cNvPr id="25" name="AutoShape 2023"/>
                        <wps:cNvCnPr>
                          <a:cxnSpLocks noChangeShapeType="1"/>
                        </wps:cNvCnPr>
                        <wps:spPr bwMode="auto">
                          <a:xfrm>
                            <a:off x="4385"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26" name="AutoShape 2024"/>
                        <wps:cNvCnPr>
                          <a:cxnSpLocks noChangeShapeType="1"/>
                        </wps:cNvCnPr>
                        <wps:spPr bwMode="auto">
                          <a:xfrm>
                            <a:off x="5226"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27" name="AutoShape 2025"/>
                        <wps:cNvCnPr>
                          <a:cxnSpLocks noChangeShapeType="1"/>
                        </wps:cNvCnPr>
                        <wps:spPr bwMode="auto">
                          <a:xfrm>
                            <a:off x="6067" y="567"/>
                            <a:ext cx="0" cy="15704"/>
                          </a:xfrm>
                          <a:prstGeom prst="straightConnector1">
                            <a:avLst/>
                          </a:prstGeom>
                          <a:noFill/>
                          <a:ln w="9525">
                            <a:solidFill>
                              <a:srgbClr val="002060"/>
                            </a:solidFill>
                            <a:round/>
                            <a:headEnd/>
                            <a:tailEnd/>
                          </a:ln>
                          <a:extLst>
                            <a:ext uri="{909E8E84-426E-40DD-AFC4-6F175D3DCCD1}">
                              <a14:hiddenFill xmlns:a14="http://schemas.microsoft.com/office/drawing/2010/main">
                                <a:noFill/>
                              </a14:hiddenFill>
                            </a:ext>
                          </a:extLst>
                        </wps:spPr>
                        <wps:bodyPr/>
                      </wps:wsp>
                      <wps:wsp>
                        <wps:cNvPr id="28" name="AutoShape 2026"/>
                        <wps:cNvCnPr>
                          <a:cxnSpLocks noChangeShapeType="1"/>
                        </wps:cNvCnPr>
                        <wps:spPr bwMode="auto">
                          <a:xfrm>
                            <a:off x="6908"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29" name="AutoShape 2027"/>
                        <wps:cNvCnPr>
                          <a:cxnSpLocks noChangeShapeType="1"/>
                        </wps:cNvCnPr>
                        <wps:spPr bwMode="auto">
                          <a:xfrm>
                            <a:off x="7749"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30" name="AutoShape 2028"/>
                        <wps:cNvCnPr>
                          <a:cxnSpLocks noChangeShapeType="1"/>
                        </wps:cNvCnPr>
                        <wps:spPr bwMode="auto">
                          <a:xfrm>
                            <a:off x="8590" y="567"/>
                            <a:ext cx="0" cy="15704"/>
                          </a:xfrm>
                          <a:prstGeom prst="straightConnector1">
                            <a:avLst/>
                          </a:prstGeom>
                          <a:noFill/>
                          <a:ln w="9525">
                            <a:solidFill>
                              <a:srgbClr val="002060"/>
                            </a:solidFill>
                            <a:round/>
                            <a:headEnd/>
                            <a:tailEnd/>
                          </a:ln>
                          <a:extLst>
                            <a:ext uri="{909E8E84-426E-40DD-AFC4-6F175D3DCCD1}">
                              <a14:hiddenFill xmlns:a14="http://schemas.microsoft.com/office/drawing/2010/main">
                                <a:noFill/>
                              </a14:hiddenFill>
                            </a:ext>
                          </a:extLst>
                        </wps:spPr>
                        <wps:bodyPr/>
                      </wps:wsp>
                      <wps:wsp>
                        <wps:cNvPr id="31" name="AutoShape 2029"/>
                        <wps:cNvCnPr>
                          <a:cxnSpLocks noChangeShapeType="1"/>
                        </wps:cNvCnPr>
                        <wps:spPr bwMode="auto">
                          <a:xfrm>
                            <a:off x="9431"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32" name="AutoShape 2030"/>
                        <wps:cNvCnPr>
                          <a:cxnSpLocks noChangeShapeType="1"/>
                        </wps:cNvCnPr>
                        <wps:spPr bwMode="auto">
                          <a:xfrm>
                            <a:off x="10272"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g:grpSp>
                    <wps:wsp>
                      <wps:cNvPr id="33" name="AutoShape 2031"/>
                      <wps:cNvCnPr>
                        <a:cxnSpLocks noChangeShapeType="1"/>
                      </wps:cNvCnPr>
                      <wps:spPr bwMode="auto">
                        <a:xfrm>
                          <a:off x="0" y="0"/>
                          <a:ext cx="0" cy="16838"/>
                        </a:xfrm>
                        <a:prstGeom prst="straightConnector1">
                          <a:avLst/>
                        </a:prstGeom>
                        <a:noFill/>
                        <a:ln w="9525">
                          <a:solidFill>
                            <a:srgbClr val="FF66FF"/>
                          </a:solidFill>
                          <a:round/>
                          <a:headEnd/>
                          <a:tailEnd/>
                        </a:ln>
                        <a:extLst>
                          <a:ext uri="{909E8E84-426E-40DD-AFC4-6F175D3DCCD1}">
                            <a14:hiddenFill xmlns:a14="http://schemas.microsoft.com/office/drawing/2010/main">
                              <a:noFill/>
                            </a14:hiddenFill>
                          </a:ext>
                        </a:extLst>
                      </wps:spPr>
                      <wps:bodyPr/>
                    </wps:wsp>
                    <wps:wsp>
                      <wps:cNvPr id="34" name="AutoShape 2032"/>
                      <wps:cNvCnPr>
                        <a:cxnSpLocks noChangeShapeType="1"/>
                      </wps:cNvCnPr>
                      <wps:spPr bwMode="auto">
                        <a:xfrm>
                          <a:off x="794" y="0"/>
                          <a:ext cx="0" cy="16838"/>
                        </a:xfrm>
                        <a:prstGeom prst="straightConnector1">
                          <a:avLst/>
                        </a:prstGeom>
                        <a:noFill/>
                        <a:ln w="9525">
                          <a:solidFill>
                            <a:srgbClr val="FF66FF"/>
                          </a:solidFill>
                          <a:round/>
                          <a:headEnd/>
                          <a:tailEnd/>
                        </a:ln>
                        <a:extLst>
                          <a:ext uri="{909E8E84-426E-40DD-AFC4-6F175D3DCCD1}">
                            <a14:hiddenFill xmlns:a14="http://schemas.microsoft.com/office/drawing/2010/main">
                              <a:noFill/>
                            </a14:hiddenFill>
                          </a:ext>
                        </a:extLst>
                      </wps:spPr>
                      <wps:bodyPr/>
                    </wps:wsp>
                    <wpg:grpSp>
                      <wpg:cNvPr id="35" name="Group 2033"/>
                      <wpg:cNvGrpSpPr>
                        <a:grpSpLocks/>
                      </wpg:cNvGrpSpPr>
                      <wpg:grpSpPr bwMode="auto">
                        <a:xfrm>
                          <a:off x="1021" y="567"/>
                          <a:ext cx="9865" cy="15706"/>
                          <a:chOff x="907" y="567"/>
                          <a:chExt cx="9865" cy="15706"/>
                        </a:xfrm>
                      </wpg:grpSpPr>
                      <wps:wsp>
                        <wps:cNvPr id="36" name="AutoShape 2034"/>
                        <wps:cNvCnPr>
                          <a:cxnSpLocks noChangeShapeType="1"/>
                        </wps:cNvCnPr>
                        <wps:spPr bwMode="auto">
                          <a:xfrm>
                            <a:off x="907" y="16273"/>
                            <a:ext cx="9865" cy="0"/>
                          </a:xfrm>
                          <a:prstGeom prst="straightConnector1">
                            <a:avLst/>
                          </a:prstGeom>
                          <a:noFill/>
                          <a:ln w="9525">
                            <a:solidFill>
                              <a:srgbClr val="002060"/>
                            </a:solidFill>
                            <a:round/>
                            <a:headEnd/>
                            <a:tailEnd/>
                          </a:ln>
                          <a:extLst>
                            <a:ext uri="{909E8E84-426E-40DD-AFC4-6F175D3DCCD1}">
                              <a14:hiddenFill xmlns:a14="http://schemas.microsoft.com/office/drawing/2010/main">
                                <a:noFill/>
                              </a14:hiddenFill>
                            </a:ext>
                          </a:extLst>
                        </wps:spPr>
                        <wps:bodyPr/>
                      </wps:wsp>
                      <wps:wsp>
                        <wps:cNvPr id="37" name="AutoShape 2035"/>
                        <wps:cNvCnPr>
                          <a:cxnSpLocks noChangeShapeType="1"/>
                        </wps:cNvCnPr>
                        <wps:spPr bwMode="auto">
                          <a:xfrm>
                            <a:off x="907" y="14527"/>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38" name="AutoShape 2036"/>
                        <wps:cNvCnPr>
                          <a:cxnSpLocks noChangeShapeType="1"/>
                        </wps:cNvCnPr>
                        <wps:spPr bwMode="auto">
                          <a:xfrm>
                            <a:off x="907" y="567"/>
                            <a:ext cx="9865" cy="0"/>
                          </a:xfrm>
                          <a:prstGeom prst="straightConnector1">
                            <a:avLst/>
                          </a:prstGeom>
                          <a:noFill/>
                          <a:ln w="9525">
                            <a:solidFill>
                              <a:srgbClr val="002060"/>
                            </a:solidFill>
                            <a:round/>
                            <a:headEnd/>
                            <a:tailEnd/>
                          </a:ln>
                          <a:extLst>
                            <a:ext uri="{909E8E84-426E-40DD-AFC4-6F175D3DCCD1}">
                              <a14:hiddenFill xmlns:a14="http://schemas.microsoft.com/office/drawing/2010/main">
                                <a:noFill/>
                              </a14:hiddenFill>
                            </a:ext>
                          </a:extLst>
                        </wps:spPr>
                        <wps:bodyPr/>
                      </wps:wsp>
                      <wps:wsp>
                        <wps:cNvPr id="39" name="AutoShape 2037"/>
                        <wps:cNvCnPr>
                          <a:cxnSpLocks noChangeShapeType="1"/>
                        </wps:cNvCnPr>
                        <wps:spPr bwMode="auto">
                          <a:xfrm>
                            <a:off x="907" y="1439"/>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40" name="AutoShape 2038"/>
                        <wps:cNvCnPr>
                          <a:cxnSpLocks noChangeShapeType="1"/>
                        </wps:cNvCnPr>
                        <wps:spPr bwMode="auto">
                          <a:xfrm>
                            <a:off x="907" y="2312"/>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41" name="AutoShape 2039"/>
                        <wps:cNvCnPr>
                          <a:cxnSpLocks noChangeShapeType="1"/>
                        </wps:cNvCnPr>
                        <wps:spPr bwMode="auto">
                          <a:xfrm>
                            <a:off x="907" y="3184"/>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42" name="AutoShape 2040"/>
                        <wps:cNvCnPr>
                          <a:cxnSpLocks noChangeShapeType="1"/>
                        </wps:cNvCnPr>
                        <wps:spPr bwMode="auto">
                          <a:xfrm>
                            <a:off x="907" y="4057"/>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43" name="AutoShape 2041"/>
                        <wps:cNvCnPr>
                          <a:cxnSpLocks noChangeShapeType="1"/>
                        </wps:cNvCnPr>
                        <wps:spPr bwMode="auto">
                          <a:xfrm>
                            <a:off x="907" y="4929"/>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44" name="AutoShape 2042"/>
                        <wps:cNvCnPr>
                          <a:cxnSpLocks noChangeShapeType="1"/>
                        </wps:cNvCnPr>
                        <wps:spPr bwMode="auto">
                          <a:xfrm>
                            <a:off x="907" y="5802"/>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45" name="AutoShape 2043"/>
                        <wps:cNvCnPr>
                          <a:cxnSpLocks noChangeShapeType="1"/>
                        </wps:cNvCnPr>
                        <wps:spPr bwMode="auto">
                          <a:xfrm>
                            <a:off x="907" y="6674"/>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46" name="AutoShape 2044"/>
                        <wps:cNvCnPr>
                          <a:cxnSpLocks noChangeShapeType="1"/>
                        </wps:cNvCnPr>
                        <wps:spPr bwMode="auto">
                          <a:xfrm>
                            <a:off x="907" y="7547"/>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47" name="AutoShape 2045"/>
                        <wps:cNvCnPr>
                          <a:cxnSpLocks noChangeShapeType="1"/>
                        </wps:cNvCnPr>
                        <wps:spPr bwMode="auto">
                          <a:xfrm>
                            <a:off x="907" y="8420"/>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48" name="AutoShape 2046"/>
                        <wps:cNvCnPr>
                          <a:cxnSpLocks noChangeShapeType="1"/>
                        </wps:cNvCnPr>
                        <wps:spPr bwMode="auto">
                          <a:xfrm>
                            <a:off x="907" y="9292"/>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49" name="AutoShape 2047"/>
                        <wps:cNvCnPr>
                          <a:cxnSpLocks noChangeShapeType="1"/>
                        </wps:cNvCnPr>
                        <wps:spPr bwMode="auto">
                          <a:xfrm>
                            <a:off x="907" y="10165"/>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50" name="AutoShape 2048"/>
                        <wps:cNvCnPr>
                          <a:cxnSpLocks noChangeShapeType="1"/>
                        </wps:cNvCnPr>
                        <wps:spPr bwMode="auto">
                          <a:xfrm>
                            <a:off x="907" y="11037"/>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51" name="AutoShape 2049"/>
                        <wps:cNvCnPr>
                          <a:cxnSpLocks noChangeShapeType="1"/>
                        </wps:cNvCnPr>
                        <wps:spPr bwMode="auto">
                          <a:xfrm>
                            <a:off x="907" y="11910"/>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52" name="AutoShape 2050"/>
                        <wps:cNvCnPr>
                          <a:cxnSpLocks noChangeShapeType="1"/>
                        </wps:cNvCnPr>
                        <wps:spPr bwMode="auto">
                          <a:xfrm>
                            <a:off x="907" y="12782"/>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53" name="AutoShape 2051"/>
                        <wps:cNvCnPr>
                          <a:cxnSpLocks noChangeShapeType="1"/>
                        </wps:cNvCnPr>
                        <wps:spPr bwMode="auto">
                          <a:xfrm>
                            <a:off x="907" y="13655"/>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54" name="AutoShape 2052"/>
                        <wps:cNvCnPr>
                          <a:cxnSpLocks noChangeShapeType="1"/>
                        </wps:cNvCnPr>
                        <wps:spPr bwMode="auto">
                          <a:xfrm>
                            <a:off x="907" y="15400"/>
                            <a:ext cx="986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g:grpSp>
                    <wpg:grpSp>
                      <wpg:cNvPr id="58" name="Group 2053"/>
                      <wpg:cNvGrpSpPr>
                        <a:grpSpLocks/>
                      </wpg:cNvGrpSpPr>
                      <wpg:grpSpPr bwMode="auto">
                        <a:xfrm>
                          <a:off x="1633" y="567"/>
                          <a:ext cx="9251" cy="15704"/>
                          <a:chOff x="1635" y="567"/>
                          <a:chExt cx="9251" cy="15704"/>
                        </a:xfrm>
                      </wpg:grpSpPr>
                      <wps:wsp>
                        <wps:cNvPr id="59" name="AutoShape 2054"/>
                        <wps:cNvCnPr>
                          <a:cxnSpLocks noChangeShapeType="1"/>
                        </wps:cNvCnPr>
                        <wps:spPr bwMode="auto">
                          <a:xfrm>
                            <a:off x="1635"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60" name="AutoShape 2055"/>
                        <wps:cNvCnPr>
                          <a:cxnSpLocks noChangeShapeType="1"/>
                        </wps:cNvCnPr>
                        <wps:spPr bwMode="auto">
                          <a:xfrm>
                            <a:off x="2476"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61" name="AutoShape 2056"/>
                        <wps:cNvCnPr>
                          <a:cxnSpLocks noChangeShapeType="1"/>
                        </wps:cNvCnPr>
                        <wps:spPr bwMode="auto">
                          <a:xfrm>
                            <a:off x="3317" y="567"/>
                            <a:ext cx="0" cy="15704"/>
                          </a:xfrm>
                          <a:prstGeom prst="straightConnector1">
                            <a:avLst/>
                          </a:prstGeom>
                          <a:noFill/>
                          <a:ln w="9525">
                            <a:solidFill>
                              <a:srgbClr val="002060"/>
                            </a:solidFill>
                            <a:round/>
                            <a:headEnd/>
                            <a:tailEnd/>
                          </a:ln>
                          <a:extLst>
                            <a:ext uri="{909E8E84-426E-40DD-AFC4-6F175D3DCCD1}">
                              <a14:hiddenFill xmlns:a14="http://schemas.microsoft.com/office/drawing/2010/main">
                                <a:noFill/>
                              </a14:hiddenFill>
                            </a:ext>
                          </a:extLst>
                        </wps:spPr>
                        <wps:bodyPr/>
                      </wps:wsp>
                      <wps:wsp>
                        <wps:cNvPr id="62" name="AutoShape 2057"/>
                        <wps:cNvCnPr>
                          <a:cxnSpLocks noChangeShapeType="1"/>
                        </wps:cNvCnPr>
                        <wps:spPr bwMode="auto">
                          <a:xfrm>
                            <a:off x="4158"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63" name="AutoShape 2058"/>
                        <wps:cNvCnPr>
                          <a:cxnSpLocks noChangeShapeType="1"/>
                        </wps:cNvCnPr>
                        <wps:spPr bwMode="auto">
                          <a:xfrm>
                            <a:off x="4999"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64" name="AutoShape 2059"/>
                        <wps:cNvCnPr>
                          <a:cxnSpLocks noChangeShapeType="1"/>
                        </wps:cNvCnPr>
                        <wps:spPr bwMode="auto">
                          <a:xfrm>
                            <a:off x="5840" y="567"/>
                            <a:ext cx="0" cy="15704"/>
                          </a:xfrm>
                          <a:prstGeom prst="straightConnector1">
                            <a:avLst/>
                          </a:prstGeom>
                          <a:noFill/>
                          <a:ln w="9525">
                            <a:solidFill>
                              <a:srgbClr val="002060"/>
                            </a:solidFill>
                            <a:round/>
                            <a:headEnd/>
                            <a:tailEnd/>
                          </a:ln>
                          <a:extLst>
                            <a:ext uri="{909E8E84-426E-40DD-AFC4-6F175D3DCCD1}">
                              <a14:hiddenFill xmlns:a14="http://schemas.microsoft.com/office/drawing/2010/main">
                                <a:noFill/>
                              </a14:hiddenFill>
                            </a:ext>
                          </a:extLst>
                        </wps:spPr>
                        <wps:bodyPr/>
                      </wps:wsp>
                      <wps:wsp>
                        <wps:cNvPr id="65" name="AutoShape 2060"/>
                        <wps:cNvCnPr>
                          <a:cxnSpLocks noChangeShapeType="1"/>
                        </wps:cNvCnPr>
                        <wps:spPr bwMode="auto">
                          <a:xfrm>
                            <a:off x="6681"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66" name="AutoShape 2061"/>
                        <wps:cNvCnPr>
                          <a:cxnSpLocks noChangeShapeType="1"/>
                        </wps:cNvCnPr>
                        <wps:spPr bwMode="auto">
                          <a:xfrm>
                            <a:off x="7522"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67" name="AutoShape 2062"/>
                        <wps:cNvCnPr>
                          <a:cxnSpLocks noChangeShapeType="1"/>
                        </wps:cNvCnPr>
                        <wps:spPr bwMode="auto">
                          <a:xfrm>
                            <a:off x="8363" y="567"/>
                            <a:ext cx="0" cy="15704"/>
                          </a:xfrm>
                          <a:prstGeom prst="straightConnector1">
                            <a:avLst/>
                          </a:prstGeom>
                          <a:noFill/>
                          <a:ln w="9525">
                            <a:solidFill>
                              <a:srgbClr val="002060"/>
                            </a:solidFill>
                            <a:round/>
                            <a:headEnd/>
                            <a:tailEnd/>
                          </a:ln>
                          <a:extLst>
                            <a:ext uri="{909E8E84-426E-40DD-AFC4-6F175D3DCCD1}">
                              <a14:hiddenFill xmlns:a14="http://schemas.microsoft.com/office/drawing/2010/main">
                                <a:noFill/>
                              </a14:hiddenFill>
                            </a:ext>
                          </a:extLst>
                        </wps:spPr>
                        <wps:bodyPr/>
                      </wps:wsp>
                      <wps:wsp>
                        <wps:cNvPr id="68" name="AutoShape 2063"/>
                        <wps:cNvCnPr>
                          <a:cxnSpLocks noChangeShapeType="1"/>
                        </wps:cNvCnPr>
                        <wps:spPr bwMode="auto">
                          <a:xfrm>
                            <a:off x="9204"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69" name="AutoShape 2064"/>
                        <wps:cNvCnPr>
                          <a:cxnSpLocks noChangeShapeType="1"/>
                        </wps:cNvCnPr>
                        <wps:spPr bwMode="auto">
                          <a:xfrm>
                            <a:off x="10045" y="567"/>
                            <a:ext cx="0" cy="15704"/>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wps:wsp>
                        <wps:cNvPr id="70" name="AutoShape 2065"/>
                        <wps:cNvCnPr>
                          <a:cxnSpLocks noChangeShapeType="1"/>
                        </wps:cNvCnPr>
                        <wps:spPr bwMode="auto">
                          <a:xfrm>
                            <a:off x="10886" y="567"/>
                            <a:ext cx="0" cy="15704"/>
                          </a:xfrm>
                          <a:prstGeom prst="straightConnector1">
                            <a:avLst/>
                          </a:prstGeom>
                          <a:noFill/>
                          <a:ln w="9525">
                            <a:solidFill>
                              <a:srgbClr val="00206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OddGrid" o:spid="_x0000_s1026" alt="Grid" style="position:absolute;margin-left:0;margin-top:0;width:544.3pt;height:841.9pt;z-index:251655168;mso-position-horizontal-relative:page;mso-position-vertical-relative:page" coordsize="10886,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">
              <v:group id="Group 2018" o:spid="_x0000_s1027" style="position:absolute;left:1021;top:567;width:9251;height:15704" coordorigin="1021,567" coordsize="9251,157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type id="_x0000_t32" coordsize="21600,21600" o:spt="32" o:oned="t" path="m,l21600,21600e" filled="f">
                  <v:path arrowok="t" fillok="f" o:connecttype="none"/>
                  <o:lock v:ext="edit" shapetype="t"/>
                </v:shapetype>
                <v:shape id="AutoShape 2019" o:spid="_x0000_s1028" type="#_x0000_t32" style="position:absolute;left:1021;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WqsMAAADbAAAADwAAAGRycy9kb3ducmV2LnhtbESPzYvCMBTE7wv7P4S34GXR1B5k6TaK&#10;+yF48qOu90fzbIrNS2lirf+9EYQ9DjPzGyZfDLYRPXW+dqxgOklAEJdO11wp+Dusxh8gfEDW2Dgm&#10;BTfysJi/vuSYaXflPfVFqESEsM9QgQmhzaT0pSGLfuJa4uidXGcxRNlVUnd4jXDbyDRJZtJizXHB&#10;YEvfhspzcbEKdr01u3D8vaSb9dd7Qj/bWXHqlRq9DctPEIGG8B9+ttdaQTqFx5f4A+T8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i1qrDAAAA2wAAAA8AAAAAAAAAAAAA&#10;AAAAoQIAAGRycy9kb3ducmV2LnhtbFBLBQYAAAAABAAEAPkAAACRAwAAAAA=&#10;" strokecolor="#002060"/>
                <v:shape id="AutoShape 2020" o:spid="_x0000_s1029" type="#_x0000_t32" style="position:absolute;left:1862;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lBBcQAAADbAAAADwAAAGRycy9kb3ducmV2LnhtbESPQWvCQBSE7wX/w/KE3uomOZQSXUVE&#10;QezFpop6e2SfSTD7NuxuNfrru4WCx2FmvmEms9604krON5YVpKMEBHFpdcOVgt336u0DhA/IGlvL&#10;pOBOHmbTwcsEc21v/EXXIlQiQtjnqKAOocul9GVNBv3IdsTRO1tnMETpKqkd3iLctDJLkndpsOG4&#10;UGNHi5rKS/FjFHzSZpfeD3Z5OraPYnterHDvUqVeh/18DCJQH57h//ZaK8gy+PsSf4C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mUEFxAAAANsAAAAPAAAAAAAAAAAA&#10;AAAAAKECAABkcnMvZG93bnJldi54bWxQSwUGAAAAAAQABAD5AAAAkgMAAAAA&#10;" strokecolor="#00b0f0"/>
                <v:shape id="AutoShape 2021" o:spid="_x0000_s1030" type="#_x0000_t32" style="position:absolute;left:2703;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XknsQAAADbAAAADwAAAGRycy9kb3ducmV2LnhtbESPQWvCQBSE74L/YXmCN91EQSR1lSIK&#10;RS82VWxvj+wzCWbfht2txv76bkHocZiZb5jFqjONuJHztWUF6TgBQVxYXXOp4PixHc1B+ICssbFM&#10;Ch7kYbXs9xaYaXvnd7rloRQRwj5DBVUIbSalLyoy6Me2JY7exTqDIUpXSu3wHuGmkZMkmUmDNceF&#10;CltaV1Rc82+jYE+7Y/o4283XZ/OTHy7rLZ5cqtRw0L2+gAjUhf/ws/2mFUym8Pcl/g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1eSexAAAANsAAAAPAAAAAAAAAAAA&#10;AAAAAKECAABkcnMvZG93bnJldi54bWxQSwUGAAAAAAQABAD5AAAAkgMAAAAA&#10;" strokecolor="#00b0f0"/>
                <v:shape id="AutoShape 2022" o:spid="_x0000_s1031" type="#_x0000_t32" style="position:absolute;left:3544;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V1MsMAAADbAAAADwAAAGRycy9kb3ducmV2LnhtbESPQWvCQBSE74L/YXmCF9FNg0iJrlKt&#10;BU+tpnp/ZJ/Z0OzbkF1j+u/dQsHjMDPfMKtNb2vRUesrxwpeZgkI4sLpiksF5++P6SsIH5A11o5J&#10;wS952KyHgxVm2t35RF0eShEh7DNUYEJoMil9Yciin7mGOHpX11oMUbal1C3eI9zWMk2ShbRYcVww&#10;2NDOUPGT36yCY2fNMVz2t/TzsJ0k9P61yK+dUuNR/7YEEagPz/B/+6AVpHP4+xJ/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VdTLDAAAA2wAAAA8AAAAAAAAAAAAA&#10;AAAAoQIAAGRycy9kb3ducmV2LnhtbFBLBQYAAAAABAAEAPkAAACRAwAAAAA=&#10;" strokecolor="#002060"/>
                <v:shape id="AutoShape 2023" o:spid="_x0000_s1032" type="#_x0000_t32" style="position:absolute;left:4385;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ZccQAAADbAAAADwAAAGRycy9kb3ducmV2LnhtbESPQWvCQBSE74L/YXmCN91EUCR1lSIK&#10;RS82VWxvj+wzCWbfht2txv76bkHocZiZb5jFqjONuJHztWUF6TgBQVxYXXOp4PixHc1B+ICssbFM&#10;Ch7kYbXs9xaYaXvnd7rloRQRwj5DBVUIbSalLyoy6Me2JY7exTqDIUpXSu3wHuGmkZMkmUmDNceF&#10;CltaV1Rc82+jYE+7Y/o4283XZ/OTHy7rLZ5cqtRw0L2+gAjUhf/ws/2mFUym8Pcl/g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cNlxxAAAANsAAAAPAAAAAAAAAAAA&#10;AAAAAKECAABkcnMvZG93bnJldi54bWxQSwUGAAAAAAQABAD5AAAAkgMAAAAA&#10;" strokecolor="#00b0f0"/>
                <v:shape id="AutoShape 2024" o:spid="_x0000_s1033" type="#_x0000_t32" style="position:absolute;left:5226;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JHBsUAAADbAAAADwAAAGRycy9kb3ducmV2LnhtbESPT2sCMRTE74LfITyhN82uBymrcSmi&#10;IO2l3Sq2t8fm7R+6eVmSVNd+eiMUPA4z8xtmlQ+mE2dyvrWsIJ0lIIhLq1uuFRw+d9NnED4ga+ws&#10;k4IrecjX49EKM20v/EHnItQiQthnqKAJoc+k9GVDBv3M9sTRq6wzGKJ0tdQOLxFuOjlPkoU02HJc&#10;aLCnTUPlT/FrFLzR6yG9nuz2+6v7K96rzQ6PLlXqaTK8LEEEGsIj/N/eawXzBdy/xB8g1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6JHBsUAAADbAAAADwAAAAAAAAAA&#10;AAAAAAChAgAAZHJzL2Rvd25yZXYueG1sUEsFBgAAAAAEAAQA+QAAAJMDAAAAAA==&#10;" strokecolor="#00b0f0"/>
                <v:shape id="AutoShape 2025" o:spid="_x0000_s1034" type="#_x0000_t32" style="position:absolute;left:6067;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frRcQAAADbAAAADwAAAGRycy9kb3ducmV2LnhtbESPQWvCQBSE74L/YXmCF6mb5mBL6kaq&#10;VfBkbdreH9mXbGj2bciuMf57t1DocZiZb5j1ZrStGKj3jWMFj8sEBHHpdMO1gq/Pw8MzCB+QNbaO&#10;ScGNPGzy6WSNmXZX/qChCLWIEPYZKjAhdJmUvjRk0S9dRxy9yvUWQ5R9LXWP1wi3rUyTZCUtNhwX&#10;DHa0M1T+FBer4DxYcw7f+0t6Om4XCb29r4pqUGo+G19fQAQaw3/4r33UCtIn+P0Sf4DM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R+tFxAAAANsAAAAPAAAAAAAAAAAA&#10;AAAAAKECAABkcnMvZG93bnJldi54bWxQSwUGAAAAAAQABAD5AAAAkgMAAAAA&#10;" strokecolor="#002060"/>
                <v:shape id="AutoShape 2026" o:spid="_x0000_s1035" type="#_x0000_t32" style="position:absolute;left:6908;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F278IAAADbAAAADwAAAGRycy9kb3ducmV2LnhtbERPz2vCMBS+D/wfwhO8zbQeZHRGkbKC&#10;uIvrHJu3R/Nsy5qXkmS29a9fDoMdP77fm91oOnEj51vLCtJlAoK4srrlWsH5vXh8AuEDssbOMimY&#10;yMNuO3vYYKbtwG90K0MtYgj7DBU0IfSZlL5qyKBf2p44clfrDIYIXS21wyGGm06ukmQtDbYcGxrs&#10;KW+o+i5/jIJXOp7T6dO+XL66e3m65gV+uFSpxXzcP4MINIZ/8Z/7oBWs4tj4Jf4Auf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XF278IAAADbAAAADwAAAAAAAAAAAAAA&#10;AAChAgAAZHJzL2Rvd25yZXYueG1sUEsFBgAAAAAEAAQA+QAAAJADAAAAAA==&#10;" strokecolor="#00b0f0"/>
                <v:shape id="AutoShape 2027" o:spid="_x0000_s1036" type="#_x0000_t32" style="position:absolute;left:7749;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3TdMQAAADbAAAADwAAAGRycy9kb3ducmV2LnhtbESPQWvCQBSE74L/YXmCN93Eg2jqKkUU&#10;il5sqtjeHtlnEsy+Dbtbjf313YLQ4zAz3zCLVWcacSPna8sK0nECgriwuuZSwfFjO5qB8AFZY2OZ&#10;FDzIw2rZ7y0w0/bO73TLQykihH2GCqoQ2kxKX1Rk0I9tSxy9i3UGQ5SulNrhPcJNIydJMpUGa44L&#10;Fba0rqi45t9GwZ52x/Rxtpuvz+YnP1zWWzy5VKnhoHt9ARGoC//hZ/tNK5jM4e9L/A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PdN0xAAAANsAAAAPAAAAAAAAAAAA&#10;AAAAAKECAABkcnMvZG93bnJldi54bWxQSwUGAAAAAAQABAD5AAAAkgMAAAAA&#10;" strokecolor="#00b0f0"/>
                <v:shape id="AutoShape 2028" o:spid="_x0000_s1037" type="#_x0000_t32" style="position:absolute;left:8590;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fl7MAAAADbAAAADwAAAGRycy9kb3ducmV2LnhtbERPy4rCMBTdC/MP4Q64EU1VkKEaxRkd&#10;cOWjo/tLc22KzU1pYu38vVkILg/nvVh1thItNb50rGA8SkAQ506XXCg4//0Ov0D4gKyxckwK/snD&#10;avnRW2Cq3YNP1GahEDGEfYoKTAh1KqXPDVn0I1cTR+7qGoshwqaQusFHDLeVnCTJTFosOTYYrOnH&#10;UH7L7lbBsbXmGC7b+2S/+x4ktDnMsmurVP+zW89BBOrCW/xy77SCaVwfv8QfIJ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l35ezAAAAA2wAAAA8AAAAAAAAAAAAAAAAA&#10;oQIAAGRycy9kb3ducmV2LnhtbFBLBQYAAAAABAAEAPkAAACOAwAAAAA=&#10;" strokecolor="#002060"/>
                <v:shape id="AutoShape 2029" o:spid="_x0000_s1038" type="#_x0000_t32" style="position:absolute;left:9431;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JJr8UAAADbAAAADwAAAGRycy9kb3ducmV2LnhtbESPT2sCMRTE70K/Q3gFb5rdFkS2xkWk&#10;QqkXu7VUb4/N2z+4eVmSVNd++qYgeBxm5jfMIh9MJ87kfGtZQTpNQBCXVrdcK9h/biZzED4ga+ws&#10;k4IreciXD6MFZtpe+IPORahFhLDPUEETQp9J6cuGDPqp7YmjV1lnMETpaqkdXiLcdPIpSWbSYMtx&#10;ocGe1g2Vp+LHKNjS+z69ftvX46H7LXbVeoNfLlVq/DisXkAEGsI9fGu/aQXPKfx/iT9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ZJJr8UAAADbAAAADwAAAAAAAAAA&#10;AAAAAAChAgAAZHJzL2Rvd25yZXYueG1sUEsFBgAAAAAEAAQA+QAAAJMDAAAAAA==&#10;" strokecolor="#00b0f0"/>
                <v:shape id="AutoShape 2030" o:spid="_x0000_s1039" type="#_x0000_t32" style="position:absolute;left:10272;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DX2MQAAADbAAAADwAAAGRycy9kb3ducmV2LnhtbESPQWvCQBSE74L/YXmCN91EQSR1lSIK&#10;RS82VWxvj+wzCWbfht2txv76bkHocZiZb5jFqjONuJHztWUF6TgBQVxYXXOp4PixHc1B+ICssbFM&#10;Ch7kYbXs9xaYaXvnd7rloRQRwj5DBVUIbSalLyoy6Me2JY7exTqDIUpXSu3wHuGmkZMkmUmDNceF&#10;CltaV1Rc82+jYE+7Y/o4283XZ/OTHy7rLZ5cqtRw0L2+gAjUhf/ws/2mFUwn8Pcl/g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QNfYxAAAANsAAAAPAAAAAAAAAAAA&#10;AAAAAKECAABkcnMvZG93bnJldi54bWxQSwUGAAAAAAQABAD5AAAAkgMAAAAA&#10;" strokecolor="#00b0f0"/>
              </v:group>
              <v:shape id="AutoShape 2031" o:spid="_x0000_s1040" type="#_x0000_t32" style="position:absolute;width:0;height:168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JBQsUAAADbAAAADwAAAGRycy9kb3ducmV2LnhtbESPT2vCQBTE74LfYXmCN7Ox0qLRVaxS&#10;7KWCf0C8PbLPJJh9G7JrkvbTdwsFj8PM/IZZrDpTioZqV1hWMI5iEMSp1QVnCs6nj9EUhPPIGkvL&#10;pOCbHKyW/d4CE21bPlBz9JkIEHYJKsi9rxIpXZqTQRfZijh4N1sb9EHWmdQ1tgFuSvkSx2/SYMFh&#10;IceKNjml9+PDKHidfnXt6Wc7Ky/vzWzvq52+7lip4aBbz0F46vwz/N/+1AomE/j7En6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JBQsUAAADbAAAADwAAAAAAAAAA&#10;AAAAAAChAgAAZHJzL2Rvd25yZXYueG1sUEsFBgAAAAAEAAQA+QAAAJMDAAAAAA==&#10;" strokecolor="#f6f"/>
              <v:shape id="AutoShape 2032" o:spid="_x0000_s1041" type="#_x0000_t32" style="position:absolute;left:794;width:0;height:168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vZNsYAAADbAAAADwAAAGRycy9kb3ducmV2LnhtbESPT2vCQBTE7wW/w/KE3nSj1WLSrGJb&#10;xF4s+AfE2yP7mgSzb0N2m6T99F1B6HGYmd8w6ao3lWipcaVlBZNxBII4s7rkXMHpuBktQDiPrLGy&#10;TAp+yMFqOXhIMdG24z21B5+LAGGXoILC+zqR0mUFGXRjWxMH78s2Bn2QTS51g12Am0pOo+hZGiw5&#10;LBRY01tB2fXwbRTMF7u+O/6+x9X5tY0/fb3Vly0r9Tjs1y8gPPX+P3xvf2gFTzO4fQk/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L2TbGAAAA2wAAAA8AAAAAAAAA&#10;AAAAAAAAoQIAAGRycy9kb3ducmV2LnhtbFBLBQYAAAAABAAEAPkAAACUAwAAAAA=&#10;" strokecolor="#f6f"/>
              <v:group id="Group 2033" o:spid="_x0000_s1042" style="position:absolute;left:1021;top:567;width:9865;height:15706" coordorigin="907,567" coordsize="9865,157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AutoShape 2034" o:spid="_x0000_s1043" type="#_x0000_t32" style="position:absolute;left:907;top:16273;width:98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LYA8QAAADbAAAADwAAAGRycy9kb3ducmV2LnhtbESPQWvCQBSE74L/YXmCF6kbLYSSupG2&#10;WvBkNW3vj+xLNjT7NmTXmP77rlDwOMzMN8xmO9pWDNT7xrGC1TIBQVw63XCt4Ovz/eEJhA/IGlvH&#10;pOCXPGzz6WSDmXZXPtNQhFpECPsMFZgQukxKXxqy6JeuI45e5XqLIcq+lrrHa4TbVq6TJJUWG44L&#10;Bjt6M1T+FBer4DRYcwrf+8v6eHhdJLT7SItqUGo+G1+eQQQawz383z5oBY8p3L7EHyD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0tgDxAAAANsAAAAPAAAAAAAAAAAA&#10;AAAAAKECAABkcnMvZG93bnJldi54bWxQSwUGAAAAAAQABAD5AAAAkgMAAAAA&#10;" strokecolor="#002060"/>
                <v:shape id="AutoShape 2035" o:spid="_x0000_s1044" type="#_x0000_t32" style="position:absolute;left:907;top:14527;width:98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d0QMUAAADbAAAADwAAAGRycy9kb3ducmV2LnhtbESPQWvCQBSE74L/YXlCb3UTC62kriKi&#10;UNpLjZG2t0f2mQSzb8PuVmN/fVcQPA4z8w0zW/SmFSdyvrGsIB0nIIhLqxuuFBS7zeMUhA/IGlvL&#10;pOBCHhbz4WCGmbZn3tIpD5WIEPYZKqhD6DIpfVmTQT+2HXH0DtYZDFG6SmqH5wg3rZwkybM02HBc&#10;qLGjVU3lMf81Cj7ovUgvX3b9893+5Z+H1Qb3LlXqYdQvX0EE6sM9fGu/aQVPL3D9En+AnP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d0QMUAAADbAAAADwAAAAAAAAAA&#10;AAAAAAChAgAAZHJzL2Rvd25yZXYueG1sUEsFBgAAAAAEAAQA+QAAAJMDAAAAAA==&#10;" strokecolor="#00b0f0"/>
                <v:shape id="AutoShape 2036" o:spid="_x0000_s1045" type="#_x0000_t32" style="position:absolute;left:907;top:567;width:98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Hp6sAAAADbAAAADwAAAGRycy9kb3ducmV2LnhtbERPy4rCMBTdC/MP4Q64EU1VkKEaxRkd&#10;cOWjo/tLc22KzU1pYu38vVkILg/nvVh1thItNb50rGA8SkAQ506XXCg4//0Ov0D4gKyxckwK/snD&#10;avnRW2Cq3YNP1GahEDGEfYoKTAh1KqXPDVn0I1cTR+7qGoshwqaQusFHDLeVnCTJTFosOTYYrOnH&#10;UH7L7lbBsbXmGC7b+2S/+x4ktDnMsmurVP+zW89BBOrCW/xy77SCaRwbv8QfIJ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cB6erAAAAA2wAAAA8AAAAAAAAAAAAAAAAA&#10;oQIAAGRycy9kb3ducmV2LnhtbFBLBQYAAAAABAAEAPkAAACOAwAAAAA=&#10;" strokecolor="#002060"/>
                <v:shape id="AutoShape 2037" o:spid="_x0000_s1046" type="#_x0000_t32" style="position:absolute;left:907;top:1439;width:98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qcUAAADbAAAADwAAAGRycy9kb3ducmV2LnhtbESPQWvCQBSE74L/YXlCb3UTC6WmriKi&#10;UNpLjZG2t0f2mQSzb8PuVmN/fVcQPA4z8w0zW/SmFSdyvrGsIB0nIIhLqxuuFBS7zeMLCB+QNbaW&#10;ScGFPCzmw8EMM23PvKVTHioRIewzVFCH0GVS+rImg35sO+LoHawzGKJ0ldQOzxFuWjlJkmdpsOG4&#10;UGNHq5rKY/5rFHzQe5Fevuz657v9yz8Pqw3uXarUw6hfvoII1Id7+NZ+0wqepnD9En+AnP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FqcUAAADbAAAADwAAAAAAAAAA&#10;AAAAAAChAgAAZHJzL2Rvd25yZXYueG1sUEsFBgAAAAAEAAQA+QAAAJMDAAAAAA==&#10;" strokecolor="#00b0f0"/>
                <v:shape id="AutoShape 2038" o:spid="_x0000_s1047" type="#_x0000_t32" style="position:absolute;left:907;top:2312;width:98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fScEAAADbAAAADwAAAGRycy9kb3ducmV2LnhtbERPz2vCMBS+D/wfwhO8zbQiMqpRRBTE&#10;XbZOUW+P5tkWm5eSRK3+9cthsOPH93u26Ewj7uR8bVlBOkxAEBdW11wq2P9s3j9A+ICssbFMCp7k&#10;YTHvvc0w0/bB33TPQyliCPsMFVQhtJmUvqjIoB/aljhyF+sMhghdKbXDRww3jRwlyUQarDk2VNjS&#10;qqLimt+Mgk/a7dPn0a7Pp+aVf11WGzy4VKlBv1tOQQTqwr/4z73VCsZxffwSf4Cc/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2J9JwQAAANsAAAAPAAAAAAAAAAAAAAAA&#10;AKECAABkcnMvZG93bnJldi54bWxQSwUGAAAAAAQABAD5AAAAjwMAAAAA&#10;" strokecolor="#00b0f0"/>
                <v:shape id="AutoShape 2039" o:spid="_x0000_s1048" type="#_x0000_t32" style="position:absolute;left:907;top:3184;width:98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Q60sUAAADbAAAADwAAAGRycy9kb3ducmV2LnhtbESPT2sCMRTE70K/Q3gFb5rdUkS2xkWk&#10;QqkXu7VUb4/N2z+4eVmSVNd++qYgeBxm5jfMIh9MJ87kfGtZQTpNQBCXVrdcK9h/biZzED4ga+ws&#10;k4IreciXD6MFZtpe+IPORahFhLDPUEETQp9J6cuGDPqp7YmjV1lnMETpaqkdXiLcdPIpSWbSYMtx&#10;ocGe1g2Vp+LHKNjS+z69ftvX46H7LXbVeoNfLlVq/DisXkAEGsI9fGu/aQXPKfx/iT9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ZQ60sUAAADbAAAADwAAAAAAAAAA&#10;AAAAAAChAgAAZHJzL2Rvd25yZXYueG1sUEsFBgAAAAAEAAQA+QAAAJMDAAAAAA==&#10;" strokecolor="#00b0f0"/>
                <v:shape id="AutoShape 2040" o:spid="_x0000_s1049" type="#_x0000_t32" style="position:absolute;left:907;top:4057;width:98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akpcQAAADbAAAADwAAAGRycy9kb3ducmV2LnhtbESPQWvCQBSE74L/YXmCN91ERCR1lSIK&#10;RS82VWxvj+wzCWbfht2txv76bkHocZiZb5jFqjONuJHztWUF6TgBQVxYXXOp4PixHc1B+ICssbFM&#10;Ch7kYbXs9xaYaXvnd7rloRQRwj5DBVUIbSalLyoy6Me2JY7exTqDIUpXSu3wHuGmkZMkmUmDNceF&#10;CltaV1Rc82+jYE+7Y/o4283XZ/OTHy7rLZ5cqtRw0L2+gAjUhf/ws/2mFUwn8Pcl/g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RqSlxAAAANsAAAAPAAAAAAAAAAAA&#10;AAAAAKECAABkcnMvZG93bnJldi54bWxQSwUGAAAAAAQABAD5AAAAkgMAAAAA&#10;" strokecolor="#00b0f0"/>
                <v:shape id="AutoShape 2041" o:spid="_x0000_s1050" type="#_x0000_t32" style="position:absolute;left:907;top:4929;width:98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oBPsUAAADbAAAADwAAAGRycy9kb3ducmV2LnhtbESPQWvCQBSE74L/YXlCb3UTW4qkriKi&#10;UNpLjZG2t0f2mQSzb8PuVmN/fVcQPA4z8w0zW/SmFSdyvrGsIB0nIIhLqxuuFBS7zeMUhA/IGlvL&#10;pOBCHhbz4WCGmbZn3tIpD5WIEPYZKqhD6DIpfVmTQT+2HXH0DtYZDFG6SmqH5wg3rZwkyYs02HBc&#10;qLGjVU3lMf81Cj7ovUgvX3b9893+5Z+H1Qb3LlXqYdQvX0EE6sM9fGu/aQXPT3D9En+AnP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goBPsUAAADbAAAADwAAAAAAAAAA&#10;AAAAAAChAgAAZHJzL2Rvd25yZXYueG1sUEsFBgAAAAAEAAQA+QAAAJMDAAAAAA==&#10;" strokecolor="#00b0f0"/>
                <v:shape id="AutoShape 2042" o:spid="_x0000_s1051" type="#_x0000_t32" style="position:absolute;left:907;top:5802;width:98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OZSsUAAADbAAAADwAAAGRycy9kb3ducmV2LnhtbESPT2sCMRTE7wW/Q3hCbzW7RUpZjYuI&#10;Qmkvdauot8fm7R/cvCxJqms/fSMUehxm5jfMPB9MJy7kfGtZQTpJQBCXVrdcK9h9bZ5eQfiArLGz&#10;TApu5CFfjB7mmGl75S1dilCLCGGfoYImhD6T0pcNGfQT2xNHr7LOYIjS1VI7vEa46eRzkrxIgy3H&#10;hQZ7WjVUnotvo+CD3nfp7WDXp2P3U3xWqw3uXarU43hYzkAEGsJ/+K/9phVMp3D/En+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eOZSsUAAADbAAAADwAAAAAAAAAA&#10;AAAAAAChAgAAZHJzL2Rvd25yZXYueG1sUEsFBgAAAAAEAAQA+QAAAJMDAAAAAA==&#10;" strokecolor="#00b0f0"/>
                <v:shape id="AutoShape 2043" o:spid="_x0000_s1052" type="#_x0000_t32" style="position:absolute;left:907;top:6674;width:98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880cUAAADbAAAADwAAAGRycy9kb3ducmV2LnhtbESPQWvCQBSE74L/YXlCb3UTaYukriKi&#10;UNpLjZG2t0f2mQSzb8PuVmN/fVcQPA4z8w0zW/SmFSdyvrGsIB0nIIhLqxuuFBS7zeMUhA/IGlvL&#10;pOBCHhbz4WCGmbZn3tIpD5WIEPYZKqhD6DIpfVmTQT+2HXH0DtYZDFG6SmqH5wg3rZwkyYs02HBc&#10;qLGjVU3lMf81Cj7ovUgvX3b9893+5Z+H1Qb3LlXqYdQvX0EE6sM9fGu/aQVPz3D9En+AnP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q880cUAAADbAAAADwAAAAAAAAAA&#10;AAAAAAChAgAAZHJzL2Rvd25yZXYueG1sUEsFBgAAAAAEAAQA+QAAAJMDAAAAAA==&#10;" strokecolor="#00b0f0"/>
                <v:shape id="AutoShape 2044" o:spid="_x0000_s1053" type="#_x0000_t32" style="position:absolute;left:907;top:7547;width:98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2ipsUAAADbAAAADwAAAGRycy9kb3ducmV2LnhtbESPT2sCMRTE70K/Q3iF3jS7UkS2xqVI&#10;BbGXdrW0vT02b//QzcuSRF399KYgeBxm5jfMIh9MJ47kfGtZQTpJQBCXVrdcK9jv1uM5CB+QNXaW&#10;ScGZPOTLh9ECM21P/EnHItQiQthnqKAJoc+k9GVDBv3E9sTRq6wzGKJ0tdQOTxFuOjlNkpk02HJc&#10;aLCnVUPlX3EwCt5pu0/P3/bt96e7FB/Vao1fLlXq6XF4fQERaAj38K290QqeZ/D/Jf4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n2ipsUAAADbAAAADwAAAAAAAAAA&#10;AAAAAAChAgAAZHJzL2Rvd25yZXYueG1sUEsFBgAAAAAEAAQA+QAAAJMDAAAAAA==&#10;" strokecolor="#00b0f0"/>
                <v:shape id="AutoShape 2045" o:spid="_x0000_s1054" type="#_x0000_t32" style="position:absolute;left:907;top:8420;width:98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EHPcUAAADbAAAADwAAAGRycy9kb3ducmV2LnhtbESPQWvCQBSE74L/YXlCb3UTKa2kriKi&#10;UNpLjZG2t0f2mQSzb8PuVmN/fVcQPA4z8w0zW/SmFSdyvrGsIB0nIIhLqxuuFBS7zeMUhA/IGlvL&#10;pOBCHhbz4WCGmbZn3tIpD5WIEPYZKqhD6DIpfVmTQT+2HXH0DtYZDFG6SmqH5wg3rZwkybM02HBc&#10;qLGjVU3lMf81Cj7ovUgvX3b9893+5Z+H1Qb3LlXqYdQvX0EE6sM9fGu/aQVPL3D9En+AnP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EHPcUAAADbAAAADwAAAAAAAAAA&#10;AAAAAAChAgAAZHJzL2Rvd25yZXYueG1sUEsFBgAAAAAEAAQA+QAAAJMDAAAAAA==&#10;" strokecolor="#00b0f0"/>
                <v:shape id="AutoShape 2046" o:spid="_x0000_s1055" type="#_x0000_t32" style="position:absolute;left:907;top:9292;width:98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6TT8EAAADbAAAADwAAAGRycy9kb3ducmV2LnhtbERPz2vCMBS+D/wfwhO8zbQiMqpRRBTE&#10;XbZOUW+P5tkWm5eSRK3+9cthsOPH93u26Ewj7uR8bVlBOkxAEBdW11wq2P9s3j9A+ICssbFMCp7k&#10;YTHvvc0w0/bB33TPQyliCPsMFVQhtJmUvqjIoB/aljhyF+sMhghdKbXDRww3jRwlyUQarDk2VNjS&#10;qqLimt+Mgk/a7dPn0a7Pp+aVf11WGzy4VKlBv1tOQQTqwr/4z73VCsZxbPwSf4Cc/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rpNPwQAAANsAAAAPAAAAAAAAAAAAAAAA&#10;AKECAABkcnMvZG93bnJldi54bWxQSwUGAAAAAAQABAD5AAAAjwMAAAAA&#10;" strokecolor="#00b0f0"/>
                <v:shape id="AutoShape 2047" o:spid="_x0000_s1056" type="#_x0000_t32" style="position:absolute;left:907;top:10165;width:98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21MUAAADbAAAADwAAAGRycy9kb3ducmV2LnhtbESPQWvCQBSE74L/YXlCb3UTKaWmriKi&#10;UNpLjZG2t0f2mQSzb8PuVmN/fVcQPA4z8w0zW/SmFSdyvrGsIB0nIIhLqxuuFBS7zeMLCB+QNbaW&#10;ScGFPCzmw8EMM23PvKVTHioRIewzVFCH0GVS+rImg35sO+LoHawzGKJ0ldQOzxFuWjlJkmdpsOG4&#10;UGNHq5rKY/5rFHzQe5Fevuz657v9yz8Pqw3uXarUw6hfvoII1Id7+NZ+0wqepnD9En+AnP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I21MUAAADbAAAADwAAAAAAAAAA&#10;AAAAAAChAgAAZHJzL2Rvd25yZXYueG1sUEsFBgAAAAAEAAQA+QAAAJMDAAAAAA==&#10;" strokecolor="#00b0f0"/>
                <v:shape id="AutoShape 2048" o:spid="_x0000_s1057" type="#_x0000_t32" style="position:absolute;left:907;top:11037;width:98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EJlMEAAADbAAAADwAAAGRycy9kb3ducmV2LnhtbERPz2vCMBS+D/wfwhO8zbSCMqpRRBTE&#10;XbZOUW+P5tkWm5eSRK3+9cthsOPH93u26Ewj7uR8bVlBOkxAEBdW11wq2P9s3j9A+ICssbFMCp7k&#10;YTHvvc0w0/bB33TPQyliCPsMFVQhtJmUvqjIoB/aljhyF+sMhghdKbXDRww3jRwlyUQarDk2VNjS&#10;qqLimt+Mgk/a7dPn0a7Pp+aVf11WGzy4VKlBv1tOQQTqwr/4z73VCsZxffwSf4Cc/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AQmUwQAAANsAAAAPAAAAAAAAAAAAAAAA&#10;AKECAABkcnMvZG93bnJldi54bWxQSwUGAAAAAAQABAD5AAAAjwMAAAAA&#10;" strokecolor="#00b0f0"/>
                <v:shape id="AutoShape 2049" o:spid="_x0000_s1058" type="#_x0000_t32" style="position:absolute;left:907;top:11910;width:98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2sD8UAAADbAAAADwAAAGRycy9kb3ducmV2LnhtbESPT2sCMRTE70K/Q3gFb5rdQkW2xkWk&#10;QqkXu7VUb4/N2z+4eVmSVNd++qYgeBxm5jfMIh9MJ87kfGtZQTpNQBCXVrdcK9h/biZzED4ga+ws&#10;k4IreciXD6MFZtpe+IPORahFhLDPUEETQp9J6cuGDPqp7YmjV1lnMETpaqkdXiLcdPIpSWbSYMtx&#10;ocGe1g2Vp+LHKNjS+z69ftvX46H7LXbVeoNfLlVq/DisXkAEGsI9fGu/aQXPKfx/iT9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E2sD8UAAADbAAAADwAAAAAAAAAA&#10;AAAAAAChAgAAZHJzL2Rvd25yZXYueG1sUEsFBgAAAAAEAAQA+QAAAJMDAAAAAA==&#10;" strokecolor="#00b0f0"/>
                <v:shape id="AutoShape 2050" o:spid="_x0000_s1059" type="#_x0000_t32" style="position:absolute;left:907;top:12782;width:98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8yeMQAAADbAAAADwAAAGRycy9kb3ducmV2LnhtbESPQWvCQBSE74L/YXmCN91EUCR1lSIK&#10;RS82VWxvj+wzCWbfht2txv76bkHocZiZb5jFqjONuJHztWUF6TgBQVxYXXOp4PixHc1B+ICssbFM&#10;Ch7kYbXs9xaYaXvnd7rloRQRwj5DBVUIbSalLyoy6Me2JY7exTqDIUpXSu3wHuGmkZMkmUmDNceF&#10;CltaV1Rc82+jYE+7Y/o4283XZ/OTHy7rLZ5cqtRw0L2+gAjUhf/ws/2mFUwn8Pcl/g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nzJ4xAAAANsAAAAPAAAAAAAAAAAA&#10;AAAAAKECAABkcnMvZG93bnJldi54bWxQSwUGAAAAAAQABAD5AAAAkgMAAAAA&#10;" strokecolor="#00b0f0"/>
                <v:shape id="AutoShape 2051" o:spid="_x0000_s1060" type="#_x0000_t32" style="position:absolute;left:907;top:13655;width:98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OX48UAAADbAAAADwAAAGRycy9kb3ducmV2LnhtbESPQWvCQBSE74L/YXlCb3UTS4ukriKi&#10;UNpLjZG2t0f2mQSzb8PuVmN/fVcQPA4z8w0zW/SmFSdyvrGsIB0nIIhLqxuuFBS7zeMUhA/IGlvL&#10;pOBCHhbz4WCGmbZn3tIpD5WIEPYZKqhD6DIpfVmTQT+2HXH0DtYZDFG6SmqH5wg3rZwkyYs02HBc&#10;qLGjVU3lMf81Cj7ovUgvX3b9893+5Z+H1Qb3LlXqYdQvX0EE6sM9fGu/aQXPT3D9En+AnP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9OX48UAAADbAAAADwAAAAAAAAAA&#10;AAAAAAChAgAAZHJzL2Rvd25yZXYueG1sUEsFBgAAAAAEAAQA+QAAAJMDAAAAAA==&#10;" strokecolor="#00b0f0"/>
                <v:shape id="AutoShape 2052" o:spid="_x0000_s1061" type="#_x0000_t32" style="position:absolute;left:907;top:15400;width:98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oPl8UAAADbAAAADwAAAGRycy9kb3ducmV2LnhtbESPQWvCQBSE74L/YXlCb3UTaYukriKi&#10;UNpLjZG2t0f2mQSzb8PuVmN/fVcQPA4z8w0zW/SmFSdyvrGsIB0nIIhLqxuuFBS7zeMUhA/IGlvL&#10;pOBCHhbz4WCGmbZn3tIpD5WIEPYZKqhD6DIpfVmTQT+2HXH0DtYZDFG6SmqH5wg3rZwkyYs02HBc&#10;qLGjVU3lMf81Cj7ovUgvX3b9893+5Z+H1Qb3LlXqYdQvX0EE6sM9fGu/aQXPT3D9En+AnP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DoPl8UAAADbAAAADwAAAAAAAAAA&#10;AAAAAAChAgAAZHJzL2Rvd25yZXYueG1sUEsFBgAAAAAEAAQA+QAAAJMDAAAAAA==&#10;" strokecolor="#00b0f0"/>
              </v:group>
              <v:group id="Group 2053" o:spid="_x0000_s1062" style="position:absolute;left:1633;top:567;width:9251;height:15704" coordorigin="1635,567" coordsize="9251,157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AutoShape 2054" o:spid="_x0000_s1063" type="#_x0000_t32" style="position:absolute;left:1635;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ugCcUAAADbAAAADwAAAGRycy9kb3ducmV2LnhtbESPQWvCQBSE74L/YXlCb3UToaWmriKi&#10;UNpLjZG2t0f2mQSzb8PuVmN/fVcQPA4z8w0zW/SmFSdyvrGsIB0nIIhLqxuuFBS7zeMLCB+QNbaW&#10;ScGFPCzmw8EMM23PvKVTHioRIewzVFCH0GVS+rImg35sO+LoHawzGKJ0ldQOzxFuWjlJkmdpsOG4&#10;UGNHq5rKY/5rFHzQe5Fevuz657v9yz8Pqw3uXarUw6hfvoII1Id7+NZ+0wqepnD9En+AnP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jugCcUAAADbAAAADwAAAAAAAAAA&#10;AAAAAAChAgAAZHJzL2Rvd25yZXYueG1sUEsFBgAAAAAEAAQA+QAAAJMDAAAAAA==&#10;" strokecolor="#00b0f0"/>
                <v:shape id="AutoShape 2055" o:spid="_x0000_s1064" type="#_x0000_t32" style="position:absolute;left:2476;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3DKcEAAADbAAAADwAAAGRycy9kb3ducmV2LnhtbERPTYvCMBC9L/gfwgje1rQeZOkaRURB&#10;1otbXdTb0IxtsZmUJKvVX28OgsfH+57MOtOIKzlfW1aQDhMQxIXVNZcK9rvV5xcIH5A1NpZJwZ08&#10;zKa9jwlm2t74l655KEUMYZ+hgiqENpPSFxUZ9EPbEkfubJ3BEKErpXZ4i+GmkaMkGUuDNceGClta&#10;VFRc8n+jYEM/+/R+sMvTsXnk2/NihX8uVWrQ7+bfIAJ14S1+uddawTiuj1/iD5DT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bcMpwQAAANsAAAAPAAAAAAAAAAAAAAAA&#10;AKECAABkcnMvZG93bnJldi54bWxQSwUGAAAAAAQABAD5AAAAjwMAAAAA&#10;" strokecolor="#00b0f0"/>
                <v:shape id="AutoShape 2056" o:spid="_x0000_s1065" type="#_x0000_t32" style="position:absolute;left:3317;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hvasMAAADbAAAADwAAAGRycy9kb3ducmV2LnhtbESPQWvCQBSE7wX/w/IEL0U3eggluora&#10;Cp6qRr0/ss9sMPs2ZNeY/vtuQehxmJlvmMWqt7XoqPWVYwXTSQKCuHC64lLB5bwbf4DwAVlj7ZgU&#10;/JCH1XLwtsBMuyefqMtDKSKEfYYKTAhNJqUvDFn0E9cQR+/mWoshyraUusVnhNtazpIklRYrjgsG&#10;G9oaKu75wyo4dtYcw/XrMfveb94T+jyk+a1TajTs13MQgfrwH36191pBOoW/L/E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Ib2rDAAAA2wAAAA8AAAAAAAAAAAAA&#10;AAAAoQIAAGRycy9kb3ducmV2LnhtbFBLBQYAAAAABAAEAPkAAACRAwAAAAA=&#10;" strokecolor="#002060"/>
                <v:shape id="AutoShape 2057" o:spid="_x0000_s1066" type="#_x0000_t32" style="position:absolute;left:4158;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P4xcUAAADbAAAADwAAAGRycy9kb3ducmV2LnhtbESPT2sCMRTE74LfITyhN82uBymrcSmi&#10;IO2l3Sq2t8fm7R+6eVmSVNd+eiMUPA4z8xtmlQ+mE2dyvrWsIJ0lIIhLq1uuFRw+d9NnED4ga+ws&#10;k4IrecjX49EKM20v/EHnItQiQthnqKAJoc+k9GVDBv3M9sTRq6wzGKJ0tdQOLxFuOjlPkoU02HJc&#10;aLCnTUPlT/FrFLzR6yG9nuz2+6v7K96rzQ6PLlXqaTK8LEEEGsIj/N/eawWLOdy/xB8g1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vP4xcUAAADbAAAADwAAAAAAAAAA&#10;AAAAAAChAgAAZHJzL2Rvd25yZXYueG1sUEsFBgAAAAAEAAQA+QAAAJMDAAAAAA==&#10;" strokecolor="#00b0f0"/>
                <v:shape id="AutoShape 2058" o:spid="_x0000_s1067" type="#_x0000_t32" style="position:absolute;left:4999;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9dXsUAAADbAAAADwAAAGRycy9kb3ducmV2LnhtbESPT2sCMRTE70K/Q3iF3jS7FkS2xqVI&#10;BbGXdrW0vT02b//QzcuSRF399KYgeBxm5jfMIh9MJ47kfGtZQTpJQBCXVrdcK9jv1uM5CB+QNXaW&#10;ScGZPOTLh9ECM21P/EnHItQiQthnqKAJoc+k9GVDBv3E9sTRq6wzGKJ0tdQOTxFuOjlNkpk02HJc&#10;aLCnVUPlX3EwCt5pu0/P3/bt96e7FB/Vao1fLlXq6XF4fQERaAj38K290Qpmz/D/Jf4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9dXsUAAADbAAAADwAAAAAAAAAA&#10;AAAAAAChAgAAZHJzL2Rvd25yZXYueG1sUEsFBgAAAAAEAAQA+QAAAJMDAAAAAA==&#10;" strokecolor="#00b0f0"/>
                <v:shape id="AutoShape 2059" o:spid="_x0000_s1068" type="#_x0000_t32" style="position:absolute;left:5840;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M8sQAAADbAAAADwAAAGRycy9kb3ducmV2LnhtbESPQWvCQBSE74L/YXmCF6kbpYSSupG2&#10;WvBkNW3vj+xLNjT7NmTXmP77rlDwOMzMN8xmO9pWDNT7xrGC1TIBQVw63XCt4Ovz/eEJhA/IGlvH&#10;pOCXPGzz6WSDmXZXPtNQhFpECPsMFZgQukxKXxqy6JeuI45e5XqLIcq+lrrHa4TbVq6TJJUWG44L&#10;Bjt6M1T+FBer4DRYcwrf+8v6eHhdJLT7SItqUGo+G1+eQQQawz383z5oBekj3L7EHyD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8zyxAAAANsAAAAPAAAAAAAAAAAA&#10;AAAAAKECAABkcnMvZG93bnJldi54bWxQSwUGAAAAAAQABAD5AAAAkgMAAAAA&#10;" strokecolor="#002060"/>
                <v:shape id="AutoShape 2060" o:spid="_x0000_s1069" type="#_x0000_t32" style="position:absolute;left:6681;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pgscUAAADbAAAADwAAAGRycy9kb3ducmV2LnhtbESPT2sCMRTE70K/Q3iF3jS7QkW2xqVI&#10;BbGXdrW0vT02b//QzcuSRF399KYgeBxm5jfMIh9MJ47kfGtZQTpJQBCXVrdcK9jv1uM5CB+QNXaW&#10;ScGZPOTLh9ECM21P/EnHItQiQthnqKAJoc+k9GVDBv3E9sTRq6wzGKJ0tdQOTxFuOjlNkpk02HJc&#10;aLCnVUPlX3EwCt5pu0/P3/bt96e7FB/Vao1fLlXq6XF4fQERaAj38K290Qpmz/D/Jf4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RpgscUAAADbAAAADwAAAAAAAAAA&#10;AAAAAAChAgAAZHJzL2Rvd25yZXYueG1sUEsFBgAAAAAEAAQA+QAAAJMDAAAAAA==&#10;" strokecolor="#00b0f0"/>
                <v:shape id="AutoShape 2061" o:spid="_x0000_s1070" type="#_x0000_t32" style="position:absolute;left:7522;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j+xsQAAADbAAAADwAAAGRycy9kb3ducmV2LnhtbESPQWvCQBSE7wX/w/IEb3UTD6FEVxFR&#10;kHppU0W9PbLPJJh9G3a3Gvvru4WCx2FmvmFmi9604kbON5YVpOMEBHFpdcOVgv3X5vUNhA/IGlvL&#10;pOBBHhbzwcsMc23v/Em3IlQiQtjnqKAOocul9GVNBv3YdsTRu1hnMETpKqkd3iPctHKSJJk02HBc&#10;qLGjVU3ltfg2Cnb0vk8fR7s+n9qf4uOy2uDBpUqNhv1yCiJQH57h//ZWK8gy+PsSf4C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yP7GxAAAANsAAAAPAAAAAAAAAAAA&#10;AAAAAKECAABkcnMvZG93bnJldi54bWxQSwUGAAAAAAQABAD5AAAAkgMAAAAA&#10;" strokecolor="#00b0f0"/>
                <v:shape id="AutoShape 2062" o:spid="_x0000_s1071" type="#_x0000_t32" style="position:absolute;left:8363;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1ShcMAAADbAAAADwAAAGRycy9kb3ducmV2LnhtbESPQWvCQBSE70L/w/IKvYhu6iGV6Cpq&#10;K3iyNur9kX1mg9m3IbvG+O/dQqHHYWa+YebL3taio9ZXjhW8jxMQxIXTFZcKTsftaArCB2SNtWNS&#10;8CAPy8XLYI6Zdnf+oS4PpYgQ9hkqMCE0mZS+MGTRj11DHL2Lay2GKNtS6hbvEW5rOUmSVFqsOC4Y&#10;bGhjqLjmN6vg0FlzCOev22S/Ww8T+vxO80un1Ntrv5qBCNSH//Bfe6cVpB/w+yX+ALl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tUoXDAAAA2wAAAA8AAAAAAAAAAAAA&#10;AAAAoQIAAGRycy9kb3ducmV2LnhtbFBLBQYAAAAABAAEAPkAAACRAwAAAAA=&#10;" strokecolor="#002060"/>
                <v:shape id="AutoShape 2063" o:spid="_x0000_s1072" type="#_x0000_t32" style="position:absolute;left:9204;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vPL8EAAADbAAAADwAAAGRycy9kb3ducmV2LnhtbERPTYvCMBC9L/gfwgje1rQeZOkaRURB&#10;1otbXdTb0IxtsZmUJKvVX28OgsfH+57MOtOIKzlfW1aQDhMQxIXVNZcK9rvV5xcIH5A1NpZJwZ08&#10;zKa9jwlm2t74l655KEUMYZ+hgiqENpPSFxUZ9EPbEkfubJ3BEKErpXZ4i+GmkaMkGUuDNceGClta&#10;VFRc8n+jYEM/+/R+sMvTsXnk2/NihX8uVWrQ7+bfIAJ14S1+uddawTiOjV/iD5DT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G88vwQAAANsAAAAPAAAAAAAAAAAAAAAA&#10;AKECAABkcnMvZG93bnJldi54bWxQSwUGAAAAAAQABAD5AAAAjwMAAAAA&#10;" strokecolor="#00b0f0"/>
                <v:shape id="AutoShape 2064" o:spid="_x0000_s1073" type="#_x0000_t32" style="position:absolute;left:10045;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dqtMUAAADbAAAADwAAAGRycy9kb3ducmV2LnhtbESPT2sCMRTE7wW/Q3hCbzW7PUi7GhcR&#10;hdJe6lZRb4/N2z+4eVmSVNd++kYo9DjMzG+YeT6YTlzI+daygnSSgCAurW65VrD72jy9gPABWWNn&#10;mRTcyEO+GD3MMdP2ylu6FKEWEcI+QwVNCH0mpS8bMugntieOXmWdwRClq6V2eI1w08nnJJlKgy3H&#10;hQZ7WjVUnotvo+CD3nfp7WDXp2P3U3xWqw3uXarU43hYzkAEGsJ/+K/9phVMX+H+Jf4A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FdqtMUAAADbAAAADwAAAAAAAAAA&#10;AAAAAAChAgAAZHJzL2Rvd25yZXYueG1sUEsFBgAAAAAEAAQA+QAAAJMDAAAAAA==&#10;" strokecolor="#00b0f0"/>
                <v:shape id="AutoShape 2065" o:spid="_x0000_s1074" type="#_x0000_t32" style="position:absolute;left:10886;top:567;width:0;height:15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1cLMEAAADbAAAADwAAAGRycy9kb3ducmV2LnhtbERPu27CMBTdK/EP1kXqUhWnGSgKGFRo&#10;kTK1EMp+FV/iqPF1FDsP/r4eKnU8Ou/NbrKNGKjztWMFL4sEBHHpdM2Vgu/L8XkFwgdkjY1jUnAn&#10;D7vt7GGDmXYjn2koQiViCPsMFZgQ2kxKXxqy6BeuJY7czXUWQ4RdJXWHYwy3jUyTZCkt1hwbDLZ0&#10;MFT+FL1VcBqsOYXrR59+5vunhN6/lsVtUOpxPr2tQQSawr/4z51rBa9xffwSf4D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VwswQAAANsAAAAPAAAAAAAAAAAAAAAA&#10;AKECAABkcnMvZG93bnJldi54bWxQSwUGAAAAAAQABAD5AAAAjwMAAAAA&#10;" strokecolor="#002060"/>
              </v:group>
              <w10:wrap anchorx="page" anchory="page"/>
            </v:group>
          </w:pict>
        </mc:Fallback>
      </mc:AlternateConten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6B4" w:rsidRPr="005B4BF3" w:rsidRDefault="00FE56B4" w:rsidP="005B4BF3">
    <w:pPr>
      <w:pStyle w:val="Header"/>
    </w:pPr>
    <w:r>
      <w:rPr>
        <w:noProof/>
        <w:snapToGrid/>
        <w:lang w:eastAsia="en-AU"/>
      </w:rPr>
      <mc:AlternateContent>
        <mc:Choice Requires="wps">
          <w:drawing>
            <wp:anchor distT="0" distB="0" distL="114300" distR="114300" simplePos="0" relativeHeight="251674624" behindDoc="1" locked="1" layoutInCell="1" allowOverlap="1" wp14:anchorId="7F0C172C" wp14:editId="0DE1E15B">
              <wp:simplePos x="0" y="0"/>
              <wp:positionH relativeFrom="page">
                <wp:posOffset>268605</wp:posOffset>
              </wp:positionH>
              <wp:positionV relativeFrom="page">
                <wp:posOffset>259080</wp:posOffset>
              </wp:positionV>
              <wp:extent cx="7041515" cy="10173335"/>
              <wp:effectExtent l="0" t="0" r="26035" b="18415"/>
              <wp:wrapNone/>
              <wp:docPr id="185" name="Rectangle 185" descr="This image is standard PwC branding for the back cover of PwC reports of this type. It does not contain any information specific to this report, though it does present the following text:&#10;&#10;pwc.com.au&#10;&#10;© 2015 PricewaterhouseCoopers. All rights reserved.&#10;PwC refers to the Australian member firm, and may sometimes refer to the PwC network.&#10;Each member firm is a separate legal entity. Please see www.pwc.com/structure for further details.&#10;&#10;Liability limited by a scheme approved under Professional Standards Legislation&#10;" title="PwC back cover branding"/>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ltGray">
                      <a:xfrm>
                        <a:off x="0" y="0"/>
                        <a:ext cx="7041515" cy="10173335"/>
                      </a:xfrm>
                      <a:prstGeom prst="rect">
                        <a:avLst/>
                      </a:prstGeom>
                      <a:solidFill>
                        <a:schemeClr val="tx2"/>
                      </a:solidFill>
                      <a:ln w="0" cmpd="sng">
                        <a:solidFill>
                          <a:schemeClr val="tx2"/>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5" o:spid="_x0000_s1026" alt="Title: PwC back cover branding - Description: This image is standard PwC branding for the back cover of PwC reports of this type. It does not contain any information specific to this report, though it does present the following text:&#10;&#10;pwc.com.au&#10;&#10;© 2015 PricewaterhouseCoopers. All rights reserved.&#10;PwC refers to the Australian member firm, and may sometimes refer to the PwC network.&#10;Each member firm is a separate legal entity. Please see www.pwc.com/structure for further details.&#10;&#10;Liability limited by a scheme approved under Professional Standards Legislation&#10;" style="position:absolute;margin-left:21.15pt;margin-top:20.4pt;width:554.45pt;height:801.0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bwmode="light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" fillcolor="#a32020 [3215]" strokecolor="#a32020 [3215]" strokeweight="0">
              <v:path arrowok="t"/>
              <w10:wrap anchorx="page" anchory="page"/>
              <w10:anchorlock/>
            </v:rect>
          </w:pict>
        </mc:Fallback>
      </mc:AlternateConten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6B4" w:rsidRPr="00A84ADF" w:rsidRDefault="00FE56B4" w:rsidP="003333C5">
    <w:pPr>
      <w:pStyle w:val="Header-Even"/>
    </w:pPr>
  </w:p>
  <w:p w:rsidR="00FE56B4" w:rsidRPr="003333C5" w:rsidRDefault="00FE56B4" w:rsidP="003333C5">
    <w:pPr>
      <w:pStyle w:val="Header"/>
    </w:pPr>
    <w:r>
      <w:rPr>
        <w:noProof/>
        <w:snapToGrid/>
        <w:lang w:eastAsia="en-AU"/>
      </w:rPr>
      <mc:AlternateContent>
        <mc:Choice Requires="wps">
          <w:drawing>
            <wp:anchor distT="0" distB="0" distL="114300" distR="114300" simplePos="1" relativeHeight="251658240" behindDoc="1" locked="1" layoutInCell="1" allowOverlap="1" wp14:anchorId="4F90C822" wp14:editId="005A9EB1">
              <wp:simplePos x="0" y="0"/>
              <wp:positionH relativeFrom="page">
                <wp:posOffset>259080</wp:posOffset>
              </wp:positionH>
              <wp:positionV relativeFrom="page">
                <wp:posOffset>259080</wp:posOffset>
              </wp:positionV>
              <wp:extent cx="7041600" cy="10173600"/>
              <wp:effectExtent l="0" t="0" r="26035" b="18415"/>
              <wp:wrapNone/>
              <wp:docPr id="3" name="Rectangle 3" descr="BackCoverBlock"/>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ltGray">
                      <a:xfrm>
                        <a:off x="0" y="0"/>
                        <a:ext cx="7041600" cy="10173600"/>
                      </a:xfrm>
                      <a:prstGeom prst="rect">
                        <a:avLst/>
                      </a:prstGeom>
                      <a:solidFill>
                        <a:schemeClr val="tx2"/>
                      </a:solidFill>
                      <a:ln w="0" cmpd="sng">
                        <a:solidFill>
                          <a:schemeClr val="tx2"/>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alt="BackCoverBlock" style="position:absolute;margin-left:20.4pt;margin-top:20.4pt;width:554.45pt;height:801.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bwmode="light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" fillcolor="#a32020 [3215]" strokecolor="#a32020 [3215]" strokeweight="0">
              <v:path arrowok="t"/>
              <w10:wrap anchorx="page" anchory="page"/>
              <w10:anchorlock/>
            </v:rect>
          </w:pict>
        </mc:Fallback>
      </mc:AlternateConten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6B4" w:rsidRDefault="00FE56B4" w:rsidP="005236F7">
    <w:pPr>
      <w:pStyle w:val="Header"/>
    </w:pPr>
  </w:p>
  <w:p w:rsidR="00FE56B4" w:rsidRDefault="00FE56B4" w:rsidP="005236F7">
    <w:pPr>
      <w:pStyle w:val="Header"/>
    </w:pPr>
  </w:p>
  <w:p w:rsidR="00FE56B4" w:rsidRDefault="00FE56B4" w:rsidP="005236F7">
    <w:pPr>
      <w:pStyle w:val="Header"/>
    </w:pPr>
  </w:p>
  <w:p w:rsidR="00FE56B4" w:rsidRPr="005236F7" w:rsidRDefault="00FE56B4" w:rsidP="005236F7">
    <w:pPr>
      <w:pStyle w:val="Header"/>
    </w:pPr>
    <w:r>
      <w:rPr>
        <w:noProof/>
        <w:snapToGrid/>
        <w:lang w:eastAsia="en-AU"/>
      </w:rPr>
      <mc:AlternateContent>
        <mc:Choice Requires="wps">
          <w:drawing>
            <wp:anchor distT="0" distB="0" distL="114300" distR="114300" simplePos="1" relativeHeight="251659264" behindDoc="1" locked="1" layoutInCell="1" allowOverlap="1" wp14:anchorId="51AE374F" wp14:editId="238CC325">
              <wp:simplePos x="0" y="0"/>
              <wp:positionH relativeFrom="page">
                <wp:posOffset>259080</wp:posOffset>
              </wp:positionH>
              <wp:positionV relativeFrom="page">
                <wp:posOffset>259080</wp:posOffset>
              </wp:positionV>
              <wp:extent cx="7041600" cy="10173600"/>
              <wp:effectExtent l="0" t="0" r="26035" b="18415"/>
              <wp:wrapNone/>
              <wp:docPr id="4" name="Rectangle 4" descr="BackCoverBlock"/>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ltGray">
                      <a:xfrm>
                        <a:off x="0" y="0"/>
                        <a:ext cx="7041600" cy="10173600"/>
                      </a:xfrm>
                      <a:prstGeom prst="rect">
                        <a:avLst/>
                      </a:prstGeom>
                      <a:solidFill>
                        <a:schemeClr val="tx2"/>
                      </a:solidFill>
                      <a:ln w="0" cmpd="sng">
                        <a:solidFill>
                          <a:schemeClr val="tx2"/>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alt="BackCoverBlock" style="position:absolute;margin-left:20.4pt;margin-top:20.4pt;width:554.45pt;height:801.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bwmode="light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" fillcolor="#a32020 [3215]" strokecolor="#a32020 [3215]" strokeweight="0">
              <v:path arrowok="t"/>
              <w10:wrap anchorx="page" anchory="page"/>
              <w10:anchorlock/>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6B4" w:rsidRPr="000F4EB8" w:rsidRDefault="00FE56B4" w:rsidP="000F4EB8">
    <w:pPr>
      <w:pStyle w:val="URLCover"/>
      <w:rPr>
        <w:rFonts w:eastAsia="+mn-ea"/>
      </w:rPr>
    </w:pPr>
    <w:r>
      <w:rPr>
        <w:noProof/>
        <w:snapToGrid/>
        <w:lang w:eastAsia="en-AU"/>
      </w:rPr>
      <mc:AlternateContent>
        <mc:Choice Requires="wpg">
          <w:drawing>
            <wp:anchor distT="0" distB="0" distL="114300" distR="114300" simplePos="0" relativeHeight="251670528" behindDoc="0" locked="0" layoutInCell="1" allowOverlap="1" wp14:anchorId="46453D65" wp14:editId="69511EC9">
              <wp:simplePos x="0" y="0"/>
              <wp:positionH relativeFrom="page">
                <wp:posOffset>2033905</wp:posOffset>
              </wp:positionH>
              <wp:positionV relativeFrom="page">
                <wp:posOffset>806450</wp:posOffset>
              </wp:positionV>
              <wp:extent cx="5351145" cy="8866505"/>
              <wp:effectExtent l="0" t="0" r="1905" b="0"/>
              <wp:wrapNone/>
              <wp:docPr id="169" name="Group 5448" descr="This image is a branded backdrop to the document title. It is standard across all PwC reports of this type." title="PwC Branding"/>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1145" cy="8866505"/>
                        <a:chOff x="3311" y="1531"/>
                        <a:chExt cx="8202" cy="13765"/>
                      </a:xfrm>
                    </wpg:grpSpPr>
                    <wps:wsp>
                      <wps:cNvPr id="170" name="Rectangle 5449"/>
                      <wps:cNvSpPr>
                        <a:spLocks noChangeArrowheads="1"/>
                      </wps:cNvSpPr>
                      <wps:spPr bwMode="auto">
                        <a:xfrm>
                          <a:off x="3311" y="8418"/>
                          <a:ext cx="7460" cy="6878"/>
                        </a:xfrm>
                        <a:prstGeom prst="rect">
                          <a:avLst/>
                        </a:prstGeom>
                        <a:solidFill>
                          <a:srgbClr val="F3BC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 name="Rectangle 5450"/>
                      <wps:cNvSpPr>
                        <a:spLocks noChangeArrowheads="1"/>
                      </wps:cNvSpPr>
                      <wps:spPr bwMode="auto">
                        <a:xfrm>
                          <a:off x="3311" y="1531"/>
                          <a:ext cx="6314" cy="13765"/>
                        </a:xfrm>
                        <a:prstGeom prst="rect">
                          <a:avLst/>
                        </a:prstGeom>
                        <a:solidFill>
                          <a:srgbClr val="EE9C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 name="Rectangle 5451"/>
                      <wps:cNvSpPr>
                        <a:spLocks noChangeArrowheads="1"/>
                      </wps:cNvSpPr>
                      <wps:spPr bwMode="auto">
                        <a:xfrm>
                          <a:off x="3311" y="10138"/>
                          <a:ext cx="8202" cy="5158"/>
                        </a:xfrm>
                        <a:prstGeom prst="rect">
                          <a:avLst/>
                        </a:prstGeom>
                        <a:solidFill>
                          <a:srgbClr val="F3BE2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Rectangle 5452"/>
                      <wps:cNvSpPr>
                        <a:spLocks noChangeArrowheads="1"/>
                      </wps:cNvSpPr>
                      <wps:spPr bwMode="auto">
                        <a:xfrm>
                          <a:off x="3311" y="2399"/>
                          <a:ext cx="6929" cy="12897"/>
                        </a:xfrm>
                        <a:prstGeom prst="rect">
                          <a:avLst/>
                        </a:prstGeom>
                        <a:solidFill>
                          <a:srgbClr val="E669A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 name="Rectangle 5453"/>
                      <wps:cNvSpPr>
                        <a:spLocks noChangeArrowheads="1"/>
                      </wps:cNvSpPr>
                      <wps:spPr bwMode="auto">
                        <a:xfrm>
                          <a:off x="3311" y="10138"/>
                          <a:ext cx="7460" cy="5158"/>
                        </a:xfrm>
                        <a:prstGeom prst="rect">
                          <a:avLst/>
                        </a:prstGeom>
                        <a:solidFill>
                          <a:srgbClr val="E88C1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Rectangle 5454"/>
                      <wps:cNvSpPr>
                        <a:spLocks noChangeArrowheads="1"/>
                      </wps:cNvSpPr>
                      <wps:spPr bwMode="auto">
                        <a:xfrm>
                          <a:off x="3311" y="2399"/>
                          <a:ext cx="6314" cy="12897"/>
                        </a:xfrm>
                        <a:prstGeom prst="rect">
                          <a:avLst/>
                        </a:prstGeom>
                        <a:solidFill>
                          <a:srgbClr val="D7402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 name="Rectangle 5455"/>
                      <wps:cNvSpPr>
                        <a:spLocks noChangeArrowheads="1"/>
                      </wps:cNvSpPr>
                      <wps:spPr bwMode="auto">
                        <a:xfrm>
                          <a:off x="3311" y="8418"/>
                          <a:ext cx="6929" cy="6878"/>
                        </a:xfrm>
                        <a:prstGeom prst="rect">
                          <a:avLst/>
                        </a:prstGeom>
                        <a:solidFill>
                          <a:srgbClr val="DB4D5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 name="Rectangle 5456"/>
                      <wps:cNvSpPr>
                        <a:spLocks noChangeArrowheads="1"/>
                      </wps:cNvSpPr>
                      <wps:spPr bwMode="auto">
                        <a:xfrm>
                          <a:off x="3311" y="10138"/>
                          <a:ext cx="6929" cy="5158"/>
                        </a:xfrm>
                        <a:prstGeom prst="rect">
                          <a:avLst/>
                        </a:prstGeom>
                        <a:solidFill>
                          <a:srgbClr val="D13A0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 name="Rectangle 5457"/>
                      <wps:cNvSpPr>
                        <a:spLocks noChangeArrowheads="1"/>
                      </wps:cNvSpPr>
                      <wps:spPr bwMode="auto">
                        <a:xfrm>
                          <a:off x="3311" y="8418"/>
                          <a:ext cx="6314" cy="6878"/>
                        </a:xfrm>
                        <a:prstGeom prst="rect">
                          <a:avLst/>
                        </a:prstGeom>
                        <a:solidFill>
                          <a:srgbClr val="CD2F1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Rectangle 5458"/>
                      <wps:cNvSpPr>
                        <a:spLocks noChangeArrowheads="1"/>
                      </wps:cNvSpPr>
                      <wps:spPr bwMode="auto">
                        <a:xfrm>
                          <a:off x="3311" y="10138"/>
                          <a:ext cx="6314" cy="5158"/>
                        </a:xfrm>
                        <a:prstGeom prst="rect">
                          <a:avLst/>
                        </a:prstGeom>
                        <a:solidFill>
                          <a:srgbClr val="C4230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 name="Rectangle 5459"/>
                      <wps:cNvSpPr>
                        <a:spLocks noChangeArrowheads="1"/>
                      </wps:cNvSpPr>
                      <wps:spPr bwMode="auto">
                        <a:xfrm>
                          <a:off x="3311" y="11857"/>
                          <a:ext cx="3486" cy="3439"/>
                        </a:xfrm>
                        <a:prstGeom prst="rect">
                          <a:avLst/>
                        </a:prstGeom>
                        <a:solidFill>
                          <a:srgbClr val="9A170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48" o:spid="_x0000_s1026" alt="Title: PwC Branding - Description: This image is a branded backdrop to the document title. It is standard across all PwC reports of this type." style="position:absolute;margin-left:160.15pt;margin-top:63.5pt;width:421.35pt;height:698.15pt;z-index:251670528;mso-position-horizontal-relative:page;mso-position-vertical-relative:page" coordorigin="3311,1531" coordsize="8202,13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">
              <v:rect id="Rectangle 5449" o:spid="_x0000_s1027" style="position:absolute;left:3311;top:8418;width:7460;height:68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RaD8QA&#10;AADcAAAADwAAAGRycy9kb3ducmV2LnhtbESPQWvCQBCF70L/wzJCL1I3LdRqdBWxCAVPjeJ5yI7Z&#10;aHY2ZLcx/fedg9DbDO/Ne9+sNoNvVE9drAMbeJ1moIjLYGuuDJyO+5c5qJiQLTaBycAvRdisn0Yr&#10;zG248zf1RaqUhHDM0YBLqc21jqUjj3EaWmLRLqHzmGTtKm07vEu4b/Rbls20x5qlwWFLO0flrfjx&#10;Bgpy/n2xv54Pu1M/mX1u/bzXZ2Oex8N2CSrRkP7Nj+svK/gf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0Wg/EAAAA3AAAAA8AAAAAAAAAAAAAAAAAmAIAAGRycy9k&#10;b3ducmV2LnhtbFBLBQYAAAAABAAEAPUAAACJAwAAAAA=&#10;" fillcolor="#f3bc87" stroked="f"/>
              <v:rect id="Rectangle 5450" o:spid="_x0000_s1028" style="position:absolute;left:3311;top:1531;width:6314;height:13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nuScEA&#10;AADcAAAADwAAAGRycy9kb3ducmV2LnhtbERP32vCMBB+H/g/hBP2NlN1TKlGKTJhb6NV9PVozqbY&#10;XGKTafffL4PB3u7j+3nr7WA7cac+tI4VTCcZCOLa6ZYbBcfD/mUJIkRkjZ1jUvBNAbab0dMac+0e&#10;XNK9io1IIRxyVGBi9LmUoTZkMUycJ07cxfUWY4J9I3WPjxRuOznLsjdpseXUYNDTzlB9rb6sgnlx&#10;5tPrDD/Lonr3sfRle+uMUs/joViBiDTEf/Gf+0On+Ysp/D6TLpC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J7knBAAAA3AAAAA8AAAAAAAAAAAAAAAAAmAIAAGRycy9kb3du&#10;cmV2LnhtbFBLBQYAAAAABAAEAPUAAACGAwAAAAA=&#10;" fillcolor="#ee9c34" stroked="f"/>
              <v:rect id="Rectangle 5451" o:spid="_x0000_s1029" style="position:absolute;left:3311;top:10138;width:8202;height:51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938MA&#10;AADcAAAADwAAAGRycy9kb3ducmV2LnhtbERPTWsCMRC9F/wPYQRvNasHt2yNIoooWGhre/E2bMbN&#10;4mayJNFd++ubQsHbPN7nzJe9bcSNfKgdK5iMMxDEpdM1Vwq+v7bPLyBCRNbYOCYFdwqwXAye5lho&#10;1/En3Y6xEimEQ4EKTIxtIWUoDVkMY9cSJ+7svMWYoK+k9tilcNvIaZbNpMWaU4PBltaGysvxahXs&#10;cv+RdZuf0+ngTb4N72+rxgelRsN+9QoiUh8f4n/3Xqf5+RT+nkkX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q938MAAADcAAAADwAAAAAAAAAAAAAAAACYAgAAZHJzL2Rv&#10;d25yZXYueG1sUEsFBgAAAAAEAAQA9QAAAIgDAAAAAA==&#10;" fillcolor="#f3be26" stroked="f"/>
              <v:rect id="Rectangle 5452" o:spid="_x0000_s1030" style="position:absolute;left:3311;top:2399;width:6929;height:128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PJa8UA&#10;AADcAAAADwAAAGRycy9kb3ducmV2LnhtbERPS2vCQBC+C/6HZQq91U0tWEndiPiogvTQ2EOP0+zk&#10;odnZNLtq8u/dQsHbfHzPmc07U4sLta6yrOB5FIEgzqyuuFDwddg8TUE4j6yxtkwKenIwT4aDGcba&#10;XvmTLqkvRAhhF6OC0vsmltJlJRl0I9sQBy63rUEfYFtI3eI1hJtajqNoIg1WHBpKbGhZUnZKz0bB&#10;97ji/ON3cnwvtpus3//059V6qdTjQ7d4A+Gp83fxv3unw/zXF/h7Jlwgk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g8lrxQAAANwAAAAPAAAAAAAAAAAAAAAAAJgCAABkcnMv&#10;ZG93bnJldi54bWxQSwUGAAAAAAQABAD1AAAAigMAAAAA&#10;" fillcolor="#e669a2" stroked="f"/>
              <v:rect id="Rectangle 5453" o:spid="_x0000_s1031" style="position:absolute;left:3311;top:10138;width:7460;height:51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ydZsQA&#10;AADcAAAADwAAAGRycy9kb3ducmV2LnhtbERP22rCQBB9F/oPyxT6UnQT0SqpqwTBUlFaGv2AMTtN&#10;0mZnQ3Yb49+7QsG3OZzrLFa9qUVHrassK4hHEQji3OqKCwXHw2Y4B+E8ssbaMim4kIPV8mGwwETb&#10;M39Rl/lChBB2CSoovW8SKV1ekkE3sg1x4L5ta9AH2BZSt3gO4aaW4yh6kQYrDg0lNrQuKf/N/oyC&#10;n/22sc++j6cfp88q7nbj9JK+KfX02KevIDz1/i7+d7/rMH82gdsz4QK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cnWbEAAAA3AAAAA8AAAAAAAAAAAAAAAAAmAIAAGRycy9k&#10;b3ducmV2LnhtbFBLBQYAAAAABAAEAPUAAACJAwAAAAA=&#10;" fillcolor="#e88c14" stroked="f"/>
              <v:rect id="Rectangle 5454" o:spid="_x0000_s1032" style="position:absolute;left:3311;top:2399;width:6314;height:128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eGg8QA&#10;AADcAAAADwAAAGRycy9kb3ducmV2LnhtbERPS2vCQBC+C/6HZYTedNMWbUndBAlt6UEQ0yJ4G7KT&#10;B8nOhuzWpP++Kwje5uN7zjadTCcuNLjGsoLHVQSCuLC64UrBz/fH8hWE88gaO8uk4I8cpMl8tsVY&#10;25GPdMl9JUIIuxgV1N73sZSuqMmgW9meOHClHQz6AIdK6gHHEG46+RRFG2mw4dBQY09ZTUWb/xoF&#10;h1O2W59tuXn+jKY9F817rvetUg+LafcGwtPk7+Kb+0uH+S9ruD4TLp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3hoPEAAAA3AAAAA8AAAAAAAAAAAAAAAAAmAIAAGRycy9k&#10;b3ducmV2LnhtbFBLBQYAAAAABAAEAPUAAACJAwAAAAA=&#10;" fillcolor="#d74021" stroked="f"/>
              <v:rect id="Rectangle 5455" o:spid="_x0000_s1033" style="position:absolute;left:3311;top:8418;width:6929;height:68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vXKsUA&#10;AADcAAAADwAAAGRycy9kb3ducmV2LnhtbERPTWvCQBC9C/0PyxR6042FaohZpS1UPAg2sYf0NmTH&#10;JG12Ns2uGv99VxC8zeN9TroaTCtO1LvGsoLpJAJBXFrdcKXga/8xjkE4j6yxtUwKLuRgtXwYpZho&#10;e+aMTrmvRAhhl6CC2vsukdKVNRl0E9sRB+5ge4M+wL6SusdzCDetfI6imTTYcGiosaP3msrf/GgU&#10;/Kxfsmy3/377XOfxXzGdb3VZOKWeHofXBQhPg7+Lb+6NDvPnM7g+Ey6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u9cqxQAAANwAAAAPAAAAAAAAAAAAAAAAAJgCAABkcnMv&#10;ZG93bnJldi54bWxQSwUGAAAAAAQABAD1AAAAigMAAAAA&#10;" fillcolor="#db4d56" stroked="f"/>
              <v:rect id="Rectangle 5456" o:spid="_x0000_s1034" style="position:absolute;left:3311;top:10138;width:6929;height:51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xlMAA&#10;AADcAAAADwAAAGRycy9kb3ducmV2LnhtbERPy6rCMBDdC/5DGOHuNFVQSzWKCOJdCT4Q3A3N2Bab&#10;SW2i1n69uXDB3RzOc+bLxpTiSbUrLCsYDiIQxKnVBWcKTsdNPwbhPLLG0jIpeJOD5aLbmWOi7Yv3&#10;9Dz4TIQQdgkqyL2vEildmpNBN7AVceCutjboA6wzqWt8hXBTylEUTaTBgkNDjhWtc0pvh4dRMNYt&#10;P0Yxm/Fua7fl+dI2u3ur1E+vWc1AeGr8V/zv/tVh/nQKf8+EC+Ti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5xlMAAAADcAAAADwAAAAAAAAAAAAAAAACYAgAAZHJzL2Rvd25y&#10;ZXYueG1sUEsFBgAAAAAEAAQA9QAAAIUDAAAAAA==&#10;" fillcolor="#d13a0d" stroked="f"/>
              <v:rect id="Rectangle 5457" o:spid="_x0000_s1035" style="position:absolute;left:3311;top:8418;width:6314;height:68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aOaMcA&#10;AADcAAAADwAAAGRycy9kb3ducmV2LnhtbESPT0vDQBDF74LfYZmCN7uph2pjt0WsxUIR+kfa65Cd&#10;ZoPZ2Zhdk/jtnYPQ2wzvzXu/mS8HX6uO2lgFNjAZZ6CIi2ArLg18Htf3T6BiQrZYByYDvxRhubi9&#10;mWNuQ8976g6pVBLCMUcDLqUm1zoWjjzGcWiIRbuE1mOStS21bbGXcF/rhyybao8VS4PDhl4dFV+H&#10;H29gtzp1blatP96P/WmzPa++Z2/bqTF3o+HlGVSiIV3N/9cbK/iPQivPyAR6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pWjmjHAAAA3AAAAA8AAAAAAAAAAAAAAAAAmAIAAGRy&#10;cy9kb3ducmV2LnhtbFBLBQYAAAAABAAEAPUAAACMAwAAAAA=&#10;" fillcolor="#cd2f12" stroked="f"/>
              <v:rect id="Rectangle 5458" o:spid="_x0000_s1036" style="position:absolute;left:3311;top:10138;width:6314;height:51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OiMEA&#10;AADcAAAADwAAAGRycy9kb3ducmV2LnhtbERPS4vCMBC+L/gfwgje1tQe7No1iohCwT342vvQzLZh&#10;m0lpYq3/3iwIe5uP7znL9WAb0VPnjWMFs2kCgrh02nCl4HrZv3+A8AFZY+OYFDzIw3o1eltirt2d&#10;T9SfQyViCPscFdQhtLmUvqzJop+6ljhyP66zGCLsKqk7vMdw28g0SebSouHYUGNL25rK3/PNKih2&#10;rvhOs35n5gf8Oqa3bG9OB6Um42HzCSLQEP7FL3eh4/xsAX/PxAv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XzojBAAAA3AAAAA8AAAAAAAAAAAAAAAAAmAIAAGRycy9kb3du&#10;cmV2LnhtbFBLBQYAAAAABAAEAPUAAACGAwAAAAA=&#10;" fillcolor="#c42303" stroked="f"/>
              <v:rect id="Rectangle 5459" o:spid="_x0000_s1037" style="position:absolute;left:3311;top:11857;width:3486;height:3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HlgMcA&#10;AADcAAAADwAAAGRycy9kb3ducmV2LnhtbESPQWvCQBCF74X+h2UK3uqmHqqmrqKCRbAopgXpbZod&#10;k2B2NmTXmP5751DobYb35r1vZove1aqjNlSeDbwME1DEubcVFwa+PjfPE1AhIlusPZOBXwqwmD8+&#10;zDC1/sZH6rJYKAnhkKKBMsYm1TrkJTkMQ98Qi3b2rcMoa1to2+JNwl2tR0nyqh1WLA0lNrQuKb9k&#10;V2fgVHwvd9Nuhz/Z+H0Tu9X5tP84GDN46pdvoCL18d/8d721gj8RfHlGJt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TB5YDHAAAA3AAAAA8AAAAAAAAAAAAAAAAAmAIAAGRy&#10;cy9kb3ducmV2LnhtbFBLBQYAAAAABAAEAPUAAACMAwAAAAA=&#10;" fillcolor="#9a1702" stroked="f"/>
              <w10:wrap anchorx="page" anchory="page"/>
            </v:group>
          </w:pict>
        </mc:Fallback>
      </mc:AlternateContent>
    </w:r>
    <w:r>
      <w:rPr>
        <w:rFonts w:eastAsia="+mn-ea"/>
      </w:rPr>
      <w:t>www.pwc.com.au</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6B4" w:rsidRPr="005D1FC6" w:rsidRDefault="00663565" w:rsidP="005D1FC6">
    <w:pPr>
      <w:pStyle w:val="Header"/>
    </w:pPr>
    <w:r>
      <w:fldChar w:fldCharType="begin"/>
    </w:r>
    <w:r>
      <w:instrText xml:space="preserve"> STYLEREF "Preface Title" </w:instrText>
    </w:r>
    <w:r>
      <w:fldChar w:fldCharType="separate"/>
    </w:r>
    <w:r w:rsidR="00DD7BCE">
      <w:rPr>
        <w:noProof/>
      </w:rPr>
      <w:t>Executive summary</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6B4" w:rsidRPr="005D1FC6" w:rsidRDefault="00663565" w:rsidP="005D1FC6">
    <w:pPr>
      <w:pStyle w:val="Header"/>
    </w:pPr>
    <w:r>
      <w:fldChar w:fldCharType="begin"/>
    </w:r>
    <w:r>
      <w:instrText xml:space="preserve"> STYLEREF "Preface Title" </w:instrText>
    </w:r>
    <w:r>
      <w:fldChar w:fldCharType="separate"/>
    </w:r>
    <w:r w:rsidR="00DD7BCE">
      <w:rPr>
        <w:noProof/>
      </w:rPr>
      <w:t>Executive summary</w:t>
    </w:r>
    <w:r>
      <w:rPr>
        <w:noProof/>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6B4" w:rsidRPr="00460052" w:rsidRDefault="00FE56B4" w:rsidP="00460052">
    <w:pPr>
      <w:pStyle w:val="FirstPagePanelFrame"/>
      <w:framePr w:wrap="notBesid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6B4" w:rsidRPr="005D1FC6" w:rsidRDefault="00FE56B4" w:rsidP="005D1FC6">
    <w:pPr>
      <w:pStyle w:val="Header"/>
    </w:pPr>
    <w:r>
      <w:fldChar w:fldCharType="begin"/>
    </w:r>
    <w:r>
      <w:instrText xml:space="preserve"> STYLEREF "TOC Title" </w:instrTex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6B4" w:rsidRPr="005D1FC6" w:rsidRDefault="00FE56B4" w:rsidP="005D1FC6">
    <w:pPr>
      <w:pStyle w:val="Header"/>
    </w:pPr>
    <w:r>
      <w:fldChar w:fldCharType="begin"/>
    </w:r>
    <w:r>
      <w:instrText>STYLEREF "Heading 2"</w:instrText>
    </w:r>
    <w:r>
      <w:fldChar w:fldCharType="separate"/>
    </w:r>
    <w:r>
      <w:rPr>
        <w:noProof/>
      </w:rPr>
      <w:t>Background</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6B4" w:rsidRDefault="00FE56B4" w:rsidP="004521EC">
    <w:pPr>
      <w:pStyle w:val="Header"/>
    </w:pPr>
  </w:p>
  <w:p w:rsidR="00FE56B4" w:rsidRPr="00460052" w:rsidRDefault="00FE56B4" w:rsidP="00460052">
    <w:pPr>
      <w:pStyle w:val="FirstPagePanelFrame-Contents"/>
      <w:framePr w:wrap="notBesid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B14E172"/>
    <w:lvl w:ilvl="0">
      <w:start w:val="1"/>
      <w:numFmt w:val="bullet"/>
      <w:lvlText w:val=""/>
      <w:lvlJc w:val="left"/>
      <w:pPr>
        <w:tabs>
          <w:tab w:val="num" w:pos="360"/>
        </w:tabs>
        <w:ind w:left="360" w:hanging="360"/>
      </w:pPr>
      <w:rPr>
        <w:rFonts w:ascii="Symbol" w:hAnsi="Symbol" w:hint="default"/>
      </w:rPr>
    </w:lvl>
  </w:abstractNum>
  <w:abstractNum w:abstractNumId="1">
    <w:nsid w:val="01997751"/>
    <w:multiLevelType w:val="multilevel"/>
    <w:tmpl w:val="0C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1D50566"/>
    <w:multiLevelType w:val="hybridMultilevel"/>
    <w:tmpl w:val="FDE6FFC0"/>
    <w:lvl w:ilvl="0" w:tplc="DED2AD6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731221B"/>
    <w:multiLevelType w:val="multilevel"/>
    <w:tmpl w:val="54B62ED8"/>
    <w:styleLink w:val="BulletList"/>
    <w:lvl w:ilvl="0">
      <w:start w:val="1"/>
      <w:numFmt w:val="bullet"/>
      <w:lvlRestart w:val="0"/>
      <w:lvlText w:val=""/>
      <w:lvlJc w:val="left"/>
      <w:pPr>
        <w:tabs>
          <w:tab w:val="num" w:pos="567"/>
        </w:tabs>
        <w:ind w:left="567" w:hanging="567"/>
      </w:pPr>
      <w:rPr>
        <w:rFonts w:ascii="Symbol" w:hAnsi="Symbol" w:hint="default"/>
        <w:b w:val="0"/>
        <w:i w:val="0"/>
        <w:color w:val="auto"/>
      </w:rPr>
    </w:lvl>
    <w:lvl w:ilvl="1">
      <w:start w:val="1"/>
      <w:numFmt w:val="bullet"/>
      <w:lvlText w:val="–"/>
      <w:lvlJc w:val="left"/>
      <w:pPr>
        <w:tabs>
          <w:tab w:val="num" w:pos="1134"/>
        </w:tabs>
        <w:ind w:left="1134" w:hanging="567"/>
      </w:pPr>
      <w:rPr>
        <w:rFonts w:ascii="Arial" w:hAnsi="Arial" w:hint="default"/>
        <w:b w:val="0"/>
        <w:i w:val="0"/>
        <w:color w:val="auto"/>
      </w:rPr>
    </w:lvl>
    <w:lvl w:ilvl="2">
      <w:start w:val="1"/>
      <w:numFmt w:val="bullet"/>
      <w:lvlText w:val="o"/>
      <w:lvlJc w:val="left"/>
      <w:pPr>
        <w:tabs>
          <w:tab w:val="num" w:pos="1701"/>
        </w:tabs>
        <w:ind w:left="1701" w:hanging="567"/>
      </w:pPr>
      <w:rPr>
        <w:rFonts w:ascii="Arial" w:hAnsi="Arial" w:hint="default"/>
        <w:b w:val="0"/>
        <w:i w:val="0"/>
        <w:color w:val="auto"/>
        <w:sz w:val="10"/>
        <w:szCs w:val="10"/>
      </w:rPr>
    </w:lvl>
    <w:lvl w:ilvl="3">
      <w:start w:val="1"/>
      <w:numFmt w:val="bullet"/>
      <w:lvlText w:val=""/>
      <w:lvlJc w:val="left"/>
      <w:pPr>
        <w:tabs>
          <w:tab w:val="num" w:pos="2268"/>
        </w:tabs>
        <w:ind w:left="2268" w:hanging="567"/>
      </w:pPr>
      <w:rPr>
        <w:rFonts w:ascii="Wingdings" w:hAnsi="Wingdings" w:hint="default"/>
        <w:b w:val="0"/>
        <w:i w:val="0"/>
        <w:color w:val="auto"/>
        <w:sz w:val="10"/>
        <w:szCs w:val="10"/>
      </w:rPr>
    </w:lvl>
    <w:lvl w:ilvl="4">
      <w:start w:val="1"/>
      <w:numFmt w:val="none"/>
      <w:lvlText w:val="%5"/>
      <w:lvlJc w:val="left"/>
      <w:pPr>
        <w:tabs>
          <w:tab w:val="num" w:pos="0"/>
        </w:tabs>
        <w:ind w:left="0" w:firstLine="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4">
    <w:nsid w:val="08112352"/>
    <w:multiLevelType w:val="multilevel"/>
    <w:tmpl w:val="8CEA6DAA"/>
    <w:styleLink w:val="Bullets"/>
    <w:lvl w:ilvl="0">
      <w:start w:val="1"/>
      <w:numFmt w:val="bullet"/>
      <w:pStyle w:val="Bullet1"/>
      <w:lvlText w:val=""/>
      <w:lvlJc w:val="left"/>
      <w:pPr>
        <w:tabs>
          <w:tab w:val="num" w:pos="284"/>
        </w:tabs>
        <w:ind w:left="284" w:hanging="284"/>
      </w:pPr>
      <w:rPr>
        <w:rFonts w:ascii="Symbol" w:hAnsi="Symbol" w:hint="default"/>
        <w:color w:val="auto"/>
      </w:rPr>
    </w:lvl>
    <w:lvl w:ilvl="1">
      <w:start w:val="1"/>
      <w:numFmt w:val="bullet"/>
      <w:pStyle w:val="Bullet2"/>
      <w:lvlText w:val="–"/>
      <w:lvlJc w:val="left"/>
      <w:pPr>
        <w:tabs>
          <w:tab w:val="num" w:pos="567"/>
        </w:tabs>
        <w:ind w:left="568" w:hanging="284"/>
      </w:pPr>
      <w:rPr>
        <w:rFonts w:ascii="Arial" w:hAnsi="Arial" w:hint="default"/>
        <w:color w:val="auto"/>
      </w:rPr>
    </w:lvl>
    <w:lvl w:ilvl="2">
      <w:start w:val="1"/>
      <w:numFmt w:val="bullet"/>
      <w:pStyle w:val="Bullet3"/>
      <w:lvlText w:val="◦"/>
      <w:lvlJc w:val="left"/>
      <w:pPr>
        <w:tabs>
          <w:tab w:val="num" w:pos="851"/>
        </w:tabs>
        <w:ind w:left="852" w:hanging="284"/>
      </w:pPr>
      <w:rPr>
        <w:rFonts w:ascii="Georgia" w:hAnsi="Georgia" w:hint="default"/>
        <w:color w:val="auto"/>
      </w:rPr>
    </w:lvl>
    <w:lvl w:ilvl="3">
      <w:start w:val="1"/>
      <w:numFmt w:val="bullet"/>
      <w:pStyle w:val="Bullet4"/>
      <w:lvlText w:val=""/>
      <w:lvlJc w:val="left"/>
      <w:pPr>
        <w:tabs>
          <w:tab w:val="num" w:pos="1134"/>
        </w:tabs>
        <w:ind w:left="1136" w:hanging="284"/>
      </w:pPr>
      <w:rPr>
        <w:rFonts w:ascii="Symbol" w:hAnsi="Symbol" w:hint="default"/>
        <w:color w:val="auto"/>
      </w:rPr>
    </w:lvl>
    <w:lvl w:ilvl="4">
      <w:start w:val="1"/>
      <w:numFmt w:val="lowerLetter"/>
      <w:lvlText w:val="(%5)"/>
      <w:lvlJc w:val="left"/>
      <w:pPr>
        <w:tabs>
          <w:tab w:val="num" w:pos="1418"/>
        </w:tabs>
        <w:ind w:left="1420" w:hanging="284"/>
      </w:pPr>
      <w:rPr>
        <w:rFonts w:hint="default"/>
      </w:rPr>
    </w:lvl>
    <w:lvl w:ilvl="5">
      <w:start w:val="1"/>
      <w:numFmt w:val="lowerRoman"/>
      <w:lvlText w:val="(%6)"/>
      <w:lvlJc w:val="left"/>
      <w:pPr>
        <w:tabs>
          <w:tab w:val="num" w:pos="1701"/>
        </w:tabs>
        <w:ind w:left="1701" w:hanging="281"/>
      </w:pPr>
      <w:rPr>
        <w:rFonts w:hint="default"/>
      </w:rPr>
    </w:lvl>
    <w:lvl w:ilvl="6">
      <w:start w:val="1"/>
      <w:numFmt w:val="decimal"/>
      <w:lvlText w:val="%7."/>
      <w:lvlJc w:val="left"/>
      <w:pPr>
        <w:tabs>
          <w:tab w:val="num" w:pos="1985"/>
        </w:tabs>
        <w:ind w:left="1985" w:hanging="284"/>
      </w:pPr>
      <w:rPr>
        <w:rFonts w:hint="default"/>
      </w:rPr>
    </w:lvl>
    <w:lvl w:ilvl="7">
      <w:start w:val="1"/>
      <w:numFmt w:val="lowerLetter"/>
      <w:lvlText w:val="%8."/>
      <w:lvlJc w:val="left"/>
      <w:pPr>
        <w:tabs>
          <w:tab w:val="num" w:pos="2268"/>
        </w:tabs>
        <w:ind w:left="2268" w:hanging="283"/>
      </w:pPr>
      <w:rPr>
        <w:rFonts w:hint="default"/>
      </w:rPr>
    </w:lvl>
    <w:lvl w:ilvl="8">
      <w:start w:val="1"/>
      <w:numFmt w:val="lowerRoman"/>
      <w:lvlText w:val="%9."/>
      <w:lvlJc w:val="left"/>
      <w:pPr>
        <w:tabs>
          <w:tab w:val="num" w:pos="2552"/>
        </w:tabs>
        <w:ind w:left="2552" w:hanging="284"/>
      </w:pPr>
      <w:rPr>
        <w:rFonts w:hint="default"/>
      </w:rPr>
    </w:lvl>
  </w:abstractNum>
  <w:abstractNum w:abstractNumId="5">
    <w:nsid w:val="08F55094"/>
    <w:multiLevelType w:val="hybridMultilevel"/>
    <w:tmpl w:val="2BB41AA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9257FF5"/>
    <w:multiLevelType w:val="multilevel"/>
    <w:tmpl w:val="585065D6"/>
    <w:lvl w:ilvl="0">
      <w:start w:val="1"/>
      <w:numFmt w:val="bullet"/>
      <w:pStyle w:val="CVBullet1"/>
      <w:lvlText w:val=""/>
      <w:lvlJc w:val="left"/>
      <w:pPr>
        <w:ind w:left="227" w:hanging="227"/>
      </w:pPr>
      <w:rPr>
        <w:rFonts w:ascii="Symbol" w:hAnsi="Symbol" w:hint="default"/>
        <w:color w:val="auto"/>
      </w:rPr>
    </w:lvl>
    <w:lvl w:ilvl="1">
      <w:start w:val="1"/>
      <w:numFmt w:val="bullet"/>
      <w:pStyle w:val="CVBullet2"/>
      <w:lvlText w:val="–"/>
      <w:lvlJc w:val="left"/>
      <w:pPr>
        <w:ind w:left="454" w:hanging="227"/>
      </w:pPr>
      <w:rPr>
        <w:rFonts w:ascii="Arial" w:hAnsi="Aria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0984408E"/>
    <w:multiLevelType w:val="multilevel"/>
    <w:tmpl w:val="EE3860A0"/>
    <w:styleLink w:val="PwCListNumbers1"/>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8">
    <w:nsid w:val="0B086541"/>
    <w:multiLevelType w:val="multilevel"/>
    <w:tmpl w:val="572824AC"/>
    <w:lvl w:ilvl="0">
      <w:start w:val="1"/>
      <w:numFmt w:val="decimal"/>
      <w:pStyle w:val="ListNumber"/>
      <w:lvlText w:val="%1"/>
      <w:lvlJc w:val="left"/>
      <w:pPr>
        <w:tabs>
          <w:tab w:val="num" w:pos="567"/>
        </w:tabs>
        <w:ind w:left="567" w:hanging="567"/>
      </w:pPr>
      <w:rPr>
        <w:rFonts w:hint="default"/>
      </w:rPr>
    </w:lvl>
    <w:lvl w:ilvl="1">
      <w:start w:val="1"/>
      <w:numFmt w:val="lowerLetter"/>
      <w:pStyle w:val="ListNumber2"/>
      <w:lvlText w:val="%2"/>
      <w:lvlJc w:val="left"/>
      <w:pPr>
        <w:tabs>
          <w:tab w:val="num" w:pos="1134"/>
        </w:tabs>
        <w:ind w:left="1134" w:hanging="567"/>
      </w:pPr>
      <w:rPr>
        <w:rFonts w:hint="default"/>
      </w:rPr>
    </w:lvl>
    <w:lvl w:ilvl="2">
      <w:start w:val="1"/>
      <w:numFmt w:val="lowerRoman"/>
      <w:pStyle w:val="ListNumber3"/>
      <w:lvlText w:val="%3"/>
      <w:lvlJc w:val="left"/>
      <w:pPr>
        <w:tabs>
          <w:tab w:val="num" w:pos="1701"/>
        </w:tabs>
        <w:ind w:left="1701" w:hanging="567"/>
      </w:pPr>
      <w:rPr>
        <w:rFonts w:hint="default"/>
      </w:rPr>
    </w:lvl>
    <w:lvl w:ilvl="3">
      <w:start w:val="1"/>
      <w:numFmt w:val="decimal"/>
      <w:pStyle w:val="ListNumber4"/>
      <w:lvlText w:val="%4"/>
      <w:lvlJc w:val="left"/>
      <w:pPr>
        <w:tabs>
          <w:tab w:val="num" w:pos="2268"/>
        </w:tabs>
        <w:ind w:left="2268" w:hanging="567"/>
      </w:pPr>
      <w:rPr>
        <w:rFonts w:hint="default"/>
      </w:rPr>
    </w:lvl>
    <w:lvl w:ilvl="4">
      <w:start w:val="1"/>
      <w:numFmt w:val="lowerLetter"/>
      <w:pStyle w:val="ListNumber5"/>
      <w:lvlText w:val="%5"/>
      <w:lvlJc w:val="left"/>
      <w:pPr>
        <w:tabs>
          <w:tab w:val="num" w:pos="2835"/>
        </w:tabs>
        <w:ind w:left="2835" w:hanging="567"/>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113C4B44"/>
    <w:multiLevelType w:val="multilevel"/>
    <w:tmpl w:val="4E5C847A"/>
    <w:styleLink w:val="Indents"/>
    <w:lvl w:ilvl="0">
      <w:start w:val="1"/>
      <w:numFmt w:val="none"/>
      <w:suff w:val="nothing"/>
      <w:lvlText w:val=""/>
      <w:lvlJc w:val="left"/>
      <w:pPr>
        <w:ind w:left="0" w:firstLine="0"/>
      </w:pPr>
      <w:rPr>
        <w:rFonts w:hint="default"/>
        <w:color w:val="auto"/>
      </w:rPr>
    </w:lvl>
    <w:lvl w:ilvl="1">
      <w:start w:val="1"/>
      <w:numFmt w:val="none"/>
      <w:suff w:val="nothing"/>
      <w:lvlText w:val=""/>
      <w:lvlJc w:val="left"/>
      <w:pPr>
        <w:ind w:left="567" w:firstLine="0"/>
      </w:pPr>
      <w:rPr>
        <w:rFonts w:hint="default"/>
      </w:rPr>
    </w:lvl>
    <w:lvl w:ilvl="2">
      <w:start w:val="1"/>
      <w:numFmt w:val="none"/>
      <w:suff w:val="nothing"/>
      <w:lvlText w:val=""/>
      <w:lvlJc w:val="left"/>
      <w:pPr>
        <w:ind w:left="1134" w:firstLine="0"/>
      </w:pPr>
      <w:rPr>
        <w:rFonts w:hint="default"/>
      </w:rPr>
    </w:lvl>
    <w:lvl w:ilvl="3">
      <w:start w:val="1"/>
      <w:numFmt w:val="none"/>
      <w:suff w:val="nothing"/>
      <w:lvlText w:val=""/>
      <w:lvlJc w:val="left"/>
      <w:pPr>
        <w:ind w:left="1701" w:firstLine="0"/>
      </w:pPr>
      <w:rPr>
        <w:rFonts w:hint="default"/>
      </w:rPr>
    </w:lvl>
    <w:lvl w:ilvl="4">
      <w:start w:val="1"/>
      <w:numFmt w:val="none"/>
      <w:suff w:val="nothing"/>
      <w:lvlText w:val=""/>
      <w:lvlJc w:val="left"/>
      <w:pPr>
        <w:ind w:left="2268" w:firstLine="0"/>
      </w:pPr>
      <w:rPr>
        <w:rFonts w:hint="default"/>
      </w:rPr>
    </w:lvl>
    <w:lvl w:ilvl="5">
      <w:start w:val="1"/>
      <w:numFmt w:val="none"/>
      <w:suff w:val="nothing"/>
      <w:lvlText w:val=""/>
      <w:lvlJc w:val="left"/>
      <w:pPr>
        <w:ind w:left="2835" w:firstLine="0"/>
      </w:pPr>
      <w:rPr>
        <w:rFonts w:hint="default"/>
      </w:rPr>
    </w:lvl>
    <w:lvl w:ilvl="6">
      <w:start w:val="1"/>
      <w:numFmt w:val="none"/>
      <w:suff w:val="nothing"/>
      <w:lvlText w:val=""/>
      <w:lvlJc w:val="left"/>
      <w:pPr>
        <w:ind w:left="3402" w:firstLine="0"/>
      </w:pPr>
      <w:rPr>
        <w:rFonts w:hint="default"/>
      </w:rPr>
    </w:lvl>
    <w:lvl w:ilvl="7">
      <w:start w:val="1"/>
      <w:numFmt w:val="none"/>
      <w:suff w:val="nothing"/>
      <w:lvlText w:val=""/>
      <w:lvlJc w:val="left"/>
      <w:pPr>
        <w:ind w:left="3969" w:firstLine="0"/>
      </w:pPr>
      <w:rPr>
        <w:rFonts w:hint="default"/>
      </w:rPr>
    </w:lvl>
    <w:lvl w:ilvl="8">
      <w:start w:val="1"/>
      <w:numFmt w:val="none"/>
      <w:suff w:val="nothing"/>
      <w:lvlText w:val=""/>
      <w:lvlJc w:val="left"/>
      <w:pPr>
        <w:ind w:left="4536" w:firstLine="0"/>
      </w:pPr>
      <w:rPr>
        <w:rFonts w:hint="default"/>
      </w:rPr>
    </w:lvl>
  </w:abstractNum>
  <w:abstractNum w:abstractNumId="10">
    <w:nsid w:val="16417FC4"/>
    <w:multiLevelType w:val="multilevel"/>
    <w:tmpl w:val="50B20D3A"/>
    <w:styleLink w:val="TableNumberedListSmall"/>
    <w:lvl w:ilvl="0">
      <w:start w:val="1"/>
      <w:numFmt w:val="decimal"/>
      <w:lvlRestart w:val="0"/>
      <w:pStyle w:val="TableNumberedListSmall1"/>
      <w:lvlText w:val="%1"/>
      <w:lvlJc w:val="left"/>
      <w:pPr>
        <w:tabs>
          <w:tab w:val="num" w:pos="283"/>
        </w:tabs>
        <w:ind w:left="284" w:hanging="284"/>
      </w:pPr>
      <w:rPr>
        <w:rFonts w:asciiTheme="minorHAnsi" w:hAnsiTheme="minorHAnsi" w:hint="default"/>
        <w:b w:val="0"/>
        <w:i w:val="0"/>
        <w:color w:val="auto"/>
        <w:sz w:val="20"/>
      </w:rPr>
    </w:lvl>
    <w:lvl w:ilvl="1">
      <w:start w:val="1"/>
      <w:numFmt w:val="lowerLetter"/>
      <w:lvlRestart w:val="0"/>
      <w:pStyle w:val="TableNumberedListSmall2"/>
      <w:lvlText w:val="%2"/>
      <w:lvlJc w:val="left"/>
      <w:pPr>
        <w:tabs>
          <w:tab w:val="num" w:pos="567"/>
        </w:tabs>
        <w:ind w:left="567" w:hanging="283"/>
      </w:pPr>
      <w:rPr>
        <w:rFonts w:hint="default"/>
        <w:b w:val="0"/>
        <w:i w:val="0"/>
        <w:color w:val="auto"/>
        <w:szCs w:val="10"/>
      </w:rPr>
    </w:lvl>
    <w:lvl w:ilvl="2">
      <w:start w:val="1"/>
      <w:numFmt w:val="lowerRoman"/>
      <w:lvlRestart w:val="0"/>
      <w:pStyle w:val="TableNumberedListSmall3"/>
      <w:lvlText w:val="%3"/>
      <w:lvlJc w:val="left"/>
      <w:pPr>
        <w:tabs>
          <w:tab w:val="num" w:pos="851"/>
        </w:tabs>
        <w:ind w:left="851" w:hanging="284"/>
      </w:pPr>
      <w:rPr>
        <w:rFonts w:asciiTheme="minorHAnsi" w:hAnsiTheme="minorHAnsi" w:hint="default"/>
        <w:b w:val="0"/>
        <w:i w:val="0"/>
        <w:color w:val="auto"/>
        <w:sz w:val="20"/>
        <w:szCs w:val="10"/>
      </w:rPr>
    </w:lvl>
    <w:lvl w:ilvl="3">
      <w:start w:val="1"/>
      <w:numFmt w:val="none"/>
      <w:lvlRestart w:val="0"/>
      <w:lvlText w:val=""/>
      <w:lvlJc w:val="left"/>
      <w:pPr>
        <w:tabs>
          <w:tab w:val="num" w:pos="0"/>
        </w:tabs>
        <w:ind w:left="0" w:firstLine="0"/>
      </w:pPr>
      <w:rPr>
        <w:rFonts w:hint="default"/>
        <w:color w:val="auto"/>
        <w:sz w:val="10"/>
        <w:szCs w:val="10"/>
      </w:rPr>
    </w:lvl>
    <w:lvl w:ilvl="4">
      <w:start w:val="1"/>
      <w:numFmt w:val="none"/>
      <w:lvlText w:val="%5"/>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11">
    <w:nsid w:val="184F5379"/>
    <w:multiLevelType w:val="multilevel"/>
    <w:tmpl w:val="1546630C"/>
    <w:styleLink w:val="ListNumberList"/>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187E60D1"/>
    <w:multiLevelType w:val="multilevel"/>
    <w:tmpl w:val="0C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D230827"/>
    <w:multiLevelType w:val="multilevel"/>
    <w:tmpl w:val="AF18B140"/>
    <w:styleLink w:val="TableNumberdListNormal"/>
    <w:lvl w:ilvl="0">
      <w:start w:val="1"/>
      <w:numFmt w:val="decimal"/>
      <w:lvlRestart w:val="0"/>
      <w:lvlText w:val="%1"/>
      <w:lvlJc w:val="left"/>
      <w:pPr>
        <w:tabs>
          <w:tab w:val="num" w:pos="283"/>
        </w:tabs>
        <w:ind w:left="284" w:hanging="284"/>
      </w:pPr>
      <w:rPr>
        <w:rFonts w:ascii="Times New Roman" w:hAnsi="Times New Roman" w:hint="default"/>
        <w:b w:val="0"/>
        <w:i w:val="0"/>
        <w:color w:val="auto"/>
      </w:rPr>
    </w:lvl>
    <w:lvl w:ilvl="1">
      <w:start w:val="1"/>
      <w:numFmt w:val="lowerLetter"/>
      <w:lvlRestart w:val="0"/>
      <w:lvlText w:val="%2"/>
      <w:lvlJc w:val="left"/>
      <w:pPr>
        <w:tabs>
          <w:tab w:val="num" w:pos="567"/>
        </w:tabs>
        <w:ind w:left="567" w:hanging="283"/>
      </w:pPr>
      <w:rPr>
        <w:rFonts w:hint="default"/>
        <w:b w:val="0"/>
        <w:i w:val="0"/>
        <w:color w:val="auto"/>
        <w:szCs w:val="10"/>
      </w:rPr>
    </w:lvl>
    <w:lvl w:ilvl="2">
      <w:start w:val="1"/>
      <w:numFmt w:val="lowerRoman"/>
      <w:lvlRestart w:val="0"/>
      <w:lvlText w:val="%3"/>
      <w:lvlJc w:val="left"/>
      <w:pPr>
        <w:tabs>
          <w:tab w:val="num" w:pos="851"/>
        </w:tabs>
        <w:ind w:left="851" w:hanging="284"/>
      </w:pPr>
      <w:rPr>
        <w:rFonts w:hint="default"/>
        <w:b w:val="0"/>
        <w:i w:val="0"/>
        <w:color w:val="auto"/>
        <w:sz w:val="10"/>
        <w:szCs w:val="10"/>
      </w:rPr>
    </w:lvl>
    <w:lvl w:ilvl="3">
      <w:start w:val="1"/>
      <w:numFmt w:val="none"/>
      <w:lvlRestart w:val="0"/>
      <w:lvlText w:val=""/>
      <w:lvlJc w:val="left"/>
      <w:pPr>
        <w:tabs>
          <w:tab w:val="num" w:pos="0"/>
        </w:tabs>
        <w:ind w:left="0" w:firstLine="0"/>
      </w:pPr>
      <w:rPr>
        <w:rFonts w:hint="default"/>
        <w:color w:val="auto"/>
        <w:sz w:val="10"/>
        <w:szCs w:val="10"/>
      </w:rPr>
    </w:lvl>
    <w:lvl w:ilvl="4">
      <w:start w:val="1"/>
      <w:numFmt w:val="none"/>
      <w:lvlText w:val="%5"/>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14">
    <w:nsid w:val="283947C2"/>
    <w:multiLevelType w:val="multilevel"/>
    <w:tmpl w:val="50B20D3A"/>
    <w:numStyleLink w:val="TableNumberedListSmall"/>
  </w:abstractNum>
  <w:abstractNum w:abstractNumId="15">
    <w:nsid w:val="29F60073"/>
    <w:multiLevelType w:val="multilevel"/>
    <w:tmpl w:val="28909FD8"/>
    <w:lvl w:ilvl="0">
      <w:start w:val="1"/>
      <w:numFmt w:val="decimal"/>
      <w:lvlRestart w:val="0"/>
      <w:pStyle w:val="TableNumberedList1"/>
      <w:lvlText w:val="%1"/>
      <w:lvlJc w:val="left"/>
      <w:pPr>
        <w:tabs>
          <w:tab w:val="num" w:pos="283"/>
        </w:tabs>
        <w:ind w:left="284" w:hanging="284"/>
      </w:pPr>
      <w:rPr>
        <w:rFonts w:ascii="Times New Roman" w:hAnsi="Times New Roman" w:hint="default"/>
        <w:b w:val="0"/>
        <w:i w:val="0"/>
        <w:color w:val="auto"/>
        <w:sz w:val="20"/>
      </w:rPr>
    </w:lvl>
    <w:lvl w:ilvl="1">
      <w:start w:val="1"/>
      <w:numFmt w:val="lowerLetter"/>
      <w:lvlRestart w:val="0"/>
      <w:pStyle w:val="TableNumberedList2"/>
      <w:lvlText w:val="%2"/>
      <w:lvlJc w:val="left"/>
      <w:pPr>
        <w:tabs>
          <w:tab w:val="num" w:pos="567"/>
        </w:tabs>
        <w:ind w:left="567" w:hanging="283"/>
      </w:pPr>
      <w:rPr>
        <w:rFonts w:hint="default"/>
        <w:b w:val="0"/>
        <w:i w:val="0"/>
        <w:color w:val="auto"/>
        <w:szCs w:val="10"/>
      </w:rPr>
    </w:lvl>
    <w:lvl w:ilvl="2">
      <w:start w:val="1"/>
      <w:numFmt w:val="lowerRoman"/>
      <w:lvlRestart w:val="0"/>
      <w:pStyle w:val="TableNumberedList3"/>
      <w:lvlText w:val="%3"/>
      <w:lvlJc w:val="left"/>
      <w:pPr>
        <w:tabs>
          <w:tab w:val="num" w:pos="851"/>
        </w:tabs>
        <w:ind w:left="851" w:hanging="284"/>
      </w:pPr>
      <w:rPr>
        <w:rFonts w:asciiTheme="minorHAnsi" w:hAnsiTheme="minorHAnsi" w:hint="default"/>
        <w:b w:val="0"/>
        <w:i w:val="0"/>
        <w:color w:val="auto"/>
        <w:sz w:val="20"/>
        <w:szCs w:val="10"/>
      </w:rPr>
    </w:lvl>
    <w:lvl w:ilvl="3">
      <w:start w:val="1"/>
      <w:numFmt w:val="none"/>
      <w:lvlRestart w:val="0"/>
      <w:lvlText w:val=""/>
      <w:lvlJc w:val="left"/>
      <w:pPr>
        <w:tabs>
          <w:tab w:val="num" w:pos="0"/>
        </w:tabs>
        <w:ind w:left="0" w:firstLine="0"/>
      </w:pPr>
      <w:rPr>
        <w:rFonts w:hint="default"/>
        <w:color w:val="auto"/>
        <w:sz w:val="10"/>
        <w:szCs w:val="10"/>
      </w:rPr>
    </w:lvl>
    <w:lvl w:ilvl="4">
      <w:start w:val="1"/>
      <w:numFmt w:val="none"/>
      <w:lvlText w:val="%5"/>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16">
    <w:nsid w:val="2BF876DE"/>
    <w:multiLevelType w:val="multilevel"/>
    <w:tmpl w:val="B7F496D4"/>
    <w:lvl w:ilvl="0">
      <w:start w:val="1"/>
      <w:numFmt w:val="bullet"/>
      <w:lvlRestart w:val="0"/>
      <w:pStyle w:val="TableBullet1Small"/>
      <w:lvlText w:val=""/>
      <w:lvlJc w:val="left"/>
      <w:pPr>
        <w:tabs>
          <w:tab w:val="num" w:pos="284"/>
        </w:tabs>
        <w:ind w:left="170" w:hanging="170"/>
      </w:pPr>
      <w:rPr>
        <w:rFonts w:ascii="Symbol" w:hAnsi="Symbol" w:hint="default"/>
        <w:b w:val="0"/>
        <w:i w:val="0"/>
        <w:color w:val="auto"/>
      </w:rPr>
    </w:lvl>
    <w:lvl w:ilvl="1">
      <w:start w:val="1"/>
      <w:numFmt w:val="bullet"/>
      <w:lvlRestart w:val="0"/>
      <w:pStyle w:val="TableBullet2Small"/>
      <w:lvlText w:val="–"/>
      <w:lvlJc w:val="left"/>
      <w:pPr>
        <w:tabs>
          <w:tab w:val="num" w:pos="567"/>
        </w:tabs>
        <w:ind w:left="340" w:hanging="170"/>
      </w:pPr>
      <w:rPr>
        <w:rFonts w:ascii="Arial" w:hAnsi="Arial" w:hint="default"/>
        <w:b w:val="0"/>
        <w:i w:val="0"/>
        <w:color w:val="auto"/>
      </w:rPr>
    </w:lvl>
    <w:lvl w:ilvl="2">
      <w:start w:val="1"/>
      <w:numFmt w:val="bullet"/>
      <w:lvlRestart w:val="0"/>
      <w:pStyle w:val="TableBullet3Small"/>
      <w:lvlText w:val="o"/>
      <w:lvlJc w:val="left"/>
      <w:pPr>
        <w:tabs>
          <w:tab w:val="num" w:pos="851"/>
        </w:tabs>
        <w:ind w:left="510" w:hanging="170"/>
      </w:pPr>
      <w:rPr>
        <w:rFonts w:ascii="Arial" w:hAnsi="Arial" w:hint="default"/>
        <w:b w:val="0"/>
        <w:i w:val="0"/>
        <w:color w:val="auto"/>
        <w:sz w:val="10"/>
        <w:szCs w:val="10"/>
      </w:rPr>
    </w:lvl>
    <w:lvl w:ilvl="3">
      <w:start w:val="1"/>
      <w:numFmt w:val="none"/>
      <w:lvlRestart w:val="0"/>
      <w:lvlText w:val=""/>
      <w:lvlJc w:val="left"/>
      <w:pPr>
        <w:tabs>
          <w:tab w:val="num" w:pos="2880"/>
        </w:tabs>
        <w:ind w:left="2880" w:hanging="720"/>
      </w:pPr>
      <w:rPr>
        <w:rFonts w:hint="default"/>
        <w:b w:val="0"/>
        <w:i w:val="0"/>
        <w:color w:val="auto"/>
        <w:sz w:val="10"/>
        <w:szCs w:val="10"/>
      </w:rPr>
    </w:lvl>
    <w:lvl w:ilvl="4">
      <w:start w:val="1"/>
      <w:numFmt w:val="lowerLetter"/>
      <w:lvlText w:val=""/>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17">
    <w:nsid w:val="307E06FA"/>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32D7125E"/>
    <w:multiLevelType w:val="multilevel"/>
    <w:tmpl w:val="8E0CCD38"/>
    <w:styleLink w:val="CVBullets"/>
    <w:lvl w:ilvl="0">
      <w:start w:val="1"/>
      <w:numFmt w:val="bullet"/>
      <w:lvlText w:val=""/>
      <w:lvlJc w:val="left"/>
      <w:pPr>
        <w:ind w:left="284" w:hanging="284"/>
      </w:pPr>
      <w:rPr>
        <w:rFonts w:ascii="Symbol" w:hAnsi="Symbol" w:hint="default"/>
        <w:color w:val="auto"/>
      </w:rPr>
    </w:lvl>
    <w:lvl w:ilvl="1">
      <w:start w:val="1"/>
      <w:numFmt w:val="bullet"/>
      <w:lvlText w:val="–"/>
      <w:lvlJc w:val="left"/>
      <w:pPr>
        <w:ind w:left="567" w:hanging="283"/>
      </w:pPr>
      <w:rPr>
        <w:rFonts w:ascii="Arial" w:hAnsi="Aria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378D5E27"/>
    <w:multiLevelType w:val="hybridMultilevel"/>
    <w:tmpl w:val="6C1609A0"/>
    <w:name w:val="NumberedLists"/>
    <w:lvl w:ilvl="0" w:tplc="978EC44E">
      <w:start w:val="1"/>
      <w:numFmt w:val="bullet"/>
      <w:lvlText w:val="-"/>
      <w:lvlJc w:val="left"/>
      <w:pPr>
        <w:tabs>
          <w:tab w:val="num" w:pos="720"/>
        </w:tabs>
        <w:ind w:left="720" w:hanging="360"/>
      </w:pPr>
      <w:rPr>
        <w:rFonts w:ascii="Times New Roman" w:hAnsi="Times New Roman" w:hint="default"/>
      </w:rPr>
    </w:lvl>
    <w:lvl w:ilvl="1" w:tplc="642E94AA" w:tentative="1">
      <w:start w:val="1"/>
      <w:numFmt w:val="bullet"/>
      <w:lvlText w:val="-"/>
      <w:lvlJc w:val="left"/>
      <w:pPr>
        <w:tabs>
          <w:tab w:val="num" w:pos="1440"/>
        </w:tabs>
        <w:ind w:left="1440" w:hanging="360"/>
      </w:pPr>
      <w:rPr>
        <w:rFonts w:ascii="Times New Roman" w:hAnsi="Times New Roman" w:hint="default"/>
      </w:rPr>
    </w:lvl>
    <w:lvl w:ilvl="2" w:tplc="DAC44BAE" w:tentative="1">
      <w:start w:val="1"/>
      <w:numFmt w:val="bullet"/>
      <w:lvlText w:val="-"/>
      <w:lvlJc w:val="left"/>
      <w:pPr>
        <w:tabs>
          <w:tab w:val="num" w:pos="2160"/>
        </w:tabs>
        <w:ind w:left="2160" w:hanging="360"/>
      </w:pPr>
      <w:rPr>
        <w:rFonts w:ascii="Times New Roman" w:hAnsi="Times New Roman" w:hint="default"/>
      </w:rPr>
    </w:lvl>
    <w:lvl w:ilvl="3" w:tplc="C792D91A" w:tentative="1">
      <w:start w:val="1"/>
      <w:numFmt w:val="bullet"/>
      <w:lvlText w:val="-"/>
      <w:lvlJc w:val="left"/>
      <w:pPr>
        <w:tabs>
          <w:tab w:val="num" w:pos="2880"/>
        </w:tabs>
        <w:ind w:left="2880" w:hanging="360"/>
      </w:pPr>
      <w:rPr>
        <w:rFonts w:ascii="Times New Roman" w:hAnsi="Times New Roman" w:hint="default"/>
      </w:rPr>
    </w:lvl>
    <w:lvl w:ilvl="4" w:tplc="414C920C" w:tentative="1">
      <w:start w:val="1"/>
      <w:numFmt w:val="bullet"/>
      <w:lvlText w:val="-"/>
      <w:lvlJc w:val="left"/>
      <w:pPr>
        <w:tabs>
          <w:tab w:val="num" w:pos="3600"/>
        </w:tabs>
        <w:ind w:left="3600" w:hanging="360"/>
      </w:pPr>
      <w:rPr>
        <w:rFonts w:ascii="Times New Roman" w:hAnsi="Times New Roman" w:hint="default"/>
      </w:rPr>
    </w:lvl>
    <w:lvl w:ilvl="5" w:tplc="531A9BB8" w:tentative="1">
      <w:start w:val="1"/>
      <w:numFmt w:val="bullet"/>
      <w:lvlText w:val="-"/>
      <w:lvlJc w:val="left"/>
      <w:pPr>
        <w:tabs>
          <w:tab w:val="num" w:pos="4320"/>
        </w:tabs>
        <w:ind w:left="4320" w:hanging="360"/>
      </w:pPr>
      <w:rPr>
        <w:rFonts w:ascii="Times New Roman" w:hAnsi="Times New Roman" w:hint="default"/>
      </w:rPr>
    </w:lvl>
    <w:lvl w:ilvl="6" w:tplc="8D7C4DA8" w:tentative="1">
      <w:start w:val="1"/>
      <w:numFmt w:val="bullet"/>
      <w:lvlText w:val="-"/>
      <w:lvlJc w:val="left"/>
      <w:pPr>
        <w:tabs>
          <w:tab w:val="num" w:pos="5040"/>
        </w:tabs>
        <w:ind w:left="5040" w:hanging="360"/>
      </w:pPr>
      <w:rPr>
        <w:rFonts w:ascii="Times New Roman" w:hAnsi="Times New Roman" w:hint="default"/>
      </w:rPr>
    </w:lvl>
    <w:lvl w:ilvl="7" w:tplc="8150675A" w:tentative="1">
      <w:start w:val="1"/>
      <w:numFmt w:val="bullet"/>
      <w:lvlText w:val="-"/>
      <w:lvlJc w:val="left"/>
      <w:pPr>
        <w:tabs>
          <w:tab w:val="num" w:pos="5760"/>
        </w:tabs>
        <w:ind w:left="5760" w:hanging="360"/>
      </w:pPr>
      <w:rPr>
        <w:rFonts w:ascii="Times New Roman" w:hAnsi="Times New Roman" w:hint="default"/>
      </w:rPr>
    </w:lvl>
    <w:lvl w:ilvl="8" w:tplc="454A8D4A" w:tentative="1">
      <w:start w:val="1"/>
      <w:numFmt w:val="bullet"/>
      <w:lvlText w:val="-"/>
      <w:lvlJc w:val="left"/>
      <w:pPr>
        <w:tabs>
          <w:tab w:val="num" w:pos="6480"/>
        </w:tabs>
        <w:ind w:left="6480" w:hanging="360"/>
      </w:pPr>
      <w:rPr>
        <w:rFonts w:ascii="Times New Roman" w:hAnsi="Times New Roman" w:hint="default"/>
      </w:rPr>
    </w:lvl>
  </w:abstractNum>
  <w:abstractNum w:abstractNumId="20">
    <w:nsid w:val="3E4F29E4"/>
    <w:multiLevelType w:val="multilevel"/>
    <w:tmpl w:val="35FED8B8"/>
    <w:styleLink w:val="ChapterNumberingList"/>
    <w:lvl w:ilvl="0">
      <w:start w:val="1"/>
      <w:numFmt w:val="decimal"/>
      <w:lvlRestart w:val="0"/>
      <w:suff w:val="nothing"/>
      <w:lvlText w:val="%1"/>
      <w:lvlJc w:val="left"/>
      <w:pPr>
        <w:ind w:left="0" w:firstLine="0"/>
      </w:pPr>
      <w:rPr>
        <w:rFonts w:hint="default"/>
      </w:rPr>
    </w:lvl>
    <w:lvl w:ilvl="1">
      <w:start w:val="1"/>
      <w:numFmt w:val="decimal"/>
      <w:lvlRestart w:val="0"/>
      <w:lvlText w:val="%2"/>
      <w:lvlJc w:val="left"/>
      <w:pPr>
        <w:tabs>
          <w:tab w:val="num" w:pos="850"/>
        </w:tabs>
        <w:ind w:left="850" w:hanging="850"/>
      </w:pPr>
      <w:rPr>
        <w:rFonts w:hint="default"/>
      </w:rPr>
    </w:lvl>
    <w:lvl w:ilvl="2">
      <w:start w:val="1"/>
      <w:numFmt w:val="decimal"/>
      <w:lvlText w:val="%2.%3"/>
      <w:lvlJc w:val="left"/>
      <w:pPr>
        <w:tabs>
          <w:tab w:val="num" w:pos="850"/>
        </w:tabs>
        <w:ind w:left="850" w:hanging="850"/>
      </w:pPr>
      <w:rPr>
        <w:rFonts w:hint="default"/>
      </w:rPr>
    </w:lvl>
    <w:lvl w:ilvl="3">
      <w:start w:val="1"/>
      <w:numFmt w:val="decimal"/>
      <w:lvlText w:val="%2.%3.%4"/>
      <w:lvlJc w:val="left"/>
      <w:pPr>
        <w:tabs>
          <w:tab w:val="num" w:pos="850"/>
        </w:tabs>
        <w:ind w:left="850" w:hanging="850"/>
      </w:pPr>
      <w:rPr>
        <w:rFonts w:hint="default"/>
      </w:rPr>
    </w:lvl>
    <w:lvl w:ilvl="4">
      <w:start w:val="1"/>
      <w:numFmt w:val="upperLetter"/>
      <w:lvlRestart w:val="0"/>
      <w:lvlText w:val="Appendix %5"/>
      <w:lvlJc w:val="left"/>
      <w:pPr>
        <w:tabs>
          <w:tab w:val="num" w:pos="3685"/>
        </w:tabs>
        <w:ind w:left="0" w:firstLine="0"/>
      </w:pPr>
      <w:rPr>
        <w:rFonts w:hint="default"/>
      </w:rPr>
    </w:lvl>
    <w:lvl w:ilvl="5">
      <w:start w:val="1"/>
      <w:numFmt w:val="upperLetter"/>
      <w:lvlRestart w:val="0"/>
      <w:suff w:val="nothing"/>
      <w:lvlText w:val="Appendix %6"/>
      <w:lvlJc w:val="left"/>
      <w:pPr>
        <w:ind w:left="0" w:firstLine="0"/>
      </w:pPr>
      <w:rPr>
        <w:rFonts w:hint="default"/>
      </w:rPr>
    </w:lvl>
    <w:lvl w:ilvl="6">
      <w:start w:val="1"/>
      <w:numFmt w:val="decimal"/>
      <w:lvlText w:val="%7"/>
      <w:lvlJc w:val="left"/>
      <w:pPr>
        <w:tabs>
          <w:tab w:val="num" w:pos="567"/>
        </w:tabs>
        <w:ind w:left="567" w:hanging="567"/>
      </w:pPr>
      <w:rPr>
        <w:rFonts w:hint="default"/>
        <w:b/>
        <w:i/>
      </w:rPr>
    </w:lvl>
    <w:lvl w:ilvl="7">
      <w:start w:val="1"/>
      <w:numFmt w:val="decimal"/>
      <w:lvlText w:val="%8"/>
      <w:lvlJc w:val="left"/>
      <w:pPr>
        <w:tabs>
          <w:tab w:val="num" w:pos="284"/>
        </w:tabs>
        <w:ind w:left="284" w:hanging="284"/>
      </w:pPr>
      <w:rPr>
        <w:rFonts w:hint="default"/>
        <w:b w:val="0"/>
        <w:i w:val="0"/>
        <w:color w:val="auto"/>
      </w:rPr>
    </w:lvl>
    <w:lvl w:ilvl="8">
      <w:start w:val="1"/>
      <w:numFmt w:val="lowerLetter"/>
      <w:lvlText w:val="%9"/>
      <w:lvlJc w:val="left"/>
      <w:pPr>
        <w:tabs>
          <w:tab w:val="num" w:pos="567"/>
        </w:tabs>
        <w:ind w:left="567" w:hanging="283"/>
      </w:pPr>
      <w:rPr>
        <w:rFonts w:hint="default"/>
        <w:b w:val="0"/>
        <w:i w:val="0"/>
        <w:color w:val="auto"/>
      </w:rPr>
    </w:lvl>
  </w:abstractNum>
  <w:abstractNum w:abstractNumId="21">
    <w:nsid w:val="3EE52A50"/>
    <w:multiLevelType w:val="multilevel"/>
    <w:tmpl w:val="EE12AE72"/>
    <w:styleLink w:val="PwCAppendixList1"/>
    <w:lvl w:ilvl="0">
      <w:start w:val="1"/>
      <w:numFmt w:val="upperLetter"/>
      <w:pStyle w:val="Appendix"/>
      <w:lvlText w:val="Appendix %1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451A2C4B"/>
    <w:multiLevelType w:val="hybridMultilevel"/>
    <w:tmpl w:val="EC260C76"/>
    <w:lvl w:ilvl="0" w:tplc="85E04956">
      <w:numFmt w:val="bullet"/>
      <w:lvlText w:val="-"/>
      <w:lvlJc w:val="left"/>
      <w:pPr>
        <w:ind w:left="720" w:hanging="360"/>
      </w:pPr>
      <w:rPr>
        <w:rFonts w:ascii="Georgia" w:eastAsia="Times New Roman" w:hAnsi="Georgia"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55C2525"/>
    <w:multiLevelType w:val="multilevel"/>
    <w:tmpl w:val="35FED8B8"/>
    <w:numStyleLink w:val="ChapterNumberingList"/>
  </w:abstractNum>
  <w:abstractNum w:abstractNumId="24">
    <w:nsid w:val="460B564E"/>
    <w:multiLevelType w:val="multilevel"/>
    <w:tmpl w:val="D5EA105E"/>
    <w:styleLink w:val="TableBulletSmallList"/>
    <w:lvl w:ilvl="0">
      <w:start w:val="1"/>
      <w:numFmt w:val="bullet"/>
      <w:lvlRestart w:val="0"/>
      <w:lvlText w:val=""/>
      <w:lvlJc w:val="left"/>
      <w:pPr>
        <w:tabs>
          <w:tab w:val="num" w:pos="284"/>
        </w:tabs>
        <w:ind w:left="284" w:hanging="284"/>
      </w:pPr>
      <w:rPr>
        <w:rFonts w:ascii="Symbol" w:hAnsi="Symbol" w:hint="default"/>
        <w:b w:val="0"/>
        <w:i w:val="0"/>
        <w:color w:val="auto"/>
      </w:rPr>
    </w:lvl>
    <w:lvl w:ilvl="1">
      <w:start w:val="1"/>
      <w:numFmt w:val="bullet"/>
      <w:lvlRestart w:val="0"/>
      <w:lvlText w:val="–"/>
      <w:lvlJc w:val="left"/>
      <w:pPr>
        <w:tabs>
          <w:tab w:val="num" w:pos="567"/>
        </w:tabs>
        <w:ind w:left="567" w:hanging="283"/>
      </w:pPr>
      <w:rPr>
        <w:rFonts w:ascii="Arial" w:hAnsi="Arial" w:hint="default"/>
        <w:b w:val="0"/>
        <w:i w:val="0"/>
        <w:color w:val="auto"/>
      </w:rPr>
    </w:lvl>
    <w:lvl w:ilvl="2">
      <w:start w:val="1"/>
      <w:numFmt w:val="bullet"/>
      <w:lvlRestart w:val="0"/>
      <w:lvlText w:val="o"/>
      <w:lvlJc w:val="left"/>
      <w:pPr>
        <w:tabs>
          <w:tab w:val="num" w:pos="851"/>
        </w:tabs>
        <w:ind w:left="851" w:hanging="284"/>
      </w:pPr>
      <w:rPr>
        <w:rFonts w:ascii="Arial" w:hAnsi="Arial" w:hint="default"/>
        <w:b w:val="0"/>
        <w:i w:val="0"/>
        <w:color w:val="auto"/>
        <w:sz w:val="10"/>
        <w:szCs w:val="10"/>
      </w:rPr>
    </w:lvl>
    <w:lvl w:ilvl="3">
      <w:start w:val="1"/>
      <w:numFmt w:val="none"/>
      <w:lvlRestart w:val="0"/>
      <w:lvlText w:val=""/>
      <w:lvlJc w:val="left"/>
      <w:pPr>
        <w:tabs>
          <w:tab w:val="num" w:pos="2880"/>
        </w:tabs>
        <w:ind w:left="2880" w:hanging="720"/>
      </w:pPr>
      <w:rPr>
        <w:rFonts w:hint="default"/>
        <w:b w:val="0"/>
        <w:i w:val="0"/>
        <w:color w:val="auto"/>
        <w:sz w:val="10"/>
        <w:szCs w:val="10"/>
      </w:rPr>
    </w:lvl>
    <w:lvl w:ilvl="4">
      <w:start w:val="1"/>
      <w:numFmt w:val="lowerLetter"/>
      <w:lvlText w:val=""/>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25">
    <w:nsid w:val="4AAB5470"/>
    <w:multiLevelType w:val="multilevel"/>
    <w:tmpl w:val="70E46C8A"/>
    <w:lvl w:ilvl="0">
      <w:start w:val="1"/>
      <w:numFmt w:val="bullet"/>
      <w:lvlRestart w:val="0"/>
      <w:pStyle w:val="ListBullet"/>
      <w:lvlText w:val=""/>
      <w:lvlJc w:val="left"/>
      <w:pPr>
        <w:tabs>
          <w:tab w:val="num" w:pos="284"/>
        </w:tabs>
        <w:ind w:left="284" w:hanging="284"/>
      </w:pPr>
      <w:rPr>
        <w:rFonts w:ascii="Symbol" w:hAnsi="Symbol" w:hint="default"/>
        <w:b w:val="0"/>
        <w:i w:val="0"/>
        <w:color w:val="auto"/>
      </w:rPr>
    </w:lvl>
    <w:lvl w:ilvl="1">
      <w:start w:val="1"/>
      <w:numFmt w:val="bullet"/>
      <w:pStyle w:val="ListBullet2"/>
      <w:lvlText w:val="–"/>
      <w:lvlJc w:val="left"/>
      <w:pPr>
        <w:tabs>
          <w:tab w:val="num" w:pos="567"/>
        </w:tabs>
        <w:ind w:left="568" w:hanging="284"/>
      </w:pPr>
      <w:rPr>
        <w:rFonts w:ascii="Arial" w:hAnsi="Arial" w:hint="default"/>
        <w:b w:val="0"/>
        <w:i w:val="0"/>
        <w:color w:val="auto"/>
      </w:rPr>
    </w:lvl>
    <w:lvl w:ilvl="2">
      <w:start w:val="1"/>
      <w:numFmt w:val="bullet"/>
      <w:pStyle w:val="ListBullet3"/>
      <w:lvlText w:val="◦"/>
      <w:lvlJc w:val="left"/>
      <w:pPr>
        <w:tabs>
          <w:tab w:val="num" w:pos="851"/>
        </w:tabs>
        <w:ind w:left="852" w:hanging="284"/>
      </w:pPr>
      <w:rPr>
        <w:rFonts w:ascii="Georgia" w:hAnsi="Georgia" w:hint="default"/>
        <w:b w:val="0"/>
        <w:i w:val="0"/>
        <w:color w:val="auto"/>
        <w:sz w:val="18"/>
        <w:szCs w:val="10"/>
      </w:rPr>
    </w:lvl>
    <w:lvl w:ilvl="3">
      <w:start w:val="1"/>
      <w:numFmt w:val="bullet"/>
      <w:pStyle w:val="ListBullet4"/>
      <w:lvlText w:val=""/>
      <w:lvlJc w:val="left"/>
      <w:pPr>
        <w:tabs>
          <w:tab w:val="num" w:pos="1134"/>
        </w:tabs>
        <w:ind w:left="1136" w:hanging="284"/>
      </w:pPr>
      <w:rPr>
        <w:rFonts w:ascii="Symbol" w:hAnsi="Symbol" w:hint="default"/>
        <w:b w:val="0"/>
        <w:i w:val="0"/>
        <w:color w:val="auto"/>
        <w:sz w:val="20"/>
        <w:szCs w:val="10"/>
      </w:rPr>
    </w:lvl>
    <w:lvl w:ilvl="4">
      <w:start w:val="1"/>
      <w:numFmt w:val="bullet"/>
      <w:pStyle w:val="ListBullet5"/>
      <w:lvlText w:val="~"/>
      <w:lvlJc w:val="left"/>
      <w:pPr>
        <w:tabs>
          <w:tab w:val="num" w:pos="1418"/>
        </w:tabs>
        <w:ind w:left="1420" w:hanging="284"/>
      </w:pPr>
      <w:rPr>
        <w:rFonts w:ascii="Georgia" w:hAnsi="Georgia" w:hint="default"/>
        <w:color w:val="auto"/>
      </w:rPr>
    </w:lvl>
    <w:lvl w:ilvl="5">
      <w:start w:val="1"/>
      <w:numFmt w:val="lowerRoman"/>
      <w:lvlText w:val="%6"/>
      <w:lvlJc w:val="left"/>
      <w:pPr>
        <w:tabs>
          <w:tab w:val="num" w:pos="1701"/>
        </w:tabs>
        <w:ind w:left="1361" w:firstLine="59"/>
      </w:pPr>
      <w:rPr>
        <w:rFonts w:hint="default"/>
      </w:rPr>
    </w:lvl>
    <w:lvl w:ilvl="6">
      <w:start w:val="1"/>
      <w:numFmt w:val="decimal"/>
      <w:lvlText w:val="%7"/>
      <w:lvlJc w:val="left"/>
      <w:pPr>
        <w:tabs>
          <w:tab w:val="num" w:pos="1985"/>
        </w:tabs>
        <w:ind w:left="1985" w:hanging="964"/>
      </w:pPr>
      <w:rPr>
        <w:rFonts w:hint="default"/>
      </w:rPr>
    </w:lvl>
    <w:lvl w:ilvl="7">
      <w:start w:val="1"/>
      <w:numFmt w:val="lowerLetter"/>
      <w:lvlText w:val="%8"/>
      <w:lvlJc w:val="left"/>
      <w:pPr>
        <w:tabs>
          <w:tab w:val="num" w:pos="2268"/>
        </w:tabs>
        <w:ind w:left="2211" w:hanging="226"/>
      </w:pPr>
      <w:rPr>
        <w:rFonts w:hint="default"/>
      </w:rPr>
    </w:lvl>
    <w:lvl w:ilvl="8">
      <w:start w:val="1"/>
      <w:numFmt w:val="lowerRoman"/>
      <w:lvlText w:val="%9"/>
      <w:lvlJc w:val="left"/>
      <w:pPr>
        <w:tabs>
          <w:tab w:val="num" w:pos="2552"/>
        </w:tabs>
        <w:ind w:left="2552" w:hanging="284"/>
      </w:pPr>
      <w:rPr>
        <w:rFonts w:hint="default"/>
      </w:rPr>
    </w:lvl>
  </w:abstractNum>
  <w:abstractNum w:abstractNumId="26">
    <w:nsid w:val="4D8C2F25"/>
    <w:multiLevelType w:val="multilevel"/>
    <w:tmpl w:val="6E008996"/>
    <w:lvl w:ilvl="0">
      <w:start w:val="1"/>
      <w:numFmt w:val="bullet"/>
      <w:lvlRestart w:val="0"/>
      <w:pStyle w:val="TableBullet1Normal"/>
      <w:lvlText w:val=""/>
      <w:lvlJc w:val="left"/>
      <w:pPr>
        <w:tabs>
          <w:tab w:val="num" w:pos="283"/>
        </w:tabs>
        <w:ind w:left="284" w:hanging="284"/>
      </w:pPr>
      <w:rPr>
        <w:rFonts w:ascii="Symbol" w:hAnsi="Symbol" w:hint="default"/>
        <w:b w:val="0"/>
        <w:i w:val="0"/>
        <w:color w:val="auto"/>
      </w:rPr>
    </w:lvl>
    <w:lvl w:ilvl="1">
      <w:start w:val="1"/>
      <w:numFmt w:val="bullet"/>
      <w:lvlRestart w:val="0"/>
      <w:pStyle w:val="TableBullet2Normal"/>
      <w:lvlText w:val="–"/>
      <w:lvlJc w:val="left"/>
      <w:pPr>
        <w:tabs>
          <w:tab w:val="num" w:pos="567"/>
        </w:tabs>
        <w:ind w:left="567" w:hanging="283"/>
      </w:pPr>
      <w:rPr>
        <w:rFonts w:ascii="Arial" w:hAnsi="Arial" w:hint="default"/>
        <w:b w:val="0"/>
        <w:i w:val="0"/>
        <w:color w:val="auto"/>
        <w:szCs w:val="10"/>
      </w:rPr>
    </w:lvl>
    <w:lvl w:ilvl="2">
      <w:start w:val="1"/>
      <w:numFmt w:val="bullet"/>
      <w:lvlRestart w:val="0"/>
      <w:pStyle w:val="TableBullet3Normal"/>
      <w:lvlText w:val="o"/>
      <w:lvlJc w:val="left"/>
      <w:pPr>
        <w:tabs>
          <w:tab w:val="num" w:pos="851"/>
        </w:tabs>
        <w:ind w:left="851" w:hanging="284"/>
      </w:pPr>
      <w:rPr>
        <w:rFonts w:ascii="Arial" w:hAnsi="Arial" w:hint="default"/>
        <w:b w:val="0"/>
        <w:i w:val="0"/>
        <w:color w:val="auto"/>
        <w:sz w:val="10"/>
        <w:szCs w:val="10"/>
      </w:rPr>
    </w:lvl>
    <w:lvl w:ilvl="3">
      <w:start w:val="1"/>
      <w:numFmt w:val="none"/>
      <w:lvlRestart w:val="0"/>
      <w:lvlText w:val=""/>
      <w:lvlJc w:val="left"/>
      <w:pPr>
        <w:tabs>
          <w:tab w:val="num" w:pos="0"/>
        </w:tabs>
        <w:ind w:left="0" w:firstLine="0"/>
      </w:pPr>
      <w:rPr>
        <w:rFonts w:hint="default"/>
        <w:color w:val="auto"/>
        <w:sz w:val="10"/>
        <w:szCs w:val="10"/>
      </w:rPr>
    </w:lvl>
    <w:lvl w:ilvl="4">
      <w:start w:val="1"/>
      <w:numFmt w:val="none"/>
      <w:lvlText w:val="%5"/>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27">
    <w:nsid w:val="518C39C9"/>
    <w:multiLevelType w:val="multilevel"/>
    <w:tmpl w:val="D93463A2"/>
    <w:styleLink w:val="Style1"/>
    <w:lvl w:ilvl="0">
      <w:start w:val="1"/>
      <w:numFmt w:val="decimal"/>
      <w:pStyle w:val="TOC1"/>
      <w:lvlText w:val="%1"/>
      <w:lvlJc w:val="left"/>
      <w:pPr>
        <w:tabs>
          <w:tab w:val="num" w:pos="567"/>
        </w:tabs>
        <w:ind w:left="567" w:hanging="567"/>
      </w:pPr>
      <w:rPr>
        <w:rFonts w:hint="default"/>
      </w:rPr>
    </w:lvl>
    <w:lvl w:ilvl="1">
      <w:start w:val="1"/>
      <w:numFmt w:val="none"/>
      <w:pStyle w:val="Appendicestitle"/>
      <w:suff w:val="nothing"/>
      <w:lvlText w:val=""/>
      <w:lvlJc w:val="left"/>
      <w:pPr>
        <w:ind w:left="0" w:firstLine="0"/>
      </w:pPr>
      <w:rPr>
        <w:rFonts w:hint="default"/>
      </w:rPr>
    </w:lvl>
    <w:lvl w:ilvl="2">
      <w:start w:val="1"/>
      <w:numFmt w:val="upperLetter"/>
      <w:pStyle w:val="TOC3"/>
      <w:lvlText w:val="Appendix %3"/>
      <w:lvlJc w:val="left"/>
      <w:pPr>
        <w:tabs>
          <w:tab w:val="num" w:pos="1985"/>
        </w:tabs>
        <w:ind w:left="1985" w:hanging="198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5DC76B7F"/>
    <w:multiLevelType w:val="multilevel"/>
    <w:tmpl w:val="2AF20F34"/>
    <w:lvl w:ilvl="0">
      <w:start w:val="1"/>
      <w:numFmt w:val="decimal"/>
      <w:lvlRestart w:val="0"/>
      <w:pStyle w:val="ChapterNumberLong"/>
      <w:suff w:val="nothing"/>
      <w:lvlText w:val="%1"/>
      <w:lvlJc w:val="left"/>
      <w:pPr>
        <w:tabs>
          <w:tab w:val="num" w:pos="0"/>
        </w:tabs>
        <w:ind w:left="0" w:firstLine="0"/>
      </w:pPr>
      <w:rPr>
        <w:rFonts w:hint="default"/>
      </w:rPr>
    </w:lvl>
    <w:lvl w:ilvl="1">
      <w:start w:val="1"/>
      <w:numFmt w:val="decimal"/>
      <w:lvlRestart w:val="0"/>
      <w:pStyle w:val="Heading2"/>
      <w:lvlText w:val="%2"/>
      <w:lvlJc w:val="left"/>
      <w:pPr>
        <w:tabs>
          <w:tab w:val="num" w:pos="850"/>
        </w:tabs>
        <w:ind w:left="850" w:hanging="850"/>
      </w:pPr>
      <w:rPr>
        <w:rFonts w:hint="default"/>
      </w:rPr>
    </w:lvl>
    <w:lvl w:ilvl="2">
      <w:start w:val="1"/>
      <w:numFmt w:val="decimal"/>
      <w:pStyle w:val="Heading6"/>
      <w:lvlText w:val="%2.%3"/>
      <w:lvlJc w:val="left"/>
      <w:pPr>
        <w:tabs>
          <w:tab w:val="num" w:pos="850"/>
        </w:tabs>
        <w:ind w:left="850" w:hanging="850"/>
      </w:pPr>
      <w:rPr>
        <w:rFonts w:hint="default"/>
      </w:rPr>
    </w:lvl>
    <w:lvl w:ilvl="3">
      <w:start w:val="1"/>
      <w:numFmt w:val="decimal"/>
      <w:pStyle w:val="Heading7"/>
      <w:lvlText w:val="%2.%3.%4"/>
      <w:lvlJc w:val="left"/>
      <w:pPr>
        <w:tabs>
          <w:tab w:val="num" w:pos="850"/>
        </w:tabs>
        <w:ind w:left="850" w:hanging="850"/>
      </w:pPr>
      <w:rPr>
        <w:rFonts w:hint="default"/>
      </w:rPr>
    </w:lvl>
    <w:lvl w:ilvl="4">
      <w:start w:val="1"/>
      <w:numFmt w:val="upperLetter"/>
      <w:lvlRestart w:val="0"/>
      <w:pStyle w:val="Heading4"/>
      <w:lvlText w:val="Appendix %5"/>
      <w:lvlJc w:val="left"/>
      <w:pPr>
        <w:tabs>
          <w:tab w:val="num" w:pos="3685"/>
        </w:tabs>
        <w:ind w:left="0" w:firstLine="0"/>
      </w:pPr>
      <w:rPr>
        <w:rFonts w:hint="default"/>
      </w:rPr>
    </w:lvl>
    <w:lvl w:ilvl="5">
      <w:start w:val="1"/>
      <w:numFmt w:val="upperLetter"/>
      <w:lvlRestart w:val="0"/>
      <w:pStyle w:val="AppendixNumberLong"/>
      <w:suff w:val="nothing"/>
      <w:lvlText w:val="Appendix %6"/>
      <w:lvlJc w:val="left"/>
      <w:pPr>
        <w:tabs>
          <w:tab w:val="num" w:pos="0"/>
        </w:tabs>
        <w:ind w:left="0" w:firstLine="0"/>
      </w:pPr>
      <w:rPr>
        <w:rFonts w:hint="default"/>
      </w:rPr>
    </w:lvl>
    <w:lvl w:ilvl="6">
      <w:start w:val="1"/>
      <w:numFmt w:val="decimal"/>
      <w:pStyle w:val="Heading8"/>
      <w:lvlText w:val="%7"/>
      <w:lvlJc w:val="left"/>
      <w:pPr>
        <w:tabs>
          <w:tab w:val="num" w:pos="567"/>
        </w:tabs>
        <w:ind w:left="567" w:hanging="567"/>
      </w:pPr>
      <w:rPr>
        <w:rFonts w:hint="default"/>
        <w:b/>
        <w:i/>
      </w:rPr>
    </w:lvl>
    <w:lvl w:ilvl="7">
      <w:start w:val="1"/>
      <w:numFmt w:val="decimal"/>
      <w:pStyle w:val="ChapterNumberedList1"/>
      <w:lvlText w:val="%8"/>
      <w:lvlJc w:val="left"/>
      <w:pPr>
        <w:tabs>
          <w:tab w:val="num" w:pos="567"/>
        </w:tabs>
        <w:ind w:left="567" w:hanging="567"/>
      </w:pPr>
      <w:rPr>
        <w:rFonts w:hint="default"/>
        <w:b w:val="0"/>
        <w:i w:val="0"/>
        <w:color w:val="auto"/>
      </w:rPr>
    </w:lvl>
    <w:lvl w:ilvl="8">
      <w:start w:val="1"/>
      <w:numFmt w:val="lowerLetter"/>
      <w:pStyle w:val="ChapterNumberedList2"/>
      <w:lvlText w:val="%9"/>
      <w:lvlJc w:val="left"/>
      <w:pPr>
        <w:tabs>
          <w:tab w:val="num" w:pos="1134"/>
        </w:tabs>
        <w:ind w:left="1134" w:hanging="567"/>
      </w:pPr>
      <w:rPr>
        <w:rFonts w:hint="default"/>
        <w:b w:val="0"/>
        <w:i w:val="0"/>
        <w:color w:val="auto"/>
      </w:rPr>
    </w:lvl>
  </w:abstractNum>
  <w:abstractNum w:abstractNumId="29">
    <w:nsid w:val="5E401664"/>
    <w:multiLevelType w:val="multilevel"/>
    <w:tmpl w:val="EE12AE72"/>
    <w:name w:val="LongTOC"/>
    <w:lvl w:ilvl="0">
      <w:start w:val="1"/>
      <w:numFmt w:val="upperLetter"/>
      <w:lvlText w:val="Appendix %1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633A6B08"/>
    <w:multiLevelType w:val="hybridMultilevel"/>
    <w:tmpl w:val="BB089390"/>
    <w:lvl w:ilvl="0" w:tplc="D85CEB02">
      <w:numFmt w:val="bullet"/>
      <w:lvlText w:val="-"/>
      <w:lvlJc w:val="left"/>
      <w:pPr>
        <w:ind w:left="36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3917BB9"/>
    <w:multiLevelType w:val="multilevel"/>
    <w:tmpl w:val="C3DE98D4"/>
    <w:lvl w:ilvl="0">
      <w:start w:val="1"/>
      <w:numFmt w:val="none"/>
      <w:pStyle w:val="PwCNormal"/>
      <w:suff w:val="nothing"/>
      <w:lvlText w:val=""/>
      <w:lvlJc w:val="left"/>
      <w:pPr>
        <w:ind w:left="0" w:firstLine="0"/>
      </w:pPr>
      <w:rPr>
        <w:rFonts w:hint="default"/>
        <w:color w:val="auto"/>
      </w:rPr>
    </w:lvl>
    <w:lvl w:ilvl="1">
      <w:start w:val="1"/>
      <w:numFmt w:val="none"/>
      <w:pStyle w:val="Indent1"/>
      <w:suff w:val="nothing"/>
      <w:lvlText w:val=""/>
      <w:lvlJc w:val="left"/>
      <w:pPr>
        <w:ind w:left="284" w:firstLine="0"/>
      </w:pPr>
      <w:rPr>
        <w:rFonts w:hint="default"/>
      </w:rPr>
    </w:lvl>
    <w:lvl w:ilvl="2">
      <w:start w:val="1"/>
      <w:numFmt w:val="none"/>
      <w:pStyle w:val="Indent2"/>
      <w:suff w:val="nothing"/>
      <w:lvlText w:val=""/>
      <w:lvlJc w:val="left"/>
      <w:pPr>
        <w:ind w:left="568" w:firstLine="0"/>
      </w:pPr>
      <w:rPr>
        <w:rFonts w:hint="default"/>
      </w:rPr>
    </w:lvl>
    <w:lvl w:ilvl="3">
      <w:start w:val="1"/>
      <w:numFmt w:val="none"/>
      <w:pStyle w:val="Indent3"/>
      <w:suff w:val="nothing"/>
      <w:lvlText w:val=""/>
      <w:lvlJc w:val="left"/>
      <w:pPr>
        <w:ind w:left="852" w:firstLine="0"/>
      </w:pPr>
      <w:rPr>
        <w:rFonts w:hint="default"/>
      </w:rPr>
    </w:lvl>
    <w:lvl w:ilvl="4">
      <w:start w:val="1"/>
      <w:numFmt w:val="none"/>
      <w:pStyle w:val="Indent4"/>
      <w:suff w:val="nothing"/>
      <w:lvlText w:val=""/>
      <w:lvlJc w:val="left"/>
      <w:pPr>
        <w:ind w:left="1136" w:firstLine="0"/>
      </w:pPr>
      <w:rPr>
        <w:rFonts w:hint="default"/>
      </w:rPr>
    </w:lvl>
    <w:lvl w:ilvl="5">
      <w:start w:val="1"/>
      <w:numFmt w:val="none"/>
      <w:pStyle w:val="Indent5"/>
      <w:suff w:val="nothing"/>
      <w:lvlText w:val=""/>
      <w:lvlJc w:val="left"/>
      <w:pPr>
        <w:ind w:left="1420" w:firstLine="0"/>
      </w:pPr>
      <w:rPr>
        <w:rFonts w:hint="default"/>
      </w:rPr>
    </w:lvl>
    <w:lvl w:ilvl="6">
      <w:start w:val="1"/>
      <w:numFmt w:val="none"/>
      <w:pStyle w:val="Indent6"/>
      <w:suff w:val="nothing"/>
      <w:lvlText w:val=""/>
      <w:lvlJc w:val="left"/>
      <w:pPr>
        <w:ind w:left="1704" w:firstLine="0"/>
      </w:pPr>
      <w:rPr>
        <w:rFonts w:hint="default"/>
      </w:rPr>
    </w:lvl>
    <w:lvl w:ilvl="7">
      <w:start w:val="1"/>
      <w:numFmt w:val="none"/>
      <w:pStyle w:val="Indent7"/>
      <w:suff w:val="nothing"/>
      <w:lvlText w:val=""/>
      <w:lvlJc w:val="left"/>
      <w:pPr>
        <w:ind w:left="1988" w:firstLine="0"/>
      </w:pPr>
      <w:rPr>
        <w:rFonts w:hint="default"/>
      </w:rPr>
    </w:lvl>
    <w:lvl w:ilvl="8">
      <w:start w:val="1"/>
      <w:numFmt w:val="none"/>
      <w:pStyle w:val="Indent8"/>
      <w:suff w:val="nothing"/>
      <w:lvlText w:val=""/>
      <w:lvlJc w:val="left"/>
      <w:pPr>
        <w:ind w:left="2272" w:firstLine="0"/>
      </w:pPr>
      <w:rPr>
        <w:rFonts w:hint="default"/>
      </w:rPr>
    </w:lvl>
  </w:abstractNum>
  <w:abstractNum w:abstractNumId="32">
    <w:nsid w:val="64A84231"/>
    <w:multiLevelType w:val="hybridMultilevel"/>
    <w:tmpl w:val="6F6CE96A"/>
    <w:lvl w:ilvl="0" w:tplc="D85CEB02">
      <w:numFmt w:val="bullet"/>
      <w:lvlText w:val="-"/>
      <w:lvlJc w:val="left"/>
      <w:pPr>
        <w:ind w:left="360" w:hanging="360"/>
      </w:pPr>
      <w:rPr>
        <w:rFonts w:ascii="Arial" w:eastAsia="Times New Roman"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nsid w:val="6C8A32D2"/>
    <w:multiLevelType w:val="multilevel"/>
    <w:tmpl w:val="25800BE4"/>
    <w:styleLink w:val="TableBulletNormalList"/>
    <w:lvl w:ilvl="0">
      <w:start w:val="1"/>
      <w:numFmt w:val="bullet"/>
      <w:lvlRestart w:val="0"/>
      <w:lvlText w:val=""/>
      <w:lvlJc w:val="left"/>
      <w:pPr>
        <w:tabs>
          <w:tab w:val="num" w:pos="283"/>
        </w:tabs>
        <w:ind w:left="283" w:hanging="283"/>
      </w:pPr>
      <w:rPr>
        <w:rFonts w:ascii="Symbol" w:hAnsi="Symbol" w:hint="default"/>
        <w:b w:val="0"/>
        <w:i w:val="0"/>
        <w:color w:val="auto"/>
      </w:rPr>
    </w:lvl>
    <w:lvl w:ilvl="1">
      <w:start w:val="1"/>
      <w:numFmt w:val="bullet"/>
      <w:lvlRestart w:val="0"/>
      <w:lvlText w:val="–"/>
      <w:lvlJc w:val="left"/>
      <w:pPr>
        <w:tabs>
          <w:tab w:val="num" w:pos="567"/>
        </w:tabs>
        <w:ind w:left="567" w:hanging="283"/>
      </w:pPr>
      <w:rPr>
        <w:rFonts w:ascii="Arial" w:hAnsi="Arial" w:hint="default"/>
        <w:b w:val="0"/>
        <w:i w:val="0"/>
        <w:color w:val="auto"/>
        <w:szCs w:val="10"/>
      </w:rPr>
    </w:lvl>
    <w:lvl w:ilvl="2">
      <w:start w:val="1"/>
      <w:numFmt w:val="bullet"/>
      <w:lvlRestart w:val="0"/>
      <w:lvlText w:val="o"/>
      <w:lvlJc w:val="left"/>
      <w:pPr>
        <w:tabs>
          <w:tab w:val="num" w:pos="851"/>
        </w:tabs>
        <w:ind w:left="851" w:hanging="284"/>
      </w:pPr>
      <w:rPr>
        <w:rFonts w:ascii="Arial" w:hAnsi="Arial" w:hint="default"/>
        <w:b w:val="0"/>
        <w:i w:val="0"/>
        <w:color w:val="auto"/>
        <w:sz w:val="10"/>
        <w:szCs w:val="10"/>
      </w:rPr>
    </w:lvl>
    <w:lvl w:ilvl="3">
      <w:start w:val="1"/>
      <w:numFmt w:val="none"/>
      <w:lvlRestart w:val="0"/>
      <w:lvlText w:val=""/>
      <w:lvlJc w:val="left"/>
      <w:pPr>
        <w:tabs>
          <w:tab w:val="num" w:pos="0"/>
        </w:tabs>
        <w:ind w:left="0" w:firstLine="0"/>
      </w:pPr>
      <w:rPr>
        <w:rFonts w:hint="default"/>
        <w:color w:val="auto"/>
        <w:sz w:val="10"/>
        <w:szCs w:val="10"/>
      </w:rPr>
    </w:lvl>
    <w:lvl w:ilvl="4">
      <w:start w:val="1"/>
      <w:numFmt w:val="none"/>
      <w:lvlText w:val="%5"/>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34">
    <w:nsid w:val="777641B9"/>
    <w:multiLevelType w:val="hybridMultilevel"/>
    <w:tmpl w:val="12A6E84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2"/>
  </w:num>
  <w:num w:numId="2">
    <w:abstractNumId w:val="1"/>
  </w:num>
  <w:num w:numId="3">
    <w:abstractNumId w:val="17"/>
  </w:num>
  <w:num w:numId="4">
    <w:abstractNumId w:val="3"/>
  </w:num>
  <w:num w:numId="5">
    <w:abstractNumId w:val="4"/>
  </w:num>
  <w:num w:numId="6">
    <w:abstractNumId w:val="20"/>
  </w:num>
  <w:num w:numId="7">
    <w:abstractNumId w:val="6"/>
  </w:num>
  <w:num w:numId="8">
    <w:abstractNumId w:val="18"/>
  </w:num>
  <w:num w:numId="9">
    <w:abstractNumId w:val="28"/>
  </w:num>
  <w:num w:numId="10">
    <w:abstractNumId w:val="9"/>
  </w:num>
  <w:num w:numId="11">
    <w:abstractNumId w:val="25"/>
  </w:num>
  <w:num w:numId="12">
    <w:abstractNumId w:val="8"/>
  </w:num>
  <w:num w:numId="13">
    <w:abstractNumId w:val="11"/>
  </w:num>
  <w:num w:numId="14">
    <w:abstractNumId w:val="21"/>
  </w:num>
  <w:num w:numId="15">
    <w:abstractNumId w:val="7"/>
  </w:num>
  <w:num w:numId="16">
    <w:abstractNumId w:val="27"/>
  </w:num>
  <w:num w:numId="17">
    <w:abstractNumId w:val="26"/>
  </w:num>
  <w:num w:numId="18">
    <w:abstractNumId w:val="16"/>
  </w:num>
  <w:num w:numId="19">
    <w:abstractNumId w:val="33"/>
  </w:num>
  <w:num w:numId="20">
    <w:abstractNumId w:val="24"/>
  </w:num>
  <w:num w:numId="21">
    <w:abstractNumId w:val="13"/>
  </w:num>
  <w:num w:numId="22">
    <w:abstractNumId w:val="15"/>
  </w:num>
  <w:num w:numId="23">
    <w:abstractNumId w:val="10"/>
  </w:num>
  <w:num w:numId="24">
    <w:abstractNumId w:val="14"/>
  </w:num>
  <w:num w:numId="25">
    <w:abstractNumId w:val="27"/>
  </w:num>
  <w:num w:numId="26">
    <w:abstractNumId w:val="31"/>
  </w:num>
  <w:num w:numId="27">
    <w:abstractNumId w:val="23"/>
  </w:num>
  <w:num w:numId="28">
    <w:abstractNumId w:val="29"/>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0"/>
  </w:num>
  <w:num w:numId="34">
    <w:abstractNumId w:val="22"/>
  </w:num>
  <w:num w:numId="35">
    <w:abstractNumId w:val="32"/>
  </w:num>
  <w:num w:numId="36">
    <w:abstractNumId w:val="30"/>
  </w:num>
  <w:num w:numId="37">
    <w:abstractNumId w:val="5"/>
  </w:num>
  <w:num w:numId="38">
    <w:abstractNumId w:val="34"/>
  </w:num>
  <w:num w:numId="39">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1" w:cryptProviderType="rsaFull" w:cryptAlgorithmClass="hash" w:cryptAlgorithmType="typeAny" w:cryptAlgorithmSid="4" w:cryptSpinCount="100000" w:hash="FTYkzLd1ricCYY8nF89ibn6iAWc=" w:salt="qPN8hhU1tbZgccZ5o5gG6Q=="/>
  <w:defaultTabStop w:val="720"/>
  <w:evenAndOddHeaders/>
  <w:drawingGridHorizontalSpacing w:val="100"/>
  <w:displayHorizontalDrawingGridEvery w:val="2"/>
  <w:characterSpacingControl w:val="doNotCompress"/>
  <w:hdrShapeDefaults>
    <o:shapedefaults v:ext="edit" spidmax="18433" fillcolor="none [3215]" stroke="f">
      <v:fill color="none [3215]"/>
      <v:stroke on="f"/>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690"/>
    <w:rsid w:val="00000267"/>
    <w:rsid w:val="00000E07"/>
    <w:rsid w:val="000010DC"/>
    <w:rsid w:val="00001404"/>
    <w:rsid w:val="00002F7F"/>
    <w:rsid w:val="00002F85"/>
    <w:rsid w:val="000046CA"/>
    <w:rsid w:val="00005CEB"/>
    <w:rsid w:val="00006B9F"/>
    <w:rsid w:val="00006DC6"/>
    <w:rsid w:val="00007406"/>
    <w:rsid w:val="00007EFD"/>
    <w:rsid w:val="00011B56"/>
    <w:rsid w:val="000123EA"/>
    <w:rsid w:val="000138E1"/>
    <w:rsid w:val="000148A7"/>
    <w:rsid w:val="00015271"/>
    <w:rsid w:val="00015598"/>
    <w:rsid w:val="00015F3F"/>
    <w:rsid w:val="000165FF"/>
    <w:rsid w:val="000203C2"/>
    <w:rsid w:val="00020F7F"/>
    <w:rsid w:val="00020F8D"/>
    <w:rsid w:val="000219D0"/>
    <w:rsid w:val="00023712"/>
    <w:rsid w:val="0002400B"/>
    <w:rsid w:val="00025387"/>
    <w:rsid w:val="00027B5F"/>
    <w:rsid w:val="0003004A"/>
    <w:rsid w:val="000308DC"/>
    <w:rsid w:val="00031309"/>
    <w:rsid w:val="000317A6"/>
    <w:rsid w:val="000324F8"/>
    <w:rsid w:val="00033E5E"/>
    <w:rsid w:val="00034F91"/>
    <w:rsid w:val="00035288"/>
    <w:rsid w:val="00035B39"/>
    <w:rsid w:val="0003687B"/>
    <w:rsid w:val="00040BC7"/>
    <w:rsid w:val="00041787"/>
    <w:rsid w:val="00041E14"/>
    <w:rsid w:val="00042109"/>
    <w:rsid w:val="00043650"/>
    <w:rsid w:val="00044237"/>
    <w:rsid w:val="000444FF"/>
    <w:rsid w:val="000473AE"/>
    <w:rsid w:val="00047714"/>
    <w:rsid w:val="000506A5"/>
    <w:rsid w:val="00050ACB"/>
    <w:rsid w:val="00050BFF"/>
    <w:rsid w:val="00051862"/>
    <w:rsid w:val="00051D12"/>
    <w:rsid w:val="0005222A"/>
    <w:rsid w:val="00052DE4"/>
    <w:rsid w:val="00053B82"/>
    <w:rsid w:val="00054C40"/>
    <w:rsid w:val="00055A6A"/>
    <w:rsid w:val="00055BAE"/>
    <w:rsid w:val="0005674C"/>
    <w:rsid w:val="00057EA6"/>
    <w:rsid w:val="00060292"/>
    <w:rsid w:val="000606D1"/>
    <w:rsid w:val="00061068"/>
    <w:rsid w:val="0006159A"/>
    <w:rsid w:val="000619A2"/>
    <w:rsid w:val="00061DA1"/>
    <w:rsid w:val="00062AFE"/>
    <w:rsid w:val="00063503"/>
    <w:rsid w:val="00063BE4"/>
    <w:rsid w:val="00064A4C"/>
    <w:rsid w:val="00064B40"/>
    <w:rsid w:val="00064EB8"/>
    <w:rsid w:val="0006530A"/>
    <w:rsid w:val="000679F1"/>
    <w:rsid w:val="00067EC5"/>
    <w:rsid w:val="00070164"/>
    <w:rsid w:val="00070486"/>
    <w:rsid w:val="00070875"/>
    <w:rsid w:val="000713BA"/>
    <w:rsid w:val="00076C97"/>
    <w:rsid w:val="000778D4"/>
    <w:rsid w:val="00077EBF"/>
    <w:rsid w:val="00080A5D"/>
    <w:rsid w:val="00080AF8"/>
    <w:rsid w:val="00081183"/>
    <w:rsid w:val="0008139D"/>
    <w:rsid w:val="00081A58"/>
    <w:rsid w:val="00081D94"/>
    <w:rsid w:val="00082667"/>
    <w:rsid w:val="00082CD9"/>
    <w:rsid w:val="00083051"/>
    <w:rsid w:val="000847B3"/>
    <w:rsid w:val="00085146"/>
    <w:rsid w:val="00085E3A"/>
    <w:rsid w:val="00085E7F"/>
    <w:rsid w:val="00087C5B"/>
    <w:rsid w:val="000905BA"/>
    <w:rsid w:val="00090AAB"/>
    <w:rsid w:val="00091458"/>
    <w:rsid w:val="00091AF8"/>
    <w:rsid w:val="0009340E"/>
    <w:rsid w:val="000938F3"/>
    <w:rsid w:val="00094408"/>
    <w:rsid w:val="00096CE6"/>
    <w:rsid w:val="00096F31"/>
    <w:rsid w:val="000A0570"/>
    <w:rsid w:val="000A0836"/>
    <w:rsid w:val="000A103C"/>
    <w:rsid w:val="000A1F3F"/>
    <w:rsid w:val="000A2271"/>
    <w:rsid w:val="000A38AA"/>
    <w:rsid w:val="000A3B6C"/>
    <w:rsid w:val="000A4154"/>
    <w:rsid w:val="000A4352"/>
    <w:rsid w:val="000A51EE"/>
    <w:rsid w:val="000A6014"/>
    <w:rsid w:val="000A6F12"/>
    <w:rsid w:val="000A744F"/>
    <w:rsid w:val="000B0862"/>
    <w:rsid w:val="000B1068"/>
    <w:rsid w:val="000B319E"/>
    <w:rsid w:val="000B469B"/>
    <w:rsid w:val="000B510F"/>
    <w:rsid w:val="000B5AFD"/>
    <w:rsid w:val="000B5C09"/>
    <w:rsid w:val="000B61EE"/>
    <w:rsid w:val="000B62A0"/>
    <w:rsid w:val="000B65CE"/>
    <w:rsid w:val="000B741C"/>
    <w:rsid w:val="000B7AC9"/>
    <w:rsid w:val="000B7E22"/>
    <w:rsid w:val="000C009C"/>
    <w:rsid w:val="000C0DC8"/>
    <w:rsid w:val="000C10E3"/>
    <w:rsid w:val="000C281E"/>
    <w:rsid w:val="000C312A"/>
    <w:rsid w:val="000C3423"/>
    <w:rsid w:val="000C4821"/>
    <w:rsid w:val="000C56BD"/>
    <w:rsid w:val="000C5C8E"/>
    <w:rsid w:val="000C5D73"/>
    <w:rsid w:val="000C5EEC"/>
    <w:rsid w:val="000C6F10"/>
    <w:rsid w:val="000D03D0"/>
    <w:rsid w:val="000D0FD6"/>
    <w:rsid w:val="000D21C3"/>
    <w:rsid w:val="000D3879"/>
    <w:rsid w:val="000D3B7B"/>
    <w:rsid w:val="000D3C42"/>
    <w:rsid w:val="000D3C62"/>
    <w:rsid w:val="000D4527"/>
    <w:rsid w:val="000D4FC1"/>
    <w:rsid w:val="000D5593"/>
    <w:rsid w:val="000D6E9A"/>
    <w:rsid w:val="000E0E16"/>
    <w:rsid w:val="000E126D"/>
    <w:rsid w:val="000E14AD"/>
    <w:rsid w:val="000E161D"/>
    <w:rsid w:val="000E2F96"/>
    <w:rsid w:val="000E3802"/>
    <w:rsid w:val="000E5D59"/>
    <w:rsid w:val="000E6525"/>
    <w:rsid w:val="000E65B2"/>
    <w:rsid w:val="000E6E32"/>
    <w:rsid w:val="000E751E"/>
    <w:rsid w:val="000E7917"/>
    <w:rsid w:val="000E7BB5"/>
    <w:rsid w:val="000F118B"/>
    <w:rsid w:val="000F4EB8"/>
    <w:rsid w:val="000F5BBE"/>
    <w:rsid w:val="000F76FF"/>
    <w:rsid w:val="000F77C6"/>
    <w:rsid w:val="001002E4"/>
    <w:rsid w:val="00100753"/>
    <w:rsid w:val="001013F4"/>
    <w:rsid w:val="001015D1"/>
    <w:rsid w:val="00101E7E"/>
    <w:rsid w:val="001026F1"/>
    <w:rsid w:val="00103011"/>
    <w:rsid w:val="00103318"/>
    <w:rsid w:val="00103591"/>
    <w:rsid w:val="00105AA9"/>
    <w:rsid w:val="00106491"/>
    <w:rsid w:val="00106911"/>
    <w:rsid w:val="00111324"/>
    <w:rsid w:val="00111544"/>
    <w:rsid w:val="0011203C"/>
    <w:rsid w:val="00112470"/>
    <w:rsid w:val="00112A1C"/>
    <w:rsid w:val="00113D7F"/>
    <w:rsid w:val="00113F66"/>
    <w:rsid w:val="0011421B"/>
    <w:rsid w:val="00115085"/>
    <w:rsid w:val="00116C85"/>
    <w:rsid w:val="001176D8"/>
    <w:rsid w:val="001179B7"/>
    <w:rsid w:val="00117D9C"/>
    <w:rsid w:val="00120F08"/>
    <w:rsid w:val="00121879"/>
    <w:rsid w:val="001226BE"/>
    <w:rsid w:val="00123EF1"/>
    <w:rsid w:val="00124E9B"/>
    <w:rsid w:val="00125AFC"/>
    <w:rsid w:val="00126AFF"/>
    <w:rsid w:val="00126DC3"/>
    <w:rsid w:val="00127187"/>
    <w:rsid w:val="00127829"/>
    <w:rsid w:val="001279ED"/>
    <w:rsid w:val="00130007"/>
    <w:rsid w:val="001303F1"/>
    <w:rsid w:val="00130727"/>
    <w:rsid w:val="00130745"/>
    <w:rsid w:val="001312FD"/>
    <w:rsid w:val="00132EED"/>
    <w:rsid w:val="00135AE9"/>
    <w:rsid w:val="0013700E"/>
    <w:rsid w:val="00137B03"/>
    <w:rsid w:val="0014062F"/>
    <w:rsid w:val="001409FB"/>
    <w:rsid w:val="00141457"/>
    <w:rsid w:val="001415DD"/>
    <w:rsid w:val="001420B0"/>
    <w:rsid w:val="00142F9D"/>
    <w:rsid w:val="001436B6"/>
    <w:rsid w:val="001469D4"/>
    <w:rsid w:val="00146E85"/>
    <w:rsid w:val="0014703A"/>
    <w:rsid w:val="001476BD"/>
    <w:rsid w:val="001476BE"/>
    <w:rsid w:val="0015001A"/>
    <w:rsid w:val="0015027C"/>
    <w:rsid w:val="001516AB"/>
    <w:rsid w:val="001526C9"/>
    <w:rsid w:val="0015303F"/>
    <w:rsid w:val="001533FB"/>
    <w:rsid w:val="00155604"/>
    <w:rsid w:val="00155FE3"/>
    <w:rsid w:val="00157444"/>
    <w:rsid w:val="001604B6"/>
    <w:rsid w:val="00161B8C"/>
    <w:rsid w:val="00163159"/>
    <w:rsid w:val="00164262"/>
    <w:rsid w:val="0016454D"/>
    <w:rsid w:val="00164A8D"/>
    <w:rsid w:val="00165AC0"/>
    <w:rsid w:val="00166A0B"/>
    <w:rsid w:val="00166AE4"/>
    <w:rsid w:val="00166E6F"/>
    <w:rsid w:val="00166F4F"/>
    <w:rsid w:val="001679E7"/>
    <w:rsid w:val="00167EE0"/>
    <w:rsid w:val="00167F7E"/>
    <w:rsid w:val="00170238"/>
    <w:rsid w:val="001708CB"/>
    <w:rsid w:val="00170DF6"/>
    <w:rsid w:val="00172453"/>
    <w:rsid w:val="00172826"/>
    <w:rsid w:val="00172862"/>
    <w:rsid w:val="00174043"/>
    <w:rsid w:val="00176D38"/>
    <w:rsid w:val="00177104"/>
    <w:rsid w:val="00180895"/>
    <w:rsid w:val="00181EAE"/>
    <w:rsid w:val="001824CB"/>
    <w:rsid w:val="00182598"/>
    <w:rsid w:val="001827F1"/>
    <w:rsid w:val="00184855"/>
    <w:rsid w:val="00185379"/>
    <w:rsid w:val="001856FB"/>
    <w:rsid w:val="00185720"/>
    <w:rsid w:val="00185E01"/>
    <w:rsid w:val="00185F6F"/>
    <w:rsid w:val="001861C1"/>
    <w:rsid w:val="0018690C"/>
    <w:rsid w:val="00187218"/>
    <w:rsid w:val="00190483"/>
    <w:rsid w:val="00192241"/>
    <w:rsid w:val="00192A42"/>
    <w:rsid w:val="00192F51"/>
    <w:rsid w:val="00193397"/>
    <w:rsid w:val="00197937"/>
    <w:rsid w:val="00197C7A"/>
    <w:rsid w:val="00197D29"/>
    <w:rsid w:val="001A01CF"/>
    <w:rsid w:val="001A076D"/>
    <w:rsid w:val="001A129B"/>
    <w:rsid w:val="001A1C17"/>
    <w:rsid w:val="001A24EE"/>
    <w:rsid w:val="001A2696"/>
    <w:rsid w:val="001A2D56"/>
    <w:rsid w:val="001A529E"/>
    <w:rsid w:val="001A6378"/>
    <w:rsid w:val="001B154C"/>
    <w:rsid w:val="001B1E72"/>
    <w:rsid w:val="001B2382"/>
    <w:rsid w:val="001B3161"/>
    <w:rsid w:val="001B3327"/>
    <w:rsid w:val="001B34FF"/>
    <w:rsid w:val="001B3C7F"/>
    <w:rsid w:val="001B58F2"/>
    <w:rsid w:val="001B678D"/>
    <w:rsid w:val="001C1D4C"/>
    <w:rsid w:val="001C1FA9"/>
    <w:rsid w:val="001C2061"/>
    <w:rsid w:val="001C28BE"/>
    <w:rsid w:val="001C32F9"/>
    <w:rsid w:val="001C4213"/>
    <w:rsid w:val="001C447B"/>
    <w:rsid w:val="001C47A5"/>
    <w:rsid w:val="001C4FE3"/>
    <w:rsid w:val="001C5141"/>
    <w:rsid w:val="001C5F00"/>
    <w:rsid w:val="001C6506"/>
    <w:rsid w:val="001C6811"/>
    <w:rsid w:val="001C6D16"/>
    <w:rsid w:val="001D11DC"/>
    <w:rsid w:val="001D1AF5"/>
    <w:rsid w:val="001D2237"/>
    <w:rsid w:val="001D29AE"/>
    <w:rsid w:val="001D3DD1"/>
    <w:rsid w:val="001D4D60"/>
    <w:rsid w:val="001D65CA"/>
    <w:rsid w:val="001E06FE"/>
    <w:rsid w:val="001E2F91"/>
    <w:rsid w:val="001E31A4"/>
    <w:rsid w:val="001E3EA7"/>
    <w:rsid w:val="001E41D9"/>
    <w:rsid w:val="001E5304"/>
    <w:rsid w:val="001E5A9E"/>
    <w:rsid w:val="001E620F"/>
    <w:rsid w:val="001E62C4"/>
    <w:rsid w:val="001E68DD"/>
    <w:rsid w:val="001E6A5E"/>
    <w:rsid w:val="001E6CE0"/>
    <w:rsid w:val="001E725C"/>
    <w:rsid w:val="001F0210"/>
    <w:rsid w:val="001F0507"/>
    <w:rsid w:val="001F0793"/>
    <w:rsid w:val="001F0A26"/>
    <w:rsid w:val="001F0DAD"/>
    <w:rsid w:val="001F25E8"/>
    <w:rsid w:val="001F2BB2"/>
    <w:rsid w:val="001F2C4E"/>
    <w:rsid w:val="001F3220"/>
    <w:rsid w:val="001F55EB"/>
    <w:rsid w:val="001F6A4C"/>
    <w:rsid w:val="001F765D"/>
    <w:rsid w:val="001F798F"/>
    <w:rsid w:val="002014CF"/>
    <w:rsid w:val="00202810"/>
    <w:rsid w:val="00202C76"/>
    <w:rsid w:val="002030A3"/>
    <w:rsid w:val="00203710"/>
    <w:rsid w:val="00204F10"/>
    <w:rsid w:val="00205D40"/>
    <w:rsid w:val="00207E36"/>
    <w:rsid w:val="00210620"/>
    <w:rsid w:val="002108D1"/>
    <w:rsid w:val="0021094E"/>
    <w:rsid w:val="00211991"/>
    <w:rsid w:val="00213C42"/>
    <w:rsid w:val="00214D0A"/>
    <w:rsid w:val="002151B1"/>
    <w:rsid w:val="0021543C"/>
    <w:rsid w:val="002159F4"/>
    <w:rsid w:val="00215D7C"/>
    <w:rsid w:val="00215E7D"/>
    <w:rsid w:val="00217154"/>
    <w:rsid w:val="00220CD7"/>
    <w:rsid w:val="002219F5"/>
    <w:rsid w:val="00221B74"/>
    <w:rsid w:val="002228B6"/>
    <w:rsid w:val="00222EC0"/>
    <w:rsid w:val="00223124"/>
    <w:rsid w:val="00224BA5"/>
    <w:rsid w:val="00230266"/>
    <w:rsid w:val="00231135"/>
    <w:rsid w:val="002330A0"/>
    <w:rsid w:val="00234835"/>
    <w:rsid w:val="00234DEB"/>
    <w:rsid w:val="00234F3A"/>
    <w:rsid w:val="002353A9"/>
    <w:rsid w:val="00235653"/>
    <w:rsid w:val="0023597B"/>
    <w:rsid w:val="00235E6E"/>
    <w:rsid w:val="00236445"/>
    <w:rsid w:val="002373A0"/>
    <w:rsid w:val="002373AD"/>
    <w:rsid w:val="00237BCC"/>
    <w:rsid w:val="002407B2"/>
    <w:rsid w:val="00240FCD"/>
    <w:rsid w:val="00241695"/>
    <w:rsid w:val="00243644"/>
    <w:rsid w:val="002443E6"/>
    <w:rsid w:val="00244475"/>
    <w:rsid w:val="002445FF"/>
    <w:rsid w:val="0024482C"/>
    <w:rsid w:val="00245400"/>
    <w:rsid w:val="00245C02"/>
    <w:rsid w:val="002465B3"/>
    <w:rsid w:val="00247067"/>
    <w:rsid w:val="00247954"/>
    <w:rsid w:val="00250375"/>
    <w:rsid w:val="002504DF"/>
    <w:rsid w:val="002534B3"/>
    <w:rsid w:val="002542AB"/>
    <w:rsid w:val="0025481F"/>
    <w:rsid w:val="00254D1E"/>
    <w:rsid w:val="00255ECC"/>
    <w:rsid w:val="00256B17"/>
    <w:rsid w:val="00257062"/>
    <w:rsid w:val="002570A9"/>
    <w:rsid w:val="00257526"/>
    <w:rsid w:val="00257794"/>
    <w:rsid w:val="00260039"/>
    <w:rsid w:val="00260B1B"/>
    <w:rsid w:val="002627A5"/>
    <w:rsid w:val="002628D1"/>
    <w:rsid w:val="002639CC"/>
    <w:rsid w:val="00263AE9"/>
    <w:rsid w:val="0026433F"/>
    <w:rsid w:val="002653BE"/>
    <w:rsid w:val="0026608B"/>
    <w:rsid w:val="00266676"/>
    <w:rsid w:val="00266A04"/>
    <w:rsid w:val="00270109"/>
    <w:rsid w:val="00270144"/>
    <w:rsid w:val="002709D2"/>
    <w:rsid w:val="00273234"/>
    <w:rsid w:val="002736C6"/>
    <w:rsid w:val="00273D52"/>
    <w:rsid w:val="002745E9"/>
    <w:rsid w:val="0027472A"/>
    <w:rsid w:val="00275248"/>
    <w:rsid w:val="00275813"/>
    <w:rsid w:val="00276748"/>
    <w:rsid w:val="00276DF5"/>
    <w:rsid w:val="00280476"/>
    <w:rsid w:val="00281EAB"/>
    <w:rsid w:val="00281F92"/>
    <w:rsid w:val="002825BF"/>
    <w:rsid w:val="00282F45"/>
    <w:rsid w:val="00282F88"/>
    <w:rsid w:val="00283175"/>
    <w:rsid w:val="002833F5"/>
    <w:rsid w:val="002850FC"/>
    <w:rsid w:val="00285547"/>
    <w:rsid w:val="0028561C"/>
    <w:rsid w:val="00285AAD"/>
    <w:rsid w:val="0028639C"/>
    <w:rsid w:val="00287BBC"/>
    <w:rsid w:val="002908C9"/>
    <w:rsid w:val="00292BF1"/>
    <w:rsid w:val="002960BE"/>
    <w:rsid w:val="002960CE"/>
    <w:rsid w:val="00296433"/>
    <w:rsid w:val="00296814"/>
    <w:rsid w:val="00297CF4"/>
    <w:rsid w:val="002A07D8"/>
    <w:rsid w:val="002A0C42"/>
    <w:rsid w:val="002A1D76"/>
    <w:rsid w:val="002A205C"/>
    <w:rsid w:val="002A4114"/>
    <w:rsid w:val="002A4E44"/>
    <w:rsid w:val="002A5354"/>
    <w:rsid w:val="002A55F2"/>
    <w:rsid w:val="002A6B39"/>
    <w:rsid w:val="002B10D1"/>
    <w:rsid w:val="002B1396"/>
    <w:rsid w:val="002B1624"/>
    <w:rsid w:val="002B1CD2"/>
    <w:rsid w:val="002B2426"/>
    <w:rsid w:val="002B27CC"/>
    <w:rsid w:val="002B298D"/>
    <w:rsid w:val="002B3373"/>
    <w:rsid w:val="002B36CA"/>
    <w:rsid w:val="002B398C"/>
    <w:rsid w:val="002B4C2E"/>
    <w:rsid w:val="002B4C86"/>
    <w:rsid w:val="002B5288"/>
    <w:rsid w:val="002B60B6"/>
    <w:rsid w:val="002B7A82"/>
    <w:rsid w:val="002B7C8E"/>
    <w:rsid w:val="002C016F"/>
    <w:rsid w:val="002C0347"/>
    <w:rsid w:val="002C1481"/>
    <w:rsid w:val="002C1A06"/>
    <w:rsid w:val="002C29F8"/>
    <w:rsid w:val="002C3ABA"/>
    <w:rsid w:val="002C4763"/>
    <w:rsid w:val="002C53DA"/>
    <w:rsid w:val="002C6FB3"/>
    <w:rsid w:val="002D0263"/>
    <w:rsid w:val="002D0A6D"/>
    <w:rsid w:val="002D1B11"/>
    <w:rsid w:val="002D1D5A"/>
    <w:rsid w:val="002D2514"/>
    <w:rsid w:val="002D38DD"/>
    <w:rsid w:val="002D4217"/>
    <w:rsid w:val="002D4F4C"/>
    <w:rsid w:val="002D5CE4"/>
    <w:rsid w:val="002D5DC3"/>
    <w:rsid w:val="002D6616"/>
    <w:rsid w:val="002D6FED"/>
    <w:rsid w:val="002E11FC"/>
    <w:rsid w:val="002E1E04"/>
    <w:rsid w:val="002E2AA4"/>
    <w:rsid w:val="002E2E87"/>
    <w:rsid w:val="002E481F"/>
    <w:rsid w:val="002E4B69"/>
    <w:rsid w:val="002E5B95"/>
    <w:rsid w:val="002E6590"/>
    <w:rsid w:val="002F02A4"/>
    <w:rsid w:val="002F1323"/>
    <w:rsid w:val="002F323F"/>
    <w:rsid w:val="002F3B91"/>
    <w:rsid w:val="002F6082"/>
    <w:rsid w:val="002F61D8"/>
    <w:rsid w:val="002F6BF5"/>
    <w:rsid w:val="002F7A8E"/>
    <w:rsid w:val="0030011D"/>
    <w:rsid w:val="0030044B"/>
    <w:rsid w:val="003005D5"/>
    <w:rsid w:val="00301999"/>
    <w:rsid w:val="00302BCF"/>
    <w:rsid w:val="00303067"/>
    <w:rsid w:val="0030355C"/>
    <w:rsid w:val="00304820"/>
    <w:rsid w:val="00306F4B"/>
    <w:rsid w:val="00307783"/>
    <w:rsid w:val="00310381"/>
    <w:rsid w:val="003103E1"/>
    <w:rsid w:val="00310CB2"/>
    <w:rsid w:val="00312538"/>
    <w:rsid w:val="00312901"/>
    <w:rsid w:val="00312E00"/>
    <w:rsid w:val="003141F9"/>
    <w:rsid w:val="003146EB"/>
    <w:rsid w:val="00315CD9"/>
    <w:rsid w:val="00317710"/>
    <w:rsid w:val="00317C3E"/>
    <w:rsid w:val="003202F7"/>
    <w:rsid w:val="00324F7E"/>
    <w:rsid w:val="003250F7"/>
    <w:rsid w:val="00325697"/>
    <w:rsid w:val="00325BAE"/>
    <w:rsid w:val="00325C37"/>
    <w:rsid w:val="00325FD3"/>
    <w:rsid w:val="0032654B"/>
    <w:rsid w:val="003265FF"/>
    <w:rsid w:val="003270A5"/>
    <w:rsid w:val="00327C4E"/>
    <w:rsid w:val="00327C6B"/>
    <w:rsid w:val="003304F2"/>
    <w:rsid w:val="00330EAA"/>
    <w:rsid w:val="003318BA"/>
    <w:rsid w:val="00331A60"/>
    <w:rsid w:val="00331DAA"/>
    <w:rsid w:val="0033204A"/>
    <w:rsid w:val="003333C5"/>
    <w:rsid w:val="00333C11"/>
    <w:rsid w:val="003343D7"/>
    <w:rsid w:val="00334CDC"/>
    <w:rsid w:val="003364E5"/>
    <w:rsid w:val="00337F2B"/>
    <w:rsid w:val="00340545"/>
    <w:rsid w:val="00340549"/>
    <w:rsid w:val="003406E2"/>
    <w:rsid w:val="003417F2"/>
    <w:rsid w:val="0034289D"/>
    <w:rsid w:val="00342966"/>
    <w:rsid w:val="00343317"/>
    <w:rsid w:val="003445FC"/>
    <w:rsid w:val="00344D46"/>
    <w:rsid w:val="00346235"/>
    <w:rsid w:val="00347E27"/>
    <w:rsid w:val="00350B99"/>
    <w:rsid w:val="00350BE0"/>
    <w:rsid w:val="00351241"/>
    <w:rsid w:val="00351DE1"/>
    <w:rsid w:val="00351FA6"/>
    <w:rsid w:val="003522D8"/>
    <w:rsid w:val="00352966"/>
    <w:rsid w:val="0035350F"/>
    <w:rsid w:val="0035429F"/>
    <w:rsid w:val="00354ADA"/>
    <w:rsid w:val="0035605E"/>
    <w:rsid w:val="00356069"/>
    <w:rsid w:val="00357088"/>
    <w:rsid w:val="00360109"/>
    <w:rsid w:val="00360615"/>
    <w:rsid w:val="00360B0D"/>
    <w:rsid w:val="00360F67"/>
    <w:rsid w:val="003613F0"/>
    <w:rsid w:val="00366205"/>
    <w:rsid w:val="003670CF"/>
    <w:rsid w:val="00367142"/>
    <w:rsid w:val="0036733E"/>
    <w:rsid w:val="00367462"/>
    <w:rsid w:val="00367555"/>
    <w:rsid w:val="003676A0"/>
    <w:rsid w:val="00367708"/>
    <w:rsid w:val="00367A73"/>
    <w:rsid w:val="00367B96"/>
    <w:rsid w:val="00367DCC"/>
    <w:rsid w:val="003708E6"/>
    <w:rsid w:val="003711BD"/>
    <w:rsid w:val="00373B4F"/>
    <w:rsid w:val="00375923"/>
    <w:rsid w:val="0037694D"/>
    <w:rsid w:val="0037696F"/>
    <w:rsid w:val="003769C7"/>
    <w:rsid w:val="00377556"/>
    <w:rsid w:val="003779E0"/>
    <w:rsid w:val="0038008F"/>
    <w:rsid w:val="0038033A"/>
    <w:rsid w:val="003804F5"/>
    <w:rsid w:val="00380F77"/>
    <w:rsid w:val="00381350"/>
    <w:rsid w:val="0038213B"/>
    <w:rsid w:val="00382A9D"/>
    <w:rsid w:val="00383458"/>
    <w:rsid w:val="00383B49"/>
    <w:rsid w:val="00384AB2"/>
    <w:rsid w:val="003854AB"/>
    <w:rsid w:val="003857A2"/>
    <w:rsid w:val="00385B5F"/>
    <w:rsid w:val="00392372"/>
    <w:rsid w:val="00392564"/>
    <w:rsid w:val="003929DD"/>
    <w:rsid w:val="00392A16"/>
    <w:rsid w:val="00394798"/>
    <w:rsid w:val="003955B3"/>
    <w:rsid w:val="00396422"/>
    <w:rsid w:val="00397918"/>
    <w:rsid w:val="003A046D"/>
    <w:rsid w:val="003A0783"/>
    <w:rsid w:val="003A10D3"/>
    <w:rsid w:val="003A1137"/>
    <w:rsid w:val="003A1DD5"/>
    <w:rsid w:val="003A2E2A"/>
    <w:rsid w:val="003A31A1"/>
    <w:rsid w:val="003A3C92"/>
    <w:rsid w:val="003A4A6F"/>
    <w:rsid w:val="003A797E"/>
    <w:rsid w:val="003B1871"/>
    <w:rsid w:val="003B1B8B"/>
    <w:rsid w:val="003B326B"/>
    <w:rsid w:val="003B429A"/>
    <w:rsid w:val="003B54D5"/>
    <w:rsid w:val="003B5733"/>
    <w:rsid w:val="003B5AAE"/>
    <w:rsid w:val="003B5C06"/>
    <w:rsid w:val="003B6AA0"/>
    <w:rsid w:val="003B74C1"/>
    <w:rsid w:val="003B752C"/>
    <w:rsid w:val="003B7938"/>
    <w:rsid w:val="003C08A5"/>
    <w:rsid w:val="003C0EFE"/>
    <w:rsid w:val="003C1060"/>
    <w:rsid w:val="003C1B0D"/>
    <w:rsid w:val="003C2F81"/>
    <w:rsid w:val="003C3D9B"/>
    <w:rsid w:val="003C42CF"/>
    <w:rsid w:val="003C4750"/>
    <w:rsid w:val="003C52DC"/>
    <w:rsid w:val="003C71A5"/>
    <w:rsid w:val="003C72D4"/>
    <w:rsid w:val="003C7A33"/>
    <w:rsid w:val="003C7E3E"/>
    <w:rsid w:val="003D06E6"/>
    <w:rsid w:val="003D20AF"/>
    <w:rsid w:val="003D28AE"/>
    <w:rsid w:val="003D3282"/>
    <w:rsid w:val="003D41CD"/>
    <w:rsid w:val="003D429E"/>
    <w:rsid w:val="003D4E63"/>
    <w:rsid w:val="003D51A5"/>
    <w:rsid w:val="003D5331"/>
    <w:rsid w:val="003D54AD"/>
    <w:rsid w:val="003D708E"/>
    <w:rsid w:val="003E0A22"/>
    <w:rsid w:val="003E4C68"/>
    <w:rsid w:val="003E6FC9"/>
    <w:rsid w:val="003E7E0A"/>
    <w:rsid w:val="003F0189"/>
    <w:rsid w:val="003F01BE"/>
    <w:rsid w:val="003F1BDC"/>
    <w:rsid w:val="003F2926"/>
    <w:rsid w:val="003F2A12"/>
    <w:rsid w:val="003F2D4C"/>
    <w:rsid w:val="003F4BC4"/>
    <w:rsid w:val="003F4C35"/>
    <w:rsid w:val="003F4F0C"/>
    <w:rsid w:val="003F56F2"/>
    <w:rsid w:val="003F616D"/>
    <w:rsid w:val="003F6581"/>
    <w:rsid w:val="003F70F7"/>
    <w:rsid w:val="003F7436"/>
    <w:rsid w:val="003F7BA1"/>
    <w:rsid w:val="004007E3"/>
    <w:rsid w:val="00400C5B"/>
    <w:rsid w:val="00400D4D"/>
    <w:rsid w:val="00403848"/>
    <w:rsid w:val="0040384E"/>
    <w:rsid w:val="004038BD"/>
    <w:rsid w:val="00404399"/>
    <w:rsid w:val="00404528"/>
    <w:rsid w:val="004059BA"/>
    <w:rsid w:val="00405C3C"/>
    <w:rsid w:val="0040648C"/>
    <w:rsid w:val="00406928"/>
    <w:rsid w:val="00406BD8"/>
    <w:rsid w:val="004071B7"/>
    <w:rsid w:val="00410330"/>
    <w:rsid w:val="00410435"/>
    <w:rsid w:val="00410D4B"/>
    <w:rsid w:val="00410FEA"/>
    <w:rsid w:val="00411104"/>
    <w:rsid w:val="00412140"/>
    <w:rsid w:val="00412358"/>
    <w:rsid w:val="004138E6"/>
    <w:rsid w:val="00414885"/>
    <w:rsid w:val="0041517E"/>
    <w:rsid w:val="00415D8B"/>
    <w:rsid w:val="00416280"/>
    <w:rsid w:val="00416B9F"/>
    <w:rsid w:val="0041762D"/>
    <w:rsid w:val="00417CA1"/>
    <w:rsid w:val="0042103E"/>
    <w:rsid w:val="0042168A"/>
    <w:rsid w:val="00422095"/>
    <w:rsid w:val="00423054"/>
    <w:rsid w:val="004235A7"/>
    <w:rsid w:val="004256E9"/>
    <w:rsid w:val="00425A4F"/>
    <w:rsid w:val="00425FC5"/>
    <w:rsid w:val="00427C46"/>
    <w:rsid w:val="0043076F"/>
    <w:rsid w:val="00432309"/>
    <w:rsid w:val="00432A28"/>
    <w:rsid w:val="00433033"/>
    <w:rsid w:val="004343B3"/>
    <w:rsid w:val="004348F0"/>
    <w:rsid w:val="00435286"/>
    <w:rsid w:val="00436418"/>
    <w:rsid w:val="00436F08"/>
    <w:rsid w:val="00437758"/>
    <w:rsid w:val="00437B6F"/>
    <w:rsid w:val="00437DC1"/>
    <w:rsid w:val="0044050F"/>
    <w:rsid w:val="00440A19"/>
    <w:rsid w:val="0044108D"/>
    <w:rsid w:val="00441864"/>
    <w:rsid w:val="004425FD"/>
    <w:rsid w:val="00442DFE"/>
    <w:rsid w:val="00442F25"/>
    <w:rsid w:val="004435DF"/>
    <w:rsid w:val="004438FA"/>
    <w:rsid w:val="004465CA"/>
    <w:rsid w:val="00446AAF"/>
    <w:rsid w:val="00450038"/>
    <w:rsid w:val="00450728"/>
    <w:rsid w:val="00450840"/>
    <w:rsid w:val="00450E38"/>
    <w:rsid w:val="00452188"/>
    <w:rsid w:val="004521EC"/>
    <w:rsid w:val="00453A75"/>
    <w:rsid w:val="0045450B"/>
    <w:rsid w:val="004546E4"/>
    <w:rsid w:val="0045535D"/>
    <w:rsid w:val="00455C8F"/>
    <w:rsid w:val="00455EDD"/>
    <w:rsid w:val="00456E8B"/>
    <w:rsid w:val="004574EC"/>
    <w:rsid w:val="00460052"/>
    <w:rsid w:val="00461AF8"/>
    <w:rsid w:val="00462400"/>
    <w:rsid w:val="0046265A"/>
    <w:rsid w:val="00462A00"/>
    <w:rsid w:val="00463277"/>
    <w:rsid w:val="004632E4"/>
    <w:rsid w:val="004647BD"/>
    <w:rsid w:val="0046540E"/>
    <w:rsid w:val="00465A6D"/>
    <w:rsid w:val="00465D73"/>
    <w:rsid w:val="0046605B"/>
    <w:rsid w:val="00466C53"/>
    <w:rsid w:val="0047015C"/>
    <w:rsid w:val="00470697"/>
    <w:rsid w:val="00471E7F"/>
    <w:rsid w:val="004723D5"/>
    <w:rsid w:val="004726F1"/>
    <w:rsid w:val="0047382B"/>
    <w:rsid w:val="00474A08"/>
    <w:rsid w:val="00475CE4"/>
    <w:rsid w:val="0047783B"/>
    <w:rsid w:val="00477D62"/>
    <w:rsid w:val="004806E1"/>
    <w:rsid w:val="00480BDE"/>
    <w:rsid w:val="00480C7A"/>
    <w:rsid w:val="00480E79"/>
    <w:rsid w:val="004821DA"/>
    <w:rsid w:val="00482B86"/>
    <w:rsid w:val="00483CF7"/>
    <w:rsid w:val="00483E95"/>
    <w:rsid w:val="0048436D"/>
    <w:rsid w:val="00484445"/>
    <w:rsid w:val="004860A4"/>
    <w:rsid w:val="0048701E"/>
    <w:rsid w:val="00487907"/>
    <w:rsid w:val="00490157"/>
    <w:rsid w:val="0049074E"/>
    <w:rsid w:val="004938B4"/>
    <w:rsid w:val="00494C5D"/>
    <w:rsid w:val="004954CF"/>
    <w:rsid w:val="00496610"/>
    <w:rsid w:val="004977E5"/>
    <w:rsid w:val="00497C68"/>
    <w:rsid w:val="004A0652"/>
    <w:rsid w:val="004A0693"/>
    <w:rsid w:val="004A0AF2"/>
    <w:rsid w:val="004A1615"/>
    <w:rsid w:val="004A1BB2"/>
    <w:rsid w:val="004A1CC0"/>
    <w:rsid w:val="004A3749"/>
    <w:rsid w:val="004A4C81"/>
    <w:rsid w:val="004A52A3"/>
    <w:rsid w:val="004A5FE8"/>
    <w:rsid w:val="004A722F"/>
    <w:rsid w:val="004A766A"/>
    <w:rsid w:val="004A7D50"/>
    <w:rsid w:val="004B02C4"/>
    <w:rsid w:val="004B1012"/>
    <w:rsid w:val="004B1E27"/>
    <w:rsid w:val="004B24C5"/>
    <w:rsid w:val="004B24F5"/>
    <w:rsid w:val="004B3853"/>
    <w:rsid w:val="004B40D9"/>
    <w:rsid w:val="004B4B04"/>
    <w:rsid w:val="004B6C63"/>
    <w:rsid w:val="004B7602"/>
    <w:rsid w:val="004B7C65"/>
    <w:rsid w:val="004B7D70"/>
    <w:rsid w:val="004B7E73"/>
    <w:rsid w:val="004C0466"/>
    <w:rsid w:val="004C09AF"/>
    <w:rsid w:val="004C1F04"/>
    <w:rsid w:val="004C315F"/>
    <w:rsid w:val="004C3B2E"/>
    <w:rsid w:val="004C4433"/>
    <w:rsid w:val="004C5804"/>
    <w:rsid w:val="004C5873"/>
    <w:rsid w:val="004C5B61"/>
    <w:rsid w:val="004C5FE6"/>
    <w:rsid w:val="004C7A29"/>
    <w:rsid w:val="004D01E2"/>
    <w:rsid w:val="004D03AF"/>
    <w:rsid w:val="004D07AC"/>
    <w:rsid w:val="004D10AA"/>
    <w:rsid w:val="004D2632"/>
    <w:rsid w:val="004D3CB2"/>
    <w:rsid w:val="004D4174"/>
    <w:rsid w:val="004D59B5"/>
    <w:rsid w:val="004D69DD"/>
    <w:rsid w:val="004D73E5"/>
    <w:rsid w:val="004E0593"/>
    <w:rsid w:val="004E0740"/>
    <w:rsid w:val="004E0B72"/>
    <w:rsid w:val="004E35A7"/>
    <w:rsid w:val="004E41EF"/>
    <w:rsid w:val="004E42F0"/>
    <w:rsid w:val="004E6197"/>
    <w:rsid w:val="004E623E"/>
    <w:rsid w:val="004E7BC4"/>
    <w:rsid w:val="004F0732"/>
    <w:rsid w:val="004F0878"/>
    <w:rsid w:val="004F0B10"/>
    <w:rsid w:val="004F261E"/>
    <w:rsid w:val="004F263E"/>
    <w:rsid w:val="004F28E6"/>
    <w:rsid w:val="004F3702"/>
    <w:rsid w:val="004F417E"/>
    <w:rsid w:val="004F4C9D"/>
    <w:rsid w:val="004F78E9"/>
    <w:rsid w:val="00503844"/>
    <w:rsid w:val="00503A1D"/>
    <w:rsid w:val="00505891"/>
    <w:rsid w:val="00505A11"/>
    <w:rsid w:val="0050706C"/>
    <w:rsid w:val="00507A58"/>
    <w:rsid w:val="00510814"/>
    <w:rsid w:val="00510B83"/>
    <w:rsid w:val="00510C69"/>
    <w:rsid w:val="00510F61"/>
    <w:rsid w:val="0051141E"/>
    <w:rsid w:val="00511B4C"/>
    <w:rsid w:val="005137DE"/>
    <w:rsid w:val="00513FB5"/>
    <w:rsid w:val="00514109"/>
    <w:rsid w:val="00516747"/>
    <w:rsid w:val="00520519"/>
    <w:rsid w:val="00520F1E"/>
    <w:rsid w:val="0052254D"/>
    <w:rsid w:val="005228B8"/>
    <w:rsid w:val="005236F7"/>
    <w:rsid w:val="00523C9D"/>
    <w:rsid w:val="00524384"/>
    <w:rsid w:val="00524531"/>
    <w:rsid w:val="00524862"/>
    <w:rsid w:val="0052509C"/>
    <w:rsid w:val="00530A80"/>
    <w:rsid w:val="00530E16"/>
    <w:rsid w:val="00531214"/>
    <w:rsid w:val="00535AE8"/>
    <w:rsid w:val="00535CEA"/>
    <w:rsid w:val="005360DD"/>
    <w:rsid w:val="00536994"/>
    <w:rsid w:val="00537FB3"/>
    <w:rsid w:val="00541017"/>
    <w:rsid w:val="005414DA"/>
    <w:rsid w:val="00541B93"/>
    <w:rsid w:val="005422C9"/>
    <w:rsid w:val="00542596"/>
    <w:rsid w:val="005428AF"/>
    <w:rsid w:val="00544D91"/>
    <w:rsid w:val="00544EFD"/>
    <w:rsid w:val="005454EC"/>
    <w:rsid w:val="00546623"/>
    <w:rsid w:val="005478F4"/>
    <w:rsid w:val="00547AE6"/>
    <w:rsid w:val="00551B85"/>
    <w:rsid w:val="0055267F"/>
    <w:rsid w:val="00552D1C"/>
    <w:rsid w:val="00553010"/>
    <w:rsid w:val="00553472"/>
    <w:rsid w:val="0055347D"/>
    <w:rsid w:val="0055372B"/>
    <w:rsid w:val="00554C90"/>
    <w:rsid w:val="00555705"/>
    <w:rsid w:val="005570A4"/>
    <w:rsid w:val="0056000D"/>
    <w:rsid w:val="00561DDC"/>
    <w:rsid w:val="00561E91"/>
    <w:rsid w:val="005627BE"/>
    <w:rsid w:val="005628A2"/>
    <w:rsid w:val="005632D1"/>
    <w:rsid w:val="005633D2"/>
    <w:rsid w:val="00563609"/>
    <w:rsid w:val="005644B1"/>
    <w:rsid w:val="005661C8"/>
    <w:rsid w:val="00567009"/>
    <w:rsid w:val="00570066"/>
    <w:rsid w:val="005700DB"/>
    <w:rsid w:val="00570AA9"/>
    <w:rsid w:val="00570B39"/>
    <w:rsid w:val="00570C99"/>
    <w:rsid w:val="00571AAD"/>
    <w:rsid w:val="00571BE1"/>
    <w:rsid w:val="00571EAB"/>
    <w:rsid w:val="00572B9E"/>
    <w:rsid w:val="00573518"/>
    <w:rsid w:val="00573529"/>
    <w:rsid w:val="00574287"/>
    <w:rsid w:val="0057523A"/>
    <w:rsid w:val="005774C1"/>
    <w:rsid w:val="005800CD"/>
    <w:rsid w:val="00582348"/>
    <w:rsid w:val="00582B60"/>
    <w:rsid w:val="0058390B"/>
    <w:rsid w:val="00585178"/>
    <w:rsid w:val="005861D4"/>
    <w:rsid w:val="005869A1"/>
    <w:rsid w:val="00587A84"/>
    <w:rsid w:val="00591FCE"/>
    <w:rsid w:val="00594876"/>
    <w:rsid w:val="00594D4F"/>
    <w:rsid w:val="00595141"/>
    <w:rsid w:val="0059630D"/>
    <w:rsid w:val="00596311"/>
    <w:rsid w:val="00596893"/>
    <w:rsid w:val="005970F9"/>
    <w:rsid w:val="005974CD"/>
    <w:rsid w:val="005A0E0F"/>
    <w:rsid w:val="005A2566"/>
    <w:rsid w:val="005A2ADD"/>
    <w:rsid w:val="005A2D93"/>
    <w:rsid w:val="005A3234"/>
    <w:rsid w:val="005A36B4"/>
    <w:rsid w:val="005A3A30"/>
    <w:rsid w:val="005A3BE1"/>
    <w:rsid w:val="005A5B49"/>
    <w:rsid w:val="005A69E4"/>
    <w:rsid w:val="005A6E4D"/>
    <w:rsid w:val="005A7CF8"/>
    <w:rsid w:val="005A7D0D"/>
    <w:rsid w:val="005B078C"/>
    <w:rsid w:val="005B0B5E"/>
    <w:rsid w:val="005B176D"/>
    <w:rsid w:val="005B2536"/>
    <w:rsid w:val="005B25AF"/>
    <w:rsid w:val="005B4BF3"/>
    <w:rsid w:val="005B640F"/>
    <w:rsid w:val="005B6E0E"/>
    <w:rsid w:val="005B7998"/>
    <w:rsid w:val="005B7FDD"/>
    <w:rsid w:val="005C0346"/>
    <w:rsid w:val="005C1332"/>
    <w:rsid w:val="005C16A0"/>
    <w:rsid w:val="005C1925"/>
    <w:rsid w:val="005C25D5"/>
    <w:rsid w:val="005C2EC6"/>
    <w:rsid w:val="005C31F5"/>
    <w:rsid w:val="005C5BB9"/>
    <w:rsid w:val="005C5CE7"/>
    <w:rsid w:val="005C5F81"/>
    <w:rsid w:val="005C5F8A"/>
    <w:rsid w:val="005C6197"/>
    <w:rsid w:val="005C6E53"/>
    <w:rsid w:val="005C6ECC"/>
    <w:rsid w:val="005C7AB1"/>
    <w:rsid w:val="005D032E"/>
    <w:rsid w:val="005D0331"/>
    <w:rsid w:val="005D0C51"/>
    <w:rsid w:val="005D13B6"/>
    <w:rsid w:val="005D160B"/>
    <w:rsid w:val="005D1FC6"/>
    <w:rsid w:val="005D2AD7"/>
    <w:rsid w:val="005D2E8C"/>
    <w:rsid w:val="005D3EA4"/>
    <w:rsid w:val="005D5AF6"/>
    <w:rsid w:val="005D6424"/>
    <w:rsid w:val="005E000E"/>
    <w:rsid w:val="005E08F2"/>
    <w:rsid w:val="005E146A"/>
    <w:rsid w:val="005E1671"/>
    <w:rsid w:val="005E2106"/>
    <w:rsid w:val="005E2460"/>
    <w:rsid w:val="005E2C46"/>
    <w:rsid w:val="005E3034"/>
    <w:rsid w:val="005E3B2E"/>
    <w:rsid w:val="005E3C65"/>
    <w:rsid w:val="005E3E42"/>
    <w:rsid w:val="005E446F"/>
    <w:rsid w:val="005E58A5"/>
    <w:rsid w:val="005E70C2"/>
    <w:rsid w:val="005F018B"/>
    <w:rsid w:val="005F07CE"/>
    <w:rsid w:val="005F11E9"/>
    <w:rsid w:val="005F1607"/>
    <w:rsid w:val="005F16AA"/>
    <w:rsid w:val="005F532E"/>
    <w:rsid w:val="005F7794"/>
    <w:rsid w:val="005F7B30"/>
    <w:rsid w:val="006028C4"/>
    <w:rsid w:val="00602F76"/>
    <w:rsid w:val="00603505"/>
    <w:rsid w:val="00603AF8"/>
    <w:rsid w:val="00603F80"/>
    <w:rsid w:val="006047F0"/>
    <w:rsid w:val="006050E2"/>
    <w:rsid w:val="0060612D"/>
    <w:rsid w:val="00606A3A"/>
    <w:rsid w:val="00606BE8"/>
    <w:rsid w:val="00606D96"/>
    <w:rsid w:val="00606DFC"/>
    <w:rsid w:val="00606ED7"/>
    <w:rsid w:val="00606FC1"/>
    <w:rsid w:val="00607B15"/>
    <w:rsid w:val="006102B4"/>
    <w:rsid w:val="00610A70"/>
    <w:rsid w:val="0061276C"/>
    <w:rsid w:val="00613D97"/>
    <w:rsid w:val="006170EB"/>
    <w:rsid w:val="00617CBF"/>
    <w:rsid w:val="00620DC8"/>
    <w:rsid w:val="00621F91"/>
    <w:rsid w:val="00623B12"/>
    <w:rsid w:val="00623EBB"/>
    <w:rsid w:val="006245CA"/>
    <w:rsid w:val="00624809"/>
    <w:rsid w:val="00624F4E"/>
    <w:rsid w:val="00626A34"/>
    <w:rsid w:val="00627214"/>
    <w:rsid w:val="00627804"/>
    <w:rsid w:val="006304C7"/>
    <w:rsid w:val="006309DE"/>
    <w:rsid w:val="006321CD"/>
    <w:rsid w:val="00632311"/>
    <w:rsid w:val="00632677"/>
    <w:rsid w:val="00632E36"/>
    <w:rsid w:val="00633B33"/>
    <w:rsid w:val="006340DF"/>
    <w:rsid w:val="0063419D"/>
    <w:rsid w:val="006344C3"/>
    <w:rsid w:val="006357F1"/>
    <w:rsid w:val="00635A00"/>
    <w:rsid w:val="00635CCF"/>
    <w:rsid w:val="00635F94"/>
    <w:rsid w:val="006375F4"/>
    <w:rsid w:val="0064072E"/>
    <w:rsid w:val="00640DEE"/>
    <w:rsid w:val="00640F80"/>
    <w:rsid w:val="006415CB"/>
    <w:rsid w:val="00641D31"/>
    <w:rsid w:val="0064358E"/>
    <w:rsid w:val="006446F3"/>
    <w:rsid w:val="0064516F"/>
    <w:rsid w:val="00646809"/>
    <w:rsid w:val="006476D4"/>
    <w:rsid w:val="0064772F"/>
    <w:rsid w:val="00650CCD"/>
    <w:rsid w:val="00652397"/>
    <w:rsid w:val="00652A42"/>
    <w:rsid w:val="00655490"/>
    <w:rsid w:val="006566AE"/>
    <w:rsid w:val="00657E4D"/>
    <w:rsid w:val="00660DAC"/>
    <w:rsid w:val="00662090"/>
    <w:rsid w:val="00662F50"/>
    <w:rsid w:val="00663565"/>
    <w:rsid w:val="00663596"/>
    <w:rsid w:val="00663B5E"/>
    <w:rsid w:val="00663FE2"/>
    <w:rsid w:val="00664450"/>
    <w:rsid w:val="00664768"/>
    <w:rsid w:val="006650EF"/>
    <w:rsid w:val="006656F3"/>
    <w:rsid w:val="006657FB"/>
    <w:rsid w:val="00665BD6"/>
    <w:rsid w:val="006673A9"/>
    <w:rsid w:val="0067238C"/>
    <w:rsid w:val="00673894"/>
    <w:rsid w:val="006742E0"/>
    <w:rsid w:val="00674C02"/>
    <w:rsid w:val="00676D42"/>
    <w:rsid w:val="00680F21"/>
    <w:rsid w:val="006818CB"/>
    <w:rsid w:val="006819C0"/>
    <w:rsid w:val="0068249B"/>
    <w:rsid w:val="006841F4"/>
    <w:rsid w:val="00684846"/>
    <w:rsid w:val="006848AB"/>
    <w:rsid w:val="00684FAE"/>
    <w:rsid w:val="00685194"/>
    <w:rsid w:val="00686F60"/>
    <w:rsid w:val="00687829"/>
    <w:rsid w:val="00687B54"/>
    <w:rsid w:val="00690BF1"/>
    <w:rsid w:val="00690E62"/>
    <w:rsid w:val="00691D03"/>
    <w:rsid w:val="00692BD3"/>
    <w:rsid w:val="00692E57"/>
    <w:rsid w:val="00694ED0"/>
    <w:rsid w:val="00695761"/>
    <w:rsid w:val="00695B02"/>
    <w:rsid w:val="00696937"/>
    <w:rsid w:val="0069728F"/>
    <w:rsid w:val="006A011A"/>
    <w:rsid w:val="006A0244"/>
    <w:rsid w:val="006A112C"/>
    <w:rsid w:val="006A21BB"/>
    <w:rsid w:val="006A2923"/>
    <w:rsid w:val="006A3160"/>
    <w:rsid w:val="006A31A0"/>
    <w:rsid w:val="006A36F2"/>
    <w:rsid w:val="006A3CC0"/>
    <w:rsid w:val="006A44A6"/>
    <w:rsid w:val="006A4C35"/>
    <w:rsid w:val="006A58A3"/>
    <w:rsid w:val="006A699F"/>
    <w:rsid w:val="006A70C0"/>
    <w:rsid w:val="006A74DD"/>
    <w:rsid w:val="006A773D"/>
    <w:rsid w:val="006B02C1"/>
    <w:rsid w:val="006B0F21"/>
    <w:rsid w:val="006B1B51"/>
    <w:rsid w:val="006B2636"/>
    <w:rsid w:val="006B2B5A"/>
    <w:rsid w:val="006B38CA"/>
    <w:rsid w:val="006B4002"/>
    <w:rsid w:val="006B4937"/>
    <w:rsid w:val="006B51D0"/>
    <w:rsid w:val="006C1783"/>
    <w:rsid w:val="006C1EC2"/>
    <w:rsid w:val="006C1EE6"/>
    <w:rsid w:val="006C21B8"/>
    <w:rsid w:val="006C2A0E"/>
    <w:rsid w:val="006C2FAD"/>
    <w:rsid w:val="006C4F45"/>
    <w:rsid w:val="006C5E97"/>
    <w:rsid w:val="006C6200"/>
    <w:rsid w:val="006C69AC"/>
    <w:rsid w:val="006C72C4"/>
    <w:rsid w:val="006C7E92"/>
    <w:rsid w:val="006D0491"/>
    <w:rsid w:val="006D0650"/>
    <w:rsid w:val="006D22E1"/>
    <w:rsid w:val="006D3EF9"/>
    <w:rsid w:val="006D709A"/>
    <w:rsid w:val="006D70E7"/>
    <w:rsid w:val="006D7FC4"/>
    <w:rsid w:val="006E041B"/>
    <w:rsid w:val="006E0C19"/>
    <w:rsid w:val="006E2235"/>
    <w:rsid w:val="006E2523"/>
    <w:rsid w:val="006E32DA"/>
    <w:rsid w:val="006E35E8"/>
    <w:rsid w:val="006E384B"/>
    <w:rsid w:val="006E3ACA"/>
    <w:rsid w:val="006E3FB3"/>
    <w:rsid w:val="006E5264"/>
    <w:rsid w:val="006F057B"/>
    <w:rsid w:val="006F0B66"/>
    <w:rsid w:val="006F2D7B"/>
    <w:rsid w:val="006F5C81"/>
    <w:rsid w:val="006F62BF"/>
    <w:rsid w:val="006F688A"/>
    <w:rsid w:val="006F70B2"/>
    <w:rsid w:val="006F70BE"/>
    <w:rsid w:val="006F771E"/>
    <w:rsid w:val="007006DB"/>
    <w:rsid w:val="007043A0"/>
    <w:rsid w:val="00706579"/>
    <w:rsid w:val="0070673A"/>
    <w:rsid w:val="00706D2C"/>
    <w:rsid w:val="00706D9E"/>
    <w:rsid w:val="0070717F"/>
    <w:rsid w:val="007103FF"/>
    <w:rsid w:val="007108DF"/>
    <w:rsid w:val="00710980"/>
    <w:rsid w:val="007115C7"/>
    <w:rsid w:val="0071186F"/>
    <w:rsid w:val="00711E1A"/>
    <w:rsid w:val="00713A51"/>
    <w:rsid w:val="00713FDF"/>
    <w:rsid w:val="007141F6"/>
    <w:rsid w:val="00715364"/>
    <w:rsid w:val="00716535"/>
    <w:rsid w:val="007167DF"/>
    <w:rsid w:val="00716B1D"/>
    <w:rsid w:val="00716C29"/>
    <w:rsid w:val="00717D4B"/>
    <w:rsid w:val="00721028"/>
    <w:rsid w:val="00721578"/>
    <w:rsid w:val="007215FA"/>
    <w:rsid w:val="00721C39"/>
    <w:rsid w:val="00722C67"/>
    <w:rsid w:val="00723595"/>
    <w:rsid w:val="00724332"/>
    <w:rsid w:val="007261FA"/>
    <w:rsid w:val="00726AB8"/>
    <w:rsid w:val="00726D14"/>
    <w:rsid w:val="00727CE0"/>
    <w:rsid w:val="00730A5F"/>
    <w:rsid w:val="00731184"/>
    <w:rsid w:val="00731989"/>
    <w:rsid w:val="00733F82"/>
    <w:rsid w:val="00733F9A"/>
    <w:rsid w:val="00734043"/>
    <w:rsid w:val="00734EFF"/>
    <w:rsid w:val="00735084"/>
    <w:rsid w:val="00735194"/>
    <w:rsid w:val="0073539F"/>
    <w:rsid w:val="00737873"/>
    <w:rsid w:val="0074002B"/>
    <w:rsid w:val="00741AF4"/>
    <w:rsid w:val="0074232A"/>
    <w:rsid w:val="00742423"/>
    <w:rsid w:val="007430E3"/>
    <w:rsid w:val="00743679"/>
    <w:rsid w:val="00743DD2"/>
    <w:rsid w:val="00744AAF"/>
    <w:rsid w:val="0074577D"/>
    <w:rsid w:val="007461ED"/>
    <w:rsid w:val="00746A07"/>
    <w:rsid w:val="00746A19"/>
    <w:rsid w:val="00746FC9"/>
    <w:rsid w:val="00747F87"/>
    <w:rsid w:val="00750082"/>
    <w:rsid w:val="0075024A"/>
    <w:rsid w:val="00750782"/>
    <w:rsid w:val="007509E6"/>
    <w:rsid w:val="00751662"/>
    <w:rsid w:val="00751797"/>
    <w:rsid w:val="00751C1F"/>
    <w:rsid w:val="00751EF4"/>
    <w:rsid w:val="0075490D"/>
    <w:rsid w:val="007555B0"/>
    <w:rsid w:val="00755627"/>
    <w:rsid w:val="007560B3"/>
    <w:rsid w:val="00756D19"/>
    <w:rsid w:val="00757056"/>
    <w:rsid w:val="00760610"/>
    <w:rsid w:val="00760EDA"/>
    <w:rsid w:val="007625E6"/>
    <w:rsid w:val="0076395D"/>
    <w:rsid w:val="007641CF"/>
    <w:rsid w:val="007655DE"/>
    <w:rsid w:val="00766DE8"/>
    <w:rsid w:val="00770178"/>
    <w:rsid w:val="00770598"/>
    <w:rsid w:val="00771DD4"/>
    <w:rsid w:val="00771FB0"/>
    <w:rsid w:val="00772E53"/>
    <w:rsid w:val="0077432E"/>
    <w:rsid w:val="007743C0"/>
    <w:rsid w:val="00774615"/>
    <w:rsid w:val="00774E24"/>
    <w:rsid w:val="00775B7B"/>
    <w:rsid w:val="00777852"/>
    <w:rsid w:val="00777C3A"/>
    <w:rsid w:val="0078042A"/>
    <w:rsid w:val="007823D9"/>
    <w:rsid w:val="007840E3"/>
    <w:rsid w:val="007844EB"/>
    <w:rsid w:val="00786363"/>
    <w:rsid w:val="00786DF8"/>
    <w:rsid w:val="0079053E"/>
    <w:rsid w:val="007905D9"/>
    <w:rsid w:val="00790E5F"/>
    <w:rsid w:val="00790F1F"/>
    <w:rsid w:val="007920AB"/>
    <w:rsid w:val="00792BBE"/>
    <w:rsid w:val="00792CC0"/>
    <w:rsid w:val="007930CE"/>
    <w:rsid w:val="00793158"/>
    <w:rsid w:val="00793E5A"/>
    <w:rsid w:val="00794483"/>
    <w:rsid w:val="00794E6F"/>
    <w:rsid w:val="00795B27"/>
    <w:rsid w:val="00795C7A"/>
    <w:rsid w:val="007961D1"/>
    <w:rsid w:val="00796ABF"/>
    <w:rsid w:val="00797CF4"/>
    <w:rsid w:val="007A11FB"/>
    <w:rsid w:val="007A1B38"/>
    <w:rsid w:val="007A43ED"/>
    <w:rsid w:val="007A4F13"/>
    <w:rsid w:val="007A6CEF"/>
    <w:rsid w:val="007A6E74"/>
    <w:rsid w:val="007A6EC6"/>
    <w:rsid w:val="007B0B85"/>
    <w:rsid w:val="007B0FF0"/>
    <w:rsid w:val="007B195F"/>
    <w:rsid w:val="007B1964"/>
    <w:rsid w:val="007B1D8A"/>
    <w:rsid w:val="007B3269"/>
    <w:rsid w:val="007B3B6A"/>
    <w:rsid w:val="007B4628"/>
    <w:rsid w:val="007B6743"/>
    <w:rsid w:val="007B692F"/>
    <w:rsid w:val="007B793C"/>
    <w:rsid w:val="007B7E8B"/>
    <w:rsid w:val="007C0BC8"/>
    <w:rsid w:val="007C1964"/>
    <w:rsid w:val="007C1C41"/>
    <w:rsid w:val="007C1F57"/>
    <w:rsid w:val="007C30DF"/>
    <w:rsid w:val="007C38BF"/>
    <w:rsid w:val="007C3AA1"/>
    <w:rsid w:val="007C519D"/>
    <w:rsid w:val="007C649B"/>
    <w:rsid w:val="007C6D2F"/>
    <w:rsid w:val="007D04AC"/>
    <w:rsid w:val="007D0619"/>
    <w:rsid w:val="007D0D57"/>
    <w:rsid w:val="007D1C0E"/>
    <w:rsid w:val="007D1C4E"/>
    <w:rsid w:val="007D35EF"/>
    <w:rsid w:val="007D44AB"/>
    <w:rsid w:val="007D4506"/>
    <w:rsid w:val="007D65B4"/>
    <w:rsid w:val="007D7DD5"/>
    <w:rsid w:val="007E0749"/>
    <w:rsid w:val="007E0B9A"/>
    <w:rsid w:val="007E3953"/>
    <w:rsid w:val="007E5215"/>
    <w:rsid w:val="007E5EA3"/>
    <w:rsid w:val="007E714D"/>
    <w:rsid w:val="007F1B0D"/>
    <w:rsid w:val="007F2123"/>
    <w:rsid w:val="007F32C3"/>
    <w:rsid w:val="007F3813"/>
    <w:rsid w:val="007F4D8D"/>
    <w:rsid w:val="007F5257"/>
    <w:rsid w:val="007F6AAF"/>
    <w:rsid w:val="007F7C45"/>
    <w:rsid w:val="00801EA7"/>
    <w:rsid w:val="008032CF"/>
    <w:rsid w:val="00804474"/>
    <w:rsid w:val="00804FBB"/>
    <w:rsid w:val="00805111"/>
    <w:rsid w:val="00805857"/>
    <w:rsid w:val="00805A20"/>
    <w:rsid w:val="008073A9"/>
    <w:rsid w:val="00807B4A"/>
    <w:rsid w:val="00807BE9"/>
    <w:rsid w:val="00807D20"/>
    <w:rsid w:val="00810280"/>
    <w:rsid w:val="008103F5"/>
    <w:rsid w:val="008109E4"/>
    <w:rsid w:val="00810CD9"/>
    <w:rsid w:val="0081232E"/>
    <w:rsid w:val="00812852"/>
    <w:rsid w:val="00813172"/>
    <w:rsid w:val="00814794"/>
    <w:rsid w:val="00814810"/>
    <w:rsid w:val="00814E94"/>
    <w:rsid w:val="008152A2"/>
    <w:rsid w:val="00815D5A"/>
    <w:rsid w:val="00816C60"/>
    <w:rsid w:val="00820C62"/>
    <w:rsid w:val="00822702"/>
    <w:rsid w:val="00824D72"/>
    <w:rsid w:val="0082744D"/>
    <w:rsid w:val="00827BD0"/>
    <w:rsid w:val="00830810"/>
    <w:rsid w:val="00830A30"/>
    <w:rsid w:val="00830E46"/>
    <w:rsid w:val="00831B3B"/>
    <w:rsid w:val="00831D07"/>
    <w:rsid w:val="00831EAF"/>
    <w:rsid w:val="00831FAE"/>
    <w:rsid w:val="0083203A"/>
    <w:rsid w:val="00832B42"/>
    <w:rsid w:val="008343BF"/>
    <w:rsid w:val="00834B39"/>
    <w:rsid w:val="0083579F"/>
    <w:rsid w:val="0083596F"/>
    <w:rsid w:val="00835DA2"/>
    <w:rsid w:val="008371DC"/>
    <w:rsid w:val="008401A8"/>
    <w:rsid w:val="0084022E"/>
    <w:rsid w:val="0084080C"/>
    <w:rsid w:val="008411BC"/>
    <w:rsid w:val="00841521"/>
    <w:rsid w:val="00841DB2"/>
    <w:rsid w:val="00842371"/>
    <w:rsid w:val="0084248C"/>
    <w:rsid w:val="008426CF"/>
    <w:rsid w:val="008433EE"/>
    <w:rsid w:val="00844394"/>
    <w:rsid w:val="00845250"/>
    <w:rsid w:val="00846702"/>
    <w:rsid w:val="0084693A"/>
    <w:rsid w:val="008471B8"/>
    <w:rsid w:val="0084748B"/>
    <w:rsid w:val="008475EB"/>
    <w:rsid w:val="00847F20"/>
    <w:rsid w:val="0085029E"/>
    <w:rsid w:val="00850FEE"/>
    <w:rsid w:val="00851AE5"/>
    <w:rsid w:val="00851E54"/>
    <w:rsid w:val="0085286B"/>
    <w:rsid w:val="008532E1"/>
    <w:rsid w:val="00853630"/>
    <w:rsid w:val="00853955"/>
    <w:rsid w:val="00853CC0"/>
    <w:rsid w:val="00853CFE"/>
    <w:rsid w:val="00854109"/>
    <w:rsid w:val="00854E22"/>
    <w:rsid w:val="00854E4C"/>
    <w:rsid w:val="008556C0"/>
    <w:rsid w:val="00855B5A"/>
    <w:rsid w:val="00856AA8"/>
    <w:rsid w:val="00857D9D"/>
    <w:rsid w:val="008612CD"/>
    <w:rsid w:val="00861774"/>
    <w:rsid w:val="008620FA"/>
    <w:rsid w:val="0086272C"/>
    <w:rsid w:val="008635CD"/>
    <w:rsid w:val="00865063"/>
    <w:rsid w:val="008679A5"/>
    <w:rsid w:val="00870239"/>
    <w:rsid w:val="0087094B"/>
    <w:rsid w:val="00870C81"/>
    <w:rsid w:val="00871054"/>
    <w:rsid w:val="008729A7"/>
    <w:rsid w:val="008737B1"/>
    <w:rsid w:val="00873DF2"/>
    <w:rsid w:val="00875144"/>
    <w:rsid w:val="00875C24"/>
    <w:rsid w:val="00876814"/>
    <w:rsid w:val="00876B12"/>
    <w:rsid w:val="008775F4"/>
    <w:rsid w:val="00877E93"/>
    <w:rsid w:val="0088117E"/>
    <w:rsid w:val="0088304B"/>
    <w:rsid w:val="0088409F"/>
    <w:rsid w:val="0088486A"/>
    <w:rsid w:val="00884E4A"/>
    <w:rsid w:val="00885488"/>
    <w:rsid w:val="0088594C"/>
    <w:rsid w:val="00885EC0"/>
    <w:rsid w:val="00886058"/>
    <w:rsid w:val="008870AF"/>
    <w:rsid w:val="00887535"/>
    <w:rsid w:val="008901BA"/>
    <w:rsid w:val="00890FB4"/>
    <w:rsid w:val="00891766"/>
    <w:rsid w:val="008922C6"/>
    <w:rsid w:val="0089367B"/>
    <w:rsid w:val="00893F62"/>
    <w:rsid w:val="00894E29"/>
    <w:rsid w:val="00894E32"/>
    <w:rsid w:val="00895052"/>
    <w:rsid w:val="008951AE"/>
    <w:rsid w:val="008951E1"/>
    <w:rsid w:val="00895447"/>
    <w:rsid w:val="0089579C"/>
    <w:rsid w:val="00895CCF"/>
    <w:rsid w:val="00896811"/>
    <w:rsid w:val="008A0B4C"/>
    <w:rsid w:val="008A0C5A"/>
    <w:rsid w:val="008A16CC"/>
    <w:rsid w:val="008A1AF9"/>
    <w:rsid w:val="008A2638"/>
    <w:rsid w:val="008A3C08"/>
    <w:rsid w:val="008A3D59"/>
    <w:rsid w:val="008A46E9"/>
    <w:rsid w:val="008A4CCC"/>
    <w:rsid w:val="008A4F4E"/>
    <w:rsid w:val="008A5295"/>
    <w:rsid w:val="008A630A"/>
    <w:rsid w:val="008A6A78"/>
    <w:rsid w:val="008A6C5C"/>
    <w:rsid w:val="008A70D3"/>
    <w:rsid w:val="008A737F"/>
    <w:rsid w:val="008A77D6"/>
    <w:rsid w:val="008B0EF8"/>
    <w:rsid w:val="008B1125"/>
    <w:rsid w:val="008B1250"/>
    <w:rsid w:val="008B1EA5"/>
    <w:rsid w:val="008B25B5"/>
    <w:rsid w:val="008B3F6B"/>
    <w:rsid w:val="008B4032"/>
    <w:rsid w:val="008B40AA"/>
    <w:rsid w:val="008B53FB"/>
    <w:rsid w:val="008B5C64"/>
    <w:rsid w:val="008B61D6"/>
    <w:rsid w:val="008B6397"/>
    <w:rsid w:val="008B6F9F"/>
    <w:rsid w:val="008B7110"/>
    <w:rsid w:val="008C0DBA"/>
    <w:rsid w:val="008C0F2E"/>
    <w:rsid w:val="008C1B15"/>
    <w:rsid w:val="008C2B82"/>
    <w:rsid w:val="008C2D4F"/>
    <w:rsid w:val="008C52D3"/>
    <w:rsid w:val="008C575A"/>
    <w:rsid w:val="008C5A39"/>
    <w:rsid w:val="008C5F44"/>
    <w:rsid w:val="008C6722"/>
    <w:rsid w:val="008C7B0F"/>
    <w:rsid w:val="008D0055"/>
    <w:rsid w:val="008D3914"/>
    <w:rsid w:val="008D4477"/>
    <w:rsid w:val="008D4B93"/>
    <w:rsid w:val="008D4EBC"/>
    <w:rsid w:val="008D4EEE"/>
    <w:rsid w:val="008D562C"/>
    <w:rsid w:val="008D7BC4"/>
    <w:rsid w:val="008E2612"/>
    <w:rsid w:val="008E3147"/>
    <w:rsid w:val="008E3858"/>
    <w:rsid w:val="008E6439"/>
    <w:rsid w:val="008E64F8"/>
    <w:rsid w:val="008E66E8"/>
    <w:rsid w:val="008E6F46"/>
    <w:rsid w:val="008E7013"/>
    <w:rsid w:val="008E710D"/>
    <w:rsid w:val="008E731C"/>
    <w:rsid w:val="008E7325"/>
    <w:rsid w:val="008E75A3"/>
    <w:rsid w:val="008E7FB6"/>
    <w:rsid w:val="008F0566"/>
    <w:rsid w:val="008F1823"/>
    <w:rsid w:val="008F19C9"/>
    <w:rsid w:val="008F24D6"/>
    <w:rsid w:val="008F2C41"/>
    <w:rsid w:val="008F3976"/>
    <w:rsid w:val="008F46CE"/>
    <w:rsid w:val="008F4B7F"/>
    <w:rsid w:val="008F4F1A"/>
    <w:rsid w:val="008F4FFF"/>
    <w:rsid w:val="008F5BF8"/>
    <w:rsid w:val="008F6E81"/>
    <w:rsid w:val="008F75A4"/>
    <w:rsid w:val="009001A9"/>
    <w:rsid w:val="00900ACE"/>
    <w:rsid w:val="009019CE"/>
    <w:rsid w:val="00901CCB"/>
    <w:rsid w:val="00901DED"/>
    <w:rsid w:val="009025BF"/>
    <w:rsid w:val="00903479"/>
    <w:rsid w:val="00904C82"/>
    <w:rsid w:val="00904E74"/>
    <w:rsid w:val="0090634D"/>
    <w:rsid w:val="0090724C"/>
    <w:rsid w:val="0091050E"/>
    <w:rsid w:val="009108B3"/>
    <w:rsid w:val="009111B1"/>
    <w:rsid w:val="00911D6C"/>
    <w:rsid w:val="00913136"/>
    <w:rsid w:val="00914F3F"/>
    <w:rsid w:val="009152EC"/>
    <w:rsid w:val="009153C4"/>
    <w:rsid w:val="00915F2F"/>
    <w:rsid w:val="009225A4"/>
    <w:rsid w:val="009231BC"/>
    <w:rsid w:val="009235C1"/>
    <w:rsid w:val="0092367F"/>
    <w:rsid w:val="00923A80"/>
    <w:rsid w:val="00924293"/>
    <w:rsid w:val="00924CA6"/>
    <w:rsid w:val="009254FD"/>
    <w:rsid w:val="009273B8"/>
    <w:rsid w:val="009278D4"/>
    <w:rsid w:val="00927EEB"/>
    <w:rsid w:val="009301DC"/>
    <w:rsid w:val="00930373"/>
    <w:rsid w:val="00930AB8"/>
    <w:rsid w:val="00930D3B"/>
    <w:rsid w:val="00931257"/>
    <w:rsid w:val="009312BB"/>
    <w:rsid w:val="009315A4"/>
    <w:rsid w:val="00931756"/>
    <w:rsid w:val="00931F8A"/>
    <w:rsid w:val="009328F3"/>
    <w:rsid w:val="00933433"/>
    <w:rsid w:val="009339DA"/>
    <w:rsid w:val="00934425"/>
    <w:rsid w:val="00935358"/>
    <w:rsid w:val="0093564E"/>
    <w:rsid w:val="00936DC8"/>
    <w:rsid w:val="00936FB8"/>
    <w:rsid w:val="00937568"/>
    <w:rsid w:val="00940040"/>
    <w:rsid w:val="0094025A"/>
    <w:rsid w:val="009402EF"/>
    <w:rsid w:val="00940534"/>
    <w:rsid w:val="009405FA"/>
    <w:rsid w:val="009419A4"/>
    <w:rsid w:val="009422F7"/>
    <w:rsid w:val="0094391C"/>
    <w:rsid w:val="009471D4"/>
    <w:rsid w:val="00947419"/>
    <w:rsid w:val="00947BDB"/>
    <w:rsid w:val="00947D69"/>
    <w:rsid w:val="009526F9"/>
    <w:rsid w:val="00952734"/>
    <w:rsid w:val="0095290F"/>
    <w:rsid w:val="00954713"/>
    <w:rsid w:val="00954AF7"/>
    <w:rsid w:val="00955216"/>
    <w:rsid w:val="00956CF1"/>
    <w:rsid w:val="00956CFA"/>
    <w:rsid w:val="00960746"/>
    <w:rsid w:val="00961CB3"/>
    <w:rsid w:val="00962770"/>
    <w:rsid w:val="00962D16"/>
    <w:rsid w:val="00965015"/>
    <w:rsid w:val="009672F6"/>
    <w:rsid w:val="00967C0A"/>
    <w:rsid w:val="00970007"/>
    <w:rsid w:val="00971CD3"/>
    <w:rsid w:val="00972A4E"/>
    <w:rsid w:val="00972C26"/>
    <w:rsid w:val="00972D54"/>
    <w:rsid w:val="009747DF"/>
    <w:rsid w:val="00974A4D"/>
    <w:rsid w:val="00975188"/>
    <w:rsid w:val="00975419"/>
    <w:rsid w:val="00975532"/>
    <w:rsid w:val="009760EC"/>
    <w:rsid w:val="009763A4"/>
    <w:rsid w:val="00976504"/>
    <w:rsid w:val="00976D38"/>
    <w:rsid w:val="0097760A"/>
    <w:rsid w:val="00977AF3"/>
    <w:rsid w:val="00977D67"/>
    <w:rsid w:val="0098057D"/>
    <w:rsid w:val="00980E72"/>
    <w:rsid w:val="00981F00"/>
    <w:rsid w:val="00982793"/>
    <w:rsid w:val="00982C1A"/>
    <w:rsid w:val="0098403B"/>
    <w:rsid w:val="00984F02"/>
    <w:rsid w:val="0098524A"/>
    <w:rsid w:val="00985C82"/>
    <w:rsid w:val="00985DA3"/>
    <w:rsid w:val="00986DF4"/>
    <w:rsid w:val="00991231"/>
    <w:rsid w:val="00992B0A"/>
    <w:rsid w:val="009938FE"/>
    <w:rsid w:val="00993DBB"/>
    <w:rsid w:val="00994402"/>
    <w:rsid w:val="00994A0F"/>
    <w:rsid w:val="009955A6"/>
    <w:rsid w:val="009965E8"/>
    <w:rsid w:val="00996995"/>
    <w:rsid w:val="00996EC2"/>
    <w:rsid w:val="00997FB6"/>
    <w:rsid w:val="009A0CB3"/>
    <w:rsid w:val="009A29E5"/>
    <w:rsid w:val="009A2E69"/>
    <w:rsid w:val="009A3B2E"/>
    <w:rsid w:val="009A4CDD"/>
    <w:rsid w:val="009A560C"/>
    <w:rsid w:val="009A5C1D"/>
    <w:rsid w:val="009A646C"/>
    <w:rsid w:val="009A70FC"/>
    <w:rsid w:val="009A7A6E"/>
    <w:rsid w:val="009B0527"/>
    <w:rsid w:val="009B05E3"/>
    <w:rsid w:val="009B09DB"/>
    <w:rsid w:val="009B0D8E"/>
    <w:rsid w:val="009B162F"/>
    <w:rsid w:val="009B335F"/>
    <w:rsid w:val="009B3D70"/>
    <w:rsid w:val="009B3E02"/>
    <w:rsid w:val="009B4509"/>
    <w:rsid w:val="009B4ED6"/>
    <w:rsid w:val="009B5164"/>
    <w:rsid w:val="009B65C1"/>
    <w:rsid w:val="009B69BD"/>
    <w:rsid w:val="009B6C17"/>
    <w:rsid w:val="009B77D4"/>
    <w:rsid w:val="009C097B"/>
    <w:rsid w:val="009C372F"/>
    <w:rsid w:val="009C3BE3"/>
    <w:rsid w:val="009C447B"/>
    <w:rsid w:val="009C475F"/>
    <w:rsid w:val="009C5463"/>
    <w:rsid w:val="009C60B9"/>
    <w:rsid w:val="009C6379"/>
    <w:rsid w:val="009C65E6"/>
    <w:rsid w:val="009C6633"/>
    <w:rsid w:val="009C7186"/>
    <w:rsid w:val="009C78D5"/>
    <w:rsid w:val="009D0F21"/>
    <w:rsid w:val="009D1354"/>
    <w:rsid w:val="009D1851"/>
    <w:rsid w:val="009D18AB"/>
    <w:rsid w:val="009D213A"/>
    <w:rsid w:val="009D3AAD"/>
    <w:rsid w:val="009D3EA6"/>
    <w:rsid w:val="009D42CA"/>
    <w:rsid w:val="009D55F1"/>
    <w:rsid w:val="009D7202"/>
    <w:rsid w:val="009E0C12"/>
    <w:rsid w:val="009E19C8"/>
    <w:rsid w:val="009E1AC2"/>
    <w:rsid w:val="009E204A"/>
    <w:rsid w:val="009E2570"/>
    <w:rsid w:val="009E3B43"/>
    <w:rsid w:val="009E4832"/>
    <w:rsid w:val="009E5218"/>
    <w:rsid w:val="009E54C5"/>
    <w:rsid w:val="009F0715"/>
    <w:rsid w:val="009F16D4"/>
    <w:rsid w:val="009F1CBC"/>
    <w:rsid w:val="009F2BEA"/>
    <w:rsid w:val="009F2D50"/>
    <w:rsid w:val="009F30BD"/>
    <w:rsid w:val="009F36D7"/>
    <w:rsid w:val="009F3755"/>
    <w:rsid w:val="009F38AA"/>
    <w:rsid w:val="009F3E4A"/>
    <w:rsid w:val="009F574D"/>
    <w:rsid w:val="009F5B9F"/>
    <w:rsid w:val="009F7A49"/>
    <w:rsid w:val="00A0089B"/>
    <w:rsid w:val="00A01E30"/>
    <w:rsid w:val="00A02B3B"/>
    <w:rsid w:val="00A02FDD"/>
    <w:rsid w:val="00A0487D"/>
    <w:rsid w:val="00A05B67"/>
    <w:rsid w:val="00A0655E"/>
    <w:rsid w:val="00A07C5F"/>
    <w:rsid w:val="00A11BE0"/>
    <w:rsid w:val="00A130E1"/>
    <w:rsid w:val="00A137E4"/>
    <w:rsid w:val="00A145DF"/>
    <w:rsid w:val="00A14944"/>
    <w:rsid w:val="00A2056D"/>
    <w:rsid w:val="00A22215"/>
    <w:rsid w:val="00A22386"/>
    <w:rsid w:val="00A22822"/>
    <w:rsid w:val="00A2289D"/>
    <w:rsid w:val="00A23BBC"/>
    <w:rsid w:val="00A2469A"/>
    <w:rsid w:val="00A24ADB"/>
    <w:rsid w:val="00A24B44"/>
    <w:rsid w:val="00A25AE2"/>
    <w:rsid w:val="00A26023"/>
    <w:rsid w:val="00A2666A"/>
    <w:rsid w:val="00A3213F"/>
    <w:rsid w:val="00A322DD"/>
    <w:rsid w:val="00A327F2"/>
    <w:rsid w:val="00A32854"/>
    <w:rsid w:val="00A32B3A"/>
    <w:rsid w:val="00A33A53"/>
    <w:rsid w:val="00A34A9D"/>
    <w:rsid w:val="00A3584A"/>
    <w:rsid w:val="00A3618D"/>
    <w:rsid w:val="00A36255"/>
    <w:rsid w:val="00A36C5C"/>
    <w:rsid w:val="00A36CA6"/>
    <w:rsid w:val="00A37544"/>
    <w:rsid w:val="00A41280"/>
    <w:rsid w:val="00A42D64"/>
    <w:rsid w:val="00A436C4"/>
    <w:rsid w:val="00A44D17"/>
    <w:rsid w:val="00A45668"/>
    <w:rsid w:val="00A47876"/>
    <w:rsid w:val="00A50588"/>
    <w:rsid w:val="00A51793"/>
    <w:rsid w:val="00A51D36"/>
    <w:rsid w:val="00A523D9"/>
    <w:rsid w:val="00A52B3A"/>
    <w:rsid w:val="00A530C1"/>
    <w:rsid w:val="00A53DEC"/>
    <w:rsid w:val="00A53E19"/>
    <w:rsid w:val="00A5413A"/>
    <w:rsid w:val="00A54549"/>
    <w:rsid w:val="00A54C79"/>
    <w:rsid w:val="00A54F36"/>
    <w:rsid w:val="00A55654"/>
    <w:rsid w:val="00A55955"/>
    <w:rsid w:val="00A56105"/>
    <w:rsid w:val="00A566C9"/>
    <w:rsid w:val="00A578F3"/>
    <w:rsid w:val="00A57C2A"/>
    <w:rsid w:val="00A601CF"/>
    <w:rsid w:val="00A60E2A"/>
    <w:rsid w:val="00A61978"/>
    <w:rsid w:val="00A61A20"/>
    <w:rsid w:val="00A623ED"/>
    <w:rsid w:val="00A63E2F"/>
    <w:rsid w:val="00A653FE"/>
    <w:rsid w:val="00A66343"/>
    <w:rsid w:val="00A6637F"/>
    <w:rsid w:val="00A6668E"/>
    <w:rsid w:val="00A674BE"/>
    <w:rsid w:val="00A67953"/>
    <w:rsid w:val="00A70291"/>
    <w:rsid w:val="00A703B9"/>
    <w:rsid w:val="00A707BC"/>
    <w:rsid w:val="00A70C5D"/>
    <w:rsid w:val="00A70DFF"/>
    <w:rsid w:val="00A72773"/>
    <w:rsid w:val="00A7277F"/>
    <w:rsid w:val="00A731BC"/>
    <w:rsid w:val="00A734B5"/>
    <w:rsid w:val="00A749B8"/>
    <w:rsid w:val="00A74B4B"/>
    <w:rsid w:val="00A74D02"/>
    <w:rsid w:val="00A75868"/>
    <w:rsid w:val="00A75DBD"/>
    <w:rsid w:val="00A76ED7"/>
    <w:rsid w:val="00A773AE"/>
    <w:rsid w:val="00A81767"/>
    <w:rsid w:val="00A81C28"/>
    <w:rsid w:val="00A824C3"/>
    <w:rsid w:val="00A84ADF"/>
    <w:rsid w:val="00A855AF"/>
    <w:rsid w:val="00A861AF"/>
    <w:rsid w:val="00A8670D"/>
    <w:rsid w:val="00A86844"/>
    <w:rsid w:val="00A87097"/>
    <w:rsid w:val="00A870DA"/>
    <w:rsid w:val="00A8729E"/>
    <w:rsid w:val="00A87947"/>
    <w:rsid w:val="00A879EE"/>
    <w:rsid w:val="00A90AC5"/>
    <w:rsid w:val="00A911F9"/>
    <w:rsid w:val="00A91A7F"/>
    <w:rsid w:val="00A924AD"/>
    <w:rsid w:val="00A92563"/>
    <w:rsid w:val="00A925C6"/>
    <w:rsid w:val="00A92BF2"/>
    <w:rsid w:val="00A931DC"/>
    <w:rsid w:val="00A931EF"/>
    <w:rsid w:val="00A9383A"/>
    <w:rsid w:val="00A93A63"/>
    <w:rsid w:val="00A93DA8"/>
    <w:rsid w:val="00A96D1E"/>
    <w:rsid w:val="00A974C7"/>
    <w:rsid w:val="00AA07F6"/>
    <w:rsid w:val="00AA58CF"/>
    <w:rsid w:val="00AA59E7"/>
    <w:rsid w:val="00AA755C"/>
    <w:rsid w:val="00AA787D"/>
    <w:rsid w:val="00AB03A9"/>
    <w:rsid w:val="00AB0550"/>
    <w:rsid w:val="00AB2036"/>
    <w:rsid w:val="00AB2FAD"/>
    <w:rsid w:val="00AB2FB2"/>
    <w:rsid w:val="00AB394F"/>
    <w:rsid w:val="00AB49CA"/>
    <w:rsid w:val="00AB665E"/>
    <w:rsid w:val="00AC17DE"/>
    <w:rsid w:val="00AC1E05"/>
    <w:rsid w:val="00AC26E4"/>
    <w:rsid w:val="00AC3466"/>
    <w:rsid w:val="00AC4AC4"/>
    <w:rsid w:val="00AC55A3"/>
    <w:rsid w:val="00AC6681"/>
    <w:rsid w:val="00AC69AA"/>
    <w:rsid w:val="00AC7862"/>
    <w:rsid w:val="00AC7A97"/>
    <w:rsid w:val="00AD01A3"/>
    <w:rsid w:val="00AD0EE6"/>
    <w:rsid w:val="00AD1CCC"/>
    <w:rsid w:val="00AD2384"/>
    <w:rsid w:val="00AD3762"/>
    <w:rsid w:val="00AD3981"/>
    <w:rsid w:val="00AD470A"/>
    <w:rsid w:val="00AD49F4"/>
    <w:rsid w:val="00AD4F44"/>
    <w:rsid w:val="00AD5112"/>
    <w:rsid w:val="00AD5699"/>
    <w:rsid w:val="00AD5726"/>
    <w:rsid w:val="00AD5890"/>
    <w:rsid w:val="00AD6054"/>
    <w:rsid w:val="00AD63D8"/>
    <w:rsid w:val="00AD767C"/>
    <w:rsid w:val="00AE0ACE"/>
    <w:rsid w:val="00AE0B29"/>
    <w:rsid w:val="00AE19DE"/>
    <w:rsid w:val="00AE250B"/>
    <w:rsid w:val="00AE30C1"/>
    <w:rsid w:val="00AE35FE"/>
    <w:rsid w:val="00AE4034"/>
    <w:rsid w:val="00AE506B"/>
    <w:rsid w:val="00AE62CC"/>
    <w:rsid w:val="00AE6422"/>
    <w:rsid w:val="00AE644C"/>
    <w:rsid w:val="00AE65B6"/>
    <w:rsid w:val="00AE71B1"/>
    <w:rsid w:val="00AE7740"/>
    <w:rsid w:val="00AF0305"/>
    <w:rsid w:val="00AF1326"/>
    <w:rsid w:val="00AF175C"/>
    <w:rsid w:val="00AF1A70"/>
    <w:rsid w:val="00AF1E9E"/>
    <w:rsid w:val="00AF6069"/>
    <w:rsid w:val="00AF690C"/>
    <w:rsid w:val="00B0094C"/>
    <w:rsid w:val="00B00B8D"/>
    <w:rsid w:val="00B0235B"/>
    <w:rsid w:val="00B03AF8"/>
    <w:rsid w:val="00B05E09"/>
    <w:rsid w:val="00B06B54"/>
    <w:rsid w:val="00B06E1E"/>
    <w:rsid w:val="00B07965"/>
    <w:rsid w:val="00B07F76"/>
    <w:rsid w:val="00B11003"/>
    <w:rsid w:val="00B11C5E"/>
    <w:rsid w:val="00B126D9"/>
    <w:rsid w:val="00B14003"/>
    <w:rsid w:val="00B14943"/>
    <w:rsid w:val="00B229CC"/>
    <w:rsid w:val="00B22A98"/>
    <w:rsid w:val="00B22C79"/>
    <w:rsid w:val="00B22FD2"/>
    <w:rsid w:val="00B23C38"/>
    <w:rsid w:val="00B23E6D"/>
    <w:rsid w:val="00B24C85"/>
    <w:rsid w:val="00B24F37"/>
    <w:rsid w:val="00B2669E"/>
    <w:rsid w:val="00B27285"/>
    <w:rsid w:val="00B27C47"/>
    <w:rsid w:val="00B308A1"/>
    <w:rsid w:val="00B313E5"/>
    <w:rsid w:val="00B31431"/>
    <w:rsid w:val="00B3266D"/>
    <w:rsid w:val="00B32C44"/>
    <w:rsid w:val="00B32CE2"/>
    <w:rsid w:val="00B34DEE"/>
    <w:rsid w:val="00B3547A"/>
    <w:rsid w:val="00B3665D"/>
    <w:rsid w:val="00B3701B"/>
    <w:rsid w:val="00B375D5"/>
    <w:rsid w:val="00B376A6"/>
    <w:rsid w:val="00B407BE"/>
    <w:rsid w:val="00B40BC2"/>
    <w:rsid w:val="00B41AB3"/>
    <w:rsid w:val="00B42303"/>
    <w:rsid w:val="00B42A7C"/>
    <w:rsid w:val="00B42F10"/>
    <w:rsid w:val="00B43591"/>
    <w:rsid w:val="00B43929"/>
    <w:rsid w:val="00B44799"/>
    <w:rsid w:val="00B448E9"/>
    <w:rsid w:val="00B44ED0"/>
    <w:rsid w:val="00B45EB8"/>
    <w:rsid w:val="00B471DA"/>
    <w:rsid w:val="00B5054F"/>
    <w:rsid w:val="00B5108B"/>
    <w:rsid w:val="00B512C1"/>
    <w:rsid w:val="00B51CCB"/>
    <w:rsid w:val="00B53964"/>
    <w:rsid w:val="00B5502A"/>
    <w:rsid w:val="00B55473"/>
    <w:rsid w:val="00B56F49"/>
    <w:rsid w:val="00B57854"/>
    <w:rsid w:val="00B57E21"/>
    <w:rsid w:val="00B603A6"/>
    <w:rsid w:val="00B61105"/>
    <w:rsid w:val="00B616D8"/>
    <w:rsid w:val="00B62265"/>
    <w:rsid w:val="00B62683"/>
    <w:rsid w:val="00B62F89"/>
    <w:rsid w:val="00B6335A"/>
    <w:rsid w:val="00B6427D"/>
    <w:rsid w:val="00B66542"/>
    <w:rsid w:val="00B669F4"/>
    <w:rsid w:val="00B67258"/>
    <w:rsid w:val="00B70AEF"/>
    <w:rsid w:val="00B70D7D"/>
    <w:rsid w:val="00B72649"/>
    <w:rsid w:val="00B73DF4"/>
    <w:rsid w:val="00B75AF5"/>
    <w:rsid w:val="00B764CF"/>
    <w:rsid w:val="00B76797"/>
    <w:rsid w:val="00B76A14"/>
    <w:rsid w:val="00B77B4E"/>
    <w:rsid w:val="00B77F80"/>
    <w:rsid w:val="00B77FBE"/>
    <w:rsid w:val="00B8056A"/>
    <w:rsid w:val="00B81331"/>
    <w:rsid w:val="00B826EA"/>
    <w:rsid w:val="00B829EC"/>
    <w:rsid w:val="00B85394"/>
    <w:rsid w:val="00B87E35"/>
    <w:rsid w:val="00B902D7"/>
    <w:rsid w:val="00B9401B"/>
    <w:rsid w:val="00B95011"/>
    <w:rsid w:val="00B97163"/>
    <w:rsid w:val="00B971F6"/>
    <w:rsid w:val="00BA2614"/>
    <w:rsid w:val="00BA270D"/>
    <w:rsid w:val="00BA3C6B"/>
    <w:rsid w:val="00BA459F"/>
    <w:rsid w:val="00BA45EA"/>
    <w:rsid w:val="00BA58B0"/>
    <w:rsid w:val="00BA6034"/>
    <w:rsid w:val="00BA66E6"/>
    <w:rsid w:val="00BA6B01"/>
    <w:rsid w:val="00BA7B87"/>
    <w:rsid w:val="00BB0138"/>
    <w:rsid w:val="00BB02E7"/>
    <w:rsid w:val="00BB05A2"/>
    <w:rsid w:val="00BB1B02"/>
    <w:rsid w:val="00BB1BCA"/>
    <w:rsid w:val="00BB1DD4"/>
    <w:rsid w:val="00BB20CD"/>
    <w:rsid w:val="00BB21B4"/>
    <w:rsid w:val="00BB2A0E"/>
    <w:rsid w:val="00BB33DD"/>
    <w:rsid w:val="00BB3BF2"/>
    <w:rsid w:val="00BB3E18"/>
    <w:rsid w:val="00BB4286"/>
    <w:rsid w:val="00BB5CD3"/>
    <w:rsid w:val="00BB6339"/>
    <w:rsid w:val="00BB6489"/>
    <w:rsid w:val="00BB6866"/>
    <w:rsid w:val="00BB700E"/>
    <w:rsid w:val="00BB74EB"/>
    <w:rsid w:val="00BB7806"/>
    <w:rsid w:val="00BC006D"/>
    <w:rsid w:val="00BC0260"/>
    <w:rsid w:val="00BC086C"/>
    <w:rsid w:val="00BC0A43"/>
    <w:rsid w:val="00BC1DBF"/>
    <w:rsid w:val="00BC407A"/>
    <w:rsid w:val="00BC447F"/>
    <w:rsid w:val="00BC4C41"/>
    <w:rsid w:val="00BC51A5"/>
    <w:rsid w:val="00BC5284"/>
    <w:rsid w:val="00BC7251"/>
    <w:rsid w:val="00BC733E"/>
    <w:rsid w:val="00BD03B8"/>
    <w:rsid w:val="00BD1A3A"/>
    <w:rsid w:val="00BD1F5F"/>
    <w:rsid w:val="00BD2651"/>
    <w:rsid w:val="00BD4C98"/>
    <w:rsid w:val="00BD56F8"/>
    <w:rsid w:val="00BD5ECE"/>
    <w:rsid w:val="00BD7021"/>
    <w:rsid w:val="00BD7060"/>
    <w:rsid w:val="00BE0261"/>
    <w:rsid w:val="00BE03AE"/>
    <w:rsid w:val="00BE0FC7"/>
    <w:rsid w:val="00BE1162"/>
    <w:rsid w:val="00BE13A6"/>
    <w:rsid w:val="00BE14C5"/>
    <w:rsid w:val="00BE1E66"/>
    <w:rsid w:val="00BE3841"/>
    <w:rsid w:val="00BE4533"/>
    <w:rsid w:val="00BE4F03"/>
    <w:rsid w:val="00BE601B"/>
    <w:rsid w:val="00BF0598"/>
    <w:rsid w:val="00BF0860"/>
    <w:rsid w:val="00BF111B"/>
    <w:rsid w:val="00BF1834"/>
    <w:rsid w:val="00BF2CB8"/>
    <w:rsid w:val="00BF2CD7"/>
    <w:rsid w:val="00BF34E0"/>
    <w:rsid w:val="00BF4F00"/>
    <w:rsid w:val="00BF5C7E"/>
    <w:rsid w:val="00BF6EBF"/>
    <w:rsid w:val="00BF721C"/>
    <w:rsid w:val="00C00578"/>
    <w:rsid w:val="00C00A66"/>
    <w:rsid w:val="00C00B62"/>
    <w:rsid w:val="00C02AF3"/>
    <w:rsid w:val="00C039AD"/>
    <w:rsid w:val="00C04E7A"/>
    <w:rsid w:val="00C053C1"/>
    <w:rsid w:val="00C076DA"/>
    <w:rsid w:val="00C1076E"/>
    <w:rsid w:val="00C119FC"/>
    <w:rsid w:val="00C11A48"/>
    <w:rsid w:val="00C11E79"/>
    <w:rsid w:val="00C12BD0"/>
    <w:rsid w:val="00C14118"/>
    <w:rsid w:val="00C14FC5"/>
    <w:rsid w:val="00C20F96"/>
    <w:rsid w:val="00C214A3"/>
    <w:rsid w:val="00C21915"/>
    <w:rsid w:val="00C220C3"/>
    <w:rsid w:val="00C2257E"/>
    <w:rsid w:val="00C225CC"/>
    <w:rsid w:val="00C22724"/>
    <w:rsid w:val="00C23202"/>
    <w:rsid w:val="00C23986"/>
    <w:rsid w:val="00C24185"/>
    <w:rsid w:val="00C25BC3"/>
    <w:rsid w:val="00C25DC4"/>
    <w:rsid w:val="00C267F9"/>
    <w:rsid w:val="00C26982"/>
    <w:rsid w:val="00C270FB"/>
    <w:rsid w:val="00C27113"/>
    <w:rsid w:val="00C3184A"/>
    <w:rsid w:val="00C32C2C"/>
    <w:rsid w:val="00C34848"/>
    <w:rsid w:val="00C3527B"/>
    <w:rsid w:val="00C36814"/>
    <w:rsid w:val="00C36D61"/>
    <w:rsid w:val="00C37975"/>
    <w:rsid w:val="00C40AAE"/>
    <w:rsid w:val="00C40BCC"/>
    <w:rsid w:val="00C4108A"/>
    <w:rsid w:val="00C41871"/>
    <w:rsid w:val="00C41B4D"/>
    <w:rsid w:val="00C42722"/>
    <w:rsid w:val="00C42C32"/>
    <w:rsid w:val="00C42E7D"/>
    <w:rsid w:val="00C43DF5"/>
    <w:rsid w:val="00C44032"/>
    <w:rsid w:val="00C443B8"/>
    <w:rsid w:val="00C44537"/>
    <w:rsid w:val="00C462DA"/>
    <w:rsid w:val="00C47F52"/>
    <w:rsid w:val="00C519E5"/>
    <w:rsid w:val="00C51FCA"/>
    <w:rsid w:val="00C520E1"/>
    <w:rsid w:val="00C52D4A"/>
    <w:rsid w:val="00C530ED"/>
    <w:rsid w:val="00C54F7B"/>
    <w:rsid w:val="00C5540D"/>
    <w:rsid w:val="00C563C1"/>
    <w:rsid w:val="00C5685A"/>
    <w:rsid w:val="00C56D87"/>
    <w:rsid w:val="00C574B3"/>
    <w:rsid w:val="00C62691"/>
    <w:rsid w:val="00C627B7"/>
    <w:rsid w:val="00C639C3"/>
    <w:rsid w:val="00C64042"/>
    <w:rsid w:val="00C642A4"/>
    <w:rsid w:val="00C64744"/>
    <w:rsid w:val="00C66EAD"/>
    <w:rsid w:val="00C7091D"/>
    <w:rsid w:val="00C70AB2"/>
    <w:rsid w:val="00C72147"/>
    <w:rsid w:val="00C7246A"/>
    <w:rsid w:val="00C72F31"/>
    <w:rsid w:val="00C730AC"/>
    <w:rsid w:val="00C732FF"/>
    <w:rsid w:val="00C74DD5"/>
    <w:rsid w:val="00C74EBE"/>
    <w:rsid w:val="00C75673"/>
    <w:rsid w:val="00C75E30"/>
    <w:rsid w:val="00C75F36"/>
    <w:rsid w:val="00C76457"/>
    <w:rsid w:val="00C7673F"/>
    <w:rsid w:val="00C77BCF"/>
    <w:rsid w:val="00C80B45"/>
    <w:rsid w:val="00C80C01"/>
    <w:rsid w:val="00C80D60"/>
    <w:rsid w:val="00C838A9"/>
    <w:rsid w:val="00C83991"/>
    <w:rsid w:val="00C86F84"/>
    <w:rsid w:val="00C873BE"/>
    <w:rsid w:val="00C87943"/>
    <w:rsid w:val="00C903B5"/>
    <w:rsid w:val="00C90C26"/>
    <w:rsid w:val="00C90DE6"/>
    <w:rsid w:val="00C91464"/>
    <w:rsid w:val="00C925C7"/>
    <w:rsid w:val="00C92BDC"/>
    <w:rsid w:val="00C9488F"/>
    <w:rsid w:val="00C9513A"/>
    <w:rsid w:val="00C955A4"/>
    <w:rsid w:val="00C959A0"/>
    <w:rsid w:val="00C96512"/>
    <w:rsid w:val="00C96642"/>
    <w:rsid w:val="00C967E6"/>
    <w:rsid w:val="00C97F60"/>
    <w:rsid w:val="00CA05B1"/>
    <w:rsid w:val="00CA1A2B"/>
    <w:rsid w:val="00CA288D"/>
    <w:rsid w:val="00CA36B5"/>
    <w:rsid w:val="00CA3DFB"/>
    <w:rsid w:val="00CA3FA1"/>
    <w:rsid w:val="00CA476E"/>
    <w:rsid w:val="00CA4879"/>
    <w:rsid w:val="00CA4932"/>
    <w:rsid w:val="00CA4A00"/>
    <w:rsid w:val="00CA4E32"/>
    <w:rsid w:val="00CA5CB2"/>
    <w:rsid w:val="00CA65EC"/>
    <w:rsid w:val="00CA758E"/>
    <w:rsid w:val="00CA7B4B"/>
    <w:rsid w:val="00CA7DCA"/>
    <w:rsid w:val="00CB09C0"/>
    <w:rsid w:val="00CB0DC2"/>
    <w:rsid w:val="00CB2055"/>
    <w:rsid w:val="00CB329C"/>
    <w:rsid w:val="00CB3489"/>
    <w:rsid w:val="00CB3939"/>
    <w:rsid w:val="00CB396C"/>
    <w:rsid w:val="00CB3ABF"/>
    <w:rsid w:val="00CB3F65"/>
    <w:rsid w:val="00CB4088"/>
    <w:rsid w:val="00CB62A4"/>
    <w:rsid w:val="00CB6B80"/>
    <w:rsid w:val="00CB73C3"/>
    <w:rsid w:val="00CB7500"/>
    <w:rsid w:val="00CB7603"/>
    <w:rsid w:val="00CC0FEB"/>
    <w:rsid w:val="00CC15CB"/>
    <w:rsid w:val="00CC1D52"/>
    <w:rsid w:val="00CC236C"/>
    <w:rsid w:val="00CC25DA"/>
    <w:rsid w:val="00CC28E8"/>
    <w:rsid w:val="00CC3934"/>
    <w:rsid w:val="00CC567F"/>
    <w:rsid w:val="00CC5FC2"/>
    <w:rsid w:val="00CD0396"/>
    <w:rsid w:val="00CD1548"/>
    <w:rsid w:val="00CD17C4"/>
    <w:rsid w:val="00CD28D1"/>
    <w:rsid w:val="00CD3243"/>
    <w:rsid w:val="00CD4BCD"/>
    <w:rsid w:val="00CD564E"/>
    <w:rsid w:val="00CD56CF"/>
    <w:rsid w:val="00CD6390"/>
    <w:rsid w:val="00CD7B07"/>
    <w:rsid w:val="00CE05D6"/>
    <w:rsid w:val="00CE2493"/>
    <w:rsid w:val="00CE3996"/>
    <w:rsid w:val="00CE3CFA"/>
    <w:rsid w:val="00CE45AE"/>
    <w:rsid w:val="00CE4910"/>
    <w:rsid w:val="00CE5275"/>
    <w:rsid w:val="00CE56BA"/>
    <w:rsid w:val="00CE5CC7"/>
    <w:rsid w:val="00CE6DA2"/>
    <w:rsid w:val="00CE79AA"/>
    <w:rsid w:val="00CE7C32"/>
    <w:rsid w:val="00CE7F6F"/>
    <w:rsid w:val="00CF1E7D"/>
    <w:rsid w:val="00CF229B"/>
    <w:rsid w:val="00CF28FE"/>
    <w:rsid w:val="00CF2AB8"/>
    <w:rsid w:val="00CF2B87"/>
    <w:rsid w:val="00CF2C63"/>
    <w:rsid w:val="00CF306E"/>
    <w:rsid w:val="00CF3273"/>
    <w:rsid w:val="00CF47FA"/>
    <w:rsid w:val="00CF50C1"/>
    <w:rsid w:val="00CF59FA"/>
    <w:rsid w:val="00CF5AC7"/>
    <w:rsid w:val="00CF625E"/>
    <w:rsid w:val="00CF7070"/>
    <w:rsid w:val="00D004ED"/>
    <w:rsid w:val="00D00FAE"/>
    <w:rsid w:val="00D02678"/>
    <w:rsid w:val="00D02811"/>
    <w:rsid w:val="00D02A8A"/>
    <w:rsid w:val="00D03F29"/>
    <w:rsid w:val="00D04418"/>
    <w:rsid w:val="00D04AA5"/>
    <w:rsid w:val="00D065E0"/>
    <w:rsid w:val="00D06EF9"/>
    <w:rsid w:val="00D07714"/>
    <w:rsid w:val="00D07DF1"/>
    <w:rsid w:val="00D11473"/>
    <w:rsid w:val="00D116A8"/>
    <w:rsid w:val="00D11EFB"/>
    <w:rsid w:val="00D12175"/>
    <w:rsid w:val="00D12532"/>
    <w:rsid w:val="00D12AA0"/>
    <w:rsid w:val="00D1444E"/>
    <w:rsid w:val="00D17259"/>
    <w:rsid w:val="00D215A3"/>
    <w:rsid w:val="00D21F29"/>
    <w:rsid w:val="00D228E4"/>
    <w:rsid w:val="00D22D75"/>
    <w:rsid w:val="00D235CC"/>
    <w:rsid w:val="00D24714"/>
    <w:rsid w:val="00D24993"/>
    <w:rsid w:val="00D2756F"/>
    <w:rsid w:val="00D27B44"/>
    <w:rsid w:val="00D27DA9"/>
    <w:rsid w:val="00D27ED5"/>
    <w:rsid w:val="00D32D19"/>
    <w:rsid w:val="00D3323C"/>
    <w:rsid w:val="00D334A9"/>
    <w:rsid w:val="00D34095"/>
    <w:rsid w:val="00D343B5"/>
    <w:rsid w:val="00D345E9"/>
    <w:rsid w:val="00D3676C"/>
    <w:rsid w:val="00D36C6A"/>
    <w:rsid w:val="00D36CBB"/>
    <w:rsid w:val="00D4199F"/>
    <w:rsid w:val="00D424C7"/>
    <w:rsid w:val="00D42603"/>
    <w:rsid w:val="00D42687"/>
    <w:rsid w:val="00D42991"/>
    <w:rsid w:val="00D42A51"/>
    <w:rsid w:val="00D43991"/>
    <w:rsid w:val="00D43B1F"/>
    <w:rsid w:val="00D44475"/>
    <w:rsid w:val="00D45D16"/>
    <w:rsid w:val="00D46609"/>
    <w:rsid w:val="00D46B32"/>
    <w:rsid w:val="00D479C7"/>
    <w:rsid w:val="00D47A9C"/>
    <w:rsid w:val="00D47D4E"/>
    <w:rsid w:val="00D508F8"/>
    <w:rsid w:val="00D522D7"/>
    <w:rsid w:val="00D553E7"/>
    <w:rsid w:val="00D57428"/>
    <w:rsid w:val="00D57D96"/>
    <w:rsid w:val="00D606D9"/>
    <w:rsid w:val="00D6188C"/>
    <w:rsid w:val="00D61B32"/>
    <w:rsid w:val="00D61BF2"/>
    <w:rsid w:val="00D64DE8"/>
    <w:rsid w:val="00D6534D"/>
    <w:rsid w:val="00D657FC"/>
    <w:rsid w:val="00D67083"/>
    <w:rsid w:val="00D703B8"/>
    <w:rsid w:val="00D70589"/>
    <w:rsid w:val="00D71044"/>
    <w:rsid w:val="00D719A5"/>
    <w:rsid w:val="00D7247D"/>
    <w:rsid w:val="00D74936"/>
    <w:rsid w:val="00D75056"/>
    <w:rsid w:val="00D75C1F"/>
    <w:rsid w:val="00D75CEC"/>
    <w:rsid w:val="00D775B8"/>
    <w:rsid w:val="00D77EE9"/>
    <w:rsid w:val="00D80370"/>
    <w:rsid w:val="00D808B4"/>
    <w:rsid w:val="00D80BCF"/>
    <w:rsid w:val="00D82A82"/>
    <w:rsid w:val="00D85F9C"/>
    <w:rsid w:val="00D8766E"/>
    <w:rsid w:val="00D90FCE"/>
    <w:rsid w:val="00D938A7"/>
    <w:rsid w:val="00D93BF7"/>
    <w:rsid w:val="00D977F0"/>
    <w:rsid w:val="00D97F5B"/>
    <w:rsid w:val="00DA247F"/>
    <w:rsid w:val="00DA4090"/>
    <w:rsid w:val="00DA4D95"/>
    <w:rsid w:val="00DA5507"/>
    <w:rsid w:val="00DB1A08"/>
    <w:rsid w:val="00DB1DC7"/>
    <w:rsid w:val="00DB2079"/>
    <w:rsid w:val="00DB2D52"/>
    <w:rsid w:val="00DB3DF7"/>
    <w:rsid w:val="00DB42C6"/>
    <w:rsid w:val="00DB5060"/>
    <w:rsid w:val="00DB5192"/>
    <w:rsid w:val="00DB5AAB"/>
    <w:rsid w:val="00DB5C54"/>
    <w:rsid w:val="00DB5FC5"/>
    <w:rsid w:val="00DB6EB5"/>
    <w:rsid w:val="00DB7016"/>
    <w:rsid w:val="00DB7773"/>
    <w:rsid w:val="00DC0427"/>
    <w:rsid w:val="00DC048A"/>
    <w:rsid w:val="00DC209C"/>
    <w:rsid w:val="00DC271F"/>
    <w:rsid w:val="00DC2819"/>
    <w:rsid w:val="00DC3DE1"/>
    <w:rsid w:val="00DC4649"/>
    <w:rsid w:val="00DC5060"/>
    <w:rsid w:val="00DC5E24"/>
    <w:rsid w:val="00DD0976"/>
    <w:rsid w:val="00DD1831"/>
    <w:rsid w:val="00DD2358"/>
    <w:rsid w:val="00DD310D"/>
    <w:rsid w:val="00DD3585"/>
    <w:rsid w:val="00DD5BED"/>
    <w:rsid w:val="00DD67BC"/>
    <w:rsid w:val="00DD79B9"/>
    <w:rsid w:val="00DD7BCE"/>
    <w:rsid w:val="00DE139A"/>
    <w:rsid w:val="00DE2844"/>
    <w:rsid w:val="00DE2A83"/>
    <w:rsid w:val="00DE2A95"/>
    <w:rsid w:val="00DE5820"/>
    <w:rsid w:val="00DE6DB9"/>
    <w:rsid w:val="00DE7003"/>
    <w:rsid w:val="00DE7083"/>
    <w:rsid w:val="00DE763A"/>
    <w:rsid w:val="00DE7AF3"/>
    <w:rsid w:val="00DF0232"/>
    <w:rsid w:val="00DF22D7"/>
    <w:rsid w:val="00DF34EB"/>
    <w:rsid w:val="00DF4781"/>
    <w:rsid w:val="00DF7050"/>
    <w:rsid w:val="00DF7ED4"/>
    <w:rsid w:val="00E022AD"/>
    <w:rsid w:val="00E022B7"/>
    <w:rsid w:val="00E0304A"/>
    <w:rsid w:val="00E0353D"/>
    <w:rsid w:val="00E04C16"/>
    <w:rsid w:val="00E054F1"/>
    <w:rsid w:val="00E056A6"/>
    <w:rsid w:val="00E061E9"/>
    <w:rsid w:val="00E119D9"/>
    <w:rsid w:val="00E13E36"/>
    <w:rsid w:val="00E141E6"/>
    <w:rsid w:val="00E1467B"/>
    <w:rsid w:val="00E1529F"/>
    <w:rsid w:val="00E1581D"/>
    <w:rsid w:val="00E15B91"/>
    <w:rsid w:val="00E15E91"/>
    <w:rsid w:val="00E17274"/>
    <w:rsid w:val="00E17BC7"/>
    <w:rsid w:val="00E205FB"/>
    <w:rsid w:val="00E20A21"/>
    <w:rsid w:val="00E20D69"/>
    <w:rsid w:val="00E20DA0"/>
    <w:rsid w:val="00E21466"/>
    <w:rsid w:val="00E225F2"/>
    <w:rsid w:val="00E22A14"/>
    <w:rsid w:val="00E23CF1"/>
    <w:rsid w:val="00E24974"/>
    <w:rsid w:val="00E249B8"/>
    <w:rsid w:val="00E249ED"/>
    <w:rsid w:val="00E25646"/>
    <w:rsid w:val="00E25AE4"/>
    <w:rsid w:val="00E25DD0"/>
    <w:rsid w:val="00E25F2D"/>
    <w:rsid w:val="00E27E5B"/>
    <w:rsid w:val="00E31137"/>
    <w:rsid w:val="00E3242F"/>
    <w:rsid w:val="00E3381D"/>
    <w:rsid w:val="00E35F96"/>
    <w:rsid w:val="00E36D60"/>
    <w:rsid w:val="00E36EE2"/>
    <w:rsid w:val="00E425DA"/>
    <w:rsid w:val="00E425E4"/>
    <w:rsid w:val="00E45FD5"/>
    <w:rsid w:val="00E471BA"/>
    <w:rsid w:val="00E522F5"/>
    <w:rsid w:val="00E523EF"/>
    <w:rsid w:val="00E53C19"/>
    <w:rsid w:val="00E55044"/>
    <w:rsid w:val="00E550EC"/>
    <w:rsid w:val="00E55EB2"/>
    <w:rsid w:val="00E60028"/>
    <w:rsid w:val="00E60152"/>
    <w:rsid w:val="00E60769"/>
    <w:rsid w:val="00E60884"/>
    <w:rsid w:val="00E60BAF"/>
    <w:rsid w:val="00E61580"/>
    <w:rsid w:val="00E62A6B"/>
    <w:rsid w:val="00E62BA9"/>
    <w:rsid w:val="00E63434"/>
    <w:rsid w:val="00E63712"/>
    <w:rsid w:val="00E63A6A"/>
    <w:rsid w:val="00E63B9F"/>
    <w:rsid w:val="00E64403"/>
    <w:rsid w:val="00E653B6"/>
    <w:rsid w:val="00E65A5F"/>
    <w:rsid w:val="00E665F8"/>
    <w:rsid w:val="00E66EF5"/>
    <w:rsid w:val="00E6768C"/>
    <w:rsid w:val="00E67CEF"/>
    <w:rsid w:val="00E70287"/>
    <w:rsid w:val="00E70C94"/>
    <w:rsid w:val="00E71945"/>
    <w:rsid w:val="00E7202F"/>
    <w:rsid w:val="00E72353"/>
    <w:rsid w:val="00E7333F"/>
    <w:rsid w:val="00E7403D"/>
    <w:rsid w:val="00E75019"/>
    <w:rsid w:val="00E75A8A"/>
    <w:rsid w:val="00E76CA1"/>
    <w:rsid w:val="00E77455"/>
    <w:rsid w:val="00E80DB9"/>
    <w:rsid w:val="00E81AA8"/>
    <w:rsid w:val="00E82397"/>
    <w:rsid w:val="00E8295F"/>
    <w:rsid w:val="00E82E43"/>
    <w:rsid w:val="00E82EE4"/>
    <w:rsid w:val="00E8374F"/>
    <w:rsid w:val="00E83BC5"/>
    <w:rsid w:val="00E84622"/>
    <w:rsid w:val="00E84E02"/>
    <w:rsid w:val="00E857FE"/>
    <w:rsid w:val="00E879B3"/>
    <w:rsid w:val="00E87A5F"/>
    <w:rsid w:val="00E87E74"/>
    <w:rsid w:val="00E9015D"/>
    <w:rsid w:val="00E907E0"/>
    <w:rsid w:val="00E916DE"/>
    <w:rsid w:val="00E92094"/>
    <w:rsid w:val="00E9258A"/>
    <w:rsid w:val="00E930B7"/>
    <w:rsid w:val="00E93718"/>
    <w:rsid w:val="00E94801"/>
    <w:rsid w:val="00E9522D"/>
    <w:rsid w:val="00E95A1E"/>
    <w:rsid w:val="00E96AC0"/>
    <w:rsid w:val="00EA0033"/>
    <w:rsid w:val="00EA0F10"/>
    <w:rsid w:val="00EA2254"/>
    <w:rsid w:val="00EA3898"/>
    <w:rsid w:val="00EA47AB"/>
    <w:rsid w:val="00EA56E4"/>
    <w:rsid w:val="00EA582A"/>
    <w:rsid w:val="00EA6623"/>
    <w:rsid w:val="00EA6A76"/>
    <w:rsid w:val="00EA6C53"/>
    <w:rsid w:val="00EA7526"/>
    <w:rsid w:val="00EB0584"/>
    <w:rsid w:val="00EB0C3A"/>
    <w:rsid w:val="00EB0D1E"/>
    <w:rsid w:val="00EB1102"/>
    <w:rsid w:val="00EB1EC2"/>
    <w:rsid w:val="00EB2569"/>
    <w:rsid w:val="00EB281E"/>
    <w:rsid w:val="00EB2D1E"/>
    <w:rsid w:val="00EB4012"/>
    <w:rsid w:val="00EB54E5"/>
    <w:rsid w:val="00EB6400"/>
    <w:rsid w:val="00EB6C3B"/>
    <w:rsid w:val="00EB6D20"/>
    <w:rsid w:val="00EB709B"/>
    <w:rsid w:val="00EB7603"/>
    <w:rsid w:val="00EC046E"/>
    <w:rsid w:val="00EC083B"/>
    <w:rsid w:val="00EC0F9A"/>
    <w:rsid w:val="00EC101E"/>
    <w:rsid w:val="00EC149C"/>
    <w:rsid w:val="00EC197F"/>
    <w:rsid w:val="00EC198D"/>
    <w:rsid w:val="00EC1E7F"/>
    <w:rsid w:val="00EC2915"/>
    <w:rsid w:val="00EC4100"/>
    <w:rsid w:val="00EC4B51"/>
    <w:rsid w:val="00EC52A6"/>
    <w:rsid w:val="00ED1911"/>
    <w:rsid w:val="00ED194F"/>
    <w:rsid w:val="00ED1E8B"/>
    <w:rsid w:val="00ED27EB"/>
    <w:rsid w:val="00ED41D6"/>
    <w:rsid w:val="00ED4751"/>
    <w:rsid w:val="00ED551F"/>
    <w:rsid w:val="00ED60AC"/>
    <w:rsid w:val="00ED7079"/>
    <w:rsid w:val="00ED713D"/>
    <w:rsid w:val="00ED798A"/>
    <w:rsid w:val="00EE04CE"/>
    <w:rsid w:val="00EE0762"/>
    <w:rsid w:val="00EE0E52"/>
    <w:rsid w:val="00EE1BA5"/>
    <w:rsid w:val="00EE4719"/>
    <w:rsid w:val="00EE579C"/>
    <w:rsid w:val="00EE743C"/>
    <w:rsid w:val="00EE7CA1"/>
    <w:rsid w:val="00EF0944"/>
    <w:rsid w:val="00EF1825"/>
    <w:rsid w:val="00EF52CF"/>
    <w:rsid w:val="00EF5E71"/>
    <w:rsid w:val="00EF66C6"/>
    <w:rsid w:val="00EF6A6C"/>
    <w:rsid w:val="00EF71C9"/>
    <w:rsid w:val="00EF7825"/>
    <w:rsid w:val="00EF787F"/>
    <w:rsid w:val="00EF7B68"/>
    <w:rsid w:val="00F0147A"/>
    <w:rsid w:val="00F0171B"/>
    <w:rsid w:val="00F0184D"/>
    <w:rsid w:val="00F0228C"/>
    <w:rsid w:val="00F0231E"/>
    <w:rsid w:val="00F034CF"/>
    <w:rsid w:val="00F03ACC"/>
    <w:rsid w:val="00F0487D"/>
    <w:rsid w:val="00F04935"/>
    <w:rsid w:val="00F053B9"/>
    <w:rsid w:val="00F05CE5"/>
    <w:rsid w:val="00F06130"/>
    <w:rsid w:val="00F06BAE"/>
    <w:rsid w:val="00F1093E"/>
    <w:rsid w:val="00F11132"/>
    <w:rsid w:val="00F11BB9"/>
    <w:rsid w:val="00F121A9"/>
    <w:rsid w:val="00F1274E"/>
    <w:rsid w:val="00F13726"/>
    <w:rsid w:val="00F13D27"/>
    <w:rsid w:val="00F1414F"/>
    <w:rsid w:val="00F163AB"/>
    <w:rsid w:val="00F17B07"/>
    <w:rsid w:val="00F20B7D"/>
    <w:rsid w:val="00F20E70"/>
    <w:rsid w:val="00F20E75"/>
    <w:rsid w:val="00F21399"/>
    <w:rsid w:val="00F21627"/>
    <w:rsid w:val="00F21799"/>
    <w:rsid w:val="00F225B7"/>
    <w:rsid w:val="00F229A4"/>
    <w:rsid w:val="00F24DE8"/>
    <w:rsid w:val="00F25180"/>
    <w:rsid w:val="00F25796"/>
    <w:rsid w:val="00F25CF7"/>
    <w:rsid w:val="00F25F72"/>
    <w:rsid w:val="00F27874"/>
    <w:rsid w:val="00F27FA9"/>
    <w:rsid w:val="00F30A70"/>
    <w:rsid w:val="00F31013"/>
    <w:rsid w:val="00F31A22"/>
    <w:rsid w:val="00F32075"/>
    <w:rsid w:val="00F3239E"/>
    <w:rsid w:val="00F323DC"/>
    <w:rsid w:val="00F3272C"/>
    <w:rsid w:val="00F32B71"/>
    <w:rsid w:val="00F33531"/>
    <w:rsid w:val="00F339AB"/>
    <w:rsid w:val="00F33B08"/>
    <w:rsid w:val="00F35893"/>
    <w:rsid w:val="00F367AC"/>
    <w:rsid w:val="00F36AAD"/>
    <w:rsid w:val="00F372EE"/>
    <w:rsid w:val="00F37C94"/>
    <w:rsid w:val="00F40526"/>
    <w:rsid w:val="00F4190E"/>
    <w:rsid w:val="00F4206B"/>
    <w:rsid w:val="00F420A1"/>
    <w:rsid w:val="00F43461"/>
    <w:rsid w:val="00F444E3"/>
    <w:rsid w:val="00F4509B"/>
    <w:rsid w:val="00F45253"/>
    <w:rsid w:val="00F45913"/>
    <w:rsid w:val="00F45DBE"/>
    <w:rsid w:val="00F468D6"/>
    <w:rsid w:val="00F47587"/>
    <w:rsid w:val="00F51110"/>
    <w:rsid w:val="00F5172F"/>
    <w:rsid w:val="00F51B7D"/>
    <w:rsid w:val="00F52E1B"/>
    <w:rsid w:val="00F54775"/>
    <w:rsid w:val="00F56C9F"/>
    <w:rsid w:val="00F56D88"/>
    <w:rsid w:val="00F57799"/>
    <w:rsid w:val="00F5795D"/>
    <w:rsid w:val="00F57AB1"/>
    <w:rsid w:val="00F60380"/>
    <w:rsid w:val="00F60BD2"/>
    <w:rsid w:val="00F614AA"/>
    <w:rsid w:val="00F6182B"/>
    <w:rsid w:val="00F622D2"/>
    <w:rsid w:val="00F6362D"/>
    <w:rsid w:val="00F659F5"/>
    <w:rsid w:val="00F66D6C"/>
    <w:rsid w:val="00F67248"/>
    <w:rsid w:val="00F675BC"/>
    <w:rsid w:val="00F73FB9"/>
    <w:rsid w:val="00F7411C"/>
    <w:rsid w:val="00F7428F"/>
    <w:rsid w:val="00F74386"/>
    <w:rsid w:val="00F7494B"/>
    <w:rsid w:val="00F75E43"/>
    <w:rsid w:val="00F76649"/>
    <w:rsid w:val="00F76D9E"/>
    <w:rsid w:val="00F771A0"/>
    <w:rsid w:val="00F806E4"/>
    <w:rsid w:val="00F815AF"/>
    <w:rsid w:val="00F81690"/>
    <w:rsid w:val="00F817C8"/>
    <w:rsid w:val="00F82771"/>
    <w:rsid w:val="00F82DAE"/>
    <w:rsid w:val="00F8314A"/>
    <w:rsid w:val="00F83C53"/>
    <w:rsid w:val="00F846C0"/>
    <w:rsid w:val="00F85AE8"/>
    <w:rsid w:val="00F86129"/>
    <w:rsid w:val="00F869D4"/>
    <w:rsid w:val="00F87DBF"/>
    <w:rsid w:val="00F90746"/>
    <w:rsid w:val="00F90FFB"/>
    <w:rsid w:val="00F92210"/>
    <w:rsid w:val="00F9241F"/>
    <w:rsid w:val="00F93CC6"/>
    <w:rsid w:val="00F94BE7"/>
    <w:rsid w:val="00F95695"/>
    <w:rsid w:val="00F9598E"/>
    <w:rsid w:val="00F96FDA"/>
    <w:rsid w:val="00F97124"/>
    <w:rsid w:val="00FA06E8"/>
    <w:rsid w:val="00FA0D92"/>
    <w:rsid w:val="00FA0DC6"/>
    <w:rsid w:val="00FA0F8B"/>
    <w:rsid w:val="00FA1039"/>
    <w:rsid w:val="00FA208F"/>
    <w:rsid w:val="00FA2EB6"/>
    <w:rsid w:val="00FA3D3D"/>
    <w:rsid w:val="00FA54C2"/>
    <w:rsid w:val="00FA5F9C"/>
    <w:rsid w:val="00FA6650"/>
    <w:rsid w:val="00FA6878"/>
    <w:rsid w:val="00FA7755"/>
    <w:rsid w:val="00FA789F"/>
    <w:rsid w:val="00FB123B"/>
    <w:rsid w:val="00FB1DC2"/>
    <w:rsid w:val="00FB1F68"/>
    <w:rsid w:val="00FB3A70"/>
    <w:rsid w:val="00FB3D01"/>
    <w:rsid w:val="00FB4393"/>
    <w:rsid w:val="00FB487F"/>
    <w:rsid w:val="00FB4918"/>
    <w:rsid w:val="00FB5712"/>
    <w:rsid w:val="00FB5922"/>
    <w:rsid w:val="00FB5CF0"/>
    <w:rsid w:val="00FB679F"/>
    <w:rsid w:val="00FC088C"/>
    <w:rsid w:val="00FC1352"/>
    <w:rsid w:val="00FC1A2C"/>
    <w:rsid w:val="00FC27A1"/>
    <w:rsid w:val="00FC2987"/>
    <w:rsid w:val="00FC2CC3"/>
    <w:rsid w:val="00FC30AF"/>
    <w:rsid w:val="00FC3233"/>
    <w:rsid w:val="00FC465D"/>
    <w:rsid w:val="00FC62F4"/>
    <w:rsid w:val="00FC69CD"/>
    <w:rsid w:val="00FC724A"/>
    <w:rsid w:val="00FC73D9"/>
    <w:rsid w:val="00FD2D61"/>
    <w:rsid w:val="00FD3F85"/>
    <w:rsid w:val="00FD40FA"/>
    <w:rsid w:val="00FD46A5"/>
    <w:rsid w:val="00FD48D0"/>
    <w:rsid w:val="00FD600F"/>
    <w:rsid w:val="00FD74EF"/>
    <w:rsid w:val="00FD7584"/>
    <w:rsid w:val="00FE1B44"/>
    <w:rsid w:val="00FE3D02"/>
    <w:rsid w:val="00FE3E27"/>
    <w:rsid w:val="00FE4010"/>
    <w:rsid w:val="00FE4EE1"/>
    <w:rsid w:val="00FE56B4"/>
    <w:rsid w:val="00FE7392"/>
    <w:rsid w:val="00FE7495"/>
    <w:rsid w:val="00FE78B7"/>
    <w:rsid w:val="00FE794C"/>
    <w:rsid w:val="00FE7984"/>
    <w:rsid w:val="00FF00A0"/>
    <w:rsid w:val="00FF03BE"/>
    <w:rsid w:val="00FF13C4"/>
    <w:rsid w:val="00FF1445"/>
    <w:rsid w:val="00FF1945"/>
    <w:rsid w:val="00FF1B92"/>
    <w:rsid w:val="00FF22EA"/>
    <w:rsid w:val="00FF31AF"/>
    <w:rsid w:val="00FF4126"/>
    <w:rsid w:val="00FF4242"/>
    <w:rsid w:val="00FF4360"/>
    <w:rsid w:val="00FF48A1"/>
    <w:rsid w:val="00FF5C61"/>
    <w:rsid w:val="00FF6A86"/>
    <w:rsid w:val="00FF707C"/>
    <w:rsid w:val="00FF77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fillcolor="none [3215]" stroke="f">
      <v:fill color="none [3215]"/>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imes New Roman" w:hAnsi="Georgia" w:cs="Times New Roman"/>
        <w:lang w:val="en-AU" w:eastAsia="en-AU"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qFormat="1"/>
    <w:lsdException w:name="heading 8" w:locked="0" w:qFormat="1"/>
    <w:lsdException w:name="heading 9" w:locked="0" w:qFormat="1"/>
    <w:lsdException w:name="index 1" w:locked="0" w:semiHidden="1"/>
    <w:lsdException w:name="index 2" w:locked="0" w:semiHidden="1"/>
    <w:lsdException w:name="index 3" w:locked="0" w:semiHidden="1"/>
    <w:lsdException w:name="index 4" w:locked="0" w:semiHidden="1"/>
    <w:lsdException w:name="index 5" w:locked="0" w:semiHidden="1"/>
    <w:lsdException w:name="index 6" w:locked="0" w:semiHidden="1"/>
    <w:lsdException w:name="index 7" w:locked="0" w:semiHidden="1"/>
    <w:lsdException w:name="index 8" w:locked="0" w:semiHidden="1"/>
    <w:lsdException w:name="index 9" w:locked="0" w:semiHidden="1"/>
    <w:lsdException w:name="toc 1" w:locked="0" w:uiPriority="39"/>
    <w:lsdException w:name="toc 2" w:locked="0" w:uiPriority="39"/>
    <w:lsdException w:name="toc 3" w:locked="0" w:uiPriority="39"/>
    <w:lsdException w:name="toc 4" w:locked="0" w:uiPriority="39"/>
    <w:lsdException w:name="toc 5" w:locked="0"/>
    <w:lsdException w:name="toc 6" w:locked="0" w:uiPriority="39"/>
    <w:lsdException w:name="toc 7" w:locked="0" w:uiPriority="39"/>
    <w:lsdException w:name="toc 8" w:locked="0"/>
    <w:lsdException w:name="toc 9" w:locked="0" w:uiPriority="39"/>
    <w:lsdException w:name="Normal Indent" w:locked="0" w:semiHidden="1"/>
    <w:lsdException w:name="footnote text" w:locked="0" w:uiPriority="99"/>
    <w:lsdException w:name="annotation text" w:locked="0" w:semiHidden="1"/>
    <w:lsdException w:name="header" w:locked="0"/>
    <w:lsdException w:name="footer" w:locked="0"/>
    <w:lsdException w:name="index heading" w:locked="0" w:semiHidden="1"/>
    <w:lsdException w:name="caption" w:locked="0" w:qFormat="1"/>
    <w:lsdException w:name="table of figures" w:locked="0" w:semiHidden="1" w:unhideWhenUsed="1"/>
    <w:lsdException w:name="envelope address" w:semiHidden="1" w:unhideWhenUsed="1"/>
    <w:lsdException w:name="envelope return" w:semiHidden="1"/>
    <w:lsdException w:name="footnote reference" w:locked="0" w:uiPriority="99"/>
    <w:lsdException w:name="annotation reference" w:locked="0" w:semiHidden="1"/>
    <w:lsdException w:name="line number" w:locked="0" w:semiHidden="1"/>
    <w:lsdException w:name="page number" w:locked="0"/>
    <w:lsdException w:name="endnote reference" w:locked="0"/>
    <w:lsdException w:name="endnote text" w:locked="0"/>
    <w:lsdException w:name="table of authorities" w:locked="0" w:semiHidden="1" w:unhideWhenUsed="1"/>
    <w:lsdException w:name="macro" w:semiHidden="1" w:unhideWhenUsed="1"/>
    <w:lsdException w:name="toa heading" w:locked="0" w:semiHidden="1" w:unhideWhenUsed="1"/>
    <w:lsdException w:name="List" w:semiHidden="1"/>
    <w:lsdException w:name="List Bullet" w:semiHidden="1" w:qFormat="1"/>
    <w:lsdException w:name="List Number" w:semiHidden="1" w:uiPriority="13" w:qFormat="1"/>
    <w:lsdException w:name="List 2" w:semiHidden="1"/>
    <w:lsdException w:name="List 3" w:semiHidden="1"/>
    <w:lsdException w:name="List 4" w:semiHidden="1"/>
    <w:lsdException w:name="List 5" w:semiHidden="1"/>
    <w:lsdException w:name="List Bullet 2" w:qFormat="1"/>
    <w:lsdException w:name="List Bullet 3" w:qFormat="1"/>
    <w:lsdException w:name="List Bullet 5" w:semiHidden="1"/>
    <w:lsdException w:name="List Number 2" w:semiHidden="1" w:uiPriority="13" w:qFormat="1"/>
    <w:lsdException w:name="List Number 3" w:semiHidden="1" w:uiPriority="13" w:qFormat="1"/>
    <w:lsdException w:name="List Number 4" w:semiHidden="1" w:uiPriority="13"/>
    <w:lsdException w:name="List Number 5" w:semiHidden="1" w:uiPriority="13"/>
    <w:lsdException w:name="Title" w:locked="0" w:qFormat="1"/>
    <w:lsdException w:name="Closing" w:locked="0" w:semiHidden="1" w:unhideWhenUsed="1"/>
    <w:lsdException w:name="Signature" w:locked="0" w:semiHidden="1"/>
    <w:lsdException w:name="Default Paragraph Font" w:locked="0"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locked="0" w:semiHidden="1"/>
    <w:lsdException w:name="Subtitle" w:locked="0" w:semiHidden="1" w:qFormat="1"/>
    <w:lsdException w:name="Salutation" w:locked="0" w:semiHidden="1" w:unhideWhenUsed="1"/>
    <w:lsdException w:name="Date" w:locked="0"/>
    <w:lsdException w:name="Body Text First Indent" w:semiHidden="1"/>
    <w:lsdException w:name="Body Text First Indent 2" w:semiHidden="1"/>
    <w:lsdException w:name="Note Heading" w:locked="0" w:semiHidden="1" w:unhideWhenUsed="1"/>
    <w:lsdException w:name="Body Text 2" w:semiHidden="1"/>
    <w:lsdException w:name="Body Text 3" w:semiHidden="1"/>
    <w:lsdException w:name="Body Text Indent 2" w:semiHidden="1"/>
    <w:lsdException w:name="Body Text Indent 3" w:semiHidden="1"/>
    <w:lsdException w:name="Block Text" w:locked="0" w:semiHidden="1" w:qFormat="1"/>
    <w:lsdException w:name="Hyperlink" w:locked="0" w:semiHidden="1" w:uiPriority="99"/>
    <w:lsdException w:name="FollowedHyperlink" w:locked="0" w:semiHidden="1"/>
    <w:lsdException w:name="Strong" w:locked="0" w:semiHidden="1" w:qFormat="1"/>
    <w:lsdException w:name="Emphasis" w:semiHidden="1" w:qFormat="1"/>
    <w:lsdException w:name="Document Map" w:locked="0" w:semiHidden="1"/>
    <w:lsdException w:name="Plain Text" w:locked="0" w:semiHidden="1"/>
    <w:lsdException w:name="E-mail Signature" w:semiHidden="1"/>
    <w:lsdException w:name="HTML Top of Form" w:locked="0"/>
    <w:lsdException w:name="HTML Bottom of Form" w:locked="0"/>
    <w:lsdException w:name="Normal (Web)" w:locked="0"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locked="0"/>
    <w:lsdException w:name="annotation subject" w:locked="0" w:semiHidden="1"/>
    <w:lsdException w:name="No List" w:locked="0" w:uiPriority="99"/>
    <w:lsdException w:name="Outline List 1" w:locked="0"/>
    <w:lsdException w:name="Outline List 2" w:locked="0"/>
    <w:lsdException w:name="Outline List 3" w:locked="0"/>
    <w:lsdException w:name="Table Theme" w:locked="0"/>
    <w:lsdException w:name="Placeholder Text" w:locked="0" w:semiHidden="1" w:uiPriority="99"/>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semiHidden="1" w:uiPriority="34" w:qFormat="1"/>
    <w:lsdException w:name="Quote" w:locked="0"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locked="0" w:semiHidden="1" w:uiPriority="39" w:unhideWhenUsed="1" w:qFormat="1"/>
  </w:latentStyles>
  <w:style w:type="paragraph" w:default="1" w:styleId="Normal">
    <w:name w:val="Normal"/>
    <w:next w:val="PwCNormal"/>
    <w:qFormat/>
    <w:rsid w:val="00894E32"/>
    <w:pPr>
      <w:kinsoku w:val="0"/>
      <w:overflowPunct w:val="0"/>
      <w:autoSpaceDE w:val="0"/>
      <w:autoSpaceDN w:val="0"/>
      <w:adjustRightInd w:val="0"/>
      <w:snapToGrid w:val="0"/>
    </w:pPr>
    <w:rPr>
      <w:rFonts w:cs="Arial"/>
      <w:snapToGrid w:val="0"/>
      <w:lang w:eastAsia="en-US"/>
    </w:rPr>
  </w:style>
  <w:style w:type="paragraph" w:styleId="Heading1">
    <w:name w:val="heading 1"/>
    <w:aliases w:val="Chapter Heading (Long)"/>
    <w:basedOn w:val="Normal"/>
    <w:next w:val="PwCNormal"/>
    <w:qFormat/>
    <w:rsid w:val="00894E32"/>
    <w:pPr>
      <w:spacing w:line="720" w:lineRule="atLeast"/>
      <w:outlineLvl w:val="0"/>
    </w:pPr>
    <w:rPr>
      <w:rFonts w:asciiTheme="majorHAnsi" w:hAnsiTheme="majorHAnsi"/>
      <w:b/>
      <w:bCs/>
      <w:i/>
      <w:sz w:val="56"/>
      <w:szCs w:val="72"/>
    </w:rPr>
  </w:style>
  <w:style w:type="paragraph" w:styleId="Heading2">
    <w:name w:val="heading 2"/>
    <w:aliases w:val="Chapter Heading (Short)"/>
    <w:basedOn w:val="Normal"/>
    <w:next w:val="PwCNormal"/>
    <w:qFormat/>
    <w:rsid w:val="00894E32"/>
    <w:pPr>
      <w:keepNext/>
      <w:keepLines/>
      <w:pageBreakBefore/>
      <w:numPr>
        <w:ilvl w:val="1"/>
        <w:numId w:val="9"/>
      </w:numPr>
      <w:spacing w:after="480" w:line="600" w:lineRule="atLeast"/>
      <w:outlineLvl w:val="1"/>
    </w:pPr>
    <w:rPr>
      <w:rFonts w:asciiTheme="majorHAnsi" w:hAnsiTheme="majorHAnsi"/>
      <w:b/>
      <w:bCs/>
      <w:i/>
      <w:iCs/>
      <w:color w:val="000000" w:themeColor="text1"/>
      <w:sz w:val="56"/>
      <w:szCs w:val="36"/>
    </w:rPr>
  </w:style>
  <w:style w:type="paragraph" w:styleId="Heading3">
    <w:name w:val="heading 3"/>
    <w:aliases w:val="Appendix Heading (Long)"/>
    <w:basedOn w:val="Heading1"/>
    <w:next w:val="PwCNormal"/>
    <w:qFormat/>
    <w:rsid w:val="00894E32"/>
    <w:pPr>
      <w:outlineLvl w:val="2"/>
    </w:pPr>
    <w:rPr>
      <w:bCs w:val="0"/>
    </w:rPr>
  </w:style>
  <w:style w:type="paragraph" w:styleId="Heading4">
    <w:name w:val="heading 4"/>
    <w:aliases w:val="Appendix Heading (Short)"/>
    <w:basedOn w:val="Heading2"/>
    <w:next w:val="PwCNormal"/>
    <w:qFormat/>
    <w:rsid w:val="00894E32"/>
    <w:pPr>
      <w:pageBreakBefore w:val="0"/>
      <w:numPr>
        <w:ilvl w:val="4"/>
      </w:numPr>
      <w:outlineLvl w:val="3"/>
    </w:pPr>
    <w:rPr>
      <w:bCs w:val="0"/>
    </w:rPr>
  </w:style>
  <w:style w:type="paragraph" w:styleId="Heading5">
    <w:name w:val="heading 5"/>
    <w:basedOn w:val="Heading2"/>
    <w:next w:val="PwCNormal"/>
    <w:qFormat/>
    <w:rsid w:val="00894E32"/>
    <w:pPr>
      <w:pageBreakBefore w:val="0"/>
      <w:numPr>
        <w:ilvl w:val="0"/>
        <w:numId w:val="0"/>
      </w:numPr>
      <w:spacing w:before="360" w:line="240" w:lineRule="auto"/>
      <w:outlineLvl w:val="4"/>
    </w:pPr>
    <w:rPr>
      <w:bCs w:val="0"/>
      <w:iCs w:val="0"/>
      <w:sz w:val="32"/>
      <w:szCs w:val="32"/>
    </w:rPr>
  </w:style>
  <w:style w:type="paragraph" w:styleId="Heading6">
    <w:name w:val="heading 6"/>
    <w:basedOn w:val="Heading2"/>
    <w:next w:val="PwCNormal"/>
    <w:qFormat/>
    <w:rsid w:val="00894E32"/>
    <w:pPr>
      <w:pageBreakBefore w:val="0"/>
      <w:numPr>
        <w:ilvl w:val="2"/>
      </w:numPr>
      <w:spacing w:before="240" w:after="120" w:line="240" w:lineRule="auto"/>
      <w:outlineLvl w:val="5"/>
    </w:pPr>
    <w:rPr>
      <w:bCs w:val="0"/>
      <w:color w:val="A32020" w:themeColor="text2"/>
      <w:sz w:val="32"/>
    </w:rPr>
  </w:style>
  <w:style w:type="paragraph" w:styleId="Heading7">
    <w:name w:val="heading 7"/>
    <w:basedOn w:val="Heading6"/>
    <w:next w:val="PwCNormal"/>
    <w:qFormat/>
    <w:rsid w:val="00894E32"/>
    <w:pPr>
      <w:numPr>
        <w:ilvl w:val="3"/>
      </w:numPr>
      <w:outlineLvl w:val="6"/>
    </w:pPr>
    <w:rPr>
      <w:b w:val="0"/>
      <w:sz w:val="28"/>
      <w:szCs w:val="28"/>
    </w:rPr>
  </w:style>
  <w:style w:type="paragraph" w:styleId="Heading8">
    <w:name w:val="heading 8"/>
    <w:basedOn w:val="Majorheading"/>
    <w:next w:val="PwCNormal"/>
    <w:qFormat/>
    <w:rsid w:val="00894E32"/>
    <w:pPr>
      <w:numPr>
        <w:ilvl w:val="6"/>
        <w:numId w:val="9"/>
      </w:numPr>
      <w:spacing w:after="120"/>
      <w:outlineLvl w:val="7"/>
    </w:pPr>
    <w:rPr>
      <w:sz w:val="32"/>
      <w:szCs w:val="21"/>
    </w:rPr>
  </w:style>
  <w:style w:type="paragraph" w:styleId="Heading9">
    <w:name w:val="heading 9"/>
    <w:basedOn w:val="Heading8"/>
    <w:next w:val="PwCNormal"/>
    <w:qFormat/>
    <w:rsid w:val="00894E32"/>
    <w:pPr>
      <w:numPr>
        <w:ilvl w:val="0"/>
        <w:numId w:val="0"/>
      </w:numPr>
      <w:outlineLvl w:val="8"/>
    </w:pPr>
    <w:rPr>
      <w:b w:val="0"/>
      <w:i w:val="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94E32"/>
    <w:pPr>
      <w:tabs>
        <w:tab w:val="right" w:pos="8220"/>
      </w:tabs>
    </w:pPr>
    <w:rPr>
      <w:rFonts w:ascii="Arial" w:hAnsi="Arial"/>
      <w:color w:val="000000" w:themeColor="text1"/>
      <w:sz w:val="19"/>
      <w:szCs w:val="18"/>
    </w:rPr>
  </w:style>
  <w:style w:type="paragraph" w:styleId="Footer">
    <w:name w:val="footer"/>
    <w:basedOn w:val="Normal"/>
    <w:link w:val="FooterChar"/>
    <w:rsid w:val="00894E32"/>
    <w:pPr>
      <w:tabs>
        <w:tab w:val="right" w:pos="8220"/>
      </w:tabs>
      <w:spacing w:line="0" w:lineRule="atLeast"/>
    </w:pPr>
    <w:rPr>
      <w:rFonts w:ascii="Arial" w:hAnsi="Arial"/>
      <w:color w:val="000000" w:themeColor="text1"/>
      <w:sz w:val="19"/>
      <w:szCs w:val="18"/>
    </w:rPr>
  </w:style>
  <w:style w:type="paragraph" w:customStyle="1" w:styleId="TOCtitle">
    <w:name w:val="TOC title"/>
    <w:basedOn w:val="Heading2"/>
    <w:next w:val="PwCNormal"/>
    <w:unhideWhenUsed/>
    <w:rsid w:val="00894E32"/>
    <w:pPr>
      <w:numPr>
        <w:ilvl w:val="0"/>
        <w:numId w:val="0"/>
      </w:numPr>
      <w:spacing w:after="600"/>
    </w:pPr>
    <w:rPr>
      <w:color w:val="auto"/>
    </w:rPr>
  </w:style>
  <w:style w:type="paragraph" w:customStyle="1" w:styleId="Covertitle">
    <w:name w:val="Cover title"/>
    <w:basedOn w:val="KeySentenceInside"/>
    <w:next w:val="Coversubtitle"/>
    <w:rsid w:val="00894E32"/>
    <w:pPr>
      <w:framePr w:w="2154" w:wrap="notBeside" w:vAnchor="page" w:hAnchor="page" w:x="928" w:y="8427"/>
      <w:spacing w:before="200"/>
      <w:ind w:left="113"/>
    </w:pPr>
    <w:rPr>
      <w:rFonts w:asciiTheme="majorHAnsi" w:hAnsiTheme="majorHAnsi"/>
      <w:color w:val="auto"/>
      <w:sz w:val="19"/>
      <w:lang w:val="en-GB"/>
    </w:rPr>
  </w:style>
  <w:style w:type="paragraph" w:customStyle="1" w:styleId="Coversubtitle">
    <w:name w:val="Cover subtitle"/>
    <w:basedOn w:val="Covertitle"/>
    <w:rsid w:val="00894E32"/>
    <w:pPr>
      <w:framePr w:wrap="notBeside"/>
      <w:spacing w:before="180"/>
    </w:pPr>
    <w:rPr>
      <w:bCs/>
      <w:szCs w:val="64"/>
    </w:rPr>
  </w:style>
  <w:style w:type="paragraph" w:customStyle="1" w:styleId="AppendixNumberLong">
    <w:name w:val="Appendix Number (Long)"/>
    <w:basedOn w:val="Heading3"/>
    <w:next w:val="Heading3"/>
    <w:rsid w:val="00894E32"/>
    <w:pPr>
      <w:keepNext/>
      <w:keepLines/>
      <w:pageBreakBefore/>
      <w:numPr>
        <w:ilvl w:val="5"/>
        <w:numId w:val="9"/>
      </w:numPr>
    </w:pPr>
    <w:rPr>
      <w:color w:val="000000" w:themeColor="text1"/>
    </w:rPr>
  </w:style>
  <w:style w:type="paragraph" w:customStyle="1" w:styleId="ChapterNumberLong">
    <w:name w:val="Chapter Number (Long)"/>
    <w:basedOn w:val="Heading1"/>
    <w:next w:val="Heading1"/>
    <w:rsid w:val="00894E32"/>
    <w:pPr>
      <w:pageBreakBefore/>
      <w:numPr>
        <w:numId w:val="9"/>
      </w:numPr>
    </w:pPr>
  </w:style>
  <w:style w:type="paragraph" w:customStyle="1" w:styleId="Footer-Even">
    <w:name w:val="Footer - Even"/>
    <w:basedOn w:val="Footer"/>
    <w:rsid w:val="00894E32"/>
  </w:style>
  <w:style w:type="paragraph" w:customStyle="1" w:styleId="URL">
    <w:name w:val="URL"/>
    <w:basedOn w:val="PwCNormal"/>
    <w:next w:val="PwCNormal"/>
    <w:rsid w:val="00894E32"/>
    <w:pPr>
      <w:framePr w:wrap="around" w:vAnchor="page" w:hAnchor="page" w:x="1022" w:y="568"/>
      <w:numPr>
        <w:numId w:val="0"/>
      </w:numPr>
      <w:spacing w:after="0"/>
    </w:pPr>
    <w:rPr>
      <w:rFonts w:eastAsia="+mn-ea"/>
      <w:snapToGrid/>
      <w:color w:val="FFFFFF"/>
      <w:sz w:val="36"/>
    </w:rPr>
  </w:style>
  <w:style w:type="paragraph" w:customStyle="1" w:styleId="Indent1">
    <w:name w:val="Indent 1"/>
    <w:basedOn w:val="Normal"/>
    <w:rsid w:val="00894E32"/>
    <w:pPr>
      <w:numPr>
        <w:ilvl w:val="1"/>
        <w:numId w:val="26"/>
      </w:numPr>
      <w:spacing w:before="100" w:after="100"/>
    </w:pPr>
    <w:rPr>
      <w:rFonts w:cs="Times New Roman"/>
    </w:rPr>
  </w:style>
  <w:style w:type="paragraph" w:customStyle="1" w:styleId="Indent2">
    <w:name w:val="Indent 2"/>
    <w:basedOn w:val="Indent1"/>
    <w:rsid w:val="00894E32"/>
    <w:pPr>
      <w:numPr>
        <w:ilvl w:val="2"/>
      </w:numPr>
    </w:pPr>
  </w:style>
  <w:style w:type="paragraph" w:customStyle="1" w:styleId="Indent3">
    <w:name w:val="Indent 3"/>
    <w:basedOn w:val="Indent2"/>
    <w:rsid w:val="00894E32"/>
    <w:pPr>
      <w:numPr>
        <w:ilvl w:val="3"/>
      </w:numPr>
    </w:pPr>
  </w:style>
  <w:style w:type="paragraph" w:customStyle="1" w:styleId="Indent5">
    <w:name w:val="Indent 5"/>
    <w:basedOn w:val="Indent4"/>
    <w:rsid w:val="00894E32"/>
    <w:pPr>
      <w:numPr>
        <w:ilvl w:val="5"/>
      </w:numPr>
    </w:pPr>
  </w:style>
  <w:style w:type="paragraph" w:customStyle="1" w:styleId="Indent6">
    <w:name w:val="Indent 6"/>
    <w:basedOn w:val="Indent5"/>
    <w:rsid w:val="00894E32"/>
    <w:pPr>
      <w:numPr>
        <w:ilvl w:val="6"/>
      </w:numPr>
    </w:pPr>
  </w:style>
  <w:style w:type="paragraph" w:customStyle="1" w:styleId="Indent7">
    <w:name w:val="Indent 7"/>
    <w:basedOn w:val="Indent6"/>
    <w:rsid w:val="00894E32"/>
    <w:pPr>
      <w:numPr>
        <w:ilvl w:val="7"/>
      </w:numPr>
    </w:pPr>
  </w:style>
  <w:style w:type="numbering" w:customStyle="1" w:styleId="Indents">
    <w:name w:val="Indents"/>
    <w:rsid w:val="00894E32"/>
    <w:pPr>
      <w:numPr>
        <w:numId w:val="10"/>
      </w:numPr>
    </w:pPr>
  </w:style>
  <w:style w:type="paragraph" w:customStyle="1" w:styleId="Copyright">
    <w:name w:val="Copyright"/>
    <w:basedOn w:val="Normal"/>
    <w:rsid w:val="00894E32"/>
    <w:pPr>
      <w:framePr w:w="7938" w:wrap="around" w:vAnchor="page" w:hAnchor="page" w:x="1022" w:y="15196"/>
      <w:spacing w:before="150" w:after="150" w:line="150" w:lineRule="atLeast"/>
      <w:ind w:right="816"/>
    </w:pPr>
    <w:rPr>
      <w:rFonts w:ascii="Arial" w:hAnsi="Arial"/>
      <w:color w:val="FFFFFF"/>
      <w:sz w:val="16"/>
      <w:lang w:val="en-US"/>
    </w:rPr>
  </w:style>
  <w:style w:type="paragraph" w:customStyle="1" w:styleId="Header-Even">
    <w:name w:val="Header - Even"/>
    <w:basedOn w:val="Header"/>
    <w:rsid w:val="00894E32"/>
  </w:style>
  <w:style w:type="paragraph" w:customStyle="1" w:styleId="PleaseNote">
    <w:name w:val="Please Note"/>
    <w:basedOn w:val="PrefaceTitle"/>
    <w:next w:val="PwCNormal"/>
    <w:rsid w:val="008D4477"/>
    <w:rPr>
      <w:iCs w:val="0"/>
    </w:rPr>
  </w:style>
  <w:style w:type="paragraph" w:customStyle="1" w:styleId="Indent4">
    <w:name w:val="Indent 4"/>
    <w:basedOn w:val="Indent3"/>
    <w:rsid w:val="00894E32"/>
    <w:pPr>
      <w:numPr>
        <w:ilvl w:val="4"/>
      </w:numPr>
    </w:pPr>
  </w:style>
  <w:style w:type="paragraph" w:styleId="TOC2">
    <w:name w:val="toc 2"/>
    <w:basedOn w:val="TOC1"/>
    <w:next w:val="PwCNormal"/>
    <w:uiPriority w:val="39"/>
    <w:rsid w:val="00894E32"/>
    <w:pPr>
      <w:numPr>
        <w:numId w:val="0"/>
      </w:numPr>
      <w:tabs>
        <w:tab w:val="left" w:pos="567"/>
      </w:tabs>
      <w:ind w:left="567" w:hanging="567"/>
    </w:pPr>
  </w:style>
  <w:style w:type="paragraph" w:styleId="TOC4">
    <w:name w:val="toc 4"/>
    <w:basedOn w:val="TOC2"/>
    <w:next w:val="PwCNormal"/>
    <w:uiPriority w:val="39"/>
    <w:rsid w:val="00894E32"/>
    <w:pPr>
      <w:tabs>
        <w:tab w:val="clear" w:pos="567"/>
        <w:tab w:val="left" w:pos="1134"/>
      </w:tabs>
      <w:ind w:left="1134" w:hanging="1134"/>
    </w:pPr>
  </w:style>
  <w:style w:type="paragraph" w:styleId="TOC7">
    <w:name w:val="toc 7"/>
    <w:basedOn w:val="TOC6"/>
    <w:next w:val="PwCNormal"/>
    <w:uiPriority w:val="39"/>
    <w:rsid w:val="00894E32"/>
    <w:pPr>
      <w:tabs>
        <w:tab w:val="clear" w:pos="1134"/>
        <w:tab w:val="left" w:pos="1985"/>
      </w:tabs>
      <w:ind w:left="1985" w:hanging="851"/>
    </w:pPr>
  </w:style>
  <w:style w:type="paragraph" w:customStyle="1" w:styleId="KeySentenceInside">
    <w:name w:val="Key Sentence Inside"/>
    <w:basedOn w:val="KeySentence"/>
    <w:rsid w:val="00894E32"/>
    <w:pPr>
      <w:framePr w:w="2296" w:wrap="notBeside" w:vAnchor="text" w:hAnchor="margin" w:x="-2521" w:y="1" w:anchorLock="1"/>
    </w:pPr>
  </w:style>
  <w:style w:type="paragraph" w:customStyle="1" w:styleId="ChapterNumberedList1">
    <w:name w:val="Chapter Numbered List 1"/>
    <w:basedOn w:val="PwCNormal"/>
    <w:rsid w:val="00894E32"/>
    <w:pPr>
      <w:numPr>
        <w:ilvl w:val="7"/>
        <w:numId w:val="9"/>
      </w:numPr>
    </w:pPr>
  </w:style>
  <w:style w:type="paragraph" w:customStyle="1" w:styleId="ChapterNumberedList2">
    <w:name w:val="Chapter Numbered List 2"/>
    <w:basedOn w:val="ChapterNumberedList1"/>
    <w:rsid w:val="00894E32"/>
    <w:pPr>
      <w:numPr>
        <w:ilvl w:val="8"/>
      </w:numPr>
    </w:pPr>
  </w:style>
  <w:style w:type="paragraph" w:styleId="TOC6">
    <w:name w:val="toc 6"/>
    <w:basedOn w:val="TOC2"/>
    <w:next w:val="PwCNormal"/>
    <w:uiPriority w:val="39"/>
    <w:rsid w:val="00894E32"/>
    <w:pPr>
      <w:tabs>
        <w:tab w:val="clear" w:pos="567"/>
        <w:tab w:val="left" w:pos="1134"/>
      </w:tabs>
      <w:ind w:left="1134"/>
    </w:pPr>
  </w:style>
  <w:style w:type="paragraph" w:customStyle="1" w:styleId="PwCNormal">
    <w:name w:val="PwC Normal"/>
    <w:aliases w:val="n,majNormal,note(text),cv teC Normal,note(text) + +Headings (Georgia),9 pt,Before:  3 pt,After:  3..."/>
    <w:basedOn w:val="Normal"/>
    <w:link w:val="PwCNormalChar"/>
    <w:qFormat/>
    <w:rsid w:val="00894E32"/>
    <w:pPr>
      <w:numPr>
        <w:numId w:val="26"/>
      </w:numPr>
      <w:spacing w:before="120" w:after="120"/>
    </w:pPr>
  </w:style>
  <w:style w:type="paragraph" w:customStyle="1" w:styleId="CoverDate">
    <w:name w:val="Cover Date"/>
    <w:basedOn w:val="Coversubtitle"/>
    <w:rsid w:val="00894E32"/>
    <w:pPr>
      <w:framePr w:wrap="notBeside"/>
    </w:pPr>
  </w:style>
  <w:style w:type="paragraph" w:customStyle="1" w:styleId="KeySentenceOutside">
    <w:name w:val="Key Sentence Outside"/>
    <w:basedOn w:val="KeySentence"/>
    <w:rsid w:val="00894E32"/>
    <w:pPr>
      <w:framePr w:w="2410" w:wrap="around" w:vAnchor="text" w:hAnchor="margin" w:x="7909" w:y="1" w:anchorLock="1"/>
    </w:pPr>
  </w:style>
  <w:style w:type="character" w:customStyle="1" w:styleId="PwCNormalChar">
    <w:name w:val="PwC Normal Char"/>
    <w:aliases w:val="n Char Char,n Char,majNormal Char,note(text) Char,cv teC Normal Char,note(text) + +Headings (Georgia) Char,9 pt Char,Before:  3 pt Char,After:  3... Char"/>
    <w:basedOn w:val="DefaultParagraphFont"/>
    <w:link w:val="PwCNormal"/>
    <w:rsid w:val="00894E32"/>
    <w:rPr>
      <w:rFonts w:cs="Arial"/>
      <w:snapToGrid w:val="0"/>
      <w:lang w:eastAsia="en-US"/>
    </w:rPr>
  </w:style>
  <w:style w:type="paragraph" w:styleId="TOC1">
    <w:name w:val="toc 1"/>
    <w:basedOn w:val="Normal"/>
    <w:next w:val="PwCNormal"/>
    <w:uiPriority w:val="39"/>
    <w:rsid w:val="00894E32"/>
    <w:pPr>
      <w:numPr>
        <w:numId w:val="25"/>
      </w:numPr>
      <w:tabs>
        <w:tab w:val="right" w:pos="8220"/>
      </w:tabs>
      <w:spacing w:before="240" w:after="240" w:line="240" w:lineRule="atLeast"/>
      <w:ind w:right="851"/>
    </w:pPr>
  </w:style>
  <w:style w:type="paragraph" w:customStyle="1" w:styleId="CREATISID">
    <w:name w:val="CREATISID"/>
    <w:basedOn w:val="PwCNormal"/>
    <w:unhideWhenUsed/>
    <w:rsid w:val="008D4477"/>
    <w:pPr>
      <w:framePr w:w="227" w:h="539" w:wrap="notBeside" w:vAnchor="page" w:hAnchor="page" w:x="511" w:y="15594"/>
      <w:numPr>
        <w:numId w:val="0"/>
      </w:numPr>
      <w:spacing w:after="0"/>
      <w:textDirection w:val="btLr"/>
    </w:pPr>
    <w:rPr>
      <w:rFonts w:eastAsia="MS Mincho"/>
      <w:sz w:val="10"/>
      <w:szCs w:val="12"/>
      <w:lang w:eastAsia="ja-JP"/>
    </w:rPr>
  </w:style>
  <w:style w:type="numbering" w:customStyle="1" w:styleId="BulletList">
    <w:name w:val="Bullet List"/>
    <w:rsid w:val="00894E32"/>
    <w:pPr>
      <w:numPr>
        <w:numId w:val="4"/>
      </w:numPr>
    </w:pPr>
  </w:style>
  <w:style w:type="paragraph" w:customStyle="1" w:styleId="Footer-Landscape">
    <w:name w:val="Footer - Landscape"/>
    <w:basedOn w:val="Footer"/>
    <w:rsid w:val="00894E32"/>
    <w:pPr>
      <w:tabs>
        <w:tab w:val="clear" w:pos="8220"/>
        <w:tab w:val="right" w:pos="14797"/>
      </w:tabs>
    </w:pPr>
  </w:style>
  <w:style w:type="paragraph" w:customStyle="1" w:styleId="TableBullet1Normal">
    <w:name w:val="Table Bullet 1 Normal"/>
    <w:basedOn w:val="TableTextNormal"/>
    <w:rsid w:val="00894E32"/>
    <w:pPr>
      <w:numPr>
        <w:numId w:val="17"/>
      </w:numPr>
      <w:spacing w:before="40" w:after="40"/>
    </w:pPr>
  </w:style>
  <w:style w:type="paragraph" w:customStyle="1" w:styleId="TableTextNormal">
    <w:name w:val="Table Text Normal"/>
    <w:basedOn w:val="Normal"/>
    <w:rsid w:val="00894E32"/>
    <w:pPr>
      <w:spacing w:before="80" w:after="80"/>
    </w:pPr>
  </w:style>
  <w:style w:type="paragraph" w:customStyle="1" w:styleId="TableBullet1Small">
    <w:name w:val="Table Bullet 1 Small"/>
    <w:basedOn w:val="TableTextSmall"/>
    <w:rsid w:val="00894E32"/>
    <w:pPr>
      <w:numPr>
        <w:numId w:val="18"/>
      </w:numPr>
      <w:spacing w:before="20" w:after="20"/>
    </w:pPr>
  </w:style>
  <w:style w:type="paragraph" w:customStyle="1" w:styleId="TableTextSmall">
    <w:name w:val="Table Text Small"/>
    <w:basedOn w:val="Normal"/>
    <w:rsid w:val="00894E32"/>
    <w:pPr>
      <w:spacing w:before="40" w:after="40"/>
    </w:pPr>
    <w:rPr>
      <w:rFonts w:ascii="Arial" w:hAnsi="Arial"/>
      <w:sz w:val="16"/>
      <w:szCs w:val="18"/>
    </w:rPr>
  </w:style>
  <w:style w:type="paragraph" w:customStyle="1" w:styleId="TableBullet3Normal">
    <w:name w:val="Table Bullet 3 Normal"/>
    <w:basedOn w:val="TableBullet2Normal"/>
    <w:rsid w:val="00894E32"/>
    <w:pPr>
      <w:numPr>
        <w:ilvl w:val="2"/>
      </w:numPr>
    </w:pPr>
  </w:style>
  <w:style w:type="paragraph" w:customStyle="1" w:styleId="TableBullet3Small">
    <w:name w:val="Table Bullet 3 Small"/>
    <w:basedOn w:val="TableBullet2Small"/>
    <w:rsid w:val="00894E32"/>
    <w:pPr>
      <w:numPr>
        <w:ilvl w:val="2"/>
      </w:numPr>
    </w:pPr>
    <w:rPr>
      <w:szCs w:val="16"/>
    </w:rPr>
  </w:style>
  <w:style w:type="paragraph" w:customStyle="1" w:styleId="BlockText2">
    <w:name w:val="Block Text 2"/>
    <w:basedOn w:val="Normal"/>
    <w:qFormat/>
    <w:rsid w:val="00894E32"/>
    <w:pPr>
      <w:pBdr>
        <w:top w:val="single" w:sz="2" w:space="10" w:color="A32020" w:themeColor="text2"/>
        <w:left w:val="single" w:sz="2" w:space="10" w:color="A32020" w:themeColor="text2"/>
        <w:bottom w:val="single" w:sz="2" w:space="10" w:color="A32020" w:themeColor="text2"/>
        <w:right w:val="single" w:sz="2" w:space="10" w:color="A32020" w:themeColor="text2"/>
      </w:pBdr>
      <w:shd w:val="clear" w:color="auto" w:fill="A32020" w:themeFill="text2"/>
      <w:kinsoku/>
      <w:overflowPunct/>
      <w:autoSpaceDE/>
      <w:autoSpaceDN/>
      <w:adjustRightInd/>
      <w:snapToGrid/>
      <w:spacing w:after="240"/>
      <w:ind w:left="227" w:right="227"/>
    </w:pPr>
    <w:rPr>
      <w:rFonts w:eastAsiaTheme="minorHAnsi" w:cstheme="minorBidi"/>
      <w:i/>
      <w:snapToGrid/>
      <w:color w:val="FFFFFF" w:themeColor="background2"/>
      <w:sz w:val="48"/>
      <w:szCs w:val="48"/>
      <w:lang w:val="en-GB"/>
    </w:rPr>
  </w:style>
  <w:style w:type="paragraph" w:customStyle="1" w:styleId="Appendix">
    <w:name w:val="Appendix"/>
    <w:basedOn w:val="Heading1"/>
    <w:next w:val="Normal"/>
    <w:uiPriority w:val="99"/>
    <w:qFormat/>
    <w:rsid w:val="00894E32"/>
    <w:pPr>
      <w:keepNext/>
      <w:keepLines/>
      <w:numPr>
        <w:numId w:val="14"/>
      </w:numPr>
      <w:kinsoku/>
      <w:overflowPunct/>
      <w:autoSpaceDE/>
      <w:autoSpaceDN/>
      <w:adjustRightInd/>
      <w:snapToGrid/>
      <w:spacing w:after="480" w:line="600" w:lineRule="atLeast"/>
    </w:pPr>
    <w:rPr>
      <w:rFonts w:eastAsiaTheme="majorEastAsia" w:cstheme="majorBidi"/>
      <w:snapToGrid/>
      <w:szCs w:val="28"/>
      <w:lang w:val="en-GB"/>
    </w:rPr>
  </w:style>
  <w:style w:type="numbering" w:customStyle="1" w:styleId="PwCAppendixList1">
    <w:name w:val="PwC Appendix List 1"/>
    <w:uiPriority w:val="99"/>
    <w:rsid w:val="00894E32"/>
    <w:pPr>
      <w:numPr>
        <w:numId w:val="14"/>
      </w:numPr>
    </w:pPr>
  </w:style>
  <w:style w:type="paragraph" w:styleId="Caption">
    <w:name w:val="caption"/>
    <w:aliases w:val="Text Caption"/>
    <w:basedOn w:val="Normal"/>
    <w:next w:val="Normal"/>
    <w:unhideWhenUsed/>
    <w:qFormat/>
    <w:rsid w:val="00894E32"/>
    <w:pPr>
      <w:keepNext/>
      <w:keepLines/>
      <w:tabs>
        <w:tab w:val="left" w:pos="992"/>
      </w:tabs>
      <w:spacing w:before="240" w:after="120"/>
      <w:ind w:left="992" w:hanging="992"/>
    </w:pPr>
    <w:rPr>
      <w:rFonts w:asciiTheme="majorHAnsi" w:hAnsiTheme="majorHAnsi"/>
      <w:b/>
      <w:bCs/>
      <w:color w:val="A32020" w:themeColor="text2"/>
      <w:szCs w:val="18"/>
    </w:rPr>
  </w:style>
  <w:style w:type="paragraph" w:customStyle="1" w:styleId="Majorheading">
    <w:name w:val="Major heading"/>
    <w:basedOn w:val="Normal"/>
    <w:next w:val="PwCNormal"/>
    <w:rsid w:val="00894E32"/>
    <w:pPr>
      <w:keepNext/>
      <w:keepLines/>
      <w:spacing w:before="240" w:after="40"/>
    </w:pPr>
    <w:rPr>
      <w:rFonts w:asciiTheme="majorHAnsi" w:hAnsiTheme="majorHAnsi"/>
      <w:b/>
      <w:i/>
      <w:color w:val="A32020" w:themeColor="text2"/>
      <w:sz w:val="28"/>
      <w:szCs w:val="24"/>
    </w:rPr>
  </w:style>
  <w:style w:type="numbering" w:customStyle="1" w:styleId="TableBulletNormalList">
    <w:name w:val="Table Bullet Normal List"/>
    <w:rsid w:val="00894E32"/>
    <w:pPr>
      <w:numPr>
        <w:numId w:val="19"/>
      </w:numPr>
    </w:pPr>
  </w:style>
  <w:style w:type="paragraph" w:customStyle="1" w:styleId="Disclaimer">
    <w:name w:val="Disclaimer"/>
    <w:basedOn w:val="Normal"/>
    <w:unhideWhenUsed/>
    <w:rsid w:val="00894E32"/>
    <w:pPr>
      <w:spacing w:after="140"/>
    </w:pPr>
    <w:rPr>
      <w:rFonts w:ascii="Arial" w:hAnsi="Arial"/>
      <w:sz w:val="15"/>
    </w:rPr>
  </w:style>
  <w:style w:type="paragraph" w:customStyle="1" w:styleId="Footer-LandscapeEven">
    <w:name w:val="Footer - Landscape Even"/>
    <w:basedOn w:val="Footer-Landscape"/>
    <w:rsid w:val="00894E32"/>
  </w:style>
  <w:style w:type="paragraph" w:customStyle="1" w:styleId="PwCNormal-Single">
    <w:name w:val="PwC Normal - Single"/>
    <w:basedOn w:val="PwCNormal"/>
    <w:rsid w:val="00894E32"/>
    <w:pPr>
      <w:numPr>
        <w:numId w:val="0"/>
      </w:numPr>
      <w:spacing w:after="0"/>
    </w:pPr>
  </w:style>
  <w:style w:type="numbering" w:customStyle="1" w:styleId="TableNumberdListNormal">
    <w:name w:val="Table Numberd List Normal"/>
    <w:uiPriority w:val="99"/>
    <w:rsid w:val="00894E32"/>
    <w:pPr>
      <w:numPr>
        <w:numId w:val="21"/>
      </w:numPr>
    </w:pPr>
  </w:style>
  <w:style w:type="numbering" w:customStyle="1" w:styleId="TableNumberedListSmall">
    <w:name w:val="Table Numbered List Small"/>
    <w:uiPriority w:val="99"/>
    <w:rsid w:val="00894E32"/>
    <w:pPr>
      <w:numPr>
        <w:numId w:val="23"/>
      </w:numPr>
    </w:pPr>
  </w:style>
  <w:style w:type="paragraph" w:customStyle="1" w:styleId="TableIndent2Normal">
    <w:name w:val="Table Indent 2 Normal"/>
    <w:basedOn w:val="TableIndent1Normal"/>
    <w:rsid w:val="00894E32"/>
    <w:pPr>
      <w:ind w:left="567"/>
    </w:pPr>
  </w:style>
  <w:style w:type="paragraph" w:customStyle="1" w:styleId="TableIndent2Small">
    <w:name w:val="Table Indent 2 Small"/>
    <w:basedOn w:val="TableIndent1Small"/>
    <w:rsid w:val="00894E32"/>
    <w:pPr>
      <w:ind w:left="567"/>
    </w:pPr>
    <w:rPr>
      <w:szCs w:val="16"/>
    </w:rPr>
  </w:style>
  <w:style w:type="paragraph" w:customStyle="1" w:styleId="KeySentence">
    <w:name w:val="Key Sentence"/>
    <w:basedOn w:val="Normal"/>
    <w:rsid w:val="00894E32"/>
    <w:pPr>
      <w:spacing w:after="160" w:line="260" w:lineRule="atLeast"/>
    </w:pPr>
    <w:rPr>
      <w:i/>
      <w:color w:val="A32020" w:themeColor="text2"/>
      <w:sz w:val="16"/>
      <w:szCs w:val="18"/>
    </w:rPr>
  </w:style>
  <w:style w:type="numbering" w:customStyle="1" w:styleId="TableNumberedListS">
    <w:name w:val="Table Numbered List S"/>
    <w:rsid w:val="00894E32"/>
  </w:style>
  <w:style w:type="paragraph" w:customStyle="1" w:styleId="PrefaceTitle">
    <w:name w:val="Preface Title"/>
    <w:basedOn w:val="Heading2"/>
    <w:next w:val="PwCNormal"/>
    <w:rsid w:val="00894E32"/>
    <w:pPr>
      <w:numPr>
        <w:ilvl w:val="0"/>
        <w:numId w:val="0"/>
      </w:numPr>
    </w:pPr>
  </w:style>
  <w:style w:type="paragraph" w:customStyle="1" w:styleId="Sources">
    <w:name w:val="Sources"/>
    <w:basedOn w:val="Normal"/>
    <w:next w:val="PwCNormal"/>
    <w:rsid w:val="00894E32"/>
    <w:pPr>
      <w:spacing w:before="80" w:after="240" w:line="180" w:lineRule="atLeast"/>
    </w:pPr>
    <w:rPr>
      <w:color w:val="A32020" w:themeColor="text2"/>
      <w:sz w:val="16"/>
    </w:rPr>
  </w:style>
  <w:style w:type="paragraph" w:customStyle="1" w:styleId="Minorheading">
    <w:name w:val="Minor heading"/>
    <w:basedOn w:val="Majorheading"/>
    <w:next w:val="PwCNormal"/>
    <w:rsid w:val="00894E32"/>
    <w:pPr>
      <w:spacing w:line="180" w:lineRule="atLeast"/>
    </w:pPr>
    <w:rPr>
      <w:b w:val="0"/>
      <w:sz w:val="26"/>
    </w:rPr>
  </w:style>
  <w:style w:type="paragraph" w:customStyle="1" w:styleId="Minorheading2">
    <w:name w:val="Minor heading 2"/>
    <w:basedOn w:val="Minorheading"/>
    <w:next w:val="PwCNormal"/>
    <w:rsid w:val="00894E32"/>
    <w:pPr>
      <w:spacing w:line="240" w:lineRule="atLeast"/>
    </w:pPr>
    <w:rPr>
      <w:b/>
      <w:i w:val="0"/>
      <w:sz w:val="20"/>
    </w:rPr>
  </w:style>
  <w:style w:type="numbering" w:customStyle="1" w:styleId="PwCListNumbers1">
    <w:name w:val="PwC List Numbers 1"/>
    <w:uiPriority w:val="99"/>
    <w:rsid w:val="00894E32"/>
    <w:pPr>
      <w:numPr>
        <w:numId w:val="15"/>
      </w:numPr>
    </w:pPr>
  </w:style>
  <w:style w:type="paragraph" w:customStyle="1" w:styleId="BlockText3">
    <w:name w:val="Block Text 3"/>
    <w:basedOn w:val="BlockText"/>
    <w:qFormat/>
    <w:rsid w:val="00894E32"/>
    <w:pPr>
      <w:pBdr>
        <w:top w:val="single" w:sz="8" w:space="10" w:color="F2F2F2" w:themeColor="background2" w:themeShade="F2"/>
        <w:left w:val="single" w:sz="8" w:space="10" w:color="F2F2F2" w:themeColor="background2" w:themeShade="F2"/>
        <w:bottom w:val="single" w:sz="8" w:space="10" w:color="F2F2F2" w:themeColor="background2" w:themeShade="F2"/>
        <w:right w:val="single" w:sz="8" w:space="10" w:color="F2F2F2" w:themeColor="background2" w:themeShade="F2"/>
      </w:pBdr>
      <w:shd w:val="clear" w:color="auto" w:fill="F2F2F2" w:themeFill="background2" w:themeFillShade="F2"/>
      <w:kinsoku/>
      <w:overflowPunct/>
      <w:autoSpaceDE/>
      <w:autoSpaceDN/>
      <w:adjustRightInd/>
      <w:snapToGrid/>
      <w:ind w:left="227" w:right="227"/>
    </w:pPr>
    <w:rPr>
      <w:snapToGrid/>
      <w:sz w:val="96"/>
      <w:lang w:val="en-GB"/>
    </w:rPr>
  </w:style>
  <w:style w:type="paragraph" w:customStyle="1" w:styleId="TableBullet2Normal">
    <w:name w:val="Table Bullet 2 Normal"/>
    <w:basedOn w:val="TableBullet1Normal"/>
    <w:rsid w:val="00894E32"/>
    <w:pPr>
      <w:numPr>
        <w:ilvl w:val="1"/>
      </w:numPr>
    </w:pPr>
  </w:style>
  <w:style w:type="paragraph" w:customStyle="1" w:styleId="TableBullet2Small">
    <w:name w:val="Table Bullet 2 Small"/>
    <w:basedOn w:val="TableBullet1Small"/>
    <w:rsid w:val="00894E32"/>
    <w:pPr>
      <w:numPr>
        <w:ilvl w:val="1"/>
      </w:numPr>
    </w:pPr>
  </w:style>
  <w:style w:type="paragraph" w:customStyle="1" w:styleId="TableIndent1Normal">
    <w:name w:val="Table Indent 1 Normal"/>
    <w:basedOn w:val="TableBullet1Normal"/>
    <w:rsid w:val="00894E32"/>
    <w:pPr>
      <w:numPr>
        <w:numId w:val="0"/>
      </w:numPr>
      <w:ind w:left="284"/>
    </w:pPr>
  </w:style>
  <w:style w:type="paragraph" w:customStyle="1" w:styleId="TableIndent1Small">
    <w:name w:val="Table Indent 1 Small"/>
    <w:basedOn w:val="TableBullet1Small"/>
    <w:rsid w:val="00894E32"/>
    <w:pPr>
      <w:numPr>
        <w:numId w:val="0"/>
      </w:numPr>
      <w:ind w:left="284"/>
    </w:pPr>
  </w:style>
  <w:style w:type="paragraph" w:customStyle="1" w:styleId="SubHeading">
    <w:name w:val="Sub Heading"/>
    <w:basedOn w:val="PwCNormal"/>
    <w:rsid w:val="00894E32"/>
    <w:pPr>
      <w:numPr>
        <w:numId w:val="0"/>
      </w:numPr>
      <w:spacing w:after="480" w:line="600" w:lineRule="atLeast"/>
    </w:pPr>
    <w:rPr>
      <w:sz w:val="56"/>
    </w:rPr>
  </w:style>
  <w:style w:type="paragraph" w:styleId="FootnoteText">
    <w:name w:val="footnote text"/>
    <w:aliases w:val="(NECG) Footnote Text"/>
    <w:basedOn w:val="Normal"/>
    <w:link w:val="FootnoteTextChar"/>
    <w:uiPriority w:val="99"/>
    <w:rsid w:val="00894E32"/>
    <w:pPr>
      <w:tabs>
        <w:tab w:val="left" w:pos="284"/>
      </w:tabs>
      <w:spacing w:before="80" w:after="80"/>
      <w:ind w:left="227" w:hanging="227"/>
    </w:pPr>
    <w:rPr>
      <w:sz w:val="14"/>
    </w:rPr>
  </w:style>
  <w:style w:type="character" w:styleId="FootnoteReference">
    <w:name w:val="footnote reference"/>
    <w:aliases w:val="(NECG) Footnote Reference"/>
    <w:basedOn w:val="DefaultParagraphFont"/>
    <w:uiPriority w:val="99"/>
    <w:rsid w:val="00894E32"/>
    <w:rPr>
      <w:rFonts w:cs="Arial"/>
      <w:sz w:val="21"/>
      <w:vertAlign w:val="superscript"/>
    </w:rPr>
  </w:style>
  <w:style w:type="character" w:styleId="EndnoteReference">
    <w:name w:val="endnote reference"/>
    <w:basedOn w:val="DefaultParagraphFont"/>
    <w:semiHidden/>
    <w:unhideWhenUsed/>
    <w:rsid w:val="00894E32"/>
    <w:rPr>
      <w:rFonts w:ascii="Arial" w:hAnsi="Arial" w:cs="Arial"/>
      <w:sz w:val="21"/>
      <w:vertAlign w:val="superscript"/>
    </w:rPr>
  </w:style>
  <w:style w:type="paragraph" w:styleId="EndnoteText">
    <w:name w:val="endnote text"/>
    <w:basedOn w:val="FootnoteText"/>
    <w:semiHidden/>
    <w:unhideWhenUsed/>
    <w:rsid w:val="00894E32"/>
  </w:style>
  <w:style w:type="paragraph" w:customStyle="1" w:styleId="Address">
    <w:name w:val="Address"/>
    <w:basedOn w:val="Normal"/>
    <w:qFormat/>
    <w:rsid w:val="00894E32"/>
    <w:pPr>
      <w:kinsoku/>
      <w:overflowPunct/>
      <w:autoSpaceDE/>
      <w:autoSpaceDN/>
      <w:adjustRightInd/>
      <w:snapToGrid/>
      <w:spacing w:line="200" w:lineRule="atLeast"/>
    </w:pPr>
    <w:rPr>
      <w:rFonts w:eastAsiaTheme="minorHAnsi" w:cstheme="minorBidi"/>
      <w:i/>
      <w:noProof/>
      <w:snapToGrid/>
      <w:sz w:val="18"/>
      <w:szCs w:val="22"/>
      <w:lang w:val="en-GB" w:eastAsia="en-GB"/>
    </w:rPr>
  </w:style>
  <w:style w:type="table" w:styleId="TableGrid">
    <w:name w:val="Table Grid"/>
    <w:basedOn w:val="TableNormal"/>
    <w:semiHidden/>
    <w:locked/>
    <w:rsid w:val="00894E32"/>
    <w:pPr>
      <w:kinsoku w:val="0"/>
      <w:overflowPunct w:val="0"/>
      <w:autoSpaceDE w:val="0"/>
      <w:autoSpaceDN w:val="0"/>
      <w:adjustRightInd w:val="0"/>
      <w:snapToGri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TOC1"/>
    <w:next w:val="PwCNormal"/>
    <w:uiPriority w:val="39"/>
    <w:rsid w:val="00894E32"/>
    <w:pPr>
      <w:numPr>
        <w:ilvl w:val="2"/>
      </w:numPr>
    </w:pPr>
  </w:style>
  <w:style w:type="paragraph" w:styleId="TOC5">
    <w:name w:val="toc 5"/>
    <w:basedOn w:val="TOC2"/>
    <w:next w:val="PwCNormal"/>
    <w:rsid w:val="00894E32"/>
  </w:style>
  <w:style w:type="paragraph" w:styleId="TOC8">
    <w:name w:val="toc 8"/>
    <w:basedOn w:val="TOC7"/>
    <w:next w:val="PwCNormal"/>
    <w:rsid w:val="00894E32"/>
    <w:pPr>
      <w:tabs>
        <w:tab w:val="clear" w:pos="1985"/>
        <w:tab w:val="left" w:pos="3402"/>
      </w:tabs>
      <w:ind w:left="3403"/>
    </w:pPr>
  </w:style>
  <w:style w:type="paragraph" w:styleId="TOC9">
    <w:name w:val="toc 9"/>
    <w:basedOn w:val="TOC8"/>
    <w:next w:val="PwCNormal"/>
    <w:uiPriority w:val="39"/>
    <w:rsid w:val="00894E32"/>
    <w:pPr>
      <w:tabs>
        <w:tab w:val="clear" w:pos="3402"/>
        <w:tab w:val="left" w:pos="4253"/>
      </w:tabs>
      <w:ind w:left="4253"/>
    </w:pPr>
  </w:style>
  <w:style w:type="paragraph" w:customStyle="1" w:styleId="Separator">
    <w:name w:val="Separator"/>
    <w:basedOn w:val="Normal"/>
    <w:semiHidden/>
    <w:rsid w:val="00894E32"/>
    <w:pPr>
      <w:spacing w:before="240" w:after="120"/>
    </w:pPr>
    <w:rPr>
      <w:sz w:val="16"/>
    </w:rPr>
  </w:style>
  <w:style w:type="numbering" w:customStyle="1" w:styleId="TableNumberedListN">
    <w:name w:val="Table Numbered List N"/>
    <w:rsid w:val="00894E32"/>
  </w:style>
  <w:style w:type="paragraph" w:customStyle="1" w:styleId="TableColumnHeadingNormal">
    <w:name w:val="Table Column Heading Normal"/>
    <w:basedOn w:val="TableTextNormal"/>
    <w:rsid w:val="00894E32"/>
    <w:pPr>
      <w:keepNext/>
      <w:keepLines/>
    </w:pPr>
    <w:rPr>
      <w:b/>
      <w:color w:val="A32020" w:themeColor="text2"/>
    </w:rPr>
  </w:style>
  <w:style w:type="paragraph" w:customStyle="1" w:styleId="TableColumnHeadingSmall">
    <w:name w:val="Table Column Heading Small"/>
    <w:basedOn w:val="TableTextSmall"/>
    <w:next w:val="TableTextSmall"/>
    <w:rsid w:val="00894E32"/>
    <w:pPr>
      <w:keepNext/>
      <w:keepLines/>
    </w:pPr>
    <w:rPr>
      <w:b/>
      <w:color w:val="A32020" w:themeColor="text2"/>
      <w:szCs w:val="16"/>
    </w:rPr>
  </w:style>
  <w:style w:type="numbering" w:customStyle="1" w:styleId="TableBulletSmallList">
    <w:name w:val="Table Bullet Small List"/>
    <w:rsid w:val="00894E32"/>
    <w:pPr>
      <w:numPr>
        <w:numId w:val="20"/>
      </w:numPr>
    </w:pPr>
  </w:style>
  <w:style w:type="paragraph" w:customStyle="1" w:styleId="Header-Landscape">
    <w:name w:val="Header - Landscape"/>
    <w:basedOn w:val="Header"/>
    <w:rsid w:val="00894E32"/>
  </w:style>
  <w:style w:type="character" w:styleId="PageNumber">
    <w:name w:val="page number"/>
    <w:semiHidden/>
    <w:unhideWhenUsed/>
    <w:rsid w:val="00894E32"/>
  </w:style>
  <w:style w:type="paragraph" w:styleId="Date">
    <w:name w:val="Date"/>
    <w:basedOn w:val="Normal"/>
    <w:next w:val="PwCNormal"/>
    <w:semiHidden/>
    <w:rsid w:val="00894E32"/>
  </w:style>
  <w:style w:type="paragraph" w:customStyle="1" w:styleId="Indent8">
    <w:name w:val="Indent 8"/>
    <w:basedOn w:val="Indent7"/>
    <w:rsid w:val="00894E32"/>
    <w:pPr>
      <w:numPr>
        <w:ilvl w:val="8"/>
      </w:numPr>
    </w:pPr>
  </w:style>
  <w:style w:type="paragraph" w:customStyle="1" w:styleId="Header-LandscapeEven">
    <w:name w:val="Header - Landscape Even"/>
    <w:basedOn w:val="Header-Landscape"/>
    <w:rsid w:val="00894E32"/>
    <w:pPr>
      <w:tabs>
        <w:tab w:val="right" w:pos="14661"/>
      </w:tabs>
    </w:pPr>
  </w:style>
  <w:style w:type="paragraph" w:customStyle="1" w:styleId="Footer-ToC">
    <w:name w:val="Footer - ToC"/>
    <w:basedOn w:val="Footer"/>
    <w:rsid w:val="00894E32"/>
  </w:style>
  <w:style w:type="paragraph" w:customStyle="1" w:styleId="Footer-ToCEven">
    <w:name w:val="Footer - ToC Even"/>
    <w:basedOn w:val="Footer-ToC"/>
    <w:rsid w:val="00894E32"/>
  </w:style>
  <w:style w:type="table" w:customStyle="1" w:styleId="Tables-APBase">
    <w:name w:val="Tables - AP Base"/>
    <w:basedOn w:val="TableNormal"/>
    <w:rsid w:val="00894E32"/>
    <w:tblPr>
      <w:tblStyleRowBandSize w:val="1"/>
      <w:tblStyleColBandSize w:val="1"/>
      <w:tblBorders>
        <w:top w:val="single" w:sz="4" w:space="0" w:color="FFFFFF"/>
        <w:left w:val="single" w:sz="4" w:space="0" w:color="FFFFFF"/>
        <w:bottom w:val="single" w:sz="6" w:space="0" w:color="A32020" w:themeColor="text2"/>
        <w:right w:val="single" w:sz="4" w:space="0" w:color="FFFFFF"/>
        <w:insideH w:val="dotted" w:sz="8" w:space="0" w:color="A32020" w:themeColor="text2"/>
        <w:insideV w:val="single" w:sz="4" w:space="0" w:color="FFFFFF"/>
      </w:tblBorders>
    </w:tblPr>
    <w:tcPr>
      <w:shd w:val="clear" w:color="auto" w:fill="auto"/>
      <w:tcMar>
        <w:top w:w="0" w:type="dxa"/>
        <w:left w:w="108" w:type="dxa"/>
        <w:bottom w:w="0" w:type="dxa"/>
        <w:right w:w="108" w:type="dxa"/>
      </w:tcMar>
    </w:tcPr>
    <w:tblStylePr w:type="firstRow">
      <w:pPr>
        <w:jc w:val="center"/>
      </w:pPr>
      <w:rPr>
        <w:rFonts w:ascii="Georgia" w:hAnsi="Georgia"/>
        <w:b w:val="0"/>
        <w:color w:val="auto"/>
      </w:rPr>
      <w:tblPr/>
      <w:trPr>
        <w:tblHeader/>
      </w:trPr>
      <w:tcPr>
        <w:tcBorders>
          <w:top w:val="single" w:sz="4" w:space="0" w:color="A32020" w:themeColor="text2"/>
          <w:bottom w:val="single" w:sz="4" w:space="0" w:color="A32020" w:themeColor="text2"/>
        </w:tcBorders>
      </w:tcPr>
    </w:tblStylePr>
    <w:tblStylePr w:type="lastRow">
      <w:rPr>
        <w:color w:val="auto"/>
      </w:rPr>
      <w:tblPr/>
      <w:tcPr>
        <w:tcBorders>
          <w:top w:val="single" w:sz="4" w:space="0" w:color="A32020" w:themeColor="text2"/>
        </w:tcBorders>
        <w:shd w:val="clear" w:color="auto" w:fill="auto"/>
      </w:tcPr>
    </w:tblStylePr>
    <w:tblStylePr w:type="nwCell">
      <w:pPr>
        <w:jc w:val="left"/>
      </w:pPr>
      <w:tblPr/>
      <w:tcPr>
        <w:vAlign w:val="bottom"/>
      </w:tcPr>
    </w:tblStylePr>
  </w:style>
  <w:style w:type="paragraph" w:customStyle="1" w:styleId="CVRoleTitle">
    <w:name w:val="CV Role Title"/>
    <w:basedOn w:val="CVText"/>
    <w:rsid w:val="00894E32"/>
    <w:pPr>
      <w:pBdr>
        <w:bottom w:val="none" w:sz="0" w:space="0" w:color="00457C"/>
      </w:pBdr>
    </w:pPr>
    <w:rPr>
      <w:i/>
      <w:color w:val="A32020" w:themeColor="text2"/>
      <w:sz w:val="24"/>
      <w:szCs w:val="24"/>
    </w:rPr>
  </w:style>
  <w:style w:type="paragraph" w:customStyle="1" w:styleId="ListBullet1">
    <w:name w:val="List Bullet 1"/>
    <w:basedOn w:val="Normal"/>
    <w:semiHidden/>
    <w:locked/>
    <w:rsid w:val="00894E32"/>
    <w:pPr>
      <w:tabs>
        <w:tab w:val="num" w:pos="720"/>
      </w:tabs>
      <w:spacing w:before="100" w:after="100"/>
      <w:ind w:left="720" w:hanging="720"/>
    </w:pPr>
  </w:style>
  <w:style w:type="paragraph" w:styleId="ListBullet2">
    <w:name w:val="List Bullet 2"/>
    <w:basedOn w:val="ListBullet1"/>
    <w:qFormat/>
    <w:locked/>
    <w:rsid w:val="00894E32"/>
    <w:pPr>
      <w:numPr>
        <w:ilvl w:val="1"/>
        <w:numId w:val="11"/>
      </w:numPr>
      <w:spacing w:before="120" w:after="120"/>
    </w:pPr>
  </w:style>
  <w:style w:type="paragraph" w:styleId="ListBullet4">
    <w:name w:val="List Bullet 4"/>
    <w:basedOn w:val="ListBullet3"/>
    <w:unhideWhenUsed/>
    <w:locked/>
    <w:rsid w:val="00894E32"/>
    <w:pPr>
      <w:numPr>
        <w:ilvl w:val="3"/>
      </w:numPr>
    </w:pPr>
  </w:style>
  <w:style w:type="paragraph" w:customStyle="1" w:styleId="CVBullet1">
    <w:name w:val="CV Bullet 1"/>
    <w:basedOn w:val="CVText"/>
    <w:rsid w:val="00894E32"/>
    <w:pPr>
      <w:numPr>
        <w:numId w:val="7"/>
      </w:numPr>
      <w:spacing w:before="40" w:after="40"/>
    </w:pPr>
  </w:style>
  <w:style w:type="paragraph" w:customStyle="1" w:styleId="CVDetails">
    <w:name w:val="CV Details"/>
    <w:basedOn w:val="CVRoleTitle"/>
    <w:rsid w:val="00894E32"/>
    <w:pPr>
      <w:spacing w:before="120" w:after="40"/>
    </w:pPr>
    <w:rPr>
      <w:sz w:val="14"/>
    </w:rPr>
  </w:style>
  <w:style w:type="paragraph" w:customStyle="1" w:styleId="CVHeading2">
    <w:name w:val="CV Heading 2"/>
    <w:basedOn w:val="CVHeading1"/>
    <w:next w:val="CVText"/>
    <w:rsid w:val="00894E32"/>
    <w:pPr>
      <w:pBdr>
        <w:bottom w:val="none" w:sz="0" w:space="0" w:color="00457C"/>
      </w:pBdr>
    </w:pPr>
    <w:rPr>
      <w:b w:val="0"/>
      <w:sz w:val="18"/>
      <w:szCs w:val="24"/>
    </w:rPr>
  </w:style>
  <w:style w:type="paragraph" w:styleId="ListBullet3">
    <w:name w:val="List Bullet 3"/>
    <w:basedOn w:val="ListBullet2"/>
    <w:qFormat/>
    <w:locked/>
    <w:rsid w:val="00894E32"/>
    <w:pPr>
      <w:numPr>
        <w:ilvl w:val="2"/>
      </w:numPr>
    </w:pPr>
  </w:style>
  <w:style w:type="paragraph" w:customStyle="1" w:styleId="CVHeading1">
    <w:name w:val="CV Heading 1"/>
    <w:basedOn w:val="CVText"/>
    <w:next w:val="CVText"/>
    <w:rsid w:val="00894E32"/>
    <w:pPr>
      <w:keepNext/>
      <w:keepLines/>
      <w:spacing w:before="120"/>
    </w:pPr>
    <w:rPr>
      <w:b/>
      <w:i/>
      <w:color w:val="A32020" w:themeColor="text2"/>
    </w:rPr>
  </w:style>
  <w:style w:type="paragraph" w:customStyle="1" w:styleId="CVPhoto">
    <w:name w:val="CV Photo"/>
    <w:basedOn w:val="CVHeading2"/>
    <w:rsid w:val="00894E32"/>
    <w:rPr>
      <w:sz w:val="21"/>
    </w:rPr>
  </w:style>
  <w:style w:type="paragraph" w:customStyle="1" w:styleId="CVText">
    <w:name w:val="CV Text"/>
    <w:basedOn w:val="PwCNormal"/>
    <w:rsid w:val="00894E32"/>
    <w:pPr>
      <w:numPr>
        <w:numId w:val="0"/>
      </w:numPr>
      <w:spacing w:before="80" w:after="80"/>
    </w:pPr>
  </w:style>
  <w:style w:type="paragraph" w:customStyle="1" w:styleId="CVNamelarge">
    <w:name w:val="CV Name large"/>
    <w:basedOn w:val="CVText"/>
    <w:next w:val="CVRoleTitle"/>
    <w:rsid w:val="00894E32"/>
    <w:pPr>
      <w:spacing w:before="0"/>
    </w:pPr>
    <w:rPr>
      <w:b/>
      <w:i/>
      <w:color w:val="A32020" w:themeColor="text2"/>
      <w:sz w:val="36"/>
      <w:szCs w:val="24"/>
    </w:rPr>
  </w:style>
  <w:style w:type="paragraph" w:customStyle="1" w:styleId="CVBullet2">
    <w:name w:val="CV Bullet 2"/>
    <w:basedOn w:val="CVBullet1"/>
    <w:rsid w:val="00894E32"/>
    <w:pPr>
      <w:numPr>
        <w:ilvl w:val="1"/>
      </w:numPr>
    </w:pPr>
  </w:style>
  <w:style w:type="paragraph" w:styleId="Title">
    <w:name w:val="Title"/>
    <w:basedOn w:val="Normal"/>
    <w:semiHidden/>
    <w:qFormat/>
    <w:rsid w:val="00894E32"/>
    <w:pPr>
      <w:spacing w:before="240" w:after="60"/>
      <w:jc w:val="center"/>
      <w:outlineLvl w:val="0"/>
    </w:pPr>
    <w:rPr>
      <w:b/>
      <w:bCs/>
      <w:color w:val="A32020" w:themeColor="text2"/>
      <w:kern w:val="28"/>
      <w:sz w:val="32"/>
      <w:szCs w:val="32"/>
    </w:rPr>
  </w:style>
  <w:style w:type="paragraph" w:styleId="BalloonText">
    <w:name w:val="Balloon Text"/>
    <w:basedOn w:val="Normal"/>
    <w:semiHidden/>
    <w:locked/>
    <w:rsid w:val="00894E32"/>
    <w:rPr>
      <w:rFonts w:ascii="Tahoma" w:hAnsi="Tahoma"/>
      <w:sz w:val="16"/>
      <w:szCs w:val="16"/>
    </w:rPr>
  </w:style>
  <w:style w:type="numbering" w:customStyle="1" w:styleId="Style1">
    <w:name w:val="Style1"/>
    <w:uiPriority w:val="99"/>
    <w:rsid w:val="00894E32"/>
    <w:pPr>
      <w:numPr>
        <w:numId w:val="16"/>
      </w:numPr>
    </w:pPr>
  </w:style>
  <w:style w:type="numbering" w:customStyle="1" w:styleId="IndentList">
    <w:name w:val="IndentList"/>
    <w:basedOn w:val="NoList"/>
    <w:rsid w:val="00894E32"/>
  </w:style>
  <w:style w:type="paragraph" w:customStyle="1" w:styleId="VersionControl">
    <w:name w:val="Version Control"/>
    <w:basedOn w:val="TOCtitle"/>
    <w:unhideWhenUsed/>
    <w:rsid w:val="007D1C0E"/>
    <w:pPr>
      <w:pageBreakBefore w:val="0"/>
      <w:framePr w:w="9923" w:wrap="around" w:vAnchor="text" w:hAnchor="page" w:x="1498" w:y="1"/>
      <w:spacing w:before="360" w:after="240"/>
    </w:pPr>
    <w:rPr>
      <w:sz w:val="28"/>
    </w:rPr>
  </w:style>
  <w:style w:type="paragraph" w:customStyle="1" w:styleId="VersionTableHeading">
    <w:name w:val="Version Table Heading"/>
    <w:basedOn w:val="VersionTableText"/>
    <w:unhideWhenUsed/>
    <w:rsid w:val="003779E0"/>
    <w:pPr>
      <w:framePr w:wrap="around"/>
    </w:pPr>
  </w:style>
  <w:style w:type="paragraph" w:customStyle="1" w:styleId="VersionTableText">
    <w:name w:val="Version Table Text"/>
    <w:basedOn w:val="VersionControl"/>
    <w:unhideWhenUsed/>
    <w:rsid w:val="003779E0"/>
    <w:pPr>
      <w:framePr w:wrap="around"/>
      <w:spacing w:before="80" w:after="80" w:line="240" w:lineRule="auto"/>
      <w:outlineLvl w:val="9"/>
    </w:pPr>
    <w:rPr>
      <w:rFonts w:ascii="Georgia" w:hAnsi="Georgia"/>
      <w:sz w:val="21"/>
      <w:szCs w:val="20"/>
    </w:rPr>
  </w:style>
  <w:style w:type="table" w:customStyle="1" w:styleId="Tables-APBase2">
    <w:name w:val="Tables - AP Base 2"/>
    <w:basedOn w:val="Tables-APBase"/>
    <w:uiPriority w:val="99"/>
    <w:qFormat/>
    <w:rsid w:val="00894E32"/>
    <w:tblPr/>
    <w:tcPr>
      <w:shd w:val="clear" w:color="auto" w:fill="auto"/>
    </w:tcPr>
    <w:tblStylePr w:type="firstRow">
      <w:pPr>
        <w:jc w:val="center"/>
      </w:pPr>
      <w:rPr>
        <w:rFonts w:asciiTheme="minorHAnsi" w:hAnsiTheme="minorHAnsi"/>
        <w:b/>
        <w:color w:val="FFFFFF" w:themeColor="background2"/>
      </w:rPr>
      <w:tblPr/>
      <w:trPr>
        <w:tblHeader/>
      </w:trPr>
      <w:tcPr>
        <w:tcBorders>
          <w:top w:val="single" w:sz="4" w:space="0" w:color="A32020" w:themeColor="text2"/>
          <w:bottom w:val="single" w:sz="4" w:space="0" w:color="A32020" w:themeColor="text2"/>
        </w:tcBorders>
        <w:shd w:val="clear" w:color="auto" w:fill="A32020" w:themeFill="text2"/>
        <w:vAlign w:val="bottom"/>
      </w:tcPr>
    </w:tblStylePr>
    <w:tblStylePr w:type="lastRow">
      <w:rPr>
        <w:color w:val="FFFFFF" w:themeColor="background1"/>
      </w:rPr>
      <w:tblPr/>
      <w:tcPr>
        <w:tcBorders>
          <w:top w:val="single" w:sz="4" w:space="0" w:color="A32020" w:themeColor="text2"/>
        </w:tcBorders>
        <w:shd w:val="clear" w:color="auto" w:fill="A32020" w:themeFill="text2"/>
      </w:tcPr>
    </w:tblStylePr>
    <w:tblStylePr w:type="firstCol">
      <w:tblPr/>
      <w:tcPr>
        <w:shd w:val="clear" w:color="auto" w:fill="FFFFFF" w:themeFill="background2"/>
      </w:tcPr>
    </w:tblStylePr>
    <w:tblStylePr w:type="lastCol">
      <w:tblPr/>
      <w:tcPr>
        <w:shd w:val="clear" w:color="auto" w:fill="FFFFFF" w:themeFill="background2"/>
      </w:tcPr>
    </w:tblStylePr>
    <w:tblStylePr w:type="band2Vert">
      <w:tblPr/>
      <w:tcPr>
        <w:shd w:val="clear" w:color="auto" w:fill="F4CACA" w:themeFill="text2" w:themeFillTint="33"/>
      </w:tcPr>
    </w:tblStylePr>
    <w:tblStylePr w:type="band2Horz">
      <w:tblPr/>
      <w:tcPr>
        <w:shd w:val="clear" w:color="auto" w:fill="F4CACA" w:themeFill="text2" w:themeFillTint="33"/>
      </w:tcPr>
    </w:tblStylePr>
    <w:tblStylePr w:type="nwCell">
      <w:pPr>
        <w:jc w:val="left"/>
      </w:pPr>
      <w:tblPr/>
      <w:tcPr>
        <w:shd w:val="clear" w:color="auto" w:fill="FFFFFF" w:themeFill="background1"/>
        <w:vAlign w:val="bottom"/>
      </w:tcPr>
    </w:tblStylePr>
  </w:style>
  <w:style w:type="character" w:customStyle="1" w:styleId="HeaderChar">
    <w:name w:val="Header Char"/>
    <w:basedOn w:val="DefaultParagraphFont"/>
    <w:link w:val="Header"/>
    <w:locked/>
    <w:rsid w:val="00894E32"/>
    <w:rPr>
      <w:rFonts w:ascii="Arial" w:hAnsi="Arial" w:cs="Arial"/>
      <w:snapToGrid w:val="0"/>
      <w:color w:val="000000" w:themeColor="text1"/>
      <w:sz w:val="19"/>
      <w:szCs w:val="18"/>
      <w:lang w:eastAsia="en-US"/>
    </w:rPr>
  </w:style>
  <w:style w:type="character" w:customStyle="1" w:styleId="FooterChar">
    <w:name w:val="Footer Char"/>
    <w:basedOn w:val="DefaultParagraphFont"/>
    <w:link w:val="Footer"/>
    <w:locked/>
    <w:rsid w:val="00894E32"/>
    <w:rPr>
      <w:rFonts w:ascii="Arial" w:hAnsi="Arial" w:cs="Arial"/>
      <w:snapToGrid w:val="0"/>
      <w:color w:val="000000" w:themeColor="text1"/>
      <w:sz w:val="19"/>
      <w:szCs w:val="18"/>
      <w:lang w:eastAsia="en-US"/>
    </w:rPr>
  </w:style>
  <w:style w:type="paragraph" w:customStyle="1" w:styleId="Header-FirstPage">
    <w:name w:val="Header - First Page"/>
    <w:basedOn w:val="Header"/>
    <w:rsid w:val="00894E32"/>
  </w:style>
  <w:style w:type="paragraph" w:customStyle="1" w:styleId="Appendicestitle">
    <w:name w:val="Appendices title"/>
    <w:basedOn w:val="TOCtitle"/>
    <w:qFormat/>
    <w:rsid w:val="00894E32"/>
    <w:pPr>
      <w:pageBreakBefore w:val="0"/>
      <w:numPr>
        <w:ilvl w:val="1"/>
        <w:numId w:val="25"/>
      </w:numPr>
    </w:pPr>
  </w:style>
  <w:style w:type="numbering" w:customStyle="1" w:styleId="CVBullets">
    <w:name w:val="CV Bullets"/>
    <w:uiPriority w:val="99"/>
    <w:rsid w:val="00894E32"/>
    <w:pPr>
      <w:numPr>
        <w:numId w:val="8"/>
      </w:numPr>
    </w:pPr>
  </w:style>
  <w:style w:type="paragraph" w:styleId="DocumentMap">
    <w:name w:val="Document Map"/>
    <w:basedOn w:val="Normal"/>
    <w:link w:val="DocumentMapChar"/>
    <w:semiHidden/>
    <w:rsid w:val="00894E32"/>
    <w:rPr>
      <w:rFonts w:ascii="Tahoma" w:hAnsi="Tahoma" w:cs="Tahoma"/>
      <w:sz w:val="16"/>
      <w:szCs w:val="16"/>
    </w:rPr>
  </w:style>
  <w:style w:type="character" w:customStyle="1" w:styleId="DocumentMapChar">
    <w:name w:val="Document Map Char"/>
    <w:basedOn w:val="DefaultParagraphFont"/>
    <w:link w:val="DocumentMap"/>
    <w:semiHidden/>
    <w:rsid w:val="00894E32"/>
    <w:rPr>
      <w:rFonts w:ascii="Tahoma" w:hAnsi="Tahoma" w:cs="Tahoma"/>
      <w:snapToGrid w:val="0"/>
      <w:sz w:val="16"/>
      <w:szCs w:val="16"/>
      <w:lang w:eastAsia="en-US"/>
    </w:rPr>
  </w:style>
  <w:style w:type="table" w:styleId="TableGrid1">
    <w:name w:val="Table Grid 1"/>
    <w:basedOn w:val="TableNormal"/>
    <w:semiHidden/>
    <w:locked/>
    <w:rsid w:val="00894E32"/>
    <w:pPr>
      <w:kinsoku w:val="0"/>
      <w:overflowPunct w:val="0"/>
      <w:autoSpaceDE w:val="0"/>
      <w:autoSpaceDN w:val="0"/>
      <w:adjustRightInd w:val="0"/>
      <w:snapToGrid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locked/>
    <w:rsid w:val="00894E32"/>
    <w:pPr>
      <w:kinsoku w:val="0"/>
      <w:overflowPunct w:val="0"/>
      <w:autoSpaceDE w:val="0"/>
      <w:autoSpaceDN w:val="0"/>
      <w:adjustRightInd w:val="0"/>
      <w:snapToGrid w:val="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locked/>
    <w:rsid w:val="00894E32"/>
    <w:pPr>
      <w:kinsoku w:val="0"/>
      <w:overflowPunct w:val="0"/>
      <w:autoSpaceDE w:val="0"/>
      <w:autoSpaceDN w:val="0"/>
      <w:adjustRightInd w:val="0"/>
      <w:snapToGrid w:val="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locked/>
    <w:rsid w:val="00894E32"/>
    <w:pPr>
      <w:kinsoku w:val="0"/>
      <w:overflowPunct w:val="0"/>
      <w:autoSpaceDE w:val="0"/>
      <w:autoSpaceDN w:val="0"/>
      <w:adjustRightInd w:val="0"/>
      <w:snapToGrid w:val="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locked/>
    <w:rsid w:val="00894E32"/>
    <w:pPr>
      <w:kinsoku w:val="0"/>
      <w:overflowPunct w:val="0"/>
      <w:autoSpaceDE w:val="0"/>
      <w:autoSpaceDN w:val="0"/>
      <w:adjustRightInd w:val="0"/>
      <w:snapToGrid w:val="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rsid w:val="00894E32"/>
    <w:pPr>
      <w:kinsoku w:val="0"/>
      <w:overflowPunct w:val="0"/>
      <w:autoSpaceDE w:val="0"/>
      <w:autoSpaceDN w:val="0"/>
      <w:adjustRightInd w:val="0"/>
      <w:snapToGrid w:val="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rsid w:val="00894E32"/>
    <w:pPr>
      <w:kinsoku w:val="0"/>
      <w:overflowPunct w:val="0"/>
      <w:autoSpaceDE w:val="0"/>
      <w:autoSpaceDN w:val="0"/>
      <w:adjustRightInd w:val="0"/>
      <w:snapToGrid w:val="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rsid w:val="00894E32"/>
    <w:pPr>
      <w:kinsoku w:val="0"/>
      <w:overflowPunct w:val="0"/>
      <w:autoSpaceDE w:val="0"/>
      <w:autoSpaceDN w:val="0"/>
      <w:adjustRightInd w:val="0"/>
      <w:snapToGrid w:val="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3Deffects1">
    <w:name w:val="Table 3D effects 1"/>
    <w:basedOn w:val="TableNormal"/>
    <w:locked/>
    <w:rsid w:val="00894E32"/>
    <w:pPr>
      <w:kinsoku w:val="0"/>
      <w:overflowPunct w:val="0"/>
      <w:autoSpaceDE w:val="0"/>
      <w:autoSpaceDN w:val="0"/>
      <w:adjustRightInd w:val="0"/>
      <w:snapToGrid w:val="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Theme">
    <w:name w:val="Table Theme"/>
    <w:basedOn w:val="TableNormal"/>
    <w:semiHidden/>
    <w:rsid w:val="00894E32"/>
    <w:pPr>
      <w:kinsoku w:val="0"/>
      <w:overflowPunct w:val="0"/>
      <w:autoSpaceDE w:val="0"/>
      <w:autoSpaceDN w:val="0"/>
      <w:adjustRightInd w:val="0"/>
      <w:snapToGri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croText">
    <w:name w:val="macro"/>
    <w:link w:val="MacroTextChar"/>
    <w:unhideWhenUsed/>
    <w:locked/>
    <w:rsid w:val="00894E32"/>
    <w:pPr>
      <w:tabs>
        <w:tab w:val="left" w:pos="567"/>
        <w:tab w:val="left" w:pos="1134"/>
        <w:tab w:val="left" w:pos="1701"/>
        <w:tab w:val="left" w:pos="2268"/>
        <w:tab w:val="left" w:pos="2835"/>
        <w:tab w:val="left" w:pos="3402"/>
        <w:tab w:val="left" w:pos="3969"/>
      </w:tabs>
      <w:kinsoku w:val="0"/>
      <w:overflowPunct w:val="0"/>
      <w:autoSpaceDE w:val="0"/>
      <w:autoSpaceDN w:val="0"/>
      <w:adjustRightInd w:val="0"/>
      <w:snapToGrid w:val="0"/>
    </w:pPr>
    <w:rPr>
      <w:rFonts w:ascii="Consolas" w:hAnsi="Consolas" w:cs="Arial"/>
      <w:snapToGrid w:val="0"/>
      <w:lang w:eastAsia="en-US"/>
    </w:rPr>
  </w:style>
  <w:style w:type="character" w:customStyle="1" w:styleId="MacroTextChar">
    <w:name w:val="Macro Text Char"/>
    <w:basedOn w:val="DefaultParagraphFont"/>
    <w:link w:val="MacroText"/>
    <w:rsid w:val="00894E32"/>
    <w:rPr>
      <w:rFonts w:ascii="Consolas" w:hAnsi="Consolas" w:cs="Arial"/>
      <w:snapToGrid w:val="0"/>
      <w:lang w:eastAsia="en-US"/>
    </w:rPr>
  </w:style>
  <w:style w:type="paragraph" w:styleId="Bibliography">
    <w:name w:val="Bibliography"/>
    <w:basedOn w:val="Normal"/>
    <w:next w:val="Normal"/>
    <w:uiPriority w:val="37"/>
    <w:semiHidden/>
    <w:locked/>
    <w:rsid w:val="00894E32"/>
  </w:style>
  <w:style w:type="paragraph" w:styleId="BlockText">
    <w:name w:val="Block Text"/>
    <w:basedOn w:val="Normal"/>
    <w:qFormat/>
    <w:rsid w:val="00894E32"/>
    <w:pPr>
      <w:spacing w:after="240"/>
    </w:pPr>
    <w:rPr>
      <w:rFonts w:eastAsiaTheme="minorEastAsia" w:cstheme="minorBidi"/>
      <w:b/>
      <w:i/>
      <w:iCs/>
      <w:color w:val="A32020" w:themeColor="accent1"/>
      <w:sz w:val="48"/>
    </w:rPr>
  </w:style>
  <w:style w:type="paragraph" w:styleId="BodyText">
    <w:name w:val="Body Text"/>
    <w:basedOn w:val="Normal"/>
    <w:link w:val="BodyTextChar"/>
    <w:semiHidden/>
    <w:locked/>
    <w:rsid w:val="00894E32"/>
    <w:pPr>
      <w:spacing w:after="120"/>
    </w:pPr>
  </w:style>
  <w:style w:type="character" w:customStyle="1" w:styleId="BodyTextChar">
    <w:name w:val="Body Text Char"/>
    <w:basedOn w:val="DefaultParagraphFont"/>
    <w:link w:val="BodyText"/>
    <w:semiHidden/>
    <w:rsid w:val="00894E32"/>
    <w:rPr>
      <w:rFonts w:cs="Arial"/>
      <w:snapToGrid w:val="0"/>
      <w:lang w:eastAsia="en-US"/>
    </w:rPr>
  </w:style>
  <w:style w:type="paragraph" w:styleId="BodyText2">
    <w:name w:val="Body Text 2"/>
    <w:basedOn w:val="Normal"/>
    <w:link w:val="BodyText2Char"/>
    <w:semiHidden/>
    <w:locked/>
    <w:rsid w:val="00894E32"/>
    <w:pPr>
      <w:spacing w:after="120" w:line="480" w:lineRule="auto"/>
    </w:pPr>
  </w:style>
  <w:style w:type="character" w:customStyle="1" w:styleId="BodyText2Char">
    <w:name w:val="Body Text 2 Char"/>
    <w:basedOn w:val="DefaultParagraphFont"/>
    <w:link w:val="BodyText2"/>
    <w:semiHidden/>
    <w:rsid w:val="00894E32"/>
    <w:rPr>
      <w:rFonts w:cs="Arial"/>
      <w:snapToGrid w:val="0"/>
      <w:lang w:eastAsia="en-US"/>
    </w:rPr>
  </w:style>
  <w:style w:type="paragraph" w:styleId="BodyText3">
    <w:name w:val="Body Text 3"/>
    <w:basedOn w:val="Normal"/>
    <w:link w:val="BodyText3Char"/>
    <w:semiHidden/>
    <w:locked/>
    <w:rsid w:val="00894E32"/>
    <w:pPr>
      <w:spacing w:after="120"/>
    </w:pPr>
    <w:rPr>
      <w:sz w:val="16"/>
      <w:szCs w:val="16"/>
    </w:rPr>
  </w:style>
  <w:style w:type="character" w:customStyle="1" w:styleId="BodyText3Char">
    <w:name w:val="Body Text 3 Char"/>
    <w:basedOn w:val="DefaultParagraphFont"/>
    <w:link w:val="BodyText3"/>
    <w:semiHidden/>
    <w:rsid w:val="00894E32"/>
    <w:rPr>
      <w:rFonts w:cs="Arial"/>
      <w:snapToGrid w:val="0"/>
      <w:sz w:val="16"/>
      <w:szCs w:val="16"/>
      <w:lang w:eastAsia="en-US"/>
    </w:rPr>
  </w:style>
  <w:style w:type="paragraph" w:styleId="BodyTextFirstIndent">
    <w:name w:val="Body Text First Indent"/>
    <w:basedOn w:val="BodyText"/>
    <w:link w:val="BodyTextFirstIndentChar"/>
    <w:semiHidden/>
    <w:locked/>
    <w:rsid w:val="00894E32"/>
    <w:pPr>
      <w:spacing w:after="0"/>
      <w:ind w:firstLine="360"/>
    </w:pPr>
  </w:style>
  <w:style w:type="character" w:customStyle="1" w:styleId="BodyTextFirstIndentChar">
    <w:name w:val="Body Text First Indent Char"/>
    <w:basedOn w:val="BodyTextChar"/>
    <w:link w:val="BodyTextFirstIndent"/>
    <w:semiHidden/>
    <w:rsid w:val="00894E32"/>
    <w:rPr>
      <w:rFonts w:cs="Arial"/>
      <w:snapToGrid w:val="0"/>
      <w:lang w:eastAsia="en-US"/>
    </w:rPr>
  </w:style>
  <w:style w:type="paragraph" w:styleId="BodyTextIndent">
    <w:name w:val="Body Text Indent"/>
    <w:basedOn w:val="Normal"/>
    <w:link w:val="BodyTextIndentChar"/>
    <w:semiHidden/>
    <w:locked/>
    <w:rsid w:val="00894E32"/>
    <w:pPr>
      <w:spacing w:after="120"/>
      <w:ind w:left="283"/>
    </w:pPr>
  </w:style>
  <w:style w:type="character" w:customStyle="1" w:styleId="BodyTextIndentChar">
    <w:name w:val="Body Text Indent Char"/>
    <w:basedOn w:val="DefaultParagraphFont"/>
    <w:link w:val="BodyTextIndent"/>
    <w:semiHidden/>
    <w:rsid w:val="00894E32"/>
    <w:rPr>
      <w:rFonts w:cs="Arial"/>
      <w:snapToGrid w:val="0"/>
      <w:lang w:eastAsia="en-US"/>
    </w:rPr>
  </w:style>
  <w:style w:type="paragraph" w:styleId="BodyTextFirstIndent2">
    <w:name w:val="Body Text First Indent 2"/>
    <w:basedOn w:val="BodyTextIndent"/>
    <w:link w:val="BodyTextFirstIndent2Char"/>
    <w:semiHidden/>
    <w:locked/>
    <w:rsid w:val="00894E32"/>
    <w:pPr>
      <w:spacing w:after="0"/>
      <w:ind w:left="360" w:firstLine="360"/>
    </w:pPr>
  </w:style>
  <w:style w:type="character" w:customStyle="1" w:styleId="BodyTextFirstIndent2Char">
    <w:name w:val="Body Text First Indent 2 Char"/>
    <w:basedOn w:val="BodyTextIndentChar"/>
    <w:link w:val="BodyTextFirstIndent2"/>
    <w:semiHidden/>
    <w:rsid w:val="00894E32"/>
    <w:rPr>
      <w:rFonts w:cs="Arial"/>
      <w:snapToGrid w:val="0"/>
      <w:lang w:eastAsia="en-US"/>
    </w:rPr>
  </w:style>
  <w:style w:type="paragraph" w:styleId="BodyTextIndent2">
    <w:name w:val="Body Text Indent 2"/>
    <w:basedOn w:val="Normal"/>
    <w:link w:val="BodyTextIndent2Char"/>
    <w:semiHidden/>
    <w:locked/>
    <w:rsid w:val="00894E32"/>
    <w:pPr>
      <w:spacing w:after="120" w:line="480" w:lineRule="auto"/>
      <w:ind w:left="283"/>
    </w:pPr>
  </w:style>
  <w:style w:type="character" w:customStyle="1" w:styleId="BodyTextIndent2Char">
    <w:name w:val="Body Text Indent 2 Char"/>
    <w:basedOn w:val="DefaultParagraphFont"/>
    <w:link w:val="BodyTextIndent2"/>
    <w:semiHidden/>
    <w:rsid w:val="00894E32"/>
    <w:rPr>
      <w:rFonts w:cs="Arial"/>
      <w:snapToGrid w:val="0"/>
      <w:lang w:eastAsia="en-US"/>
    </w:rPr>
  </w:style>
  <w:style w:type="paragraph" w:styleId="BodyTextIndent3">
    <w:name w:val="Body Text Indent 3"/>
    <w:basedOn w:val="Normal"/>
    <w:link w:val="BodyTextIndent3Char"/>
    <w:semiHidden/>
    <w:locked/>
    <w:rsid w:val="00894E32"/>
    <w:pPr>
      <w:spacing w:after="120"/>
      <w:ind w:left="283"/>
    </w:pPr>
    <w:rPr>
      <w:sz w:val="16"/>
      <w:szCs w:val="16"/>
    </w:rPr>
  </w:style>
  <w:style w:type="character" w:customStyle="1" w:styleId="BodyTextIndent3Char">
    <w:name w:val="Body Text Indent 3 Char"/>
    <w:basedOn w:val="DefaultParagraphFont"/>
    <w:link w:val="BodyTextIndent3"/>
    <w:semiHidden/>
    <w:rsid w:val="00894E32"/>
    <w:rPr>
      <w:rFonts w:cs="Arial"/>
      <w:snapToGrid w:val="0"/>
      <w:sz w:val="16"/>
      <w:szCs w:val="16"/>
      <w:lang w:eastAsia="en-US"/>
    </w:rPr>
  </w:style>
  <w:style w:type="character" w:styleId="BookTitle">
    <w:name w:val="Book Title"/>
    <w:basedOn w:val="DefaultParagraphFont"/>
    <w:uiPriority w:val="33"/>
    <w:semiHidden/>
    <w:qFormat/>
    <w:locked/>
    <w:rsid w:val="00894E32"/>
    <w:rPr>
      <w:rFonts w:ascii="Georgia" w:hAnsi="Georgia"/>
      <w:b/>
      <w:bCs/>
      <w:smallCaps/>
      <w:spacing w:val="5"/>
    </w:rPr>
  </w:style>
  <w:style w:type="paragraph" w:styleId="Closing">
    <w:name w:val="Closing"/>
    <w:basedOn w:val="Normal"/>
    <w:link w:val="ClosingChar"/>
    <w:semiHidden/>
    <w:unhideWhenUsed/>
    <w:rsid w:val="00894E32"/>
    <w:pPr>
      <w:ind w:left="4252"/>
    </w:pPr>
  </w:style>
  <w:style w:type="character" w:customStyle="1" w:styleId="ClosingChar">
    <w:name w:val="Closing Char"/>
    <w:basedOn w:val="DefaultParagraphFont"/>
    <w:link w:val="Closing"/>
    <w:semiHidden/>
    <w:rsid w:val="00894E32"/>
    <w:rPr>
      <w:rFonts w:cs="Arial"/>
      <w:snapToGrid w:val="0"/>
      <w:lang w:eastAsia="en-US"/>
    </w:rPr>
  </w:style>
  <w:style w:type="character" w:styleId="CommentReference">
    <w:name w:val="annotation reference"/>
    <w:basedOn w:val="DefaultParagraphFont"/>
    <w:semiHidden/>
    <w:rsid w:val="00894E32"/>
    <w:rPr>
      <w:rFonts w:ascii="Georgia" w:hAnsi="Georgia"/>
      <w:sz w:val="16"/>
      <w:szCs w:val="16"/>
    </w:rPr>
  </w:style>
  <w:style w:type="paragraph" w:styleId="CommentText">
    <w:name w:val="annotation text"/>
    <w:basedOn w:val="Normal"/>
    <w:link w:val="CommentTextChar"/>
    <w:semiHidden/>
    <w:rsid w:val="00894E32"/>
  </w:style>
  <w:style w:type="character" w:customStyle="1" w:styleId="CommentTextChar">
    <w:name w:val="Comment Text Char"/>
    <w:basedOn w:val="DefaultParagraphFont"/>
    <w:link w:val="CommentText"/>
    <w:semiHidden/>
    <w:rsid w:val="00894E32"/>
    <w:rPr>
      <w:rFonts w:cs="Arial"/>
      <w:snapToGrid w:val="0"/>
      <w:lang w:eastAsia="en-US"/>
    </w:rPr>
  </w:style>
  <w:style w:type="paragraph" w:styleId="CommentSubject">
    <w:name w:val="annotation subject"/>
    <w:basedOn w:val="CommentText"/>
    <w:next w:val="CommentText"/>
    <w:link w:val="CommentSubjectChar"/>
    <w:semiHidden/>
    <w:rsid w:val="00894E32"/>
    <w:rPr>
      <w:b/>
      <w:bCs/>
    </w:rPr>
  </w:style>
  <w:style w:type="character" w:customStyle="1" w:styleId="CommentSubjectChar">
    <w:name w:val="Comment Subject Char"/>
    <w:basedOn w:val="CommentTextChar"/>
    <w:link w:val="CommentSubject"/>
    <w:semiHidden/>
    <w:rsid w:val="00894E32"/>
    <w:rPr>
      <w:rFonts w:cs="Arial"/>
      <w:b/>
      <w:bCs/>
      <w:snapToGrid w:val="0"/>
      <w:lang w:eastAsia="en-US"/>
    </w:rPr>
  </w:style>
  <w:style w:type="paragraph" w:styleId="EnvelopeAddress">
    <w:name w:val="envelope address"/>
    <w:basedOn w:val="Normal"/>
    <w:semiHidden/>
    <w:unhideWhenUsed/>
    <w:locked/>
    <w:rsid w:val="00894E3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locked/>
    <w:rsid w:val="00894E32"/>
    <w:rPr>
      <w:rFonts w:asciiTheme="majorHAnsi" w:eastAsiaTheme="majorEastAsia" w:hAnsiTheme="majorHAnsi" w:cstheme="majorBidi"/>
    </w:rPr>
  </w:style>
  <w:style w:type="character" w:styleId="FollowedHyperlink">
    <w:name w:val="FollowedHyperlink"/>
    <w:basedOn w:val="DefaultParagraphFont"/>
    <w:semiHidden/>
    <w:rsid w:val="00894E32"/>
    <w:rPr>
      <w:color w:val="0000FF" w:themeColor="followedHyperlink"/>
      <w:u w:val="single"/>
    </w:rPr>
  </w:style>
  <w:style w:type="character" w:styleId="Hyperlink">
    <w:name w:val="Hyperlink"/>
    <w:basedOn w:val="DefaultParagraphFont"/>
    <w:uiPriority w:val="99"/>
    <w:rsid w:val="00894E32"/>
    <w:rPr>
      <w:color w:val="A32020" w:themeColor="text2"/>
      <w:u w:val="single"/>
    </w:rPr>
  </w:style>
  <w:style w:type="paragraph" w:styleId="IndexHeading">
    <w:name w:val="index heading"/>
    <w:basedOn w:val="Normal"/>
    <w:next w:val="Normal"/>
    <w:semiHidden/>
    <w:rsid w:val="00894E32"/>
    <w:rPr>
      <w:rFonts w:asciiTheme="majorHAnsi" w:eastAsiaTheme="majorEastAsia" w:hAnsiTheme="majorHAnsi" w:cstheme="majorBidi"/>
      <w:b/>
      <w:bCs/>
    </w:rPr>
  </w:style>
  <w:style w:type="paragraph" w:customStyle="1" w:styleId="BlockTextClient">
    <w:name w:val="Block Text Client"/>
    <w:basedOn w:val="BlockText"/>
    <w:rsid w:val="00894E32"/>
    <w:pPr>
      <w:spacing w:after="0"/>
    </w:pPr>
    <w:rPr>
      <w:b w:val="0"/>
      <w:sz w:val="20"/>
    </w:rPr>
  </w:style>
  <w:style w:type="paragraph" w:customStyle="1" w:styleId="BlockTextPosition">
    <w:name w:val="Block Text Position"/>
    <w:basedOn w:val="BlockText"/>
    <w:rsid w:val="00894E32"/>
    <w:rPr>
      <w:b w:val="0"/>
      <w:i w:val="0"/>
      <w:sz w:val="20"/>
    </w:rPr>
  </w:style>
  <w:style w:type="paragraph" w:customStyle="1" w:styleId="BlockText2Client">
    <w:name w:val="Block Text 2 Client"/>
    <w:basedOn w:val="BlockText2"/>
    <w:rsid w:val="00894E32"/>
    <w:pPr>
      <w:spacing w:after="0"/>
    </w:pPr>
    <w:rPr>
      <w:sz w:val="20"/>
      <w:szCs w:val="20"/>
    </w:rPr>
  </w:style>
  <w:style w:type="paragraph" w:customStyle="1" w:styleId="BlockText2Position">
    <w:name w:val="Block Text 2 Position"/>
    <w:basedOn w:val="BlockText2"/>
    <w:rsid w:val="00894E32"/>
    <w:rPr>
      <w:i w:val="0"/>
      <w:sz w:val="20"/>
      <w:szCs w:val="20"/>
    </w:rPr>
  </w:style>
  <w:style w:type="character" w:styleId="LineNumber">
    <w:name w:val="line number"/>
    <w:basedOn w:val="DefaultParagraphFont"/>
    <w:semiHidden/>
    <w:rsid w:val="00894E32"/>
  </w:style>
  <w:style w:type="paragraph" w:styleId="ListBullet">
    <w:name w:val="List Bullet"/>
    <w:basedOn w:val="Normal"/>
    <w:qFormat/>
    <w:locked/>
    <w:rsid w:val="00894E32"/>
    <w:pPr>
      <w:numPr>
        <w:numId w:val="11"/>
      </w:numPr>
      <w:spacing w:before="120" w:after="120"/>
    </w:pPr>
  </w:style>
  <w:style w:type="paragraph" w:styleId="ListBullet5">
    <w:name w:val="List Bullet 5"/>
    <w:basedOn w:val="ListBullet4"/>
    <w:unhideWhenUsed/>
    <w:locked/>
    <w:rsid w:val="00894E32"/>
    <w:pPr>
      <w:numPr>
        <w:ilvl w:val="4"/>
      </w:numPr>
      <w:contextualSpacing/>
    </w:pPr>
  </w:style>
  <w:style w:type="paragraph" w:styleId="ListNumber">
    <w:name w:val="List Number"/>
    <w:basedOn w:val="Normal"/>
    <w:uiPriority w:val="13"/>
    <w:unhideWhenUsed/>
    <w:qFormat/>
    <w:locked/>
    <w:rsid w:val="00894E32"/>
    <w:pPr>
      <w:numPr>
        <w:numId w:val="12"/>
      </w:numPr>
      <w:contextualSpacing/>
    </w:pPr>
  </w:style>
  <w:style w:type="paragraph" w:styleId="ListNumber2">
    <w:name w:val="List Number 2"/>
    <w:basedOn w:val="ListNumber"/>
    <w:uiPriority w:val="13"/>
    <w:unhideWhenUsed/>
    <w:qFormat/>
    <w:locked/>
    <w:rsid w:val="00894E32"/>
    <w:pPr>
      <w:numPr>
        <w:ilvl w:val="1"/>
      </w:numPr>
    </w:pPr>
  </w:style>
  <w:style w:type="paragraph" w:styleId="ListNumber3">
    <w:name w:val="List Number 3"/>
    <w:basedOn w:val="ListNumber2"/>
    <w:uiPriority w:val="13"/>
    <w:unhideWhenUsed/>
    <w:qFormat/>
    <w:locked/>
    <w:rsid w:val="00894E32"/>
    <w:pPr>
      <w:numPr>
        <w:ilvl w:val="2"/>
      </w:numPr>
    </w:pPr>
  </w:style>
  <w:style w:type="paragraph" w:styleId="ListNumber4">
    <w:name w:val="List Number 4"/>
    <w:basedOn w:val="ListNumber3"/>
    <w:uiPriority w:val="13"/>
    <w:unhideWhenUsed/>
    <w:locked/>
    <w:rsid w:val="00894E32"/>
    <w:pPr>
      <w:numPr>
        <w:ilvl w:val="3"/>
      </w:numPr>
    </w:pPr>
  </w:style>
  <w:style w:type="paragraph" w:styleId="ListNumber5">
    <w:name w:val="List Number 5"/>
    <w:basedOn w:val="ListNumber4"/>
    <w:uiPriority w:val="13"/>
    <w:unhideWhenUsed/>
    <w:locked/>
    <w:rsid w:val="00894E32"/>
    <w:pPr>
      <w:numPr>
        <w:ilvl w:val="4"/>
      </w:numPr>
    </w:pPr>
  </w:style>
  <w:style w:type="paragraph" w:styleId="ListParagraph">
    <w:name w:val="List Paragraph"/>
    <w:basedOn w:val="Normal"/>
    <w:uiPriority w:val="34"/>
    <w:semiHidden/>
    <w:qFormat/>
    <w:locked/>
    <w:rsid w:val="00894E32"/>
    <w:pPr>
      <w:ind w:left="720"/>
      <w:contextualSpacing/>
    </w:pPr>
  </w:style>
  <w:style w:type="paragraph" w:styleId="MessageHeader">
    <w:name w:val="Message Header"/>
    <w:basedOn w:val="Normal"/>
    <w:link w:val="MessageHeaderChar"/>
    <w:semiHidden/>
    <w:rsid w:val="00894E32"/>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94E32"/>
    <w:rPr>
      <w:rFonts w:asciiTheme="majorHAnsi" w:eastAsiaTheme="majorEastAsia" w:hAnsiTheme="majorHAnsi" w:cstheme="majorBidi"/>
      <w:snapToGrid w:val="0"/>
      <w:sz w:val="24"/>
      <w:szCs w:val="24"/>
      <w:shd w:val="pct20" w:color="auto" w:fill="auto"/>
      <w:lang w:eastAsia="en-US"/>
    </w:rPr>
  </w:style>
  <w:style w:type="paragraph" w:styleId="NoSpacing">
    <w:name w:val="No Spacing"/>
    <w:uiPriority w:val="1"/>
    <w:semiHidden/>
    <w:qFormat/>
    <w:rsid w:val="00894E32"/>
    <w:pPr>
      <w:kinsoku w:val="0"/>
      <w:overflowPunct w:val="0"/>
      <w:autoSpaceDE w:val="0"/>
      <w:autoSpaceDN w:val="0"/>
      <w:adjustRightInd w:val="0"/>
      <w:snapToGrid w:val="0"/>
    </w:pPr>
    <w:rPr>
      <w:rFonts w:cs="Arial"/>
      <w:snapToGrid w:val="0"/>
      <w:lang w:eastAsia="en-US"/>
    </w:rPr>
  </w:style>
  <w:style w:type="paragraph" w:styleId="NormalIndent">
    <w:name w:val="Normal Indent"/>
    <w:basedOn w:val="Normal"/>
    <w:semiHidden/>
    <w:rsid w:val="00894E32"/>
    <w:pPr>
      <w:ind w:left="720"/>
    </w:pPr>
  </w:style>
  <w:style w:type="paragraph" w:styleId="NoteHeading">
    <w:name w:val="Note Heading"/>
    <w:basedOn w:val="Normal"/>
    <w:next w:val="Normal"/>
    <w:link w:val="NoteHeadingChar"/>
    <w:semiHidden/>
    <w:unhideWhenUsed/>
    <w:rsid w:val="00894E32"/>
  </w:style>
  <w:style w:type="character" w:customStyle="1" w:styleId="NoteHeadingChar">
    <w:name w:val="Note Heading Char"/>
    <w:basedOn w:val="DefaultParagraphFont"/>
    <w:link w:val="NoteHeading"/>
    <w:semiHidden/>
    <w:rsid w:val="00894E32"/>
    <w:rPr>
      <w:rFonts w:cs="Arial"/>
      <w:snapToGrid w:val="0"/>
      <w:lang w:eastAsia="en-US"/>
    </w:rPr>
  </w:style>
  <w:style w:type="character" w:styleId="PlaceholderText">
    <w:name w:val="Placeholder Text"/>
    <w:basedOn w:val="DefaultParagraphFont"/>
    <w:uiPriority w:val="99"/>
    <w:semiHidden/>
    <w:rsid w:val="00894E32"/>
    <w:rPr>
      <w:color w:val="808080"/>
    </w:rPr>
  </w:style>
  <w:style w:type="paragraph" w:styleId="PlainText">
    <w:name w:val="Plain Text"/>
    <w:basedOn w:val="Normal"/>
    <w:link w:val="PlainTextChar"/>
    <w:semiHidden/>
    <w:rsid w:val="00894E32"/>
    <w:rPr>
      <w:rFonts w:ascii="Consolas" w:hAnsi="Consolas"/>
    </w:rPr>
  </w:style>
  <w:style w:type="character" w:customStyle="1" w:styleId="PlainTextChar">
    <w:name w:val="Plain Text Char"/>
    <w:basedOn w:val="DefaultParagraphFont"/>
    <w:link w:val="PlainText"/>
    <w:semiHidden/>
    <w:rsid w:val="00894E32"/>
    <w:rPr>
      <w:rFonts w:ascii="Consolas" w:hAnsi="Consolas" w:cs="Arial"/>
      <w:snapToGrid w:val="0"/>
      <w:lang w:eastAsia="en-US"/>
    </w:rPr>
  </w:style>
  <w:style w:type="paragraph" w:styleId="Quote">
    <w:name w:val="Quote"/>
    <w:basedOn w:val="Normal"/>
    <w:next w:val="Normal"/>
    <w:link w:val="QuoteChar"/>
    <w:uiPriority w:val="29"/>
    <w:semiHidden/>
    <w:qFormat/>
    <w:rsid w:val="00894E32"/>
    <w:rPr>
      <w:i/>
      <w:iCs/>
      <w:color w:val="000000" w:themeColor="text1"/>
    </w:rPr>
  </w:style>
  <w:style w:type="character" w:customStyle="1" w:styleId="QuoteChar">
    <w:name w:val="Quote Char"/>
    <w:basedOn w:val="DefaultParagraphFont"/>
    <w:link w:val="Quote"/>
    <w:uiPriority w:val="29"/>
    <w:semiHidden/>
    <w:rsid w:val="00894E32"/>
    <w:rPr>
      <w:rFonts w:cs="Arial"/>
      <w:i/>
      <w:iCs/>
      <w:snapToGrid w:val="0"/>
      <w:color w:val="000000" w:themeColor="text1"/>
      <w:lang w:eastAsia="en-US"/>
    </w:rPr>
  </w:style>
  <w:style w:type="paragraph" w:styleId="Salutation">
    <w:name w:val="Salutation"/>
    <w:basedOn w:val="Normal"/>
    <w:next w:val="Normal"/>
    <w:link w:val="SalutationChar"/>
    <w:semiHidden/>
    <w:unhideWhenUsed/>
    <w:rsid w:val="00894E32"/>
  </w:style>
  <w:style w:type="character" w:customStyle="1" w:styleId="SalutationChar">
    <w:name w:val="Salutation Char"/>
    <w:basedOn w:val="DefaultParagraphFont"/>
    <w:link w:val="Salutation"/>
    <w:semiHidden/>
    <w:rsid w:val="00894E32"/>
    <w:rPr>
      <w:rFonts w:cs="Arial"/>
      <w:snapToGrid w:val="0"/>
      <w:lang w:eastAsia="en-US"/>
    </w:rPr>
  </w:style>
  <w:style w:type="paragraph" w:styleId="Signature">
    <w:name w:val="Signature"/>
    <w:basedOn w:val="Normal"/>
    <w:link w:val="SignatureChar"/>
    <w:semiHidden/>
    <w:rsid w:val="00894E32"/>
    <w:pPr>
      <w:ind w:left="4252"/>
    </w:pPr>
  </w:style>
  <w:style w:type="character" w:customStyle="1" w:styleId="SignatureChar">
    <w:name w:val="Signature Char"/>
    <w:basedOn w:val="DefaultParagraphFont"/>
    <w:link w:val="Signature"/>
    <w:semiHidden/>
    <w:rsid w:val="00894E32"/>
    <w:rPr>
      <w:rFonts w:cs="Arial"/>
      <w:snapToGrid w:val="0"/>
      <w:lang w:eastAsia="en-US"/>
    </w:rPr>
  </w:style>
  <w:style w:type="paragraph" w:styleId="TableofAuthorities">
    <w:name w:val="table of authorities"/>
    <w:basedOn w:val="Normal"/>
    <w:next w:val="Normal"/>
    <w:semiHidden/>
    <w:unhideWhenUsed/>
    <w:rsid w:val="00894E32"/>
    <w:pPr>
      <w:ind w:left="210" w:hanging="210"/>
    </w:pPr>
  </w:style>
  <w:style w:type="paragraph" w:styleId="TableofFigures">
    <w:name w:val="table of figures"/>
    <w:basedOn w:val="Normal"/>
    <w:next w:val="Normal"/>
    <w:semiHidden/>
    <w:unhideWhenUsed/>
    <w:rsid w:val="00894E32"/>
  </w:style>
  <w:style w:type="paragraph" w:styleId="TOAHeading">
    <w:name w:val="toa heading"/>
    <w:basedOn w:val="Normal"/>
    <w:next w:val="Normal"/>
    <w:semiHidden/>
    <w:unhideWhenUsed/>
    <w:rsid w:val="00894E3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894E32"/>
    <w:pPr>
      <w:keepNext/>
      <w:keepLines/>
      <w:spacing w:before="480" w:line="240" w:lineRule="auto"/>
      <w:outlineLvl w:val="9"/>
    </w:pPr>
    <w:rPr>
      <w:rFonts w:eastAsiaTheme="majorEastAsia" w:cstheme="majorBidi"/>
      <w:color w:val="7A1818" w:themeColor="accent1" w:themeShade="BF"/>
      <w:sz w:val="28"/>
      <w:szCs w:val="28"/>
    </w:rPr>
  </w:style>
  <w:style w:type="paragraph" w:customStyle="1" w:styleId="CoverPanelFrame">
    <w:name w:val="Cover Panel Frame"/>
    <w:basedOn w:val="Coverpulloutframe"/>
    <w:rsid w:val="00894E32"/>
    <w:pPr>
      <w:framePr w:w="7441" w:wrap="notBeside" w:vAnchor="margin" w:hAnchor="text" w:x="-112" w:y="1"/>
      <w:pBdr>
        <w:top w:val="single" w:sz="4" w:space="1" w:color="auto"/>
        <w:left w:val="single" w:sz="4" w:space="4" w:color="auto"/>
      </w:pBdr>
    </w:pPr>
    <w:rPr>
      <w:rFonts w:eastAsia="+mn-ea"/>
    </w:rPr>
  </w:style>
  <w:style w:type="paragraph" w:customStyle="1" w:styleId="LogoActivated">
    <w:name w:val="Logo Activated"/>
    <w:basedOn w:val="Normal"/>
    <w:rsid w:val="00894E32"/>
    <w:pPr>
      <w:framePr w:w="3119" w:h="1412" w:hRule="exact" w:wrap="around" w:vAnchor="page" w:hAnchor="page" w:x="1543" w:y="15299"/>
      <w:tabs>
        <w:tab w:val="center" w:pos="2551"/>
        <w:tab w:val="right" w:pos="7682"/>
      </w:tabs>
      <w:spacing w:line="0" w:lineRule="atLeast"/>
    </w:pPr>
    <w:rPr>
      <w:rFonts w:asciiTheme="majorHAnsi" w:hAnsiTheme="majorHAnsi"/>
      <w:noProof/>
      <w:snapToGrid/>
      <w:sz w:val="18"/>
      <w:szCs w:val="32"/>
      <w:lang w:eastAsia="en-AU"/>
    </w:rPr>
  </w:style>
  <w:style w:type="paragraph" w:customStyle="1" w:styleId="FirstPagePanelFrame">
    <w:name w:val="First Page Panel Frame"/>
    <w:basedOn w:val="CoverPanelFrame"/>
    <w:rsid w:val="00894E32"/>
    <w:pPr>
      <w:framePr w:w="8334" w:h="227" w:hRule="exact" w:wrap="notBeside" w:y="-169"/>
      <w:pBdr>
        <w:top w:val="single" w:sz="6" w:space="1" w:color="A32020" w:themeColor="text2"/>
        <w:left w:val="single" w:sz="6" w:space="4" w:color="A32020" w:themeColor="text2"/>
      </w:pBdr>
    </w:pPr>
  </w:style>
  <w:style w:type="paragraph" w:customStyle="1" w:styleId="URLCover">
    <w:name w:val="URL Cover"/>
    <w:basedOn w:val="Normal"/>
    <w:rsid w:val="00894E32"/>
    <w:rPr>
      <w:color w:val="000000" w:themeColor="text1"/>
      <w:sz w:val="19"/>
    </w:rPr>
  </w:style>
  <w:style w:type="paragraph" w:customStyle="1" w:styleId="Coverpulloutframe">
    <w:name w:val="Cover pull out frame"/>
    <w:basedOn w:val="KeySentenceInside"/>
    <w:rsid w:val="00894E32"/>
    <w:pPr>
      <w:framePr w:w="2189" w:h="227" w:wrap="notBeside" w:vAnchor="page" w:hAnchor="page" w:x="908" w:y="8415"/>
      <w:pBdr>
        <w:top w:val="dotted" w:sz="8" w:space="1" w:color="A32020" w:themeColor="text2"/>
        <w:left w:val="dotted" w:sz="8" w:space="4" w:color="A32020" w:themeColor="text2"/>
      </w:pBdr>
      <w:spacing w:after="0" w:line="0" w:lineRule="atLeast"/>
    </w:pPr>
    <w:rPr>
      <w:color w:val="auto"/>
      <w:sz w:val="8"/>
      <w:lang w:val="en-GB"/>
    </w:rPr>
  </w:style>
  <w:style w:type="paragraph" w:customStyle="1" w:styleId="CoverOutcomeHeadline">
    <w:name w:val="Cover Outcome Headline"/>
    <w:basedOn w:val="PwCNormal"/>
    <w:rsid w:val="00894E32"/>
    <w:pPr>
      <w:numPr>
        <w:numId w:val="0"/>
      </w:numPr>
      <w:spacing w:after="0" w:line="960" w:lineRule="atLeast"/>
      <w:ind w:right="1701"/>
    </w:pPr>
    <w:rPr>
      <w:b/>
      <w:i/>
      <w:color w:val="FFFFFF" w:themeColor="background1"/>
      <w:sz w:val="88"/>
      <w:szCs w:val="88"/>
      <w:lang w:val="en-GB"/>
    </w:rPr>
  </w:style>
  <w:style w:type="paragraph" w:customStyle="1" w:styleId="CoverOutcomeSubtitle">
    <w:name w:val="Cover Outcome Subtitle"/>
    <w:basedOn w:val="CoverOutcomeHeadline"/>
    <w:rsid w:val="00894E32"/>
    <w:rPr>
      <w:b w:val="0"/>
      <w:i w:val="0"/>
    </w:rPr>
  </w:style>
  <w:style w:type="paragraph" w:customStyle="1" w:styleId="LogoFixed">
    <w:name w:val="Logo Fixed"/>
    <w:basedOn w:val="LogoActivated"/>
    <w:rsid w:val="00894E32"/>
    <w:pPr>
      <w:framePr w:h="2733" w:hRule="exact" w:wrap="around" w:x="1322" w:y="14125"/>
    </w:pPr>
  </w:style>
  <w:style w:type="paragraph" w:customStyle="1" w:styleId="NumericCaption">
    <w:name w:val="Numeric Caption"/>
    <w:basedOn w:val="Caption"/>
    <w:rsid w:val="00894E32"/>
    <w:rPr>
      <w:rFonts w:ascii="Arial" w:hAnsi="Arial"/>
    </w:rPr>
  </w:style>
  <w:style w:type="paragraph" w:customStyle="1" w:styleId="NumericTableColumnHeadingNormal">
    <w:name w:val="Numeric Table Column Heading Normal"/>
    <w:basedOn w:val="TableColumnHeadingNormal"/>
    <w:rsid w:val="00894E32"/>
    <w:rPr>
      <w:rFonts w:ascii="Arial" w:hAnsi="Arial"/>
    </w:rPr>
  </w:style>
  <w:style w:type="paragraph" w:customStyle="1" w:styleId="NumericTableTextNormal">
    <w:name w:val="Numeric Table Text Normal"/>
    <w:basedOn w:val="TableTextNormal"/>
    <w:rsid w:val="00894E32"/>
    <w:rPr>
      <w:rFonts w:ascii="Arial" w:hAnsi="Arial"/>
    </w:rPr>
  </w:style>
  <w:style w:type="paragraph" w:customStyle="1" w:styleId="NumericSources">
    <w:name w:val="Numeric Sources"/>
    <w:basedOn w:val="Sources"/>
    <w:rsid w:val="00894E32"/>
    <w:rPr>
      <w:rFonts w:ascii="Arial" w:hAnsi="Arial"/>
    </w:rPr>
  </w:style>
  <w:style w:type="paragraph" w:customStyle="1" w:styleId="NumericTableColumnHeadingSmall">
    <w:name w:val="Numeric Table Column Heading Small"/>
    <w:basedOn w:val="NumericTableColumnHeadingNormal"/>
    <w:rsid w:val="00894E32"/>
    <w:rPr>
      <w:sz w:val="16"/>
      <w:szCs w:val="16"/>
    </w:rPr>
  </w:style>
  <w:style w:type="paragraph" w:customStyle="1" w:styleId="NumericTableTextSmall">
    <w:name w:val="Numeric Table Text Small"/>
    <w:basedOn w:val="NumericTableTextNormal"/>
    <w:rsid w:val="00894E32"/>
    <w:rPr>
      <w:sz w:val="16"/>
      <w:szCs w:val="16"/>
    </w:rPr>
  </w:style>
  <w:style w:type="paragraph" w:customStyle="1" w:styleId="NumericTableTextDecimalNormal">
    <w:name w:val="Numeric Table Text Decimal Normal"/>
    <w:basedOn w:val="NumericTableTextNormal"/>
    <w:rsid w:val="00894E32"/>
    <w:pPr>
      <w:tabs>
        <w:tab w:val="decimal" w:pos="1004"/>
      </w:tabs>
    </w:pPr>
  </w:style>
  <w:style w:type="paragraph" w:customStyle="1" w:styleId="NumericTableTextDecimalSmall">
    <w:name w:val="Numeric Table Text Decimal Small"/>
    <w:basedOn w:val="NumericTableTextDecimalNormal"/>
    <w:rsid w:val="00894E32"/>
    <w:rPr>
      <w:sz w:val="16"/>
      <w:szCs w:val="16"/>
    </w:rPr>
  </w:style>
  <w:style w:type="paragraph" w:customStyle="1" w:styleId="Heading2Nospacing">
    <w:name w:val="Heading 2 No spacing"/>
    <w:basedOn w:val="Heading2"/>
    <w:rsid w:val="00894E32"/>
    <w:pPr>
      <w:numPr>
        <w:ilvl w:val="0"/>
        <w:numId w:val="0"/>
      </w:numPr>
      <w:spacing w:after="0" w:line="0" w:lineRule="atLeast"/>
    </w:pPr>
  </w:style>
  <w:style w:type="paragraph" w:customStyle="1" w:styleId="TableNumberedList1">
    <w:name w:val="Table Numbered List 1"/>
    <w:basedOn w:val="TableTextNormal"/>
    <w:rsid w:val="00894E32"/>
    <w:pPr>
      <w:numPr>
        <w:numId w:val="22"/>
      </w:numPr>
    </w:pPr>
  </w:style>
  <w:style w:type="paragraph" w:customStyle="1" w:styleId="TableNumberedList2">
    <w:name w:val="Table Numbered List 2"/>
    <w:basedOn w:val="TableNumberedList1"/>
    <w:rsid w:val="00894E32"/>
    <w:pPr>
      <w:numPr>
        <w:ilvl w:val="1"/>
      </w:numPr>
      <w:spacing w:before="40" w:after="40"/>
    </w:pPr>
  </w:style>
  <w:style w:type="paragraph" w:customStyle="1" w:styleId="TableNumberedList3">
    <w:name w:val="Table Numbered List 3"/>
    <w:basedOn w:val="TableNumberedList2"/>
    <w:rsid w:val="00894E32"/>
    <w:pPr>
      <w:numPr>
        <w:ilvl w:val="2"/>
      </w:numPr>
    </w:pPr>
  </w:style>
  <w:style w:type="paragraph" w:customStyle="1" w:styleId="TableNumberedListSmall1">
    <w:name w:val="Table Numbered List Small 1"/>
    <w:basedOn w:val="TableTextSmall"/>
    <w:rsid w:val="00894E32"/>
    <w:pPr>
      <w:numPr>
        <w:numId w:val="24"/>
      </w:numPr>
    </w:pPr>
  </w:style>
  <w:style w:type="paragraph" w:customStyle="1" w:styleId="TableNumberedListSmall2">
    <w:name w:val="Table Numbered List Small 2"/>
    <w:basedOn w:val="TableNumberedListSmall1"/>
    <w:rsid w:val="00894E32"/>
    <w:pPr>
      <w:numPr>
        <w:ilvl w:val="1"/>
      </w:numPr>
    </w:pPr>
    <w:rPr>
      <w:szCs w:val="21"/>
    </w:rPr>
  </w:style>
  <w:style w:type="paragraph" w:customStyle="1" w:styleId="TableNumberedListSmall3">
    <w:name w:val="Table Numbered List Small 3"/>
    <w:basedOn w:val="TableNumberedListSmall2"/>
    <w:rsid w:val="00894E32"/>
    <w:pPr>
      <w:numPr>
        <w:ilvl w:val="2"/>
      </w:numPr>
    </w:pPr>
  </w:style>
  <w:style w:type="numbering" w:customStyle="1" w:styleId="ListNumberList">
    <w:name w:val="List Number List"/>
    <w:uiPriority w:val="99"/>
    <w:rsid w:val="00894E32"/>
    <w:pPr>
      <w:numPr>
        <w:numId w:val="13"/>
      </w:numPr>
    </w:pPr>
  </w:style>
  <w:style w:type="numbering" w:styleId="111111">
    <w:name w:val="Outline List 2"/>
    <w:basedOn w:val="NoList"/>
    <w:rsid w:val="00894E32"/>
    <w:pPr>
      <w:numPr>
        <w:numId w:val="1"/>
      </w:numPr>
    </w:pPr>
  </w:style>
  <w:style w:type="numbering" w:styleId="1ai">
    <w:name w:val="Outline List 1"/>
    <w:basedOn w:val="NoList"/>
    <w:rsid w:val="00894E32"/>
    <w:pPr>
      <w:numPr>
        <w:numId w:val="2"/>
      </w:numPr>
    </w:pPr>
  </w:style>
  <w:style w:type="numbering" w:styleId="ArticleSection">
    <w:name w:val="Outline List 3"/>
    <w:basedOn w:val="NoList"/>
    <w:rsid w:val="00894E32"/>
    <w:pPr>
      <w:numPr>
        <w:numId w:val="3"/>
      </w:numPr>
    </w:pPr>
  </w:style>
  <w:style w:type="paragraph" w:customStyle="1" w:styleId="Minorheading3">
    <w:name w:val="Minor heading 3"/>
    <w:basedOn w:val="Minorheading2"/>
    <w:rsid w:val="00894E32"/>
    <w:rPr>
      <w:b w:val="0"/>
      <w:i/>
    </w:rPr>
  </w:style>
  <w:style w:type="table" w:customStyle="1" w:styleId="Tables-APLines">
    <w:name w:val="Tables - AP Lines"/>
    <w:basedOn w:val="TableNormal"/>
    <w:rsid w:val="00894E32"/>
    <w:tblPr>
      <w:tblStyleRowBandSize w:val="1"/>
      <w:tblStyleColBandSize w:val="1"/>
      <w:tblBorders>
        <w:insideH w:val="single" w:sz="4" w:space="0" w:color="A32020" w:themeColor="text2"/>
        <w:insideV w:val="single" w:sz="4" w:space="0" w:color="A32020" w:themeColor="text2"/>
      </w:tblBorders>
    </w:tblPr>
    <w:tcPr>
      <w:shd w:val="clear" w:color="auto" w:fill="auto"/>
    </w:tcPr>
    <w:tblStylePr w:type="firstRow">
      <w:pPr>
        <w:jc w:val="center"/>
      </w:pPr>
      <w:rPr>
        <w:rFonts w:asciiTheme="minorHAnsi" w:hAnsiTheme="minorHAnsi"/>
        <w:color w:val="auto"/>
      </w:rPr>
      <w:tblPr/>
      <w:tcPr>
        <w:vAlign w:val="bottom"/>
      </w:tcPr>
    </w:tblStylePr>
    <w:tblStylePr w:type="lastRow">
      <w:rPr>
        <w:color w:val="FFFFFF" w:themeColor="background1"/>
      </w:rPr>
    </w:tblStylePr>
    <w:tblStylePr w:type="nwCell">
      <w:pPr>
        <w:jc w:val="left"/>
      </w:pPr>
      <w:tblPr/>
      <w:tcPr>
        <w:vAlign w:val="bottom"/>
      </w:tcPr>
    </w:tblStylePr>
  </w:style>
  <w:style w:type="table" w:customStyle="1" w:styleId="PwCPanelframe">
    <w:name w:val="PwC Panel frame"/>
    <w:basedOn w:val="TableNormal"/>
    <w:uiPriority w:val="99"/>
    <w:qFormat/>
    <w:rsid w:val="00894E32"/>
    <w:pPr>
      <w:spacing w:line="227" w:lineRule="exact"/>
    </w:pPr>
    <w:rPr>
      <w:sz w:val="8"/>
    </w:rPr>
    <w:tblPr>
      <w:tblBorders>
        <w:top w:val="single" w:sz="8" w:space="0" w:color="A32020" w:themeColor="text2"/>
        <w:left w:val="single" w:sz="8" w:space="0" w:color="A32020" w:themeColor="text2"/>
      </w:tblBorders>
      <w:tblCellMar>
        <w:left w:w="227" w:type="dxa"/>
        <w:right w:w="0" w:type="dxa"/>
      </w:tblCellMar>
    </w:tblPr>
    <w:tcPr>
      <w:shd w:val="clear" w:color="auto" w:fill="auto"/>
    </w:tcPr>
  </w:style>
  <w:style w:type="table" w:customStyle="1" w:styleId="PwCpull-outframe">
    <w:name w:val="PwC pull-out frame"/>
    <w:basedOn w:val="PwCPanelframe"/>
    <w:uiPriority w:val="99"/>
    <w:rsid w:val="00894E32"/>
    <w:tblPr>
      <w:tblBorders>
        <w:top w:val="dotted" w:sz="8" w:space="0" w:color="A32020" w:themeColor="text2"/>
        <w:left w:val="dotted" w:sz="8" w:space="0" w:color="A32020" w:themeColor="text2"/>
      </w:tblBorders>
    </w:tblPr>
    <w:tcPr>
      <w:shd w:val="clear" w:color="auto" w:fill="auto"/>
    </w:tcPr>
  </w:style>
  <w:style w:type="paragraph" w:customStyle="1" w:styleId="Bullet1">
    <w:name w:val="Bullet 1"/>
    <w:basedOn w:val="PwCNormal"/>
    <w:rsid w:val="00894E32"/>
    <w:pPr>
      <w:numPr>
        <w:numId w:val="5"/>
      </w:numPr>
      <w:spacing w:after="80"/>
    </w:pPr>
  </w:style>
  <w:style w:type="paragraph" w:customStyle="1" w:styleId="Bullet2">
    <w:name w:val="Bullet 2"/>
    <w:basedOn w:val="Bullet1"/>
    <w:rsid w:val="00894E32"/>
    <w:pPr>
      <w:numPr>
        <w:ilvl w:val="1"/>
      </w:numPr>
    </w:pPr>
  </w:style>
  <w:style w:type="paragraph" w:customStyle="1" w:styleId="Bullet3">
    <w:name w:val="Bullet 3"/>
    <w:basedOn w:val="Bullet2"/>
    <w:rsid w:val="00894E32"/>
    <w:pPr>
      <w:numPr>
        <w:ilvl w:val="2"/>
      </w:numPr>
    </w:pPr>
  </w:style>
  <w:style w:type="paragraph" w:customStyle="1" w:styleId="Bullet4">
    <w:name w:val="Bullet 4"/>
    <w:basedOn w:val="Bullet3"/>
    <w:rsid w:val="00894E32"/>
    <w:pPr>
      <w:numPr>
        <w:ilvl w:val="3"/>
      </w:numPr>
    </w:pPr>
  </w:style>
  <w:style w:type="numbering" w:customStyle="1" w:styleId="Bullets">
    <w:name w:val="Bullets"/>
    <w:uiPriority w:val="99"/>
    <w:rsid w:val="00894E32"/>
    <w:pPr>
      <w:numPr>
        <w:numId w:val="5"/>
      </w:numPr>
    </w:pPr>
  </w:style>
  <w:style w:type="paragraph" w:customStyle="1" w:styleId="FirstPagePanelFrame-Contents">
    <w:name w:val="First Page Panel Frame - Contents"/>
    <w:basedOn w:val="FirstPagePanelFrame"/>
    <w:rsid w:val="00894E32"/>
    <w:pPr>
      <w:framePr w:wrap="notBeside"/>
    </w:pPr>
  </w:style>
  <w:style w:type="numbering" w:customStyle="1" w:styleId="ChapterNumberingList">
    <w:name w:val="Chapter Numbering List"/>
    <w:uiPriority w:val="99"/>
    <w:rsid w:val="00894E32"/>
    <w:pPr>
      <w:numPr>
        <w:numId w:val="6"/>
      </w:numPr>
    </w:pPr>
  </w:style>
  <w:style w:type="paragraph" w:customStyle="1" w:styleId="StylePwCNormalnmajNormalnotetextcvteCNormalnotetext1">
    <w:name w:val="Style PwC NormalnmajNormalnote(text)cv teC Normalnote(text) + ...1"/>
    <w:basedOn w:val="PwCNormal"/>
    <w:rsid w:val="00BE03AE"/>
    <w:pPr>
      <w:numPr>
        <w:numId w:val="0"/>
      </w:numPr>
      <w:tabs>
        <w:tab w:val="num" w:pos="0"/>
      </w:tabs>
    </w:pPr>
    <w:rPr>
      <w:rFonts w:cs="Times New Roman"/>
    </w:rPr>
  </w:style>
  <w:style w:type="paragraph" w:customStyle="1" w:styleId="StylePwCNormalnmajNormalnotetextcvteCNormalnotetext">
    <w:name w:val="Style PwC NormalnmajNormalnote(text)cv teC Normalnote(text) + ..."/>
    <w:basedOn w:val="PwCNormal"/>
    <w:rsid w:val="00BE03AE"/>
    <w:pPr>
      <w:numPr>
        <w:numId w:val="0"/>
      </w:numPr>
      <w:tabs>
        <w:tab w:val="num" w:pos="0"/>
      </w:tabs>
    </w:pPr>
    <w:rPr>
      <w:rFonts w:cs="Times New Roman"/>
    </w:rPr>
  </w:style>
  <w:style w:type="character" w:customStyle="1" w:styleId="FootnoteTextChar">
    <w:name w:val="Footnote Text Char"/>
    <w:aliases w:val="(NECG) Footnote Text Char"/>
    <w:basedOn w:val="DefaultParagraphFont"/>
    <w:link w:val="FootnoteText"/>
    <w:uiPriority w:val="99"/>
    <w:rsid w:val="00BE03AE"/>
    <w:rPr>
      <w:rFonts w:cs="Arial"/>
      <w:snapToGrid w:val="0"/>
      <w:sz w:val="14"/>
      <w:lang w:eastAsia="en-US"/>
    </w:rPr>
  </w:style>
  <w:style w:type="character" w:customStyle="1" w:styleId="A9">
    <w:name w:val="A9"/>
    <w:uiPriority w:val="99"/>
    <w:rsid w:val="00BE03AE"/>
    <w:rPr>
      <w:rFonts w:cs="HelveticaNeueLT Std Lt"/>
      <w:color w:val="000000"/>
      <w:sz w:val="21"/>
      <w:szCs w:val="21"/>
    </w:rPr>
  </w:style>
  <w:style w:type="paragraph" w:customStyle="1" w:styleId="StylePwCNormalnmajNormalnotetextcvteCNormalnotetext2">
    <w:name w:val="Style PwC NormalnmajNormalnote(text)cv teC Normalnote(text) + ...2"/>
    <w:basedOn w:val="PwCNormal"/>
    <w:rsid w:val="00507A58"/>
    <w:rPr>
      <w:color w:val="000000"/>
    </w:rPr>
  </w:style>
  <w:style w:type="paragraph" w:styleId="Revision">
    <w:name w:val="Revision"/>
    <w:hidden/>
    <w:uiPriority w:val="99"/>
    <w:semiHidden/>
    <w:rsid w:val="00A32B3A"/>
    <w:rPr>
      <w:rFonts w:cs="Arial"/>
      <w:snapToGrid w:val="0"/>
      <w:lang w:eastAsia="en-US"/>
    </w:rPr>
  </w:style>
  <w:style w:type="table" w:styleId="LightGrid-Accent2">
    <w:name w:val="Light Grid Accent 2"/>
    <w:basedOn w:val="TableNormal"/>
    <w:uiPriority w:val="62"/>
    <w:locked/>
    <w:rsid w:val="00FB1DC2"/>
    <w:tblPr>
      <w:tblStyleRowBandSize w:val="1"/>
      <w:tblStyleColBandSize w:val="1"/>
      <w:tblBorders>
        <w:top w:val="single" w:sz="8" w:space="0" w:color="E0301E" w:themeColor="accent2"/>
        <w:left w:val="single" w:sz="8" w:space="0" w:color="E0301E" w:themeColor="accent2"/>
        <w:bottom w:val="single" w:sz="8" w:space="0" w:color="E0301E" w:themeColor="accent2"/>
        <w:right w:val="single" w:sz="8" w:space="0" w:color="E0301E" w:themeColor="accent2"/>
        <w:insideH w:val="single" w:sz="8" w:space="0" w:color="E0301E" w:themeColor="accent2"/>
        <w:insideV w:val="single" w:sz="8" w:space="0" w:color="E0301E"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0301E" w:themeColor="accent2"/>
          <w:left w:val="single" w:sz="8" w:space="0" w:color="E0301E" w:themeColor="accent2"/>
          <w:bottom w:val="single" w:sz="18" w:space="0" w:color="E0301E" w:themeColor="accent2"/>
          <w:right w:val="single" w:sz="8" w:space="0" w:color="E0301E" w:themeColor="accent2"/>
          <w:insideH w:val="nil"/>
          <w:insideV w:val="single" w:sz="8" w:space="0" w:color="E0301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0301E" w:themeColor="accent2"/>
          <w:left w:val="single" w:sz="8" w:space="0" w:color="E0301E" w:themeColor="accent2"/>
          <w:bottom w:val="single" w:sz="8" w:space="0" w:color="E0301E" w:themeColor="accent2"/>
          <w:right w:val="single" w:sz="8" w:space="0" w:color="E0301E" w:themeColor="accent2"/>
          <w:insideH w:val="nil"/>
          <w:insideV w:val="single" w:sz="8" w:space="0" w:color="E0301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0301E" w:themeColor="accent2"/>
          <w:left w:val="single" w:sz="8" w:space="0" w:color="E0301E" w:themeColor="accent2"/>
          <w:bottom w:val="single" w:sz="8" w:space="0" w:color="E0301E" w:themeColor="accent2"/>
          <w:right w:val="single" w:sz="8" w:space="0" w:color="E0301E" w:themeColor="accent2"/>
        </w:tcBorders>
      </w:tcPr>
    </w:tblStylePr>
    <w:tblStylePr w:type="band1Vert">
      <w:tblPr/>
      <w:tcPr>
        <w:tcBorders>
          <w:top w:val="single" w:sz="8" w:space="0" w:color="E0301E" w:themeColor="accent2"/>
          <w:left w:val="single" w:sz="8" w:space="0" w:color="E0301E" w:themeColor="accent2"/>
          <w:bottom w:val="single" w:sz="8" w:space="0" w:color="E0301E" w:themeColor="accent2"/>
          <w:right w:val="single" w:sz="8" w:space="0" w:color="E0301E" w:themeColor="accent2"/>
        </w:tcBorders>
        <w:shd w:val="clear" w:color="auto" w:fill="F7CBC7" w:themeFill="accent2" w:themeFillTint="3F"/>
      </w:tcPr>
    </w:tblStylePr>
    <w:tblStylePr w:type="band1Horz">
      <w:tblPr/>
      <w:tcPr>
        <w:tcBorders>
          <w:top w:val="single" w:sz="8" w:space="0" w:color="E0301E" w:themeColor="accent2"/>
          <w:left w:val="single" w:sz="8" w:space="0" w:color="E0301E" w:themeColor="accent2"/>
          <w:bottom w:val="single" w:sz="8" w:space="0" w:color="E0301E" w:themeColor="accent2"/>
          <w:right w:val="single" w:sz="8" w:space="0" w:color="E0301E" w:themeColor="accent2"/>
          <w:insideV w:val="single" w:sz="8" w:space="0" w:color="E0301E" w:themeColor="accent2"/>
        </w:tcBorders>
        <w:shd w:val="clear" w:color="auto" w:fill="F7CBC7" w:themeFill="accent2" w:themeFillTint="3F"/>
      </w:tcPr>
    </w:tblStylePr>
    <w:tblStylePr w:type="band2Horz">
      <w:tblPr/>
      <w:tcPr>
        <w:tcBorders>
          <w:top w:val="single" w:sz="8" w:space="0" w:color="E0301E" w:themeColor="accent2"/>
          <w:left w:val="single" w:sz="8" w:space="0" w:color="E0301E" w:themeColor="accent2"/>
          <w:bottom w:val="single" w:sz="8" w:space="0" w:color="E0301E" w:themeColor="accent2"/>
          <w:right w:val="single" w:sz="8" w:space="0" w:color="E0301E" w:themeColor="accent2"/>
          <w:insideV w:val="single" w:sz="8" w:space="0" w:color="E0301E" w:themeColor="accent2"/>
        </w:tcBorders>
      </w:tcPr>
    </w:tblStylePr>
  </w:style>
  <w:style w:type="table" w:styleId="MediumGrid1-Accent4">
    <w:name w:val="Medium Grid 1 Accent 4"/>
    <w:basedOn w:val="TableNormal"/>
    <w:uiPriority w:val="67"/>
    <w:locked/>
    <w:rsid w:val="00FB1DC2"/>
    <w:tblPr>
      <w:tblStyleRowBandSize w:val="1"/>
      <w:tblStyleColBandSize w:val="1"/>
      <w:tblBorders>
        <w:top w:val="single" w:sz="8" w:space="0" w:color="E47E8F" w:themeColor="accent4" w:themeTint="BF"/>
        <w:left w:val="single" w:sz="8" w:space="0" w:color="E47E8F" w:themeColor="accent4" w:themeTint="BF"/>
        <w:bottom w:val="single" w:sz="8" w:space="0" w:color="E47E8F" w:themeColor="accent4" w:themeTint="BF"/>
        <w:right w:val="single" w:sz="8" w:space="0" w:color="E47E8F" w:themeColor="accent4" w:themeTint="BF"/>
        <w:insideH w:val="single" w:sz="8" w:space="0" w:color="E47E8F" w:themeColor="accent4" w:themeTint="BF"/>
        <w:insideV w:val="single" w:sz="8" w:space="0" w:color="E47E8F" w:themeColor="accent4" w:themeTint="BF"/>
      </w:tblBorders>
    </w:tblPr>
    <w:tcPr>
      <w:shd w:val="clear" w:color="auto" w:fill="F6D4D9" w:themeFill="accent4" w:themeFillTint="3F"/>
    </w:tcPr>
    <w:tblStylePr w:type="firstRow">
      <w:rPr>
        <w:b/>
        <w:bCs/>
      </w:rPr>
    </w:tblStylePr>
    <w:tblStylePr w:type="lastRow">
      <w:rPr>
        <w:b/>
        <w:bCs/>
      </w:rPr>
      <w:tblPr/>
      <w:tcPr>
        <w:tcBorders>
          <w:top w:val="single" w:sz="18" w:space="0" w:color="E47E8F" w:themeColor="accent4" w:themeTint="BF"/>
        </w:tcBorders>
      </w:tcPr>
    </w:tblStylePr>
    <w:tblStylePr w:type="firstCol">
      <w:rPr>
        <w:b/>
        <w:bCs/>
      </w:rPr>
    </w:tblStylePr>
    <w:tblStylePr w:type="lastCol">
      <w:rPr>
        <w:b/>
        <w:bCs/>
      </w:rPr>
    </w:tblStylePr>
    <w:tblStylePr w:type="band1Vert">
      <w:tblPr/>
      <w:tcPr>
        <w:shd w:val="clear" w:color="auto" w:fill="EDA9B4" w:themeFill="accent4" w:themeFillTint="7F"/>
      </w:tcPr>
    </w:tblStylePr>
    <w:tblStylePr w:type="band1Horz">
      <w:tblPr/>
      <w:tcPr>
        <w:shd w:val="clear" w:color="auto" w:fill="EDA9B4" w:themeFill="accent4"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imes New Roman" w:hAnsi="Georgia" w:cs="Times New Roman"/>
        <w:lang w:val="en-AU" w:eastAsia="en-AU"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qFormat="1"/>
    <w:lsdException w:name="heading 8" w:locked="0" w:qFormat="1"/>
    <w:lsdException w:name="heading 9" w:locked="0" w:qFormat="1"/>
    <w:lsdException w:name="index 1" w:locked="0" w:semiHidden="1"/>
    <w:lsdException w:name="index 2" w:locked="0" w:semiHidden="1"/>
    <w:lsdException w:name="index 3" w:locked="0" w:semiHidden="1"/>
    <w:lsdException w:name="index 4" w:locked="0" w:semiHidden="1"/>
    <w:lsdException w:name="index 5" w:locked="0" w:semiHidden="1"/>
    <w:lsdException w:name="index 6" w:locked="0" w:semiHidden="1"/>
    <w:lsdException w:name="index 7" w:locked="0" w:semiHidden="1"/>
    <w:lsdException w:name="index 8" w:locked="0" w:semiHidden="1"/>
    <w:lsdException w:name="index 9" w:locked="0" w:semiHidden="1"/>
    <w:lsdException w:name="toc 1" w:locked="0" w:uiPriority="39"/>
    <w:lsdException w:name="toc 2" w:locked="0" w:uiPriority="39"/>
    <w:lsdException w:name="toc 3" w:locked="0" w:uiPriority="39"/>
    <w:lsdException w:name="toc 4" w:locked="0" w:uiPriority="39"/>
    <w:lsdException w:name="toc 5" w:locked="0"/>
    <w:lsdException w:name="toc 6" w:locked="0" w:uiPriority="39"/>
    <w:lsdException w:name="toc 7" w:locked="0" w:uiPriority="39"/>
    <w:lsdException w:name="toc 8" w:locked="0"/>
    <w:lsdException w:name="toc 9" w:locked="0" w:uiPriority="39"/>
    <w:lsdException w:name="Normal Indent" w:locked="0" w:semiHidden="1"/>
    <w:lsdException w:name="footnote text" w:locked="0" w:uiPriority="99"/>
    <w:lsdException w:name="annotation text" w:locked="0" w:semiHidden="1"/>
    <w:lsdException w:name="header" w:locked="0"/>
    <w:lsdException w:name="footer" w:locked="0"/>
    <w:lsdException w:name="index heading" w:locked="0" w:semiHidden="1"/>
    <w:lsdException w:name="caption" w:locked="0" w:qFormat="1"/>
    <w:lsdException w:name="table of figures" w:locked="0" w:semiHidden="1" w:unhideWhenUsed="1"/>
    <w:lsdException w:name="envelope address" w:semiHidden="1" w:unhideWhenUsed="1"/>
    <w:lsdException w:name="envelope return" w:semiHidden="1"/>
    <w:lsdException w:name="footnote reference" w:locked="0" w:uiPriority="99"/>
    <w:lsdException w:name="annotation reference" w:locked="0" w:semiHidden="1"/>
    <w:lsdException w:name="line number" w:locked="0" w:semiHidden="1"/>
    <w:lsdException w:name="page number" w:locked="0"/>
    <w:lsdException w:name="endnote reference" w:locked="0"/>
    <w:lsdException w:name="endnote text" w:locked="0"/>
    <w:lsdException w:name="table of authorities" w:locked="0" w:semiHidden="1" w:unhideWhenUsed="1"/>
    <w:lsdException w:name="macro" w:semiHidden="1" w:unhideWhenUsed="1"/>
    <w:lsdException w:name="toa heading" w:locked="0" w:semiHidden="1" w:unhideWhenUsed="1"/>
    <w:lsdException w:name="List" w:semiHidden="1"/>
    <w:lsdException w:name="List Bullet" w:semiHidden="1" w:qFormat="1"/>
    <w:lsdException w:name="List Number" w:semiHidden="1" w:uiPriority="13" w:qFormat="1"/>
    <w:lsdException w:name="List 2" w:semiHidden="1"/>
    <w:lsdException w:name="List 3" w:semiHidden="1"/>
    <w:lsdException w:name="List 4" w:semiHidden="1"/>
    <w:lsdException w:name="List 5" w:semiHidden="1"/>
    <w:lsdException w:name="List Bullet 2" w:qFormat="1"/>
    <w:lsdException w:name="List Bullet 3" w:qFormat="1"/>
    <w:lsdException w:name="List Bullet 5" w:semiHidden="1"/>
    <w:lsdException w:name="List Number 2" w:semiHidden="1" w:uiPriority="13" w:qFormat="1"/>
    <w:lsdException w:name="List Number 3" w:semiHidden="1" w:uiPriority="13" w:qFormat="1"/>
    <w:lsdException w:name="List Number 4" w:semiHidden="1" w:uiPriority="13"/>
    <w:lsdException w:name="List Number 5" w:semiHidden="1" w:uiPriority="13"/>
    <w:lsdException w:name="Title" w:locked="0" w:qFormat="1"/>
    <w:lsdException w:name="Closing" w:locked="0" w:semiHidden="1" w:unhideWhenUsed="1"/>
    <w:lsdException w:name="Signature" w:locked="0" w:semiHidden="1"/>
    <w:lsdException w:name="Default Paragraph Font" w:locked="0"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locked="0" w:semiHidden="1"/>
    <w:lsdException w:name="Subtitle" w:locked="0" w:semiHidden="1" w:qFormat="1"/>
    <w:lsdException w:name="Salutation" w:locked="0" w:semiHidden="1" w:unhideWhenUsed="1"/>
    <w:lsdException w:name="Date" w:locked="0"/>
    <w:lsdException w:name="Body Text First Indent" w:semiHidden="1"/>
    <w:lsdException w:name="Body Text First Indent 2" w:semiHidden="1"/>
    <w:lsdException w:name="Note Heading" w:locked="0" w:semiHidden="1" w:unhideWhenUsed="1"/>
    <w:lsdException w:name="Body Text 2" w:semiHidden="1"/>
    <w:lsdException w:name="Body Text 3" w:semiHidden="1"/>
    <w:lsdException w:name="Body Text Indent 2" w:semiHidden="1"/>
    <w:lsdException w:name="Body Text Indent 3" w:semiHidden="1"/>
    <w:lsdException w:name="Block Text" w:locked="0" w:semiHidden="1" w:qFormat="1"/>
    <w:lsdException w:name="Hyperlink" w:locked="0" w:semiHidden="1" w:uiPriority="99"/>
    <w:lsdException w:name="FollowedHyperlink" w:locked="0" w:semiHidden="1"/>
    <w:lsdException w:name="Strong" w:locked="0" w:semiHidden="1" w:qFormat="1"/>
    <w:lsdException w:name="Emphasis" w:semiHidden="1" w:qFormat="1"/>
    <w:lsdException w:name="Document Map" w:locked="0" w:semiHidden="1"/>
    <w:lsdException w:name="Plain Text" w:locked="0" w:semiHidden="1"/>
    <w:lsdException w:name="E-mail Signature" w:semiHidden="1"/>
    <w:lsdException w:name="HTML Top of Form" w:locked="0"/>
    <w:lsdException w:name="HTML Bottom of Form" w:locked="0"/>
    <w:lsdException w:name="Normal (Web)" w:locked="0"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locked="0"/>
    <w:lsdException w:name="annotation subject" w:locked="0" w:semiHidden="1"/>
    <w:lsdException w:name="No List" w:locked="0" w:uiPriority="99"/>
    <w:lsdException w:name="Outline List 1" w:locked="0"/>
    <w:lsdException w:name="Outline List 2" w:locked="0"/>
    <w:lsdException w:name="Outline List 3" w:locked="0"/>
    <w:lsdException w:name="Table Theme" w:locked="0"/>
    <w:lsdException w:name="Placeholder Text" w:locked="0" w:semiHidden="1" w:uiPriority="99"/>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semiHidden="1" w:uiPriority="34" w:qFormat="1"/>
    <w:lsdException w:name="Quote" w:locked="0"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locked="0" w:semiHidden="1" w:uiPriority="39" w:unhideWhenUsed="1" w:qFormat="1"/>
  </w:latentStyles>
  <w:style w:type="paragraph" w:default="1" w:styleId="Normal">
    <w:name w:val="Normal"/>
    <w:next w:val="PwCNormal"/>
    <w:qFormat/>
    <w:rsid w:val="00894E32"/>
    <w:pPr>
      <w:kinsoku w:val="0"/>
      <w:overflowPunct w:val="0"/>
      <w:autoSpaceDE w:val="0"/>
      <w:autoSpaceDN w:val="0"/>
      <w:adjustRightInd w:val="0"/>
      <w:snapToGrid w:val="0"/>
    </w:pPr>
    <w:rPr>
      <w:rFonts w:cs="Arial"/>
      <w:snapToGrid w:val="0"/>
      <w:lang w:eastAsia="en-US"/>
    </w:rPr>
  </w:style>
  <w:style w:type="paragraph" w:styleId="Heading1">
    <w:name w:val="heading 1"/>
    <w:aliases w:val="Chapter Heading (Long)"/>
    <w:basedOn w:val="Normal"/>
    <w:next w:val="PwCNormal"/>
    <w:qFormat/>
    <w:rsid w:val="00894E32"/>
    <w:pPr>
      <w:spacing w:line="720" w:lineRule="atLeast"/>
      <w:outlineLvl w:val="0"/>
    </w:pPr>
    <w:rPr>
      <w:rFonts w:asciiTheme="majorHAnsi" w:hAnsiTheme="majorHAnsi"/>
      <w:b/>
      <w:bCs/>
      <w:i/>
      <w:sz w:val="56"/>
      <w:szCs w:val="72"/>
    </w:rPr>
  </w:style>
  <w:style w:type="paragraph" w:styleId="Heading2">
    <w:name w:val="heading 2"/>
    <w:aliases w:val="Chapter Heading (Short)"/>
    <w:basedOn w:val="Normal"/>
    <w:next w:val="PwCNormal"/>
    <w:qFormat/>
    <w:rsid w:val="00894E32"/>
    <w:pPr>
      <w:keepNext/>
      <w:keepLines/>
      <w:pageBreakBefore/>
      <w:numPr>
        <w:ilvl w:val="1"/>
        <w:numId w:val="9"/>
      </w:numPr>
      <w:spacing w:after="480" w:line="600" w:lineRule="atLeast"/>
      <w:outlineLvl w:val="1"/>
    </w:pPr>
    <w:rPr>
      <w:rFonts w:asciiTheme="majorHAnsi" w:hAnsiTheme="majorHAnsi"/>
      <w:b/>
      <w:bCs/>
      <w:i/>
      <w:iCs/>
      <w:color w:val="000000" w:themeColor="text1"/>
      <w:sz w:val="56"/>
      <w:szCs w:val="36"/>
    </w:rPr>
  </w:style>
  <w:style w:type="paragraph" w:styleId="Heading3">
    <w:name w:val="heading 3"/>
    <w:aliases w:val="Appendix Heading (Long)"/>
    <w:basedOn w:val="Heading1"/>
    <w:next w:val="PwCNormal"/>
    <w:qFormat/>
    <w:rsid w:val="00894E32"/>
    <w:pPr>
      <w:outlineLvl w:val="2"/>
    </w:pPr>
    <w:rPr>
      <w:bCs w:val="0"/>
    </w:rPr>
  </w:style>
  <w:style w:type="paragraph" w:styleId="Heading4">
    <w:name w:val="heading 4"/>
    <w:aliases w:val="Appendix Heading (Short)"/>
    <w:basedOn w:val="Heading2"/>
    <w:next w:val="PwCNormal"/>
    <w:qFormat/>
    <w:rsid w:val="00894E32"/>
    <w:pPr>
      <w:pageBreakBefore w:val="0"/>
      <w:numPr>
        <w:ilvl w:val="4"/>
      </w:numPr>
      <w:outlineLvl w:val="3"/>
    </w:pPr>
    <w:rPr>
      <w:bCs w:val="0"/>
    </w:rPr>
  </w:style>
  <w:style w:type="paragraph" w:styleId="Heading5">
    <w:name w:val="heading 5"/>
    <w:basedOn w:val="Heading2"/>
    <w:next w:val="PwCNormal"/>
    <w:qFormat/>
    <w:rsid w:val="00894E32"/>
    <w:pPr>
      <w:pageBreakBefore w:val="0"/>
      <w:numPr>
        <w:ilvl w:val="0"/>
        <w:numId w:val="0"/>
      </w:numPr>
      <w:spacing w:before="360" w:line="240" w:lineRule="auto"/>
      <w:outlineLvl w:val="4"/>
    </w:pPr>
    <w:rPr>
      <w:bCs w:val="0"/>
      <w:iCs w:val="0"/>
      <w:sz w:val="32"/>
      <w:szCs w:val="32"/>
    </w:rPr>
  </w:style>
  <w:style w:type="paragraph" w:styleId="Heading6">
    <w:name w:val="heading 6"/>
    <w:basedOn w:val="Heading2"/>
    <w:next w:val="PwCNormal"/>
    <w:qFormat/>
    <w:rsid w:val="00894E32"/>
    <w:pPr>
      <w:pageBreakBefore w:val="0"/>
      <w:numPr>
        <w:ilvl w:val="2"/>
      </w:numPr>
      <w:spacing w:before="240" w:after="120" w:line="240" w:lineRule="auto"/>
      <w:outlineLvl w:val="5"/>
    </w:pPr>
    <w:rPr>
      <w:bCs w:val="0"/>
      <w:color w:val="A32020" w:themeColor="text2"/>
      <w:sz w:val="32"/>
    </w:rPr>
  </w:style>
  <w:style w:type="paragraph" w:styleId="Heading7">
    <w:name w:val="heading 7"/>
    <w:basedOn w:val="Heading6"/>
    <w:next w:val="PwCNormal"/>
    <w:qFormat/>
    <w:rsid w:val="00894E32"/>
    <w:pPr>
      <w:numPr>
        <w:ilvl w:val="3"/>
      </w:numPr>
      <w:outlineLvl w:val="6"/>
    </w:pPr>
    <w:rPr>
      <w:b w:val="0"/>
      <w:sz w:val="28"/>
      <w:szCs w:val="28"/>
    </w:rPr>
  </w:style>
  <w:style w:type="paragraph" w:styleId="Heading8">
    <w:name w:val="heading 8"/>
    <w:basedOn w:val="Majorheading"/>
    <w:next w:val="PwCNormal"/>
    <w:qFormat/>
    <w:rsid w:val="00894E32"/>
    <w:pPr>
      <w:numPr>
        <w:ilvl w:val="6"/>
        <w:numId w:val="9"/>
      </w:numPr>
      <w:spacing w:after="120"/>
      <w:outlineLvl w:val="7"/>
    </w:pPr>
    <w:rPr>
      <w:sz w:val="32"/>
      <w:szCs w:val="21"/>
    </w:rPr>
  </w:style>
  <w:style w:type="paragraph" w:styleId="Heading9">
    <w:name w:val="heading 9"/>
    <w:basedOn w:val="Heading8"/>
    <w:next w:val="PwCNormal"/>
    <w:qFormat/>
    <w:rsid w:val="00894E32"/>
    <w:pPr>
      <w:numPr>
        <w:ilvl w:val="0"/>
        <w:numId w:val="0"/>
      </w:numPr>
      <w:outlineLvl w:val="8"/>
    </w:pPr>
    <w:rPr>
      <w:b w:val="0"/>
      <w:i w:val="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94E32"/>
    <w:pPr>
      <w:tabs>
        <w:tab w:val="right" w:pos="8220"/>
      </w:tabs>
    </w:pPr>
    <w:rPr>
      <w:rFonts w:ascii="Arial" w:hAnsi="Arial"/>
      <w:color w:val="000000" w:themeColor="text1"/>
      <w:sz w:val="19"/>
      <w:szCs w:val="18"/>
    </w:rPr>
  </w:style>
  <w:style w:type="paragraph" w:styleId="Footer">
    <w:name w:val="footer"/>
    <w:basedOn w:val="Normal"/>
    <w:link w:val="FooterChar"/>
    <w:rsid w:val="00894E32"/>
    <w:pPr>
      <w:tabs>
        <w:tab w:val="right" w:pos="8220"/>
      </w:tabs>
      <w:spacing w:line="0" w:lineRule="atLeast"/>
    </w:pPr>
    <w:rPr>
      <w:rFonts w:ascii="Arial" w:hAnsi="Arial"/>
      <w:color w:val="000000" w:themeColor="text1"/>
      <w:sz w:val="19"/>
      <w:szCs w:val="18"/>
    </w:rPr>
  </w:style>
  <w:style w:type="paragraph" w:customStyle="1" w:styleId="TOCtitle">
    <w:name w:val="TOC title"/>
    <w:basedOn w:val="Heading2"/>
    <w:next w:val="PwCNormal"/>
    <w:unhideWhenUsed/>
    <w:rsid w:val="00894E32"/>
    <w:pPr>
      <w:numPr>
        <w:ilvl w:val="0"/>
        <w:numId w:val="0"/>
      </w:numPr>
      <w:spacing w:after="600"/>
    </w:pPr>
    <w:rPr>
      <w:color w:val="auto"/>
    </w:rPr>
  </w:style>
  <w:style w:type="paragraph" w:customStyle="1" w:styleId="Covertitle">
    <w:name w:val="Cover title"/>
    <w:basedOn w:val="KeySentenceInside"/>
    <w:next w:val="Coversubtitle"/>
    <w:rsid w:val="00894E32"/>
    <w:pPr>
      <w:framePr w:w="2154" w:wrap="notBeside" w:vAnchor="page" w:hAnchor="page" w:x="928" w:y="8427"/>
      <w:spacing w:before="200"/>
      <w:ind w:left="113"/>
    </w:pPr>
    <w:rPr>
      <w:rFonts w:asciiTheme="majorHAnsi" w:hAnsiTheme="majorHAnsi"/>
      <w:color w:val="auto"/>
      <w:sz w:val="19"/>
      <w:lang w:val="en-GB"/>
    </w:rPr>
  </w:style>
  <w:style w:type="paragraph" w:customStyle="1" w:styleId="Coversubtitle">
    <w:name w:val="Cover subtitle"/>
    <w:basedOn w:val="Covertitle"/>
    <w:rsid w:val="00894E32"/>
    <w:pPr>
      <w:framePr w:wrap="notBeside"/>
      <w:spacing w:before="180"/>
    </w:pPr>
    <w:rPr>
      <w:bCs/>
      <w:szCs w:val="64"/>
    </w:rPr>
  </w:style>
  <w:style w:type="paragraph" w:customStyle="1" w:styleId="AppendixNumberLong">
    <w:name w:val="Appendix Number (Long)"/>
    <w:basedOn w:val="Heading3"/>
    <w:next w:val="Heading3"/>
    <w:rsid w:val="00894E32"/>
    <w:pPr>
      <w:keepNext/>
      <w:keepLines/>
      <w:pageBreakBefore/>
      <w:numPr>
        <w:ilvl w:val="5"/>
        <w:numId w:val="9"/>
      </w:numPr>
    </w:pPr>
    <w:rPr>
      <w:color w:val="000000" w:themeColor="text1"/>
    </w:rPr>
  </w:style>
  <w:style w:type="paragraph" w:customStyle="1" w:styleId="ChapterNumberLong">
    <w:name w:val="Chapter Number (Long)"/>
    <w:basedOn w:val="Heading1"/>
    <w:next w:val="Heading1"/>
    <w:rsid w:val="00894E32"/>
    <w:pPr>
      <w:pageBreakBefore/>
      <w:numPr>
        <w:numId w:val="9"/>
      </w:numPr>
    </w:pPr>
  </w:style>
  <w:style w:type="paragraph" w:customStyle="1" w:styleId="Footer-Even">
    <w:name w:val="Footer - Even"/>
    <w:basedOn w:val="Footer"/>
    <w:rsid w:val="00894E32"/>
  </w:style>
  <w:style w:type="paragraph" w:customStyle="1" w:styleId="URL">
    <w:name w:val="URL"/>
    <w:basedOn w:val="PwCNormal"/>
    <w:next w:val="PwCNormal"/>
    <w:rsid w:val="00894E32"/>
    <w:pPr>
      <w:framePr w:wrap="around" w:vAnchor="page" w:hAnchor="page" w:x="1022" w:y="568"/>
      <w:numPr>
        <w:numId w:val="0"/>
      </w:numPr>
      <w:spacing w:after="0"/>
    </w:pPr>
    <w:rPr>
      <w:rFonts w:eastAsia="+mn-ea"/>
      <w:snapToGrid/>
      <w:color w:val="FFFFFF"/>
      <w:sz w:val="36"/>
    </w:rPr>
  </w:style>
  <w:style w:type="paragraph" w:customStyle="1" w:styleId="Indent1">
    <w:name w:val="Indent 1"/>
    <w:basedOn w:val="Normal"/>
    <w:rsid w:val="00894E32"/>
    <w:pPr>
      <w:numPr>
        <w:ilvl w:val="1"/>
        <w:numId w:val="26"/>
      </w:numPr>
      <w:spacing w:before="100" w:after="100"/>
    </w:pPr>
    <w:rPr>
      <w:rFonts w:cs="Times New Roman"/>
    </w:rPr>
  </w:style>
  <w:style w:type="paragraph" w:customStyle="1" w:styleId="Indent2">
    <w:name w:val="Indent 2"/>
    <w:basedOn w:val="Indent1"/>
    <w:rsid w:val="00894E32"/>
    <w:pPr>
      <w:numPr>
        <w:ilvl w:val="2"/>
      </w:numPr>
    </w:pPr>
  </w:style>
  <w:style w:type="paragraph" w:customStyle="1" w:styleId="Indent3">
    <w:name w:val="Indent 3"/>
    <w:basedOn w:val="Indent2"/>
    <w:rsid w:val="00894E32"/>
    <w:pPr>
      <w:numPr>
        <w:ilvl w:val="3"/>
      </w:numPr>
    </w:pPr>
  </w:style>
  <w:style w:type="paragraph" w:customStyle="1" w:styleId="Indent5">
    <w:name w:val="Indent 5"/>
    <w:basedOn w:val="Indent4"/>
    <w:rsid w:val="00894E32"/>
    <w:pPr>
      <w:numPr>
        <w:ilvl w:val="5"/>
      </w:numPr>
    </w:pPr>
  </w:style>
  <w:style w:type="paragraph" w:customStyle="1" w:styleId="Indent6">
    <w:name w:val="Indent 6"/>
    <w:basedOn w:val="Indent5"/>
    <w:rsid w:val="00894E32"/>
    <w:pPr>
      <w:numPr>
        <w:ilvl w:val="6"/>
      </w:numPr>
    </w:pPr>
  </w:style>
  <w:style w:type="paragraph" w:customStyle="1" w:styleId="Indent7">
    <w:name w:val="Indent 7"/>
    <w:basedOn w:val="Indent6"/>
    <w:rsid w:val="00894E32"/>
    <w:pPr>
      <w:numPr>
        <w:ilvl w:val="7"/>
      </w:numPr>
    </w:pPr>
  </w:style>
  <w:style w:type="numbering" w:customStyle="1" w:styleId="Indents">
    <w:name w:val="Indents"/>
    <w:rsid w:val="00894E32"/>
    <w:pPr>
      <w:numPr>
        <w:numId w:val="10"/>
      </w:numPr>
    </w:pPr>
  </w:style>
  <w:style w:type="paragraph" w:customStyle="1" w:styleId="Copyright">
    <w:name w:val="Copyright"/>
    <w:basedOn w:val="Normal"/>
    <w:rsid w:val="00894E32"/>
    <w:pPr>
      <w:framePr w:w="7938" w:wrap="around" w:vAnchor="page" w:hAnchor="page" w:x="1022" w:y="15196"/>
      <w:spacing w:before="150" w:after="150" w:line="150" w:lineRule="atLeast"/>
      <w:ind w:right="816"/>
    </w:pPr>
    <w:rPr>
      <w:rFonts w:ascii="Arial" w:hAnsi="Arial"/>
      <w:color w:val="FFFFFF"/>
      <w:sz w:val="16"/>
      <w:lang w:val="en-US"/>
    </w:rPr>
  </w:style>
  <w:style w:type="paragraph" w:customStyle="1" w:styleId="Header-Even">
    <w:name w:val="Header - Even"/>
    <w:basedOn w:val="Header"/>
    <w:rsid w:val="00894E32"/>
  </w:style>
  <w:style w:type="paragraph" w:customStyle="1" w:styleId="PleaseNote">
    <w:name w:val="Please Note"/>
    <w:basedOn w:val="PrefaceTitle"/>
    <w:next w:val="PwCNormal"/>
    <w:rsid w:val="008D4477"/>
    <w:rPr>
      <w:iCs w:val="0"/>
    </w:rPr>
  </w:style>
  <w:style w:type="paragraph" w:customStyle="1" w:styleId="Indent4">
    <w:name w:val="Indent 4"/>
    <w:basedOn w:val="Indent3"/>
    <w:rsid w:val="00894E32"/>
    <w:pPr>
      <w:numPr>
        <w:ilvl w:val="4"/>
      </w:numPr>
    </w:pPr>
  </w:style>
  <w:style w:type="paragraph" w:styleId="TOC2">
    <w:name w:val="toc 2"/>
    <w:basedOn w:val="TOC1"/>
    <w:next w:val="PwCNormal"/>
    <w:uiPriority w:val="39"/>
    <w:rsid w:val="00894E32"/>
    <w:pPr>
      <w:numPr>
        <w:numId w:val="0"/>
      </w:numPr>
      <w:tabs>
        <w:tab w:val="left" w:pos="567"/>
      </w:tabs>
      <w:ind w:left="567" w:hanging="567"/>
    </w:pPr>
  </w:style>
  <w:style w:type="paragraph" w:styleId="TOC4">
    <w:name w:val="toc 4"/>
    <w:basedOn w:val="TOC2"/>
    <w:next w:val="PwCNormal"/>
    <w:uiPriority w:val="39"/>
    <w:rsid w:val="00894E32"/>
    <w:pPr>
      <w:tabs>
        <w:tab w:val="clear" w:pos="567"/>
        <w:tab w:val="left" w:pos="1134"/>
      </w:tabs>
      <w:ind w:left="1134" w:hanging="1134"/>
    </w:pPr>
  </w:style>
  <w:style w:type="paragraph" w:styleId="TOC7">
    <w:name w:val="toc 7"/>
    <w:basedOn w:val="TOC6"/>
    <w:next w:val="PwCNormal"/>
    <w:uiPriority w:val="39"/>
    <w:rsid w:val="00894E32"/>
    <w:pPr>
      <w:tabs>
        <w:tab w:val="clear" w:pos="1134"/>
        <w:tab w:val="left" w:pos="1985"/>
      </w:tabs>
      <w:ind w:left="1985" w:hanging="851"/>
    </w:pPr>
  </w:style>
  <w:style w:type="paragraph" w:customStyle="1" w:styleId="KeySentenceInside">
    <w:name w:val="Key Sentence Inside"/>
    <w:basedOn w:val="KeySentence"/>
    <w:rsid w:val="00894E32"/>
    <w:pPr>
      <w:framePr w:w="2296" w:wrap="notBeside" w:vAnchor="text" w:hAnchor="margin" w:x="-2521" w:y="1" w:anchorLock="1"/>
    </w:pPr>
  </w:style>
  <w:style w:type="paragraph" w:customStyle="1" w:styleId="ChapterNumberedList1">
    <w:name w:val="Chapter Numbered List 1"/>
    <w:basedOn w:val="PwCNormal"/>
    <w:rsid w:val="00894E32"/>
    <w:pPr>
      <w:numPr>
        <w:ilvl w:val="7"/>
        <w:numId w:val="9"/>
      </w:numPr>
    </w:pPr>
  </w:style>
  <w:style w:type="paragraph" w:customStyle="1" w:styleId="ChapterNumberedList2">
    <w:name w:val="Chapter Numbered List 2"/>
    <w:basedOn w:val="ChapterNumberedList1"/>
    <w:rsid w:val="00894E32"/>
    <w:pPr>
      <w:numPr>
        <w:ilvl w:val="8"/>
      </w:numPr>
    </w:pPr>
  </w:style>
  <w:style w:type="paragraph" w:styleId="TOC6">
    <w:name w:val="toc 6"/>
    <w:basedOn w:val="TOC2"/>
    <w:next w:val="PwCNormal"/>
    <w:uiPriority w:val="39"/>
    <w:rsid w:val="00894E32"/>
    <w:pPr>
      <w:tabs>
        <w:tab w:val="clear" w:pos="567"/>
        <w:tab w:val="left" w:pos="1134"/>
      </w:tabs>
      <w:ind w:left="1134"/>
    </w:pPr>
  </w:style>
  <w:style w:type="paragraph" w:customStyle="1" w:styleId="PwCNormal">
    <w:name w:val="PwC Normal"/>
    <w:aliases w:val="n,majNormal,note(text),cv teC Normal,note(text) + +Headings (Georgia),9 pt,Before:  3 pt,After:  3..."/>
    <w:basedOn w:val="Normal"/>
    <w:link w:val="PwCNormalChar"/>
    <w:qFormat/>
    <w:rsid w:val="00894E32"/>
    <w:pPr>
      <w:numPr>
        <w:numId w:val="26"/>
      </w:numPr>
      <w:spacing w:before="120" w:after="120"/>
    </w:pPr>
  </w:style>
  <w:style w:type="paragraph" w:customStyle="1" w:styleId="CoverDate">
    <w:name w:val="Cover Date"/>
    <w:basedOn w:val="Coversubtitle"/>
    <w:rsid w:val="00894E32"/>
    <w:pPr>
      <w:framePr w:wrap="notBeside"/>
    </w:pPr>
  </w:style>
  <w:style w:type="paragraph" w:customStyle="1" w:styleId="KeySentenceOutside">
    <w:name w:val="Key Sentence Outside"/>
    <w:basedOn w:val="KeySentence"/>
    <w:rsid w:val="00894E32"/>
    <w:pPr>
      <w:framePr w:w="2410" w:wrap="around" w:vAnchor="text" w:hAnchor="margin" w:x="7909" w:y="1" w:anchorLock="1"/>
    </w:pPr>
  </w:style>
  <w:style w:type="character" w:customStyle="1" w:styleId="PwCNormalChar">
    <w:name w:val="PwC Normal Char"/>
    <w:aliases w:val="n Char Char,n Char,majNormal Char,note(text) Char,cv teC Normal Char,note(text) + +Headings (Georgia) Char,9 pt Char,Before:  3 pt Char,After:  3... Char"/>
    <w:basedOn w:val="DefaultParagraphFont"/>
    <w:link w:val="PwCNormal"/>
    <w:rsid w:val="00894E32"/>
    <w:rPr>
      <w:rFonts w:cs="Arial"/>
      <w:snapToGrid w:val="0"/>
      <w:lang w:eastAsia="en-US"/>
    </w:rPr>
  </w:style>
  <w:style w:type="paragraph" w:styleId="TOC1">
    <w:name w:val="toc 1"/>
    <w:basedOn w:val="Normal"/>
    <w:next w:val="PwCNormal"/>
    <w:uiPriority w:val="39"/>
    <w:rsid w:val="00894E32"/>
    <w:pPr>
      <w:numPr>
        <w:numId w:val="25"/>
      </w:numPr>
      <w:tabs>
        <w:tab w:val="right" w:pos="8220"/>
      </w:tabs>
      <w:spacing w:before="240" w:after="240" w:line="240" w:lineRule="atLeast"/>
      <w:ind w:right="851"/>
    </w:pPr>
  </w:style>
  <w:style w:type="paragraph" w:customStyle="1" w:styleId="CREATISID">
    <w:name w:val="CREATISID"/>
    <w:basedOn w:val="PwCNormal"/>
    <w:unhideWhenUsed/>
    <w:rsid w:val="008D4477"/>
    <w:pPr>
      <w:framePr w:w="227" w:h="539" w:wrap="notBeside" w:vAnchor="page" w:hAnchor="page" w:x="511" w:y="15594"/>
      <w:numPr>
        <w:numId w:val="0"/>
      </w:numPr>
      <w:spacing w:after="0"/>
      <w:textDirection w:val="btLr"/>
    </w:pPr>
    <w:rPr>
      <w:rFonts w:eastAsia="MS Mincho"/>
      <w:sz w:val="10"/>
      <w:szCs w:val="12"/>
      <w:lang w:eastAsia="ja-JP"/>
    </w:rPr>
  </w:style>
  <w:style w:type="numbering" w:customStyle="1" w:styleId="BulletList">
    <w:name w:val="Bullet List"/>
    <w:rsid w:val="00894E32"/>
    <w:pPr>
      <w:numPr>
        <w:numId w:val="4"/>
      </w:numPr>
    </w:pPr>
  </w:style>
  <w:style w:type="paragraph" w:customStyle="1" w:styleId="Footer-Landscape">
    <w:name w:val="Footer - Landscape"/>
    <w:basedOn w:val="Footer"/>
    <w:rsid w:val="00894E32"/>
    <w:pPr>
      <w:tabs>
        <w:tab w:val="clear" w:pos="8220"/>
        <w:tab w:val="right" w:pos="14797"/>
      </w:tabs>
    </w:pPr>
  </w:style>
  <w:style w:type="paragraph" w:customStyle="1" w:styleId="TableBullet1Normal">
    <w:name w:val="Table Bullet 1 Normal"/>
    <w:basedOn w:val="TableTextNormal"/>
    <w:rsid w:val="00894E32"/>
    <w:pPr>
      <w:numPr>
        <w:numId w:val="17"/>
      </w:numPr>
      <w:spacing w:before="40" w:after="40"/>
    </w:pPr>
  </w:style>
  <w:style w:type="paragraph" w:customStyle="1" w:styleId="TableTextNormal">
    <w:name w:val="Table Text Normal"/>
    <w:basedOn w:val="Normal"/>
    <w:rsid w:val="00894E32"/>
    <w:pPr>
      <w:spacing w:before="80" w:after="80"/>
    </w:pPr>
  </w:style>
  <w:style w:type="paragraph" w:customStyle="1" w:styleId="TableBullet1Small">
    <w:name w:val="Table Bullet 1 Small"/>
    <w:basedOn w:val="TableTextSmall"/>
    <w:rsid w:val="00894E32"/>
    <w:pPr>
      <w:numPr>
        <w:numId w:val="18"/>
      </w:numPr>
      <w:spacing w:before="20" w:after="20"/>
    </w:pPr>
  </w:style>
  <w:style w:type="paragraph" w:customStyle="1" w:styleId="TableTextSmall">
    <w:name w:val="Table Text Small"/>
    <w:basedOn w:val="Normal"/>
    <w:rsid w:val="00894E32"/>
    <w:pPr>
      <w:spacing w:before="40" w:after="40"/>
    </w:pPr>
    <w:rPr>
      <w:rFonts w:ascii="Arial" w:hAnsi="Arial"/>
      <w:sz w:val="16"/>
      <w:szCs w:val="18"/>
    </w:rPr>
  </w:style>
  <w:style w:type="paragraph" w:customStyle="1" w:styleId="TableBullet3Normal">
    <w:name w:val="Table Bullet 3 Normal"/>
    <w:basedOn w:val="TableBullet2Normal"/>
    <w:rsid w:val="00894E32"/>
    <w:pPr>
      <w:numPr>
        <w:ilvl w:val="2"/>
      </w:numPr>
    </w:pPr>
  </w:style>
  <w:style w:type="paragraph" w:customStyle="1" w:styleId="TableBullet3Small">
    <w:name w:val="Table Bullet 3 Small"/>
    <w:basedOn w:val="TableBullet2Small"/>
    <w:rsid w:val="00894E32"/>
    <w:pPr>
      <w:numPr>
        <w:ilvl w:val="2"/>
      </w:numPr>
    </w:pPr>
    <w:rPr>
      <w:szCs w:val="16"/>
    </w:rPr>
  </w:style>
  <w:style w:type="paragraph" w:customStyle="1" w:styleId="BlockText2">
    <w:name w:val="Block Text 2"/>
    <w:basedOn w:val="Normal"/>
    <w:qFormat/>
    <w:rsid w:val="00894E32"/>
    <w:pPr>
      <w:pBdr>
        <w:top w:val="single" w:sz="2" w:space="10" w:color="A32020" w:themeColor="text2"/>
        <w:left w:val="single" w:sz="2" w:space="10" w:color="A32020" w:themeColor="text2"/>
        <w:bottom w:val="single" w:sz="2" w:space="10" w:color="A32020" w:themeColor="text2"/>
        <w:right w:val="single" w:sz="2" w:space="10" w:color="A32020" w:themeColor="text2"/>
      </w:pBdr>
      <w:shd w:val="clear" w:color="auto" w:fill="A32020" w:themeFill="text2"/>
      <w:kinsoku/>
      <w:overflowPunct/>
      <w:autoSpaceDE/>
      <w:autoSpaceDN/>
      <w:adjustRightInd/>
      <w:snapToGrid/>
      <w:spacing w:after="240"/>
      <w:ind w:left="227" w:right="227"/>
    </w:pPr>
    <w:rPr>
      <w:rFonts w:eastAsiaTheme="minorHAnsi" w:cstheme="minorBidi"/>
      <w:i/>
      <w:snapToGrid/>
      <w:color w:val="FFFFFF" w:themeColor="background2"/>
      <w:sz w:val="48"/>
      <w:szCs w:val="48"/>
      <w:lang w:val="en-GB"/>
    </w:rPr>
  </w:style>
  <w:style w:type="paragraph" w:customStyle="1" w:styleId="Appendix">
    <w:name w:val="Appendix"/>
    <w:basedOn w:val="Heading1"/>
    <w:next w:val="Normal"/>
    <w:uiPriority w:val="99"/>
    <w:qFormat/>
    <w:rsid w:val="00894E32"/>
    <w:pPr>
      <w:keepNext/>
      <w:keepLines/>
      <w:numPr>
        <w:numId w:val="14"/>
      </w:numPr>
      <w:kinsoku/>
      <w:overflowPunct/>
      <w:autoSpaceDE/>
      <w:autoSpaceDN/>
      <w:adjustRightInd/>
      <w:snapToGrid/>
      <w:spacing w:after="480" w:line="600" w:lineRule="atLeast"/>
    </w:pPr>
    <w:rPr>
      <w:rFonts w:eastAsiaTheme="majorEastAsia" w:cstheme="majorBidi"/>
      <w:snapToGrid/>
      <w:szCs w:val="28"/>
      <w:lang w:val="en-GB"/>
    </w:rPr>
  </w:style>
  <w:style w:type="numbering" w:customStyle="1" w:styleId="PwCAppendixList1">
    <w:name w:val="PwC Appendix List 1"/>
    <w:uiPriority w:val="99"/>
    <w:rsid w:val="00894E32"/>
    <w:pPr>
      <w:numPr>
        <w:numId w:val="14"/>
      </w:numPr>
    </w:pPr>
  </w:style>
  <w:style w:type="paragraph" w:styleId="Caption">
    <w:name w:val="caption"/>
    <w:aliases w:val="Text Caption"/>
    <w:basedOn w:val="Normal"/>
    <w:next w:val="Normal"/>
    <w:unhideWhenUsed/>
    <w:qFormat/>
    <w:rsid w:val="00894E32"/>
    <w:pPr>
      <w:keepNext/>
      <w:keepLines/>
      <w:tabs>
        <w:tab w:val="left" w:pos="992"/>
      </w:tabs>
      <w:spacing w:before="240" w:after="120"/>
      <w:ind w:left="992" w:hanging="992"/>
    </w:pPr>
    <w:rPr>
      <w:rFonts w:asciiTheme="majorHAnsi" w:hAnsiTheme="majorHAnsi"/>
      <w:b/>
      <w:bCs/>
      <w:color w:val="A32020" w:themeColor="text2"/>
      <w:szCs w:val="18"/>
    </w:rPr>
  </w:style>
  <w:style w:type="paragraph" w:customStyle="1" w:styleId="Majorheading">
    <w:name w:val="Major heading"/>
    <w:basedOn w:val="Normal"/>
    <w:next w:val="PwCNormal"/>
    <w:rsid w:val="00894E32"/>
    <w:pPr>
      <w:keepNext/>
      <w:keepLines/>
      <w:spacing w:before="240" w:after="40"/>
    </w:pPr>
    <w:rPr>
      <w:rFonts w:asciiTheme="majorHAnsi" w:hAnsiTheme="majorHAnsi"/>
      <w:b/>
      <w:i/>
      <w:color w:val="A32020" w:themeColor="text2"/>
      <w:sz w:val="28"/>
      <w:szCs w:val="24"/>
    </w:rPr>
  </w:style>
  <w:style w:type="numbering" w:customStyle="1" w:styleId="TableBulletNormalList">
    <w:name w:val="Table Bullet Normal List"/>
    <w:rsid w:val="00894E32"/>
    <w:pPr>
      <w:numPr>
        <w:numId w:val="19"/>
      </w:numPr>
    </w:pPr>
  </w:style>
  <w:style w:type="paragraph" w:customStyle="1" w:styleId="Disclaimer">
    <w:name w:val="Disclaimer"/>
    <w:basedOn w:val="Normal"/>
    <w:unhideWhenUsed/>
    <w:rsid w:val="00894E32"/>
    <w:pPr>
      <w:spacing w:after="140"/>
    </w:pPr>
    <w:rPr>
      <w:rFonts w:ascii="Arial" w:hAnsi="Arial"/>
      <w:sz w:val="15"/>
    </w:rPr>
  </w:style>
  <w:style w:type="paragraph" w:customStyle="1" w:styleId="Footer-LandscapeEven">
    <w:name w:val="Footer - Landscape Even"/>
    <w:basedOn w:val="Footer-Landscape"/>
    <w:rsid w:val="00894E32"/>
  </w:style>
  <w:style w:type="paragraph" w:customStyle="1" w:styleId="PwCNormal-Single">
    <w:name w:val="PwC Normal - Single"/>
    <w:basedOn w:val="PwCNormal"/>
    <w:rsid w:val="00894E32"/>
    <w:pPr>
      <w:numPr>
        <w:numId w:val="0"/>
      </w:numPr>
      <w:spacing w:after="0"/>
    </w:pPr>
  </w:style>
  <w:style w:type="numbering" w:customStyle="1" w:styleId="TableNumberdListNormal">
    <w:name w:val="Table Numberd List Normal"/>
    <w:uiPriority w:val="99"/>
    <w:rsid w:val="00894E32"/>
    <w:pPr>
      <w:numPr>
        <w:numId w:val="21"/>
      </w:numPr>
    </w:pPr>
  </w:style>
  <w:style w:type="numbering" w:customStyle="1" w:styleId="TableNumberedListSmall">
    <w:name w:val="Table Numbered List Small"/>
    <w:uiPriority w:val="99"/>
    <w:rsid w:val="00894E32"/>
    <w:pPr>
      <w:numPr>
        <w:numId w:val="23"/>
      </w:numPr>
    </w:pPr>
  </w:style>
  <w:style w:type="paragraph" w:customStyle="1" w:styleId="TableIndent2Normal">
    <w:name w:val="Table Indent 2 Normal"/>
    <w:basedOn w:val="TableIndent1Normal"/>
    <w:rsid w:val="00894E32"/>
    <w:pPr>
      <w:ind w:left="567"/>
    </w:pPr>
  </w:style>
  <w:style w:type="paragraph" w:customStyle="1" w:styleId="TableIndent2Small">
    <w:name w:val="Table Indent 2 Small"/>
    <w:basedOn w:val="TableIndent1Small"/>
    <w:rsid w:val="00894E32"/>
    <w:pPr>
      <w:ind w:left="567"/>
    </w:pPr>
    <w:rPr>
      <w:szCs w:val="16"/>
    </w:rPr>
  </w:style>
  <w:style w:type="paragraph" w:customStyle="1" w:styleId="KeySentence">
    <w:name w:val="Key Sentence"/>
    <w:basedOn w:val="Normal"/>
    <w:rsid w:val="00894E32"/>
    <w:pPr>
      <w:spacing w:after="160" w:line="260" w:lineRule="atLeast"/>
    </w:pPr>
    <w:rPr>
      <w:i/>
      <w:color w:val="A32020" w:themeColor="text2"/>
      <w:sz w:val="16"/>
      <w:szCs w:val="18"/>
    </w:rPr>
  </w:style>
  <w:style w:type="numbering" w:customStyle="1" w:styleId="TableNumberedListS">
    <w:name w:val="Table Numbered List S"/>
    <w:rsid w:val="00894E32"/>
  </w:style>
  <w:style w:type="paragraph" w:customStyle="1" w:styleId="PrefaceTitle">
    <w:name w:val="Preface Title"/>
    <w:basedOn w:val="Heading2"/>
    <w:next w:val="PwCNormal"/>
    <w:rsid w:val="00894E32"/>
    <w:pPr>
      <w:numPr>
        <w:ilvl w:val="0"/>
        <w:numId w:val="0"/>
      </w:numPr>
    </w:pPr>
  </w:style>
  <w:style w:type="paragraph" w:customStyle="1" w:styleId="Sources">
    <w:name w:val="Sources"/>
    <w:basedOn w:val="Normal"/>
    <w:next w:val="PwCNormal"/>
    <w:rsid w:val="00894E32"/>
    <w:pPr>
      <w:spacing w:before="80" w:after="240" w:line="180" w:lineRule="atLeast"/>
    </w:pPr>
    <w:rPr>
      <w:color w:val="A32020" w:themeColor="text2"/>
      <w:sz w:val="16"/>
    </w:rPr>
  </w:style>
  <w:style w:type="paragraph" w:customStyle="1" w:styleId="Minorheading">
    <w:name w:val="Minor heading"/>
    <w:basedOn w:val="Majorheading"/>
    <w:next w:val="PwCNormal"/>
    <w:rsid w:val="00894E32"/>
    <w:pPr>
      <w:spacing w:line="180" w:lineRule="atLeast"/>
    </w:pPr>
    <w:rPr>
      <w:b w:val="0"/>
      <w:sz w:val="26"/>
    </w:rPr>
  </w:style>
  <w:style w:type="paragraph" w:customStyle="1" w:styleId="Minorheading2">
    <w:name w:val="Minor heading 2"/>
    <w:basedOn w:val="Minorheading"/>
    <w:next w:val="PwCNormal"/>
    <w:rsid w:val="00894E32"/>
    <w:pPr>
      <w:spacing w:line="240" w:lineRule="atLeast"/>
    </w:pPr>
    <w:rPr>
      <w:b/>
      <w:i w:val="0"/>
      <w:sz w:val="20"/>
    </w:rPr>
  </w:style>
  <w:style w:type="numbering" w:customStyle="1" w:styleId="PwCListNumbers1">
    <w:name w:val="PwC List Numbers 1"/>
    <w:uiPriority w:val="99"/>
    <w:rsid w:val="00894E32"/>
    <w:pPr>
      <w:numPr>
        <w:numId w:val="15"/>
      </w:numPr>
    </w:pPr>
  </w:style>
  <w:style w:type="paragraph" w:customStyle="1" w:styleId="BlockText3">
    <w:name w:val="Block Text 3"/>
    <w:basedOn w:val="BlockText"/>
    <w:qFormat/>
    <w:rsid w:val="00894E32"/>
    <w:pPr>
      <w:pBdr>
        <w:top w:val="single" w:sz="8" w:space="10" w:color="F2F2F2" w:themeColor="background2" w:themeShade="F2"/>
        <w:left w:val="single" w:sz="8" w:space="10" w:color="F2F2F2" w:themeColor="background2" w:themeShade="F2"/>
        <w:bottom w:val="single" w:sz="8" w:space="10" w:color="F2F2F2" w:themeColor="background2" w:themeShade="F2"/>
        <w:right w:val="single" w:sz="8" w:space="10" w:color="F2F2F2" w:themeColor="background2" w:themeShade="F2"/>
      </w:pBdr>
      <w:shd w:val="clear" w:color="auto" w:fill="F2F2F2" w:themeFill="background2" w:themeFillShade="F2"/>
      <w:kinsoku/>
      <w:overflowPunct/>
      <w:autoSpaceDE/>
      <w:autoSpaceDN/>
      <w:adjustRightInd/>
      <w:snapToGrid/>
      <w:ind w:left="227" w:right="227"/>
    </w:pPr>
    <w:rPr>
      <w:snapToGrid/>
      <w:sz w:val="96"/>
      <w:lang w:val="en-GB"/>
    </w:rPr>
  </w:style>
  <w:style w:type="paragraph" w:customStyle="1" w:styleId="TableBullet2Normal">
    <w:name w:val="Table Bullet 2 Normal"/>
    <w:basedOn w:val="TableBullet1Normal"/>
    <w:rsid w:val="00894E32"/>
    <w:pPr>
      <w:numPr>
        <w:ilvl w:val="1"/>
      </w:numPr>
    </w:pPr>
  </w:style>
  <w:style w:type="paragraph" w:customStyle="1" w:styleId="TableBullet2Small">
    <w:name w:val="Table Bullet 2 Small"/>
    <w:basedOn w:val="TableBullet1Small"/>
    <w:rsid w:val="00894E32"/>
    <w:pPr>
      <w:numPr>
        <w:ilvl w:val="1"/>
      </w:numPr>
    </w:pPr>
  </w:style>
  <w:style w:type="paragraph" w:customStyle="1" w:styleId="TableIndent1Normal">
    <w:name w:val="Table Indent 1 Normal"/>
    <w:basedOn w:val="TableBullet1Normal"/>
    <w:rsid w:val="00894E32"/>
    <w:pPr>
      <w:numPr>
        <w:numId w:val="0"/>
      </w:numPr>
      <w:ind w:left="284"/>
    </w:pPr>
  </w:style>
  <w:style w:type="paragraph" w:customStyle="1" w:styleId="TableIndent1Small">
    <w:name w:val="Table Indent 1 Small"/>
    <w:basedOn w:val="TableBullet1Small"/>
    <w:rsid w:val="00894E32"/>
    <w:pPr>
      <w:numPr>
        <w:numId w:val="0"/>
      </w:numPr>
      <w:ind w:left="284"/>
    </w:pPr>
  </w:style>
  <w:style w:type="paragraph" w:customStyle="1" w:styleId="SubHeading">
    <w:name w:val="Sub Heading"/>
    <w:basedOn w:val="PwCNormal"/>
    <w:rsid w:val="00894E32"/>
    <w:pPr>
      <w:numPr>
        <w:numId w:val="0"/>
      </w:numPr>
      <w:spacing w:after="480" w:line="600" w:lineRule="atLeast"/>
    </w:pPr>
    <w:rPr>
      <w:sz w:val="56"/>
    </w:rPr>
  </w:style>
  <w:style w:type="paragraph" w:styleId="FootnoteText">
    <w:name w:val="footnote text"/>
    <w:aliases w:val="(NECG) Footnote Text"/>
    <w:basedOn w:val="Normal"/>
    <w:link w:val="FootnoteTextChar"/>
    <w:uiPriority w:val="99"/>
    <w:rsid w:val="00894E32"/>
    <w:pPr>
      <w:tabs>
        <w:tab w:val="left" w:pos="284"/>
      </w:tabs>
      <w:spacing w:before="80" w:after="80"/>
      <w:ind w:left="227" w:hanging="227"/>
    </w:pPr>
    <w:rPr>
      <w:sz w:val="14"/>
    </w:rPr>
  </w:style>
  <w:style w:type="character" w:styleId="FootnoteReference">
    <w:name w:val="footnote reference"/>
    <w:aliases w:val="(NECG) Footnote Reference"/>
    <w:basedOn w:val="DefaultParagraphFont"/>
    <w:uiPriority w:val="99"/>
    <w:rsid w:val="00894E32"/>
    <w:rPr>
      <w:rFonts w:cs="Arial"/>
      <w:sz w:val="21"/>
      <w:vertAlign w:val="superscript"/>
    </w:rPr>
  </w:style>
  <w:style w:type="character" w:styleId="EndnoteReference">
    <w:name w:val="endnote reference"/>
    <w:basedOn w:val="DefaultParagraphFont"/>
    <w:semiHidden/>
    <w:unhideWhenUsed/>
    <w:rsid w:val="00894E32"/>
    <w:rPr>
      <w:rFonts w:ascii="Arial" w:hAnsi="Arial" w:cs="Arial"/>
      <w:sz w:val="21"/>
      <w:vertAlign w:val="superscript"/>
    </w:rPr>
  </w:style>
  <w:style w:type="paragraph" w:styleId="EndnoteText">
    <w:name w:val="endnote text"/>
    <w:basedOn w:val="FootnoteText"/>
    <w:semiHidden/>
    <w:unhideWhenUsed/>
    <w:rsid w:val="00894E32"/>
  </w:style>
  <w:style w:type="paragraph" w:customStyle="1" w:styleId="Address">
    <w:name w:val="Address"/>
    <w:basedOn w:val="Normal"/>
    <w:qFormat/>
    <w:rsid w:val="00894E32"/>
    <w:pPr>
      <w:kinsoku/>
      <w:overflowPunct/>
      <w:autoSpaceDE/>
      <w:autoSpaceDN/>
      <w:adjustRightInd/>
      <w:snapToGrid/>
      <w:spacing w:line="200" w:lineRule="atLeast"/>
    </w:pPr>
    <w:rPr>
      <w:rFonts w:eastAsiaTheme="minorHAnsi" w:cstheme="minorBidi"/>
      <w:i/>
      <w:noProof/>
      <w:snapToGrid/>
      <w:sz w:val="18"/>
      <w:szCs w:val="22"/>
      <w:lang w:val="en-GB" w:eastAsia="en-GB"/>
    </w:rPr>
  </w:style>
  <w:style w:type="table" w:styleId="TableGrid">
    <w:name w:val="Table Grid"/>
    <w:basedOn w:val="TableNormal"/>
    <w:semiHidden/>
    <w:locked/>
    <w:rsid w:val="00894E32"/>
    <w:pPr>
      <w:kinsoku w:val="0"/>
      <w:overflowPunct w:val="0"/>
      <w:autoSpaceDE w:val="0"/>
      <w:autoSpaceDN w:val="0"/>
      <w:adjustRightInd w:val="0"/>
      <w:snapToGri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TOC1"/>
    <w:next w:val="PwCNormal"/>
    <w:uiPriority w:val="39"/>
    <w:rsid w:val="00894E32"/>
    <w:pPr>
      <w:numPr>
        <w:ilvl w:val="2"/>
      </w:numPr>
    </w:pPr>
  </w:style>
  <w:style w:type="paragraph" w:styleId="TOC5">
    <w:name w:val="toc 5"/>
    <w:basedOn w:val="TOC2"/>
    <w:next w:val="PwCNormal"/>
    <w:rsid w:val="00894E32"/>
  </w:style>
  <w:style w:type="paragraph" w:styleId="TOC8">
    <w:name w:val="toc 8"/>
    <w:basedOn w:val="TOC7"/>
    <w:next w:val="PwCNormal"/>
    <w:rsid w:val="00894E32"/>
    <w:pPr>
      <w:tabs>
        <w:tab w:val="clear" w:pos="1985"/>
        <w:tab w:val="left" w:pos="3402"/>
      </w:tabs>
      <w:ind w:left="3403"/>
    </w:pPr>
  </w:style>
  <w:style w:type="paragraph" w:styleId="TOC9">
    <w:name w:val="toc 9"/>
    <w:basedOn w:val="TOC8"/>
    <w:next w:val="PwCNormal"/>
    <w:uiPriority w:val="39"/>
    <w:rsid w:val="00894E32"/>
    <w:pPr>
      <w:tabs>
        <w:tab w:val="clear" w:pos="3402"/>
        <w:tab w:val="left" w:pos="4253"/>
      </w:tabs>
      <w:ind w:left="4253"/>
    </w:pPr>
  </w:style>
  <w:style w:type="paragraph" w:customStyle="1" w:styleId="Separator">
    <w:name w:val="Separator"/>
    <w:basedOn w:val="Normal"/>
    <w:semiHidden/>
    <w:rsid w:val="00894E32"/>
    <w:pPr>
      <w:spacing w:before="240" w:after="120"/>
    </w:pPr>
    <w:rPr>
      <w:sz w:val="16"/>
    </w:rPr>
  </w:style>
  <w:style w:type="numbering" w:customStyle="1" w:styleId="TableNumberedListN">
    <w:name w:val="Table Numbered List N"/>
    <w:rsid w:val="00894E32"/>
  </w:style>
  <w:style w:type="paragraph" w:customStyle="1" w:styleId="TableColumnHeadingNormal">
    <w:name w:val="Table Column Heading Normal"/>
    <w:basedOn w:val="TableTextNormal"/>
    <w:rsid w:val="00894E32"/>
    <w:pPr>
      <w:keepNext/>
      <w:keepLines/>
    </w:pPr>
    <w:rPr>
      <w:b/>
      <w:color w:val="A32020" w:themeColor="text2"/>
    </w:rPr>
  </w:style>
  <w:style w:type="paragraph" w:customStyle="1" w:styleId="TableColumnHeadingSmall">
    <w:name w:val="Table Column Heading Small"/>
    <w:basedOn w:val="TableTextSmall"/>
    <w:next w:val="TableTextSmall"/>
    <w:rsid w:val="00894E32"/>
    <w:pPr>
      <w:keepNext/>
      <w:keepLines/>
    </w:pPr>
    <w:rPr>
      <w:b/>
      <w:color w:val="A32020" w:themeColor="text2"/>
      <w:szCs w:val="16"/>
    </w:rPr>
  </w:style>
  <w:style w:type="numbering" w:customStyle="1" w:styleId="TableBulletSmallList">
    <w:name w:val="Table Bullet Small List"/>
    <w:rsid w:val="00894E32"/>
    <w:pPr>
      <w:numPr>
        <w:numId w:val="20"/>
      </w:numPr>
    </w:pPr>
  </w:style>
  <w:style w:type="paragraph" w:customStyle="1" w:styleId="Header-Landscape">
    <w:name w:val="Header - Landscape"/>
    <w:basedOn w:val="Header"/>
    <w:rsid w:val="00894E32"/>
  </w:style>
  <w:style w:type="character" w:styleId="PageNumber">
    <w:name w:val="page number"/>
    <w:semiHidden/>
    <w:unhideWhenUsed/>
    <w:rsid w:val="00894E32"/>
  </w:style>
  <w:style w:type="paragraph" w:styleId="Date">
    <w:name w:val="Date"/>
    <w:basedOn w:val="Normal"/>
    <w:next w:val="PwCNormal"/>
    <w:semiHidden/>
    <w:rsid w:val="00894E32"/>
  </w:style>
  <w:style w:type="paragraph" w:customStyle="1" w:styleId="Indent8">
    <w:name w:val="Indent 8"/>
    <w:basedOn w:val="Indent7"/>
    <w:rsid w:val="00894E32"/>
    <w:pPr>
      <w:numPr>
        <w:ilvl w:val="8"/>
      </w:numPr>
    </w:pPr>
  </w:style>
  <w:style w:type="paragraph" w:customStyle="1" w:styleId="Header-LandscapeEven">
    <w:name w:val="Header - Landscape Even"/>
    <w:basedOn w:val="Header-Landscape"/>
    <w:rsid w:val="00894E32"/>
    <w:pPr>
      <w:tabs>
        <w:tab w:val="right" w:pos="14661"/>
      </w:tabs>
    </w:pPr>
  </w:style>
  <w:style w:type="paragraph" w:customStyle="1" w:styleId="Footer-ToC">
    <w:name w:val="Footer - ToC"/>
    <w:basedOn w:val="Footer"/>
    <w:rsid w:val="00894E32"/>
  </w:style>
  <w:style w:type="paragraph" w:customStyle="1" w:styleId="Footer-ToCEven">
    <w:name w:val="Footer - ToC Even"/>
    <w:basedOn w:val="Footer-ToC"/>
    <w:rsid w:val="00894E32"/>
  </w:style>
  <w:style w:type="table" w:customStyle="1" w:styleId="Tables-APBase">
    <w:name w:val="Tables - AP Base"/>
    <w:basedOn w:val="TableNormal"/>
    <w:rsid w:val="00894E32"/>
    <w:tblPr>
      <w:tblStyleRowBandSize w:val="1"/>
      <w:tblStyleColBandSize w:val="1"/>
      <w:tblBorders>
        <w:top w:val="single" w:sz="4" w:space="0" w:color="FFFFFF"/>
        <w:left w:val="single" w:sz="4" w:space="0" w:color="FFFFFF"/>
        <w:bottom w:val="single" w:sz="6" w:space="0" w:color="A32020" w:themeColor="text2"/>
        <w:right w:val="single" w:sz="4" w:space="0" w:color="FFFFFF"/>
        <w:insideH w:val="dotted" w:sz="8" w:space="0" w:color="A32020" w:themeColor="text2"/>
        <w:insideV w:val="single" w:sz="4" w:space="0" w:color="FFFFFF"/>
      </w:tblBorders>
    </w:tblPr>
    <w:tcPr>
      <w:shd w:val="clear" w:color="auto" w:fill="auto"/>
      <w:tcMar>
        <w:top w:w="0" w:type="dxa"/>
        <w:left w:w="108" w:type="dxa"/>
        <w:bottom w:w="0" w:type="dxa"/>
        <w:right w:w="108" w:type="dxa"/>
      </w:tcMar>
    </w:tcPr>
    <w:tblStylePr w:type="firstRow">
      <w:pPr>
        <w:jc w:val="center"/>
      </w:pPr>
      <w:rPr>
        <w:rFonts w:ascii="Georgia" w:hAnsi="Georgia"/>
        <w:b w:val="0"/>
        <w:color w:val="auto"/>
      </w:rPr>
      <w:tblPr/>
      <w:trPr>
        <w:tblHeader/>
      </w:trPr>
      <w:tcPr>
        <w:tcBorders>
          <w:top w:val="single" w:sz="4" w:space="0" w:color="A32020" w:themeColor="text2"/>
          <w:bottom w:val="single" w:sz="4" w:space="0" w:color="A32020" w:themeColor="text2"/>
        </w:tcBorders>
      </w:tcPr>
    </w:tblStylePr>
    <w:tblStylePr w:type="lastRow">
      <w:rPr>
        <w:color w:val="auto"/>
      </w:rPr>
      <w:tblPr/>
      <w:tcPr>
        <w:tcBorders>
          <w:top w:val="single" w:sz="4" w:space="0" w:color="A32020" w:themeColor="text2"/>
        </w:tcBorders>
        <w:shd w:val="clear" w:color="auto" w:fill="auto"/>
      </w:tcPr>
    </w:tblStylePr>
    <w:tblStylePr w:type="nwCell">
      <w:pPr>
        <w:jc w:val="left"/>
      </w:pPr>
      <w:tblPr/>
      <w:tcPr>
        <w:vAlign w:val="bottom"/>
      </w:tcPr>
    </w:tblStylePr>
  </w:style>
  <w:style w:type="paragraph" w:customStyle="1" w:styleId="CVRoleTitle">
    <w:name w:val="CV Role Title"/>
    <w:basedOn w:val="CVText"/>
    <w:rsid w:val="00894E32"/>
    <w:pPr>
      <w:pBdr>
        <w:bottom w:val="none" w:sz="0" w:space="0" w:color="00457C"/>
      </w:pBdr>
    </w:pPr>
    <w:rPr>
      <w:i/>
      <w:color w:val="A32020" w:themeColor="text2"/>
      <w:sz w:val="24"/>
      <w:szCs w:val="24"/>
    </w:rPr>
  </w:style>
  <w:style w:type="paragraph" w:customStyle="1" w:styleId="ListBullet1">
    <w:name w:val="List Bullet 1"/>
    <w:basedOn w:val="Normal"/>
    <w:semiHidden/>
    <w:locked/>
    <w:rsid w:val="00894E32"/>
    <w:pPr>
      <w:tabs>
        <w:tab w:val="num" w:pos="720"/>
      </w:tabs>
      <w:spacing w:before="100" w:after="100"/>
      <w:ind w:left="720" w:hanging="720"/>
    </w:pPr>
  </w:style>
  <w:style w:type="paragraph" w:styleId="ListBullet2">
    <w:name w:val="List Bullet 2"/>
    <w:basedOn w:val="ListBullet1"/>
    <w:qFormat/>
    <w:locked/>
    <w:rsid w:val="00894E32"/>
    <w:pPr>
      <w:numPr>
        <w:ilvl w:val="1"/>
        <w:numId w:val="11"/>
      </w:numPr>
      <w:spacing w:before="120" w:after="120"/>
    </w:pPr>
  </w:style>
  <w:style w:type="paragraph" w:styleId="ListBullet4">
    <w:name w:val="List Bullet 4"/>
    <w:basedOn w:val="ListBullet3"/>
    <w:unhideWhenUsed/>
    <w:locked/>
    <w:rsid w:val="00894E32"/>
    <w:pPr>
      <w:numPr>
        <w:ilvl w:val="3"/>
      </w:numPr>
    </w:pPr>
  </w:style>
  <w:style w:type="paragraph" w:customStyle="1" w:styleId="CVBullet1">
    <w:name w:val="CV Bullet 1"/>
    <w:basedOn w:val="CVText"/>
    <w:rsid w:val="00894E32"/>
    <w:pPr>
      <w:numPr>
        <w:numId w:val="7"/>
      </w:numPr>
      <w:spacing w:before="40" w:after="40"/>
    </w:pPr>
  </w:style>
  <w:style w:type="paragraph" w:customStyle="1" w:styleId="CVDetails">
    <w:name w:val="CV Details"/>
    <w:basedOn w:val="CVRoleTitle"/>
    <w:rsid w:val="00894E32"/>
    <w:pPr>
      <w:spacing w:before="120" w:after="40"/>
    </w:pPr>
    <w:rPr>
      <w:sz w:val="14"/>
    </w:rPr>
  </w:style>
  <w:style w:type="paragraph" w:customStyle="1" w:styleId="CVHeading2">
    <w:name w:val="CV Heading 2"/>
    <w:basedOn w:val="CVHeading1"/>
    <w:next w:val="CVText"/>
    <w:rsid w:val="00894E32"/>
    <w:pPr>
      <w:pBdr>
        <w:bottom w:val="none" w:sz="0" w:space="0" w:color="00457C"/>
      </w:pBdr>
    </w:pPr>
    <w:rPr>
      <w:b w:val="0"/>
      <w:sz w:val="18"/>
      <w:szCs w:val="24"/>
    </w:rPr>
  </w:style>
  <w:style w:type="paragraph" w:styleId="ListBullet3">
    <w:name w:val="List Bullet 3"/>
    <w:basedOn w:val="ListBullet2"/>
    <w:qFormat/>
    <w:locked/>
    <w:rsid w:val="00894E32"/>
    <w:pPr>
      <w:numPr>
        <w:ilvl w:val="2"/>
      </w:numPr>
    </w:pPr>
  </w:style>
  <w:style w:type="paragraph" w:customStyle="1" w:styleId="CVHeading1">
    <w:name w:val="CV Heading 1"/>
    <w:basedOn w:val="CVText"/>
    <w:next w:val="CVText"/>
    <w:rsid w:val="00894E32"/>
    <w:pPr>
      <w:keepNext/>
      <w:keepLines/>
      <w:spacing w:before="120"/>
    </w:pPr>
    <w:rPr>
      <w:b/>
      <w:i/>
      <w:color w:val="A32020" w:themeColor="text2"/>
    </w:rPr>
  </w:style>
  <w:style w:type="paragraph" w:customStyle="1" w:styleId="CVPhoto">
    <w:name w:val="CV Photo"/>
    <w:basedOn w:val="CVHeading2"/>
    <w:rsid w:val="00894E32"/>
    <w:rPr>
      <w:sz w:val="21"/>
    </w:rPr>
  </w:style>
  <w:style w:type="paragraph" w:customStyle="1" w:styleId="CVText">
    <w:name w:val="CV Text"/>
    <w:basedOn w:val="PwCNormal"/>
    <w:rsid w:val="00894E32"/>
    <w:pPr>
      <w:numPr>
        <w:numId w:val="0"/>
      </w:numPr>
      <w:spacing w:before="80" w:after="80"/>
    </w:pPr>
  </w:style>
  <w:style w:type="paragraph" w:customStyle="1" w:styleId="CVNamelarge">
    <w:name w:val="CV Name large"/>
    <w:basedOn w:val="CVText"/>
    <w:next w:val="CVRoleTitle"/>
    <w:rsid w:val="00894E32"/>
    <w:pPr>
      <w:spacing w:before="0"/>
    </w:pPr>
    <w:rPr>
      <w:b/>
      <w:i/>
      <w:color w:val="A32020" w:themeColor="text2"/>
      <w:sz w:val="36"/>
      <w:szCs w:val="24"/>
    </w:rPr>
  </w:style>
  <w:style w:type="paragraph" w:customStyle="1" w:styleId="CVBullet2">
    <w:name w:val="CV Bullet 2"/>
    <w:basedOn w:val="CVBullet1"/>
    <w:rsid w:val="00894E32"/>
    <w:pPr>
      <w:numPr>
        <w:ilvl w:val="1"/>
      </w:numPr>
    </w:pPr>
  </w:style>
  <w:style w:type="paragraph" w:styleId="Title">
    <w:name w:val="Title"/>
    <w:basedOn w:val="Normal"/>
    <w:semiHidden/>
    <w:qFormat/>
    <w:rsid w:val="00894E32"/>
    <w:pPr>
      <w:spacing w:before="240" w:after="60"/>
      <w:jc w:val="center"/>
      <w:outlineLvl w:val="0"/>
    </w:pPr>
    <w:rPr>
      <w:b/>
      <w:bCs/>
      <w:color w:val="A32020" w:themeColor="text2"/>
      <w:kern w:val="28"/>
      <w:sz w:val="32"/>
      <w:szCs w:val="32"/>
    </w:rPr>
  </w:style>
  <w:style w:type="paragraph" w:styleId="BalloonText">
    <w:name w:val="Balloon Text"/>
    <w:basedOn w:val="Normal"/>
    <w:semiHidden/>
    <w:locked/>
    <w:rsid w:val="00894E32"/>
    <w:rPr>
      <w:rFonts w:ascii="Tahoma" w:hAnsi="Tahoma"/>
      <w:sz w:val="16"/>
      <w:szCs w:val="16"/>
    </w:rPr>
  </w:style>
  <w:style w:type="numbering" w:customStyle="1" w:styleId="Style1">
    <w:name w:val="Style1"/>
    <w:uiPriority w:val="99"/>
    <w:rsid w:val="00894E32"/>
    <w:pPr>
      <w:numPr>
        <w:numId w:val="16"/>
      </w:numPr>
    </w:pPr>
  </w:style>
  <w:style w:type="numbering" w:customStyle="1" w:styleId="IndentList">
    <w:name w:val="IndentList"/>
    <w:basedOn w:val="NoList"/>
    <w:rsid w:val="00894E32"/>
  </w:style>
  <w:style w:type="paragraph" w:customStyle="1" w:styleId="VersionControl">
    <w:name w:val="Version Control"/>
    <w:basedOn w:val="TOCtitle"/>
    <w:unhideWhenUsed/>
    <w:rsid w:val="007D1C0E"/>
    <w:pPr>
      <w:pageBreakBefore w:val="0"/>
      <w:framePr w:w="9923" w:wrap="around" w:vAnchor="text" w:hAnchor="page" w:x="1498" w:y="1"/>
      <w:spacing w:before="360" w:after="240"/>
    </w:pPr>
    <w:rPr>
      <w:sz w:val="28"/>
    </w:rPr>
  </w:style>
  <w:style w:type="paragraph" w:customStyle="1" w:styleId="VersionTableHeading">
    <w:name w:val="Version Table Heading"/>
    <w:basedOn w:val="VersionTableText"/>
    <w:unhideWhenUsed/>
    <w:rsid w:val="003779E0"/>
    <w:pPr>
      <w:framePr w:wrap="around"/>
    </w:pPr>
  </w:style>
  <w:style w:type="paragraph" w:customStyle="1" w:styleId="VersionTableText">
    <w:name w:val="Version Table Text"/>
    <w:basedOn w:val="VersionControl"/>
    <w:unhideWhenUsed/>
    <w:rsid w:val="003779E0"/>
    <w:pPr>
      <w:framePr w:wrap="around"/>
      <w:spacing w:before="80" w:after="80" w:line="240" w:lineRule="auto"/>
      <w:outlineLvl w:val="9"/>
    </w:pPr>
    <w:rPr>
      <w:rFonts w:ascii="Georgia" w:hAnsi="Georgia"/>
      <w:sz w:val="21"/>
      <w:szCs w:val="20"/>
    </w:rPr>
  </w:style>
  <w:style w:type="table" w:customStyle="1" w:styleId="Tables-APBase2">
    <w:name w:val="Tables - AP Base 2"/>
    <w:basedOn w:val="Tables-APBase"/>
    <w:uiPriority w:val="99"/>
    <w:qFormat/>
    <w:rsid w:val="00894E32"/>
    <w:tblPr/>
    <w:tcPr>
      <w:shd w:val="clear" w:color="auto" w:fill="auto"/>
    </w:tcPr>
    <w:tblStylePr w:type="firstRow">
      <w:pPr>
        <w:jc w:val="center"/>
      </w:pPr>
      <w:rPr>
        <w:rFonts w:asciiTheme="minorHAnsi" w:hAnsiTheme="minorHAnsi"/>
        <w:b/>
        <w:color w:val="FFFFFF" w:themeColor="background2"/>
      </w:rPr>
      <w:tblPr/>
      <w:trPr>
        <w:tblHeader/>
      </w:trPr>
      <w:tcPr>
        <w:tcBorders>
          <w:top w:val="single" w:sz="4" w:space="0" w:color="A32020" w:themeColor="text2"/>
          <w:bottom w:val="single" w:sz="4" w:space="0" w:color="A32020" w:themeColor="text2"/>
        </w:tcBorders>
        <w:shd w:val="clear" w:color="auto" w:fill="A32020" w:themeFill="text2"/>
        <w:vAlign w:val="bottom"/>
      </w:tcPr>
    </w:tblStylePr>
    <w:tblStylePr w:type="lastRow">
      <w:rPr>
        <w:color w:val="FFFFFF" w:themeColor="background1"/>
      </w:rPr>
      <w:tblPr/>
      <w:tcPr>
        <w:tcBorders>
          <w:top w:val="single" w:sz="4" w:space="0" w:color="A32020" w:themeColor="text2"/>
        </w:tcBorders>
        <w:shd w:val="clear" w:color="auto" w:fill="A32020" w:themeFill="text2"/>
      </w:tcPr>
    </w:tblStylePr>
    <w:tblStylePr w:type="firstCol">
      <w:tblPr/>
      <w:tcPr>
        <w:shd w:val="clear" w:color="auto" w:fill="FFFFFF" w:themeFill="background2"/>
      </w:tcPr>
    </w:tblStylePr>
    <w:tblStylePr w:type="lastCol">
      <w:tblPr/>
      <w:tcPr>
        <w:shd w:val="clear" w:color="auto" w:fill="FFFFFF" w:themeFill="background2"/>
      </w:tcPr>
    </w:tblStylePr>
    <w:tblStylePr w:type="band2Vert">
      <w:tblPr/>
      <w:tcPr>
        <w:shd w:val="clear" w:color="auto" w:fill="F4CACA" w:themeFill="text2" w:themeFillTint="33"/>
      </w:tcPr>
    </w:tblStylePr>
    <w:tblStylePr w:type="band2Horz">
      <w:tblPr/>
      <w:tcPr>
        <w:shd w:val="clear" w:color="auto" w:fill="F4CACA" w:themeFill="text2" w:themeFillTint="33"/>
      </w:tcPr>
    </w:tblStylePr>
    <w:tblStylePr w:type="nwCell">
      <w:pPr>
        <w:jc w:val="left"/>
      </w:pPr>
      <w:tblPr/>
      <w:tcPr>
        <w:shd w:val="clear" w:color="auto" w:fill="FFFFFF" w:themeFill="background1"/>
        <w:vAlign w:val="bottom"/>
      </w:tcPr>
    </w:tblStylePr>
  </w:style>
  <w:style w:type="character" w:customStyle="1" w:styleId="HeaderChar">
    <w:name w:val="Header Char"/>
    <w:basedOn w:val="DefaultParagraphFont"/>
    <w:link w:val="Header"/>
    <w:locked/>
    <w:rsid w:val="00894E32"/>
    <w:rPr>
      <w:rFonts w:ascii="Arial" w:hAnsi="Arial" w:cs="Arial"/>
      <w:snapToGrid w:val="0"/>
      <w:color w:val="000000" w:themeColor="text1"/>
      <w:sz w:val="19"/>
      <w:szCs w:val="18"/>
      <w:lang w:eastAsia="en-US"/>
    </w:rPr>
  </w:style>
  <w:style w:type="character" w:customStyle="1" w:styleId="FooterChar">
    <w:name w:val="Footer Char"/>
    <w:basedOn w:val="DefaultParagraphFont"/>
    <w:link w:val="Footer"/>
    <w:locked/>
    <w:rsid w:val="00894E32"/>
    <w:rPr>
      <w:rFonts w:ascii="Arial" w:hAnsi="Arial" w:cs="Arial"/>
      <w:snapToGrid w:val="0"/>
      <w:color w:val="000000" w:themeColor="text1"/>
      <w:sz w:val="19"/>
      <w:szCs w:val="18"/>
      <w:lang w:eastAsia="en-US"/>
    </w:rPr>
  </w:style>
  <w:style w:type="paragraph" w:customStyle="1" w:styleId="Header-FirstPage">
    <w:name w:val="Header - First Page"/>
    <w:basedOn w:val="Header"/>
    <w:rsid w:val="00894E32"/>
  </w:style>
  <w:style w:type="paragraph" w:customStyle="1" w:styleId="Appendicestitle">
    <w:name w:val="Appendices title"/>
    <w:basedOn w:val="TOCtitle"/>
    <w:qFormat/>
    <w:rsid w:val="00894E32"/>
    <w:pPr>
      <w:pageBreakBefore w:val="0"/>
      <w:numPr>
        <w:ilvl w:val="1"/>
        <w:numId w:val="25"/>
      </w:numPr>
    </w:pPr>
  </w:style>
  <w:style w:type="numbering" w:customStyle="1" w:styleId="CVBullets">
    <w:name w:val="CV Bullets"/>
    <w:uiPriority w:val="99"/>
    <w:rsid w:val="00894E32"/>
    <w:pPr>
      <w:numPr>
        <w:numId w:val="8"/>
      </w:numPr>
    </w:pPr>
  </w:style>
  <w:style w:type="paragraph" w:styleId="DocumentMap">
    <w:name w:val="Document Map"/>
    <w:basedOn w:val="Normal"/>
    <w:link w:val="DocumentMapChar"/>
    <w:semiHidden/>
    <w:rsid w:val="00894E32"/>
    <w:rPr>
      <w:rFonts w:ascii="Tahoma" w:hAnsi="Tahoma" w:cs="Tahoma"/>
      <w:sz w:val="16"/>
      <w:szCs w:val="16"/>
    </w:rPr>
  </w:style>
  <w:style w:type="character" w:customStyle="1" w:styleId="DocumentMapChar">
    <w:name w:val="Document Map Char"/>
    <w:basedOn w:val="DefaultParagraphFont"/>
    <w:link w:val="DocumentMap"/>
    <w:semiHidden/>
    <w:rsid w:val="00894E32"/>
    <w:rPr>
      <w:rFonts w:ascii="Tahoma" w:hAnsi="Tahoma" w:cs="Tahoma"/>
      <w:snapToGrid w:val="0"/>
      <w:sz w:val="16"/>
      <w:szCs w:val="16"/>
      <w:lang w:eastAsia="en-US"/>
    </w:rPr>
  </w:style>
  <w:style w:type="table" w:styleId="TableGrid1">
    <w:name w:val="Table Grid 1"/>
    <w:basedOn w:val="TableNormal"/>
    <w:semiHidden/>
    <w:locked/>
    <w:rsid w:val="00894E32"/>
    <w:pPr>
      <w:kinsoku w:val="0"/>
      <w:overflowPunct w:val="0"/>
      <w:autoSpaceDE w:val="0"/>
      <w:autoSpaceDN w:val="0"/>
      <w:adjustRightInd w:val="0"/>
      <w:snapToGrid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locked/>
    <w:rsid w:val="00894E32"/>
    <w:pPr>
      <w:kinsoku w:val="0"/>
      <w:overflowPunct w:val="0"/>
      <w:autoSpaceDE w:val="0"/>
      <w:autoSpaceDN w:val="0"/>
      <w:adjustRightInd w:val="0"/>
      <w:snapToGrid w:val="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locked/>
    <w:rsid w:val="00894E32"/>
    <w:pPr>
      <w:kinsoku w:val="0"/>
      <w:overflowPunct w:val="0"/>
      <w:autoSpaceDE w:val="0"/>
      <w:autoSpaceDN w:val="0"/>
      <w:adjustRightInd w:val="0"/>
      <w:snapToGrid w:val="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locked/>
    <w:rsid w:val="00894E32"/>
    <w:pPr>
      <w:kinsoku w:val="0"/>
      <w:overflowPunct w:val="0"/>
      <w:autoSpaceDE w:val="0"/>
      <w:autoSpaceDN w:val="0"/>
      <w:adjustRightInd w:val="0"/>
      <w:snapToGrid w:val="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locked/>
    <w:rsid w:val="00894E32"/>
    <w:pPr>
      <w:kinsoku w:val="0"/>
      <w:overflowPunct w:val="0"/>
      <w:autoSpaceDE w:val="0"/>
      <w:autoSpaceDN w:val="0"/>
      <w:adjustRightInd w:val="0"/>
      <w:snapToGrid w:val="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rsid w:val="00894E32"/>
    <w:pPr>
      <w:kinsoku w:val="0"/>
      <w:overflowPunct w:val="0"/>
      <w:autoSpaceDE w:val="0"/>
      <w:autoSpaceDN w:val="0"/>
      <w:adjustRightInd w:val="0"/>
      <w:snapToGrid w:val="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rsid w:val="00894E32"/>
    <w:pPr>
      <w:kinsoku w:val="0"/>
      <w:overflowPunct w:val="0"/>
      <w:autoSpaceDE w:val="0"/>
      <w:autoSpaceDN w:val="0"/>
      <w:adjustRightInd w:val="0"/>
      <w:snapToGrid w:val="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rsid w:val="00894E32"/>
    <w:pPr>
      <w:kinsoku w:val="0"/>
      <w:overflowPunct w:val="0"/>
      <w:autoSpaceDE w:val="0"/>
      <w:autoSpaceDN w:val="0"/>
      <w:adjustRightInd w:val="0"/>
      <w:snapToGrid w:val="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3Deffects1">
    <w:name w:val="Table 3D effects 1"/>
    <w:basedOn w:val="TableNormal"/>
    <w:locked/>
    <w:rsid w:val="00894E32"/>
    <w:pPr>
      <w:kinsoku w:val="0"/>
      <w:overflowPunct w:val="0"/>
      <w:autoSpaceDE w:val="0"/>
      <w:autoSpaceDN w:val="0"/>
      <w:adjustRightInd w:val="0"/>
      <w:snapToGrid w:val="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Theme">
    <w:name w:val="Table Theme"/>
    <w:basedOn w:val="TableNormal"/>
    <w:semiHidden/>
    <w:rsid w:val="00894E32"/>
    <w:pPr>
      <w:kinsoku w:val="0"/>
      <w:overflowPunct w:val="0"/>
      <w:autoSpaceDE w:val="0"/>
      <w:autoSpaceDN w:val="0"/>
      <w:adjustRightInd w:val="0"/>
      <w:snapToGri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croText">
    <w:name w:val="macro"/>
    <w:link w:val="MacroTextChar"/>
    <w:unhideWhenUsed/>
    <w:locked/>
    <w:rsid w:val="00894E32"/>
    <w:pPr>
      <w:tabs>
        <w:tab w:val="left" w:pos="567"/>
        <w:tab w:val="left" w:pos="1134"/>
        <w:tab w:val="left" w:pos="1701"/>
        <w:tab w:val="left" w:pos="2268"/>
        <w:tab w:val="left" w:pos="2835"/>
        <w:tab w:val="left" w:pos="3402"/>
        <w:tab w:val="left" w:pos="3969"/>
      </w:tabs>
      <w:kinsoku w:val="0"/>
      <w:overflowPunct w:val="0"/>
      <w:autoSpaceDE w:val="0"/>
      <w:autoSpaceDN w:val="0"/>
      <w:adjustRightInd w:val="0"/>
      <w:snapToGrid w:val="0"/>
    </w:pPr>
    <w:rPr>
      <w:rFonts w:ascii="Consolas" w:hAnsi="Consolas" w:cs="Arial"/>
      <w:snapToGrid w:val="0"/>
      <w:lang w:eastAsia="en-US"/>
    </w:rPr>
  </w:style>
  <w:style w:type="character" w:customStyle="1" w:styleId="MacroTextChar">
    <w:name w:val="Macro Text Char"/>
    <w:basedOn w:val="DefaultParagraphFont"/>
    <w:link w:val="MacroText"/>
    <w:rsid w:val="00894E32"/>
    <w:rPr>
      <w:rFonts w:ascii="Consolas" w:hAnsi="Consolas" w:cs="Arial"/>
      <w:snapToGrid w:val="0"/>
      <w:lang w:eastAsia="en-US"/>
    </w:rPr>
  </w:style>
  <w:style w:type="paragraph" w:styleId="Bibliography">
    <w:name w:val="Bibliography"/>
    <w:basedOn w:val="Normal"/>
    <w:next w:val="Normal"/>
    <w:uiPriority w:val="37"/>
    <w:semiHidden/>
    <w:locked/>
    <w:rsid w:val="00894E32"/>
  </w:style>
  <w:style w:type="paragraph" w:styleId="BlockText">
    <w:name w:val="Block Text"/>
    <w:basedOn w:val="Normal"/>
    <w:qFormat/>
    <w:rsid w:val="00894E32"/>
    <w:pPr>
      <w:spacing w:after="240"/>
    </w:pPr>
    <w:rPr>
      <w:rFonts w:eastAsiaTheme="minorEastAsia" w:cstheme="minorBidi"/>
      <w:b/>
      <w:i/>
      <w:iCs/>
      <w:color w:val="A32020" w:themeColor="accent1"/>
      <w:sz w:val="48"/>
    </w:rPr>
  </w:style>
  <w:style w:type="paragraph" w:styleId="BodyText">
    <w:name w:val="Body Text"/>
    <w:basedOn w:val="Normal"/>
    <w:link w:val="BodyTextChar"/>
    <w:semiHidden/>
    <w:locked/>
    <w:rsid w:val="00894E32"/>
    <w:pPr>
      <w:spacing w:after="120"/>
    </w:pPr>
  </w:style>
  <w:style w:type="character" w:customStyle="1" w:styleId="BodyTextChar">
    <w:name w:val="Body Text Char"/>
    <w:basedOn w:val="DefaultParagraphFont"/>
    <w:link w:val="BodyText"/>
    <w:semiHidden/>
    <w:rsid w:val="00894E32"/>
    <w:rPr>
      <w:rFonts w:cs="Arial"/>
      <w:snapToGrid w:val="0"/>
      <w:lang w:eastAsia="en-US"/>
    </w:rPr>
  </w:style>
  <w:style w:type="paragraph" w:styleId="BodyText2">
    <w:name w:val="Body Text 2"/>
    <w:basedOn w:val="Normal"/>
    <w:link w:val="BodyText2Char"/>
    <w:semiHidden/>
    <w:locked/>
    <w:rsid w:val="00894E32"/>
    <w:pPr>
      <w:spacing w:after="120" w:line="480" w:lineRule="auto"/>
    </w:pPr>
  </w:style>
  <w:style w:type="character" w:customStyle="1" w:styleId="BodyText2Char">
    <w:name w:val="Body Text 2 Char"/>
    <w:basedOn w:val="DefaultParagraphFont"/>
    <w:link w:val="BodyText2"/>
    <w:semiHidden/>
    <w:rsid w:val="00894E32"/>
    <w:rPr>
      <w:rFonts w:cs="Arial"/>
      <w:snapToGrid w:val="0"/>
      <w:lang w:eastAsia="en-US"/>
    </w:rPr>
  </w:style>
  <w:style w:type="paragraph" w:styleId="BodyText3">
    <w:name w:val="Body Text 3"/>
    <w:basedOn w:val="Normal"/>
    <w:link w:val="BodyText3Char"/>
    <w:semiHidden/>
    <w:locked/>
    <w:rsid w:val="00894E32"/>
    <w:pPr>
      <w:spacing w:after="120"/>
    </w:pPr>
    <w:rPr>
      <w:sz w:val="16"/>
      <w:szCs w:val="16"/>
    </w:rPr>
  </w:style>
  <w:style w:type="character" w:customStyle="1" w:styleId="BodyText3Char">
    <w:name w:val="Body Text 3 Char"/>
    <w:basedOn w:val="DefaultParagraphFont"/>
    <w:link w:val="BodyText3"/>
    <w:semiHidden/>
    <w:rsid w:val="00894E32"/>
    <w:rPr>
      <w:rFonts w:cs="Arial"/>
      <w:snapToGrid w:val="0"/>
      <w:sz w:val="16"/>
      <w:szCs w:val="16"/>
      <w:lang w:eastAsia="en-US"/>
    </w:rPr>
  </w:style>
  <w:style w:type="paragraph" w:styleId="BodyTextFirstIndent">
    <w:name w:val="Body Text First Indent"/>
    <w:basedOn w:val="BodyText"/>
    <w:link w:val="BodyTextFirstIndentChar"/>
    <w:semiHidden/>
    <w:locked/>
    <w:rsid w:val="00894E32"/>
    <w:pPr>
      <w:spacing w:after="0"/>
      <w:ind w:firstLine="360"/>
    </w:pPr>
  </w:style>
  <w:style w:type="character" w:customStyle="1" w:styleId="BodyTextFirstIndentChar">
    <w:name w:val="Body Text First Indent Char"/>
    <w:basedOn w:val="BodyTextChar"/>
    <w:link w:val="BodyTextFirstIndent"/>
    <w:semiHidden/>
    <w:rsid w:val="00894E32"/>
    <w:rPr>
      <w:rFonts w:cs="Arial"/>
      <w:snapToGrid w:val="0"/>
      <w:lang w:eastAsia="en-US"/>
    </w:rPr>
  </w:style>
  <w:style w:type="paragraph" w:styleId="BodyTextIndent">
    <w:name w:val="Body Text Indent"/>
    <w:basedOn w:val="Normal"/>
    <w:link w:val="BodyTextIndentChar"/>
    <w:semiHidden/>
    <w:locked/>
    <w:rsid w:val="00894E32"/>
    <w:pPr>
      <w:spacing w:after="120"/>
      <w:ind w:left="283"/>
    </w:pPr>
  </w:style>
  <w:style w:type="character" w:customStyle="1" w:styleId="BodyTextIndentChar">
    <w:name w:val="Body Text Indent Char"/>
    <w:basedOn w:val="DefaultParagraphFont"/>
    <w:link w:val="BodyTextIndent"/>
    <w:semiHidden/>
    <w:rsid w:val="00894E32"/>
    <w:rPr>
      <w:rFonts w:cs="Arial"/>
      <w:snapToGrid w:val="0"/>
      <w:lang w:eastAsia="en-US"/>
    </w:rPr>
  </w:style>
  <w:style w:type="paragraph" w:styleId="BodyTextFirstIndent2">
    <w:name w:val="Body Text First Indent 2"/>
    <w:basedOn w:val="BodyTextIndent"/>
    <w:link w:val="BodyTextFirstIndent2Char"/>
    <w:semiHidden/>
    <w:locked/>
    <w:rsid w:val="00894E32"/>
    <w:pPr>
      <w:spacing w:after="0"/>
      <w:ind w:left="360" w:firstLine="360"/>
    </w:pPr>
  </w:style>
  <w:style w:type="character" w:customStyle="1" w:styleId="BodyTextFirstIndent2Char">
    <w:name w:val="Body Text First Indent 2 Char"/>
    <w:basedOn w:val="BodyTextIndentChar"/>
    <w:link w:val="BodyTextFirstIndent2"/>
    <w:semiHidden/>
    <w:rsid w:val="00894E32"/>
    <w:rPr>
      <w:rFonts w:cs="Arial"/>
      <w:snapToGrid w:val="0"/>
      <w:lang w:eastAsia="en-US"/>
    </w:rPr>
  </w:style>
  <w:style w:type="paragraph" w:styleId="BodyTextIndent2">
    <w:name w:val="Body Text Indent 2"/>
    <w:basedOn w:val="Normal"/>
    <w:link w:val="BodyTextIndent2Char"/>
    <w:semiHidden/>
    <w:locked/>
    <w:rsid w:val="00894E32"/>
    <w:pPr>
      <w:spacing w:after="120" w:line="480" w:lineRule="auto"/>
      <w:ind w:left="283"/>
    </w:pPr>
  </w:style>
  <w:style w:type="character" w:customStyle="1" w:styleId="BodyTextIndent2Char">
    <w:name w:val="Body Text Indent 2 Char"/>
    <w:basedOn w:val="DefaultParagraphFont"/>
    <w:link w:val="BodyTextIndent2"/>
    <w:semiHidden/>
    <w:rsid w:val="00894E32"/>
    <w:rPr>
      <w:rFonts w:cs="Arial"/>
      <w:snapToGrid w:val="0"/>
      <w:lang w:eastAsia="en-US"/>
    </w:rPr>
  </w:style>
  <w:style w:type="paragraph" w:styleId="BodyTextIndent3">
    <w:name w:val="Body Text Indent 3"/>
    <w:basedOn w:val="Normal"/>
    <w:link w:val="BodyTextIndent3Char"/>
    <w:semiHidden/>
    <w:locked/>
    <w:rsid w:val="00894E32"/>
    <w:pPr>
      <w:spacing w:after="120"/>
      <w:ind w:left="283"/>
    </w:pPr>
    <w:rPr>
      <w:sz w:val="16"/>
      <w:szCs w:val="16"/>
    </w:rPr>
  </w:style>
  <w:style w:type="character" w:customStyle="1" w:styleId="BodyTextIndent3Char">
    <w:name w:val="Body Text Indent 3 Char"/>
    <w:basedOn w:val="DefaultParagraphFont"/>
    <w:link w:val="BodyTextIndent3"/>
    <w:semiHidden/>
    <w:rsid w:val="00894E32"/>
    <w:rPr>
      <w:rFonts w:cs="Arial"/>
      <w:snapToGrid w:val="0"/>
      <w:sz w:val="16"/>
      <w:szCs w:val="16"/>
      <w:lang w:eastAsia="en-US"/>
    </w:rPr>
  </w:style>
  <w:style w:type="character" w:styleId="BookTitle">
    <w:name w:val="Book Title"/>
    <w:basedOn w:val="DefaultParagraphFont"/>
    <w:uiPriority w:val="33"/>
    <w:semiHidden/>
    <w:qFormat/>
    <w:locked/>
    <w:rsid w:val="00894E32"/>
    <w:rPr>
      <w:rFonts w:ascii="Georgia" w:hAnsi="Georgia"/>
      <w:b/>
      <w:bCs/>
      <w:smallCaps/>
      <w:spacing w:val="5"/>
    </w:rPr>
  </w:style>
  <w:style w:type="paragraph" w:styleId="Closing">
    <w:name w:val="Closing"/>
    <w:basedOn w:val="Normal"/>
    <w:link w:val="ClosingChar"/>
    <w:semiHidden/>
    <w:unhideWhenUsed/>
    <w:rsid w:val="00894E32"/>
    <w:pPr>
      <w:ind w:left="4252"/>
    </w:pPr>
  </w:style>
  <w:style w:type="character" w:customStyle="1" w:styleId="ClosingChar">
    <w:name w:val="Closing Char"/>
    <w:basedOn w:val="DefaultParagraphFont"/>
    <w:link w:val="Closing"/>
    <w:semiHidden/>
    <w:rsid w:val="00894E32"/>
    <w:rPr>
      <w:rFonts w:cs="Arial"/>
      <w:snapToGrid w:val="0"/>
      <w:lang w:eastAsia="en-US"/>
    </w:rPr>
  </w:style>
  <w:style w:type="character" w:styleId="CommentReference">
    <w:name w:val="annotation reference"/>
    <w:basedOn w:val="DefaultParagraphFont"/>
    <w:semiHidden/>
    <w:rsid w:val="00894E32"/>
    <w:rPr>
      <w:rFonts w:ascii="Georgia" w:hAnsi="Georgia"/>
      <w:sz w:val="16"/>
      <w:szCs w:val="16"/>
    </w:rPr>
  </w:style>
  <w:style w:type="paragraph" w:styleId="CommentText">
    <w:name w:val="annotation text"/>
    <w:basedOn w:val="Normal"/>
    <w:link w:val="CommentTextChar"/>
    <w:semiHidden/>
    <w:rsid w:val="00894E32"/>
  </w:style>
  <w:style w:type="character" w:customStyle="1" w:styleId="CommentTextChar">
    <w:name w:val="Comment Text Char"/>
    <w:basedOn w:val="DefaultParagraphFont"/>
    <w:link w:val="CommentText"/>
    <w:semiHidden/>
    <w:rsid w:val="00894E32"/>
    <w:rPr>
      <w:rFonts w:cs="Arial"/>
      <w:snapToGrid w:val="0"/>
      <w:lang w:eastAsia="en-US"/>
    </w:rPr>
  </w:style>
  <w:style w:type="paragraph" w:styleId="CommentSubject">
    <w:name w:val="annotation subject"/>
    <w:basedOn w:val="CommentText"/>
    <w:next w:val="CommentText"/>
    <w:link w:val="CommentSubjectChar"/>
    <w:semiHidden/>
    <w:rsid w:val="00894E32"/>
    <w:rPr>
      <w:b/>
      <w:bCs/>
    </w:rPr>
  </w:style>
  <w:style w:type="character" w:customStyle="1" w:styleId="CommentSubjectChar">
    <w:name w:val="Comment Subject Char"/>
    <w:basedOn w:val="CommentTextChar"/>
    <w:link w:val="CommentSubject"/>
    <w:semiHidden/>
    <w:rsid w:val="00894E32"/>
    <w:rPr>
      <w:rFonts w:cs="Arial"/>
      <w:b/>
      <w:bCs/>
      <w:snapToGrid w:val="0"/>
      <w:lang w:eastAsia="en-US"/>
    </w:rPr>
  </w:style>
  <w:style w:type="paragraph" w:styleId="EnvelopeAddress">
    <w:name w:val="envelope address"/>
    <w:basedOn w:val="Normal"/>
    <w:semiHidden/>
    <w:unhideWhenUsed/>
    <w:locked/>
    <w:rsid w:val="00894E3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locked/>
    <w:rsid w:val="00894E32"/>
    <w:rPr>
      <w:rFonts w:asciiTheme="majorHAnsi" w:eastAsiaTheme="majorEastAsia" w:hAnsiTheme="majorHAnsi" w:cstheme="majorBidi"/>
    </w:rPr>
  </w:style>
  <w:style w:type="character" w:styleId="FollowedHyperlink">
    <w:name w:val="FollowedHyperlink"/>
    <w:basedOn w:val="DefaultParagraphFont"/>
    <w:semiHidden/>
    <w:rsid w:val="00894E32"/>
    <w:rPr>
      <w:color w:val="0000FF" w:themeColor="followedHyperlink"/>
      <w:u w:val="single"/>
    </w:rPr>
  </w:style>
  <w:style w:type="character" w:styleId="Hyperlink">
    <w:name w:val="Hyperlink"/>
    <w:basedOn w:val="DefaultParagraphFont"/>
    <w:uiPriority w:val="99"/>
    <w:rsid w:val="00894E32"/>
    <w:rPr>
      <w:color w:val="A32020" w:themeColor="text2"/>
      <w:u w:val="single"/>
    </w:rPr>
  </w:style>
  <w:style w:type="paragraph" w:styleId="IndexHeading">
    <w:name w:val="index heading"/>
    <w:basedOn w:val="Normal"/>
    <w:next w:val="Normal"/>
    <w:semiHidden/>
    <w:rsid w:val="00894E32"/>
    <w:rPr>
      <w:rFonts w:asciiTheme="majorHAnsi" w:eastAsiaTheme="majorEastAsia" w:hAnsiTheme="majorHAnsi" w:cstheme="majorBidi"/>
      <w:b/>
      <w:bCs/>
    </w:rPr>
  </w:style>
  <w:style w:type="paragraph" w:customStyle="1" w:styleId="BlockTextClient">
    <w:name w:val="Block Text Client"/>
    <w:basedOn w:val="BlockText"/>
    <w:rsid w:val="00894E32"/>
    <w:pPr>
      <w:spacing w:after="0"/>
    </w:pPr>
    <w:rPr>
      <w:b w:val="0"/>
      <w:sz w:val="20"/>
    </w:rPr>
  </w:style>
  <w:style w:type="paragraph" w:customStyle="1" w:styleId="BlockTextPosition">
    <w:name w:val="Block Text Position"/>
    <w:basedOn w:val="BlockText"/>
    <w:rsid w:val="00894E32"/>
    <w:rPr>
      <w:b w:val="0"/>
      <w:i w:val="0"/>
      <w:sz w:val="20"/>
    </w:rPr>
  </w:style>
  <w:style w:type="paragraph" w:customStyle="1" w:styleId="BlockText2Client">
    <w:name w:val="Block Text 2 Client"/>
    <w:basedOn w:val="BlockText2"/>
    <w:rsid w:val="00894E32"/>
    <w:pPr>
      <w:spacing w:after="0"/>
    </w:pPr>
    <w:rPr>
      <w:sz w:val="20"/>
      <w:szCs w:val="20"/>
    </w:rPr>
  </w:style>
  <w:style w:type="paragraph" w:customStyle="1" w:styleId="BlockText2Position">
    <w:name w:val="Block Text 2 Position"/>
    <w:basedOn w:val="BlockText2"/>
    <w:rsid w:val="00894E32"/>
    <w:rPr>
      <w:i w:val="0"/>
      <w:sz w:val="20"/>
      <w:szCs w:val="20"/>
    </w:rPr>
  </w:style>
  <w:style w:type="character" w:styleId="LineNumber">
    <w:name w:val="line number"/>
    <w:basedOn w:val="DefaultParagraphFont"/>
    <w:semiHidden/>
    <w:rsid w:val="00894E32"/>
  </w:style>
  <w:style w:type="paragraph" w:styleId="ListBullet">
    <w:name w:val="List Bullet"/>
    <w:basedOn w:val="Normal"/>
    <w:qFormat/>
    <w:locked/>
    <w:rsid w:val="00894E32"/>
    <w:pPr>
      <w:numPr>
        <w:numId w:val="11"/>
      </w:numPr>
      <w:spacing w:before="120" w:after="120"/>
    </w:pPr>
  </w:style>
  <w:style w:type="paragraph" w:styleId="ListBullet5">
    <w:name w:val="List Bullet 5"/>
    <w:basedOn w:val="ListBullet4"/>
    <w:unhideWhenUsed/>
    <w:locked/>
    <w:rsid w:val="00894E32"/>
    <w:pPr>
      <w:numPr>
        <w:ilvl w:val="4"/>
      </w:numPr>
      <w:contextualSpacing/>
    </w:pPr>
  </w:style>
  <w:style w:type="paragraph" w:styleId="ListNumber">
    <w:name w:val="List Number"/>
    <w:basedOn w:val="Normal"/>
    <w:uiPriority w:val="13"/>
    <w:unhideWhenUsed/>
    <w:qFormat/>
    <w:locked/>
    <w:rsid w:val="00894E32"/>
    <w:pPr>
      <w:numPr>
        <w:numId w:val="12"/>
      </w:numPr>
      <w:contextualSpacing/>
    </w:pPr>
  </w:style>
  <w:style w:type="paragraph" w:styleId="ListNumber2">
    <w:name w:val="List Number 2"/>
    <w:basedOn w:val="ListNumber"/>
    <w:uiPriority w:val="13"/>
    <w:unhideWhenUsed/>
    <w:qFormat/>
    <w:locked/>
    <w:rsid w:val="00894E32"/>
    <w:pPr>
      <w:numPr>
        <w:ilvl w:val="1"/>
      </w:numPr>
    </w:pPr>
  </w:style>
  <w:style w:type="paragraph" w:styleId="ListNumber3">
    <w:name w:val="List Number 3"/>
    <w:basedOn w:val="ListNumber2"/>
    <w:uiPriority w:val="13"/>
    <w:unhideWhenUsed/>
    <w:qFormat/>
    <w:locked/>
    <w:rsid w:val="00894E32"/>
    <w:pPr>
      <w:numPr>
        <w:ilvl w:val="2"/>
      </w:numPr>
    </w:pPr>
  </w:style>
  <w:style w:type="paragraph" w:styleId="ListNumber4">
    <w:name w:val="List Number 4"/>
    <w:basedOn w:val="ListNumber3"/>
    <w:uiPriority w:val="13"/>
    <w:unhideWhenUsed/>
    <w:locked/>
    <w:rsid w:val="00894E32"/>
    <w:pPr>
      <w:numPr>
        <w:ilvl w:val="3"/>
      </w:numPr>
    </w:pPr>
  </w:style>
  <w:style w:type="paragraph" w:styleId="ListNumber5">
    <w:name w:val="List Number 5"/>
    <w:basedOn w:val="ListNumber4"/>
    <w:uiPriority w:val="13"/>
    <w:unhideWhenUsed/>
    <w:locked/>
    <w:rsid w:val="00894E32"/>
    <w:pPr>
      <w:numPr>
        <w:ilvl w:val="4"/>
      </w:numPr>
    </w:pPr>
  </w:style>
  <w:style w:type="paragraph" w:styleId="ListParagraph">
    <w:name w:val="List Paragraph"/>
    <w:basedOn w:val="Normal"/>
    <w:uiPriority w:val="34"/>
    <w:semiHidden/>
    <w:qFormat/>
    <w:locked/>
    <w:rsid w:val="00894E32"/>
    <w:pPr>
      <w:ind w:left="720"/>
      <w:contextualSpacing/>
    </w:pPr>
  </w:style>
  <w:style w:type="paragraph" w:styleId="MessageHeader">
    <w:name w:val="Message Header"/>
    <w:basedOn w:val="Normal"/>
    <w:link w:val="MessageHeaderChar"/>
    <w:semiHidden/>
    <w:rsid w:val="00894E32"/>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94E32"/>
    <w:rPr>
      <w:rFonts w:asciiTheme="majorHAnsi" w:eastAsiaTheme="majorEastAsia" w:hAnsiTheme="majorHAnsi" w:cstheme="majorBidi"/>
      <w:snapToGrid w:val="0"/>
      <w:sz w:val="24"/>
      <w:szCs w:val="24"/>
      <w:shd w:val="pct20" w:color="auto" w:fill="auto"/>
      <w:lang w:eastAsia="en-US"/>
    </w:rPr>
  </w:style>
  <w:style w:type="paragraph" w:styleId="NoSpacing">
    <w:name w:val="No Spacing"/>
    <w:uiPriority w:val="1"/>
    <w:semiHidden/>
    <w:qFormat/>
    <w:rsid w:val="00894E32"/>
    <w:pPr>
      <w:kinsoku w:val="0"/>
      <w:overflowPunct w:val="0"/>
      <w:autoSpaceDE w:val="0"/>
      <w:autoSpaceDN w:val="0"/>
      <w:adjustRightInd w:val="0"/>
      <w:snapToGrid w:val="0"/>
    </w:pPr>
    <w:rPr>
      <w:rFonts w:cs="Arial"/>
      <w:snapToGrid w:val="0"/>
      <w:lang w:eastAsia="en-US"/>
    </w:rPr>
  </w:style>
  <w:style w:type="paragraph" w:styleId="NormalIndent">
    <w:name w:val="Normal Indent"/>
    <w:basedOn w:val="Normal"/>
    <w:semiHidden/>
    <w:rsid w:val="00894E32"/>
    <w:pPr>
      <w:ind w:left="720"/>
    </w:pPr>
  </w:style>
  <w:style w:type="paragraph" w:styleId="NoteHeading">
    <w:name w:val="Note Heading"/>
    <w:basedOn w:val="Normal"/>
    <w:next w:val="Normal"/>
    <w:link w:val="NoteHeadingChar"/>
    <w:semiHidden/>
    <w:unhideWhenUsed/>
    <w:rsid w:val="00894E32"/>
  </w:style>
  <w:style w:type="character" w:customStyle="1" w:styleId="NoteHeadingChar">
    <w:name w:val="Note Heading Char"/>
    <w:basedOn w:val="DefaultParagraphFont"/>
    <w:link w:val="NoteHeading"/>
    <w:semiHidden/>
    <w:rsid w:val="00894E32"/>
    <w:rPr>
      <w:rFonts w:cs="Arial"/>
      <w:snapToGrid w:val="0"/>
      <w:lang w:eastAsia="en-US"/>
    </w:rPr>
  </w:style>
  <w:style w:type="character" w:styleId="PlaceholderText">
    <w:name w:val="Placeholder Text"/>
    <w:basedOn w:val="DefaultParagraphFont"/>
    <w:uiPriority w:val="99"/>
    <w:semiHidden/>
    <w:rsid w:val="00894E32"/>
    <w:rPr>
      <w:color w:val="808080"/>
    </w:rPr>
  </w:style>
  <w:style w:type="paragraph" w:styleId="PlainText">
    <w:name w:val="Plain Text"/>
    <w:basedOn w:val="Normal"/>
    <w:link w:val="PlainTextChar"/>
    <w:semiHidden/>
    <w:rsid w:val="00894E32"/>
    <w:rPr>
      <w:rFonts w:ascii="Consolas" w:hAnsi="Consolas"/>
    </w:rPr>
  </w:style>
  <w:style w:type="character" w:customStyle="1" w:styleId="PlainTextChar">
    <w:name w:val="Plain Text Char"/>
    <w:basedOn w:val="DefaultParagraphFont"/>
    <w:link w:val="PlainText"/>
    <w:semiHidden/>
    <w:rsid w:val="00894E32"/>
    <w:rPr>
      <w:rFonts w:ascii="Consolas" w:hAnsi="Consolas" w:cs="Arial"/>
      <w:snapToGrid w:val="0"/>
      <w:lang w:eastAsia="en-US"/>
    </w:rPr>
  </w:style>
  <w:style w:type="paragraph" w:styleId="Quote">
    <w:name w:val="Quote"/>
    <w:basedOn w:val="Normal"/>
    <w:next w:val="Normal"/>
    <w:link w:val="QuoteChar"/>
    <w:uiPriority w:val="29"/>
    <w:semiHidden/>
    <w:qFormat/>
    <w:rsid w:val="00894E32"/>
    <w:rPr>
      <w:i/>
      <w:iCs/>
      <w:color w:val="000000" w:themeColor="text1"/>
    </w:rPr>
  </w:style>
  <w:style w:type="character" w:customStyle="1" w:styleId="QuoteChar">
    <w:name w:val="Quote Char"/>
    <w:basedOn w:val="DefaultParagraphFont"/>
    <w:link w:val="Quote"/>
    <w:uiPriority w:val="29"/>
    <w:semiHidden/>
    <w:rsid w:val="00894E32"/>
    <w:rPr>
      <w:rFonts w:cs="Arial"/>
      <w:i/>
      <w:iCs/>
      <w:snapToGrid w:val="0"/>
      <w:color w:val="000000" w:themeColor="text1"/>
      <w:lang w:eastAsia="en-US"/>
    </w:rPr>
  </w:style>
  <w:style w:type="paragraph" w:styleId="Salutation">
    <w:name w:val="Salutation"/>
    <w:basedOn w:val="Normal"/>
    <w:next w:val="Normal"/>
    <w:link w:val="SalutationChar"/>
    <w:semiHidden/>
    <w:unhideWhenUsed/>
    <w:rsid w:val="00894E32"/>
  </w:style>
  <w:style w:type="character" w:customStyle="1" w:styleId="SalutationChar">
    <w:name w:val="Salutation Char"/>
    <w:basedOn w:val="DefaultParagraphFont"/>
    <w:link w:val="Salutation"/>
    <w:semiHidden/>
    <w:rsid w:val="00894E32"/>
    <w:rPr>
      <w:rFonts w:cs="Arial"/>
      <w:snapToGrid w:val="0"/>
      <w:lang w:eastAsia="en-US"/>
    </w:rPr>
  </w:style>
  <w:style w:type="paragraph" w:styleId="Signature">
    <w:name w:val="Signature"/>
    <w:basedOn w:val="Normal"/>
    <w:link w:val="SignatureChar"/>
    <w:semiHidden/>
    <w:rsid w:val="00894E32"/>
    <w:pPr>
      <w:ind w:left="4252"/>
    </w:pPr>
  </w:style>
  <w:style w:type="character" w:customStyle="1" w:styleId="SignatureChar">
    <w:name w:val="Signature Char"/>
    <w:basedOn w:val="DefaultParagraphFont"/>
    <w:link w:val="Signature"/>
    <w:semiHidden/>
    <w:rsid w:val="00894E32"/>
    <w:rPr>
      <w:rFonts w:cs="Arial"/>
      <w:snapToGrid w:val="0"/>
      <w:lang w:eastAsia="en-US"/>
    </w:rPr>
  </w:style>
  <w:style w:type="paragraph" w:styleId="TableofAuthorities">
    <w:name w:val="table of authorities"/>
    <w:basedOn w:val="Normal"/>
    <w:next w:val="Normal"/>
    <w:semiHidden/>
    <w:unhideWhenUsed/>
    <w:rsid w:val="00894E32"/>
    <w:pPr>
      <w:ind w:left="210" w:hanging="210"/>
    </w:pPr>
  </w:style>
  <w:style w:type="paragraph" w:styleId="TableofFigures">
    <w:name w:val="table of figures"/>
    <w:basedOn w:val="Normal"/>
    <w:next w:val="Normal"/>
    <w:semiHidden/>
    <w:unhideWhenUsed/>
    <w:rsid w:val="00894E32"/>
  </w:style>
  <w:style w:type="paragraph" w:styleId="TOAHeading">
    <w:name w:val="toa heading"/>
    <w:basedOn w:val="Normal"/>
    <w:next w:val="Normal"/>
    <w:semiHidden/>
    <w:unhideWhenUsed/>
    <w:rsid w:val="00894E3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894E32"/>
    <w:pPr>
      <w:keepNext/>
      <w:keepLines/>
      <w:spacing w:before="480" w:line="240" w:lineRule="auto"/>
      <w:outlineLvl w:val="9"/>
    </w:pPr>
    <w:rPr>
      <w:rFonts w:eastAsiaTheme="majorEastAsia" w:cstheme="majorBidi"/>
      <w:color w:val="7A1818" w:themeColor="accent1" w:themeShade="BF"/>
      <w:sz w:val="28"/>
      <w:szCs w:val="28"/>
    </w:rPr>
  </w:style>
  <w:style w:type="paragraph" w:customStyle="1" w:styleId="CoverPanelFrame">
    <w:name w:val="Cover Panel Frame"/>
    <w:basedOn w:val="Coverpulloutframe"/>
    <w:rsid w:val="00894E32"/>
    <w:pPr>
      <w:framePr w:w="7441" w:wrap="notBeside" w:vAnchor="margin" w:hAnchor="text" w:x="-112" w:y="1"/>
      <w:pBdr>
        <w:top w:val="single" w:sz="4" w:space="1" w:color="auto"/>
        <w:left w:val="single" w:sz="4" w:space="4" w:color="auto"/>
      </w:pBdr>
    </w:pPr>
    <w:rPr>
      <w:rFonts w:eastAsia="+mn-ea"/>
    </w:rPr>
  </w:style>
  <w:style w:type="paragraph" w:customStyle="1" w:styleId="LogoActivated">
    <w:name w:val="Logo Activated"/>
    <w:basedOn w:val="Normal"/>
    <w:rsid w:val="00894E32"/>
    <w:pPr>
      <w:framePr w:w="3119" w:h="1412" w:hRule="exact" w:wrap="around" w:vAnchor="page" w:hAnchor="page" w:x="1543" w:y="15299"/>
      <w:tabs>
        <w:tab w:val="center" w:pos="2551"/>
        <w:tab w:val="right" w:pos="7682"/>
      </w:tabs>
      <w:spacing w:line="0" w:lineRule="atLeast"/>
    </w:pPr>
    <w:rPr>
      <w:rFonts w:asciiTheme="majorHAnsi" w:hAnsiTheme="majorHAnsi"/>
      <w:noProof/>
      <w:snapToGrid/>
      <w:sz w:val="18"/>
      <w:szCs w:val="32"/>
      <w:lang w:eastAsia="en-AU"/>
    </w:rPr>
  </w:style>
  <w:style w:type="paragraph" w:customStyle="1" w:styleId="FirstPagePanelFrame">
    <w:name w:val="First Page Panel Frame"/>
    <w:basedOn w:val="CoverPanelFrame"/>
    <w:rsid w:val="00894E32"/>
    <w:pPr>
      <w:framePr w:w="8334" w:h="227" w:hRule="exact" w:wrap="notBeside" w:y="-169"/>
      <w:pBdr>
        <w:top w:val="single" w:sz="6" w:space="1" w:color="A32020" w:themeColor="text2"/>
        <w:left w:val="single" w:sz="6" w:space="4" w:color="A32020" w:themeColor="text2"/>
      </w:pBdr>
    </w:pPr>
  </w:style>
  <w:style w:type="paragraph" w:customStyle="1" w:styleId="URLCover">
    <w:name w:val="URL Cover"/>
    <w:basedOn w:val="Normal"/>
    <w:rsid w:val="00894E32"/>
    <w:rPr>
      <w:color w:val="000000" w:themeColor="text1"/>
      <w:sz w:val="19"/>
    </w:rPr>
  </w:style>
  <w:style w:type="paragraph" w:customStyle="1" w:styleId="Coverpulloutframe">
    <w:name w:val="Cover pull out frame"/>
    <w:basedOn w:val="KeySentenceInside"/>
    <w:rsid w:val="00894E32"/>
    <w:pPr>
      <w:framePr w:w="2189" w:h="227" w:wrap="notBeside" w:vAnchor="page" w:hAnchor="page" w:x="908" w:y="8415"/>
      <w:pBdr>
        <w:top w:val="dotted" w:sz="8" w:space="1" w:color="A32020" w:themeColor="text2"/>
        <w:left w:val="dotted" w:sz="8" w:space="4" w:color="A32020" w:themeColor="text2"/>
      </w:pBdr>
      <w:spacing w:after="0" w:line="0" w:lineRule="atLeast"/>
    </w:pPr>
    <w:rPr>
      <w:color w:val="auto"/>
      <w:sz w:val="8"/>
      <w:lang w:val="en-GB"/>
    </w:rPr>
  </w:style>
  <w:style w:type="paragraph" w:customStyle="1" w:styleId="CoverOutcomeHeadline">
    <w:name w:val="Cover Outcome Headline"/>
    <w:basedOn w:val="PwCNormal"/>
    <w:rsid w:val="00894E32"/>
    <w:pPr>
      <w:numPr>
        <w:numId w:val="0"/>
      </w:numPr>
      <w:spacing w:after="0" w:line="960" w:lineRule="atLeast"/>
      <w:ind w:right="1701"/>
    </w:pPr>
    <w:rPr>
      <w:b/>
      <w:i/>
      <w:color w:val="FFFFFF" w:themeColor="background1"/>
      <w:sz w:val="88"/>
      <w:szCs w:val="88"/>
      <w:lang w:val="en-GB"/>
    </w:rPr>
  </w:style>
  <w:style w:type="paragraph" w:customStyle="1" w:styleId="CoverOutcomeSubtitle">
    <w:name w:val="Cover Outcome Subtitle"/>
    <w:basedOn w:val="CoverOutcomeHeadline"/>
    <w:rsid w:val="00894E32"/>
    <w:rPr>
      <w:b w:val="0"/>
      <w:i w:val="0"/>
    </w:rPr>
  </w:style>
  <w:style w:type="paragraph" w:customStyle="1" w:styleId="LogoFixed">
    <w:name w:val="Logo Fixed"/>
    <w:basedOn w:val="LogoActivated"/>
    <w:rsid w:val="00894E32"/>
    <w:pPr>
      <w:framePr w:h="2733" w:hRule="exact" w:wrap="around" w:x="1322" w:y="14125"/>
    </w:pPr>
  </w:style>
  <w:style w:type="paragraph" w:customStyle="1" w:styleId="NumericCaption">
    <w:name w:val="Numeric Caption"/>
    <w:basedOn w:val="Caption"/>
    <w:rsid w:val="00894E32"/>
    <w:rPr>
      <w:rFonts w:ascii="Arial" w:hAnsi="Arial"/>
    </w:rPr>
  </w:style>
  <w:style w:type="paragraph" w:customStyle="1" w:styleId="NumericTableColumnHeadingNormal">
    <w:name w:val="Numeric Table Column Heading Normal"/>
    <w:basedOn w:val="TableColumnHeadingNormal"/>
    <w:rsid w:val="00894E32"/>
    <w:rPr>
      <w:rFonts w:ascii="Arial" w:hAnsi="Arial"/>
    </w:rPr>
  </w:style>
  <w:style w:type="paragraph" w:customStyle="1" w:styleId="NumericTableTextNormal">
    <w:name w:val="Numeric Table Text Normal"/>
    <w:basedOn w:val="TableTextNormal"/>
    <w:rsid w:val="00894E32"/>
    <w:rPr>
      <w:rFonts w:ascii="Arial" w:hAnsi="Arial"/>
    </w:rPr>
  </w:style>
  <w:style w:type="paragraph" w:customStyle="1" w:styleId="NumericSources">
    <w:name w:val="Numeric Sources"/>
    <w:basedOn w:val="Sources"/>
    <w:rsid w:val="00894E32"/>
    <w:rPr>
      <w:rFonts w:ascii="Arial" w:hAnsi="Arial"/>
    </w:rPr>
  </w:style>
  <w:style w:type="paragraph" w:customStyle="1" w:styleId="NumericTableColumnHeadingSmall">
    <w:name w:val="Numeric Table Column Heading Small"/>
    <w:basedOn w:val="NumericTableColumnHeadingNormal"/>
    <w:rsid w:val="00894E32"/>
    <w:rPr>
      <w:sz w:val="16"/>
      <w:szCs w:val="16"/>
    </w:rPr>
  </w:style>
  <w:style w:type="paragraph" w:customStyle="1" w:styleId="NumericTableTextSmall">
    <w:name w:val="Numeric Table Text Small"/>
    <w:basedOn w:val="NumericTableTextNormal"/>
    <w:rsid w:val="00894E32"/>
    <w:rPr>
      <w:sz w:val="16"/>
      <w:szCs w:val="16"/>
    </w:rPr>
  </w:style>
  <w:style w:type="paragraph" w:customStyle="1" w:styleId="NumericTableTextDecimalNormal">
    <w:name w:val="Numeric Table Text Decimal Normal"/>
    <w:basedOn w:val="NumericTableTextNormal"/>
    <w:rsid w:val="00894E32"/>
    <w:pPr>
      <w:tabs>
        <w:tab w:val="decimal" w:pos="1004"/>
      </w:tabs>
    </w:pPr>
  </w:style>
  <w:style w:type="paragraph" w:customStyle="1" w:styleId="NumericTableTextDecimalSmall">
    <w:name w:val="Numeric Table Text Decimal Small"/>
    <w:basedOn w:val="NumericTableTextDecimalNormal"/>
    <w:rsid w:val="00894E32"/>
    <w:rPr>
      <w:sz w:val="16"/>
      <w:szCs w:val="16"/>
    </w:rPr>
  </w:style>
  <w:style w:type="paragraph" w:customStyle="1" w:styleId="Heading2Nospacing">
    <w:name w:val="Heading 2 No spacing"/>
    <w:basedOn w:val="Heading2"/>
    <w:rsid w:val="00894E32"/>
    <w:pPr>
      <w:numPr>
        <w:ilvl w:val="0"/>
        <w:numId w:val="0"/>
      </w:numPr>
      <w:spacing w:after="0" w:line="0" w:lineRule="atLeast"/>
    </w:pPr>
  </w:style>
  <w:style w:type="paragraph" w:customStyle="1" w:styleId="TableNumberedList1">
    <w:name w:val="Table Numbered List 1"/>
    <w:basedOn w:val="TableTextNormal"/>
    <w:rsid w:val="00894E32"/>
    <w:pPr>
      <w:numPr>
        <w:numId w:val="22"/>
      </w:numPr>
    </w:pPr>
  </w:style>
  <w:style w:type="paragraph" w:customStyle="1" w:styleId="TableNumberedList2">
    <w:name w:val="Table Numbered List 2"/>
    <w:basedOn w:val="TableNumberedList1"/>
    <w:rsid w:val="00894E32"/>
    <w:pPr>
      <w:numPr>
        <w:ilvl w:val="1"/>
      </w:numPr>
      <w:spacing w:before="40" w:after="40"/>
    </w:pPr>
  </w:style>
  <w:style w:type="paragraph" w:customStyle="1" w:styleId="TableNumberedList3">
    <w:name w:val="Table Numbered List 3"/>
    <w:basedOn w:val="TableNumberedList2"/>
    <w:rsid w:val="00894E32"/>
    <w:pPr>
      <w:numPr>
        <w:ilvl w:val="2"/>
      </w:numPr>
    </w:pPr>
  </w:style>
  <w:style w:type="paragraph" w:customStyle="1" w:styleId="TableNumberedListSmall1">
    <w:name w:val="Table Numbered List Small 1"/>
    <w:basedOn w:val="TableTextSmall"/>
    <w:rsid w:val="00894E32"/>
    <w:pPr>
      <w:numPr>
        <w:numId w:val="24"/>
      </w:numPr>
    </w:pPr>
  </w:style>
  <w:style w:type="paragraph" w:customStyle="1" w:styleId="TableNumberedListSmall2">
    <w:name w:val="Table Numbered List Small 2"/>
    <w:basedOn w:val="TableNumberedListSmall1"/>
    <w:rsid w:val="00894E32"/>
    <w:pPr>
      <w:numPr>
        <w:ilvl w:val="1"/>
      </w:numPr>
    </w:pPr>
    <w:rPr>
      <w:szCs w:val="21"/>
    </w:rPr>
  </w:style>
  <w:style w:type="paragraph" w:customStyle="1" w:styleId="TableNumberedListSmall3">
    <w:name w:val="Table Numbered List Small 3"/>
    <w:basedOn w:val="TableNumberedListSmall2"/>
    <w:rsid w:val="00894E32"/>
    <w:pPr>
      <w:numPr>
        <w:ilvl w:val="2"/>
      </w:numPr>
    </w:pPr>
  </w:style>
  <w:style w:type="numbering" w:customStyle="1" w:styleId="ListNumberList">
    <w:name w:val="List Number List"/>
    <w:uiPriority w:val="99"/>
    <w:rsid w:val="00894E32"/>
    <w:pPr>
      <w:numPr>
        <w:numId w:val="13"/>
      </w:numPr>
    </w:pPr>
  </w:style>
  <w:style w:type="numbering" w:styleId="111111">
    <w:name w:val="Outline List 2"/>
    <w:basedOn w:val="NoList"/>
    <w:rsid w:val="00894E32"/>
    <w:pPr>
      <w:numPr>
        <w:numId w:val="1"/>
      </w:numPr>
    </w:pPr>
  </w:style>
  <w:style w:type="numbering" w:styleId="1ai">
    <w:name w:val="Outline List 1"/>
    <w:basedOn w:val="NoList"/>
    <w:rsid w:val="00894E32"/>
    <w:pPr>
      <w:numPr>
        <w:numId w:val="2"/>
      </w:numPr>
    </w:pPr>
  </w:style>
  <w:style w:type="numbering" w:styleId="ArticleSection">
    <w:name w:val="Outline List 3"/>
    <w:basedOn w:val="NoList"/>
    <w:rsid w:val="00894E32"/>
    <w:pPr>
      <w:numPr>
        <w:numId w:val="3"/>
      </w:numPr>
    </w:pPr>
  </w:style>
  <w:style w:type="paragraph" w:customStyle="1" w:styleId="Minorheading3">
    <w:name w:val="Minor heading 3"/>
    <w:basedOn w:val="Minorheading2"/>
    <w:rsid w:val="00894E32"/>
    <w:rPr>
      <w:b w:val="0"/>
      <w:i/>
    </w:rPr>
  </w:style>
  <w:style w:type="table" w:customStyle="1" w:styleId="Tables-APLines">
    <w:name w:val="Tables - AP Lines"/>
    <w:basedOn w:val="TableNormal"/>
    <w:rsid w:val="00894E32"/>
    <w:tblPr>
      <w:tblStyleRowBandSize w:val="1"/>
      <w:tblStyleColBandSize w:val="1"/>
      <w:tblBorders>
        <w:insideH w:val="single" w:sz="4" w:space="0" w:color="A32020" w:themeColor="text2"/>
        <w:insideV w:val="single" w:sz="4" w:space="0" w:color="A32020" w:themeColor="text2"/>
      </w:tblBorders>
    </w:tblPr>
    <w:tcPr>
      <w:shd w:val="clear" w:color="auto" w:fill="auto"/>
    </w:tcPr>
    <w:tblStylePr w:type="firstRow">
      <w:pPr>
        <w:jc w:val="center"/>
      </w:pPr>
      <w:rPr>
        <w:rFonts w:asciiTheme="minorHAnsi" w:hAnsiTheme="minorHAnsi"/>
        <w:color w:val="auto"/>
      </w:rPr>
      <w:tblPr/>
      <w:tcPr>
        <w:vAlign w:val="bottom"/>
      </w:tcPr>
    </w:tblStylePr>
    <w:tblStylePr w:type="lastRow">
      <w:rPr>
        <w:color w:val="FFFFFF" w:themeColor="background1"/>
      </w:rPr>
    </w:tblStylePr>
    <w:tblStylePr w:type="nwCell">
      <w:pPr>
        <w:jc w:val="left"/>
      </w:pPr>
      <w:tblPr/>
      <w:tcPr>
        <w:vAlign w:val="bottom"/>
      </w:tcPr>
    </w:tblStylePr>
  </w:style>
  <w:style w:type="table" w:customStyle="1" w:styleId="PwCPanelframe">
    <w:name w:val="PwC Panel frame"/>
    <w:basedOn w:val="TableNormal"/>
    <w:uiPriority w:val="99"/>
    <w:qFormat/>
    <w:rsid w:val="00894E32"/>
    <w:pPr>
      <w:spacing w:line="227" w:lineRule="exact"/>
    </w:pPr>
    <w:rPr>
      <w:sz w:val="8"/>
    </w:rPr>
    <w:tblPr>
      <w:tblBorders>
        <w:top w:val="single" w:sz="8" w:space="0" w:color="A32020" w:themeColor="text2"/>
        <w:left w:val="single" w:sz="8" w:space="0" w:color="A32020" w:themeColor="text2"/>
      </w:tblBorders>
      <w:tblCellMar>
        <w:left w:w="227" w:type="dxa"/>
        <w:right w:w="0" w:type="dxa"/>
      </w:tblCellMar>
    </w:tblPr>
    <w:tcPr>
      <w:shd w:val="clear" w:color="auto" w:fill="auto"/>
    </w:tcPr>
  </w:style>
  <w:style w:type="table" w:customStyle="1" w:styleId="PwCpull-outframe">
    <w:name w:val="PwC pull-out frame"/>
    <w:basedOn w:val="PwCPanelframe"/>
    <w:uiPriority w:val="99"/>
    <w:rsid w:val="00894E32"/>
    <w:tblPr>
      <w:tblBorders>
        <w:top w:val="dotted" w:sz="8" w:space="0" w:color="A32020" w:themeColor="text2"/>
        <w:left w:val="dotted" w:sz="8" w:space="0" w:color="A32020" w:themeColor="text2"/>
      </w:tblBorders>
    </w:tblPr>
    <w:tcPr>
      <w:shd w:val="clear" w:color="auto" w:fill="auto"/>
    </w:tcPr>
  </w:style>
  <w:style w:type="paragraph" w:customStyle="1" w:styleId="Bullet1">
    <w:name w:val="Bullet 1"/>
    <w:basedOn w:val="PwCNormal"/>
    <w:rsid w:val="00894E32"/>
    <w:pPr>
      <w:numPr>
        <w:numId w:val="5"/>
      </w:numPr>
      <w:spacing w:after="80"/>
    </w:pPr>
  </w:style>
  <w:style w:type="paragraph" w:customStyle="1" w:styleId="Bullet2">
    <w:name w:val="Bullet 2"/>
    <w:basedOn w:val="Bullet1"/>
    <w:rsid w:val="00894E32"/>
    <w:pPr>
      <w:numPr>
        <w:ilvl w:val="1"/>
      </w:numPr>
    </w:pPr>
  </w:style>
  <w:style w:type="paragraph" w:customStyle="1" w:styleId="Bullet3">
    <w:name w:val="Bullet 3"/>
    <w:basedOn w:val="Bullet2"/>
    <w:rsid w:val="00894E32"/>
    <w:pPr>
      <w:numPr>
        <w:ilvl w:val="2"/>
      </w:numPr>
    </w:pPr>
  </w:style>
  <w:style w:type="paragraph" w:customStyle="1" w:styleId="Bullet4">
    <w:name w:val="Bullet 4"/>
    <w:basedOn w:val="Bullet3"/>
    <w:rsid w:val="00894E32"/>
    <w:pPr>
      <w:numPr>
        <w:ilvl w:val="3"/>
      </w:numPr>
    </w:pPr>
  </w:style>
  <w:style w:type="numbering" w:customStyle="1" w:styleId="Bullets">
    <w:name w:val="Bullets"/>
    <w:uiPriority w:val="99"/>
    <w:rsid w:val="00894E32"/>
    <w:pPr>
      <w:numPr>
        <w:numId w:val="5"/>
      </w:numPr>
    </w:pPr>
  </w:style>
  <w:style w:type="paragraph" w:customStyle="1" w:styleId="FirstPagePanelFrame-Contents">
    <w:name w:val="First Page Panel Frame - Contents"/>
    <w:basedOn w:val="FirstPagePanelFrame"/>
    <w:rsid w:val="00894E32"/>
    <w:pPr>
      <w:framePr w:wrap="notBeside"/>
    </w:pPr>
  </w:style>
  <w:style w:type="numbering" w:customStyle="1" w:styleId="ChapterNumberingList">
    <w:name w:val="Chapter Numbering List"/>
    <w:uiPriority w:val="99"/>
    <w:rsid w:val="00894E32"/>
    <w:pPr>
      <w:numPr>
        <w:numId w:val="6"/>
      </w:numPr>
    </w:pPr>
  </w:style>
  <w:style w:type="paragraph" w:customStyle="1" w:styleId="StylePwCNormalnmajNormalnotetextcvteCNormalnotetext1">
    <w:name w:val="Style PwC NormalnmajNormalnote(text)cv teC Normalnote(text) + ...1"/>
    <w:basedOn w:val="PwCNormal"/>
    <w:rsid w:val="00BE03AE"/>
    <w:pPr>
      <w:numPr>
        <w:numId w:val="0"/>
      </w:numPr>
      <w:tabs>
        <w:tab w:val="num" w:pos="0"/>
      </w:tabs>
    </w:pPr>
    <w:rPr>
      <w:rFonts w:cs="Times New Roman"/>
    </w:rPr>
  </w:style>
  <w:style w:type="paragraph" w:customStyle="1" w:styleId="StylePwCNormalnmajNormalnotetextcvteCNormalnotetext">
    <w:name w:val="Style PwC NormalnmajNormalnote(text)cv teC Normalnote(text) + ..."/>
    <w:basedOn w:val="PwCNormal"/>
    <w:rsid w:val="00BE03AE"/>
    <w:pPr>
      <w:numPr>
        <w:numId w:val="0"/>
      </w:numPr>
      <w:tabs>
        <w:tab w:val="num" w:pos="0"/>
      </w:tabs>
    </w:pPr>
    <w:rPr>
      <w:rFonts w:cs="Times New Roman"/>
    </w:rPr>
  </w:style>
  <w:style w:type="character" w:customStyle="1" w:styleId="FootnoteTextChar">
    <w:name w:val="Footnote Text Char"/>
    <w:aliases w:val="(NECG) Footnote Text Char"/>
    <w:basedOn w:val="DefaultParagraphFont"/>
    <w:link w:val="FootnoteText"/>
    <w:uiPriority w:val="99"/>
    <w:rsid w:val="00BE03AE"/>
    <w:rPr>
      <w:rFonts w:cs="Arial"/>
      <w:snapToGrid w:val="0"/>
      <w:sz w:val="14"/>
      <w:lang w:eastAsia="en-US"/>
    </w:rPr>
  </w:style>
  <w:style w:type="character" w:customStyle="1" w:styleId="A9">
    <w:name w:val="A9"/>
    <w:uiPriority w:val="99"/>
    <w:rsid w:val="00BE03AE"/>
    <w:rPr>
      <w:rFonts w:cs="HelveticaNeueLT Std Lt"/>
      <w:color w:val="000000"/>
      <w:sz w:val="21"/>
      <w:szCs w:val="21"/>
    </w:rPr>
  </w:style>
  <w:style w:type="paragraph" w:customStyle="1" w:styleId="StylePwCNormalnmajNormalnotetextcvteCNormalnotetext2">
    <w:name w:val="Style PwC NormalnmajNormalnote(text)cv teC Normalnote(text) + ...2"/>
    <w:basedOn w:val="PwCNormal"/>
    <w:rsid w:val="00507A58"/>
    <w:rPr>
      <w:color w:val="000000"/>
    </w:rPr>
  </w:style>
  <w:style w:type="paragraph" w:styleId="Revision">
    <w:name w:val="Revision"/>
    <w:hidden/>
    <w:uiPriority w:val="99"/>
    <w:semiHidden/>
    <w:rsid w:val="00A32B3A"/>
    <w:rPr>
      <w:rFonts w:cs="Arial"/>
      <w:snapToGrid w:val="0"/>
      <w:lang w:eastAsia="en-US"/>
    </w:rPr>
  </w:style>
  <w:style w:type="table" w:styleId="LightGrid-Accent2">
    <w:name w:val="Light Grid Accent 2"/>
    <w:basedOn w:val="TableNormal"/>
    <w:uiPriority w:val="62"/>
    <w:locked/>
    <w:rsid w:val="00FB1DC2"/>
    <w:tblPr>
      <w:tblStyleRowBandSize w:val="1"/>
      <w:tblStyleColBandSize w:val="1"/>
      <w:tblBorders>
        <w:top w:val="single" w:sz="8" w:space="0" w:color="E0301E" w:themeColor="accent2"/>
        <w:left w:val="single" w:sz="8" w:space="0" w:color="E0301E" w:themeColor="accent2"/>
        <w:bottom w:val="single" w:sz="8" w:space="0" w:color="E0301E" w:themeColor="accent2"/>
        <w:right w:val="single" w:sz="8" w:space="0" w:color="E0301E" w:themeColor="accent2"/>
        <w:insideH w:val="single" w:sz="8" w:space="0" w:color="E0301E" w:themeColor="accent2"/>
        <w:insideV w:val="single" w:sz="8" w:space="0" w:color="E0301E"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0301E" w:themeColor="accent2"/>
          <w:left w:val="single" w:sz="8" w:space="0" w:color="E0301E" w:themeColor="accent2"/>
          <w:bottom w:val="single" w:sz="18" w:space="0" w:color="E0301E" w:themeColor="accent2"/>
          <w:right w:val="single" w:sz="8" w:space="0" w:color="E0301E" w:themeColor="accent2"/>
          <w:insideH w:val="nil"/>
          <w:insideV w:val="single" w:sz="8" w:space="0" w:color="E0301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0301E" w:themeColor="accent2"/>
          <w:left w:val="single" w:sz="8" w:space="0" w:color="E0301E" w:themeColor="accent2"/>
          <w:bottom w:val="single" w:sz="8" w:space="0" w:color="E0301E" w:themeColor="accent2"/>
          <w:right w:val="single" w:sz="8" w:space="0" w:color="E0301E" w:themeColor="accent2"/>
          <w:insideH w:val="nil"/>
          <w:insideV w:val="single" w:sz="8" w:space="0" w:color="E0301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0301E" w:themeColor="accent2"/>
          <w:left w:val="single" w:sz="8" w:space="0" w:color="E0301E" w:themeColor="accent2"/>
          <w:bottom w:val="single" w:sz="8" w:space="0" w:color="E0301E" w:themeColor="accent2"/>
          <w:right w:val="single" w:sz="8" w:space="0" w:color="E0301E" w:themeColor="accent2"/>
        </w:tcBorders>
      </w:tcPr>
    </w:tblStylePr>
    <w:tblStylePr w:type="band1Vert">
      <w:tblPr/>
      <w:tcPr>
        <w:tcBorders>
          <w:top w:val="single" w:sz="8" w:space="0" w:color="E0301E" w:themeColor="accent2"/>
          <w:left w:val="single" w:sz="8" w:space="0" w:color="E0301E" w:themeColor="accent2"/>
          <w:bottom w:val="single" w:sz="8" w:space="0" w:color="E0301E" w:themeColor="accent2"/>
          <w:right w:val="single" w:sz="8" w:space="0" w:color="E0301E" w:themeColor="accent2"/>
        </w:tcBorders>
        <w:shd w:val="clear" w:color="auto" w:fill="F7CBC7" w:themeFill="accent2" w:themeFillTint="3F"/>
      </w:tcPr>
    </w:tblStylePr>
    <w:tblStylePr w:type="band1Horz">
      <w:tblPr/>
      <w:tcPr>
        <w:tcBorders>
          <w:top w:val="single" w:sz="8" w:space="0" w:color="E0301E" w:themeColor="accent2"/>
          <w:left w:val="single" w:sz="8" w:space="0" w:color="E0301E" w:themeColor="accent2"/>
          <w:bottom w:val="single" w:sz="8" w:space="0" w:color="E0301E" w:themeColor="accent2"/>
          <w:right w:val="single" w:sz="8" w:space="0" w:color="E0301E" w:themeColor="accent2"/>
          <w:insideV w:val="single" w:sz="8" w:space="0" w:color="E0301E" w:themeColor="accent2"/>
        </w:tcBorders>
        <w:shd w:val="clear" w:color="auto" w:fill="F7CBC7" w:themeFill="accent2" w:themeFillTint="3F"/>
      </w:tcPr>
    </w:tblStylePr>
    <w:tblStylePr w:type="band2Horz">
      <w:tblPr/>
      <w:tcPr>
        <w:tcBorders>
          <w:top w:val="single" w:sz="8" w:space="0" w:color="E0301E" w:themeColor="accent2"/>
          <w:left w:val="single" w:sz="8" w:space="0" w:color="E0301E" w:themeColor="accent2"/>
          <w:bottom w:val="single" w:sz="8" w:space="0" w:color="E0301E" w:themeColor="accent2"/>
          <w:right w:val="single" w:sz="8" w:space="0" w:color="E0301E" w:themeColor="accent2"/>
          <w:insideV w:val="single" w:sz="8" w:space="0" w:color="E0301E" w:themeColor="accent2"/>
        </w:tcBorders>
      </w:tcPr>
    </w:tblStylePr>
  </w:style>
  <w:style w:type="table" w:styleId="MediumGrid1-Accent4">
    <w:name w:val="Medium Grid 1 Accent 4"/>
    <w:basedOn w:val="TableNormal"/>
    <w:uiPriority w:val="67"/>
    <w:locked/>
    <w:rsid w:val="00FB1DC2"/>
    <w:tblPr>
      <w:tblStyleRowBandSize w:val="1"/>
      <w:tblStyleColBandSize w:val="1"/>
      <w:tblBorders>
        <w:top w:val="single" w:sz="8" w:space="0" w:color="E47E8F" w:themeColor="accent4" w:themeTint="BF"/>
        <w:left w:val="single" w:sz="8" w:space="0" w:color="E47E8F" w:themeColor="accent4" w:themeTint="BF"/>
        <w:bottom w:val="single" w:sz="8" w:space="0" w:color="E47E8F" w:themeColor="accent4" w:themeTint="BF"/>
        <w:right w:val="single" w:sz="8" w:space="0" w:color="E47E8F" w:themeColor="accent4" w:themeTint="BF"/>
        <w:insideH w:val="single" w:sz="8" w:space="0" w:color="E47E8F" w:themeColor="accent4" w:themeTint="BF"/>
        <w:insideV w:val="single" w:sz="8" w:space="0" w:color="E47E8F" w:themeColor="accent4" w:themeTint="BF"/>
      </w:tblBorders>
    </w:tblPr>
    <w:tcPr>
      <w:shd w:val="clear" w:color="auto" w:fill="F6D4D9" w:themeFill="accent4" w:themeFillTint="3F"/>
    </w:tcPr>
    <w:tblStylePr w:type="firstRow">
      <w:rPr>
        <w:b/>
        <w:bCs/>
      </w:rPr>
    </w:tblStylePr>
    <w:tblStylePr w:type="lastRow">
      <w:rPr>
        <w:b/>
        <w:bCs/>
      </w:rPr>
      <w:tblPr/>
      <w:tcPr>
        <w:tcBorders>
          <w:top w:val="single" w:sz="18" w:space="0" w:color="E47E8F" w:themeColor="accent4" w:themeTint="BF"/>
        </w:tcBorders>
      </w:tcPr>
    </w:tblStylePr>
    <w:tblStylePr w:type="firstCol">
      <w:rPr>
        <w:b/>
        <w:bCs/>
      </w:rPr>
    </w:tblStylePr>
    <w:tblStylePr w:type="lastCol">
      <w:rPr>
        <w:b/>
        <w:bCs/>
      </w:rPr>
    </w:tblStylePr>
    <w:tblStylePr w:type="band1Vert">
      <w:tblPr/>
      <w:tcPr>
        <w:shd w:val="clear" w:color="auto" w:fill="EDA9B4" w:themeFill="accent4" w:themeFillTint="7F"/>
      </w:tcPr>
    </w:tblStylePr>
    <w:tblStylePr w:type="band1Horz">
      <w:tblPr/>
      <w:tcPr>
        <w:shd w:val="clear" w:color="auto" w:fill="EDA9B4" w:themeFill="accent4"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572455">
      <w:bodyDiv w:val="1"/>
      <w:marLeft w:val="0"/>
      <w:marRight w:val="0"/>
      <w:marTop w:val="0"/>
      <w:marBottom w:val="0"/>
      <w:divBdr>
        <w:top w:val="none" w:sz="0" w:space="0" w:color="auto"/>
        <w:left w:val="none" w:sz="0" w:space="0" w:color="auto"/>
        <w:bottom w:val="none" w:sz="0" w:space="0" w:color="auto"/>
        <w:right w:val="none" w:sz="0" w:space="0" w:color="auto"/>
      </w:divBdr>
    </w:div>
    <w:div w:id="87616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4.xml"/><Relationship Id="rId26" Type="http://schemas.openxmlformats.org/officeDocument/2006/relationships/hyperlink" Target="http://www.fairwork.gov.au/leave/public-holidays/list-of-public-holidays" TargetMode="External"/><Relationship Id="rId39" Type="http://schemas.openxmlformats.org/officeDocument/2006/relationships/footer" Target="footer13.xml"/><Relationship Id="rId21" Type="http://schemas.openxmlformats.org/officeDocument/2006/relationships/header" Target="header8.xml"/><Relationship Id="rId34" Type="http://schemas.openxmlformats.org/officeDocument/2006/relationships/header" Target="header13.xml"/><Relationship Id="rId42" Type="http://schemas.openxmlformats.org/officeDocument/2006/relationships/diagramQuickStyle" Target="diagrams/quickStyle1.xml"/><Relationship Id="rId47" Type="http://schemas.openxmlformats.org/officeDocument/2006/relationships/diagramLayout" Target="diagrams/layout2.xml"/><Relationship Id="rId50" Type="http://schemas.microsoft.com/office/2007/relationships/diagramDrawing" Target="diagrams/drawing2.xml"/><Relationship Id="rId55" Type="http://schemas.microsoft.com/office/2007/relationships/diagramDrawing" Target="diagrams/drawing3.xml"/><Relationship Id="rId63" Type="http://schemas.openxmlformats.org/officeDocument/2006/relationships/header" Target="header20.xml"/><Relationship Id="rId68" Type="http://schemas.openxmlformats.org/officeDocument/2006/relationships/footer" Target="footer19.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header" Target="header9.xml"/><Relationship Id="rId32" Type="http://schemas.openxmlformats.org/officeDocument/2006/relationships/footer" Target="footer10.xml"/><Relationship Id="rId37" Type="http://schemas.openxmlformats.org/officeDocument/2006/relationships/footer" Target="footer12.xml"/><Relationship Id="rId40" Type="http://schemas.openxmlformats.org/officeDocument/2006/relationships/diagramData" Target="diagrams/data1.xml"/><Relationship Id="rId45" Type="http://schemas.openxmlformats.org/officeDocument/2006/relationships/hyperlink" Target="http://www.fairwork.gov.au/pay/minimum-wages/pay-guides" TargetMode="External"/><Relationship Id="rId53" Type="http://schemas.openxmlformats.org/officeDocument/2006/relationships/diagramQuickStyle" Target="diagrams/quickStyle3.xml"/><Relationship Id="rId58" Type="http://schemas.openxmlformats.org/officeDocument/2006/relationships/footer" Target="footer14.xml"/><Relationship Id="rId66" Type="http://schemas.openxmlformats.org/officeDocument/2006/relationships/footer" Target="footer18.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header" Target="header11.xml"/><Relationship Id="rId36" Type="http://schemas.openxmlformats.org/officeDocument/2006/relationships/footer" Target="footer11.xml"/><Relationship Id="rId49" Type="http://schemas.openxmlformats.org/officeDocument/2006/relationships/diagramColors" Target="diagrams/colors2.xml"/><Relationship Id="rId57" Type="http://schemas.openxmlformats.org/officeDocument/2006/relationships/header" Target="header17.xml"/><Relationship Id="rId61" Type="http://schemas.openxmlformats.org/officeDocument/2006/relationships/footer" Target="footer16.xm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header" Target="header12.xml"/><Relationship Id="rId44" Type="http://schemas.microsoft.com/office/2007/relationships/diagramDrawing" Target="diagrams/drawing1.xml"/><Relationship Id="rId52" Type="http://schemas.openxmlformats.org/officeDocument/2006/relationships/diagramLayout" Target="diagrams/layout3.xml"/><Relationship Id="rId60" Type="http://schemas.openxmlformats.org/officeDocument/2006/relationships/header" Target="header18.xml"/><Relationship Id="rId65" Type="http://schemas.openxmlformats.org/officeDocument/2006/relationships/footer" Target="footer17.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oter" Target="footer5.xml"/><Relationship Id="rId27" Type="http://schemas.openxmlformats.org/officeDocument/2006/relationships/header" Target="header10.xml"/><Relationship Id="rId30" Type="http://schemas.openxmlformats.org/officeDocument/2006/relationships/footer" Target="footer9.xml"/><Relationship Id="rId35" Type="http://schemas.openxmlformats.org/officeDocument/2006/relationships/header" Target="header14.xml"/><Relationship Id="rId43" Type="http://schemas.openxmlformats.org/officeDocument/2006/relationships/diagramColors" Target="diagrams/colors1.xml"/><Relationship Id="rId48" Type="http://schemas.openxmlformats.org/officeDocument/2006/relationships/diagramQuickStyle" Target="diagrams/quickStyle2.xml"/><Relationship Id="rId56" Type="http://schemas.openxmlformats.org/officeDocument/2006/relationships/header" Target="header16.xml"/><Relationship Id="rId64" Type="http://schemas.openxmlformats.org/officeDocument/2006/relationships/header" Target="header21.xm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diagramData" Target="diagrams/data3.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6.xml"/><Relationship Id="rId25" Type="http://schemas.openxmlformats.org/officeDocument/2006/relationships/footer" Target="footer7.xml"/><Relationship Id="rId33" Type="http://schemas.openxmlformats.org/officeDocument/2006/relationships/image" Target="media/image3.png"/><Relationship Id="rId38" Type="http://schemas.openxmlformats.org/officeDocument/2006/relationships/header" Target="header15.xml"/><Relationship Id="rId46" Type="http://schemas.openxmlformats.org/officeDocument/2006/relationships/diagramData" Target="diagrams/data2.xml"/><Relationship Id="rId59" Type="http://schemas.openxmlformats.org/officeDocument/2006/relationships/footer" Target="footer15.xml"/><Relationship Id="rId67" Type="http://schemas.openxmlformats.org/officeDocument/2006/relationships/header" Target="header22.xml"/><Relationship Id="rId20" Type="http://schemas.openxmlformats.org/officeDocument/2006/relationships/header" Target="header7.xml"/><Relationship Id="rId41" Type="http://schemas.openxmlformats.org/officeDocument/2006/relationships/diagramLayout" Target="diagrams/layout1.xml"/><Relationship Id="rId54" Type="http://schemas.openxmlformats.org/officeDocument/2006/relationships/diagramColors" Target="diagrams/colors3.xml"/><Relationship Id="rId62" Type="http://schemas.openxmlformats.org/officeDocument/2006/relationships/header" Target="header19.xml"/><Relationship Id="rId7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notes.xml.rels><?xml version="1.0" encoding="UTF-8" standalone="yes"?>
<Relationships xmlns="http://schemas.openxmlformats.org/package/2006/relationships"><Relationship Id="rId1" Type="http://schemas.openxmlformats.org/officeDocument/2006/relationships/hyperlink" Target="http://www.economics.com.au/?p=25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ew%20Butterworth\AppData\Roaming\Microsoft\Templates\PwCWL_Report%20Georgia.dotm"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55F6B14-3EF1-479C-BBF3-6F84DDA8E611}" type="doc">
      <dgm:prSet loTypeId="urn:microsoft.com/office/officeart/2005/8/layout/process5" loCatId="process" qsTypeId="urn:microsoft.com/office/officeart/2005/8/quickstyle/simple1" qsCatId="simple" csTypeId="urn:microsoft.com/office/officeart/2005/8/colors/accent0_3" csCatId="mainScheme" phldr="1"/>
      <dgm:spPr/>
    </dgm:pt>
    <dgm:pt modelId="{946D8E5C-8970-4DEE-A751-7869BC9D0EDA}">
      <dgm:prSet phldrT="[Text]"/>
      <dgm:spPr/>
      <dgm:t>
        <a:bodyPr/>
        <a:lstStyle/>
        <a:p>
          <a:r>
            <a:rPr lang="en-AU" dirty="0" smtClean="0"/>
            <a:t>Industry TFI</a:t>
          </a:r>
          <a:endParaRPr lang="en-AU" dirty="0"/>
        </a:p>
      </dgm:t>
    </dgm:pt>
    <dgm:pt modelId="{FD966003-D82D-4DD2-B1F3-3E9D08DCDB08}" type="parTrans" cxnId="{B0A3250E-3856-4442-A73E-B517ED185DB1}">
      <dgm:prSet/>
      <dgm:spPr/>
      <dgm:t>
        <a:bodyPr/>
        <a:lstStyle/>
        <a:p>
          <a:endParaRPr lang="en-AU"/>
        </a:p>
      </dgm:t>
    </dgm:pt>
    <dgm:pt modelId="{F8EA2D98-7545-40C1-96D9-475C4CD3D2E3}" type="sibTrans" cxnId="{B0A3250E-3856-4442-A73E-B517ED185DB1}">
      <dgm:prSet/>
      <dgm:spPr/>
      <dgm:t>
        <a:bodyPr/>
        <a:lstStyle/>
        <a:p>
          <a:endParaRPr lang="en-AU"/>
        </a:p>
      </dgm:t>
    </dgm:pt>
    <dgm:pt modelId="{C0416134-3D2B-4302-A23B-AB4F85682C15}">
      <dgm:prSet phldrT="[Text]"/>
      <dgm:spPr/>
      <dgm:t>
        <a:bodyPr/>
        <a:lstStyle/>
        <a:p>
          <a:r>
            <a:rPr lang="en-AU" dirty="0" smtClean="0"/>
            <a:t>% employers closing due to holiday</a:t>
          </a:r>
          <a:endParaRPr lang="en-AU" dirty="0"/>
        </a:p>
      </dgm:t>
    </dgm:pt>
    <dgm:pt modelId="{AAED69F9-77D9-4F6A-9838-6E7FADAE0383}" type="parTrans" cxnId="{D170238D-F0B7-49AE-BC11-39F98585034C}">
      <dgm:prSet/>
      <dgm:spPr/>
      <dgm:t>
        <a:bodyPr/>
        <a:lstStyle/>
        <a:p>
          <a:endParaRPr lang="en-AU"/>
        </a:p>
      </dgm:t>
    </dgm:pt>
    <dgm:pt modelId="{72FD111E-137D-4C7B-9362-874C4C39730F}" type="sibTrans" cxnId="{D170238D-F0B7-49AE-BC11-39F98585034C}">
      <dgm:prSet/>
      <dgm:spPr/>
      <dgm:t>
        <a:bodyPr/>
        <a:lstStyle/>
        <a:p>
          <a:endParaRPr lang="en-AU"/>
        </a:p>
      </dgm:t>
    </dgm:pt>
    <dgm:pt modelId="{379D05B2-AE3F-4762-A6EE-40DA4FA1E112}">
      <dgm:prSet phldrT="[Text]"/>
      <dgm:spPr/>
      <dgm:t>
        <a:bodyPr/>
        <a:lstStyle/>
        <a:p>
          <a:r>
            <a:rPr lang="en-AU" dirty="0" smtClean="0"/>
            <a:t>Foregone economic value</a:t>
          </a:r>
          <a:endParaRPr lang="en-AU" dirty="0"/>
        </a:p>
      </dgm:t>
    </dgm:pt>
    <dgm:pt modelId="{C2DEF75A-7267-4B18-9D98-97E28CC1630A}" type="parTrans" cxnId="{3ED0395D-F6EB-44EA-AD8B-FD1A3790E63B}">
      <dgm:prSet/>
      <dgm:spPr/>
      <dgm:t>
        <a:bodyPr/>
        <a:lstStyle/>
        <a:p>
          <a:endParaRPr lang="en-AU"/>
        </a:p>
      </dgm:t>
    </dgm:pt>
    <dgm:pt modelId="{1407F76B-72EC-49FC-8D9C-FA93850A1B31}" type="sibTrans" cxnId="{3ED0395D-F6EB-44EA-AD8B-FD1A3790E63B}">
      <dgm:prSet/>
      <dgm:spPr/>
      <dgm:t>
        <a:bodyPr/>
        <a:lstStyle/>
        <a:p>
          <a:endParaRPr lang="en-AU"/>
        </a:p>
      </dgm:t>
    </dgm:pt>
    <dgm:pt modelId="{9412DEEF-B4E2-4D7A-B6B8-20D6F5897ACC}">
      <dgm:prSet/>
      <dgm:spPr/>
      <dgm:t>
        <a:bodyPr/>
        <a:lstStyle/>
        <a:p>
          <a:r>
            <a:rPr lang="en-AU" dirty="0" smtClean="0"/>
            <a:t>% annual output for one day</a:t>
          </a:r>
          <a:endParaRPr lang="en-AU" dirty="0"/>
        </a:p>
      </dgm:t>
    </dgm:pt>
    <dgm:pt modelId="{E594BC17-A12A-460B-A820-4D7C45971693}" type="parTrans" cxnId="{57894F7B-58C5-4EE0-873F-13121DCE8C4D}">
      <dgm:prSet/>
      <dgm:spPr/>
      <dgm:t>
        <a:bodyPr/>
        <a:lstStyle/>
        <a:p>
          <a:endParaRPr lang="en-AU"/>
        </a:p>
      </dgm:t>
    </dgm:pt>
    <dgm:pt modelId="{7B71182F-3861-445A-A720-5ADDD9F3CB45}" type="sibTrans" cxnId="{57894F7B-58C5-4EE0-873F-13121DCE8C4D}">
      <dgm:prSet/>
      <dgm:spPr/>
      <dgm:t>
        <a:bodyPr/>
        <a:lstStyle/>
        <a:p>
          <a:endParaRPr lang="en-AU"/>
        </a:p>
      </dgm:t>
    </dgm:pt>
    <dgm:pt modelId="{308DC502-20ED-4F0A-9722-87FCD39B3068}">
      <dgm:prSet/>
      <dgm:spPr/>
      <dgm:t>
        <a:bodyPr/>
        <a:lstStyle/>
        <a:p>
          <a:r>
            <a:rPr lang="en-AU" dirty="0" smtClean="0"/>
            <a:t>% production not smoothed</a:t>
          </a:r>
          <a:endParaRPr lang="en-AU" dirty="0"/>
        </a:p>
      </dgm:t>
    </dgm:pt>
    <dgm:pt modelId="{7A0CE3B0-ADD2-4FF4-97A3-A81C4F695746}" type="parTrans" cxnId="{F188E905-BF50-4108-A631-01F2AE1A12F3}">
      <dgm:prSet/>
      <dgm:spPr/>
      <dgm:t>
        <a:bodyPr/>
        <a:lstStyle/>
        <a:p>
          <a:endParaRPr lang="en-AU"/>
        </a:p>
      </dgm:t>
    </dgm:pt>
    <dgm:pt modelId="{5E84AC12-5596-4AF6-A17B-D7F47538DB69}" type="sibTrans" cxnId="{F188E905-BF50-4108-A631-01F2AE1A12F3}">
      <dgm:prSet/>
      <dgm:spPr/>
      <dgm:t>
        <a:bodyPr/>
        <a:lstStyle/>
        <a:p>
          <a:endParaRPr lang="en-AU"/>
        </a:p>
      </dgm:t>
    </dgm:pt>
    <dgm:pt modelId="{705F35A9-FB58-4FC3-ACEF-40359C52EECB}">
      <dgm:prSet/>
      <dgm:spPr/>
      <dgm:t>
        <a:bodyPr/>
        <a:lstStyle/>
        <a:p>
          <a:r>
            <a:rPr lang="en-AU" dirty="0" smtClean="0"/>
            <a:t>Foregone government revenue</a:t>
          </a:r>
          <a:endParaRPr lang="en-AU" dirty="0"/>
        </a:p>
      </dgm:t>
    </dgm:pt>
    <dgm:pt modelId="{2CB35AEB-FF54-42C2-9F46-12FE6A4CBD9B}" type="parTrans" cxnId="{4015BB5C-1B27-449E-9CCF-CCD907B4528B}">
      <dgm:prSet/>
      <dgm:spPr/>
      <dgm:t>
        <a:bodyPr/>
        <a:lstStyle/>
        <a:p>
          <a:endParaRPr lang="en-AU"/>
        </a:p>
      </dgm:t>
    </dgm:pt>
    <dgm:pt modelId="{91DC31FA-7789-4AE4-9F84-3F7E0B17AD07}" type="sibTrans" cxnId="{4015BB5C-1B27-449E-9CCF-CCD907B4528B}">
      <dgm:prSet/>
      <dgm:spPr/>
      <dgm:t>
        <a:bodyPr/>
        <a:lstStyle/>
        <a:p>
          <a:endParaRPr lang="en-AU"/>
        </a:p>
      </dgm:t>
    </dgm:pt>
    <dgm:pt modelId="{63FEE973-079F-4200-B2E0-24B762CAAAE2}" type="pres">
      <dgm:prSet presAssocID="{E55F6B14-3EF1-479C-BBF3-6F84DDA8E611}" presName="diagram" presStyleCnt="0">
        <dgm:presLayoutVars>
          <dgm:dir/>
          <dgm:resizeHandles val="exact"/>
        </dgm:presLayoutVars>
      </dgm:prSet>
      <dgm:spPr/>
    </dgm:pt>
    <dgm:pt modelId="{C7F6F156-15C5-46F5-A7EF-584675F300CE}" type="pres">
      <dgm:prSet presAssocID="{946D8E5C-8970-4DEE-A751-7869BC9D0EDA}" presName="node" presStyleLbl="node1" presStyleIdx="0" presStyleCnt="6" custScaleX="161051" custScaleY="161051">
        <dgm:presLayoutVars>
          <dgm:bulletEnabled val="1"/>
        </dgm:presLayoutVars>
      </dgm:prSet>
      <dgm:spPr/>
      <dgm:t>
        <a:bodyPr/>
        <a:lstStyle/>
        <a:p>
          <a:endParaRPr lang="en-AU"/>
        </a:p>
      </dgm:t>
    </dgm:pt>
    <dgm:pt modelId="{CE615C1A-0805-4EF4-9D67-C9DB1A494B46}" type="pres">
      <dgm:prSet presAssocID="{F8EA2D98-7545-40C1-96D9-475C4CD3D2E3}" presName="sibTrans" presStyleLbl="sibTrans2D1" presStyleIdx="0" presStyleCnt="5"/>
      <dgm:spPr>
        <a:prstGeom prst="mathMultiply">
          <a:avLst/>
        </a:prstGeom>
      </dgm:spPr>
      <dgm:t>
        <a:bodyPr/>
        <a:lstStyle/>
        <a:p>
          <a:endParaRPr lang="en-AU"/>
        </a:p>
      </dgm:t>
    </dgm:pt>
    <dgm:pt modelId="{981DCA89-EACD-450C-8EC5-FA4A04171BA4}" type="pres">
      <dgm:prSet presAssocID="{F8EA2D98-7545-40C1-96D9-475C4CD3D2E3}" presName="connectorText" presStyleLbl="sibTrans2D1" presStyleIdx="0" presStyleCnt="5"/>
      <dgm:spPr/>
      <dgm:t>
        <a:bodyPr/>
        <a:lstStyle/>
        <a:p>
          <a:endParaRPr lang="en-AU"/>
        </a:p>
      </dgm:t>
    </dgm:pt>
    <dgm:pt modelId="{09811389-291D-4136-A1AA-0BB542D4A074}" type="pres">
      <dgm:prSet presAssocID="{C0416134-3D2B-4302-A23B-AB4F85682C15}" presName="node" presStyleLbl="node1" presStyleIdx="1" presStyleCnt="6" custScaleX="161051" custScaleY="161051">
        <dgm:presLayoutVars>
          <dgm:bulletEnabled val="1"/>
        </dgm:presLayoutVars>
      </dgm:prSet>
      <dgm:spPr/>
      <dgm:t>
        <a:bodyPr/>
        <a:lstStyle/>
        <a:p>
          <a:endParaRPr lang="en-AU"/>
        </a:p>
      </dgm:t>
    </dgm:pt>
    <dgm:pt modelId="{7934A2A0-602B-4B4E-AA8D-74CF129DCE19}" type="pres">
      <dgm:prSet presAssocID="{72FD111E-137D-4C7B-9362-874C4C39730F}" presName="sibTrans" presStyleLbl="sibTrans2D1" presStyleIdx="1" presStyleCnt="5"/>
      <dgm:spPr>
        <a:prstGeom prst="mathMultiply">
          <a:avLst/>
        </a:prstGeom>
      </dgm:spPr>
      <dgm:t>
        <a:bodyPr/>
        <a:lstStyle/>
        <a:p>
          <a:endParaRPr lang="en-AU"/>
        </a:p>
      </dgm:t>
    </dgm:pt>
    <dgm:pt modelId="{A8F2087E-6E54-4773-BCB9-744F736E4C92}" type="pres">
      <dgm:prSet presAssocID="{72FD111E-137D-4C7B-9362-874C4C39730F}" presName="connectorText" presStyleLbl="sibTrans2D1" presStyleIdx="1" presStyleCnt="5"/>
      <dgm:spPr/>
      <dgm:t>
        <a:bodyPr/>
        <a:lstStyle/>
        <a:p>
          <a:endParaRPr lang="en-AU"/>
        </a:p>
      </dgm:t>
    </dgm:pt>
    <dgm:pt modelId="{46C93D8B-5836-48FC-A847-60B32EDCC149}" type="pres">
      <dgm:prSet presAssocID="{9412DEEF-B4E2-4D7A-B6B8-20D6F5897ACC}" presName="node" presStyleLbl="node1" presStyleIdx="2" presStyleCnt="6" custScaleX="161051" custScaleY="161051">
        <dgm:presLayoutVars>
          <dgm:bulletEnabled val="1"/>
        </dgm:presLayoutVars>
      </dgm:prSet>
      <dgm:spPr/>
      <dgm:t>
        <a:bodyPr/>
        <a:lstStyle/>
        <a:p>
          <a:endParaRPr lang="en-AU"/>
        </a:p>
      </dgm:t>
    </dgm:pt>
    <dgm:pt modelId="{36DF101B-3E6B-4252-956D-2C4FDE8A960E}" type="pres">
      <dgm:prSet presAssocID="{7B71182F-3861-445A-A720-5ADDD9F3CB45}" presName="sibTrans" presStyleLbl="sibTrans2D1" presStyleIdx="2" presStyleCnt="5"/>
      <dgm:spPr>
        <a:prstGeom prst="mathMultiply">
          <a:avLst/>
        </a:prstGeom>
      </dgm:spPr>
      <dgm:t>
        <a:bodyPr/>
        <a:lstStyle/>
        <a:p>
          <a:endParaRPr lang="en-AU"/>
        </a:p>
      </dgm:t>
    </dgm:pt>
    <dgm:pt modelId="{DBE652EC-29AD-443E-974A-0D247E9F51E8}" type="pres">
      <dgm:prSet presAssocID="{7B71182F-3861-445A-A720-5ADDD9F3CB45}" presName="connectorText" presStyleLbl="sibTrans2D1" presStyleIdx="2" presStyleCnt="5"/>
      <dgm:spPr/>
      <dgm:t>
        <a:bodyPr/>
        <a:lstStyle/>
        <a:p>
          <a:endParaRPr lang="en-AU"/>
        </a:p>
      </dgm:t>
    </dgm:pt>
    <dgm:pt modelId="{3611F263-91D5-4ED6-B402-D24BEA5B4502}" type="pres">
      <dgm:prSet presAssocID="{308DC502-20ED-4F0A-9722-87FCD39B3068}" presName="node" presStyleLbl="node1" presStyleIdx="3" presStyleCnt="6" custScaleX="158794" custScaleY="161452">
        <dgm:presLayoutVars>
          <dgm:bulletEnabled val="1"/>
        </dgm:presLayoutVars>
      </dgm:prSet>
      <dgm:spPr/>
      <dgm:t>
        <a:bodyPr/>
        <a:lstStyle/>
        <a:p>
          <a:endParaRPr lang="en-AU"/>
        </a:p>
      </dgm:t>
    </dgm:pt>
    <dgm:pt modelId="{302677A5-15DD-4209-9AB7-40DB304F445D}" type="pres">
      <dgm:prSet presAssocID="{5E84AC12-5596-4AF6-A17B-D7F47538DB69}" presName="sibTrans" presStyleLbl="sibTrans2D1" presStyleIdx="3" presStyleCnt="5"/>
      <dgm:spPr>
        <a:prstGeom prst="mathPlus">
          <a:avLst/>
        </a:prstGeom>
      </dgm:spPr>
      <dgm:t>
        <a:bodyPr/>
        <a:lstStyle/>
        <a:p>
          <a:endParaRPr lang="en-AU"/>
        </a:p>
      </dgm:t>
    </dgm:pt>
    <dgm:pt modelId="{D8A919AC-82F7-48A8-B0EB-F0ED6393B2DA}" type="pres">
      <dgm:prSet presAssocID="{5E84AC12-5596-4AF6-A17B-D7F47538DB69}" presName="connectorText" presStyleLbl="sibTrans2D1" presStyleIdx="3" presStyleCnt="5"/>
      <dgm:spPr/>
      <dgm:t>
        <a:bodyPr/>
        <a:lstStyle/>
        <a:p>
          <a:endParaRPr lang="en-AU"/>
        </a:p>
      </dgm:t>
    </dgm:pt>
    <dgm:pt modelId="{AF837882-9CC8-4C7F-ACD1-87D3797C5E54}" type="pres">
      <dgm:prSet presAssocID="{705F35A9-FB58-4FC3-ACEF-40359C52EECB}" presName="node" presStyleLbl="node1" presStyleIdx="4" presStyleCnt="6" custScaleX="145673" custScaleY="158337">
        <dgm:presLayoutVars>
          <dgm:bulletEnabled val="1"/>
        </dgm:presLayoutVars>
      </dgm:prSet>
      <dgm:spPr/>
      <dgm:t>
        <a:bodyPr/>
        <a:lstStyle/>
        <a:p>
          <a:endParaRPr lang="en-AU"/>
        </a:p>
      </dgm:t>
    </dgm:pt>
    <dgm:pt modelId="{085595F7-9103-4C8B-8855-221C42E25A45}" type="pres">
      <dgm:prSet presAssocID="{91DC31FA-7789-4AE4-9F84-3F7E0B17AD07}" presName="sibTrans" presStyleLbl="sibTrans2D1" presStyleIdx="4" presStyleCnt="5"/>
      <dgm:spPr>
        <a:prstGeom prst="mathEqual">
          <a:avLst/>
        </a:prstGeom>
      </dgm:spPr>
      <dgm:t>
        <a:bodyPr/>
        <a:lstStyle/>
        <a:p>
          <a:endParaRPr lang="en-AU"/>
        </a:p>
      </dgm:t>
    </dgm:pt>
    <dgm:pt modelId="{8E7E5799-EFE9-4A55-BF8A-5BF0E28CB323}" type="pres">
      <dgm:prSet presAssocID="{91DC31FA-7789-4AE4-9F84-3F7E0B17AD07}" presName="connectorText" presStyleLbl="sibTrans2D1" presStyleIdx="4" presStyleCnt="5"/>
      <dgm:spPr/>
      <dgm:t>
        <a:bodyPr/>
        <a:lstStyle/>
        <a:p>
          <a:endParaRPr lang="en-AU"/>
        </a:p>
      </dgm:t>
    </dgm:pt>
    <dgm:pt modelId="{2A946A4C-BF21-44CF-A830-7DC4EA3E1579}" type="pres">
      <dgm:prSet presAssocID="{379D05B2-AE3F-4762-A6EE-40DA4FA1E112}" presName="node" presStyleLbl="node1" presStyleIdx="5" presStyleCnt="6" custScaleX="161051" custScaleY="161051">
        <dgm:presLayoutVars>
          <dgm:bulletEnabled val="1"/>
        </dgm:presLayoutVars>
      </dgm:prSet>
      <dgm:spPr/>
      <dgm:t>
        <a:bodyPr/>
        <a:lstStyle/>
        <a:p>
          <a:endParaRPr lang="en-AU"/>
        </a:p>
      </dgm:t>
    </dgm:pt>
  </dgm:ptLst>
  <dgm:cxnLst>
    <dgm:cxn modelId="{C9B1061D-285B-44FA-9B38-64D99F65CB64}" type="presOf" srcId="{72FD111E-137D-4C7B-9362-874C4C39730F}" destId="{7934A2A0-602B-4B4E-AA8D-74CF129DCE19}" srcOrd="0" destOrd="0" presId="urn:microsoft.com/office/officeart/2005/8/layout/process5"/>
    <dgm:cxn modelId="{AAFF7C60-ED2F-4073-8CB0-FD74D89CB65E}" type="presOf" srcId="{72FD111E-137D-4C7B-9362-874C4C39730F}" destId="{A8F2087E-6E54-4773-BCB9-744F736E4C92}" srcOrd="1" destOrd="0" presId="urn:microsoft.com/office/officeart/2005/8/layout/process5"/>
    <dgm:cxn modelId="{57894F7B-58C5-4EE0-873F-13121DCE8C4D}" srcId="{E55F6B14-3EF1-479C-BBF3-6F84DDA8E611}" destId="{9412DEEF-B4E2-4D7A-B6B8-20D6F5897ACC}" srcOrd="2" destOrd="0" parTransId="{E594BC17-A12A-460B-A820-4D7C45971693}" sibTransId="{7B71182F-3861-445A-A720-5ADDD9F3CB45}"/>
    <dgm:cxn modelId="{5341D6C0-31C7-4BA2-A471-B0462772E48A}" type="presOf" srcId="{5E84AC12-5596-4AF6-A17B-D7F47538DB69}" destId="{302677A5-15DD-4209-9AB7-40DB304F445D}" srcOrd="0" destOrd="0" presId="urn:microsoft.com/office/officeart/2005/8/layout/process5"/>
    <dgm:cxn modelId="{3E3D8AB5-5A65-4816-B20B-EFBDF4D62C73}" type="presOf" srcId="{F8EA2D98-7545-40C1-96D9-475C4CD3D2E3}" destId="{981DCA89-EACD-450C-8EC5-FA4A04171BA4}" srcOrd="1" destOrd="0" presId="urn:microsoft.com/office/officeart/2005/8/layout/process5"/>
    <dgm:cxn modelId="{50BE4759-F40C-4D8A-A941-DB8511E683E2}" type="presOf" srcId="{9412DEEF-B4E2-4D7A-B6B8-20D6F5897ACC}" destId="{46C93D8B-5836-48FC-A847-60B32EDCC149}" srcOrd="0" destOrd="0" presId="urn:microsoft.com/office/officeart/2005/8/layout/process5"/>
    <dgm:cxn modelId="{F2C669AE-95D9-43E3-92F8-78BA81B920E2}" type="presOf" srcId="{F8EA2D98-7545-40C1-96D9-475C4CD3D2E3}" destId="{CE615C1A-0805-4EF4-9D67-C9DB1A494B46}" srcOrd="0" destOrd="0" presId="urn:microsoft.com/office/officeart/2005/8/layout/process5"/>
    <dgm:cxn modelId="{3ED0395D-F6EB-44EA-AD8B-FD1A3790E63B}" srcId="{E55F6B14-3EF1-479C-BBF3-6F84DDA8E611}" destId="{379D05B2-AE3F-4762-A6EE-40DA4FA1E112}" srcOrd="5" destOrd="0" parTransId="{C2DEF75A-7267-4B18-9D98-97E28CC1630A}" sibTransId="{1407F76B-72EC-49FC-8D9C-FA93850A1B31}"/>
    <dgm:cxn modelId="{77546C41-0183-4FD3-9E06-850B97FC6BB7}" type="presOf" srcId="{91DC31FA-7789-4AE4-9F84-3F7E0B17AD07}" destId="{8E7E5799-EFE9-4A55-BF8A-5BF0E28CB323}" srcOrd="1" destOrd="0" presId="urn:microsoft.com/office/officeart/2005/8/layout/process5"/>
    <dgm:cxn modelId="{B69C97D1-C1CD-4CBC-A1F8-7CC6E8BD6C29}" type="presOf" srcId="{7B71182F-3861-445A-A720-5ADDD9F3CB45}" destId="{36DF101B-3E6B-4252-956D-2C4FDE8A960E}" srcOrd="0" destOrd="0" presId="urn:microsoft.com/office/officeart/2005/8/layout/process5"/>
    <dgm:cxn modelId="{D25EF433-67EB-471C-B228-B32E9BED3290}" type="presOf" srcId="{946D8E5C-8970-4DEE-A751-7869BC9D0EDA}" destId="{C7F6F156-15C5-46F5-A7EF-584675F300CE}" srcOrd="0" destOrd="0" presId="urn:microsoft.com/office/officeart/2005/8/layout/process5"/>
    <dgm:cxn modelId="{45DBBEC7-2F8E-4477-9020-1AF08C5B534C}" type="presOf" srcId="{E55F6B14-3EF1-479C-BBF3-6F84DDA8E611}" destId="{63FEE973-079F-4200-B2E0-24B762CAAAE2}" srcOrd="0" destOrd="0" presId="urn:microsoft.com/office/officeart/2005/8/layout/process5"/>
    <dgm:cxn modelId="{B0A3250E-3856-4442-A73E-B517ED185DB1}" srcId="{E55F6B14-3EF1-479C-BBF3-6F84DDA8E611}" destId="{946D8E5C-8970-4DEE-A751-7869BC9D0EDA}" srcOrd="0" destOrd="0" parTransId="{FD966003-D82D-4DD2-B1F3-3E9D08DCDB08}" sibTransId="{F8EA2D98-7545-40C1-96D9-475C4CD3D2E3}"/>
    <dgm:cxn modelId="{15B1515D-9063-4905-BFF8-536D4AB335BE}" type="presOf" srcId="{C0416134-3D2B-4302-A23B-AB4F85682C15}" destId="{09811389-291D-4136-A1AA-0BB542D4A074}" srcOrd="0" destOrd="0" presId="urn:microsoft.com/office/officeart/2005/8/layout/process5"/>
    <dgm:cxn modelId="{4015BB5C-1B27-449E-9CCF-CCD907B4528B}" srcId="{E55F6B14-3EF1-479C-BBF3-6F84DDA8E611}" destId="{705F35A9-FB58-4FC3-ACEF-40359C52EECB}" srcOrd="4" destOrd="0" parTransId="{2CB35AEB-FF54-42C2-9F46-12FE6A4CBD9B}" sibTransId="{91DC31FA-7789-4AE4-9F84-3F7E0B17AD07}"/>
    <dgm:cxn modelId="{9857C9E2-F25E-47F5-BB92-3E861382E640}" type="presOf" srcId="{705F35A9-FB58-4FC3-ACEF-40359C52EECB}" destId="{AF837882-9CC8-4C7F-ACD1-87D3797C5E54}" srcOrd="0" destOrd="0" presId="urn:microsoft.com/office/officeart/2005/8/layout/process5"/>
    <dgm:cxn modelId="{11A73285-7BA6-4C05-A1A9-5F190C518EC8}" type="presOf" srcId="{5E84AC12-5596-4AF6-A17B-D7F47538DB69}" destId="{D8A919AC-82F7-48A8-B0EB-F0ED6393B2DA}" srcOrd="1" destOrd="0" presId="urn:microsoft.com/office/officeart/2005/8/layout/process5"/>
    <dgm:cxn modelId="{B69624ED-EFC9-4E7C-9A1D-4D423601E6B7}" type="presOf" srcId="{91DC31FA-7789-4AE4-9F84-3F7E0B17AD07}" destId="{085595F7-9103-4C8B-8855-221C42E25A45}" srcOrd="0" destOrd="0" presId="urn:microsoft.com/office/officeart/2005/8/layout/process5"/>
    <dgm:cxn modelId="{F188E905-BF50-4108-A631-01F2AE1A12F3}" srcId="{E55F6B14-3EF1-479C-BBF3-6F84DDA8E611}" destId="{308DC502-20ED-4F0A-9722-87FCD39B3068}" srcOrd="3" destOrd="0" parTransId="{7A0CE3B0-ADD2-4FF4-97A3-A81C4F695746}" sibTransId="{5E84AC12-5596-4AF6-A17B-D7F47538DB69}"/>
    <dgm:cxn modelId="{3BB19F17-49CE-42BC-AE8E-D99318670C00}" type="presOf" srcId="{379D05B2-AE3F-4762-A6EE-40DA4FA1E112}" destId="{2A946A4C-BF21-44CF-A830-7DC4EA3E1579}" srcOrd="0" destOrd="0" presId="urn:microsoft.com/office/officeart/2005/8/layout/process5"/>
    <dgm:cxn modelId="{D170238D-F0B7-49AE-BC11-39F98585034C}" srcId="{E55F6B14-3EF1-479C-BBF3-6F84DDA8E611}" destId="{C0416134-3D2B-4302-A23B-AB4F85682C15}" srcOrd="1" destOrd="0" parTransId="{AAED69F9-77D9-4F6A-9838-6E7FADAE0383}" sibTransId="{72FD111E-137D-4C7B-9362-874C4C39730F}"/>
    <dgm:cxn modelId="{F924F986-53CD-4BDB-BA33-A19C982FC7EF}" type="presOf" srcId="{308DC502-20ED-4F0A-9722-87FCD39B3068}" destId="{3611F263-91D5-4ED6-B402-D24BEA5B4502}" srcOrd="0" destOrd="0" presId="urn:microsoft.com/office/officeart/2005/8/layout/process5"/>
    <dgm:cxn modelId="{06DD3520-A4EC-4023-9A5A-DC25960BF125}" type="presOf" srcId="{7B71182F-3861-445A-A720-5ADDD9F3CB45}" destId="{DBE652EC-29AD-443E-974A-0D247E9F51E8}" srcOrd="1" destOrd="0" presId="urn:microsoft.com/office/officeart/2005/8/layout/process5"/>
    <dgm:cxn modelId="{F348ED90-6B59-4DC2-97F5-395043078EC2}" type="presParOf" srcId="{63FEE973-079F-4200-B2E0-24B762CAAAE2}" destId="{C7F6F156-15C5-46F5-A7EF-584675F300CE}" srcOrd="0" destOrd="0" presId="urn:microsoft.com/office/officeart/2005/8/layout/process5"/>
    <dgm:cxn modelId="{46DA9049-64E3-4994-830B-60C210F006F0}" type="presParOf" srcId="{63FEE973-079F-4200-B2E0-24B762CAAAE2}" destId="{CE615C1A-0805-4EF4-9D67-C9DB1A494B46}" srcOrd="1" destOrd="0" presId="urn:microsoft.com/office/officeart/2005/8/layout/process5"/>
    <dgm:cxn modelId="{604314D2-2D81-4C5C-B200-48DA71914AE2}" type="presParOf" srcId="{CE615C1A-0805-4EF4-9D67-C9DB1A494B46}" destId="{981DCA89-EACD-450C-8EC5-FA4A04171BA4}" srcOrd="0" destOrd="0" presId="urn:microsoft.com/office/officeart/2005/8/layout/process5"/>
    <dgm:cxn modelId="{CFBEACFF-84CD-40AE-A688-09BA87379BFD}" type="presParOf" srcId="{63FEE973-079F-4200-B2E0-24B762CAAAE2}" destId="{09811389-291D-4136-A1AA-0BB542D4A074}" srcOrd="2" destOrd="0" presId="urn:microsoft.com/office/officeart/2005/8/layout/process5"/>
    <dgm:cxn modelId="{82C777F3-AC96-4779-AE46-511434E82247}" type="presParOf" srcId="{63FEE973-079F-4200-B2E0-24B762CAAAE2}" destId="{7934A2A0-602B-4B4E-AA8D-74CF129DCE19}" srcOrd="3" destOrd="0" presId="urn:microsoft.com/office/officeart/2005/8/layout/process5"/>
    <dgm:cxn modelId="{8E6850A1-BF15-436B-A1E4-99FA6075525E}" type="presParOf" srcId="{7934A2A0-602B-4B4E-AA8D-74CF129DCE19}" destId="{A8F2087E-6E54-4773-BCB9-744F736E4C92}" srcOrd="0" destOrd="0" presId="urn:microsoft.com/office/officeart/2005/8/layout/process5"/>
    <dgm:cxn modelId="{53432CD9-E8BC-4193-90AE-E74524E8BE51}" type="presParOf" srcId="{63FEE973-079F-4200-B2E0-24B762CAAAE2}" destId="{46C93D8B-5836-48FC-A847-60B32EDCC149}" srcOrd="4" destOrd="0" presId="urn:microsoft.com/office/officeart/2005/8/layout/process5"/>
    <dgm:cxn modelId="{C95D33ED-5DEE-4933-973A-512A245C98CD}" type="presParOf" srcId="{63FEE973-079F-4200-B2E0-24B762CAAAE2}" destId="{36DF101B-3E6B-4252-956D-2C4FDE8A960E}" srcOrd="5" destOrd="0" presId="urn:microsoft.com/office/officeart/2005/8/layout/process5"/>
    <dgm:cxn modelId="{41BFC361-2B23-464E-A4CE-0BD74C2CB562}" type="presParOf" srcId="{36DF101B-3E6B-4252-956D-2C4FDE8A960E}" destId="{DBE652EC-29AD-443E-974A-0D247E9F51E8}" srcOrd="0" destOrd="0" presId="urn:microsoft.com/office/officeart/2005/8/layout/process5"/>
    <dgm:cxn modelId="{8E5F6B3C-FB16-481E-9F5C-37131050C32B}" type="presParOf" srcId="{63FEE973-079F-4200-B2E0-24B762CAAAE2}" destId="{3611F263-91D5-4ED6-B402-D24BEA5B4502}" srcOrd="6" destOrd="0" presId="urn:microsoft.com/office/officeart/2005/8/layout/process5"/>
    <dgm:cxn modelId="{EF0D8D74-BEB2-47EB-9BEF-83A84338CEC5}" type="presParOf" srcId="{63FEE973-079F-4200-B2E0-24B762CAAAE2}" destId="{302677A5-15DD-4209-9AB7-40DB304F445D}" srcOrd="7" destOrd="0" presId="urn:microsoft.com/office/officeart/2005/8/layout/process5"/>
    <dgm:cxn modelId="{4B3538AD-2D9C-4A84-A169-561776AEE483}" type="presParOf" srcId="{302677A5-15DD-4209-9AB7-40DB304F445D}" destId="{D8A919AC-82F7-48A8-B0EB-F0ED6393B2DA}" srcOrd="0" destOrd="0" presId="urn:microsoft.com/office/officeart/2005/8/layout/process5"/>
    <dgm:cxn modelId="{42B1F55D-BAAC-4C6D-8AC6-A6798C79EF01}" type="presParOf" srcId="{63FEE973-079F-4200-B2E0-24B762CAAAE2}" destId="{AF837882-9CC8-4C7F-ACD1-87D3797C5E54}" srcOrd="8" destOrd="0" presId="urn:microsoft.com/office/officeart/2005/8/layout/process5"/>
    <dgm:cxn modelId="{C231A8C8-02F7-40C3-941C-6D1AE9E325D5}" type="presParOf" srcId="{63FEE973-079F-4200-B2E0-24B762CAAAE2}" destId="{085595F7-9103-4C8B-8855-221C42E25A45}" srcOrd="9" destOrd="0" presId="urn:microsoft.com/office/officeart/2005/8/layout/process5"/>
    <dgm:cxn modelId="{5A393AC7-4AF0-4C85-A227-DA4AB0D62B86}" type="presParOf" srcId="{085595F7-9103-4C8B-8855-221C42E25A45}" destId="{8E7E5799-EFE9-4A55-BF8A-5BF0E28CB323}" srcOrd="0" destOrd="0" presId="urn:microsoft.com/office/officeart/2005/8/layout/process5"/>
    <dgm:cxn modelId="{4766335C-683A-4EB7-B086-E7FD90065855}" type="presParOf" srcId="{63FEE973-079F-4200-B2E0-24B762CAAAE2}" destId="{2A946A4C-BF21-44CF-A830-7DC4EA3E1579}" srcOrd="10" destOrd="0" presId="urn:microsoft.com/office/officeart/2005/8/layout/process5"/>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55F6B14-3EF1-479C-BBF3-6F84DDA8E611}" type="doc">
      <dgm:prSet loTypeId="urn:microsoft.com/office/officeart/2005/8/layout/process5" loCatId="process" qsTypeId="urn:microsoft.com/office/officeart/2005/8/quickstyle/simple1" qsCatId="simple" csTypeId="urn:microsoft.com/office/officeart/2005/8/colors/accent0_3" csCatId="mainScheme" phldr="1"/>
      <dgm:spPr/>
    </dgm:pt>
    <dgm:pt modelId="{946D8E5C-8970-4DEE-A751-7869BC9D0EDA}">
      <dgm:prSet phldrT="[Text]"/>
      <dgm:spPr/>
      <dgm:t>
        <a:bodyPr/>
        <a:lstStyle/>
        <a:p>
          <a:r>
            <a:rPr lang="en-AU" dirty="0" smtClean="0"/>
            <a:t>Adjusted average daily earnings</a:t>
          </a:r>
          <a:endParaRPr lang="en-AU" dirty="0"/>
        </a:p>
      </dgm:t>
    </dgm:pt>
    <dgm:pt modelId="{FD966003-D82D-4DD2-B1F3-3E9D08DCDB08}" type="parTrans" cxnId="{B0A3250E-3856-4442-A73E-B517ED185DB1}">
      <dgm:prSet/>
      <dgm:spPr/>
      <dgm:t>
        <a:bodyPr/>
        <a:lstStyle/>
        <a:p>
          <a:endParaRPr lang="en-AU"/>
        </a:p>
      </dgm:t>
    </dgm:pt>
    <dgm:pt modelId="{F8EA2D98-7545-40C1-96D9-475C4CD3D2E3}" type="sibTrans" cxnId="{B0A3250E-3856-4442-A73E-B517ED185DB1}">
      <dgm:prSet/>
      <dgm:spPr/>
      <dgm:t>
        <a:bodyPr/>
        <a:lstStyle/>
        <a:p>
          <a:endParaRPr lang="en-AU"/>
        </a:p>
      </dgm:t>
    </dgm:pt>
    <dgm:pt modelId="{C0416134-3D2B-4302-A23B-AB4F85682C15}">
      <dgm:prSet phldrT="[Text]"/>
      <dgm:spPr/>
      <dgm:t>
        <a:bodyPr/>
        <a:lstStyle/>
        <a:p>
          <a:r>
            <a:rPr lang="en-AU" dirty="0" smtClean="0"/>
            <a:t>Industry employment</a:t>
          </a:r>
          <a:endParaRPr lang="en-AU" dirty="0"/>
        </a:p>
      </dgm:t>
    </dgm:pt>
    <dgm:pt modelId="{AAED69F9-77D9-4F6A-9838-6E7FADAE0383}" type="parTrans" cxnId="{D170238D-F0B7-49AE-BC11-39F98585034C}">
      <dgm:prSet/>
      <dgm:spPr/>
      <dgm:t>
        <a:bodyPr/>
        <a:lstStyle/>
        <a:p>
          <a:endParaRPr lang="en-AU"/>
        </a:p>
      </dgm:t>
    </dgm:pt>
    <dgm:pt modelId="{72FD111E-137D-4C7B-9362-874C4C39730F}" type="sibTrans" cxnId="{D170238D-F0B7-49AE-BC11-39F98585034C}">
      <dgm:prSet/>
      <dgm:spPr/>
      <dgm:t>
        <a:bodyPr/>
        <a:lstStyle/>
        <a:p>
          <a:endParaRPr lang="en-AU"/>
        </a:p>
      </dgm:t>
    </dgm:pt>
    <dgm:pt modelId="{379D05B2-AE3F-4762-A6EE-40DA4FA1E112}">
      <dgm:prSet phldrT="[Text]"/>
      <dgm:spPr/>
      <dgm:t>
        <a:bodyPr/>
        <a:lstStyle/>
        <a:p>
          <a:r>
            <a:rPr lang="en-AU" dirty="0" smtClean="0"/>
            <a:t>Wage transfer </a:t>
          </a:r>
          <a:endParaRPr lang="en-AU" dirty="0"/>
        </a:p>
      </dgm:t>
    </dgm:pt>
    <dgm:pt modelId="{C2DEF75A-7267-4B18-9D98-97E28CC1630A}" type="parTrans" cxnId="{3ED0395D-F6EB-44EA-AD8B-FD1A3790E63B}">
      <dgm:prSet/>
      <dgm:spPr/>
      <dgm:t>
        <a:bodyPr/>
        <a:lstStyle/>
        <a:p>
          <a:endParaRPr lang="en-AU"/>
        </a:p>
      </dgm:t>
    </dgm:pt>
    <dgm:pt modelId="{1407F76B-72EC-49FC-8D9C-FA93850A1B31}" type="sibTrans" cxnId="{3ED0395D-F6EB-44EA-AD8B-FD1A3790E63B}">
      <dgm:prSet/>
      <dgm:spPr/>
      <dgm:t>
        <a:bodyPr/>
        <a:lstStyle/>
        <a:p>
          <a:endParaRPr lang="en-AU"/>
        </a:p>
      </dgm:t>
    </dgm:pt>
    <dgm:pt modelId="{9412DEEF-B4E2-4D7A-B6B8-20D6F5897ACC}">
      <dgm:prSet/>
      <dgm:spPr/>
      <dgm:t>
        <a:bodyPr/>
        <a:lstStyle/>
        <a:p>
          <a:r>
            <a:rPr lang="en-AU" dirty="0" smtClean="0"/>
            <a:t>Proportion of employers operating</a:t>
          </a:r>
          <a:endParaRPr lang="en-AU" dirty="0"/>
        </a:p>
      </dgm:t>
    </dgm:pt>
    <dgm:pt modelId="{E594BC17-A12A-460B-A820-4D7C45971693}" type="parTrans" cxnId="{57894F7B-58C5-4EE0-873F-13121DCE8C4D}">
      <dgm:prSet/>
      <dgm:spPr/>
      <dgm:t>
        <a:bodyPr/>
        <a:lstStyle/>
        <a:p>
          <a:endParaRPr lang="en-AU"/>
        </a:p>
      </dgm:t>
    </dgm:pt>
    <dgm:pt modelId="{7B71182F-3861-445A-A720-5ADDD9F3CB45}" type="sibTrans" cxnId="{57894F7B-58C5-4EE0-873F-13121DCE8C4D}">
      <dgm:prSet/>
      <dgm:spPr/>
      <dgm:t>
        <a:bodyPr/>
        <a:lstStyle/>
        <a:p>
          <a:endParaRPr lang="en-AU"/>
        </a:p>
      </dgm:t>
    </dgm:pt>
    <dgm:pt modelId="{EAF59001-85E8-4D7B-B509-C692007BC512}">
      <dgm:prSet/>
      <dgm:spPr/>
      <dgm:t>
        <a:bodyPr/>
        <a:lstStyle/>
        <a:p>
          <a:r>
            <a:rPr lang="en-AU" dirty="0" smtClean="0"/>
            <a:t>Proportion of employees working</a:t>
          </a:r>
          <a:endParaRPr lang="en-AU" dirty="0"/>
        </a:p>
      </dgm:t>
    </dgm:pt>
    <dgm:pt modelId="{2F9C4173-B657-4C8B-B3E2-021DDAE0F1C9}" type="parTrans" cxnId="{8D928A29-214C-435D-83F7-E3A694BED5A0}">
      <dgm:prSet/>
      <dgm:spPr/>
      <dgm:t>
        <a:bodyPr/>
        <a:lstStyle/>
        <a:p>
          <a:endParaRPr lang="en-AU"/>
        </a:p>
      </dgm:t>
    </dgm:pt>
    <dgm:pt modelId="{959B77A7-03DB-4B3B-B07D-E47EBCF6EF6F}" type="sibTrans" cxnId="{8D928A29-214C-435D-83F7-E3A694BED5A0}">
      <dgm:prSet/>
      <dgm:spPr/>
      <dgm:t>
        <a:bodyPr/>
        <a:lstStyle/>
        <a:p>
          <a:endParaRPr lang="en-AU"/>
        </a:p>
      </dgm:t>
    </dgm:pt>
    <dgm:pt modelId="{E7CA1029-E289-4F6E-BE92-9728AB70582D}">
      <dgm:prSet/>
      <dgm:spPr/>
      <dgm:t>
        <a:bodyPr/>
        <a:lstStyle/>
        <a:p>
          <a:r>
            <a:rPr lang="en-AU" dirty="0" smtClean="0"/>
            <a:t>% normal wage costs</a:t>
          </a:r>
          <a:endParaRPr lang="en-AU" dirty="0"/>
        </a:p>
      </dgm:t>
    </dgm:pt>
    <dgm:pt modelId="{92A181DF-F2E4-4D91-8AB3-1896E5C8588F}" type="parTrans" cxnId="{ABA01475-DCBC-468F-96D0-E55A4B658AAC}">
      <dgm:prSet/>
      <dgm:spPr/>
      <dgm:t>
        <a:bodyPr/>
        <a:lstStyle/>
        <a:p>
          <a:endParaRPr lang="en-AU"/>
        </a:p>
      </dgm:t>
    </dgm:pt>
    <dgm:pt modelId="{CB3E77F2-F4B5-42A4-A9BB-99CC8588E8F2}" type="sibTrans" cxnId="{ABA01475-DCBC-468F-96D0-E55A4B658AAC}">
      <dgm:prSet/>
      <dgm:spPr/>
      <dgm:t>
        <a:bodyPr/>
        <a:lstStyle/>
        <a:p>
          <a:endParaRPr lang="en-AU"/>
        </a:p>
      </dgm:t>
    </dgm:pt>
    <dgm:pt modelId="{8E82393E-CA69-4458-A2F4-607804926805}">
      <dgm:prSet/>
      <dgm:spPr/>
      <dgm:t>
        <a:bodyPr/>
        <a:lstStyle/>
        <a:p>
          <a:r>
            <a:rPr lang="en-AU" dirty="0" smtClean="0"/>
            <a:t>Difference in penalty rates</a:t>
          </a:r>
          <a:endParaRPr lang="en-AU" dirty="0"/>
        </a:p>
      </dgm:t>
    </dgm:pt>
    <dgm:pt modelId="{F3D3560B-897A-462E-9F7D-905C5E3D5BAD}" type="parTrans" cxnId="{4213995C-4E3F-4354-9FB8-C2BE1232233D}">
      <dgm:prSet/>
      <dgm:spPr/>
      <dgm:t>
        <a:bodyPr/>
        <a:lstStyle/>
        <a:p>
          <a:endParaRPr lang="en-AU"/>
        </a:p>
      </dgm:t>
    </dgm:pt>
    <dgm:pt modelId="{A4E65149-4D93-4EA8-9A08-124D3759E49E}" type="sibTrans" cxnId="{4213995C-4E3F-4354-9FB8-C2BE1232233D}">
      <dgm:prSet/>
      <dgm:spPr/>
      <dgm:t>
        <a:bodyPr/>
        <a:lstStyle/>
        <a:p>
          <a:endParaRPr lang="en-AU"/>
        </a:p>
      </dgm:t>
    </dgm:pt>
    <dgm:pt modelId="{63FEE973-079F-4200-B2E0-24B762CAAAE2}" type="pres">
      <dgm:prSet presAssocID="{E55F6B14-3EF1-479C-BBF3-6F84DDA8E611}" presName="diagram" presStyleCnt="0">
        <dgm:presLayoutVars>
          <dgm:dir/>
          <dgm:resizeHandles val="exact"/>
        </dgm:presLayoutVars>
      </dgm:prSet>
      <dgm:spPr/>
    </dgm:pt>
    <dgm:pt modelId="{C7F6F156-15C5-46F5-A7EF-584675F300CE}" type="pres">
      <dgm:prSet presAssocID="{946D8E5C-8970-4DEE-A751-7869BC9D0EDA}" presName="node" presStyleLbl="node1" presStyleIdx="0" presStyleCnt="7" custScaleX="161051" custScaleY="161051">
        <dgm:presLayoutVars>
          <dgm:bulletEnabled val="1"/>
        </dgm:presLayoutVars>
      </dgm:prSet>
      <dgm:spPr/>
      <dgm:t>
        <a:bodyPr/>
        <a:lstStyle/>
        <a:p>
          <a:endParaRPr lang="en-AU"/>
        </a:p>
      </dgm:t>
    </dgm:pt>
    <dgm:pt modelId="{CE615C1A-0805-4EF4-9D67-C9DB1A494B46}" type="pres">
      <dgm:prSet presAssocID="{F8EA2D98-7545-40C1-96D9-475C4CD3D2E3}" presName="sibTrans" presStyleLbl="sibTrans2D1" presStyleIdx="0" presStyleCnt="6"/>
      <dgm:spPr>
        <a:prstGeom prst="mathMultiply">
          <a:avLst/>
        </a:prstGeom>
      </dgm:spPr>
      <dgm:t>
        <a:bodyPr/>
        <a:lstStyle/>
        <a:p>
          <a:endParaRPr lang="en-AU"/>
        </a:p>
      </dgm:t>
    </dgm:pt>
    <dgm:pt modelId="{981DCA89-EACD-450C-8EC5-FA4A04171BA4}" type="pres">
      <dgm:prSet presAssocID="{F8EA2D98-7545-40C1-96D9-475C4CD3D2E3}" presName="connectorText" presStyleLbl="sibTrans2D1" presStyleIdx="0" presStyleCnt="6"/>
      <dgm:spPr/>
      <dgm:t>
        <a:bodyPr/>
        <a:lstStyle/>
        <a:p>
          <a:endParaRPr lang="en-AU"/>
        </a:p>
      </dgm:t>
    </dgm:pt>
    <dgm:pt modelId="{09811389-291D-4136-A1AA-0BB542D4A074}" type="pres">
      <dgm:prSet presAssocID="{C0416134-3D2B-4302-A23B-AB4F85682C15}" presName="node" presStyleLbl="node1" presStyleIdx="1" presStyleCnt="7" custScaleX="161051" custScaleY="161051">
        <dgm:presLayoutVars>
          <dgm:bulletEnabled val="1"/>
        </dgm:presLayoutVars>
      </dgm:prSet>
      <dgm:spPr/>
      <dgm:t>
        <a:bodyPr/>
        <a:lstStyle/>
        <a:p>
          <a:endParaRPr lang="en-AU"/>
        </a:p>
      </dgm:t>
    </dgm:pt>
    <dgm:pt modelId="{7934A2A0-602B-4B4E-AA8D-74CF129DCE19}" type="pres">
      <dgm:prSet presAssocID="{72FD111E-137D-4C7B-9362-874C4C39730F}" presName="sibTrans" presStyleLbl="sibTrans2D1" presStyleIdx="1" presStyleCnt="6"/>
      <dgm:spPr>
        <a:prstGeom prst="mathMultiply">
          <a:avLst/>
        </a:prstGeom>
      </dgm:spPr>
      <dgm:t>
        <a:bodyPr/>
        <a:lstStyle/>
        <a:p>
          <a:endParaRPr lang="en-AU"/>
        </a:p>
      </dgm:t>
    </dgm:pt>
    <dgm:pt modelId="{A8F2087E-6E54-4773-BCB9-744F736E4C92}" type="pres">
      <dgm:prSet presAssocID="{72FD111E-137D-4C7B-9362-874C4C39730F}" presName="connectorText" presStyleLbl="sibTrans2D1" presStyleIdx="1" presStyleCnt="6"/>
      <dgm:spPr/>
      <dgm:t>
        <a:bodyPr/>
        <a:lstStyle/>
        <a:p>
          <a:endParaRPr lang="en-AU"/>
        </a:p>
      </dgm:t>
    </dgm:pt>
    <dgm:pt modelId="{46C93D8B-5836-48FC-A847-60B32EDCC149}" type="pres">
      <dgm:prSet presAssocID="{9412DEEF-B4E2-4D7A-B6B8-20D6F5897ACC}" presName="node" presStyleLbl="node1" presStyleIdx="2" presStyleCnt="7" custScaleX="161051" custScaleY="161051">
        <dgm:presLayoutVars>
          <dgm:bulletEnabled val="1"/>
        </dgm:presLayoutVars>
      </dgm:prSet>
      <dgm:spPr/>
      <dgm:t>
        <a:bodyPr/>
        <a:lstStyle/>
        <a:p>
          <a:endParaRPr lang="en-AU"/>
        </a:p>
      </dgm:t>
    </dgm:pt>
    <dgm:pt modelId="{36DF101B-3E6B-4252-956D-2C4FDE8A960E}" type="pres">
      <dgm:prSet presAssocID="{7B71182F-3861-445A-A720-5ADDD9F3CB45}" presName="sibTrans" presStyleLbl="sibTrans2D1" presStyleIdx="2" presStyleCnt="6" custScaleX="141017" custScaleY="86293"/>
      <dgm:spPr>
        <a:prstGeom prst="mathMultiply">
          <a:avLst/>
        </a:prstGeom>
      </dgm:spPr>
      <dgm:t>
        <a:bodyPr/>
        <a:lstStyle/>
        <a:p>
          <a:endParaRPr lang="en-AU"/>
        </a:p>
      </dgm:t>
    </dgm:pt>
    <dgm:pt modelId="{DBE652EC-29AD-443E-974A-0D247E9F51E8}" type="pres">
      <dgm:prSet presAssocID="{7B71182F-3861-445A-A720-5ADDD9F3CB45}" presName="connectorText" presStyleLbl="sibTrans2D1" presStyleIdx="2" presStyleCnt="6"/>
      <dgm:spPr/>
      <dgm:t>
        <a:bodyPr/>
        <a:lstStyle/>
        <a:p>
          <a:endParaRPr lang="en-AU"/>
        </a:p>
      </dgm:t>
    </dgm:pt>
    <dgm:pt modelId="{DF51E6CF-A3E2-49B7-AABB-94C59EEEFDCF}" type="pres">
      <dgm:prSet presAssocID="{EAF59001-85E8-4D7B-B509-C692007BC512}" presName="node" presStyleLbl="node1" presStyleIdx="3" presStyleCnt="7" custScaleX="161051" custScaleY="161051" custLinFactX="-100000" custLinFactY="100000" custLinFactNeighborX="-100508" custLinFactNeighborY="116004">
        <dgm:presLayoutVars>
          <dgm:bulletEnabled val="1"/>
        </dgm:presLayoutVars>
      </dgm:prSet>
      <dgm:spPr/>
      <dgm:t>
        <a:bodyPr/>
        <a:lstStyle/>
        <a:p>
          <a:endParaRPr lang="en-AU"/>
        </a:p>
      </dgm:t>
    </dgm:pt>
    <dgm:pt modelId="{E32A17EF-EC80-4F81-AE28-0DF207908FE8}" type="pres">
      <dgm:prSet presAssocID="{959B77A7-03DB-4B3B-B07D-E47EBCF6EF6F}" presName="sibTrans" presStyleLbl="sibTrans2D1" presStyleIdx="3" presStyleCnt="6"/>
      <dgm:spPr>
        <a:prstGeom prst="mathMultiply">
          <a:avLst/>
        </a:prstGeom>
      </dgm:spPr>
      <dgm:t>
        <a:bodyPr/>
        <a:lstStyle/>
        <a:p>
          <a:endParaRPr lang="en-AU"/>
        </a:p>
      </dgm:t>
    </dgm:pt>
    <dgm:pt modelId="{B5F6B7FB-7D68-43A2-A92D-97E3C3034A6C}" type="pres">
      <dgm:prSet presAssocID="{959B77A7-03DB-4B3B-B07D-E47EBCF6EF6F}" presName="connectorText" presStyleLbl="sibTrans2D1" presStyleIdx="3" presStyleCnt="6"/>
      <dgm:spPr/>
      <dgm:t>
        <a:bodyPr/>
        <a:lstStyle/>
        <a:p>
          <a:endParaRPr lang="en-AU"/>
        </a:p>
      </dgm:t>
    </dgm:pt>
    <dgm:pt modelId="{6FC0AE5D-CB1E-41FC-A547-1C2F60C3F4C6}" type="pres">
      <dgm:prSet presAssocID="{8E82393E-CA69-4458-A2F4-607804926805}" presName="node" presStyleLbl="node1" presStyleIdx="4" presStyleCnt="7" custScaleX="161051" custScaleY="161051" custLinFactX="-100000" custLinFactY="100000" custLinFactNeighborX="-101594" custLinFactNeighborY="116004">
        <dgm:presLayoutVars>
          <dgm:bulletEnabled val="1"/>
        </dgm:presLayoutVars>
      </dgm:prSet>
      <dgm:spPr/>
      <dgm:t>
        <a:bodyPr/>
        <a:lstStyle/>
        <a:p>
          <a:endParaRPr lang="en-AU"/>
        </a:p>
      </dgm:t>
    </dgm:pt>
    <dgm:pt modelId="{6C896EEB-2D1D-44F1-9F52-D20B3E9B35B3}" type="pres">
      <dgm:prSet presAssocID="{A4E65149-4D93-4EA8-9A08-124D3759E49E}" presName="sibTrans" presStyleLbl="sibTrans2D1" presStyleIdx="4" presStyleCnt="6"/>
      <dgm:spPr>
        <a:prstGeom prst="mathMultiply">
          <a:avLst/>
        </a:prstGeom>
      </dgm:spPr>
      <dgm:t>
        <a:bodyPr/>
        <a:lstStyle/>
        <a:p>
          <a:endParaRPr lang="en-AU"/>
        </a:p>
      </dgm:t>
    </dgm:pt>
    <dgm:pt modelId="{CC106833-2754-4E6F-BFE5-DD6954477E92}" type="pres">
      <dgm:prSet presAssocID="{A4E65149-4D93-4EA8-9A08-124D3759E49E}" presName="connectorText" presStyleLbl="sibTrans2D1" presStyleIdx="4" presStyleCnt="6"/>
      <dgm:spPr/>
      <dgm:t>
        <a:bodyPr/>
        <a:lstStyle/>
        <a:p>
          <a:endParaRPr lang="en-AU"/>
        </a:p>
      </dgm:t>
    </dgm:pt>
    <dgm:pt modelId="{06784986-6552-4B5E-98FA-69230FCCBF71}" type="pres">
      <dgm:prSet presAssocID="{E7CA1029-E289-4F6E-BE92-9728AB70582D}" presName="node" presStyleLbl="node1" presStyleIdx="5" presStyleCnt="7" custScaleX="161051" custScaleY="161051" custLinFactX="-95101" custLinFactY="100000" custLinFactNeighborX="-100000" custLinFactNeighborY="116004">
        <dgm:presLayoutVars>
          <dgm:bulletEnabled val="1"/>
        </dgm:presLayoutVars>
      </dgm:prSet>
      <dgm:spPr/>
      <dgm:t>
        <a:bodyPr/>
        <a:lstStyle/>
        <a:p>
          <a:endParaRPr lang="en-AU"/>
        </a:p>
      </dgm:t>
    </dgm:pt>
    <dgm:pt modelId="{9C384F9F-F295-453C-836F-11972C8CAC49}" type="pres">
      <dgm:prSet presAssocID="{CB3E77F2-F4B5-42A4-A9BB-99CC8588E8F2}" presName="sibTrans" presStyleLbl="sibTrans2D1" presStyleIdx="5" presStyleCnt="6"/>
      <dgm:spPr>
        <a:prstGeom prst="mathEqual">
          <a:avLst/>
        </a:prstGeom>
      </dgm:spPr>
      <dgm:t>
        <a:bodyPr/>
        <a:lstStyle/>
        <a:p>
          <a:endParaRPr lang="en-AU"/>
        </a:p>
      </dgm:t>
    </dgm:pt>
    <dgm:pt modelId="{C3A28B79-6E71-4C65-9DDB-3A039889B61B}" type="pres">
      <dgm:prSet presAssocID="{CB3E77F2-F4B5-42A4-A9BB-99CC8588E8F2}" presName="connectorText" presStyleLbl="sibTrans2D1" presStyleIdx="5" presStyleCnt="6"/>
      <dgm:spPr/>
      <dgm:t>
        <a:bodyPr/>
        <a:lstStyle/>
        <a:p>
          <a:endParaRPr lang="en-AU"/>
        </a:p>
      </dgm:t>
    </dgm:pt>
    <dgm:pt modelId="{2A946A4C-BF21-44CF-A830-7DC4EA3E1579}" type="pres">
      <dgm:prSet presAssocID="{379D05B2-AE3F-4762-A6EE-40DA4FA1E112}" presName="node" presStyleLbl="node1" presStyleIdx="6" presStyleCnt="7" custScaleX="161051" custScaleY="161051" custLinFactNeighborX="7049" custLinFactNeighborY="-11714">
        <dgm:presLayoutVars>
          <dgm:bulletEnabled val="1"/>
        </dgm:presLayoutVars>
      </dgm:prSet>
      <dgm:spPr/>
      <dgm:t>
        <a:bodyPr/>
        <a:lstStyle/>
        <a:p>
          <a:endParaRPr lang="en-AU"/>
        </a:p>
      </dgm:t>
    </dgm:pt>
  </dgm:ptLst>
  <dgm:cxnLst>
    <dgm:cxn modelId="{B0A3250E-3856-4442-A73E-B517ED185DB1}" srcId="{E55F6B14-3EF1-479C-BBF3-6F84DDA8E611}" destId="{946D8E5C-8970-4DEE-A751-7869BC9D0EDA}" srcOrd="0" destOrd="0" parTransId="{FD966003-D82D-4DD2-B1F3-3E9D08DCDB08}" sibTransId="{F8EA2D98-7545-40C1-96D9-475C4CD3D2E3}"/>
    <dgm:cxn modelId="{22EE4B4A-F606-4B30-8D0D-39F2B8E5390F}" type="presOf" srcId="{7B71182F-3861-445A-A720-5ADDD9F3CB45}" destId="{DBE652EC-29AD-443E-974A-0D247E9F51E8}" srcOrd="1" destOrd="0" presId="urn:microsoft.com/office/officeart/2005/8/layout/process5"/>
    <dgm:cxn modelId="{50F6BD53-6DFE-464D-9A8F-274407465DD6}" type="presOf" srcId="{A4E65149-4D93-4EA8-9A08-124D3759E49E}" destId="{6C896EEB-2D1D-44F1-9F52-D20B3E9B35B3}" srcOrd="0" destOrd="0" presId="urn:microsoft.com/office/officeart/2005/8/layout/process5"/>
    <dgm:cxn modelId="{3CAFCAC0-46EF-4BB4-BED0-E385C06C1D78}" type="presOf" srcId="{72FD111E-137D-4C7B-9362-874C4C39730F}" destId="{7934A2A0-602B-4B4E-AA8D-74CF129DCE19}" srcOrd="0" destOrd="0" presId="urn:microsoft.com/office/officeart/2005/8/layout/process5"/>
    <dgm:cxn modelId="{D170238D-F0B7-49AE-BC11-39F98585034C}" srcId="{E55F6B14-3EF1-479C-BBF3-6F84DDA8E611}" destId="{C0416134-3D2B-4302-A23B-AB4F85682C15}" srcOrd="1" destOrd="0" parTransId="{AAED69F9-77D9-4F6A-9838-6E7FADAE0383}" sibTransId="{72FD111E-137D-4C7B-9362-874C4C39730F}"/>
    <dgm:cxn modelId="{CFEA3D78-0BAB-4DA6-8210-BAB25F0F6ADF}" type="presOf" srcId="{F8EA2D98-7545-40C1-96D9-475C4CD3D2E3}" destId="{981DCA89-EACD-450C-8EC5-FA4A04171BA4}" srcOrd="1" destOrd="0" presId="urn:microsoft.com/office/officeart/2005/8/layout/process5"/>
    <dgm:cxn modelId="{5AA6CCAC-AC9D-48DA-9EE3-24E4C8FA39D1}" type="presOf" srcId="{E55F6B14-3EF1-479C-BBF3-6F84DDA8E611}" destId="{63FEE973-079F-4200-B2E0-24B762CAAAE2}" srcOrd="0" destOrd="0" presId="urn:microsoft.com/office/officeart/2005/8/layout/process5"/>
    <dgm:cxn modelId="{DD20334E-305F-4F7D-A460-5AACA118127C}" type="presOf" srcId="{959B77A7-03DB-4B3B-B07D-E47EBCF6EF6F}" destId="{E32A17EF-EC80-4F81-AE28-0DF207908FE8}" srcOrd="0" destOrd="0" presId="urn:microsoft.com/office/officeart/2005/8/layout/process5"/>
    <dgm:cxn modelId="{3ED0395D-F6EB-44EA-AD8B-FD1A3790E63B}" srcId="{E55F6B14-3EF1-479C-BBF3-6F84DDA8E611}" destId="{379D05B2-AE3F-4762-A6EE-40DA4FA1E112}" srcOrd="6" destOrd="0" parTransId="{C2DEF75A-7267-4B18-9D98-97E28CC1630A}" sibTransId="{1407F76B-72EC-49FC-8D9C-FA93850A1B31}"/>
    <dgm:cxn modelId="{005F0A29-DE8F-4D53-B13A-273F303B67E0}" type="presOf" srcId="{959B77A7-03DB-4B3B-B07D-E47EBCF6EF6F}" destId="{B5F6B7FB-7D68-43A2-A92D-97E3C3034A6C}" srcOrd="1" destOrd="0" presId="urn:microsoft.com/office/officeart/2005/8/layout/process5"/>
    <dgm:cxn modelId="{16F43DF0-643D-40B7-9EE5-15A2C3C1D607}" type="presOf" srcId="{8E82393E-CA69-4458-A2F4-607804926805}" destId="{6FC0AE5D-CB1E-41FC-A547-1C2F60C3F4C6}" srcOrd="0" destOrd="0" presId="urn:microsoft.com/office/officeart/2005/8/layout/process5"/>
    <dgm:cxn modelId="{4213995C-4E3F-4354-9FB8-C2BE1232233D}" srcId="{E55F6B14-3EF1-479C-BBF3-6F84DDA8E611}" destId="{8E82393E-CA69-4458-A2F4-607804926805}" srcOrd="4" destOrd="0" parTransId="{F3D3560B-897A-462E-9F7D-905C5E3D5BAD}" sibTransId="{A4E65149-4D93-4EA8-9A08-124D3759E49E}"/>
    <dgm:cxn modelId="{763C5C32-59F9-42E2-84A5-F6209EC1FCB6}" type="presOf" srcId="{7B71182F-3861-445A-A720-5ADDD9F3CB45}" destId="{36DF101B-3E6B-4252-956D-2C4FDE8A960E}" srcOrd="0" destOrd="0" presId="urn:microsoft.com/office/officeart/2005/8/layout/process5"/>
    <dgm:cxn modelId="{A65CECD0-47B4-4B7E-B9AF-FC9A373DA6E7}" type="presOf" srcId="{CB3E77F2-F4B5-42A4-A9BB-99CC8588E8F2}" destId="{9C384F9F-F295-453C-836F-11972C8CAC49}" srcOrd="0" destOrd="0" presId="urn:microsoft.com/office/officeart/2005/8/layout/process5"/>
    <dgm:cxn modelId="{65E567A7-B771-4509-94B2-3D0E8881C871}" type="presOf" srcId="{72FD111E-137D-4C7B-9362-874C4C39730F}" destId="{A8F2087E-6E54-4773-BCB9-744F736E4C92}" srcOrd="1" destOrd="0" presId="urn:microsoft.com/office/officeart/2005/8/layout/process5"/>
    <dgm:cxn modelId="{2ACF2780-A05A-4385-90B8-A6BF3C334696}" type="presOf" srcId="{379D05B2-AE3F-4762-A6EE-40DA4FA1E112}" destId="{2A946A4C-BF21-44CF-A830-7DC4EA3E1579}" srcOrd="0" destOrd="0" presId="urn:microsoft.com/office/officeart/2005/8/layout/process5"/>
    <dgm:cxn modelId="{119D853B-5240-441F-A77D-CA8793F890CB}" type="presOf" srcId="{A4E65149-4D93-4EA8-9A08-124D3759E49E}" destId="{CC106833-2754-4E6F-BFE5-DD6954477E92}" srcOrd="1" destOrd="0" presId="urn:microsoft.com/office/officeart/2005/8/layout/process5"/>
    <dgm:cxn modelId="{ACFD9F43-64CC-4C04-BD89-DBF611799001}" type="presOf" srcId="{946D8E5C-8970-4DEE-A751-7869BC9D0EDA}" destId="{C7F6F156-15C5-46F5-A7EF-584675F300CE}" srcOrd="0" destOrd="0" presId="urn:microsoft.com/office/officeart/2005/8/layout/process5"/>
    <dgm:cxn modelId="{0D2AE729-5D1B-46F8-B9EC-58C67CB7439B}" type="presOf" srcId="{E7CA1029-E289-4F6E-BE92-9728AB70582D}" destId="{06784986-6552-4B5E-98FA-69230FCCBF71}" srcOrd="0" destOrd="0" presId="urn:microsoft.com/office/officeart/2005/8/layout/process5"/>
    <dgm:cxn modelId="{E857A8C6-B8DE-489A-BD1C-F82DE308F6E6}" type="presOf" srcId="{F8EA2D98-7545-40C1-96D9-475C4CD3D2E3}" destId="{CE615C1A-0805-4EF4-9D67-C9DB1A494B46}" srcOrd="0" destOrd="0" presId="urn:microsoft.com/office/officeart/2005/8/layout/process5"/>
    <dgm:cxn modelId="{57894F7B-58C5-4EE0-873F-13121DCE8C4D}" srcId="{E55F6B14-3EF1-479C-BBF3-6F84DDA8E611}" destId="{9412DEEF-B4E2-4D7A-B6B8-20D6F5897ACC}" srcOrd="2" destOrd="0" parTransId="{E594BC17-A12A-460B-A820-4D7C45971693}" sibTransId="{7B71182F-3861-445A-A720-5ADDD9F3CB45}"/>
    <dgm:cxn modelId="{F4F5BF0B-BF81-490D-A7AF-6DA31DCBFF71}" type="presOf" srcId="{CB3E77F2-F4B5-42A4-A9BB-99CC8588E8F2}" destId="{C3A28B79-6E71-4C65-9DDB-3A039889B61B}" srcOrd="1" destOrd="0" presId="urn:microsoft.com/office/officeart/2005/8/layout/process5"/>
    <dgm:cxn modelId="{45212B1A-DFFF-4735-A1BD-4EDABB413054}" type="presOf" srcId="{EAF59001-85E8-4D7B-B509-C692007BC512}" destId="{DF51E6CF-A3E2-49B7-AABB-94C59EEEFDCF}" srcOrd="0" destOrd="0" presId="urn:microsoft.com/office/officeart/2005/8/layout/process5"/>
    <dgm:cxn modelId="{ABA01475-DCBC-468F-96D0-E55A4B658AAC}" srcId="{E55F6B14-3EF1-479C-BBF3-6F84DDA8E611}" destId="{E7CA1029-E289-4F6E-BE92-9728AB70582D}" srcOrd="5" destOrd="0" parTransId="{92A181DF-F2E4-4D91-8AB3-1896E5C8588F}" sibTransId="{CB3E77F2-F4B5-42A4-A9BB-99CC8588E8F2}"/>
    <dgm:cxn modelId="{8D928A29-214C-435D-83F7-E3A694BED5A0}" srcId="{E55F6B14-3EF1-479C-BBF3-6F84DDA8E611}" destId="{EAF59001-85E8-4D7B-B509-C692007BC512}" srcOrd="3" destOrd="0" parTransId="{2F9C4173-B657-4C8B-B3E2-021DDAE0F1C9}" sibTransId="{959B77A7-03DB-4B3B-B07D-E47EBCF6EF6F}"/>
    <dgm:cxn modelId="{24EF68B6-CDFA-4C67-99FD-07B52282ED04}" type="presOf" srcId="{9412DEEF-B4E2-4D7A-B6B8-20D6F5897ACC}" destId="{46C93D8B-5836-48FC-A847-60B32EDCC149}" srcOrd="0" destOrd="0" presId="urn:microsoft.com/office/officeart/2005/8/layout/process5"/>
    <dgm:cxn modelId="{4974E945-2088-4AEE-9105-A5A7AAEE9059}" type="presOf" srcId="{C0416134-3D2B-4302-A23B-AB4F85682C15}" destId="{09811389-291D-4136-A1AA-0BB542D4A074}" srcOrd="0" destOrd="0" presId="urn:microsoft.com/office/officeart/2005/8/layout/process5"/>
    <dgm:cxn modelId="{B09DA2AB-3740-4E3B-980C-CCF8503C44EF}" type="presParOf" srcId="{63FEE973-079F-4200-B2E0-24B762CAAAE2}" destId="{C7F6F156-15C5-46F5-A7EF-584675F300CE}" srcOrd="0" destOrd="0" presId="urn:microsoft.com/office/officeart/2005/8/layout/process5"/>
    <dgm:cxn modelId="{D63199F5-6624-4B7B-BC0C-2D6829F6A657}" type="presParOf" srcId="{63FEE973-079F-4200-B2E0-24B762CAAAE2}" destId="{CE615C1A-0805-4EF4-9D67-C9DB1A494B46}" srcOrd="1" destOrd="0" presId="urn:microsoft.com/office/officeart/2005/8/layout/process5"/>
    <dgm:cxn modelId="{05E3EB14-78C1-4DFD-9C35-9CACDE921569}" type="presParOf" srcId="{CE615C1A-0805-4EF4-9D67-C9DB1A494B46}" destId="{981DCA89-EACD-450C-8EC5-FA4A04171BA4}" srcOrd="0" destOrd="0" presId="urn:microsoft.com/office/officeart/2005/8/layout/process5"/>
    <dgm:cxn modelId="{3EA1F891-D8AC-4019-A5E9-BB5B46C9D8F5}" type="presParOf" srcId="{63FEE973-079F-4200-B2E0-24B762CAAAE2}" destId="{09811389-291D-4136-A1AA-0BB542D4A074}" srcOrd="2" destOrd="0" presId="urn:microsoft.com/office/officeart/2005/8/layout/process5"/>
    <dgm:cxn modelId="{DCD3193F-194D-48C9-B39C-89A646ECBFC5}" type="presParOf" srcId="{63FEE973-079F-4200-B2E0-24B762CAAAE2}" destId="{7934A2A0-602B-4B4E-AA8D-74CF129DCE19}" srcOrd="3" destOrd="0" presId="urn:microsoft.com/office/officeart/2005/8/layout/process5"/>
    <dgm:cxn modelId="{E5828025-EF5C-4CED-9701-63B8816CAD8D}" type="presParOf" srcId="{7934A2A0-602B-4B4E-AA8D-74CF129DCE19}" destId="{A8F2087E-6E54-4773-BCB9-744F736E4C92}" srcOrd="0" destOrd="0" presId="urn:microsoft.com/office/officeart/2005/8/layout/process5"/>
    <dgm:cxn modelId="{09C17C8E-4D60-4140-86CE-4DEDB98FF88E}" type="presParOf" srcId="{63FEE973-079F-4200-B2E0-24B762CAAAE2}" destId="{46C93D8B-5836-48FC-A847-60B32EDCC149}" srcOrd="4" destOrd="0" presId="urn:microsoft.com/office/officeart/2005/8/layout/process5"/>
    <dgm:cxn modelId="{578CFF2C-256E-45CB-95D9-9ADE606FE159}" type="presParOf" srcId="{63FEE973-079F-4200-B2E0-24B762CAAAE2}" destId="{36DF101B-3E6B-4252-956D-2C4FDE8A960E}" srcOrd="5" destOrd="0" presId="urn:microsoft.com/office/officeart/2005/8/layout/process5"/>
    <dgm:cxn modelId="{388E11EC-12AE-49DA-A6F3-5D555DA7C0E4}" type="presParOf" srcId="{36DF101B-3E6B-4252-956D-2C4FDE8A960E}" destId="{DBE652EC-29AD-443E-974A-0D247E9F51E8}" srcOrd="0" destOrd="0" presId="urn:microsoft.com/office/officeart/2005/8/layout/process5"/>
    <dgm:cxn modelId="{3D1F0716-9943-4286-9936-0C9E4141A747}" type="presParOf" srcId="{63FEE973-079F-4200-B2E0-24B762CAAAE2}" destId="{DF51E6CF-A3E2-49B7-AABB-94C59EEEFDCF}" srcOrd="6" destOrd="0" presId="urn:microsoft.com/office/officeart/2005/8/layout/process5"/>
    <dgm:cxn modelId="{8A10B926-0F3C-42A8-9141-B202E88C3518}" type="presParOf" srcId="{63FEE973-079F-4200-B2E0-24B762CAAAE2}" destId="{E32A17EF-EC80-4F81-AE28-0DF207908FE8}" srcOrd="7" destOrd="0" presId="urn:microsoft.com/office/officeart/2005/8/layout/process5"/>
    <dgm:cxn modelId="{98B4E302-D76D-4B10-A998-8FDE2C29B1B4}" type="presParOf" srcId="{E32A17EF-EC80-4F81-AE28-0DF207908FE8}" destId="{B5F6B7FB-7D68-43A2-A92D-97E3C3034A6C}" srcOrd="0" destOrd="0" presId="urn:microsoft.com/office/officeart/2005/8/layout/process5"/>
    <dgm:cxn modelId="{E3406065-B859-4792-BC9B-ABE306D6D17D}" type="presParOf" srcId="{63FEE973-079F-4200-B2E0-24B762CAAAE2}" destId="{6FC0AE5D-CB1E-41FC-A547-1C2F60C3F4C6}" srcOrd="8" destOrd="0" presId="urn:microsoft.com/office/officeart/2005/8/layout/process5"/>
    <dgm:cxn modelId="{5A1EB53A-8F1B-4DDB-841C-CA7FC0D27471}" type="presParOf" srcId="{63FEE973-079F-4200-B2E0-24B762CAAAE2}" destId="{6C896EEB-2D1D-44F1-9F52-D20B3E9B35B3}" srcOrd="9" destOrd="0" presId="urn:microsoft.com/office/officeart/2005/8/layout/process5"/>
    <dgm:cxn modelId="{EC10CD7D-D29F-4119-87DF-12DA564D4354}" type="presParOf" srcId="{6C896EEB-2D1D-44F1-9F52-D20B3E9B35B3}" destId="{CC106833-2754-4E6F-BFE5-DD6954477E92}" srcOrd="0" destOrd="0" presId="urn:microsoft.com/office/officeart/2005/8/layout/process5"/>
    <dgm:cxn modelId="{0A3E4DFE-2CF7-4E8E-A603-B804787134E8}" type="presParOf" srcId="{63FEE973-079F-4200-B2E0-24B762CAAAE2}" destId="{06784986-6552-4B5E-98FA-69230FCCBF71}" srcOrd="10" destOrd="0" presId="urn:microsoft.com/office/officeart/2005/8/layout/process5"/>
    <dgm:cxn modelId="{37C24DD4-3757-43FF-A374-E76CDEEA0F87}" type="presParOf" srcId="{63FEE973-079F-4200-B2E0-24B762CAAAE2}" destId="{9C384F9F-F295-453C-836F-11972C8CAC49}" srcOrd="11" destOrd="0" presId="urn:microsoft.com/office/officeart/2005/8/layout/process5"/>
    <dgm:cxn modelId="{6A3ABB64-D707-421E-806F-C3716DFC4905}" type="presParOf" srcId="{9C384F9F-F295-453C-836F-11972C8CAC49}" destId="{C3A28B79-6E71-4C65-9DDB-3A039889B61B}" srcOrd="0" destOrd="0" presId="urn:microsoft.com/office/officeart/2005/8/layout/process5"/>
    <dgm:cxn modelId="{B23462E8-9F62-4309-8D3A-B6B4CAAF1A98}" type="presParOf" srcId="{63FEE973-079F-4200-B2E0-24B762CAAAE2}" destId="{2A946A4C-BF21-44CF-A830-7DC4EA3E1579}" srcOrd="12" destOrd="0" presId="urn:microsoft.com/office/officeart/2005/8/layout/process5"/>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55F6B14-3EF1-479C-BBF3-6F84DDA8E611}" type="doc">
      <dgm:prSet loTypeId="urn:microsoft.com/office/officeart/2005/8/layout/process5" loCatId="process" qsTypeId="urn:microsoft.com/office/officeart/2005/8/quickstyle/simple1" qsCatId="simple" csTypeId="urn:microsoft.com/office/officeart/2005/8/colors/accent0_3" csCatId="mainScheme" phldr="1"/>
      <dgm:spPr/>
    </dgm:pt>
    <dgm:pt modelId="{946D8E5C-8970-4DEE-A751-7869BC9D0EDA}">
      <dgm:prSet phldrT="[Text]"/>
      <dgm:spPr/>
      <dgm:t>
        <a:bodyPr/>
        <a:lstStyle/>
        <a:p>
          <a:r>
            <a:rPr lang="en-AU" dirty="0" smtClean="0"/>
            <a:t>Industry employment</a:t>
          </a:r>
          <a:endParaRPr lang="en-AU" dirty="0"/>
        </a:p>
      </dgm:t>
    </dgm:pt>
    <dgm:pt modelId="{FD966003-D82D-4DD2-B1F3-3E9D08DCDB08}" type="parTrans" cxnId="{B0A3250E-3856-4442-A73E-B517ED185DB1}">
      <dgm:prSet/>
      <dgm:spPr/>
      <dgm:t>
        <a:bodyPr/>
        <a:lstStyle/>
        <a:p>
          <a:endParaRPr lang="en-AU"/>
        </a:p>
      </dgm:t>
    </dgm:pt>
    <dgm:pt modelId="{F8EA2D98-7545-40C1-96D9-475C4CD3D2E3}" type="sibTrans" cxnId="{B0A3250E-3856-4442-A73E-B517ED185DB1}">
      <dgm:prSet/>
      <dgm:spPr/>
      <dgm:t>
        <a:bodyPr/>
        <a:lstStyle/>
        <a:p>
          <a:endParaRPr lang="en-AU"/>
        </a:p>
      </dgm:t>
    </dgm:pt>
    <dgm:pt modelId="{C0416134-3D2B-4302-A23B-AB4F85682C15}">
      <dgm:prSet phldrT="[Text]"/>
      <dgm:spPr/>
      <dgm:t>
        <a:bodyPr/>
        <a:lstStyle/>
        <a:p>
          <a:r>
            <a:rPr lang="en-AU" dirty="0" smtClean="0"/>
            <a:t>% employees normally working</a:t>
          </a:r>
          <a:endParaRPr lang="en-AU" dirty="0"/>
        </a:p>
      </dgm:t>
    </dgm:pt>
    <dgm:pt modelId="{AAED69F9-77D9-4F6A-9838-6E7FADAE0383}" type="parTrans" cxnId="{D170238D-F0B7-49AE-BC11-39F98585034C}">
      <dgm:prSet/>
      <dgm:spPr/>
      <dgm:t>
        <a:bodyPr/>
        <a:lstStyle/>
        <a:p>
          <a:endParaRPr lang="en-AU"/>
        </a:p>
      </dgm:t>
    </dgm:pt>
    <dgm:pt modelId="{72FD111E-137D-4C7B-9362-874C4C39730F}" type="sibTrans" cxnId="{D170238D-F0B7-49AE-BC11-39F98585034C}">
      <dgm:prSet/>
      <dgm:spPr/>
      <dgm:t>
        <a:bodyPr/>
        <a:lstStyle/>
        <a:p>
          <a:endParaRPr lang="en-AU"/>
        </a:p>
      </dgm:t>
    </dgm:pt>
    <dgm:pt modelId="{379D05B2-AE3F-4762-A6EE-40DA4FA1E112}">
      <dgm:prSet phldrT="[Text]"/>
      <dgm:spPr/>
      <dgm:t>
        <a:bodyPr/>
        <a:lstStyle/>
        <a:p>
          <a:r>
            <a:rPr lang="en-AU" dirty="0" smtClean="0"/>
            <a:t>Additional days off due to holiday</a:t>
          </a:r>
          <a:endParaRPr lang="en-AU" dirty="0"/>
        </a:p>
      </dgm:t>
    </dgm:pt>
    <dgm:pt modelId="{C2DEF75A-7267-4B18-9D98-97E28CC1630A}" type="parTrans" cxnId="{3ED0395D-F6EB-44EA-AD8B-FD1A3790E63B}">
      <dgm:prSet/>
      <dgm:spPr/>
      <dgm:t>
        <a:bodyPr/>
        <a:lstStyle/>
        <a:p>
          <a:endParaRPr lang="en-AU"/>
        </a:p>
      </dgm:t>
    </dgm:pt>
    <dgm:pt modelId="{1407F76B-72EC-49FC-8D9C-FA93850A1B31}" type="sibTrans" cxnId="{3ED0395D-F6EB-44EA-AD8B-FD1A3790E63B}">
      <dgm:prSet/>
      <dgm:spPr/>
      <dgm:t>
        <a:bodyPr/>
        <a:lstStyle/>
        <a:p>
          <a:endParaRPr lang="en-AU"/>
        </a:p>
      </dgm:t>
    </dgm:pt>
    <dgm:pt modelId="{9412DEEF-B4E2-4D7A-B6B8-20D6F5897ACC}">
      <dgm:prSet/>
      <dgm:spPr/>
      <dgm:t>
        <a:bodyPr/>
        <a:lstStyle/>
        <a:p>
          <a:r>
            <a:rPr lang="en-AU" dirty="0" smtClean="0"/>
            <a:t>% of employers normally operating</a:t>
          </a:r>
          <a:endParaRPr lang="en-AU" dirty="0"/>
        </a:p>
      </dgm:t>
    </dgm:pt>
    <dgm:pt modelId="{E594BC17-A12A-460B-A820-4D7C45971693}" type="parTrans" cxnId="{57894F7B-58C5-4EE0-873F-13121DCE8C4D}">
      <dgm:prSet/>
      <dgm:spPr/>
      <dgm:t>
        <a:bodyPr/>
        <a:lstStyle/>
        <a:p>
          <a:endParaRPr lang="en-AU"/>
        </a:p>
      </dgm:t>
    </dgm:pt>
    <dgm:pt modelId="{7B71182F-3861-445A-A720-5ADDD9F3CB45}" type="sibTrans" cxnId="{57894F7B-58C5-4EE0-873F-13121DCE8C4D}">
      <dgm:prSet/>
      <dgm:spPr/>
      <dgm:t>
        <a:bodyPr/>
        <a:lstStyle/>
        <a:p>
          <a:endParaRPr lang="en-AU"/>
        </a:p>
      </dgm:t>
    </dgm:pt>
    <dgm:pt modelId="{EAF59001-85E8-4D7B-B509-C692007BC512}">
      <dgm:prSet/>
      <dgm:spPr/>
      <dgm:t>
        <a:bodyPr/>
        <a:lstStyle/>
        <a:p>
          <a:r>
            <a:rPr lang="en-AU" dirty="0" smtClean="0"/>
            <a:t>Industry employment</a:t>
          </a:r>
          <a:endParaRPr lang="en-AU" dirty="0"/>
        </a:p>
      </dgm:t>
    </dgm:pt>
    <dgm:pt modelId="{2F9C4173-B657-4C8B-B3E2-021DDAE0F1C9}" type="parTrans" cxnId="{8D928A29-214C-435D-83F7-E3A694BED5A0}">
      <dgm:prSet/>
      <dgm:spPr/>
      <dgm:t>
        <a:bodyPr/>
        <a:lstStyle/>
        <a:p>
          <a:endParaRPr lang="en-AU"/>
        </a:p>
      </dgm:t>
    </dgm:pt>
    <dgm:pt modelId="{959B77A7-03DB-4B3B-B07D-E47EBCF6EF6F}" type="sibTrans" cxnId="{8D928A29-214C-435D-83F7-E3A694BED5A0}">
      <dgm:prSet/>
      <dgm:spPr/>
      <dgm:t>
        <a:bodyPr/>
        <a:lstStyle/>
        <a:p>
          <a:endParaRPr lang="en-AU"/>
        </a:p>
      </dgm:t>
    </dgm:pt>
    <dgm:pt modelId="{E7CA1029-E289-4F6E-BE92-9728AB70582D}">
      <dgm:prSet/>
      <dgm:spPr/>
      <dgm:t>
        <a:bodyPr/>
        <a:lstStyle/>
        <a:p>
          <a:r>
            <a:rPr lang="en-AU" dirty="0" smtClean="0"/>
            <a:t>% employers staying open</a:t>
          </a:r>
          <a:endParaRPr lang="en-AU" dirty="0"/>
        </a:p>
      </dgm:t>
    </dgm:pt>
    <dgm:pt modelId="{92A181DF-F2E4-4D91-8AB3-1896E5C8588F}" type="parTrans" cxnId="{ABA01475-DCBC-468F-96D0-E55A4B658AAC}">
      <dgm:prSet/>
      <dgm:spPr/>
      <dgm:t>
        <a:bodyPr/>
        <a:lstStyle/>
        <a:p>
          <a:endParaRPr lang="en-AU"/>
        </a:p>
      </dgm:t>
    </dgm:pt>
    <dgm:pt modelId="{CB3E77F2-F4B5-42A4-A9BB-99CC8588E8F2}" type="sibTrans" cxnId="{ABA01475-DCBC-468F-96D0-E55A4B658AAC}">
      <dgm:prSet/>
      <dgm:spPr/>
      <dgm:t>
        <a:bodyPr/>
        <a:lstStyle/>
        <a:p>
          <a:endParaRPr lang="en-AU"/>
        </a:p>
      </dgm:t>
    </dgm:pt>
    <dgm:pt modelId="{8E82393E-CA69-4458-A2F4-607804926805}">
      <dgm:prSet/>
      <dgm:spPr/>
      <dgm:t>
        <a:bodyPr/>
        <a:lstStyle/>
        <a:p>
          <a:r>
            <a:rPr lang="en-AU" dirty="0" smtClean="0"/>
            <a:t>% employees working</a:t>
          </a:r>
          <a:endParaRPr lang="en-AU" dirty="0"/>
        </a:p>
      </dgm:t>
    </dgm:pt>
    <dgm:pt modelId="{F3D3560B-897A-462E-9F7D-905C5E3D5BAD}" type="parTrans" cxnId="{4213995C-4E3F-4354-9FB8-C2BE1232233D}">
      <dgm:prSet/>
      <dgm:spPr/>
      <dgm:t>
        <a:bodyPr/>
        <a:lstStyle/>
        <a:p>
          <a:endParaRPr lang="en-AU"/>
        </a:p>
      </dgm:t>
    </dgm:pt>
    <dgm:pt modelId="{A4E65149-4D93-4EA8-9A08-124D3759E49E}" type="sibTrans" cxnId="{4213995C-4E3F-4354-9FB8-C2BE1232233D}">
      <dgm:prSet/>
      <dgm:spPr/>
      <dgm:t>
        <a:bodyPr/>
        <a:lstStyle/>
        <a:p>
          <a:endParaRPr lang="en-AU"/>
        </a:p>
      </dgm:t>
    </dgm:pt>
    <dgm:pt modelId="{63FEE973-079F-4200-B2E0-24B762CAAAE2}" type="pres">
      <dgm:prSet presAssocID="{E55F6B14-3EF1-479C-BBF3-6F84DDA8E611}" presName="diagram" presStyleCnt="0">
        <dgm:presLayoutVars>
          <dgm:dir/>
          <dgm:resizeHandles val="exact"/>
        </dgm:presLayoutVars>
      </dgm:prSet>
      <dgm:spPr/>
    </dgm:pt>
    <dgm:pt modelId="{C7F6F156-15C5-46F5-A7EF-584675F300CE}" type="pres">
      <dgm:prSet presAssocID="{946D8E5C-8970-4DEE-A751-7869BC9D0EDA}" presName="node" presStyleLbl="node1" presStyleIdx="0" presStyleCnt="7" custScaleX="161051" custScaleY="161051">
        <dgm:presLayoutVars>
          <dgm:bulletEnabled val="1"/>
        </dgm:presLayoutVars>
      </dgm:prSet>
      <dgm:spPr/>
      <dgm:t>
        <a:bodyPr/>
        <a:lstStyle/>
        <a:p>
          <a:endParaRPr lang="en-AU"/>
        </a:p>
      </dgm:t>
    </dgm:pt>
    <dgm:pt modelId="{CE615C1A-0805-4EF4-9D67-C9DB1A494B46}" type="pres">
      <dgm:prSet presAssocID="{F8EA2D98-7545-40C1-96D9-475C4CD3D2E3}" presName="sibTrans" presStyleLbl="sibTrans2D1" presStyleIdx="0" presStyleCnt="6"/>
      <dgm:spPr>
        <a:prstGeom prst="mathMultiply">
          <a:avLst/>
        </a:prstGeom>
      </dgm:spPr>
      <dgm:t>
        <a:bodyPr/>
        <a:lstStyle/>
        <a:p>
          <a:endParaRPr lang="en-AU"/>
        </a:p>
      </dgm:t>
    </dgm:pt>
    <dgm:pt modelId="{981DCA89-EACD-450C-8EC5-FA4A04171BA4}" type="pres">
      <dgm:prSet presAssocID="{F8EA2D98-7545-40C1-96D9-475C4CD3D2E3}" presName="connectorText" presStyleLbl="sibTrans2D1" presStyleIdx="0" presStyleCnt="6"/>
      <dgm:spPr/>
      <dgm:t>
        <a:bodyPr/>
        <a:lstStyle/>
        <a:p>
          <a:endParaRPr lang="en-AU"/>
        </a:p>
      </dgm:t>
    </dgm:pt>
    <dgm:pt modelId="{09811389-291D-4136-A1AA-0BB542D4A074}" type="pres">
      <dgm:prSet presAssocID="{C0416134-3D2B-4302-A23B-AB4F85682C15}" presName="node" presStyleLbl="node1" presStyleIdx="1" presStyleCnt="7" custScaleX="161051" custScaleY="161051">
        <dgm:presLayoutVars>
          <dgm:bulletEnabled val="1"/>
        </dgm:presLayoutVars>
      </dgm:prSet>
      <dgm:spPr/>
      <dgm:t>
        <a:bodyPr/>
        <a:lstStyle/>
        <a:p>
          <a:endParaRPr lang="en-AU"/>
        </a:p>
      </dgm:t>
    </dgm:pt>
    <dgm:pt modelId="{7934A2A0-602B-4B4E-AA8D-74CF129DCE19}" type="pres">
      <dgm:prSet presAssocID="{72FD111E-137D-4C7B-9362-874C4C39730F}" presName="sibTrans" presStyleLbl="sibTrans2D1" presStyleIdx="1" presStyleCnt="6"/>
      <dgm:spPr>
        <a:prstGeom prst="mathMultiply">
          <a:avLst/>
        </a:prstGeom>
      </dgm:spPr>
      <dgm:t>
        <a:bodyPr/>
        <a:lstStyle/>
        <a:p>
          <a:endParaRPr lang="en-AU"/>
        </a:p>
      </dgm:t>
    </dgm:pt>
    <dgm:pt modelId="{A8F2087E-6E54-4773-BCB9-744F736E4C92}" type="pres">
      <dgm:prSet presAssocID="{72FD111E-137D-4C7B-9362-874C4C39730F}" presName="connectorText" presStyleLbl="sibTrans2D1" presStyleIdx="1" presStyleCnt="6"/>
      <dgm:spPr/>
      <dgm:t>
        <a:bodyPr/>
        <a:lstStyle/>
        <a:p>
          <a:endParaRPr lang="en-AU"/>
        </a:p>
      </dgm:t>
    </dgm:pt>
    <dgm:pt modelId="{46C93D8B-5836-48FC-A847-60B32EDCC149}" type="pres">
      <dgm:prSet presAssocID="{9412DEEF-B4E2-4D7A-B6B8-20D6F5897ACC}" presName="node" presStyleLbl="node1" presStyleIdx="2" presStyleCnt="7" custScaleX="161051" custScaleY="161051">
        <dgm:presLayoutVars>
          <dgm:bulletEnabled val="1"/>
        </dgm:presLayoutVars>
      </dgm:prSet>
      <dgm:spPr/>
      <dgm:t>
        <a:bodyPr/>
        <a:lstStyle/>
        <a:p>
          <a:endParaRPr lang="en-AU"/>
        </a:p>
      </dgm:t>
    </dgm:pt>
    <dgm:pt modelId="{36DF101B-3E6B-4252-956D-2C4FDE8A960E}" type="pres">
      <dgm:prSet presAssocID="{7B71182F-3861-445A-A720-5ADDD9F3CB45}" presName="sibTrans" presStyleLbl="sibTrans2D1" presStyleIdx="2" presStyleCnt="6" custAng="16214403" custScaleX="141017" custScaleY="86293"/>
      <dgm:spPr>
        <a:prstGeom prst="mathMinus">
          <a:avLst/>
        </a:prstGeom>
      </dgm:spPr>
      <dgm:t>
        <a:bodyPr/>
        <a:lstStyle/>
        <a:p>
          <a:endParaRPr lang="en-AU"/>
        </a:p>
      </dgm:t>
    </dgm:pt>
    <dgm:pt modelId="{DBE652EC-29AD-443E-974A-0D247E9F51E8}" type="pres">
      <dgm:prSet presAssocID="{7B71182F-3861-445A-A720-5ADDD9F3CB45}" presName="connectorText" presStyleLbl="sibTrans2D1" presStyleIdx="2" presStyleCnt="6"/>
      <dgm:spPr/>
      <dgm:t>
        <a:bodyPr/>
        <a:lstStyle/>
        <a:p>
          <a:endParaRPr lang="en-AU"/>
        </a:p>
      </dgm:t>
    </dgm:pt>
    <dgm:pt modelId="{DF51E6CF-A3E2-49B7-AABB-94C59EEEFDCF}" type="pres">
      <dgm:prSet presAssocID="{EAF59001-85E8-4D7B-B509-C692007BC512}" presName="node" presStyleLbl="node1" presStyleIdx="3" presStyleCnt="7" custScaleX="161051" custScaleY="161051" custLinFactX="-100000" custLinFactY="100000" custLinFactNeighborX="-100508" custLinFactNeighborY="116004">
        <dgm:presLayoutVars>
          <dgm:bulletEnabled val="1"/>
        </dgm:presLayoutVars>
      </dgm:prSet>
      <dgm:spPr/>
      <dgm:t>
        <a:bodyPr/>
        <a:lstStyle/>
        <a:p>
          <a:endParaRPr lang="en-AU"/>
        </a:p>
      </dgm:t>
    </dgm:pt>
    <dgm:pt modelId="{E32A17EF-EC80-4F81-AE28-0DF207908FE8}" type="pres">
      <dgm:prSet presAssocID="{959B77A7-03DB-4B3B-B07D-E47EBCF6EF6F}" presName="sibTrans" presStyleLbl="sibTrans2D1" presStyleIdx="3" presStyleCnt="6"/>
      <dgm:spPr>
        <a:prstGeom prst="mathMultiply">
          <a:avLst/>
        </a:prstGeom>
      </dgm:spPr>
      <dgm:t>
        <a:bodyPr/>
        <a:lstStyle/>
        <a:p>
          <a:endParaRPr lang="en-AU"/>
        </a:p>
      </dgm:t>
    </dgm:pt>
    <dgm:pt modelId="{B5F6B7FB-7D68-43A2-A92D-97E3C3034A6C}" type="pres">
      <dgm:prSet presAssocID="{959B77A7-03DB-4B3B-B07D-E47EBCF6EF6F}" presName="connectorText" presStyleLbl="sibTrans2D1" presStyleIdx="3" presStyleCnt="6"/>
      <dgm:spPr/>
      <dgm:t>
        <a:bodyPr/>
        <a:lstStyle/>
        <a:p>
          <a:endParaRPr lang="en-AU"/>
        </a:p>
      </dgm:t>
    </dgm:pt>
    <dgm:pt modelId="{6FC0AE5D-CB1E-41FC-A547-1C2F60C3F4C6}" type="pres">
      <dgm:prSet presAssocID="{8E82393E-CA69-4458-A2F4-607804926805}" presName="node" presStyleLbl="node1" presStyleIdx="4" presStyleCnt="7" custScaleX="161051" custScaleY="161051" custLinFactX="-100000" custLinFactY="100000" custLinFactNeighborX="-101594" custLinFactNeighborY="116004">
        <dgm:presLayoutVars>
          <dgm:bulletEnabled val="1"/>
        </dgm:presLayoutVars>
      </dgm:prSet>
      <dgm:spPr/>
      <dgm:t>
        <a:bodyPr/>
        <a:lstStyle/>
        <a:p>
          <a:endParaRPr lang="en-AU"/>
        </a:p>
      </dgm:t>
    </dgm:pt>
    <dgm:pt modelId="{6C896EEB-2D1D-44F1-9F52-D20B3E9B35B3}" type="pres">
      <dgm:prSet presAssocID="{A4E65149-4D93-4EA8-9A08-124D3759E49E}" presName="sibTrans" presStyleLbl="sibTrans2D1" presStyleIdx="4" presStyleCnt="6"/>
      <dgm:spPr>
        <a:prstGeom prst="mathMultiply">
          <a:avLst/>
        </a:prstGeom>
      </dgm:spPr>
      <dgm:t>
        <a:bodyPr/>
        <a:lstStyle/>
        <a:p>
          <a:endParaRPr lang="en-AU"/>
        </a:p>
      </dgm:t>
    </dgm:pt>
    <dgm:pt modelId="{CC106833-2754-4E6F-BFE5-DD6954477E92}" type="pres">
      <dgm:prSet presAssocID="{A4E65149-4D93-4EA8-9A08-124D3759E49E}" presName="connectorText" presStyleLbl="sibTrans2D1" presStyleIdx="4" presStyleCnt="6"/>
      <dgm:spPr/>
      <dgm:t>
        <a:bodyPr/>
        <a:lstStyle/>
        <a:p>
          <a:endParaRPr lang="en-AU"/>
        </a:p>
      </dgm:t>
    </dgm:pt>
    <dgm:pt modelId="{06784986-6552-4B5E-98FA-69230FCCBF71}" type="pres">
      <dgm:prSet presAssocID="{E7CA1029-E289-4F6E-BE92-9728AB70582D}" presName="node" presStyleLbl="node1" presStyleIdx="5" presStyleCnt="7" custScaleX="161051" custScaleY="161051" custLinFactX="-95101" custLinFactY="100000" custLinFactNeighborX="-100000" custLinFactNeighborY="116004">
        <dgm:presLayoutVars>
          <dgm:bulletEnabled val="1"/>
        </dgm:presLayoutVars>
      </dgm:prSet>
      <dgm:spPr/>
      <dgm:t>
        <a:bodyPr/>
        <a:lstStyle/>
        <a:p>
          <a:endParaRPr lang="en-AU"/>
        </a:p>
      </dgm:t>
    </dgm:pt>
    <dgm:pt modelId="{9C384F9F-F295-453C-836F-11972C8CAC49}" type="pres">
      <dgm:prSet presAssocID="{CB3E77F2-F4B5-42A4-A9BB-99CC8588E8F2}" presName="sibTrans" presStyleLbl="sibTrans2D1" presStyleIdx="5" presStyleCnt="6"/>
      <dgm:spPr>
        <a:prstGeom prst="mathEqual">
          <a:avLst/>
        </a:prstGeom>
      </dgm:spPr>
      <dgm:t>
        <a:bodyPr/>
        <a:lstStyle/>
        <a:p>
          <a:endParaRPr lang="en-AU"/>
        </a:p>
      </dgm:t>
    </dgm:pt>
    <dgm:pt modelId="{C3A28B79-6E71-4C65-9DDB-3A039889B61B}" type="pres">
      <dgm:prSet presAssocID="{CB3E77F2-F4B5-42A4-A9BB-99CC8588E8F2}" presName="connectorText" presStyleLbl="sibTrans2D1" presStyleIdx="5" presStyleCnt="6"/>
      <dgm:spPr/>
      <dgm:t>
        <a:bodyPr/>
        <a:lstStyle/>
        <a:p>
          <a:endParaRPr lang="en-AU"/>
        </a:p>
      </dgm:t>
    </dgm:pt>
    <dgm:pt modelId="{2A946A4C-BF21-44CF-A830-7DC4EA3E1579}" type="pres">
      <dgm:prSet presAssocID="{379D05B2-AE3F-4762-A6EE-40DA4FA1E112}" presName="node" presStyleLbl="node1" presStyleIdx="6" presStyleCnt="7" custScaleX="161051" custScaleY="161051" custLinFactNeighborX="7049" custLinFactNeighborY="-11714">
        <dgm:presLayoutVars>
          <dgm:bulletEnabled val="1"/>
        </dgm:presLayoutVars>
      </dgm:prSet>
      <dgm:spPr/>
      <dgm:t>
        <a:bodyPr/>
        <a:lstStyle/>
        <a:p>
          <a:endParaRPr lang="en-AU"/>
        </a:p>
      </dgm:t>
    </dgm:pt>
  </dgm:ptLst>
  <dgm:cxnLst>
    <dgm:cxn modelId="{DCE5DAB7-071B-448A-BCF6-F7419B36FEAD}" type="presOf" srcId="{7B71182F-3861-445A-A720-5ADDD9F3CB45}" destId="{36DF101B-3E6B-4252-956D-2C4FDE8A960E}" srcOrd="0" destOrd="0" presId="urn:microsoft.com/office/officeart/2005/8/layout/process5"/>
    <dgm:cxn modelId="{1BF3982C-470C-4392-88DF-BEEDFCEB7E9C}" type="presOf" srcId="{CB3E77F2-F4B5-42A4-A9BB-99CC8588E8F2}" destId="{C3A28B79-6E71-4C65-9DDB-3A039889B61B}" srcOrd="1" destOrd="0" presId="urn:microsoft.com/office/officeart/2005/8/layout/process5"/>
    <dgm:cxn modelId="{7F2232B5-FB47-4190-8AE8-8EAF9CF920DC}" type="presOf" srcId="{9412DEEF-B4E2-4D7A-B6B8-20D6F5897ACC}" destId="{46C93D8B-5836-48FC-A847-60B32EDCC149}" srcOrd="0" destOrd="0" presId="urn:microsoft.com/office/officeart/2005/8/layout/process5"/>
    <dgm:cxn modelId="{69EC5C6E-EFC2-453B-B9F5-A5253496E34B}" type="presOf" srcId="{959B77A7-03DB-4B3B-B07D-E47EBCF6EF6F}" destId="{B5F6B7FB-7D68-43A2-A92D-97E3C3034A6C}" srcOrd="1" destOrd="0" presId="urn:microsoft.com/office/officeart/2005/8/layout/process5"/>
    <dgm:cxn modelId="{C1CA59CF-4D96-4B12-B5E2-788EE0F84EAD}" type="presOf" srcId="{7B71182F-3861-445A-A720-5ADDD9F3CB45}" destId="{DBE652EC-29AD-443E-974A-0D247E9F51E8}" srcOrd="1" destOrd="0" presId="urn:microsoft.com/office/officeart/2005/8/layout/process5"/>
    <dgm:cxn modelId="{D5482760-7C83-4668-9D35-2F8DA4756134}" type="presOf" srcId="{F8EA2D98-7545-40C1-96D9-475C4CD3D2E3}" destId="{981DCA89-EACD-450C-8EC5-FA4A04171BA4}" srcOrd="1" destOrd="0" presId="urn:microsoft.com/office/officeart/2005/8/layout/process5"/>
    <dgm:cxn modelId="{5902CA01-2026-47FB-963A-3ECE712DB74A}" type="presOf" srcId="{A4E65149-4D93-4EA8-9A08-124D3759E49E}" destId="{CC106833-2754-4E6F-BFE5-DD6954477E92}" srcOrd="1" destOrd="0" presId="urn:microsoft.com/office/officeart/2005/8/layout/process5"/>
    <dgm:cxn modelId="{ABA01475-DCBC-468F-96D0-E55A4B658AAC}" srcId="{E55F6B14-3EF1-479C-BBF3-6F84DDA8E611}" destId="{E7CA1029-E289-4F6E-BE92-9728AB70582D}" srcOrd="5" destOrd="0" parTransId="{92A181DF-F2E4-4D91-8AB3-1896E5C8588F}" sibTransId="{CB3E77F2-F4B5-42A4-A9BB-99CC8588E8F2}"/>
    <dgm:cxn modelId="{E6892A4F-ED3D-4936-9BA9-542C93E6EAC1}" type="presOf" srcId="{CB3E77F2-F4B5-42A4-A9BB-99CC8588E8F2}" destId="{9C384F9F-F295-453C-836F-11972C8CAC49}" srcOrd="0" destOrd="0" presId="urn:microsoft.com/office/officeart/2005/8/layout/process5"/>
    <dgm:cxn modelId="{B0A3250E-3856-4442-A73E-B517ED185DB1}" srcId="{E55F6B14-3EF1-479C-BBF3-6F84DDA8E611}" destId="{946D8E5C-8970-4DEE-A751-7869BC9D0EDA}" srcOrd="0" destOrd="0" parTransId="{FD966003-D82D-4DD2-B1F3-3E9D08DCDB08}" sibTransId="{F8EA2D98-7545-40C1-96D9-475C4CD3D2E3}"/>
    <dgm:cxn modelId="{3ED0395D-F6EB-44EA-AD8B-FD1A3790E63B}" srcId="{E55F6B14-3EF1-479C-BBF3-6F84DDA8E611}" destId="{379D05B2-AE3F-4762-A6EE-40DA4FA1E112}" srcOrd="6" destOrd="0" parTransId="{C2DEF75A-7267-4B18-9D98-97E28CC1630A}" sibTransId="{1407F76B-72EC-49FC-8D9C-FA93850A1B31}"/>
    <dgm:cxn modelId="{9638B535-286B-42A0-AD4E-6E01BD2F9511}" type="presOf" srcId="{E55F6B14-3EF1-479C-BBF3-6F84DDA8E611}" destId="{63FEE973-079F-4200-B2E0-24B762CAAAE2}" srcOrd="0" destOrd="0" presId="urn:microsoft.com/office/officeart/2005/8/layout/process5"/>
    <dgm:cxn modelId="{D251954E-5751-4368-AA50-1F2A32625329}" type="presOf" srcId="{8E82393E-CA69-4458-A2F4-607804926805}" destId="{6FC0AE5D-CB1E-41FC-A547-1C2F60C3F4C6}" srcOrd="0" destOrd="0" presId="urn:microsoft.com/office/officeart/2005/8/layout/process5"/>
    <dgm:cxn modelId="{E12218B7-5A7F-4C73-8EA8-19F4DF75A804}" type="presOf" srcId="{E7CA1029-E289-4F6E-BE92-9728AB70582D}" destId="{06784986-6552-4B5E-98FA-69230FCCBF71}" srcOrd="0" destOrd="0" presId="urn:microsoft.com/office/officeart/2005/8/layout/process5"/>
    <dgm:cxn modelId="{519B2512-4349-45AE-A9EC-F70B136CF754}" type="presOf" srcId="{959B77A7-03DB-4B3B-B07D-E47EBCF6EF6F}" destId="{E32A17EF-EC80-4F81-AE28-0DF207908FE8}" srcOrd="0" destOrd="0" presId="urn:microsoft.com/office/officeart/2005/8/layout/process5"/>
    <dgm:cxn modelId="{57894F7B-58C5-4EE0-873F-13121DCE8C4D}" srcId="{E55F6B14-3EF1-479C-BBF3-6F84DDA8E611}" destId="{9412DEEF-B4E2-4D7A-B6B8-20D6F5897ACC}" srcOrd="2" destOrd="0" parTransId="{E594BC17-A12A-460B-A820-4D7C45971693}" sibTransId="{7B71182F-3861-445A-A720-5ADDD9F3CB45}"/>
    <dgm:cxn modelId="{136D9433-8B1D-47F3-B3C7-F02DF1C9DD63}" type="presOf" srcId="{F8EA2D98-7545-40C1-96D9-475C4CD3D2E3}" destId="{CE615C1A-0805-4EF4-9D67-C9DB1A494B46}" srcOrd="0" destOrd="0" presId="urn:microsoft.com/office/officeart/2005/8/layout/process5"/>
    <dgm:cxn modelId="{305E591C-E63F-4E8D-96C7-CF2C7D08AF97}" type="presOf" srcId="{72FD111E-137D-4C7B-9362-874C4C39730F}" destId="{A8F2087E-6E54-4773-BCB9-744F736E4C92}" srcOrd="1" destOrd="0" presId="urn:microsoft.com/office/officeart/2005/8/layout/process5"/>
    <dgm:cxn modelId="{8D928A29-214C-435D-83F7-E3A694BED5A0}" srcId="{E55F6B14-3EF1-479C-BBF3-6F84DDA8E611}" destId="{EAF59001-85E8-4D7B-B509-C692007BC512}" srcOrd="3" destOrd="0" parTransId="{2F9C4173-B657-4C8B-B3E2-021DDAE0F1C9}" sibTransId="{959B77A7-03DB-4B3B-B07D-E47EBCF6EF6F}"/>
    <dgm:cxn modelId="{9BD0AF50-6BFD-4C84-BC64-0A9FF37DB49B}" type="presOf" srcId="{379D05B2-AE3F-4762-A6EE-40DA4FA1E112}" destId="{2A946A4C-BF21-44CF-A830-7DC4EA3E1579}" srcOrd="0" destOrd="0" presId="urn:microsoft.com/office/officeart/2005/8/layout/process5"/>
    <dgm:cxn modelId="{AEA96CCC-BFE7-427E-9EF2-88A0F5E0F199}" type="presOf" srcId="{72FD111E-137D-4C7B-9362-874C4C39730F}" destId="{7934A2A0-602B-4B4E-AA8D-74CF129DCE19}" srcOrd="0" destOrd="0" presId="urn:microsoft.com/office/officeart/2005/8/layout/process5"/>
    <dgm:cxn modelId="{5609B797-6B7A-4284-92F5-835AEC1F70A7}" type="presOf" srcId="{946D8E5C-8970-4DEE-A751-7869BC9D0EDA}" destId="{C7F6F156-15C5-46F5-A7EF-584675F300CE}" srcOrd="0" destOrd="0" presId="urn:microsoft.com/office/officeart/2005/8/layout/process5"/>
    <dgm:cxn modelId="{D170238D-F0B7-49AE-BC11-39F98585034C}" srcId="{E55F6B14-3EF1-479C-BBF3-6F84DDA8E611}" destId="{C0416134-3D2B-4302-A23B-AB4F85682C15}" srcOrd="1" destOrd="0" parTransId="{AAED69F9-77D9-4F6A-9838-6E7FADAE0383}" sibTransId="{72FD111E-137D-4C7B-9362-874C4C39730F}"/>
    <dgm:cxn modelId="{F8AFB3A1-484D-49C1-BF04-921C203A07BC}" type="presOf" srcId="{C0416134-3D2B-4302-A23B-AB4F85682C15}" destId="{09811389-291D-4136-A1AA-0BB542D4A074}" srcOrd="0" destOrd="0" presId="urn:microsoft.com/office/officeart/2005/8/layout/process5"/>
    <dgm:cxn modelId="{4213995C-4E3F-4354-9FB8-C2BE1232233D}" srcId="{E55F6B14-3EF1-479C-BBF3-6F84DDA8E611}" destId="{8E82393E-CA69-4458-A2F4-607804926805}" srcOrd="4" destOrd="0" parTransId="{F3D3560B-897A-462E-9F7D-905C5E3D5BAD}" sibTransId="{A4E65149-4D93-4EA8-9A08-124D3759E49E}"/>
    <dgm:cxn modelId="{CB3F20DB-AC8A-4769-BE7C-708570FEA008}" type="presOf" srcId="{A4E65149-4D93-4EA8-9A08-124D3759E49E}" destId="{6C896EEB-2D1D-44F1-9F52-D20B3E9B35B3}" srcOrd="0" destOrd="0" presId="urn:microsoft.com/office/officeart/2005/8/layout/process5"/>
    <dgm:cxn modelId="{C144A0FA-CFB2-4E61-90A9-1F4CDA72423A}" type="presOf" srcId="{EAF59001-85E8-4D7B-B509-C692007BC512}" destId="{DF51E6CF-A3E2-49B7-AABB-94C59EEEFDCF}" srcOrd="0" destOrd="0" presId="urn:microsoft.com/office/officeart/2005/8/layout/process5"/>
    <dgm:cxn modelId="{67E49D6B-EB5B-40B3-A155-47AB24853F36}" type="presParOf" srcId="{63FEE973-079F-4200-B2E0-24B762CAAAE2}" destId="{C7F6F156-15C5-46F5-A7EF-584675F300CE}" srcOrd="0" destOrd="0" presId="urn:microsoft.com/office/officeart/2005/8/layout/process5"/>
    <dgm:cxn modelId="{6127B53B-D15F-478C-A5B1-4F63D601B222}" type="presParOf" srcId="{63FEE973-079F-4200-B2E0-24B762CAAAE2}" destId="{CE615C1A-0805-4EF4-9D67-C9DB1A494B46}" srcOrd="1" destOrd="0" presId="urn:microsoft.com/office/officeart/2005/8/layout/process5"/>
    <dgm:cxn modelId="{B37188DD-5C50-4786-8B6F-E9B4B566FA0A}" type="presParOf" srcId="{CE615C1A-0805-4EF4-9D67-C9DB1A494B46}" destId="{981DCA89-EACD-450C-8EC5-FA4A04171BA4}" srcOrd="0" destOrd="0" presId="urn:microsoft.com/office/officeart/2005/8/layout/process5"/>
    <dgm:cxn modelId="{805739AF-2100-48D2-A6C6-658A8B3BFD16}" type="presParOf" srcId="{63FEE973-079F-4200-B2E0-24B762CAAAE2}" destId="{09811389-291D-4136-A1AA-0BB542D4A074}" srcOrd="2" destOrd="0" presId="urn:microsoft.com/office/officeart/2005/8/layout/process5"/>
    <dgm:cxn modelId="{A46C3D97-10A1-410B-9310-09E55EDFCFA4}" type="presParOf" srcId="{63FEE973-079F-4200-B2E0-24B762CAAAE2}" destId="{7934A2A0-602B-4B4E-AA8D-74CF129DCE19}" srcOrd="3" destOrd="0" presId="urn:microsoft.com/office/officeart/2005/8/layout/process5"/>
    <dgm:cxn modelId="{45142195-D90A-445D-9EF0-03AA42830084}" type="presParOf" srcId="{7934A2A0-602B-4B4E-AA8D-74CF129DCE19}" destId="{A8F2087E-6E54-4773-BCB9-744F736E4C92}" srcOrd="0" destOrd="0" presId="urn:microsoft.com/office/officeart/2005/8/layout/process5"/>
    <dgm:cxn modelId="{75A79FD5-8912-49DC-A4EA-F23E361DEFDF}" type="presParOf" srcId="{63FEE973-079F-4200-B2E0-24B762CAAAE2}" destId="{46C93D8B-5836-48FC-A847-60B32EDCC149}" srcOrd="4" destOrd="0" presId="urn:microsoft.com/office/officeart/2005/8/layout/process5"/>
    <dgm:cxn modelId="{0F1EDDED-7A74-4C59-8F8C-E51CCD0C1DFB}" type="presParOf" srcId="{63FEE973-079F-4200-B2E0-24B762CAAAE2}" destId="{36DF101B-3E6B-4252-956D-2C4FDE8A960E}" srcOrd="5" destOrd="0" presId="urn:microsoft.com/office/officeart/2005/8/layout/process5"/>
    <dgm:cxn modelId="{48953A66-6ABA-40FE-BE5B-9B6F1371D41E}" type="presParOf" srcId="{36DF101B-3E6B-4252-956D-2C4FDE8A960E}" destId="{DBE652EC-29AD-443E-974A-0D247E9F51E8}" srcOrd="0" destOrd="0" presId="urn:microsoft.com/office/officeart/2005/8/layout/process5"/>
    <dgm:cxn modelId="{841A7C79-1DA7-4BC0-892A-C764AAC666F1}" type="presParOf" srcId="{63FEE973-079F-4200-B2E0-24B762CAAAE2}" destId="{DF51E6CF-A3E2-49B7-AABB-94C59EEEFDCF}" srcOrd="6" destOrd="0" presId="urn:microsoft.com/office/officeart/2005/8/layout/process5"/>
    <dgm:cxn modelId="{F68852B4-C3CD-4C17-8FC5-3862C43112F4}" type="presParOf" srcId="{63FEE973-079F-4200-B2E0-24B762CAAAE2}" destId="{E32A17EF-EC80-4F81-AE28-0DF207908FE8}" srcOrd="7" destOrd="0" presId="urn:microsoft.com/office/officeart/2005/8/layout/process5"/>
    <dgm:cxn modelId="{00592592-BCE2-4EAF-85DE-CAA244FA456E}" type="presParOf" srcId="{E32A17EF-EC80-4F81-AE28-0DF207908FE8}" destId="{B5F6B7FB-7D68-43A2-A92D-97E3C3034A6C}" srcOrd="0" destOrd="0" presId="urn:microsoft.com/office/officeart/2005/8/layout/process5"/>
    <dgm:cxn modelId="{88C23134-8081-47DD-BA73-7C836B8787BC}" type="presParOf" srcId="{63FEE973-079F-4200-B2E0-24B762CAAAE2}" destId="{6FC0AE5D-CB1E-41FC-A547-1C2F60C3F4C6}" srcOrd="8" destOrd="0" presId="urn:microsoft.com/office/officeart/2005/8/layout/process5"/>
    <dgm:cxn modelId="{24C1B77E-4A47-49CE-BC69-838FE2BE4F52}" type="presParOf" srcId="{63FEE973-079F-4200-B2E0-24B762CAAAE2}" destId="{6C896EEB-2D1D-44F1-9F52-D20B3E9B35B3}" srcOrd="9" destOrd="0" presId="urn:microsoft.com/office/officeart/2005/8/layout/process5"/>
    <dgm:cxn modelId="{DFD30DB5-DC2B-4899-A423-2B55C527ED8A}" type="presParOf" srcId="{6C896EEB-2D1D-44F1-9F52-D20B3E9B35B3}" destId="{CC106833-2754-4E6F-BFE5-DD6954477E92}" srcOrd="0" destOrd="0" presId="urn:microsoft.com/office/officeart/2005/8/layout/process5"/>
    <dgm:cxn modelId="{99BB6187-6D5E-44BA-A429-4E7DEE30439C}" type="presParOf" srcId="{63FEE973-079F-4200-B2E0-24B762CAAAE2}" destId="{06784986-6552-4B5E-98FA-69230FCCBF71}" srcOrd="10" destOrd="0" presId="urn:microsoft.com/office/officeart/2005/8/layout/process5"/>
    <dgm:cxn modelId="{604FEFB8-BC15-4856-B106-A3CBEAB5EDC6}" type="presParOf" srcId="{63FEE973-079F-4200-B2E0-24B762CAAAE2}" destId="{9C384F9F-F295-453C-836F-11972C8CAC49}" srcOrd="11" destOrd="0" presId="urn:microsoft.com/office/officeart/2005/8/layout/process5"/>
    <dgm:cxn modelId="{9A527A27-AB04-4A25-ABC9-C794C05E5055}" type="presParOf" srcId="{9C384F9F-F295-453C-836F-11972C8CAC49}" destId="{C3A28B79-6E71-4C65-9DDB-3A039889B61B}" srcOrd="0" destOrd="0" presId="urn:microsoft.com/office/officeart/2005/8/layout/process5"/>
    <dgm:cxn modelId="{9C43CC04-D499-4E2D-A830-E6CBE0200FA0}" type="presParOf" srcId="{63FEE973-079F-4200-B2E0-24B762CAAAE2}" destId="{2A946A4C-BF21-44CF-A830-7DC4EA3E1579}" srcOrd="12" destOrd="0" presId="urn:microsoft.com/office/officeart/2005/8/layout/process5"/>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F6F156-15C5-46F5-A7EF-584675F300CE}">
      <dsp:nvSpPr>
        <dsp:cNvPr id="0" name=""/>
        <dsp:cNvSpPr/>
      </dsp:nvSpPr>
      <dsp:spPr>
        <a:xfrm>
          <a:off x="629" y="119574"/>
          <a:ext cx="731747" cy="439048"/>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AU" sz="700" kern="1200" dirty="0" smtClean="0"/>
            <a:t>Industry TFI</a:t>
          </a:r>
          <a:endParaRPr lang="en-AU" sz="700" kern="1200" dirty="0"/>
        </a:p>
      </dsp:txBody>
      <dsp:txXfrm>
        <a:off x="13488" y="132433"/>
        <a:ext cx="706029" cy="413330"/>
      </dsp:txXfrm>
    </dsp:sp>
    <dsp:sp modelId="{CE615C1A-0805-4EF4-9D67-C9DB1A494B46}">
      <dsp:nvSpPr>
        <dsp:cNvPr id="0" name=""/>
        <dsp:cNvSpPr/>
      </dsp:nvSpPr>
      <dsp:spPr>
        <a:xfrm>
          <a:off x="772360" y="282758"/>
          <a:ext cx="96323" cy="112680"/>
        </a:xfrm>
        <a:prstGeom prst="mathMultiply">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AU" sz="500" kern="1200"/>
        </a:p>
      </dsp:txBody>
      <dsp:txXfrm>
        <a:off x="772360" y="305294"/>
        <a:ext cx="67426" cy="67608"/>
      </dsp:txXfrm>
    </dsp:sp>
    <dsp:sp modelId="{09811389-291D-4136-A1AA-0BB542D4A074}">
      <dsp:nvSpPr>
        <dsp:cNvPr id="0" name=""/>
        <dsp:cNvSpPr/>
      </dsp:nvSpPr>
      <dsp:spPr>
        <a:xfrm>
          <a:off x="914120" y="119574"/>
          <a:ext cx="731747" cy="439048"/>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AU" sz="700" kern="1200" dirty="0" smtClean="0"/>
            <a:t>% employers closing due to holiday</a:t>
          </a:r>
          <a:endParaRPr lang="en-AU" sz="700" kern="1200" dirty="0"/>
        </a:p>
      </dsp:txBody>
      <dsp:txXfrm>
        <a:off x="926979" y="132433"/>
        <a:ext cx="706029" cy="413330"/>
      </dsp:txXfrm>
    </dsp:sp>
    <dsp:sp modelId="{7934A2A0-602B-4B4E-AA8D-74CF129DCE19}">
      <dsp:nvSpPr>
        <dsp:cNvPr id="0" name=""/>
        <dsp:cNvSpPr/>
      </dsp:nvSpPr>
      <dsp:spPr>
        <a:xfrm>
          <a:off x="1685851" y="282758"/>
          <a:ext cx="96323" cy="112680"/>
        </a:xfrm>
        <a:prstGeom prst="mathMultiply">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AU" sz="500" kern="1200"/>
        </a:p>
      </dsp:txBody>
      <dsp:txXfrm>
        <a:off x="1685851" y="305294"/>
        <a:ext cx="67426" cy="67608"/>
      </dsp:txXfrm>
    </dsp:sp>
    <dsp:sp modelId="{46C93D8B-5836-48FC-A847-60B32EDCC149}">
      <dsp:nvSpPr>
        <dsp:cNvPr id="0" name=""/>
        <dsp:cNvSpPr/>
      </dsp:nvSpPr>
      <dsp:spPr>
        <a:xfrm>
          <a:off x="1827611" y="119574"/>
          <a:ext cx="731747" cy="439048"/>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AU" sz="700" kern="1200" dirty="0" smtClean="0"/>
            <a:t>% annual output for one day</a:t>
          </a:r>
          <a:endParaRPr lang="en-AU" sz="700" kern="1200" dirty="0"/>
        </a:p>
      </dsp:txBody>
      <dsp:txXfrm>
        <a:off x="1840470" y="132433"/>
        <a:ext cx="706029" cy="413330"/>
      </dsp:txXfrm>
    </dsp:sp>
    <dsp:sp modelId="{36DF101B-3E6B-4252-956D-2C4FDE8A960E}">
      <dsp:nvSpPr>
        <dsp:cNvPr id="0" name=""/>
        <dsp:cNvSpPr/>
      </dsp:nvSpPr>
      <dsp:spPr>
        <a:xfrm>
          <a:off x="2599342" y="282758"/>
          <a:ext cx="96323" cy="112680"/>
        </a:xfrm>
        <a:prstGeom prst="mathMultiply">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AU" sz="500" kern="1200"/>
        </a:p>
      </dsp:txBody>
      <dsp:txXfrm>
        <a:off x="2599342" y="305294"/>
        <a:ext cx="67426" cy="67608"/>
      </dsp:txXfrm>
    </dsp:sp>
    <dsp:sp modelId="{3611F263-91D5-4ED6-B402-D24BEA5B4502}">
      <dsp:nvSpPr>
        <dsp:cNvPr id="0" name=""/>
        <dsp:cNvSpPr/>
      </dsp:nvSpPr>
      <dsp:spPr>
        <a:xfrm>
          <a:off x="2741102" y="119027"/>
          <a:ext cx="721492" cy="440141"/>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AU" sz="700" kern="1200" dirty="0" smtClean="0"/>
            <a:t>% production not smoothed</a:t>
          </a:r>
          <a:endParaRPr lang="en-AU" sz="700" kern="1200" dirty="0"/>
        </a:p>
      </dsp:txBody>
      <dsp:txXfrm>
        <a:off x="2753993" y="131918"/>
        <a:ext cx="695710" cy="414359"/>
      </dsp:txXfrm>
    </dsp:sp>
    <dsp:sp modelId="{302677A5-15DD-4209-9AB7-40DB304F445D}">
      <dsp:nvSpPr>
        <dsp:cNvPr id="0" name=""/>
        <dsp:cNvSpPr/>
      </dsp:nvSpPr>
      <dsp:spPr>
        <a:xfrm>
          <a:off x="3502578" y="282758"/>
          <a:ext cx="96323" cy="112680"/>
        </a:xfrm>
        <a:prstGeom prst="mathPlus">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AU" sz="500" kern="1200"/>
        </a:p>
      </dsp:txBody>
      <dsp:txXfrm>
        <a:off x="3502578" y="305294"/>
        <a:ext cx="67426" cy="67608"/>
      </dsp:txXfrm>
    </dsp:sp>
    <dsp:sp modelId="{AF837882-9CC8-4C7F-ACD1-87D3797C5E54}">
      <dsp:nvSpPr>
        <dsp:cNvPr id="0" name=""/>
        <dsp:cNvSpPr/>
      </dsp:nvSpPr>
      <dsp:spPr>
        <a:xfrm>
          <a:off x="3644338" y="123273"/>
          <a:ext cx="661876" cy="431649"/>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AU" sz="700" kern="1200" dirty="0" smtClean="0"/>
            <a:t>Foregone government revenue</a:t>
          </a:r>
          <a:endParaRPr lang="en-AU" sz="700" kern="1200" dirty="0"/>
        </a:p>
      </dsp:txBody>
      <dsp:txXfrm>
        <a:off x="3656981" y="135916"/>
        <a:ext cx="636590" cy="406363"/>
      </dsp:txXfrm>
    </dsp:sp>
    <dsp:sp modelId="{085595F7-9103-4C8B-8855-221C42E25A45}">
      <dsp:nvSpPr>
        <dsp:cNvPr id="0" name=""/>
        <dsp:cNvSpPr/>
      </dsp:nvSpPr>
      <dsp:spPr>
        <a:xfrm>
          <a:off x="4346198" y="282758"/>
          <a:ext cx="96323" cy="112680"/>
        </a:xfrm>
        <a:prstGeom prst="mathEqual">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AU" sz="500" kern="1200"/>
        </a:p>
      </dsp:txBody>
      <dsp:txXfrm>
        <a:off x="4346198" y="305294"/>
        <a:ext cx="67426" cy="67608"/>
      </dsp:txXfrm>
    </dsp:sp>
    <dsp:sp modelId="{2A946A4C-BF21-44CF-A830-7DC4EA3E1579}">
      <dsp:nvSpPr>
        <dsp:cNvPr id="0" name=""/>
        <dsp:cNvSpPr/>
      </dsp:nvSpPr>
      <dsp:spPr>
        <a:xfrm>
          <a:off x="4487957" y="119574"/>
          <a:ext cx="731747" cy="439048"/>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AU" sz="700" kern="1200" dirty="0" smtClean="0"/>
            <a:t>Foregone economic value</a:t>
          </a:r>
          <a:endParaRPr lang="en-AU" sz="700" kern="1200" dirty="0"/>
        </a:p>
      </dsp:txBody>
      <dsp:txXfrm>
        <a:off x="4500816" y="132433"/>
        <a:ext cx="706029" cy="4133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F6F156-15C5-46F5-A7EF-584675F300CE}">
      <dsp:nvSpPr>
        <dsp:cNvPr id="0" name=""/>
        <dsp:cNvSpPr/>
      </dsp:nvSpPr>
      <dsp:spPr>
        <a:xfrm>
          <a:off x="31173" y="378"/>
          <a:ext cx="712248" cy="427348"/>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AU" sz="800" kern="1200" dirty="0" smtClean="0"/>
            <a:t>Adjusted average daily earnings</a:t>
          </a:r>
          <a:endParaRPr lang="en-AU" sz="800" kern="1200" dirty="0"/>
        </a:p>
      </dsp:txBody>
      <dsp:txXfrm>
        <a:off x="43690" y="12895"/>
        <a:ext cx="687214" cy="402314"/>
      </dsp:txXfrm>
    </dsp:sp>
    <dsp:sp modelId="{CE615C1A-0805-4EF4-9D67-C9DB1A494B46}">
      <dsp:nvSpPr>
        <dsp:cNvPr id="0" name=""/>
        <dsp:cNvSpPr/>
      </dsp:nvSpPr>
      <dsp:spPr>
        <a:xfrm>
          <a:off x="782339" y="159214"/>
          <a:ext cx="93757" cy="109678"/>
        </a:xfrm>
        <a:prstGeom prst="mathMultiply">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AU" sz="500" kern="1200"/>
        </a:p>
      </dsp:txBody>
      <dsp:txXfrm>
        <a:off x="782339" y="181150"/>
        <a:ext cx="65630" cy="65806"/>
      </dsp:txXfrm>
    </dsp:sp>
    <dsp:sp modelId="{09811389-291D-4136-A1AA-0BB542D4A074}">
      <dsp:nvSpPr>
        <dsp:cNvPr id="0" name=""/>
        <dsp:cNvSpPr/>
      </dsp:nvSpPr>
      <dsp:spPr>
        <a:xfrm>
          <a:off x="920321" y="378"/>
          <a:ext cx="712248" cy="427348"/>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AU" sz="800" kern="1200" dirty="0" smtClean="0"/>
            <a:t>Industry employment</a:t>
          </a:r>
          <a:endParaRPr lang="en-AU" sz="800" kern="1200" dirty="0"/>
        </a:p>
      </dsp:txBody>
      <dsp:txXfrm>
        <a:off x="932838" y="12895"/>
        <a:ext cx="687214" cy="402314"/>
      </dsp:txXfrm>
    </dsp:sp>
    <dsp:sp modelId="{7934A2A0-602B-4B4E-AA8D-74CF129DCE19}">
      <dsp:nvSpPr>
        <dsp:cNvPr id="0" name=""/>
        <dsp:cNvSpPr/>
      </dsp:nvSpPr>
      <dsp:spPr>
        <a:xfrm>
          <a:off x="1671487" y="159214"/>
          <a:ext cx="93757" cy="109678"/>
        </a:xfrm>
        <a:prstGeom prst="mathMultiply">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AU" sz="500" kern="1200"/>
        </a:p>
      </dsp:txBody>
      <dsp:txXfrm>
        <a:off x="1671487" y="181150"/>
        <a:ext cx="65630" cy="65806"/>
      </dsp:txXfrm>
    </dsp:sp>
    <dsp:sp modelId="{46C93D8B-5836-48FC-A847-60B32EDCC149}">
      <dsp:nvSpPr>
        <dsp:cNvPr id="0" name=""/>
        <dsp:cNvSpPr/>
      </dsp:nvSpPr>
      <dsp:spPr>
        <a:xfrm>
          <a:off x="1809469" y="378"/>
          <a:ext cx="712248" cy="427348"/>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AU" sz="800" kern="1200" dirty="0" smtClean="0"/>
            <a:t>Proportion of employers operating</a:t>
          </a:r>
          <a:endParaRPr lang="en-AU" sz="800" kern="1200" dirty="0"/>
        </a:p>
      </dsp:txBody>
      <dsp:txXfrm>
        <a:off x="1821986" y="12895"/>
        <a:ext cx="687214" cy="402314"/>
      </dsp:txXfrm>
    </dsp:sp>
    <dsp:sp modelId="{36DF101B-3E6B-4252-956D-2C4FDE8A960E}">
      <dsp:nvSpPr>
        <dsp:cNvPr id="0" name=""/>
        <dsp:cNvSpPr/>
      </dsp:nvSpPr>
      <dsp:spPr>
        <a:xfrm rot="5385597">
          <a:off x="2112293" y="451126"/>
          <a:ext cx="108983" cy="94644"/>
        </a:xfrm>
        <a:prstGeom prst="mathMultiply">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AU" sz="600" kern="1200"/>
        </a:p>
      </dsp:txBody>
      <dsp:txXfrm rot="-5400000">
        <a:off x="2138332" y="443957"/>
        <a:ext cx="56786" cy="80590"/>
      </dsp:txXfrm>
    </dsp:sp>
    <dsp:sp modelId="{DF51E6CF-A3E2-49B7-AABB-94C59EEEFDCF}">
      <dsp:nvSpPr>
        <dsp:cNvPr id="0" name=""/>
        <dsp:cNvSpPr/>
      </dsp:nvSpPr>
      <dsp:spPr>
        <a:xfrm>
          <a:off x="1811870" y="573545"/>
          <a:ext cx="712248" cy="427348"/>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AU" sz="800" kern="1200" dirty="0" smtClean="0"/>
            <a:t>Proportion of employees working</a:t>
          </a:r>
          <a:endParaRPr lang="en-AU" sz="800" kern="1200" dirty="0"/>
        </a:p>
      </dsp:txBody>
      <dsp:txXfrm>
        <a:off x="1824387" y="586062"/>
        <a:ext cx="687214" cy="402314"/>
      </dsp:txXfrm>
    </dsp:sp>
    <dsp:sp modelId="{E32A17EF-EC80-4F81-AE28-0DF207908FE8}">
      <dsp:nvSpPr>
        <dsp:cNvPr id="0" name=""/>
        <dsp:cNvSpPr/>
      </dsp:nvSpPr>
      <dsp:spPr>
        <a:xfrm>
          <a:off x="2561980" y="732380"/>
          <a:ext cx="91211" cy="109678"/>
        </a:xfrm>
        <a:prstGeom prst="mathMultiply">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AU" sz="500" kern="1200"/>
        </a:p>
      </dsp:txBody>
      <dsp:txXfrm>
        <a:off x="2561980" y="754316"/>
        <a:ext cx="63848" cy="65806"/>
      </dsp:txXfrm>
    </dsp:sp>
    <dsp:sp modelId="{6FC0AE5D-CB1E-41FC-A547-1C2F60C3F4C6}">
      <dsp:nvSpPr>
        <dsp:cNvPr id="0" name=""/>
        <dsp:cNvSpPr/>
      </dsp:nvSpPr>
      <dsp:spPr>
        <a:xfrm>
          <a:off x="2696216" y="573545"/>
          <a:ext cx="712248" cy="427348"/>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AU" sz="800" kern="1200" dirty="0" smtClean="0"/>
            <a:t>Difference in penalty rates</a:t>
          </a:r>
          <a:endParaRPr lang="en-AU" sz="800" kern="1200" dirty="0"/>
        </a:p>
      </dsp:txBody>
      <dsp:txXfrm>
        <a:off x="2708733" y="586062"/>
        <a:ext cx="687214" cy="402314"/>
      </dsp:txXfrm>
    </dsp:sp>
    <dsp:sp modelId="{6C896EEB-2D1D-44F1-9F52-D20B3E9B35B3}">
      <dsp:nvSpPr>
        <dsp:cNvPr id="0" name=""/>
        <dsp:cNvSpPr/>
      </dsp:nvSpPr>
      <dsp:spPr>
        <a:xfrm>
          <a:off x="3453699" y="732380"/>
          <a:ext cx="108976" cy="109678"/>
        </a:xfrm>
        <a:prstGeom prst="mathMultiply">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AU" sz="500" kern="1200"/>
        </a:p>
      </dsp:txBody>
      <dsp:txXfrm>
        <a:off x="3453699" y="754316"/>
        <a:ext cx="76283" cy="65806"/>
      </dsp:txXfrm>
    </dsp:sp>
    <dsp:sp modelId="{06784986-6552-4B5E-98FA-69230FCCBF71}">
      <dsp:nvSpPr>
        <dsp:cNvPr id="0" name=""/>
        <dsp:cNvSpPr/>
      </dsp:nvSpPr>
      <dsp:spPr>
        <a:xfrm>
          <a:off x="3614079" y="573545"/>
          <a:ext cx="712248" cy="427348"/>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AU" sz="800" kern="1200" dirty="0" smtClean="0"/>
            <a:t>% normal wage costs</a:t>
          </a:r>
          <a:endParaRPr lang="en-AU" sz="800" kern="1200" dirty="0"/>
        </a:p>
      </dsp:txBody>
      <dsp:txXfrm>
        <a:off x="3626596" y="586062"/>
        <a:ext cx="687214" cy="402314"/>
      </dsp:txXfrm>
    </dsp:sp>
    <dsp:sp modelId="{9C384F9F-F295-453C-836F-11972C8CAC49}">
      <dsp:nvSpPr>
        <dsp:cNvPr id="0" name=""/>
        <dsp:cNvSpPr/>
      </dsp:nvSpPr>
      <dsp:spPr>
        <a:xfrm rot="21599997">
          <a:off x="4366314" y="732380"/>
          <a:ext cx="96332" cy="109678"/>
        </a:xfrm>
        <a:prstGeom prst="mathEqual">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AU" sz="500" kern="1200"/>
        </a:p>
      </dsp:txBody>
      <dsp:txXfrm>
        <a:off x="4366314" y="754316"/>
        <a:ext cx="67432" cy="65806"/>
      </dsp:txXfrm>
    </dsp:sp>
    <dsp:sp modelId="{2A946A4C-BF21-44CF-A830-7DC4EA3E1579}">
      <dsp:nvSpPr>
        <dsp:cNvPr id="0" name=""/>
        <dsp:cNvSpPr/>
      </dsp:nvSpPr>
      <dsp:spPr>
        <a:xfrm>
          <a:off x="4508086" y="573544"/>
          <a:ext cx="712248" cy="427348"/>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AU" sz="800" kern="1200" dirty="0" smtClean="0"/>
            <a:t>Wage transfer </a:t>
          </a:r>
          <a:endParaRPr lang="en-AU" sz="800" kern="1200" dirty="0"/>
        </a:p>
      </dsp:txBody>
      <dsp:txXfrm>
        <a:off x="4520603" y="586061"/>
        <a:ext cx="687214" cy="40231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F6F156-15C5-46F5-A7EF-584675F300CE}">
      <dsp:nvSpPr>
        <dsp:cNvPr id="0" name=""/>
        <dsp:cNvSpPr/>
      </dsp:nvSpPr>
      <dsp:spPr>
        <a:xfrm>
          <a:off x="31173" y="378"/>
          <a:ext cx="712248" cy="427348"/>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AU" sz="700" kern="1200" dirty="0" smtClean="0"/>
            <a:t>Industry employment</a:t>
          </a:r>
          <a:endParaRPr lang="en-AU" sz="700" kern="1200" dirty="0"/>
        </a:p>
      </dsp:txBody>
      <dsp:txXfrm>
        <a:off x="43690" y="12895"/>
        <a:ext cx="687214" cy="402314"/>
      </dsp:txXfrm>
    </dsp:sp>
    <dsp:sp modelId="{CE615C1A-0805-4EF4-9D67-C9DB1A494B46}">
      <dsp:nvSpPr>
        <dsp:cNvPr id="0" name=""/>
        <dsp:cNvSpPr/>
      </dsp:nvSpPr>
      <dsp:spPr>
        <a:xfrm>
          <a:off x="782339" y="159214"/>
          <a:ext cx="93757" cy="109678"/>
        </a:xfrm>
        <a:prstGeom prst="mathMultiply">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AU" sz="500" kern="1200"/>
        </a:p>
      </dsp:txBody>
      <dsp:txXfrm>
        <a:off x="782339" y="181150"/>
        <a:ext cx="65630" cy="65806"/>
      </dsp:txXfrm>
    </dsp:sp>
    <dsp:sp modelId="{09811389-291D-4136-A1AA-0BB542D4A074}">
      <dsp:nvSpPr>
        <dsp:cNvPr id="0" name=""/>
        <dsp:cNvSpPr/>
      </dsp:nvSpPr>
      <dsp:spPr>
        <a:xfrm>
          <a:off x="920321" y="378"/>
          <a:ext cx="712248" cy="427348"/>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AU" sz="700" kern="1200" dirty="0" smtClean="0"/>
            <a:t>% employees normally working</a:t>
          </a:r>
          <a:endParaRPr lang="en-AU" sz="700" kern="1200" dirty="0"/>
        </a:p>
      </dsp:txBody>
      <dsp:txXfrm>
        <a:off x="932838" y="12895"/>
        <a:ext cx="687214" cy="402314"/>
      </dsp:txXfrm>
    </dsp:sp>
    <dsp:sp modelId="{7934A2A0-602B-4B4E-AA8D-74CF129DCE19}">
      <dsp:nvSpPr>
        <dsp:cNvPr id="0" name=""/>
        <dsp:cNvSpPr/>
      </dsp:nvSpPr>
      <dsp:spPr>
        <a:xfrm>
          <a:off x="1671487" y="159214"/>
          <a:ext cx="93757" cy="109678"/>
        </a:xfrm>
        <a:prstGeom prst="mathMultiply">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AU" sz="500" kern="1200"/>
        </a:p>
      </dsp:txBody>
      <dsp:txXfrm>
        <a:off x="1671487" y="181150"/>
        <a:ext cx="65630" cy="65806"/>
      </dsp:txXfrm>
    </dsp:sp>
    <dsp:sp modelId="{46C93D8B-5836-48FC-A847-60B32EDCC149}">
      <dsp:nvSpPr>
        <dsp:cNvPr id="0" name=""/>
        <dsp:cNvSpPr/>
      </dsp:nvSpPr>
      <dsp:spPr>
        <a:xfrm>
          <a:off x="1809469" y="378"/>
          <a:ext cx="712248" cy="427348"/>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AU" sz="700" kern="1200" dirty="0" smtClean="0"/>
            <a:t>% of employers normally operating</a:t>
          </a:r>
          <a:endParaRPr lang="en-AU" sz="700" kern="1200" dirty="0"/>
        </a:p>
      </dsp:txBody>
      <dsp:txXfrm>
        <a:off x="1821986" y="12895"/>
        <a:ext cx="687214" cy="402314"/>
      </dsp:txXfrm>
    </dsp:sp>
    <dsp:sp modelId="{36DF101B-3E6B-4252-956D-2C4FDE8A960E}">
      <dsp:nvSpPr>
        <dsp:cNvPr id="0" name=""/>
        <dsp:cNvSpPr/>
      </dsp:nvSpPr>
      <dsp:spPr>
        <a:xfrm rot="21600000">
          <a:off x="2112293" y="451126"/>
          <a:ext cx="108983" cy="94644"/>
        </a:xfrm>
        <a:prstGeom prst="mathMinus">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AU" sz="500" kern="1200"/>
        </a:p>
      </dsp:txBody>
      <dsp:txXfrm rot="-27000000">
        <a:off x="2124195" y="458153"/>
        <a:ext cx="56786" cy="80590"/>
      </dsp:txXfrm>
    </dsp:sp>
    <dsp:sp modelId="{DF51E6CF-A3E2-49B7-AABB-94C59EEEFDCF}">
      <dsp:nvSpPr>
        <dsp:cNvPr id="0" name=""/>
        <dsp:cNvSpPr/>
      </dsp:nvSpPr>
      <dsp:spPr>
        <a:xfrm>
          <a:off x="1811870" y="573545"/>
          <a:ext cx="712248" cy="427348"/>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AU" sz="700" kern="1200" dirty="0" smtClean="0"/>
            <a:t>Industry employment</a:t>
          </a:r>
          <a:endParaRPr lang="en-AU" sz="700" kern="1200" dirty="0"/>
        </a:p>
      </dsp:txBody>
      <dsp:txXfrm>
        <a:off x="1824387" y="586062"/>
        <a:ext cx="687214" cy="402314"/>
      </dsp:txXfrm>
    </dsp:sp>
    <dsp:sp modelId="{E32A17EF-EC80-4F81-AE28-0DF207908FE8}">
      <dsp:nvSpPr>
        <dsp:cNvPr id="0" name=""/>
        <dsp:cNvSpPr/>
      </dsp:nvSpPr>
      <dsp:spPr>
        <a:xfrm>
          <a:off x="2561980" y="732380"/>
          <a:ext cx="91211" cy="109678"/>
        </a:xfrm>
        <a:prstGeom prst="mathMultiply">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AU" sz="500" kern="1200"/>
        </a:p>
      </dsp:txBody>
      <dsp:txXfrm>
        <a:off x="2561980" y="754316"/>
        <a:ext cx="63848" cy="65806"/>
      </dsp:txXfrm>
    </dsp:sp>
    <dsp:sp modelId="{6FC0AE5D-CB1E-41FC-A547-1C2F60C3F4C6}">
      <dsp:nvSpPr>
        <dsp:cNvPr id="0" name=""/>
        <dsp:cNvSpPr/>
      </dsp:nvSpPr>
      <dsp:spPr>
        <a:xfrm>
          <a:off x="2696216" y="573545"/>
          <a:ext cx="712248" cy="427348"/>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AU" sz="700" kern="1200" dirty="0" smtClean="0"/>
            <a:t>% employees working</a:t>
          </a:r>
          <a:endParaRPr lang="en-AU" sz="700" kern="1200" dirty="0"/>
        </a:p>
      </dsp:txBody>
      <dsp:txXfrm>
        <a:off x="2708733" y="586062"/>
        <a:ext cx="687214" cy="402314"/>
      </dsp:txXfrm>
    </dsp:sp>
    <dsp:sp modelId="{6C896EEB-2D1D-44F1-9F52-D20B3E9B35B3}">
      <dsp:nvSpPr>
        <dsp:cNvPr id="0" name=""/>
        <dsp:cNvSpPr/>
      </dsp:nvSpPr>
      <dsp:spPr>
        <a:xfrm>
          <a:off x="3453699" y="732380"/>
          <a:ext cx="108976" cy="109678"/>
        </a:xfrm>
        <a:prstGeom prst="mathMultiply">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AU" sz="500" kern="1200"/>
        </a:p>
      </dsp:txBody>
      <dsp:txXfrm>
        <a:off x="3453699" y="754316"/>
        <a:ext cx="76283" cy="65806"/>
      </dsp:txXfrm>
    </dsp:sp>
    <dsp:sp modelId="{06784986-6552-4B5E-98FA-69230FCCBF71}">
      <dsp:nvSpPr>
        <dsp:cNvPr id="0" name=""/>
        <dsp:cNvSpPr/>
      </dsp:nvSpPr>
      <dsp:spPr>
        <a:xfrm>
          <a:off x="3614079" y="573545"/>
          <a:ext cx="712248" cy="427348"/>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AU" sz="700" kern="1200" dirty="0" smtClean="0"/>
            <a:t>% employers staying open</a:t>
          </a:r>
          <a:endParaRPr lang="en-AU" sz="700" kern="1200" dirty="0"/>
        </a:p>
      </dsp:txBody>
      <dsp:txXfrm>
        <a:off x="3626596" y="586062"/>
        <a:ext cx="687214" cy="402314"/>
      </dsp:txXfrm>
    </dsp:sp>
    <dsp:sp modelId="{9C384F9F-F295-453C-836F-11972C8CAC49}">
      <dsp:nvSpPr>
        <dsp:cNvPr id="0" name=""/>
        <dsp:cNvSpPr/>
      </dsp:nvSpPr>
      <dsp:spPr>
        <a:xfrm rot="21599997">
          <a:off x="4366314" y="732380"/>
          <a:ext cx="96332" cy="109678"/>
        </a:xfrm>
        <a:prstGeom prst="mathEqual">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AU" sz="500" kern="1200"/>
        </a:p>
      </dsp:txBody>
      <dsp:txXfrm>
        <a:off x="4366314" y="754316"/>
        <a:ext cx="67432" cy="65806"/>
      </dsp:txXfrm>
    </dsp:sp>
    <dsp:sp modelId="{2A946A4C-BF21-44CF-A830-7DC4EA3E1579}">
      <dsp:nvSpPr>
        <dsp:cNvPr id="0" name=""/>
        <dsp:cNvSpPr/>
      </dsp:nvSpPr>
      <dsp:spPr>
        <a:xfrm>
          <a:off x="4508086" y="573544"/>
          <a:ext cx="712248" cy="427348"/>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AU" sz="700" kern="1200" dirty="0" smtClean="0"/>
            <a:t>Additional days off due to holiday</a:t>
          </a:r>
          <a:endParaRPr lang="en-AU" sz="700" kern="1200" dirty="0"/>
        </a:p>
      </dsp:txBody>
      <dsp:txXfrm>
        <a:off x="4520603" y="586061"/>
        <a:ext cx="687214" cy="40231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PwC">
  <a:themeElements>
    <a:clrScheme name="PwC Burgundy">
      <a:dk1>
        <a:srgbClr val="000000"/>
      </a:dk1>
      <a:lt1>
        <a:srgbClr val="FFFFFF"/>
      </a:lt1>
      <a:dk2>
        <a:srgbClr val="A32020"/>
      </a:dk2>
      <a:lt2>
        <a:srgbClr val="FFFFFF"/>
      </a:lt2>
      <a:accent1>
        <a:srgbClr val="A32020"/>
      </a:accent1>
      <a:accent2>
        <a:srgbClr val="E0301E"/>
      </a:accent2>
      <a:accent3>
        <a:srgbClr val="602320"/>
      </a:accent3>
      <a:accent4>
        <a:srgbClr val="DB536A"/>
      </a:accent4>
      <a:accent5>
        <a:srgbClr val="DC6900"/>
      </a:accent5>
      <a:accent6>
        <a:srgbClr val="968C6D"/>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a:lnSpc>
            <a:spcPts val="2400"/>
          </a:lnSpc>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AF12FF-39E5-4E38-9A9B-A0F1D049F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PwCWL_Report Georgia</Template>
  <TotalTime>7</TotalTime>
  <Pages>62</Pages>
  <Words>21024</Words>
  <Characters>116325</Characters>
  <Application>Microsoft Office Word</Application>
  <DocSecurity>8</DocSecurity>
  <Lines>969</Lines>
  <Paragraphs>274</Paragraphs>
  <ScaleCrop>false</ScaleCrop>
  <HeadingPairs>
    <vt:vector size="2" baseType="variant">
      <vt:variant>
        <vt:lpstr>Title</vt:lpstr>
      </vt:variant>
      <vt:variant>
        <vt:i4>1</vt:i4>
      </vt:variant>
    </vt:vector>
  </HeadingPairs>
  <TitlesOfParts>
    <vt:vector size="1" baseType="lpstr">
      <vt:lpstr>PwC Report</vt:lpstr>
    </vt:vector>
  </TitlesOfParts>
  <Company>PricewaterhouseCoopers</Company>
  <LinksUpToDate>false</LinksUpToDate>
  <CharactersWithSpaces>137075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PwC Report</dc:title>
  <dc:creator>Matt Dresser</dc:creator>
  <cp:lastModifiedBy>Drew Butterworth</cp:lastModifiedBy>
  <cp:revision>4</cp:revision>
  <cp:lastPrinted>2015-06-30T08:52:00Z</cp:lastPrinted>
  <dcterms:created xsi:type="dcterms:W3CDTF">2015-07-23T07:21:00Z</dcterms:created>
  <dcterms:modified xsi:type="dcterms:W3CDTF">2015-07-23T07:27:00Z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face included">
    <vt:bool>false</vt:bool>
  </property>
  <property fmtid="{D5CDD505-2E9C-101B-9397-08002B2CF9AE}" pid="3" name="ToC levels">
    <vt:i4>1</vt:i4>
  </property>
  <property fmtid="{D5CDD505-2E9C-101B-9397-08002B2CF9AE}" pid="4" name="Document format">
    <vt:lpwstr>SHORT</vt:lpwstr>
  </property>
  <property fmtid="{D5CDD505-2E9C-101B-9397-08002B2CF9AE}" pid="5" name="Chapter number">
    <vt:i4>1</vt:i4>
  </property>
  <property fmtid="{D5CDD505-2E9C-101B-9397-08002B2CF9AE}" pid="6" name="Appendix format">
    <vt:lpwstr>SHORT</vt:lpwstr>
  </property>
  <property fmtid="{D5CDD505-2E9C-101B-9397-08002B2CF9AE}" pid="7" name="Appendix number">
    <vt:i4>5</vt:i4>
  </property>
  <property fmtid="{D5CDD505-2E9C-101B-9397-08002B2CF9AE}" pid="8" name="Letterhead included">
    <vt:bool>false</vt:bool>
  </property>
  <property fmtid="{D5CDD505-2E9C-101B-9397-08002B2CF9AE}" pid="9" name="Color">
    <vt:lpwstr>sBurgundy</vt:lpwstr>
  </property>
  <property fmtid="{D5CDD505-2E9C-101B-9397-08002B2CF9AE}" pid="10" name="Numbering Style">
    <vt:bool>true</vt:bool>
  </property>
  <property fmtid="{D5CDD505-2E9C-101B-9397-08002B2CF9AE}" pid="11" name="TOC Color">
    <vt:bool>true</vt:bool>
  </property>
  <property fmtid="{D5CDD505-2E9C-101B-9397-08002B2CF9AE}" pid="12" name="Point Size">
    <vt:lpwstr>10</vt:lpwstr>
  </property>
  <property fmtid="{D5CDD505-2E9C-101B-9397-08002B2CF9AE}" pid="13" name="Font">
    <vt:lpwstr>Georgia</vt:lpwstr>
  </property>
  <property fmtid="{D5CDD505-2E9C-101B-9397-08002B2CF9AE}" pid="14" name="Portrait Document">
    <vt:bool>true</vt:bool>
  </property>
  <property fmtid="{D5CDD505-2E9C-101B-9397-08002B2CF9AE}" pid="15" name="Key Sentences">
    <vt:bool>false</vt:bool>
  </property>
  <property fmtid="{D5CDD505-2E9C-101B-9397-08002B2CF9AE}" pid="16" name="KeySentenceFormat">
    <vt:lpwstr>N1A</vt:lpwstr>
  </property>
  <property fmtid="{D5CDD505-2E9C-101B-9397-08002B2CF9AE}" pid="17" name="New Report">
    <vt:bool>false</vt:bool>
  </property>
  <property fmtid="{D5CDD505-2E9C-101B-9397-08002B2CF9AE}" pid="18" name="Mirror Margins">
    <vt:bool>false</vt:bool>
  </property>
  <property fmtid="{D5CDD505-2E9C-101B-9397-08002B2CF9AE}" pid="19" name="Number of Columns">
    <vt:i4>1</vt:i4>
  </property>
  <property fmtid="{D5CDD505-2E9C-101B-9397-08002B2CF9AE}" pid="20" name="Double">
    <vt:bool>true</vt:bool>
  </property>
  <property fmtid="{D5CDD505-2E9C-101B-9397-08002B2CF9AE}" pid="21" name="Version">
    <vt:lpwstr>2013_08_08</vt:lpwstr>
  </property>
  <property fmtid="{D5CDD505-2E9C-101B-9397-08002B2CF9AE}" pid="22" name="AP report or proposal">
    <vt:bool>true</vt:bool>
  </property>
  <property fmtid="{D5CDD505-2E9C-101B-9397-08002B2CF9AE}" pid="23" name="VersionNo">
    <vt:lpwstr>9</vt:lpwstr>
  </property>
  <property fmtid="{D5CDD505-2E9C-101B-9397-08002B2CF9AE}" pid="24" name="TopBinding">
    <vt:bool>false</vt:bool>
  </property>
  <property fmtid="{D5CDD505-2E9C-101B-9397-08002B2CF9AE}" pid="25" name="TableProperties">
    <vt:lpwstr>B1|R0.2|R0.4|R1|R1|</vt:lpwstr>
  </property>
  <property fmtid="{D5CDD505-2E9C-101B-9397-08002B2CF9AE}" pid="26" name="NotPrinted">
    <vt:bool>false</vt:bool>
  </property>
  <property fmtid="{D5CDD505-2E9C-101B-9397-08002B2CF9AE}" pid="27" name="Grid">
    <vt:bool>false</vt:bool>
  </property>
</Properties>
</file>