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027" w:rsidRDefault="00965027" w:rsidP="00965027">
      <w:pPr>
        <w:jc w:val="center"/>
        <w:rPr>
          <w:rFonts w:ascii="Arial" w:eastAsiaTheme="majorEastAsia" w:hAnsi="Arial" w:cs="Arial"/>
          <w:color w:val="000000" w:themeColor="text1"/>
          <w:sz w:val="20"/>
          <w:szCs w:val="20"/>
        </w:rPr>
      </w:pPr>
      <w:bookmarkStart w:id="0" w:name="_GoBack"/>
      <w:bookmarkEnd w:id="0"/>
    </w:p>
    <w:p w:rsidR="00B45819" w:rsidRDefault="00B45819" w:rsidP="00965027">
      <w:pPr>
        <w:jc w:val="center"/>
        <w:rPr>
          <w:rFonts w:ascii="Arial" w:eastAsiaTheme="majorEastAsia" w:hAnsi="Arial" w:cs="Arial"/>
          <w:color w:val="000000" w:themeColor="text1"/>
          <w:sz w:val="20"/>
          <w:szCs w:val="20"/>
        </w:rPr>
      </w:pPr>
    </w:p>
    <w:p w:rsidR="00B45819" w:rsidRDefault="00B45819" w:rsidP="00965027">
      <w:pPr>
        <w:jc w:val="center"/>
        <w:rPr>
          <w:rFonts w:ascii="Arial" w:eastAsiaTheme="majorEastAsia" w:hAnsi="Arial" w:cs="Arial"/>
          <w:color w:val="000000" w:themeColor="text1"/>
          <w:sz w:val="20"/>
          <w:szCs w:val="20"/>
        </w:rPr>
      </w:pPr>
    </w:p>
    <w:p w:rsidR="00B45819" w:rsidRPr="00FC6804" w:rsidRDefault="00B45819" w:rsidP="00965027">
      <w:pPr>
        <w:jc w:val="center"/>
        <w:rPr>
          <w:rFonts w:ascii="Arial" w:eastAsiaTheme="majorEastAsia" w:hAnsi="Arial" w:cs="Arial"/>
          <w:color w:val="000000" w:themeColor="text1"/>
          <w:sz w:val="20"/>
          <w:szCs w:val="20"/>
        </w:rPr>
      </w:pPr>
    </w:p>
    <w:p w:rsidR="00965027" w:rsidRPr="00FC6804" w:rsidRDefault="00965027" w:rsidP="00965027">
      <w:pPr>
        <w:jc w:val="center"/>
        <w:rPr>
          <w:rFonts w:ascii="Arial" w:eastAsiaTheme="majorEastAsia" w:hAnsi="Arial" w:cs="Arial"/>
          <w:color w:val="000000" w:themeColor="text1"/>
          <w:sz w:val="20"/>
          <w:szCs w:val="20"/>
        </w:rPr>
      </w:pPr>
      <w:r w:rsidRPr="00FC6804">
        <w:rPr>
          <w:rFonts w:ascii="Arial" w:eastAsiaTheme="majorEastAsia" w:hAnsi="Arial" w:cs="Arial"/>
          <w:noProof/>
          <w:color w:val="000000" w:themeColor="text1"/>
          <w:sz w:val="20"/>
          <w:szCs w:val="20"/>
          <w:lang w:eastAsia="en-AU"/>
        </w:rPr>
        <w:drawing>
          <wp:inline distT="0" distB="0" distL="0" distR="0" wp14:anchorId="1C6EC783" wp14:editId="60E8A0BD">
            <wp:extent cx="2914650" cy="1261221"/>
            <wp:effectExtent l="0" t="0" r="0" b="0"/>
            <wp:docPr id="2" name="Picture 2" descr="K:\Administration\Logo\PrimeSafe Logo Outline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ministration\Logo\PrimeSafe Logo Outline JPG.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0498" cy="1268079"/>
                    </a:xfrm>
                    <a:prstGeom prst="rect">
                      <a:avLst/>
                    </a:prstGeom>
                    <a:noFill/>
                    <a:ln>
                      <a:noFill/>
                    </a:ln>
                  </pic:spPr>
                </pic:pic>
              </a:graphicData>
            </a:graphic>
          </wp:inline>
        </w:drawing>
      </w:r>
    </w:p>
    <w:p w:rsidR="00965027" w:rsidRPr="00FC6804" w:rsidRDefault="00965027" w:rsidP="00965027">
      <w:pPr>
        <w:jc w:val="center"/>
        <w:rPr>
          <w:rFonts w:ascii="Arial" w:eastAsiaTheme="majorEastAsia" w:hAnsi="Arial" w:cs="Arial"/>
          <w:color w:val="000000" w:themeColor="text1"/>
          <w:sz w:val="20"/>
          <w:szCs w:val="20"/>
        </w:rPr>
      </w:pPr>
    </w:p>
    <w:p w:rsidR="00965027" w:rsidRPr="00FC6804" w:rsidRDefault="00965027" w:rsidP="00965027">
      <w:pPr>
        <w:jc w:val="center"/>
        <w:rPr>
          <w:rFonts w:ascii="Arial" w:eastAsiaTheme="majorEastAsia" w:hAnsi="Arial" w:cs="Arial"/>
          <w:color w:val="000000" w:themeColor="text1"/>
          <w:sz w:val="20"/>
          <w:szCs w:val="20"/>
        </w:rPr>
      </w:pPr>
    </w:p>
    <w:p w:rsidR="00965027" w:rsidRPr="00FC6804" w:rsidRDefault="00965027" w:rsidP="00965027">
      <w:pPr>
        <w:jc w:val="center"/>
        <w:rPr>
          <w:rFonts w:ascii="Arial" w:eastAsiaTheme="majorEastAsia" w:hAnsi="Arial" w:cs="Arial"/>
          <w:color w:val="000000" w:themeColor="text1"/>
          <w:sz w:val="20"/>
          <w:szCs w:val="20"/>
        </w:rPr>
      </w:pPr>
    </w:p>
    <w:p w:rsidR="00965027" w:rsidRPr="00FC6804" w:rsidRDefault="00965027" w:rsidP="00965027">
      <w:pPr>
        <w:jc w:val="center"/>
        <w:rPr>
          <w:rFonts w:ascii="Arial" w:eastAsiaTheme="majorEastAsia" w:hAnsi="Arial" w:cs="Arial"/>
          <w:color w:val="000000" w:themeColor="text1"/>
          <w:sz w:val="20"/>
          <w:szCs w:val="20"/>
        </w:rPr>
      </w:pPr>
    </w:p>
    <w:p w:rsidR="00965027" w:rsidRPr="00FC6804" w:rsidRDefault="00965027" w:rsidP="00965027">
      <w:pPr>
        <w:jc w:val="center"/>
        <w:rPr>
          <w:rFonts w:ascii="Arial" w:eastAsiaTheme="majorEastAsia" w:hAnsi="Arial" w:cs="Arial"/>
          <w:color w:val="000000" w:themeColor="text1"/>
          <w:sz w:val="44"/>
          <w:szCs w:val="44"/>
        </w:rPr>
      </w:pPr>
      <w:r w:rsidRPr="00FC6804">
        <w:rPr>
          <w:rFonts w:ascii="Arial" w:eastAsiaTheme="majorEastAsia" w:hAnsi="Arial" w:cs="Arial"/>
          <w:color w:val="000000" w:themeColor="text1"/>
          <w:sz w:val="44"/>
          <w:szCs w:val="44"/>
        </w:rPr>
        <w:t xml:space="preserve">Regulatory Impact Statement </w:t>
      </w:r>
    </w:p>
    <w:p w:rsidR="00965027" w:rsidRPr="00FC6804" w:rsidRDefault="00965027" w:rsidP="00965027">
      <w:pPr>
        <w:spacing w:after="0"/>
        <w:jc w:val="center"/>
        <w:rPr>
          <w:rFonts w:ascii="Arial" w:eastAsiaTheme="majorEastAsia" w:hAnsi="Arial" w:cs="Arial"/>
          <w:color w:val="000000" w:themeColor="text1"/>
          <w:sz w:val="44"/>
          <w:szCs w:val="44"/>
        </w:rPr>
      </w:pPr>
    </w:p>
    <w:p w:rsidR="00965027" w:rsidRPr="00FC6804" w:rsidRDefault="00965027" w:rsidP="00965027">
      <w:pPr>
        <w:spacing w:after="0"/>
        <w:jc w:val="center"/>
        <w:rPr>
          <w:rFonts w:ascii="Arial" w:eastAsiaTheme="majorEastAsia" w:hAnsi="Arial" w:cs="Arial"/>
          <w:color w:val="000000" w:themeColor="text1"/>
          <w:sz w:val="44"/>
          <w:szCs w:val="44"/>
        </w:rPr>
      </w:pPr>
    </w:p>
    <w:p w:rsidR="00965027" w:rsidRPr="00FC6804" w:rsidRDefault="00965027" w:rsidP="00965027">
      <w:pPr>
        <w:spacing w:after="0"/>
        <w:jc w:val="center"/>
        <w:rPr>
          <w:rFonts w:ascii="Arial" w:eastAsiaTheme="majorEastAsia" w:hAnsi="Arial" w:cs="Arial"/>
          <w:color w:val="000000" w:themeColor="text1"/>
          <w:sz w:val="44"/>
          <w:szCs w:val="44"/>
        </w:rPr>
      </w:pPr>
      <w:r w:rsidRPr="00FC6804">
        <w:rPr>
          <w:rFonts w:ascii="Arial" w:eastAsiaTheme="majorEastAsia" w:hAnsi="Arial" w:cs="Arial"/>
          <w:color w:val="000000" w:themeColor="text1"/>
          <w:sz w:val="44"/>
          <w:szCs w:val="44"/>
        </w:rPr>
        <w:t>Proposed revised fees made pursuant to the</w:t>
      </w:r>
    </w:p>
    <w:p w:rsidR="00965027" w:rsidRPr="00FC6804" w:rsidRDefault="00965027" w:rsidP="00965027">
      <w:pPr>
        <w:spacing w:after="0"/>
        <w:jc w:val="center"/>
        <w:rPr>
          <w:rFonts w:ascii="Arial" w:eastAsiaTheme="majorEastAsia" w:hAnsi="Arial" w:cs="Arial"/>
          <w:i/>
          <w:color w:val="000000" w:themeColor="text1"/>
          <w:sz w:val="44"/>
          <w:szCs w:val="44"/>
        </w:rPr>
      </w:pPr>
      <w:r w:rsidRPr="00FC6804">
        <w:rPr>
          <w:rFonts w:ascii="Arial" w:eastAsiaTheme="majorEastAsia" w:hAnsi="Arial" w:cs="Arial"/>
          <w:i/>
          <w:color w:val="000000" w:themeColor="text1"/>
          <w:sz w:val="44"/>
          <w:szCs w:val="44"/>
        </w:rPr>
        <w:t>Meat Industry Act 1993</w:t>
      </w:r>
      <w:r w:rsidRPr="00FC6804">
        <w:rPr>
          <w:rFonts w:ascii="Arial" w:eastAsiaTheme="majorEastAsia" w:hAnsi="Arial" w:cs="Arial"/>
          <w:color w:val="000000" w:themeColor="text1"/>
          <w:sz w:val="44"/>
          <w:szCs w:val="44"/>
        </w:rPr>
        <w:t xml:space="preserve"> </w:t>
      </w:r>
    </w:p>
    <w:p w:rsidR="00965027" w:rsidRPr="00FC6804" w:rsidRDefault="00965027" w:rsidP="00965027">
      <w:pPr>
        <w:rPr>
          <w:rFonts w:ascii="Arial" w:eastAsiaTheme="majorEastAsia" w:hAnsi="Arial" w:cs="Arial"/>
          <w:i/>
          <w:color w:val="000000" w:themeColor="text1"/>
          <w:sz w:val="20"/>
          <w:szCs w:val="20"/>
        </w:rPr>
      </w:pPr>
    </w:p>
    <w:p w:rsidR="00965027" w:rsidRPr="00FC6804" w:rsidRDefault="00965027" w:rsidP="00965027">
      <w:pPr>
        <w:rPr>
          <w:rFonts w:ascii="Arial" w:eastAsiaTheme="majorEastAsia" w:hAnsi="Arial" w:cs="Arial"/>
          <w:i/>
          <w:color w:val="000000" w:themeColor="text1"/>
          <w:sz w:val="20"/>
          <w:szCs w:val="20"/>
        </w:rPr>
      </w:pPr>
    </w:p>
    <w:p w:rsidR="00965027" w:rsidRPr="00FC6804" w:rsidRDefault="00965027" w:rsidP="00965027">
      <w:pPr>
        <w:rPr>
          <w:rFonts w:ascii="Arial" w:eastAsiaTheme="majorEastAsia" w:hAnsi="Arial" w:cs="Arial"/>
          <w:i/>
          <w:color w:val="000000" w:themeColor="text1"/>
          <w:sz w:val="20"/>
          <w:szCs w:val="20"/>
        </w:rPr>
      </w:pPr>
    </w:p>
    <w:p w:rsidR="00965027" w:rsidRPr="00FC6804" w:rsidRDefault="00965027" w:rsidP="00965027">
      <w:pPr>
        <w:rPr>
          <w:rFonts w:ascii="Arial" w:eastAsiaTheme="majorEastAsia" w:hAnsi="Arial" w:cs="Arial"/>
          <w:i/>
          <w:color w:val="000000" w:themeColor="text1"/>
          <w:sz w:val="20"/>
          <w:szCs w:val="20"/>
        </w:rPr>
      </w:pPr>
    </w:p>
    <w:p w:rsidR="00965027" w:rsidRPr="00FC6804" w:rsidRDefault="00965027" w:rsidP="00965027">
      <w:pPr>
        <w:jc w:val="center"/>
        <w:rPr>
          <w:rFonts w:ascii="Arial" w:hAnsi="Arial" w:cs="Arial"/>
          <w:color w:val="000000" w:themeColor="text1"/>
          <w:sz w:val="20"/>
          <w:szCs w:val="20"/>
        </w:rPr>
      </w:pPr>
    </w:p>
    <w:p w:rsidR="00965027" w:rsidRPr="00FC6804" w:rsidRDefault="00965027" w:rsidP="00965027">
      <w:pPr>
        <w:jc w:val="center"/>
        <w:rPr>
          <w:rFonts w:ascii="Arial" w:hAnsi="Arial" w:cs="Arial"/>
          <w:color w:val="000000" w:themeColor="text1"/>
          <w:sz w:val="20"/>
          <w:szCs w:val="20"/>
        </w:rPr>
      </w:pPr>
    </w:p>
    <w:p w:rsidR="00965027" w:rsidRPr="00FC6804" w:rsidRDefault="00965027" w:rsidP="00965027">
      <w:pPr>
        <w:jc w:val="center"/>
        <w:rPr>
          <w:rFonts w:ascii="Arial" w:hAnsi="Arial" w:cs="Arial"/>
          <w:color w:val="000000" w:themeColor="text1"/>
          <w:sz w:val="28"/>
          <w:szCs w:val="28"/>
        </w:rPr>
      </w:pPr>
      <w:r w:rsidRPr="00FC6804">
        <w:rPr>
          <w:rFonts w:ascii="Arial" w:hAnsi="Arial" w:cs="Arial"/>
          <w:color w:val="000000" w:themeColor="text1"/>
          <w:sz w:val="28"/>
          <w:szCs w:val="28"/>
        </w:rPr>
        <w:t>February 2016</w:t>
      </w:r>
    </w:p>
    <w:p w:rsidR="00D47ADE" w:rsidRPr="00FC6804" w:rsidRDefault="00D47ADE" w:rsidP="00D47ADE"/>
    <w:p w:rsidR="00D47ADE" w:rsidRPr="00FC6804" w:rsidRDefault="00D47ADE" w:rsidP="00D47ADE"/>
    <w:p w:rsidR="00D47ADE" w:rsidRPr="00FC6804" w:rsidRDefault="00D47ADE" w:rsidP="00D47ADE"/>
    <w:p w:rsidR="00D47ADE" w:rsidRPr="00FC6804" w:rsidRDefault="00D47ADE" w:rsidP="00D47ADE"/>
    <w:p w:rsidR="00D47ADE" w:rsidRPr="00FC6804" w:rsidRDefault="00D47ADE" w:rsidP="00D47ADE"/>
    <w:p w:rsidR="00D47ADE" w:rsidRPr="00FC6804" w:rsidRDefault="00D47ADE" w:rsidP="00D47ADE"/>
    <w:p w:rsidR="00965027" w:rsidRPr="00FC6804" w:rsidRDefault="00965027" w:rsidP="00D47ADE">
      <w:pPr>
        <w:sectPr w:rsidR="00965027" w:rsidRPr="00FC6804" w:rsidSect="0054728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567" w:footer="567" w:gutter="0"/>
          <w:cols w:space="708"/>
          <w:titlePg/>
          <w:docGrid w:linePitch="360"/>
        </w:sectPr>
      </w:pPr>
    </w:p>
    <w:p w:rsidR="006B0FCF" w:rsidRPr="00FC6804" w:rsidRDefault="008133FC" w:rsidP="006B0FCF">
      <w:pPr>
        <w:spacing w:after="0" w:line="240" w:lineRule="auto"/>
        <w:rPr>
          <w:rFonts w:ascii="Arial" w:hAnsi="Arial" w:cs="Arial"/>
          <w:sz w:val="20"/>
          <w:szCs w:val="20"/>
        </w:rPr>
      </w:pPr>
      <w:bookmarkStart w:id="1" w:name="_Toc440986210"/>
      <w:r w:rsidRPr="00FC6804">
        <w:rPr>
          <w:rFonts w:ascii="Arial" w:hAnsi="Arial" w:cs="Arial"/>
          <w:sz w:val="20"/>
          <w:szCs w:val="20"/>
        </w:rPr>
        <w:lastRenderedPageBreak/>
        <w:t xml:space="preserve">This Regulatory Impact Statement has been prepared to fulfil the requirements of the </w:t>
      </w:r>
      <w:r w:rsidRPr="00FC6804">
        <w:rPr>
          <w:rFonts w:ascii="Arial" w:hAnsi="Arial" w:cs="Arial"/>
          <w:i/>
          <w:sz w:val="20"/>
          <w:szCs w:val="20"/>
        </w:rPr>
        <w:t>Subordinate Legislation Act 1994</w:t>
      </w:r>
      <w:r w:rsidRPr="00FC6804">
        <w:rPr>
          <w:rFonts w:ascii="Arial" w:hAnsi="Arial" w:cs="Arial"/>
          <w:sz w:val="20"/>
          <w:szCs w:val="20"/>
        </w:rPr>
        <w:t xml:space="preserve"> and to facilitate public consultation on </w:t>
      </w:r>
      <w:r w:rsidR="007567A1">
        <w:rPr>
          <w:rFonts w:ascii="Arial" w:hAnsi="Arial" w:cs="Arial"/>
          <w:sz w:val="20"/>
          <w:szCs w:val="20"/>
        </w:rPr>
        <w:t>the</w:t>
      </w:r>
      <w:r w:rsidR="00CF1F26">
        <w:rPr>
          <w:rFonts w:ascii="Arial" w:hAnsi="Arial" w:cs="Arial"/>
          <w:sz w:val="20"/>
          <w:szCs w:val="20"/>
        </w:rPr>
        <w:t xml:space="preserve"> proposed revisions to PrimeSafe licence fees for the meat, seaf</w:t>
      </w:r>
      <w:r w:rsidR="008F3DF2">
        <w:rPr>
          <w:rFonts w:ascii="Arial" w:hAnsi="Arial" w:cs="Arial"/>
          <w:sz w:val="20"/>
          <w:szCs w:val="20"/>
        </w:rPr>
        <w:t xml:space="preserve">ood and poultry industries including </w:t>
      </w:r>
      <w:r w:rsidR="00CF1F26">
        <w:rPr>
          <w:rFonts w:ascii="Arial" w:hAnsi="Arial" w:cs="Arial"/>
          <w:sz w:val="20"/>
          <w:szCs w:val="20"/>
        </w:rPr>
        <w:t xml:space="preserve">meat transport vehicle licences. </w:t>
      </w:r>
    </w:p>
    <w:p w:rsidR="008133FC" w:rsidRPr="00FC6804" w:rsidRDefault="008133FC" w:rsidP="006B0FCF">
      <w:pPr>
        <w:spacing w:after="0" w:line="240" w:lineRule="auto"/>
        <w:rPr>
          <w:rFonts w:ascii="Arial" w:hAnsi="Arial" w:cs="Arial"/>
          <w:sz w:val="20"/>
          <w:szCs w:val="20"/>
        </w:rPr>
      </w:pPr>
      <w:r w:rsidRPr="00FC6804">
        <w:rPr>
          <w:rFonts w:ascii="Arial" w:hAnsi="Arial" w:cs="Arial"/>
          <w:sz w:val="20"/>
          <w:szCs w:val="20"/>
        </w:rPr>
        <w:t xml:space="preserve">  </w:t>
      </w:r>
    </w:p>
    <w:p w:rsidR="00CF1F26" w:rsidRDefault="008133FC" w:rsidP="006B0FCF">
      <w:pPr>
        <w:spacing w:after="0" w:line="240" w:lineRule="auto"/>
        <w:rPr>
          <w:rFonts w:ascii="Arial" w:hAnsi="Arial" w:cs="Arial"/>
          <w:sz w:val="20"/>
          <w:szCs w:val="20"/>
        </w:rPr>
      </w:pPr>
      <w:r w:rsidRPr="00FC6804">
        <w:rPr>
          <w:rFonts w:ascii="Arial" w:hAnsi="Arial" w:cs="Arial"/>
          <w:sz w:val="20"/>
          <w:szCs w:val="20"/>
        </w:rPr>
        <w:t>The Victorian Government seeks to ensure that proposed regulations are well</w:t>
      </w:r>
      <w:r w:rsidRPr="00FC6804">
        <w:rPr>
          <w:rFonts w:ascii="Cambria Math" w:hAnsi="Cambria Math" w:cs="Cambria Math"/>
          <w:sz w:val="20"/>
          <w:szCs w:val="20"/>
        </w:rPr>
        <w:t>‐</w:t>
      </w:r>
      <w:r w:rsidRPr="00FC6804">
        <w:rPr>
          <w:rFonts w:ascii="Arial" w:hAnsi="Arial" w:cs="Arial"/>
          <w:sz w:val="20"/>
          <w:szCs w:val="20"/>
        </w:rPr>
        <w:t>targeted, effective and appropriate, and impose the lowest possible burden on Victorian businesses, i</w:t>
      </w:r>
      <w:r w:rsidR="00FE7BDE" w:rsidRPr="00FC6804">
        <w:rPr>
          <w:rFonts w:ascii="Arial" w:hAnsi="Arial" w:cs="Arial"/>
          <w:sz w:val="20"/>
          <w:szCs w:val="20"/>
        </w:rPr>
        <w:t xml:space="preserve">ndividuals and the community. </w:t>
      </w:r>
      <w:r w:rsidRPr="00FC6804">
        <w:rPr>
          <w:rFonts w:ascii="Arial" w:hAnsi="Arial" w:cs="Arial"/>
          <w:sz w:val="20"/>
          <w:szCs w:val="20"/>
        </w:rPr>
        <w:t xml:space="preserve">A key function of the </w:t>
      </w:r>
      <w:r w:rsidR="00BB5D16" w:rsidRPr="00FC6804">
        <w:rPr>
          <w:rFonts w:ascii="Arial" w:hAnsi="Arial" w:cs="Arial"/>
          <w:sz w:val="20"/>
          <w:szCs w:val="20"/>
        </w:rPr>
        <w:t xml:space="preserve">Regulatory Impact Statement </w:t>
      </w:r>
      <w:r w:rsidRPr="00FC6804">
        <w:rPr>
          <w:rFonts w:ascii="Arial" w:hAnsi="Arial" w:cs="Arial"/>
          <w:sz w:val="20"/>
          <w:szCs w:val="20"/>
        </w:rPr>
        <w:t xml:space="preserve">process is to provide members of the public with the opportunity to comment on proposed legislative instruments before they are finalised. Such public input can provide valuable information and perspectives, and thus improve the overall quality of the </w:t>
      </w:r>
      <w:r w:rsidR="006E1865" w:rsidRPr="00FC6804">
        <w:rPr>
          <w:rFonts w:ascii="Arial" w:hAnsi="Arial" w:cs="Arial"/>
          <w:sz w:val="20"/>
          <w:szCs w:val="20"/>
        </w:rPr>
        <w:t>legislative instruments</w:t>
      </w:r>
      <w:r w:rsidRPr="00FC6804">
        <w:rPr>
          <w:rFonts w:ascii="Arial" w:hAnsi="Arial" w:cs="Arial"/>
          <w:sz w:val="20"/>
          <w:szCs w:val="20"/>
        </w:rPr>
        <w:t xml:space="preserve">. A copy of the proposed </w:t>
      </w:r>
      <w:r w:rsidR="006E1865" w:rsidRPr="00FC6804">
        <w:rPr>
          <w:rFonts w:ascii="Arial" w:hAnsi="Arial" w:cs="Arial"/>
          <w:sz w:val="20"/>
          <w:szCs w:val="20"/>
        </w:rPr>
        <w:t>fee schedule</w:t>
      </w:r>
      <w:r w:rsidR="00BB5D16">
        <w:rPr>
          <w:rFonts w:ascii="Arial" w:hAnsi="Arial" w:cs="Arial"/>
          <w:sz w:val="20"/>
          <w:szCs w:val="20"/>
        </w:rPr>
        <w:t>s</w:t>
      </w:r>
      <w:r w:rsidRPr="00FC6804">
        <w:rPr>
          <w:rFonts w:ascii="Arial" w:hAnsi="Arial" w:cs="Arial"/>
          <w:sz w:val="20"/>
          <w:szCs w:val="20"/>
        </w:rPr>
        <w:t xml:space="preserve"> </w:t>
      </w:r>
      <w:r w:rsidR="00BB5D16">
        <w:rPr>
          <w:rFonts w:ascii="Arial" w:hAnsi="Arial" w:cs="Arial"/>
          <w:sz w:val="20"/>
          <w:szCs w:val="20"/>
        </w:rPr>
        <w:t xml:space="preserve">is </w:t>
      </w:r>
      <w:r w:rsidRPr="00FC6804">
        <w:rPr>
          <w:rFonts w:ascii="Arial" w:hAnsi="Arial" w:cs="Arial"/>
          <w:sz w:val="20"/>
          <w:szCs w:val="20"/>
        </w:rPr>
        <w:t xml:space="preserve">provided </w:t>
      </w:r>
      <w:r w:rsidR="006B0FCF" w:rsidRPr="00FC6804">
        <w:rPr>
          <w:rFonts w:ascii="Arial" w:hAnsi="Arial" w:cs="Arial"/>
          <w:sz w:val="20"/>
          <w:szCs w:val="20"/>
        </w:rPr>
        <w:t xml:space="preserve">as an attachment to this </w:t>
      </w:r>
      <w:r w:rsidR="00BB5D16" w:rsidRPr="00FC6804">
        <w:rPr>
          <w:rFonts w:ascii="Arial" w:hAnsi="Arial" w:cs="Arial"/>
          <w:sz w:val="20"/>
          <w:szCs w:val="20"/>
        </w:rPr>
        <w:t>Regulatory Impact Statement</w:t>
      </w:r>
      <w:r w:rsidR="006B0FCF" w:rsidRPr="00FC6804">
        <w:rPr>
          <w:rFonts w:ascii="Arial" w:hAnsi="Arial" w:cs="Arial"/>
          <w:sz w:val="20"/>
          <w:szCs w:val="20"/>
        </w:rPr>
        <w:t xml:space="preserve">. </w:t>
      </w:r>
    </w:p>
    <w:p w:rsidR="00CF1F26" w:rsidRDefault="00CF1F26" w:rsidP="006B0FCF">
      <w:pPr>
        <w:spacing w:after="0" w:line="240" w:lineRule="auto"/>
        <w:rPr>
          <w:rFonts w:ascii="Arial" w:hAnsi="Arial" w:cs="Arial"/>
          <w:sz w:val="20"/>
          <w:szCs w:val="20"/>
        </w:rPr>
      </w:pPr>
    </w:p>
    <w:p w:rsidR="006B0FCF" w:rsidRDefault="008133FC" w:rsidP="006B0FCF">
      <w:pPr>
        <w:spacing w:after="0" w:line="240" w:lineRule="auto"/>
        <w:rPr>
          <w:rFonts w:ascii="Arial" w:hAnsi="Arial" w:cs="Arial"/>
          <w:sz w:val="20"/>
          <w:szCs w:val="20"/>
        </w:rPr>
      </w:pPr>
      <w:r w:rsidRPr="00FC6804">
        <w:rPr>
          <w:rFonts w:ascii="Arial" w:hAnsi="Arial" w:cs="Arial"/>
          <w:sz w:val="20"/>
          <w:szCs w:val="20"/>
        </w:rPr>
        <w:t xml:space="preserve">Public comments and submissions are invited on the proposed </w:t>
      </w:r>
      <w:r w:rsidR="006E1865" w:rsidRPr="00FC6804">
        <w:rPr>
          <w:rFonts w:ascii="Arial" w:hAnsi="Arial" w:cs="Arial"/>
          <w:sz w:val="20"/>
          <w:szCs w:val="20"/>
        </w:rPr>
        <w:t>fee schedule</w:t>
      </w:r>
      <w:r w:rsidR="00BB5D16">
        <w:rPr>
          <w:rFonts w:ascii="Arial" w:hAnsi="Arial" w:cs="Arial"/>
          <w:sz w:val="20"/>
          <w:szCs w:val="20"/>
        </w:rPr>
        <w:t>s</w:t>
      </w:r>
      <w:r w:rsidRPr="00FC6804">
        <w:rPr>
          <w:rFonts w:ascii="Arial" w:hAnsi="Arial" w:cs="Arial"/>
          <w:sz w:val="20"/>
          <w:szCs w:val="20"/>
        </w:rPr>
        <w:t xml:space="preserve"> and </w:t>
      </w:r>
      <w:r w:rsidR="006E1865" w:rsidRPr="00FC6804">
        <w:rPr>
          <w:rFonts w:ascii="Arial" w:hAnsi="Arial" w:cs="Arial"/>
          <w:sz w:val="20"/>
          <w:szCs w:val="20"/>
        </w:rPr>
        <w:t>the</w:t>
      </w:r>
      <w:r w:rsidRPr="00FC6804">
        <w:rPr>
          <w:rFonts w:ascii="Arial" w:hAnsi="Arial" w:cs="Arial"/>
          <w:sz w:val="20"/>
          <w:szCs w:val="20"/>
        </w:rPr>
        <w:t xml:space="preserve"> in</w:t>
      </w:r>
      <w:r w:rsidR="00FE7BDE" w:rsidRPr="00FC6804">
        <w:rPr>
          <w:rFonts w:ascii="Arial" w:hAnsi="Arial" w:cs="Arial"/>
          <w:sz w:val="20"/>
          <w:szCs w:val="20"/>
        </w:rPr>
        <w:t xml:space="preserve">formation provided in this </w:t>
      </w:r>
      <w:r w:rsidR="00BB5D16" w:rsidRPr="00FC6804">
        <w:rPr>
          <w:rFonts w:ascii="Arial" w:hAnsi="Arial" w:cs="Arial"/>
          <w:sz w:val="20"/>
          <w:szCs w:val="20"/>
        </w:rPr>
        <w:t>Regulatory Impact Statement</w:t>
      </w:r>
      <w:r w:rsidR="00FE7BDE" w:rsidRPr="00FC6804">
        <w:rPr>
          <w:rFonts w:ascii="Arial" w:hAnsi="Arial" w:cs="Arial"/>
          <w:sz w:val="20"/>
          <w:szCs w:val="20"/>
        </w:rPr>
        <w:t xml:space="preserve">. </w:t>
      </w:r>
    </w:p>
    <w:p w:rsidR="008E452E" w:rsidRPr="00FC6804" w:rsidRDefault="008E452E" w:rsidP="006B0FCF">
      <w:pPr>
        <w:spacing w:after="0" w:line="240" w:lineRule="auto"/>
        <w:rPr>
          <w:rFonts w:ascii="Arial" w:hAnsi="Arial" w:cs="Arial"/>
          <w:sz w:val="20"/>
          <w:szCs w:val="20"/>
        </w:rPr>
      </w:pPr>
    </w:p>
    <w:p w:rsidR="008E452E" w:rsidRDefault="008E452E" w:rsidP="008E452E">
      <w:pPr>
        <w:spacing w:after="0" w:line="240" w:lineRule="auto"/>
        <w:rPr>
          <w:rFonts w:ascii="Arial" w:hAnsi="Arial" w:cs="Arial"/>
          <w:color w:val="000000" w:themeColor="text1"/>
          <w:sz w:val="20"/>
          <w:szCs w:val="20"/>
        </w:rPr>
      </w:pPr>
      <w:r>
        <w:rPr>
          <w:rFonts w:ascii="Arial" w:hAnsi="Arial" w:cs="Arial"/>
          <w:color w:val="000000" w:themeColor="text1"/>
          <w:sz w:val="20"/>
          <w:szCs w:val="20"/>
        </w:rPr>
        <w:t xml:space="preserve">All </w:t>
      </w:r>
      <w:r w:rsidRPr="00CC4F09">
        <w:rPr>
          <w:rFonts w:ascii="Arial" w:hAnsi="Arial" w:cs="Arial"/>
          <w:color w:val="000000" w:themeColor="text1"/>
          <w:sz w:val="20"/>
          <w:szCs w:val="20"/>
        </w:rPr>
        <w:t xml:space="preserve">submissions </w:t>
      </w:r>
      <w:r>
        <w:rPr>
          <w:rFonts w:ascii="Arial" w:hAnsi="Arial" w:cs="Arial"/>
          <w:color w:val="000000" w:themeColor="text1"/>
          <w:sz w:val="20"/>
          <w:szCs w:val="20"/>
        </w:rPr>
        <w:t xml:space="preserve">must be in writing and </w:t>
      </w:r>
      <w:r w:rsidRPr="00CC4F09">
        <w:rPr>
          <w:rFonts w:ascii="Arial" w:hAnsi="Arial" w:cs="Arial"/>
          <w:color w:val="000000" w:themeColor="text1"/>
          <w:sz w:val="20"/>
          <w:szCs w:val="20"/>
        </w:rPr>
        <w:t xml:space="preserve">be received </w:t>
      </w:r>
      <w:r>
        <w:rPr>
          <w:rFonts w:ascii="Arial" w:hAnsi="Arial" w:cs="Arial"/>
          <w:color w:val="000000" w:themeColor="text1"/>
          <w:sz w:val="20"/>
          <w:szCs w:val="20"/>
        </w:rPr>
        <w:t>no later than</w:t>
      </w:r>
      <w:r w:rsidRPr="00CC4F09">
        <w:rPr>
          <w:rFonts w:ascii="Arial" w:hAnsi="Arial" w:cs="Arial"/>
          <w:color w:val="000000" w:themeColor="text1"/>
          <w:sz w:val="20"/>
          <w:szCs w:val="20"/>
        </w:rPr>
        <w:t xml:space="preserve"> 5.00pm on </w:t>
      </w:r>
      <w:r>
        <w:rPr>
          <w:rFonts w:ascii="Arial" w:hAnsi="Arial" w:cs="Arial"/>
          <w:color w:val="000000" w:themeColor="text1"/>
          <w:sz w:val="20"/>
          <w:szCs w:val="20"/>
        </w:rPr>
        <w:t xml:space="preserve">Thursday </w:t>
      </w:r>
      <w:r w:rsidRPr="00CC4F09">
        <w:rPr>
          <w:rFonts w:ascii="Arial" w:hAnsi="Arial" w:cs="Arial"/>
          <w:color w:val="000000" w:themeColor="text1"/>
          <w:sz w:val="20"/>
          <w:szCs w:val="20"/>
        </w:rPr>
        <w:t>2</w:t>
      </w:r>
      <w:r>
        <w:rPr>
          <w:rFonts w:ascii="Arial" w:hAnsi="Arial" w:cs="Arial"/>
          <w:color w:val="000000" w:themeColor="text1"/>
          <w:sz w:val="20"/>
          <w:szCs w:val="20"/>
        </w:rPr>
        <w:t>4</w:t>
      </w:r>
      <w:r w:rsidRPr="00CC4F09">
        <w:rPr>
          <w:rFonts w:ascii="Arial" w:hAnsi="Arial" w:cs="Arial"/>
          <w:color w:val="000000" w:themeColor="text1"/>
          <w:sz w:val="20"/>
          <w:szCs w:val="20"/>
        </w:rPr>
        <w:t xml:space="preserve"> March 201</w:t>
      </w:r>
      <w:r>
        <w:rPr>
          <w:rFonts w:ascii="Arial" w:hAnsi="Arial" w:cs="Arial"/>
          <w:color w:val="000000" w:themeColor="text1"/>
          <w:sz w:val="20"/>
          <w:szCs w:val="20"/>
        </w:rPr>
        <w:t xml:space="preserve">6. </w:t>
      </w:r>
    </w:p>
    <w:p w:rsidR="008E452E" w:rsidRDefault="008E452E" w:rsidP="008E452E">
      <w:pPr>
        <w:spacing w:after="0" w:line="240" w:lineRule="auto"/>
        <w:rPr>
          <w:rFonts w:ascii="Arial" w:hAnsi="Arial" w:cs="Arial"/>
          <w:color w:val="000000" w:themeColor="text1"/>
          <w:sz w:val="20"/>
          <w:szCs w:val="20"/>
        </w:rPr>
      </w:pPr>
    </w:p>
    <w:p w:rsidR="008E452E" w:rsidRPr="008E452E" w:rsidRDefault="008E452E" w:rsidP="008E452E">
      <w:pPr>
        <w:spacing w:after="0" w:line="240" w:lineRule="auto"/>
        <w:ind w:left="720"/>
        <w:rPr>
          <w:rFonts w:ascii="Arial" w:hAnsi="Arial" w:cs="Arial"/>
          <w:color w:val="000000" w:themeColor="text1"/>
          <w:sz w:val="20"/>
          <w:szCs w:val="20"/>
        </w:rPr>
      </w:pPr>
      <w:r w:rsidRPr="008E452E">
        <w:rPr>
          <w:rFonts w:ascii="Arial" w:hAnsi="Arial" w:cs="Arial"/>
          <w:color w:val="000000" w:themeColor="text1"/>
          <w:sz w:val="20"/>
          <w:szCs w:val="20"/>
        </w:rPr>
        <w:t xml:space="preserve">Email: </w:t>
      </w:r>
      <w:hyperlink r:id="rId16" w:history="1">
        <w:r w:rsidRPr="008E452E">
          <w:rPr>
            <w:rStyle w:val="Hyperlink"/>
            <w:rFonts w:ascii="Arial" w:hAnsi="Arial" w:cs="Arial"/>
            <w:color w:val="000000" w:themeColor="text1"/>
            <w:sz w:val="20"/>
            <w:szCs w:val="20"/>
            <w:u w:val="none"/>
          </w:rPr>
          <w:t>risfeedback@primesafe.vic.gov.au</w:t>
        </w:r>
      </w:hyperlink>
    </w:p>
    <w:p w:rsidR="008E452E" w:rsidRDefault="008E452E" w:rsidP="008E452E">
      <w:pPr>
        <w:spacing w:after="0" w:line="240" w:lineRule="auto"/>
        <w:ind w:left="720"/>
        <w:rPr>
          <w:rFonts w:ascii="Arial" w:hAnsi="Arial" w:cs="Arial"/>
          <w:color w:val="000000" w:themeColor="text1"/>
          <w:sz w:val="20"/>
          <w:szCs w:val="20"/>
        </w:rPr>
      </w:pPr>
    </w:p>
    <w:p w:rsidR="008E452E" w:rsidRPr="00CC4F09" w:rsidRDefault="008E452E" w:rsidP="008E452E">
      <w:pPr>
        <w:spacing w:after="0" w:line="240" w:lineRule="auto"/>
        <w:ind w:left="720"/>
        <w:rPr>
          <w:rFonts w:ascii="Arial" w:hAnsi="Arial" w:cs="Arial"/>
          <w:color w:val="000000" w:themeColor="text1"/>
          <w:sz w:val="20"/>
          <w:szCs w:val="20"/>
        </w:rPr>
      </w:pPr>
      <w:r>
        <w:rPr>
          <w:rFonts w:ascii="Arial" w:hAnsi="Arial" w:cs="Arial"/>
          <w:color w:val="000000" w:themeColor="text1"/>
          <w:sz w:val="20"/>
          <w:szCs w:val="20"/>
        </w:rPr>
        <w:t xml:space="preserve">Post: PrimeSafe, </w:t>
      </w:r>
      <w:r w:rsidRPr="00CC4F09">
        <w:rPr>
          <w:rFonts w:ascii="Arial" w:hAnsi="Arial" w:cs="Arial"/>
          <w:color w:val="000000" w:themeColor="text1"/>
          <w:sz w:val="20"/>
          <w:szCs w:val="20"/>
        </w:rPr>
        <w:t xml:space="preserve">PO Box 2057, South Melbourne, VIC, 3205.   </w:t>
      </w:r>
    </w:p>
    <w:p w:rsidR="008E452E" w:rsidRDefault="008E452E" w:rsidP="008E452E">
      <w:pPr>
        <w:spacing w:after="0" w:line="240" w:lineRule="auto"/>
        <w:rPr>
          <w:rFonts w:ascii="Arial" w:hAnsi="Arial" w:cs="Arial"/>
          <w:sz w:val="20"/>
          <w:szCs w:val="20"/>
        </w:rPr>
      </w:pPr>
    </w:p>
    <w:p w:rsidR="000A76A4" w:rsidRDefault="008E452E" w:rsidP="008E452E">
      <w:pPr>
        <w:spacing w:after="0" w:line="240" w:lineRule="auto"/>
        <w:rPr>
          <w:rFonts w:ascii="Arial" w:hAnsi="Arial" w:cs="Arial"/>
          <w:sz w:val="20"/>
          <w:szCs w:val="20"/>
        </w:rPr>
      </w:pPr>
      <w:r w:rsidRPr="00711261">
        <w:rPr>
          <w:rFonts w:ascii="Arial" w:hAnsi="Arial" w:cs="Arial"/>
          <w:sz w:val="20"/>
          <w:szCs w:val="20"/>
        </w:rPr>
        <w:t>All submissions will be treated as public documents unless confidentiality is requested.</w:t>
      </w:r>
    </w:p>
    <w:p w:rsidR="000A76A4" w:rsidRDefault="000A76A4" w:rsidP="006B0FCF">
      <w:pPr>
        <w:spacing w:after="0" w:line="240" w:lineRule="auto"/>
        <w:rPr>
          <w:rFonts w:ascii="Arial" w:hAnsi="Arial" w:cs="Arial"/>
          <w:sz w:val="20"/>
          <w:szCs w:val="20"/>
        </w:rPr>
      </w:pPr>
    </w:p>
    <w:p w:rsidR="00C9023F" w:rsidRDefault="00C9023F" w:rsidP="006B0FCF">
      <w:pPr>
        <w:spacing w:after="0" w:line="240" w:lineRule="auto"/>
        <w:rPr>
          <w:rFonts w:ascii="Arial" w:hAnsi="Arial" w:cs="Arial"/>
          <w:sz w:val="20"/>
          <w:szCs w:val="20"/>
        </w:rPr>
      </w:pPr>
    </w:p>
    <w:p w:rsidR="00C9023F" w:rsidRDefault="00C9023F" w:rsidP="006B0FCF">
      <w:pPr>
        <w:spacing w:after="0" w:line="240" w:lineRule="auto"/>
        <w:rPr>
          <w:rFonts w:ascii="Arial" w:hAnsi="Arial" w:cs="Arial"/>
          <w:sz w:val="20"/>
          <w:szCs w:val="20"/>
        </w:rPr>
      </w:pPr>
    </w:p>
    <w:p w:rsidR="00C9023F" w:rsidRDefault="00C9023F" w:rsidP="006B0FCF">
      <w:pPr>
        <w:spacing w:after="0" w:line="240" w:lineRule="auto"/>
        <w:rPr>
          <w:rFonts w:ascii="Arial" w:hAnsi="Arial" w:cs="Arial"/>
          <w:sz w:val="20"/>
          <w:szCs w:val="20"/>
        </w:rPr>
      </w:pPr>
    </w:p>
    <w:p w:rsidR="00C9023F" w:rsidRDefault="00C9023F" w:rsidP="006B0FCF">
      <w:pPr>
        <w:spacing w:after="0" w:line="240" w:lineRule="auto"/>
        <w:rPr>
          <w:rFonts w:ascii="Arial" w:hAnsi="Arial" w:cs="Arial"/>
          <w:sz w:val="20"/>
          <w:szCs w:val="20"/>
        </w:rPr>
      </w:pPr>
    </w:p>
    <w:p w:rsidR="00C9023F" w:rsidRDefault="00C9023F" w:rsidP="006B0FCF">
      <w:pPr>
        <w:spacing w:after="0" w:line="240" w:lineRule="auto"/>
        <w:rPr>
          <w:rFonts w:ascii="Arial" w:hAnsi="Arial" w:cs="Arial"/>
          <w:sz w:val="20"/>
          <w:szCs w:val="20"/>
        </w:rPr>
      </w:pPr>
    </w:p>
    <w:p w:rsidR="00C9023F" w:rsidRDefault="00C9023F" w:rsidP="006B0FCF">
      <w:pPr>
        <w:spacing w:after="0" w:line="240" w:lineRule="auto"/>
        <w:rPr>
          <w:rFonts w:ascii="Arial" w:hAnsi="Arial" w:cs="Arial"/>
          <w:sz w:val="20"/>
          <w:szCs w:val="20"/>
        </w:rPr>
      </w:pPr>
    </w:p>
    <w:p w:rsidR="00C9023F" w:rsidRDefault="00C9023F" w:rsidP="006B0FCF">
      <w:pPr>
        <w:spacing w:after="0" w:line="240" w:lineRule="auto"/>
        <w:rPr>
          <w:rFonts w:ascii="Arial" w:hAnsi="Arial" w:cs="Arial"/>
          <w:sz w:val="20"/>
          <w:szCs w:val="20"/>
        </w:rPr>
      </w:pPr>
    </w:p>
    <w:p w:rsidR="00C9023F" w:rsidRDefault="00C9023F" w:rsidP="006B0FCF">
      <w:pPr>
        <w:spacing w:after="0" w:line="240" w:lineRule="auto"/>
        <w:rPr>
          <w:rFonts w:ascii="Arial" w:hAnsi="Arial" w:cs="Arial"/>
          <w:sz w:val="20"/>
          <w:szCs w:val="20"/>
        </w:rPr>
      </w:pPr>
    </w:p>
    <w:p w:rsidR="00C9023F" w:rsidRDefault="00C9023F" w:rsidP="006B0FCF">
      <w:pPr>
        <w:spacing w:after="0" w:line="240" w:lineRule="auto"/>
        <w:rPr>
          <w:rFonts w:ascii="Arial" w:hAnsi="Arial" w:cs="Arial"/>
          <w:sz w:val="20"/>
          <w:szCs w:val="20"/>
        </w:rPr>
      </w:pPr>
    </w:p>
    <w:p w:rsidR="00C9023F" w:rsidRDefault="00C9023F" w:rsidP="006B0FCF">
      <w:pPr>
        <w:spacing w:after="0" w:line="240" w:lineRule="auto"/>
        <w:rPr>
          <w:rFonts w:ascii="Arial" w:hAnsi="Arial" w:cs="Arial"/>
          <w:sz w:val="20"/>
          <w:szCs w:val="20"/>
        </w:rPr>
      </w:pPr>
    </w:p>
    <w:p w:rsidR="00C9023F" w:rsidRDefault="00C9023F" w:rsidP="006B0FCF">
      <w:pPr>
        <w:spacing w:after="0" w:line="240" w:lineRule="auto"/>
        <w:rPr>
          <w:rFonts w:ascii="Arial" w:hAnsi="Arial" w:cs="Arial"/>
          <w:sz w:val="20"/>
          <w:szCs w:val="20"/>
        </w:rPr>
      </w:pPr>
    </w:p>
    <w:p w:rsidR="00C9023F" w:rsidRDefault="00C9023F" w:rsidP="006B0FCF">
      <w:pPr>
        <w:spacing w:after="0" w:line="240" w:lineRule="auto"/>
        <w:rPr>
          <w:rFonts w:ascii="Arial" w:hAnsi="Arial" w:cs="Arial"/>
          <w:sz w:val="20"/>
          <w:szCs w:val="20"/>
        </w:rPr>
      </w:pPr>
    </w:p>
    <w:p w:rsidR="00C9023F" w:rsidRDefault="00C9023F" w:rsidP="006B0FCF">
      <w:pPr>
        <w:spacing w:after="0" w:line="240" w:lineRule="auto"/>
        <w:rPr>
          <w:rFonts w:ascii="Arial" w:hAnsi="Arial" w:cs="Arial"/>
          <w:sz w:val="20"/>
          <w:szCs w:val="20"/>
        </w:rPr>
      </w:pPr>
    </w:p>
    <w:p w:rsidR="00C9023F" w:rsidRDefault="00C9023F" w:rsidP="006B0FCF">
      <w:pPr>
        <w:spacing w:after="0" w:line="240" w:lineRule="auto"/>
        <w:rPr>
          <w:rFonts w:ascii="Arial" w:hAnsi="Arial" w:cs="Arial"/>
          <w:sz w:val="20"/>
          <w:szCs w:val="20"/>
        </w:rPr>
      </w:pPr>
    </w:p>
    <w:p w:rsidR="00C9023F" w:rsidRDefault="00C9023F" w:rsidP="006B0FCF">
      <w:pPr>
        <w:spacing w:after="0" w:line="240" w:lineRule="auto"/>
        <w:rPr>
          <w:rFonts w:ascii="Arial" w:hAnsi="Arial" w:cs="Arial"/>
          <w:sz w:val="20"/>
          <w:szCs w:val="20"/>
        </w:rPr>
      </w:pPr>
    </w:p>
    <w:p w:rsidR="00C9023F" w:rsidRDefault="00C9023F" w:rsidP="006B0FCF">
      <w:pPr>
        <w:spacing w:after="0" w:line="240" w:lineRule="auto"/>
        <w:rPr>
          <w:rFonts w:ascii="Arial" w:hAnsi="Arial" w:cs="Arial"/>
          <w:sz w:val="20"/>
          <w:szCs w:val="20"/>
        </w:rPr>
      </w:pPr>
    </w:p>
    <w:p w:rsidR="00C9023F" w:rsidRDefault="00C9023F" w:rsidP="006B0FCF">
      <w:pPr>
        <w:spacing w:after="0" w:line="240" w:lineRule="auto"/>
        <w:rPr>
          <w:rFonts w:ascii="Arial" w:hAnsi="Arial" w:cs="Arial"/>
          <w:sz w:val="20"/>
          <w:szCs w:val="20"/>
        </w:rPr>
      </w:pPr>
    </w:p>
    <w:p w:rsidR="00C9023F" w:rsidRDefault="00C9023F" w:rsidP="006B0FCF">
      <w:pPr>
        <w:spacing w:after="0" w:line="240" w:lineRule="auto"/>
        <w:rPr>
          <w:rFonts w:ascii="Arial" w:hAnsi="Arial" w:cs="Arial"/>
          <w:sz w:val="20"/>
          <w:szCs w:val="20"/>
        </w:rPr>
      </w:pPr>
    </w:p>
    <w:p w:rsidR="00C9023F" w:rsidRDefault="00C9023F" w:rsidP="006B0FCF">
      <w:pPr>
        <w:spacing w:after="0" w:line="240" w:lineRule="auto"/>
        <w:rPr>
          <w:rFonts w:ascii="Arial" w:hAnsi="Arial" w:cs="Arial"/>
          <w:sz w:val="20"/>
          <w:szCs w:val="20"/>
        </w:rPr>
      </w:pPr>
    </w:p>
    <w:p w:rsidR="00C9023F" w:rsidRDefault="00C9023F" w:rsidP="006B0FCF">
      <w:pPr>
        <w:spacing w:after="0" w:line="240" w:lineRule="auto"/>
        <w:rPr>
          <w:rFonts w:ascii="Arial" w:hAnsi="Arial" w:cs="Arial"/>
          <w:sz w:val="20"/>
          <w:szCs w:val="20"/>
        </w:rPr>
      </w:pPr>
    </w:p>
    <w:p w:rsidR="00C9023F" w:rsidRDefault="00C9023F" w:rsidP="006B0FCF">
      <w:pPr>
        <w:spacing w:after="0" w:line="240" w:lineRule="auto"/>
        <w:rPr>
          <w:rFonts w:ascii="Arial" w:hAnsi="Arial" w:cs="Arial"/>
          <w:sz w:val="20"/>
          <w:szCs w:val="20"/>
        </w:rPr>
      </w:pPr>
    </w:p>
    <w:p w:rsidR="00C9023F" w:rsidRDefault="00C9023F" w:rsidP="006B0FCF">
      <w:pPr>
        <w:spacing w:after="0" w:line="240" w:lineRule="auto"/>
        <w:rPr>
          <w:rFonts w:ascii="Arial" w:hAnsi="Arial" w:cs="Arial"/>
          <w:sz w:val="20"/>
          <w:szCs w:val="20"/>
        </w:rPr>
      </w:pPr>
    </w:p>
    <w:p w:rsidR="00C9023F" w:rsidRDefault="00C9023F" w:rsidP="006B0FCF">
      <w:pPr>
        <w:spacing w:after="0" w:line="240" w:lineRule="auto"/>
        <w:rPr>
          <w:rFonts w:ascii="Arial" w:hAnsi="Arial" w:cs="Arial"/>
          <w:sz w:val="20"/>
          <w:szCs w:val="20"/>
        </w:rPr>
      </w:pPr>
    </w:p>
    <w:p w:rsidR="00C9023F" w:rsidRDefault="00C9023F" w:rsidP="006B0FCF">
      <w:pPr>
        <w:spacing w:after="0" w:line="240" w:lineRule="auto"/>
        <w:rPr>
          <w:rFonts w:ascii="Arial" w:hAnsi="Arial" w:cs="Arial"/>
          <w:sz w:val="20"/>
          <w:szCs w:val="20"/>
        </w:rPr>
      </w:pPr>
    </w:p>
    <w:p w:rsidR="00C9023F" w:rsidRDefault="00C9023F" w:rsidP="006B0FCF">
      <w:pPr>
        <w:spacing w:after="0" w:line="240" w:lineRule="auto"/>
        <w:rPr>
          <w:rFonts w:ascii="Arial" w:hAnsi="Arial" w:cs="Arial"/>
          <w:sz w:val="20"/>
          <w:szCs w:val="20"/>
        </w:rPr>
      </w:pPr>
    </w:p>
    <w:p w:rsidR="000A76A4" w:rsidRDefault="000A76A4" w:rsidP="006B0FCF">
      <w:pPr>
        <w:spacing w:after="0" w:line="240" w:lineRule="auto"/>
        <w:rPr>
          <w:rFonts w:ascii="Arial" w:hAnsi="Arial" w:cs="Arial"/>
          <w:sz w:val="20"/>
          <w:szCs w:val="20"/>
        </w:rPr>
      </w:pPr>
      <w:r>
        <w:rPr>
          <w:rFonts w:ascii="Arial" w:hAnsi="Arial" w:cs="Arial"/>
          <w:sz w:val="20"/>
          <w:szCs w:val="20"/>
        </w:rPr>
        <w:t xml:space="preserve">This </w:t>
      </w:r>
      <w:r w:rsidR="00EA7249">
        <w:rPr>
          <w:rFonts w:ascii="Arial" w:hAnsi="Arial" w:cs="Arial"/>
          <w:sz w:val="20"/>
          <w:szCs w:val="20"/>
        </w:rPr>
        <w:t>Regulatory Impact Statement</w:t>
      </w:r>
      <w:r>
        <w:rPr>
          <w:rFonts w:ascii="Arial" w:hAnsi="Arial" w:cs="Arial"/>
          <w:sz w:val="20"/>
          <w:szCs w:val="20"/>
        </w:rPr>
        <w:t xml:space="preserve"> was prepared for PrimeSafe by </w:t>
      </w:r>
      <w:r w:rsidR="00B211EB">
        <w:rPr>
          <w:rFonts w:ascii="Arial" w:hAnsi="Arial" w:cs="Arial"/>
          <w:sz w:val="20"/>
          <w:szCs w:val="20"/>
        </w:rPr>
        <w:t xml:space="preserve">Jaguar Consulting Pty Ltd. </w:t>
      </w:r>
    </w:p>
    <w:p w:rsidR="000A76A4" w:rsidRDefault="000A76A4" w:rsidP="006B0FCF">
      <w:pPr>
        <w:spacing w:after="0" w:line="240" w:lineRule="auto"/>
        <w:rPr>
          <w:rFonts w:ascii="Arial" w:hAnsi="Arial" w:cs="Arial"/>
          <w:sz w:val="20"/>
          <w:szCs w:val="20"/>
        </w:rPr>
      </w:pPr>
    </w:p>
    <w:p w:rsidR="000A76A4" w:rsidRDefault="000A76A4" w:rsidP="006B0FCF">
      <w:pPr>
        <w:spacing w:after="0" w:line="240" w:lineRule="auto"/>
        <w:rPr>
          <w:rFonts w:ascii="Arial" w:hAnsi="Arial" w:cs="Arial"/>
          <w:sz w:val="20"/>
          <w:szCs w:val="20"/>
        </w:rPr>
      </w:pPr>
    </w:p>
    <w:p w:rsidR="006B0FCF" w:rsidRPr="00FC6804" w:rsidRDefault="006B0FCF" w:rsidP="006B0FCF">
      <w:pPr>
        <w:spacing w:after="0" w:line="240" w:lineRule="auto"/>
        <w:rPr>
          <w:rFonts w:ascii="Arial" w:hAnsi="Arial" w:cs="Arial"/>
          <w:color w:val="000000"/>
          <w:sz w:val="20"/>
          <w:szCs w:val="20"/>
        </w:rPr>
      </w:pPr>
    </w:p>
    <w:p w:rsidR="00F97D07" w:rsidRPr="00FC6804" w:rsidRDefault="008133FC" w:rsidP="00F97D07">
      <w:pPr>
        <w:spacing w:after="0" w:line="240" w:lineRule="auto"/>
        <w:sectPr w:rsidR="00F97D07" w:rsidRPr="00FC6804" w:rsidSect="0054728D">
          <w:pgSz w:w="11906" w:h="16838"/>
          <w:pgMar w:top="1440" w:right="1440" w:bottom="1440" w:left="1440" w:header="567" w:footer="567" w:gutter="0"/>
          <w:cols w:space="708"/>
          <w:docGrid w:linePitch="360"/>
        </w:sectPr>
      </w:pPr>
      <w:r w:rsidRPr="00FC6804">
        <w:br w:type="page"/>
      </w:r>
    </w:p>
    <w:p w:rsidR="00D47ADE" w:rsidRPr="00FC6804" w:rsidRDefault="00D47ADE" w:rsidP="0026792B">
      <w:pPr>
        <w:pStyle w:val="Heading1"/>
      </w:pPr>
      <w:bookmarkStart w:id="2" w:name="_Toc443915337"/>
      <w:r w:rsidRPr="00FC6804">
        <w:lastRenderedPageBreak/>
        <w:t>Summary</w:t>
      </w:r>
      <w:bookmarkEnd w:id="1"/>
      <w:bookmarkEnd w:id="2"/>
    </w:p>
    <w:p w:rsidR="00D47ADE" w:rsidRPr="00FC6804" w:rsidRDefault="00D47ADE" w:rsidP="00F97D07">
      <w:pPr>
        <w:spacing w:after="0" w:line="240" w:lineRule="auto"/>
        <w:rPr>
          <w:rFonts w:ascii="Arial" w:hAnsi="Arial" w:cs="Arial"/>
          <w:sz w:val="20"/>
          <w:szCs w:val="20"/>
        </w:rPr>
      </w:pPr>
    </w:p>
    <w:p w:rsidR="00DF2B4E" w:rsidRPr="00FC6804" w:rsidRDefault="0022645C" w:rsidP="00F97D07">
      <w:pPr>
        <w:pStyle w:val="NormalWeb"/>
        <w:spacing w:before="0" w:beforeAutospacing="0" w:after="0" w:afterAutospacing="0"/>
        <w:rPr>
          <w:rFonts w:ascii="Arial" w:hAnsi="Arial" w:cs="Arial"/>
          <w:sz w:val="20"/>
          <w:szCs w:val="20"/>
        </w:rPr>
      </w:pPr>
      <w:r w:rsidRPr="00FC6804">
        <w:rPr>
          <w:rFonts w:ascii="Arial" w:hAnsi="Arial" w:cs="Arial"/>
          <w:sz w:val="20"/>
          <w:szCs w:val="20"/>
        </w:rPr>
        <w:t xml:space="preserve">This </w:t>
      </w:r>
      <w:r w:rsidR="00DF2B4E" w:rsidRPr="00FC6804">
        <w:rPr>
          <w:rFonts w:ascii="Arial" w:hAnsi="Arial" w:cs="Arial"/>
          <w:sz w:val="20"/>
          <w:szCs w:val="20"/>
        </w:rPr>
        <w:t>Regulatory Impact Statement (</w:t>
      </w:r>
      <w:r w:rsidRPr="00FC6804">
        <w:rPr>
          <w:rFonts w:ascii="Arial" w:hAnsi="Arial" w:cs="Arial"/>
          <w:sz w:val="20"/>
          <w:szCs w:val="20"/>
        </w:rPr>
        <w:t>RIS</w:t>
      </w:r>
      <w:r w:rsidR="00DF2B4E" w:rsidRPr="00FC6804">
        <w:rPr>
          <w:rFonts w:ascii="Arial" w:hAnsi="Arial" w:cs="Arial"/>
          <w:sz w:val="20"/>
          <w:szCs w:val="20"/>
        </w:rPr>
        <w:t>)</w:t>
      </w:r>
      <w:r w:rsidRPr="00FC6804">
        <w:rPr>
          <w:rFonts w:ascii="Arial" w:hAnsi="Arial" w:cs="Arial"/>
          <w:sz w:val="20"/>
          <w:szCs w:val="20"/>
        </w:rPr>
        <w:t xml:space="preserve"> discusses a limited range of </w:t>
      </w:r>
      <w:r w:rsidR="00335DE8" w:rsidRPr="00FC6804">
        <w:rPr>
          <w:rFonts w:ascii="Arial" w:hAnsi="Arial" w:cs="Arial"/>
          <w:sz w:val="20"/>
          <w:szCs w:val="20"/>
        </w:rPr>
        <w:t xml:space="preserve">proposed </w:t>
      </w:r>
      <w:r w:rsidR="000B3278">
        <w:rPr>
          <w:rFonts w:ascii="Arial" w:hAnsi="Arial" w:cs="Arial"/>
          <w:sz w:val="20"/>
          <w:szCs w:val="20"/>
        </w:rPr>
        <w:t xml:space="preserve">changes </w:t>
      </w:r>
      <w:r w:rsidRPr="00FC6804">
        <w:rPr>
          <w:rFonts w:ascii="Arial" w:hAnsi="Arial" w:cs="Arial"/>
          <w:sz w:val="20"/>
          <w:szCs w:val="20"/>
        </w:rPr>
        <w:t xml:space="preserve">to the </w:t>
      </w:r>
      <w:r w:rsidR="00534633" w:rsidRPr="00FC6804">
        <w:rPr>
          <w:rFonts w:ascii="Arial" w:hAnsi="Arial" w:cs="Arial"/>
          <w:sz w:val="20"/>
          <w:szCs w:val="20"/>
        </w:rPr>
        <w:t>fees currently</w:t>
      </w:r>
      <w:r w:rsidRPr="00FC6804">
        <w:rPr>
          <w:rFonts w:ascii="Arial" w:hAnsi="Arial" w:cs="Arial"/>
          <w:sz w:val="20"/>
          <w:szCs w:val="20"/>
        </w:rPr>
        <w:t xml:space="preserve"> charged by PrimeSafe to fund its regulatory role of assuring the safety of meat, se</w:t>
      </w:r>
      <w:r w:rsidR="000B3278">
        <w:rPr>
          <w:rFonts w:ascii="Arial" w:hAnsi="Arial" w:cs="Arial"/>
          <w:sz w:val="20"/>
          <w:szCs w:val="20"/>
        </w:rPr>
        <w:t xml:space="preserve">afood and poultry in Victoria. </w:t>
      </w:r>
      <w:r w:rsidRPr="00FC6804">
        <w:rPr>
          <w:rFonts w:ascii="Arial" w:hAnsi="Arial" w:cs="Arial"/>
          <w:sz w:val="20"/>
          <w:szCs w:val="20"/>
        </w:rPr>
        <w:t xml:space="preserve">Section 45(2) of the </w:t>
      </w:r>
      <w:r w:rsidRPr="00FC6804">
        <w:rPr>
          <w:rFonts w:ascii="Arial" w:hAnsi="Arial" w:cs="Arial"/>
          <w:i/>
          <w:sz w:val="20"/>
          <w:szCs w:val="20"/>
        </w:rPr>
        <w:t>Meat Industry Act 1993</w:t>
      </w:r>
      <w:r w:rsidRPr="00FC6804">
        <w:rPr>
          <w:rFonts w:ascii="Arial" w:hAnsi="Arial" w:cs="Arial"/>
          <w:sz w:val="20"/>
          <w:szCs w:val="20"/>
        </w:rPr>
        <w:t xml:space="preserve"> authorises PrimeSafe to “</w:t>
      </w:r>
      <w:r w:rsidRPr="00FC6804">
        <w:rPr>
          <w:rFonts w:ascii="Arial" w:hAnsi="Arial" w:cs="Arial"/>
          <w:i/>
          <w:sz w:val="20"/>
          <w:szCs w:val="20"/>
        </w:rPr>
        <w:t>fix and charge fees for the carrying out of its functions or the provision of its services or the services of inspectors</w:t>
      </w:r>
      <w:r w:rsidRPr="00FC6804">
        <w:rPr>
          <w:rFonts w:ascii="Arial" w:hAnsi="Arial" w:cs="Arial"/>
          <w:sz w:val="20"/>
          <w:szCs w:val="20"/>
        </w:rPr>
        <w:t>”</w:t>
      </w:r>
      <w:r w:rsidR="001C73F1" w:rsidRPr="00FC6804">
        <w:rPr>
          <w:rFonts w:ascii="Arial" w:hAnsi="Arial" w:cs="Arial"/>
          <w:sz w:val="20"/>
          <w:szCs w:val="20"/>
        </w:rPr>
        <w:t xml:space="preserve">, while the </w:t>
      </w:r>
      <w:r w:rsidR="001C73F1" w:rsidRPr="00C028E0">
        <w:rPr>
          <w:rFonts w:ascii="Arial" w:hAnsi="Arial" w:cs="Arial"/>
          <w:i/>
          <w:sz w:val="20"/>
          <w:szCs w:val="20"/>
        </w:rPr>
        <w:t xml:space="preserve">Seafood Industry Act </w:t>
      </w:r>
      <w:r w:rsidR="00C028E0" w:rsidRPr="00C028E0">
        <w:rPr>
          <w:rFonts w:ascii="Arial" w:hAnsi="Arial" w:cs="Arial"/>
          <w:i/>
          <w:sz w:val="20"/>
          <w:szCs w:val="20"/>
        </w:rPr>
        <w:t>2003</w:t>
      </w:r>
      <w:r w:rsidR="00C028E0">
        <w:rPr>
          <w:rFonts w:ascii="Arial" w:hAnsi="Arial" w:cs="Arial"/>
          <w:sz w:val="20"/>
          <w:szCs w:val="20"/>
        </w:rPr>
        <w:t xml:space="preserve"> </w:t>
      </w:r>
      <w:r w:rsidR="001C73F1" w:rsidRPr="00FC6804">
        <w:rPr>
          <w:rFonts w:ascii="Arial" w:hAnsi="Arial" w:cs="Arial"/>
          <w:sz w:val="20"/>
          <w:szCs w:val="20"/>
        </w:rPr>
        <w:t>provides a similar authorisation</w:t>
      </w:r>
      <w:r w:rsidR="00F97D07" w:rsidRPr="00FC6804">
        <w:rPr>
          <w:rFonts w:ascii="Arial" w:hAnsi="Arial" w:cs="Arial"/>
          <w:sz w:val="20"/>
          <w:szCs w:val="20"/>
        </w:rPr>
        <w:t xml:space="preserve">. </w:t>
      </w:r>
      <w:r w:rsidR="00DF2B4E" w:rsidRPr="00FC6804">
        <w:rPr>
          <w:rFonts w:ascii="Arial" w:hAnsi="Arial" w:cs="Arial"/>
          <w:sz w:val="20"/>
          <w:szCs w:val="20"/>
        </w:rPr>
        <w:t xml:space="preserve">A RIS is being prepared in respect of these fees for the first time, since 2011 amendments to the </w:t>
      </w:r>
      <w:r w:rsidR="00DF2B4E" w:rsidRPr="00FC6804">
        <w:rPr>
          <w:rFonts w:ascii="Arial" w:hAnsi="Arial" w:cs="Arial"/>
          <w:i/>
          <w:sz w:val="20"/>
          <w:szCs w:val="20"/>
        </w:rPr>
        <w:t>Subordinate Legislation Act 1994</w:t>
      </w:r>
      <w:r w:rsidR="00DF2B4E" w:rsidRPr="00FC6804">
        <w:rPr>
          <w:rFonts w:ascii="Arial" w:hAnsi="Arial" w:cs="Arial"/>
          <w:sz w:val="20"/>
          <w:szCs w:val="20"/>
        </w:rPr>
        <w:t xml:space="preserve"> have brought a range of legislative instruments within the scope of the RIS process that were previously excluded.</w:t>
      </w:r>
    </w:p>
    <w:p w:rsidR="00DF2B4E" w:rsidRPr="00FC6804" w:rsidRDefault="00DF2B4E" w:rsidP="00F97D07">
      <w:pPr>
        <w:pStyle w:val="NormalWeb"/>
        <w:spacing w:before="0" w:beforeAutospacing="0" w:after="0" w:afterAutospacing="0"/>
        <w:rPr>
          <w:rFonts w:ascii="Arial" w:hAnsi="Arial" w:cs="Arial"/>
          <w:sz w:val="20"/>
          <w:szCs w:val="20"/>
        </w:rPr>
      </w:pPr>
    </w:p>
    <w:p w:rsidR="00E47C1F" w:rsidRPr="00FC6804" w:rsidRDefault="0022645C" w:rsidP="00F97D07">
      <w:pPr>
        <w:pStyle w:val="NormalWeb"/>
        <w:spacing w:before="0" w:beforeAutospacing="0" w:after="0" w:afterAutospacing="0"/>
        <w:rPr>
          <w:rFonts w:ascii="Arial" w:hAnsi="Arial" w:cs="Arial"/>
          <w:sz w:val="20"/>
          <w:szCs w:val="20"/>
        </w:rPr>
      </w:pPr>
      <w:r w:rsidRPr="00FC6804">
        <w:rPr>
          <w:rFonts w:ascii="Arial" w:hAnsi="Arial" w:cs="Arial"/>
          <w:sz w:val="20"/>
          <w:szCs w:val="20"/>
        </w:rPr>
        <w:t xml:space="preserve">Section 63 of the </w:t>
      </w:r>
      <w:r w:rsidRPr="00FC6804">
        <w:rPr>
          <w:rFonts w:ascii="Arial" w:hAnsi="Arial" w:cs="Arial"/>
          <w:i/>
          <w:sz w:val="20"/>
          <w:szCs w:val="20"/>
        </w:rPr>
        <w:t>Meat Industry Act 1993</w:t>
      </w:r>
      <w:r w:rsidRPr="00FC6804">
        <w:rPr>
          <w:rFonts w:ascii="Arial" w:hAnsi="Arial" w:cs="Arial"/>
          <w:sz w:val="20"/>
          <w:szCs w:val="20"/>
        </w:rPr>
        <w:t xml:space="preserve"> requires PrimeSafe to be self-funding and authorises the Minister to direct, if necessary, that the fees it charges be increased to a level sufficient to ensure that this outc</w:t>
      </w:r>
      <w:r w:rsidR="00F97D07" w:rsidRPr="00FC6804">
        <w:rPr>
          <w:rFonts w:ascii="Arial" w:hAnsi="Arial" w:cs="Arial"/>
          <w:sz w:val="20"/>
          <w:szCs w:val="20"/>
        </w:rPr>
        <w:t xml:space="preserve">ome is </w:t>
      </w:r>
      <w:r w:rsidR="00C028E0">
        <w:rPr>
          <w:rFonts w:ascii="Arial" w:hAnsi="Arial" w:cs="Arial"/>
          <w:sz w:val="20"/>
          <w:szCs w:val="20"/>
        </w:rPr>
        <w:t>achieved</w:t>
      </w:r>
      <w:r w:rsidR="00F97D07" w:rsidRPr="00FC6804">
        <w:rPr>
          <w:rFonts w:ascii="Arial" w:hAnsi="Arial" w:cs="Arial"/>
          <w:sz w:val="20"/>
          <w:szCs w:val="20"/>
        </w:rPr>
        <w:t xml:space="preserve">. </w:t>
      </w:r>
      <w:r w:rsidRPr="00FC6804">
        <w:rPr>
          <w:rFonts w:ascii="Arial" w:hAnsi="Arial" w:cs="Arial"/>
          <w:sz w:val="20"/>
          <w:szCs w:val="20"/>
        </w:rPr>
        <w:t>Prime</w:t>
      </w:r>
      <w:r w:rsidR="00F97D07" w:rsidRPr="00FC6804">
        <w:rPr>
          <w:rFonts w:ascii="Arial" w:hAnsi="Arial" w:cs="Arial"/>
          <w:sz w:val="20"/>
          <w:szCs w:val="20"/>
        </w:rPr>
        <w:t>S</w:t>
      </w:r>
      <w:r w:rsidRPr="00FC6804">
        <w:rPr>
          <w:rFonts w:ascii="Arial" w:hAnsi="Arial" w:cs="Arial"/>
          <w:sz w:val="20"/>
          <w:szCs w:val="20"/>
        </w:rPr>
        <w:t xml:space="preserve">afe’s fees have </w:t>
      </w:r>
      <w:r w:rsidR="00DF2B4E" w:rsidRPr="00FC6804">
        <w:rPr>
          <w:rFonts w:ascii="Arial" w:hAnsi="Arial" w:cs="Arial"/>
          <w:sz w:val="20"/>
          <w:szCs w:val="20"/>
        </w:rPr>
        <w:t xml:space="preserve">thus </w:t>
      </w:r>
      <w:r w:rsidRPr="00FC6804">
        <w:rPr>
          <w:rFonts w:ascii="Arial" w:hAnsi="Arial" w:cs="Arial"/>
          <w:sz w:val="20"/>
          <w:szCs w:val="20"/>
        </w:rPr>
        <w:t xml:space="preserve">consistently been set at full cost recovery levels since its inception as </w:t>
      </w:r>
      <w:r w:rsidR="00C028E0">
        <w:rPr>
          <w:rFonts w:ascii="Arial" w:hAnsi="Arial" w:cs="Arial"/>
          <w:sz w:val="20"/>
          <w:szCs w:val="20"/>
        </w:rPr>
        <w:t>a regulatory authority</w:t>
      </w:r>
      <w:r w:rsidRPr="00FC6804">
        <w:rPr>
          <w:rFonts w:ascii="Arial" w:hAnsi="Arial" w:cs="Arial"/>
          <w:sz w:val="20"/>
          <w:szCs w:val="20"/>
        </w:rPr>
        <w:t>.</w:t>
      </w:r>
      <w:r w:rsidR="00F97D07" w:rsidRPr="00FC6804">
        <w:rPr>
          <w:rFonts w:ascii="Arial" w:hAnsi="Arial" w:cs="Arial"/>
          <w:sz w:val="20"/>
          <w:szCs w:val="20"/>
        </w:rPr>
        <w:t xml:space="preserve"> PrimeSafe</w:t>
      </w:r>
      <w:r w:rsidR="00E47C1F" w:rsidRPr="00FC6804">
        <w:rPr>
          <w:rFonts w:ascii="Arial" w:hAnsi="Arial" w:cs="Arial"/>
          <w:sz w:val="20"/>
          <w:szCs w:val="20"/>
        </w:rPr>
        <w:t xml:space="preserve"> charges two types of fee</w:t>
      </w:r>
      <w:r w:rsidR="00C028E0">
        <w:rPr>
          <w:rFonts w:ascii="Arial" w:hAnsi="Arial" w:cs="Arial"/>
          <w:sz w:val="20"/>
          <w:szCs w:val="20"/>
        </w:rPr>
        <w:t>s</w:t>
      </w:r>
      <w:r w:rsidR="00E47C1F" w:rsidRPr="00FC6804">
        <w:rPr>
          <w:rFonts w:ascii="Arial" w:hAnsi="Arial" w:cs="Arial"/>
          <w:sz w:val="20"/>
          <w:szCs w:val="20"/>
        </w:rPr>
        <w:t>: annual licence fees, payable by all regulated entities and licence application fees, which are “one off” fees, paid on lodgement of an init</w:t>
      </w:r>
      <w:r w:rsidR="00F97D07" w:rsidRPr="00FC6804">
        <w:rPr>
          <w:rFonts w:ascii="Arial" w:hAnsi="Arial" w:cs="Arial"/>
          <w:sz w:val="20"/>
          <w:szCs w:val="20"/>
        </w:rPr>
        <w:t xml:space="preserve">ial application for licensing. </w:t>
      </w:r>
      <w:r w:rsidR="00E47C1F" w:rsidRPr="00FC6804">
        <w:rPr>
          <w:rFonts w:ascii="Arial" w:hAnsi="Arial" w:cs="Arial"/>
          <w:sz w:val="20"/>
          <w:szCs w:val="20"/>
        </w:rPr>
        <w:t>The licence application fee is set at 50% of the annual licence fee</w:t>
      </w:r>
      <w:r w:rsidR="00895028" w:rsidRPr="00FC6804">
        <w:rPr>
          <w:rFonts w:ascii="Arial" w:hAnsi="Arial" w:cs="Arial"/>
          <w:sz w:val="20"/>
          <w:szCs w:val="20"/>
        </w:rPr>
        <w:t xml:space="preserve"> and has been set at this level as the process requirements followed prior to initial licence issue impose significant costs on </w:t>
      </w:r>
      <w:r w:rsidR="00397842" w:rsidRPr="00FC6804">
        <w:rPr>
          <w:rFonts w:ascii="Arial" w:hAnsi="Arial" w:cs="Arial"/>
          <w:sz w:val="20"/>
          <w:szCs w:val="20"/>
        </w:rPr>
        <w:t>PrimeSafe</w:t>
      </w:r>
      <w:r w:rsidR="00895028" w:rsidRPr="00FC6804">
        <w:rPr>
          <w:rFonts w:ascii="Arial" w:hAnsi="Arial" w:cs="Arial"/>
          <w:sz w:val="20"/>
          <w:szCs w:val="20"/>
        </w:rPr>
        <w:t>, particularly via the need to conduct a pre-licensing inspection of all premises</w:t>
      </w:r>
      <w:r w:rsidR="00E47C1F" w:rsidRPr="00FC6804">
        <w:rPr>
          <w:rFonts w:ascii="Arial" w:hAnsi="Arial" w:cs="Arial"/>
          <w:sz w:val="20"/>
          <w:szCs w:val="20"/>
        </w:rPr>
        <w:t>.</w:t>
      </w:r>
      <w:r w:rsidR="00F97D07" w:rsidRPr="00FC6804">
        <w:rPr>
          <w:rFonts w:ascii="Arial" w:hAnsi="Arial" w:cs="Arial"/>
          <w:sz w:val="20"/>
          <w:szCs w:val="20"/>
        </w:rPr>
        <w:t xml:space="preserve"> </w:t>
      </w:r>
    </w:p>
    <w:p w:rsidR="00E47C1F" w:rsidRPr="00FC6804" w:rsidRDefault="00E47C1F" w:rsidP="00F97D07">
      <w:pPr>
        <w:pStyle w:val="NormalWeb"/>
        <w:spacing w:before="0" w:beforeAutospacing="0" w:after="0" w:afterAutospacing="0"/>
        <w:rPr>
          <w:rFonts w:ascii="Arial" w:hAnsi="Arial" w:cs="Arial"/>
          <w:sz w:val="20"/>
          <w:szCs w:val="20"/>
        </w:rPr>
      </w:pPr>
    </w:p>
    <w:p w:rsidR="0022645C" w:rsidRPr="00FC6804" w:rsidRDefault="0022645C" w:rsidP="00F97D07">
      <w:pPr>
        <w:pStyle w:val="NormalWeb"/>
        <w:spacing w:before="0" w:beforeAutospacing="0" w:after="0" w:afterAutospacing="0"/>
        <w:rPr>
          <w:rFonts w:ascii="Arial" w:hAnsi="Arial" w:cs="Arial"/>
          <w:color w:val="000000"/>
          <w:sz w:val="20"/>
          <w:szCs w:val="20"/>
        </w:rPr>
      </w:pPr>
      <w:r w:rsidRPr="00FC6804">
        <w:rPr>
          <w:rFonts w:ascii="Arial" w:hAnsi="Arial" w:cs="Arial"/>
          <w:sz w:val="20"/>
          <w:szCs w:val="20"/>
        </w:rPr>
        <w:t>Prime</w:t>
      </w:r>
      <w:r w:rsidR="00F97D07" w:rsidRPr="00FC6804">
        <w:rPr>
          <w:rFonts w:ascii="Arial" w:hAnsi="Arial" w:cs="Arial"/>
          <w:sz w:val="20"/>
          <w:szCs w:val="20"/>
        </w:rPr>
        <w:t>S</w:t>
      </w:r>
      <w:r w:rsidRPr="00FC6804">
        <w:rPr>
          <w:rFonts w:ascii="Arial" w:hAnsi="Arial" w:cs="Arial"/>
          <w:sz w:val="20"/>
          <w:szCs w:val="20"/>
        </w:rPr>
        <w:t>afe’s budget for 2016-17 has been set at $2.5 million, representing a rise of $0.5 million,</w:t>
      </w:r>
      <w:r w:rsidR="00F97D07" w:rsidRPr="00FC6804">
        <w:rPr>
          <w:rFonts w:ascii="Arial" w:hAnsi="Arial" w:cs="Arial"/>
          <w:sz w:val="20"/>
          <w:szCs w:val="20"/>
        </w:rPr>
        <w:t xml:space="preserve"> or 25% on its 2014-15 budget. </w:t>
      </w:r>
      <w:r w:rsidRPr="00FC6804">
        <w:rPr>
          <w:rFonts w:ascii="Arial" w:hAnsi="Arial" w:cs="Arial"/>
          <w:sz w:val="20"/>
          <w:szCs w:val="20"/>
        </w:rPr>
        <w:t>This increase in regulatory costs reflects a broadening of its functions in response to the most recent Ministerial Statement of Expectations</w:t>
      </w:r>
      <w:r w:rsidR="001841FE" w:rsidRPr="00FC6804">
        <w:rPr>
          <w:rFonts w:ascii="Arial" w:hAnsi="Arial" w:cs="Arial"/>
          <w:sz w:val="20"/>
          <w:szCs w:val="20"/>
        </w:rPr>
        <w:t>.</w:t>
      </w:r>
      <w:r w:rsidR="00F97D07" w:rsidRPr="00FC6804">
        <w:rPr>
          <w:rFonts w:ascii="Arial" w:hAnsi="Arial" w:cs="Arial"/>
          <w:sz w:val="20"/>
          <w:szCs w:val="20"/>
        </w:rPr>
        <w:t xml:space="preserve"> </w:t>
      </w:r>
      <w:r w:rsidRPr="00FC6804">
        <w:rPr>
          <w:rFonts w:ascii="Arial" w:hAnsi="Arial" w:cs="Arial"/>
          <w:color w:val="000000"/>
          <w:sz w:val="20"/>
          <w:szCs w:val="20"/>
        </w:rPr>
        <w:t xml:space="preserve">This </w:t>
      </w:r>
      <w:r w:rsidR="00267FCC">
        <w:rPr>
          <w:rFonts w:ascii="Arial" w:hAnsi="Arial" w:cs="Arial"/>
          <w:color w:val="000000"/>
          <w:sz w:val="20"/>
          <w:szCs w:val="20"/>
        </w:rPr>
        <w:t>S</w:t>
      </w:r>
      <w:r w:rsidRPr="00FC6804">
        <w:rPr>
          <w:rFonts w:ascii="Arial" w:hAnsi="Arial" w:cs="Arial"/>
          <w:color w:val="000000"/>
          <w:sz w:val="20"/>
          <w:szCs w:val="20"/>
        </w:rPr>
        <w:t xml:space="preserve">tatement highlights a requirement that </w:t>
      </w:r>
      <w:r w:rsidR="00397842" w:rsidRPr="00FC6804">
        <w:rPr>
          <w:rFonts w:ascii="Arial" w:hAnsi="Arial" w:cs="Arial"/>
          <w:color w:val="000000"/>
          <w:sz w:val="20"/>
          <w:szCs w:val="20"/>
        </w:rPr>
        <w:t>PrimeSafe</w:t>
      </w:r>
      <w:r w:rsidRPr="00FC6804">
        <w:rPr>
          <w:rFonts w:ascii="Arial" w:hAnsi="Arial" w:cs="Arial"/>
          <w:color w:val="000000"/>
          <w:sz w:val="20"/>
          <w:szCs w:val="20"/>
        </w:rPr>
        <w:t xml:space="preserve"> should </w:t>
      </w:r>
      <w:r w:rsidR="00267FCC">
        <w:rPr>
          <w:rFonts w:ascii="Arial" w:hAnsi="Arial" w:cs="Arial"/>
          <w:color w:val="000000"/>
          <w:sz w:val="20"/>
          <w:szCs w:val="20"/>
        </w:rPr>
        <w:t>assist</w:t>
      </w:r>
      <w:r w:rsidRPr="00FC6804">
        <w:rPr>
          <w:rFonts w:ascii="Arial" w:hAnsi="Arial" w:cs="Arial"/>
          <w:color w:val="000000"/>
          <w:sz w:val="20"/>
          <w:szCs w:val="20"/>
        </w:rPr>
        <w:t xml:space="preserve"> businesses to understand their obligations under the relevant regulatory instruments, in order to fa</w:t>
      </w:r>
      <w:r w:rsidR="00F97D07" w:rsidRPr="00FC6804">
        <w:rPr>
          <w:rFonts w:ascii="Arial" w:hAnsi="Arial" w:cs="Arial"/>
          <w:color w:val="000000"/>
          <w:sz w:val="20"/>
          <w:szCs w:val="20"/>
        </w:rPr>
        <w:t>cilitate voluntary compliance. In addition, PrimeSafe</w:t>
      </w:r>
      <w:r w:rsidRPr="00FC6804">
        <w:rPr>
          <w:rFonts w:ascii="Arial" w:hAnsi="Arial" w:cs="Arial"/>
          <w:color w:val="000000"/>
          <w:sz w:val="20"/>
          <w:szCs w:val="20"/>
        </w:rPr>
        <w:t xml:space="preserve"> is asked to improve communication and provide a higher level of assistance to businesses in understanding </w:t>
      </w:r>
      <w:r w:rsidR="00F97D07" w:rsidRPr="00FC6804">
        <w:rPr>
          <w:rFonts w:ascii="Arial" w:hAnsi="Arial" w:cs="Arial"/>
          <w:color w:val="000000"/>
          <w:sz w:val="20"/>
          <w:szCs w:val="20"/>
        </w:rPr>
        <w:t xml:space="preserve">their regulatory </w:t>
      </w:r>
      <w:r w:rsidR="00267FCC">
        <w:rPr>
          <w:rFonts w:ascii="Arial" w:hAnsi="Arial" w:cs="Arial"/>
          <w:color w:val="000000"/>
          <w:sz w:val="20"/>
          <w:szCs w:val="20"/>
        </w:rPr>
        <w:t>requirements</w:t>
      </w:r>
      <w:r w:rsidR="00F97D07" w:rsidRPr="00FC6804">
        <w:rPr>
          <w:rFonts w:ascii="Arial" w:hAnsi="Arial" w:cs="Arial"/>
          <w:color w:val="000000"/>
          <w:sz w:val="20"/>
          <w:szCs w:val="20"/>
        </w:rPr>
        <w:t xml:space="preserve">. </w:t>
      </w:r>
      <w:r w:rsidRPr="00FC6804">
        <w:rPr>
          <w:rFonts w:ascii="Arial" w:hAnsi="Arial" w:cs="Arial"/>
          <w:color w:val="000000"/>
          <w:sz w:val="20"/>
          <w:szCs w:val="20"/>
        </w:rPr>
        <w:t xml:space="preserve">A specific requirement in this regard is to establish a pre-application </w:t>
      </w:r>
      <w:r w:rsidR="00CE3321" w:rsidRPr="00FC6804">
        <w:rPr>
          <w:rFonts w:ascii="Arial" w:hAnsi="Arial" w:cs="Arial"/>
          <w:color w:val="000000"/>
          <w:sz w:val="20"/>
          <w:szCs w:val="20"/>
        </w:rPr>
        <w:t>advice service</w:t>
      </w:r>
      <w:r w:rsidRPr="00FC6804">
        <w:rPr>
          <w:rFonts w:ascii="Arial" w:hAnsi="Arial" w:cs="Arial"/>
          <w:color w:val="000000"/>
          <w:sz w:val="20"/>
          <w:szCs w:val="20"/>
        </w:rPr>
        <w:t xml:space="preserve"> for businesses intending to enter the industry and thus become licensed by </w:t>
      </w:r>
      <w:r w:rsidR="00F97D07" w:rsidRPr="00FC6804">
        <w:rPr>
          <w:rFonts w:ascii="Arial" w:hAnsi="Arial" w:cs="Arial"/>
          <w:color w:val="000000"/>
          <w:sz w:val="20"/>
          <w:szCs w:val="20"/>
        </w:rPr>
        <w:t>PrimeSafe</w:t>
      </w:r>
      <w:r w:rsidRPr="00FC6804">
        <w:rPr>
          <w:rFonts w:ascii="Arial" w:hAnsi="Arial" w:cs="Arial"/>
          <w:color w:val="000000"/>
          <w:sz w:val="20"/>
          <w:szCs w:val="20"/>
        </w:rPr>
        <w:t>.</w:t>
      </w:r>
      <w:r w:rsidR="00F97D07" w:rsidRPr="00FC6804">
        <w:rPr>
          <w:rFonts w:ascii="Arial" w:hAnsi="Arial" w:cs="Arial"/>
          <w:color w:val="000000"/>
          <w:sz w:val="20"/>
          <w:szCs w:val="20"/>
        </w:rPr>
        <w:t xml:space="preserve"> W</w:t>
      </w:r>
      <w:r w:rsidR="00CE3321" w:rsidRPr="00FC6804">
        <w:rPr>
          <w:rFonts w:ascii="Arial" w:hAnsi="Arial" w:cs="Arial"/>
          <w:color w:val="000000"/>
          <w:sz w:val="20"/>
          <w:szCs w:val="20"/>
        </w:rPr>
        <w:t xml:space="preserve">here specific advice is provided, a new fee of $250 per hour </w:t>
      </w:r>
      <w:r w:rsidR="00AD1DDF">
        <w:rPr>
          <w:rFonts w:ascii="Arial" w:hAnsi="Arial" w:cs="Arial"/>
          <w:color w:val="000000"/>
          <w:sz w:val="20"/>
          <w:szCs w:val="20"/>
        </w:rPr>
        <w:t xml:space="preserve">(ex GST) </w:t>
      </w:r>
      <w:r w:rsidR="00CE3321" w:rsidRPr="00FC6804">
        <w:rPr>
          <w:rFonts w:ascii="Arial" w:hAnsi="Arial" w:cs="Arial"/>
          <w:color w:val="000000"/>
          <w:sz w:val="20"/>
          <w:szCs w:val="20"/>
        </w:rPr>
        <w:t xml:space="preserve">is proposed to be </w:t>
      </w:r>
      <w:r w:rsidR="00267FCC">
        <w:rPr>
          <w:rFonts w:ascii="Arial" w:hAnsi="Arial" w:cs="Arial"/>
          <w:color w:val="000000"/>
          <w:sz w:val="20"/>
          <w:szCs w:val="20"/>
        </w:rPr>
        <w:t>implemented</w:t>
      </w:r>
      <w:r w:rsidR="00CE3321" w:rsidRPr="00FC6804">
        <w:rPr>
          <w:rFonts w:ascii="Arial" w:hAnsi="Arial" w:cs="Arial"/>
          <w:color w:val="000000"/>
          <w:sz w:val="20"/>
          <w:szCs w:val="20"/>
        </w:rPr>
        <w:t>.</w:t>
      </w:r>
    </w:p>
    <w:p w:rsidR="00DF2B4E" w:rsidRPr="00FC6804" w:rsidRDefault="00DF2B4E" w:rsidP="00F97D07">
      <w:pPr>
        <w:pStyle w:val="NormalWeb"/>
        <w:spacing w:before="0" w:beforeAutospacing="0" w:after="0" w:afterAutospacing="0"/>
        <w:rPr>
          <w:rFonts w:ascii="Arial" w:hAnsi="Arial" w:cs="Arial"/>
          <w:color w:val="000000"/>
          <w:sz w:val="20"/>
          <w:szCs w:val="20"/>
        </w:rPr>
      </w:pPr>
    </w:p>
    <w:p w:rsidR="00534633" w:rsidRPr="00FC6804" w:rsidRDefault="0022645C" w:rsidP="00F97D07">
      <w:pPr>
        <w:pStyle w:val="NormalWeb"/>
        <w:spacing w:before="0" w:beforeAutospacing="0" w:after="0" w:afterAutospacing="0"/>
        <w:rPr>
          <w:rFonts w:ascii="Arial" w:hAnsi="Arial" w:cs="Arial"/>
          <w:sz w:val="20"/>
          <w:szCs w:val="20"/>
        </w:rPr>
      </w:pPr>
      <w:r w:rsidRPr="00FC6804">
        <w:rPr>
          <w:rFonts w:ascii="Arial" w:hAnsi="Arial" w:cs="Arial"/>
          <w:sz w:val="20"/>
          <w:szCs w:val="20"/>
        </w:rPr>
        <w:t>In addition to increasing total fee revenue by an amount sufficient to defray these increased regulatory costs, some rebalancing</w:t>
      </w:r>
      <w:r w:rsidR="00F97D07" w:rsidRPr="00FC6804">
        <w:rPr>
          <w:rFonts w:ascii="Arial" w:hAnsi="Arial" w:cs="Arial"/>
          <w:sz w:val="20"/>
          <w:szCs w:val="20"/>
        </w:rPr>
        <w:t xml:space="preserve"> of the fees is also proposed. </w:t>
      </w:r>
      <w:r w:rsidR="00534633" w:rsidRPr="00FC6804">
        <w:rPr>
          <w:rFonts w:ascii="Arial" w:hAnsi="Arial" w:cs="Arial"/>
          <w:sz w:val="20"/>
          <w:szCs w:val="20"/>
        </w:rPr>
        <w:t>No major review of licence categories and fees has been undertaken since Prime</w:t>
      </w:r>
      <w:r w:rsidR="00F97D07" w:rsidRPr="00FC6804">
        <w:rPr>
          <w:rFonts w:ascii="Arial" w:hAnsi="Arial" w:cs="Arial"/>
          <w:sz w:val="20"/>
          <w:szCs w:val="20"/>
        </w:rPr>
        <w:t>S</w:t>
      </w:r>
      <w:r w:rsidR="00534633" w:rsidRPr="00FC6804">
        <w:rPr>
          <w:rFonts w:ascii="Arial" w:hAnsi="Arial" w:cs="Arial"/>
          <w:sz w:val="20"/>
          <w:szCs w:val="20"/>
        </w:rPr>
        <w:t>afe was established</w:t>
      </w:r>
      <w:r w:rsidR="00923294" w:rsidRPr="00FC6804">
        <w:rPr>
          <w:rFonts w:ascii="Arial" w:hAnsi="Arial" w:cs="Arial"/>
          <w:sz w:val="20"/>
          <w:szCs w:val="20"/>
        </w:rPr>
        <w:t xml:space="preserve"> in 2003</w:t>
      </w:r>
      <w:r w:rsidR="00534633" w:rsidRPr="00FC6804">
        <w:rPr>
          <w:rFonts w:ascii="Arial" w:hAnsi="Arial" w:cs="Arial"/>
          <w:sz w:val="20"/>
          <w:szCs w:val="20"/>
        </w:rPr>
        <w:t>, despite significant changes in</w:t>
      </w:r>
      <w:r w:rsidR="00923294" w:rsidRPr="00FC6804">
        <w:rPr>
          <w:rFonts w:ascii="Arial" w:hAnsi="Arial" w:cs="Arial"/>
          <w:sz w:val="20"/>
          <w:szCs w:val="20"/>
        </w:rPr>
        <w:t xml:space="preserve"> both</w:t>
      </w:r>
      <w:r w:rsidR="00267FCC">
        <w:rPr>
          <w:rFonts w:ascii="Arial" w:hAnsi="Arial" w:cs="Arial"/>
          <w:sz w:val="20"/>
          <w:szCs w:val="20"/>
        </w:rPr>
        <w:t xml:space="preserve"> the industries</w:t>
      </w:r>
      <w:r w:rsidR="00923294" w:rsidRPr="00FC6804">
        <w:rPr>
          <w:rFonts w:ascii="Arial" w:hAnsi="Arial" w:cs="Arial"/>
          <w:sz w:val="20"/>
          <w:szCs w:val="20"/>
        </w:rPr>
        <w:t xml:space="preserve"> it regulates and the way in which it acts to ensure regulatory compliance</w:t>
      </w:r>
      <w:r w:rsidR="00534633" w:rsidRPr="00FC6804">
        <w:rPr>
          <w:rFonts w:ascii="Arial" w:hAnsi="Arial" w:cs="Arial"/>
          <w:sz w:val="20"/>
          <w:szCs w:val="20"/>
        </w:rPr>
        <w:t xml:space="preserve">.  </w:t>
      </w:r>
    </w:p>
    <w:p w:rsidR="00534633" w:rsidRPr="00FC6804" w:rsidRDefault="00534633" w:rsidP="00F97D07">
      <w:pPr>
        <w:pStyle w:val="NormalWeb"/>
        <w:spacing w:before="0" w:beforeAutospacing="0" w:after="0" w:afterAutospacing="0"/>
        <w:rPr>
          <w:rFonts w:ascii="Arial" w:hAnsi="Arial" w:cs="Arial"/>
          <w:sz w:val="20"/>
          <w:szCs w:val="20"/>
        </w:rPr>
      </w:pPr>
    </w:p>
    <w:p w:rsidR="006132FD" w:rsidRPr="00FC6804" w:rsidRDefault="0022645C" w:rsidP="00F97D07">
      <w:pPr>
        <w:pStyle w:val="NormalWeb"/>
        <w:spacing w:before="0" w:beforeAutospacing="0" w:after="0" w:afterAutospacing="0"/>
        <w:rPr>
          <w:rFonts w:ascii="Arial" w:hAnsi="Arial" w:cs="Arial"/>
          <w:sz w:val="20"/>
          <w:szCs w:val="20"/>
        </w:rPr>
      </w:pPr>
      <w:r w:rsidRPr="00FC6804">
        <w:rPr>
          <w:rFonts w:ascii="Arial" w:hAnsi="Arial" w:cs="Arial"/>
          <w:sz w:val="20"/>
          <w:szCs w:val="20"/>
        </w:rPr>
        <w:t>Prime</w:t>
      </w:r>
      <w:r w:rsidR="00F97D07" w:rsidRPr="00FC6804">
        <w:rPr>
          <w:rFonts w:ascii="Arial" w:hAnsi="Arial" w:cs="Arial"/>
          <w:sz w:val="20"/>
          <w:szCs w:val="20"/>
        </w:rPr>
        <w:t>S</w:t>
      </w:r>
      <w:r w:rsidRPr="00FC6804">
        <w:rPr>
          <w:rFonts w:ascii="Arial" w:hAnsi="Arial" w:cs="Arial"/>
          <w:sz w:val="20"/>
          <w:szCs w:val="20"/>
        </w:rPr>
        <w:t xml:space="preserve">afe’s fees have historically been set having regard to both cost recovery and </w:t>
      </w:r>
      <w:r w:rsidR="00867B1B" w:rsidRPr="00FC6804">
        <w:rPr>
          <w:rFonts w:ascii="Arial" w:hAnsi="Arial" w:cs="Arial"/>
          <w:sz w:val="20"/>
          <w:szCs w:val="20"/>
        </w:rPr>
        <w:t>“beneficiary pays” con</w:t>
      </w:r>
      <w:r w:rsidR="00F97D07" w:rsidRPr="00FC6804">
        <w:rPr>
          <w:rFonts w:ascii="Arial" w:hAnsi="Arial" w:cs="Arial"/>
          <w:sz w:val="20"/>
          <w:szCs w:val="20"/>
        </w:rPr>
        <w:t xml:space="preserve">siderations. </w:t>
      </w:r>
      <w:r w:rsidRPr="00FC6804">
        <w:rPr>
          <w:rFonts w:ascii="Arial" w:hAnsi="Arial" w:cs="Arial"/>
          <w:sz w:val="20"/>
          <w:szCs w:val="20"/>
        </w:rPr>
        <w:t xml:space="preserve">The result </w:t>
      </w:r>
      <w:r w:rsidR="00867B1B" w:rsidRPr="00FC6804">
        <w:rPr>
          <w:rFonts w:ascii="Arial" w:hAnsi="Arial" w:cs="Arial"/>
          <w:sz w:val="20"/>
          <w:szCs w:val="20"/>
        </w:rPr>
        <w:t xml:space="preserve">of the inclusion of the latter concept </w:t>
      </w:r>
      <w:r w:rsidRPr="00FC6804">
        <w:rPr>
          <w:rFonts w:ascii="Arial" w:hAnsi="Arial" w:cs="Arial"/>
          <w:sz w:val="20"/>
          <w:szCs w:val="20"/>
        </w:rPr>
        <w:t>is that larger businesses</w:t>
      </w:r>
      <w:r w:rsidR="00867B1B" w:rsidRPr="00FC6804">
        <w:rPr>
          <w:rFonts w:ascii="Arial" w:hAnsi="Arial" w:cs="Arial"/>
          <w:sz w:val="20"/>
          <w:szCs w:val="20"/>
        </w:rPr>
        <w:t xml:space="preserve"> – which receive more substantial benefits from the existence of a high-quality regulatory regime (e.g. through greater market access)</w:t>
      </w:r>
      <w:r w:rsidRPr="00FC6804">
        <w:rPr>
          <w:rFonts w:ascii="Arial" w:hAnsi="Arial" w:cs="Arial"/>
          <w:sz w:val="20"/>
          <w:szCs w:val="20"/>
        </w:rPr>
        <w:t xml:space="preserve"> have generally paid significantly higher fees</w:t>
      </w:r>
      <w:r w:rsidR="006132FD" w:rsidRPr="00FC6804">
        <w:rPr>
          <w:rFonts w:ascii="Arial" w:hAnsi="Arial" w:cs="Arial"/>
          <w:sz w:val="20"/>
          <w:szCs w:val="20"/>
        </w:rPr>
        <w:t xml:space="preserve">, relative to the regulatory costs that they impose, </w:t>
      </w:r>
      <w:r w:rsidRPr="00FC6804">
        <w:rPr>
          <w:rFonts w:ascii="Arial" w:hAnsi="Arial" w:cs="Arial"/>
          <w:sz w:val="20"/>
          <w:szCs w:val="20"/>
        </w:rPr>
        <w:t>than</w:t>
      </w:r>
      <w:r w:rsidR="006132FD" w:rsidRPr="00FC6804">
        <w:rPr>
          <w:rFonts w:ascii="Arial" w:hAnsi="Arial" w:cs="Arial"/>
          <w:sz w:val="20"/>
          <w:szCs w:val="20"/>
        </w:rPr>
        <w:t xml:space="preserve"> have smaller businesses</w:t>
      </w:r>
      <w:r w:rsidR="00F97D07" w:rsidRPr="00FC6804">
        <w:rPr>
          <w:rFonts w:ascii="Arial" w:hAnsi="Arial" w:cs="Arial"/>
          <w:sz w:val="20"/>
          <w:szCs w:val="20"/>
        </w:rPr>
        <w:t xml:space="preserve">. </w:t>
      </w:r>
      <w:r w:rsidR="00267FCC">
        <w:rPr>
          <w:rFonts w:ascii="Arial" w:hAnsi="Arial" w:cs="Arial"/>
          <w:sz w:val="20"/>
          <w:szCs w:val="20"/>
        </w:rPr>
        <w:t>As a result,</w:t>
      </w:r>
      <w:r w:rsidR="006132FD" w:rsidRPr="00FC6804">
        <w:rPr>
          <w:rFonts w:ascii="Arial" w:hAnsi="Arial" w:cs="Arial"/>
          <w:sz w:val="20"/>
          <w:szCs w:val="20"/>
        </w:rPr>
        <w:t xml:space="preserve"> </w:t>
      </w:r>
      <w:r w:rsidRPr="00FC6804">
        <w:rPr>
          <w:rFonts w:ascii="Arial" w:hAnsi="Arial" w:cs="Arial"/>
          <w:sz w:val="20"/>
          <w:szCs w:val="20"/>
        </w:rPr>
        <w:t xml:space="preserve">cost recovery levels for different licence types </w:t>
      </w:r>
      <w:r w:rsidR="006132FD" w:rsidRPr="00FC6804">
        <w:rPr>
          <w:rFonts w:ascii="Arial" w:hAnsi="Arial" w:cs="Arial"/>
          <w:sz w:val="20"/>
          <w:szCs w:val="20"/>
        </w:rPr>
        <w:t xml:space="preserve">have </w:t>
      </w:r>
      <w:r w:rsidRPr="00FC6804">
        <w:rPr>
          <w:rFonts w:ascii="Arial" w:hAnsi="Arial" w:cs="Arial"/>
          <w:sz w:val="20"/>
          <w:szCs w:val="20"/>
        </w:rPr>
        <w:t>differ</w:t>
      </w:r>
      <w:r w:rsidR="006132FD" w:rsidRPr="00FC6804">
        <w:rPr>
          <w:rFonts w:ascii="Arial" w:hAnsi="Arial" w:cs="Arial"/>
          <w:sz w:val="20"/>
          <w:szCs w:val="20"/>
        </w:rPr>
        <w:t>ed</w:t>
      </w:r>
      <w:r w:rsidRPr="00FC6804">
        <w:rPr>
          <w:rFonts w:ascii="Arial" w:hAnsi="Arial" w:cs="Arial"/>
          <w:sz w:val="20"/>
          <w:szCs w:val="20"/>
        </w:rPr>
        <w:t xml:space="preserve"> widely, in large part because some sectors are dominated by larger businesses while others comprise mostly smaller concerns. </w:t>
      </w:r>
      <w:r w:rsidR="006132FD" w:rsidRPr="00FC6804">
        <w:rPr>
          <w:rFonts w:ascii="Arial" w:hAnsi="Arial" w:cs="Arial"/>
          <w:sz w:val="20"/>
          <w:szCs w:val="20"/>
        </w:rPr>
        <w:t>Prime</w:t>
      </w:r>
      <w:r w:rsidR="00397842" w:rsidRPr="00FC6804">
        <w:rPr>
          <w:rFonts w:ascii="Arial" w:hAnsi="Arial" w:cs="Arial"/>
          <w:sz w:val="20"/>
          <w:szCs w:val="20"/>
        </w:rPr>
        <w:t>S</w:t>
      </w:r>
      <w:r w:rsidR="006132FD" w:rsidRPr="00FC6804">
        <w:rPr>
          <w:rFonts w:ascii="Arial" w:hAnsi="Arial" w:cs="Arial"/>
          <w:sz w:val="20"/>
          <w:szCs w:val="20"/>
        </w:rPr>
        <w:t xml:space="preserve">afe’s Board believes that it is now necessary to achieve an improved matching between regulatory costs and fees across different groups of licensees.  </w:t>
      </w:r>
    </w:p>
    <w:p w:rsidR="006132FD" w:rsidRPr="00FC6804" w:rsidRDefault="006132FD" w:rsidP="00F97D07">
      <w:pPr>
        <w:pStyle w:val="NormalWeb"/>
        <w:spacing w:before="0" w:beforeAutospacing="0" w:after="0" w:afterAutospacing="0"/>
        <w:rPr>
          <w:rFonts w:ascii="Arial" w:hAnsi="Arial" w:cs="Arial"/>
          <w:sz w:val="20"/>
          <w:szCs w:val="20"/>
          <w:highlight w:val="yellow"/>
        </w:rPr>
      </w:pPr>
    </w:p>
    <w:p w:rsidR="006132FD" w:rsidRPr="00FC6804" w:rsidRDefault="006132FD" w:rsidP="00F97D07">
      <w:pPr>
        <w:pStyle w:val="NormalWeb"/>
        <w:spacing w:before="0" w:beforeAutospacing="0" w:after="0" w:afterAutospacing="0"/>
        <w:rPr>
          <w:rFonts w:ascii="Arial" w:hAnsi="Arial" w:cs="Arial"/>
          <w:sz w:val="20"/>
          <w:szCs w:val="20"/>
        </w:rPr>
      </w:pPr>
      <w:r w:rsidRPr="00FC6804">
        <w:rPr>
          <w:rFonts w:ascii="Arial" w:hAnsi="Arial" w:cs="Arial"/>
          <w:sz w:val="20"/>
          <w:szCs w:val="20"/>
        </w:rPr>
        <w:t xml:space="preserve">The third element of the proposed fee changes is a streamlining of the output-based fee categories established within the major licence types of abattoirs, further meat processing facilities and </w:t>
      </w:r>
      <w:r w:rsidR="00F97D07" w:rsidRPr="00FC6804">
        <w:rPr>
          <w:rFonts w:ascii="Arial" w:hAnsi="Arial" w:cs="Arial"/>
          <w:sz w:val="20"/>
          <w:szCs w:val="20"/>
        </w:rPr>
        <w:t xml:space="preserve">poultry processing facilities. </w:t>
      </w:r>
      <w:r w:rsidRPr="00FC6804">
        <w:rPr>
          <w:rFonts w:ascii="Arial" w:hAnsi="Arial" w:cs="Arial"/>
          <w:sz w:val="20"/>
          <w:szCs w:val="20"/>
        </w:rPr>
        <w:t xml:space="preserve">This proposed change responds to the restructuring that has occurred within the meat industry since the current licence categories and fees were established in 1993 and the consequent fact that some of the current licence categories contain either no licensees or a very small number of licensees.  </w:t>
      </w:r>
    </w:p>
    <w:p w:rsidR="006132FD" w:rsidRPr="00FC6804" w:rsidRDefault="006132FD" w:rsidP="00F97D07">
      <w:pPr>
        <w:pStyle w:val="NormalWeb"/>
        <w:spacing w:before="0" w:beforeAutospacing="0" w:after="0" w:afterAutospacing="0"/>
        <w:rPr>
          <w:rFonts w:ascii="Arial" w:hAnsi="Arial" w:cs="Arial"/>
          <w:sz w:val="20"/>
          <w:szCs w:val="20"/>
        </w:rPr>
      </w:pPr>
    </w:p>
    <w:p w:rsidR="00F97D07" w:rsidRPr="00FC6804" w:rsidRDefault="00F97D07" w:rsidP="00F97D07">
      <w:pPr>
        <w:pStyle w:val="NormalWeb"/>
        <w:spacing w:before="0" w:beforeAutospacing="0" w:after="0" w:afterAutospacing="0"/>
        <w:rPr>
          <w:rFonts w:ascii="Arial" w:hAnsi="Arial" w:cs="Arial"/>
          <w:sz w:val="20"/>
          <w:szCs w:val="20"/>
        </w:rPr>
      </w:pPr>
    </w:p>
    <w:p w:rsidR="00F97D07" w:rsidRPr="00FC6804" w:rsidRDefault="00F97D07" w:rsidP="00F97D07">
      <w:pPr>
        <w:pStyle w:val="NormalWeb"/>
        <w:spacing w:before="0" w:beforeAutospacing="0" w:after="0" w:afterAutospacing="0"/>
        <w:rPr>
          <w:rFonts w:ascii="Arial" w:hAnsi="Arial" w:cs="Arial"/>
          <w:sz w:val="20"/>
          <w:szCs w:val="20"/>
        </w:rPr>
      </w:pPr>
    </w:p>
    <w:p w:rsidR="00F97D07" w:rsidRPr="00FC6804" w:rsidRDefault="00F97D07" w:rsidP="00F97D07">
      <w:pPr>
        <w:pStyle w:val="NormalWeb"/>
        <w:spacing w:before="0" w:beforeAutospacing="0" w:after="0" w:afterAutospacing="0"/>
        <w:rPr>
          <w:rFonts w:ascii="Arial" w:hAnsi="Arial" w:cs="Arial"/>
          <w:sz w:val="20"/>
          <w:szCs w:val="20"/>
        </w:rPr>
      </w:pPr>
    </w:p>
    <w:p w:rsidR="0022645C" w:rsidRPr="00FC6804" w:rsidRDefault="005F41B5" w:rsidP="00F97D07">
      <w:pPr>
        <w:pStyle w:val="NormalWeb"/>
        <w:spacing w:before="0" w:beforeAutospacing="0" w:after="0" w:afterAutospacing="0"/>
        <w:rPr>
          <w:rFonts w:ascii="Arial" w:hAnsi="Arial" w:cs="Arial"/>
          <w:sz w:val="20"/>
          <w:szCs w:val="20"/>
        </w:rPr>
      </w:pPr>
      <w:r w:rsidRPr="00FC6804">
        <w:rPr>
          <w:rFonts w:ascii="Arial" w:hAnsi="Arial" w:cs="Arial"/>
          <w:sz w:val="20"/>
          <w:szCs w:val="20"/>
        </w:rPr>
        <w:lastRenderedPageBreak/>
        <w:t xml:space="preserve">Four </w:t>
      </w:r>
      <w:r w:rsidR="0022645C" w:rsidRPr="00FC6804">
        <w:rPr>
          <w:rFonts w:ascii="Arial" w:hAnsi="Arial" w:cs="Arial"/>
          <w:sz w:val="20"/>
          <w:szCs w:val="20"/>
        </w:rPr>
        <w:t>options</w:t>
      </w:r>
      <w:r w:rsidR="0007788D" w:rsidRPr="00FC6804">
        <w:rPr>
          <w:rFonts w:ascii="Arial" w:hAnsi="Arial" w:cs="Arial"/>
          <w:sz w:val="20"/>
          <w:szCs w:val="20"/>
        </w:rPr>
        <w:t xml:space="preserve"> for the future </w:t>
      </w:r>
      <w:r w:rsidR="00397842" w:rsidRPr="00FC6804">
        <w:rPr>
          <w:rFonts w:ascii="Arial" w:hAnsi="Arial" w:cs="Arial"/>
          <w:sz w:val="20"/>
          <w:szCs w:val="20"/>
        </w:rPr>
        <w:t>PrimeSafe</w:t>
      </w:r>
      <w:r w:rsidR="0007788D" w:rsidRPr="00FC6804">
        <w:rPr>
          <w:rFonts w:ascii="Arial" w:hAnsi="Arial" w:cs="Arial"/>
          <w:sz w:val="20"/>
          <w:szCs w:val="20"/>
        </w:rPr>
        <w:t xml:space="preserve"> fee structure</w:t>
      </w:r>
      <w:r w:rsidR="00F97D07" w:rsidRPr="00FC6804">
        <w:rPr>
          <w:rFonts w:ascii="Arial" w:hAnsi="Arial" w:cs="Arial"/>
          <w:sz w:val="20"/>
          <w:szCs w:val="20"/>
        </w:rPr>
        <w:t xml:space="preserve"> have been considered. </w:t>
      </w:r>
      <w:r w:rsidR="0007788D" w:rsidRPr="00FC6804">
        <w:rPr>
          <w:rFonts w:ascii="Arial" w:hAnsi="Arial" w:cs="Arial"/>
          <w:sz w:val="20"/>
          <w:szCs w:val="20"/>
        </w:rPr>
        <w:t>All would necessarily increase total revenue to a level sufficient to meet bud</w:t>
      </w:r>
      <w:r w:rsidR="00F97D07" w:rsidRPr="00FC6804">
        <w:rPr>
          <w:rFonts w:ascii="Arial" w:hAnsi="Arial" w:cs="Arial"/>
          <w:sz w:val="20"/>
          <w:szCs w:val="20"/>
        </w:rPr>
        <w:t xml:space="preserve">geted future regulatory costs. </w:t>
      </w:r>
      <w:r w:rsidR="0007788D" w:rsidRPr="00FC6804">
        <w:rPr>
          <w:rFonts w:ascii="Arial" w:hAnsi="Arial" w:cs="Arial"/>
          <w:sz w:val="20"/>
          <w:szCs w:val="20"/>
        </w:rPr>
        <w:t xml:space="preserve">However, they differ in terms of their approach to the objective of rebalancing fees to achieve </w:t>
      </w:r>
      <w:r w:rsidR="00CF47C5" w:rsidRPr="00FC6804">
        <w:rPr>
          <w:rFonts w:ascii="Arial" w:hAnsi="Arial" w:cs="Arial"/>
          <w:sz w:val="20"/>
          <w:szCs w:val="20"/>
        </w:rPr>
        <w:t>greater equ</w:t>
      </w:r>
      <w:r w:rsidR="00F97D07" w:rsidRPr="00FC6804">
        <w:rPr>
          <w:rFonts w:ascii="Arial" w:hAnsi="Arial" w:cs="Arial"/>
          <w:sz w:val="20"/>
          <w:szCs w:val="20"/>
        </w:rPr>
        <w:t xml:space="preserve">ity across licence categories. </w:t>
      </w:r>
      <w:r w:rsidR="00CF47C5" w:rsidRPr="00FC6804">
        <w:rPr>
          <w:rFonts w:ascii="Arial" w:hAnsi="Arial" w:cs="Arial"/>
          <w:sz w:val="20"/>
          <w:szCs w:val="20"/>
        </w:rPr>
        <w:t xml:space="preserve">The </w:t>
      </w:r>
      <w:r w:rsidR="00FB5927">
        <w:rPr>
          <w:rFonts w:ascii="Arial" w:hAnsi="Arial" w:cs="Arial"/>
          <w:sz w:val="20"/>
          <w:szCs w:val="20"/>
        </w:rPr>
        <w:t>four</w:t>
      </w:r>
      <w:r w:rsidR="00CF47C5" w:rsidRPr="00FC6804">
        <w:rPr>
          <w:rFonts w:ascii="Arial" w:hAnsi="Arial" w:cs="Arial"/>
          <w:sz w:val="20"/>
          <w:szCs w:val="20"/>
        </w:rPr>
        <w:t xml:space="preserve"> options </w:t>
      </w:r>
      <w:r w:rsidR="0022645C" w:rsidRPr="00FC6804">
        <w:rPr>
          <w:rFonts w:ascii="Arial" w:hAnsi="Arial" w:cs="Arial"/>
          <w:sz w:val="20"/>
          <w:szCs w:val="20"/>
        </w:rPr>
        <w:t>are:</w:t>
      </w:r>
    </w:p>
    <w:p w:rsidR="0022645C" w:rsidRPr="00FC6804" w:rsidRDefault="0022645C" w:rsidP="00F97D07">
      <w:pPr>
        <w:pStyle w:val="NormalWeb"/>
        <w:spacing w:before="0" w:beforeAutospacing="0" w:after="0" w:afterAutospacing="0"/>
        <w:rPr>
          <w:rFonts w:ascii="Arial" w:hAnsi="Arial" w:cs="Arial"/>
          <w:sz w:val="20"/>
          <w:szCs w:val="20"/>
        </w:rPr>
      </w:pPr>
    </w:p>
    <w:p w:rsidR="005F41B5" w:rsidRPr="00FC6804" w:rsidRDefault="004634B4" w:rsidP="00F97D07">
      <w:pPr>
        <w:pStyle w:val="NormalWeb"/>
        <w:numPr>
          <w:ilvl w:val="0"/>
          <w:numId w:val="13"/>
        </w:numPr>
        <w:spacing w:before="0" w:beforeAutospacing="0" w:after="0" w:afterAutospacing="0"/>
        <w:rPr>
          <w:rFonts w:ascii="Arial" w:hAnsi="Arial" w:cs="Arial"/>
          <w:sz w:val="20"/>
          <w:szCs w:val="20"/>
        </w:rPr>
      </w:pPr>
      <w:r>
        <w:rPr>
          <w:rFonts w:ascii="Arial" w:hAnsi="Arial" w:cs="Arial"/>
          <w:sz w:val="20"/>
          <w:szCs w:val="20"/>
        </w:rPr>
        <w:t xml:space="preserve">Option </w:t>
      </w:r>
      <w:r w:rsidR="00235038">
        <w:rPr>
          <w:rFonts w:ascii="Arial" w:hAnsi="Arial" w:cs="Arial"/>
          <w:sz w:val="20"/>
          <w:szCs w:val="20"/>
        </w:rPr>
        <w:t xml:space="preserve">1 </w:t>
      </w:r>
      <w:r w:rsidR="00235038" w:rsidRPr="00FC6804">
        <w:rPr>
          <w:rFonts w:ascii="Arial" w:hAnsi="Arial" w:cs="Arial"/>
          <w:sz w:val="20"/>
          <w:szCs w:val="20"/>
        </w:rPr>
        <w:t>which</w:t>
      </w:r>
      <w:r w:rsidR="005F41B5" w:rsidRPr="00FC6804">
        <w:rPr>
          <w:rFonts w:ascii="Arial" w:hAnsi="Arial" w:cs="Arial"/>
          <w:sz w:val="20"/>
          <w:szCs w:val="20"/>
        </w:rPr>
        <w:t xml:space="preserve"> would retain the existing fee </w:t>
      </w:r>
      <w:r>
        <w:rPr>
          <w:rFonts w:ascii="Arial" w:hAnsi="Arial" w:cs="Arial"/>
          <w:sz w:val="20"/>
          <w:szCs w:val="20"/>
        </w:rPr>
        <w:t>structure</w:t>
      </w:r>
      <w:r w:rsidR="005F41B5" w:rsidRPr="00FC6804">
        <w:rPr>
          <w:rFonts w:ascii="Arial" w:hAnsi="Arial" w:cs="Arial"/>
          <w:sz w:val="20"/>
          <w:szCs w:val="20"/>
        </w:rPr>
        <w:t>, simply adopting a 25% increase in all fees in order to ensure that full cost recovery is maintained in light of the larger 2016-17 budget;</w:t>
      </w:r>
    </w:p>
    <w:p w:rsidR="00F97D07" w:rsidRPr="00FC6804" w:rsidRDefault="00F97D07" w:rsidP="00F97D07">
      <w:pPr>
        <w:pStyle w:val="NormalWeb"/>
        <w:spacing w:before="0" w:beforeAutospacing="0" w:after="0" w:afterAutospacing="0"/>
        <w:ind w:left="720"/>
        <w:rPr>
          <w:rFonts w:ascii="Arial" w:hAnsi="Arial" w:cs="Arial"/>
          <w:sz w:val="20"/>
          <w:szCs w:val="20"/>
        </w:rPr>
      </w:pPr>
    </w:p>
    <w:p w:rsidR="0022645C" w:rsidRPr="00FC6804" w:rsidRDefault="005F41B5" w:rsidP="00F97D07">
      <w:pPr>
        <w:pStyle w:val="NormalWeb"/>
        <w:numPr>
          <w:ilvl w:val="0"/>
          <w:numId w:val="13"/>
        </w:numPr>
        <w:spacing w:before="0" w:beforeAutospacing="0" w:after="0" w:afterAutospacing="0"/>
        <w:rPr>
          <w:rFonts w:ascii="Arial" w:hAnsi="Arial" w:cs="Arial"/>
          <w:sz w:val="20"/>
          <w:szCs w:val="20"/>
        </w:rPr>
      </w:pPr>
      <w:r w:rsidRPr="00FC6804">
        <w:rPr>
          <w:rFonts w:ascii="Arial" w:hAnsi="Arial" w:cs="Arial"/>
          <w:sz w:val="20"/>
          <w:szCs w:val="20"/>
        </w:rPr>
        <w:t xml:space="preserve">Option 2 </w:t>
      </w:r>
      <w:r w:rsidR="00FF0CA7" w:rsidRPr="00FC6804">
        <w:rPr>
          <w:rFonts w:ascii="Arial" w:hAnsi="Arial" w:cs="Arial"/>
          <w:sz w:val="20"/>
          <w:szCs w:val="20"/>
        </w:rPr>
        <w:t>which would make limited changes to the existing fee structure, increasing cost recovery in key areas in which it is particularly low</w:t>
      </w:r>
      <w:r w:rsidR="00AD1DDF">
        <w:rPr>
          <w:rFonts w:ascii="Arial" w:hAnsi="Arial" w:cs="Arial"/>
          <w:sz w:val="20"/>
          <w:szCs w:val="20"/>
        </w:rPr>
        <w:t xml:space="preserve"> at present and revising output </w:t>
      </w:r>
      <w:r w:rsidR="00FF0CA7" w:rsidRPr="00FC6804">
        <w:rPr>
          <w:rFonts w:ascii="Arial" w:hAnsi="Arial" w:cs="Arial"/>
          <w:sz w:val="20"/>
          <w:szCs w:val="20"/>
        </w:rPr>
        <w:t>related fee categories;</w:t>
      </w:r>
    </w:p>
    <w:p w:rsidR="00F97D07" w:rsidRPr="00FC6804" w:rsidRDefault="00F97D07" w:rsidP="00F97D07">
      <w:pPr>
        <w:pStyle w:val="NormalWeb"/>
        <w:spacing w:before="0" w:beforeAutospacing="0" w:after="0" w:afterAutospacing="0"/>
        <w:rPr>
          <w:rFonts w:ascii="Arial" w:hAnsi="Arial" w:cs="Arial"/>
          <w:sz w:val="20"/>
          <w:szCs w:val="20"/>
        </w:rPr>
      </w:pPr>
    </w:p>
    <w:p w:rsidR="00F97D07" w:rsidRPr="00FC6804" w:rsidRDefault="00FF0CA7" w:rsidP="00F97D07">
      <w:pPr>
        <w:pStyle w:val="NormalWeb"/>
        <w:numPr>
          <w:ilvl w:val="0"/>
          <w:numId w:val="13"/>
        </w:numPr>
        <w:spacing w:before="0" w:beforeAutospacing="0" w:after="0" w:afterAutospacing="0"/>
        <w:rPr>
          <w:rFonts w:ascii="Arial" w:hAnsi="Arial" w:cs="Arial"/>
          <w:sz w:val="20"/>
          <w:szCs w:val="20"/>
        </w:rPr>
      </w:pPr>
      <w:r w:rsidRPr="00FC6804">
        <w:rPr>
          <w:rFonts w:ascii="Arial" w:hAnsi="Arial" w:cs="Arial"/>
          <w:sz w:val="20"/>
          <w:szCs w:val="20"/>
        </w:rPr>
        <w:t xml:space="preserve">Option </w:t>
      </w:r>
      <w:r w:rsidR="004634B4">
        <w:rPr>
          <w:rFonts w:ascii="Arial" w:hAnsi="Arial" w:cs="Arial"/>
          <w:sz w:val="20"/>
          <w:szCs w:val="20"/>
        </w:rPr>
        <w:t xml:space="preserve">3 </w:t>
      </w:r>
      <w:r w:rsidRPr="00FC6804">
        <w:rPr>
          <w:rFonts w:ascii="Arial" w:hAnsi="Arial" w:cs="Arial"/>
          <w:sz w:val="20"/>
          <w:szCs w:val="20"/>
        </w:rPr>
        <w:t>which would ensure a close correlation between regulatory costs and fee revenues is incurred at the level of individual licence types; and</w:t>
      </w:r>
    </w:p>
    <w:p w:rsidR="00FF0CA7" w:rsidRPr="00FC6804" w:rsidRDefault="00FF0CA7" w:rsidP="00F97D07">
      <w:pPr>
        <w:pStyle w:val="NormalWeb"/>
        <w:spacing w:before="0" w:beforeAutospacing="0" w:after="0" w:afterAutospacing="0"/>
        <w:rPr>
          <w:rFonts w:ascii="Arial" w:hAnsi="Arial" w:cs="Arial"/>
          <w:sz w:val="20"/>
          <w:szCs w:val="20"/>
        </w:rPr>
      </w:pPr>
      <w:r w:rsidRPr="00FC6804">
        <w:rPr>
          <w:rFonts w:ascii="Arial" w:hAnsi="Arial" w:cs="Arial"/>
          <w:sz w:val="20"/>
          <w:szCs w:val="20"/>
        </w:rPr>
        <w:t xml:space="preserve"> </w:t>
      </w:r>
    </w:p>
    <w:p w:rsidR="00FF0CA7" w:rsidRPr="00FC6804" w:rsidRDefault="00FF0CA7" w:rsidP="00F97D07">
      <w:pPr>
        <w:pStyle w:val="NormalWeb"/>
        <w:numPr>
          <w:ilvl w:val="0"/>
          <w:numId w:val="13"/>
        </w:numPr>
        <w:spacing w:before="0" w:beforeAutospacing="0" w:after="0" w:afterAutospacing="0"/>
        <w:rPr>
          <w:rFonts w:ascii="Arial" w:hAnsi="Arial" w:cs="Arial"/>
          <w:sz w:val="20"/>
          <w:szCs w:val="20"/>
        </w:rPr>
      </w:pPr>
      <w:r w:rsidRPr="00FC6804">
        <w:rPr>
          <w:rFonts w:ascii="Arial" w:hAnsi="Arial" w:cs="Arial"/>
          <w:sz w:val="20"/>
          <w:szCs w:val="20"/>
        </w:rPr>
        <w:t xml:space="preserve">Option </w:t>
      </w:r>
      <w:r w:rsidR="005F41B5" w:rsidRPr="00FC6804">
        <w:rPr>
          <w:rFonts w:ascii="Arial" w:hAnsi="Arial" w:cs="Arial"/>
          <w:sz w:val="20"/>
          <w:szCs w:val="20"/>
        </w:rPr>
        <w:t>4</w:t>
      </w:r>
      <w:r w:rsidRPr="00FC6804">
        <w:rPr>
          <w:rFonts w:ascii="Arial" w:hAnsi="Arial" w:cs="Arial"/>
          <w:sz w:val="20"/>
          <w:szCs w:val="20"/>
        </w:rPr>
        <w:t xml:space="preserve"> which is similar to Option 2 but als</w:t>
      </w:r>
      <w:r w:rsidR="004634B4">
        <w:rPr>
          <w:rFonts w:ascii="Arial" w:hAnsi="Arial" w:cs="Arial"/>
          <w:sz w:val="20"/>
          <w:szCs w:val="20"/>
        </w:rPr>
        <w:t>o involves adopting a more risk-</w:t>
      </w:r>
      <w:r w:rsidRPr="00FC6804">
        <w:rPr>
          <w:rFonts w:ascii="Arial" w:hAnsi="Arial" w:cs="Arial"/>
          <w:sz w:val="20"/>
          <w:szCs w:val="20"/>
        </w:rPr>
        <w:t>based approach to regulatory inspections</w:t>
      </w:r>
      <w:r w:rsidR="00335DE8" w:rsidRPr="00FC6804">
        <w:rPr>
          <w:rFonts w:ascii="Arial" w:hAnsi="Arial" w:cs="Arial"/>
          <w:sz w:val="20"/>
          <w:szCs w:val="20"/>
        </w:rPr>
        <w:t>, with consequent cost reductions</w:t>
      </w:r>
      <w:r w:rsidRPr="00FC6804">
        <w:rPr>
          <w:rFonts w:ascii="Arial" w:hAnsi="Arial" w:cs="Arial"/>
          <w:sz w:val="20"/>
          <w:szCs w:val="20"/>
        </w:rPr>
        <w:t>.</w:t>
      </w:r>
    </w:p>
    <w:p w:rsidR="00FF0CA7" w:rsidRPr="00FC6804" w:rsidRDefault="00FF0CA7" w:rsidP="00F97D07">
      <w:pPr>
        <w:pStyle w:val="NormalWeb"/>
        <w:spacing w:before="0" w:beforeAutospacing="0" w:after="0" w:afterAutospacing="0"/>
        <w:rPr>
          <w:rFonts w:ascii="Arial" w:hAnsi="Arial" w:cs="Arial"/>
          <w:sz w:val="20"/>
          <w:szCs w:val="20"/>
        </w:rPr>
      </w:pPr>
    </w:p>
    <w:p w:rsidR="00FF0CA7" w:rsidRPr="00FC6804" w:rsidRDefault="00FF0CA7" w:rsidP="00F97D07">
      <w:pPr>
        <w:pStyle w:val="NormalWeb"/>
        <w:spacing w:before="0" w:beforeAutospacing="0" w:after="0" w:afterAutospacing="0"/>
        <w:rPr>
          <w:rFonts w:ascii="Arial" w:hAnsi="Arial" w:cs="Arial"/>
          <w:sz w:val="20"/>
          <w:szCs w:val="20"/>
        </w:rPr>
      </w:pPr>
      <w:r w:rsidRPr="00FC6804">
        <w:rPr>
          <w:rFonts w:ascii="Arial" w:hAnsi="Arial" w:cs="Arial"/>
          <w:sz w:val="20"/>
          <w:szCs w:val="20"/>
        </w:rPr>
        <w:t xml:space="preserve">Option </w:t>
      </w:r>
      <w:r w:rsidR="005F41B5" w:rsidRPr="00FC6804">
        <w:rPr>
          <w:rFonts w:ascii="Arial" w:hAnsi="Arial" w:cs="Arial"/>
          <w:sz w:val="20"/>
          <w:szCs w:val="20"/>
        </w:rPr>
        <w:t xml:space="preserve">2 </w:t>
      </w:r>
      <w:r w:rsidR="00F97D07" w:rsidRPr="00FC6804">
        <w:rPr>
          <w:rFonts w:ascii="Arial" w:hAnsi="Arial" w:cs="Arial"/>
          <w:sz w:val="20"/>
          <w:szCs w:val="20"/>
        </w:rPr>
        <w:t xml:space="preserve">is the preferred option. </w:t>
      </w:r>
      <w:r w:rsidRPr="00FC6804">
        <w:rPr>
          <w:rFonts w:ascii="Arial" w:hAnsi="Arial" w:cs="Arial"/>
          <w:sz w:val="20"/>
          <w:szCs w:val="20"/>
        </w:rPr>
        <w:t xml:space="preserve">The Board believes that </w:t>
      </w:r>
      <w:r w:rsidR="005F41B5" w:rsidRPr="00FC6804">
        <w:rPr>
          <w:rFonts w:ascii="Arial" w:hAnsi="Arial" w:cs="Arial"/>
          <w:sz w:val="20"/>
          <w:szCs w:val="20"/>
        </w:rPr>
        <w:t>it is necessary to move to better balance regulatory costs and revenues at the leve</w:t>
      </w:r>
      <w:r w:rsidR="00F97D07" w:rsidRPr="00FC6804">
        <w:rPr>
          <w:rFonts w:ascii="Arial" w:hAnsi="Arial" w:cs="Arial"/>
          <w:sz w:val="20"/>
          <w:szCs w:val="20"/>
        </w:rPr>
        <w:t xml:space="preserve">l of individual licence types. </w:t>
      </w:r>
      <w:r w:rsidR="005F41B5" w:rsidRPr="00FC6804">
        <w:rPr>
          <w:rFonts w:ascii="Arial" w:hAnsi="Arial" w:cs="Arial"/>
          <w:sz w:val="20"/>
          <w:szCs w:val="20"/>
        </w:rPr>
        <w:t>Unlike Option 1, Option 2 makes significa</w:t>
      </w:r>
      <w:r w:rsidR="00F97D07" w:rsidRPr="00FC6804">
        <w:rPr>
          <w:rFonts w:ascii="Arial" w:hAnsi="Arial" w:cs="Arial"/>
          <w:sz w:val="20"/>
          <w:szCs w:val="20"/>
        </w:rPr>
        <w:t>nt progress in this direction. PrimeSafe</w:t>
      </w:r>
      <w:r w:rsidR="005F41B5" w:rsidRPr="00FC6804">
        <w:rPr>
          <w:rFonts w:ascii="Arial" w:hAnsi="Arial" w:cs="Arial"/>
          <w:sz w:val="20"/>
          <w:szCs w:val="20"/>
        </w:rPr>
        <w:t xml:space="preserve"> believes that </w:t>
      </w:r>
      <w:r w:rsidRPr="00FC6804">
        <w:rPr>
          <w:rFonts w:ascii="Arial" w:hAnsi="Arial" w:cs="Arial"/>
          <w:sz w:val="20"/>
          <w:szCs w:val="20"/>
        </w:rPr>
        <w:t>further moves toward balancing costs and revenues for individual licence types shoul</w:t>
      </w:r>
      <w:r w:rsidR="00AD1DDF">
        <w:rPr>
          <w:rFonts w:ascii="Arial" w:hAnsi="Arial" w:cs="Arial"/>
          <w:sz w:val="20"/>
          <w:szCs w:val="20"/>
        </w:rPr>
        <w:t xml:space="preserve">d be taken in the medium term. </w:t>
      </w:r>
      <w:r w:rsidRPr="00FC6804">
        <w:rPr>
          <w:rFonts w:ascii="Arial" w:hAnsi="Arial" w:cs="Arial"/>
          <w:sz w:val="20"/>
          <w:szCs w:val="20"/>
        </w:rPr>
        <w:t>However, three factors militate against moving immediately toward this outcome as proposed under Option</w:t>
      </w:r>
      <w:r w:rsidR="005F41B5" w:rsidRPr="00FC6804">
        <w:rPr>
          <w:rFonts w:ascii="Arial" w:hAnsi="Arial" w:cs="Arial"/>
          <w:sz w:val="20"/>
          <w:szCs w:val="20"/>
        </w:rPr>
        <w:t>s</w:t>
      </w:r>
      <w:r w:rsidRPr="00FC6804">
        <w:rPr>
          <w:rFonts w:ascii="Arial" w:hAnsi="Arial" w:cs="Arial"/>
          <w:sz w:val="20"/>
          <w:szCs w:val="20"/>
        </w:rPr>
        <w:t xml:space="preserve"> </w:t>
      </w:r>
      <w:r w:rsidR="005F41B5" w:rsidRPr="00FC6804">
        <w:rPr>
          <w:rFonts w:ascii="Arial" w:hAnsi="Arial" w:cs="Arial"/>
          <w:sz w:val="20"/>
          <w:szCs w:val="20"/>
        </w:rPr>
        <w:t>3 and 4</w:t>
      </w:r>
      <w:r w:rsidR="00F97D07" w:rsidRPr="00FC6804">
        <w:rPr>
          <w:rFonts w:ascii="Arial" w:hAnsi="Arial" w:cs="Arial"/>
          <w:sz w:val="20"/>
          <w:szCs w:val="20"/>
        </w:rPr>
        <w:t xml:space="preserve">. </w:t>
      </w:r>
      <w:r w:rsidRPr="00FC6804">
        <w:rPr>
          <w:rFonts w:ascii="Arial" w:hAnsi="Arial" w:cs="Arial"/>
          <w:sz w:val="20"/>
          <w:szCs w:val="20"/>
        </w:rPr>
        <w:t>These are:</w:t>
      </w:r>
    </w:p>
    <w:p w:rsidR="00FF0CA7" w:rsidRPr="00FC6804" w:rsidRDefault="00FF0CA7" w:rsidP="00F97D07">
      <w:pPr>
        <w:pStyle w:val="NormalWeb"/>
        <w:spacing w:before="0" w:beforeAutospacing="0" w:after="0" w:afterAutospacing="0"/>
        <w:rPr>
          <w:rFonts w:ascii="Arial" w:hAnsi="Arial" w:cs="Arial"/>
          <w:sz w:val="20"/>
          <w:szCs w:val="20"/>
        </w:rPr>
      </w:pPr>
    </w:p>
    <w:p w:rsidR="00FF0CA7" w:rsidRPr="00FC6804" w:rsidRDefault="00FF0CA7" w:rsidP="00F97D07">
      <w:pPr>
        <w:pStyle w:val="NormalWeb"/>
        <w:numPr>
          <w:ilvl w:val="0"/>
          <w:numId w:val="14"/>
        </w:numPr>
        <w:spacing w:before="0" w:beforeAutospacing="0" w:after="0" w:afterAutospacing="0"/>
        <w:rPr>
          <w:rFonts w:ascii="Arial" w:hAnsi="Arial" w:cs="Arial"/>
          <w:sz w:val="20"/>
          <w:szCs w:val="20"/>
        </w:rPr>
      </w:pPr>
      <w:r w:rsidRPr="00FC6804">
        <w:rPr>
          <w:rFonts w:ascii="Arial" w:hAnsi="Arial" w:cs="Arial"/>
          <w:sz w:val="20"/>
          <w:szCs w:val="20"/>
        </w:rPr>
        <w:t>The substantial immediate fee increases that would be faced by some groups of licensees, particularly in the small business sector;</w:t>
      </w:r>
    </w:p>
    <w:p w:rsidR="00F97D07" w:rsidRPr="00FC6804" w:rsidRDefault="00F97D07" w:rsidP="00F97D07">
      <w:pPr>
        <w:pStyle w:val="NormalWeb"/>
        <w:spacing w:before="0" w:beforeAutospacing="0" w:after="0" w:afterAutospacing="0"/>
        <w:ind w:left="720"/>
        <w:rPr>
          <w:rFonts w:ascii="Arial" w:hAnsi="Arial" w:cs="Arial"/>
          <w:sz w:val="20"/>
          <w:szCs w:val="20"/>
        </w:rPr>
      </w:pPr>
    </w:p>
    <w:p w:rsidR="00F97D07" w:rsidRPr="00FC6804" w:rsidRDefault="00FF0CA7" w:rsidP="00F97D07">
      <w:pPr>
        <w:pStyle w:val="NormalWeb"/>
        <w:numPr>
          <w:ilvl w:val="0"/>
          <w:numId w:val="14"/>
        </w:numPr>
        <w:spacing w:before="0" w:beforeAutospacing="0" w:after="0" w:afterAutospacing="0"/>
        <w:rPr>
          <w:rFonts w:ascii="Arial" w:hAnsi="Arial" w:cs="Arial"/>
          <w:sz w:val="20"/>
          <w:szCs w:val="20"/>
        </w:rPr>
      </w:pPr>
      <w:r w:rsidRPr="00FC6804">
        <w:rPr>
          <w:rFonts w:ascii="Arial" w:hAnsi="Arial" w:cs="Arial"/>
          <w:sz w:val="20"/>
          <w:szCs w:val="20"/>
        </w:rPr>
        <w:t>The fact that the cost data currently available to Prime</w:t>
      </w:r>
      <w:r w:rsidR="00F97D07" w:rsidRPr="00FC6804">
        <w:rPr>
          <w:rFonts w:ascii="Arial" w:hAnsi="Arial" w:cs="Arial"/>
          <w:sz w:val="20"/>
          <w:szCs w:val="20"/>
        </w:rPr>
        <w:t>S</w:t>
      </w:r>
      <w:r w:rsidRPr="00FC6804">
        <w:rPr>
          <w:rFonts w:ascii="Arial" w:hAnsi="Arial" w:cs="Arial"/>
          <w:sz w:val="20"/>
          <w:szCs w:val="20"/>
        </w:rPr>
        <w:t>afe is insufficiently detailed and of inadequate quality to provide a high level of assurance that the resultin</w:t>
      </w:r>
      <w:r w:rsidR="00F97D07" w:rsidRPr="00FC6804">
        <w:rPr>
          <w:rFonts w:ascii="Arial" w:hAnsi="Arial" w:cs="Arial"/>
          <w:sz w:val="20"/>
          <w:szCs w:val="20"/>
        </w:rPr>
        <w:t>g fees would be appropriate; and</w:t>
      </w:r>
    </w:p>
    <w:p w:rsidR="00F97D07" w:rsidRPr="00FC6804" w:rsidRDefault="00F97D07" w:rsidP="00F97D07">
      <w:pPr>
        <w:pStyle w:val="NormalWeb"/>
        <w:spacing w:before="0" w:beforeAutospacing="0" w:after="0" w:afterAutospacing="0"/>
        <w:ind w:left="720"/>
        <w:rPr>
          <w:rFonts w:ascii="Arial" w:hAnsi="Arial" w:cs="Arial"/>
          <w:sz w:val="20"/>
          <w:szCs w:val="20"/>
        </w:rPr>
      </w:pPr>
    </w:p>
    <w:p w:rsidR="00FF0CA7" w:rsidRPr="00FC6804" w:rsidRDefault="00FF0CA7" w:rsidP="00F97D07">
      <w:pPr>
        <w:pStyle w:val="NormalWeb"/>
        <w:numPr>
          <w:ilvl w:val="0"/>
          <w:numId w:val="14"/>
        </w:numPr>
        <w:spacing w:before="0" w:beforeAutospacing="0" w:after="0" w:afterAutospacing="0"/>
        <w:rPr>
          <w:rFonts w:ascii="Arial" w:hAnsi="Arial" w:cs="Arial"/>
          <w:sz w:val="20"/>
          <w:szCs w:val="20"/>
        </w:rPr>
      </w:pPr>
      <w:r w:rsidRPr="00FC6804">
        <w:rPr>
          <w:rFonts w:ascii="Arial" w:hAnsi="Arial" w:cs="Arial"/>
          <w:sz w:val="20"/>
          <w:szCs w:val="20"/>
        </w:rPr>
        <w:t>The need to consider and potentially implement over time moves toward the adoption of risk-based approaches to inspections and potentially some other regulatory functions, as envisaged in the Ministerial Statement of Expectations, and the consequent inappropriateness of adopting major fee changes in advance of the significant changes to cost structures that may result.</w:t>
      </w:r>
    </w:p>
    <w:p w:rsidR="00FF0CA7" w:rsidRPr="00FC6804" w:rsidRDefault="00FF0CA7" w:rsidP="00F97D07">
      <w:pPr>
        <w:pStyle w:val="NormalWeb"/>
        <w:spacing w:before="0" w:beforeAutospacing="0" w:after="0" w:afterAutospacing="0"/>
        <w:rPr>
          <w:rFonts w:ascii="Arial" w:hAnsi="Arial" w:cs="Arial"/>
          <w:sz w:val="20"/>
          <w:szCs w:val="20"/>
        </w:rPr>
      </w:pPr>
    </w:p>
    <w:p w:rsidR="007D32A8" w:rsidRPr="00FC6804" w:rsidRDefault="001F5559" w:rsidP="00F97D07">
      <w:pPr>
        <w:pStyle w:val="NormalWeb"/>
        <w:spacing w:before="0" w:beforeAutospacing="0" w:after="0" w:afterAutospacing="0"/>
        <w:rPr>
          <w:rFonts w:ascii="Arial" w:hAnsi="Arial" w:cs="Arial"/>
          <w:sz w:val="20"/>
          <w:szCs w:val="20"/>
        </w:rPr>
      </w:pPr>
      <w:r w:rsidRPr="00FC6804">
        <w:rPr>
          <w:rFonts w:ascii="Arial" w:hAnsi="Arial" w:cs="Arial"/>
          <w:sz w:val="20"/>
          <w:szCs w:val="20"/>
        </w:rPr>
        <w:t xml:space="preserve">Table 1 sets out the proposed </w:t>
      </w:r>
      <w:r w:rsidR="004634B4">
        <w:rPr>
          <w:rFonts w:ascii="Arial" w:hAnsi="Arial" w:cs="Arial"/>
          <w:sz w:val="20"/>
          <w:szCs w:val="20"/>
        </w:rPr>
        <w:t xml:space="preserve">fees </w:t>
      </w:r>
      <w:r w:rsidRPr="00FC6804">
        <w:rPr>
          <w:rFonts w:ascii="Arial" w:hAnsi="Arial" w:cs="Arial"/>
          <w:sz w:val="20"/>
          <w:szCs w:val="20"/>
        </w:rPr>
        <w:t xml:space="preserve">to be adopted </w:t>
      </w:r>
      <w:r w:rsidR="00CF47C5" w:rsidRPr="00FC6804">
        <w:rPr>
          <w:rFonts w:ascii="Arial" w:hAnsi="Arial" w:cs="Arial"/>
          <w:sz w:val="20"/>
          <w:szCs w:val="20"/>
        </w:rPr>
        <w:t xml:space="preserve">under Option </w:t>
      </w:r>
      <w:r w:rsidR="005F41B5" w:rsidRPr="00FC6804">
        <w:rPr>
          <w:rFonts w:ascii="Arial" w:hAnsi="Arial" w:cs="Arial"/>
          <w:sz w:val="20"/>
          <w:szCs w:val="20"/>
        </w:rPr>
        <w:t xml:space="preserve">2 </w:t>
      </w:r>
      <w:r w:rsidRPr="00FC6804">
        <w:rPr>
          <w:rFonts w:ascii="Arial" w:hAnsi="Arial" w:cs="Arial"/>
          <w:sz w:val="20"/>
          <w:szCs w:val="20"/>
        </w:rPr>
        <w:t xml:space="preserve">and compares these with the current fees. </w:t>
      </w:r>
      <w:r w:rsidR="007D32A8" w:rsidRPr="00FC6804">
        <w:rPr>
          <w:rFonts w:ascii="Arial" w:hAnsi="Arial" w:cs="Arial"/>
          <w:sz w:val="20"/>
          <w:szCs w:val="20"/>
        </w:rPr>
        <w:t>As shown below, the key changes that would occur under this option are:</w:t>
      </w:r>
    </w:p>
    <w:p w:rsidR="007D32A8" w:rsidRPr="00FC6804" w:rsidRDefault="007D32A8" w:rsidP="00F97D07">
      <w:pPr>
        <w:pStyle w:val="NormalWeb"/>
        <w:spacing w:before="0" w:beforeAutospacing="0" w:after="0" w:afterAutospacing="0"/>
        <w:rPr>
          <w:rFonts w:ascii="Arial" w:hAnsi="Arial" w:cs="Arial"/>
          <w:sz w:val="20"/>
          <w:szCs w:val="20"/>
        </w:rPr>
      </w:pPr>
    </w:p>
    <w:p w:rsidR="007D32A8" w:rsidRPr="00FC6804" w:rsidRDefault="007D32A8" w:rsidP="00F97D07">
      <w:pPr>
        <w:pStyle w:val="NormalWeb"/>
        <w:numPr>
          <w:ilvl w:val="0"/>
          <w:numId w:val="35"/>
        </w:numPr>
        <w:spacing w:before="0" w:beforeAutospacing="0" w:after="0" w:afterAutospacing="0"/>
        <w:rPr>
          <w:rFonts w:ascii="Arial" w:hAnsi="Arial" w:cs="Arial"/>
          <w:sz w:val="20"/>
          <w:szCs w:val="20"/>
        </w:rPr>
      </w:pPr>
      <w:r w:rsidRPr="00FC6804">
        <w:rPr>
          <w:rFonts w:ascii="Arial" w:hAnsi="Arial" w:cs="Arial"/>
          <w:sz w:val="20"/>
          <w:szCs w:val="20"/>
        </w:rPr>
        <w:t xml:space="preserve">Creation of a </w:t>
      </w:r>
      <w:r w:rsidR="004634B4">
        <w:rPr>
          <w:rFonts w:ascii="Arial" w:hAnsi="Arial" w:cs="Arial"/>
          <w:sz w:val="20"/>
          <w:szCs w:val="20"/>
        </w:rPr>
        <w:t xml:space="preserve">new </w:t>
      </w:r>
      <w:r w:rsidRPr="00FC6804">
        <w:rPr>
          <w:rFonts w:ascii="Arial" w:hAnsi="Arial" w:cs="Arial"/>
          <w:sz w:val="20"/>
          <w:szCs w:val="20"/>
        </w:rPr>
        <w:t xml:space="preserve">fee of $250 per hour </w:t>
      </w:r>
      <w:r w:rsidR="004634B4">
        <w:rPr>
          <w:rFonts w:ascii="Arial" w:hAnsi="Arial" w:cs="Arial"/>
          <w:sz w:val="20"/>
          <w:szCs w:val="20"/>
        </w:rPr>
        <w:t xml:space="preserve">(ex GST) </w:t>
      </w:r>
      <w:r w:rsidRPr="00FC6804">
        <w:rPr>
          <w:rFonts w:ascii="Arial" w:hAnsi="Arial" w:cs="Arial"/>
          <w:sz w:val="20"/>
          <w:szCs w:val="20"/>
        </w:rPr>
        <w:t xml:space="preserve">for the provision of business-specific advice to </w:t>
      </w:r>
      <w:r w:rsidR="004634B4">
        <w:rPr>
          <w:rFonts w:ascii="Arial" w:hAnsi="Arial" w:cs="Arial"/>
          <w:sz w:val="20"/>
          <w:szCs w:val="20"/>
        </w:rPr>
        <w:t>prospective</w:t>
      </w:r>
      <w:r w:rsidRPr="00FC6804">
        <w:rPr>
          <w:rFonts w:ascii="Arial" w:hAnsi="Arial" w:cs="Arial"/>
          <w:sz w:val="20"/>
          <w:szCs w:val="20"/>
        </w:rPr>
        <w:t xml:space="preserve"> licensees;</w:t>
      </w:r>
    </w:p>
    <w:p w:rsidR="00F97D07" w:rsidRPr="00FC6804" w:rsidRDefault="00F97D07" w:rsidP="00F97D07">
      <w:pPr>
        <w:pStyle w:val="NormalWeb"/>
        <w:spacing w:before="0" w:beforeAutospacing="0" w:after="0" w:afterAutospacing="0"/>
        <w:ind w:left="410"/>
        <w:rPr>
          <w:rFonts w:ascii="Arial" w:hAnsi="Arial" w:cs="Arial"/>
          <w:sz w:val="20"/>
          <w:szCs w:val="20"/>
        </w:rPr>
      </w:pPr>
    </w:p>
    <w:p w:rsidR="007D32A8" w:rsidRPr="00FC6804" w:rsidRDefault="007D32A8" w:rsidP="00F97D07">
      <w:pPr>
        <w:pStyle w:val="NormalWeb"/>
        <w:numPr>
          <w:ilvl w:val="0"/>
          <w:numId w:val="35"/>
        </w:numPr>
        <w:spacing w:before="0" w:beforeAutospacing="0" w:after="0" w:afterAutospacing="0"/>
        <w:rPr>
          <w:rFonts w:ascii="Arial" w:hAnsi="Arial" w:cs="Arial"/>
          <w:sz w:val="20"/>
          <w:szCs w:val="20"/>
        </w:rPr>
      </w:pPr>
      <w:r w:rsidRPr="00FC6804">
        <w:rPr>
          <w:rFonts w:ascii="Arial" w:hAnsi="Arial" w:cs="Arial"/>
          <w:sz w:val="20"/>
          <w:szCs w:val="20"/>
        </w:rPr>
        <w:t>Provision of an additional $0.5 million in revenue to Prime</w:t>
      </w:r>
      <w:r w:rsidR="00F97D07" w:rsidRPr="00FC6804">
        <w:rPr>
          <w:rFonts w:ascii="Arial" w:hAnsi="Arial" w:cs="Arial"/>
          <w:sz w:val="20"/>
          <w:szCs w:val="20"/>
        </w:rPr>
        <w:t>S</w:t>
      </w:r>
      <w:r w:rsidRPr="00FC6804">
        <w:rPr>
          <w:rFonts w:ascii="Arial" w:hAnsi="Arial" w:cs="Arial"/>
          <w:sz w:val="20"/>
          <w:szCs w:val="20"/>
        </w:rPr>
        <w:t>afe, which will fund additional surveillance, advice and information activities;</w:t>
      </w:r>
    </w:p>
    <w:p w:rsidR="00F97D07" w:rsidRPr="00FC6804" w:rsidRDefault="00F97D07" w:rsidP="00F97D07">
      <w:pPr>
        <w:pStyle w:val="NormalWeb"/>
        <w:spacing w:before="0" w:beforeAutospacing="0" w:after="0" w:afterAutospacing="0"/>
        <w:rPr>
          <w:rFonts w:ascii="Arial" w:hAnsi="Arial" w:cs="Arial"/>
          <w:sz w:val="20"/>
          <w:szCs w:val="20"/>
        </w:rPr>
      </w:pPr>
    </w:p>
    <w:p w:rsidR="007D32A8" w:rsidRPr="00FC6804" w:rsidRDefault="007D32A8" w:rsidP="00F97D07">
      <w:pPr>
        <w:pStyle w:val="NormalWeb"/>
        <w:numPr>
          <w:ilvl w:val="0"/>
          <w:numId w:val="35"/>
        </w:numPr>
        <w:spacing w:before="0" w:beforeAutospacing="0" w:after="0" w:afterAutospacing="0"/>
        <w:rPr>
          <w:rFonts w:ascii="Arial" w:hAnsi="Arial" w:cs="Arial"/>
          <w:sz w:val="20"/>
          <w:szCs w:val="20"/>
        </w:rPr>
      </w:pPr>
      <w:r w:rsidRPr="00FC6804">
        <w:rPr>
          <w:rFonts w:ascii="Arial" w:hAnsi="Arial" w:cs="Arial"/>
          <w:sz w:val="20"/>
          <w:szCs w:val="20"/>
        </w:rPr>
        <w:t>Partial consolidation of the throughput categories that determine licence fees payable f</w:t>
      </w:r>
      <w:r w:rsidR="004634B4">
        <w:rPr>
          <w:rFonts w:ascii="Arial" w:hAnsi="Arial" w:cs="Arial"/>
          <w:sz w:val="20"/>
          <w:szCs w:val="20"/>
        </w:rPr>
        <w:t>or abattoirs, poultry processing facilities</w:t>
      </w:r>
      <w:r w:rsidRPr="00FC6804">
        <w:rPr>
          <w:rFonts w:ascii="Arial" w:hAnsi="Arial" w:cs="Arial"/>
          <w:sz w:val="20"/>
          <w:szCs w:val="20"/>
        </w:rPr>
        <w:t xml:space="preserve"> and further meat </w:t>
      </w:r>
      <w:r w:rsidR="004634B4">
        <w:rPr>
          <w:rFonts w:ascii="Arial" w:hAnsi="Arial" w:cs="Arial"/>
          <w:sz w:val="20"/>
          <w:szCs w:val="20"/>
        </w:rPr>
        <w:t>processing facilities</w:t>
      </w:r>
      <w:r w:rsidRPr="00FC6804">
        <w:rPr>
          <w:rFonts w:ascii="Arial" w:hAnsi="Arial" w:cs="Arial"/>
          <w:sz w:val="20"/>
          <w:szCs w:val="20"/>
        </w:rPr>
        <w:t>;</w:t>
      </w:r>
    </w:p>
    <w:p w:rsidR="00F97D07" w:rsidRPr="00FC6804" w:rsidRDefault="00F97D07" w:rsidP="00F97D07">
      <w:pPr>
        <w:pStyle w:val="NormalWeb"/>
        <w:spacing w:before="0" w:beforeAutospacing="0" w:after="0" w:afterAutospacing="0"/>
        <w:rPr>
          <w:rFonts w:ascii="Arial" w:hAnsi="Arial" w:cs="Arial"/>
          <w:sz w:val="20"/>
          <w:szCs w:val="20"/>
        </w:rPr>
      </w:pPr>
    </w:p>
    <w:p w:rsidR="007D32A8" w:rsidRPr="00FC6804" w:rsidRDefault="007D32A8" w:rsidP="00F97D07">
      <w:pPr>
        <w:pStyle w:val="NormalWeb"/>
        <w:numPr>
          <w:ilvl w:val="0"/>
          <w:numId w:val="35"/>
        </w:numPr>
        <w:spacing w:before="0" w:beforeAutospacing="0" w:after="0" w:afterAutospacing="0"/>
        <w:rPr>
          <w:rFonts w:ascii="Arial" w:hAnsi="Arial" w:cs="Arial"/>
          <w:sz w:val="20"/>
          <w:szCs w:val="20"/>
        </w:rPr>
      </w:pPr>
      <w:r w:rsidRPr="00FC6804">
        <w:rPr>
          <w:rFonts w:ascii="Arial" w:hAnsi="Arial" w:cs="Arial"/>
          <w:sz w:val="20"/>
          <w:szCs w:val="20"/>
        </w:rPr>
        <w:t>Real fee increases largely in the range of 15</w:t>
      </w:r>
      <w:r w:rsidR="00F97D07" w:rsidRPr="00FC6804">
        <w:rPr>
          <w:rFonts w:ascii="Arial" w:hAnsi="Arial" w:cs="Arial"/>
          <w:sz w:val="20"/>
          <w:szCs w:val="20"/>
        </w:rPr>
        <w:t>%</w:t>
      </w:r>
      <w:r w:rsidRPr="00FC6804">
        <w:rPr>
          <w:rFonts w:ascii="Arial" w:hAnsi="Arial" w:cs="Arial"/>
          <w:sz w:val="20"/>
          <w:szCs w:val="20"/>
        </w:rPr>
        <w:t xml:space="preserve"> </w:t>
      </w:r>
      <w:r w:rsidR="00F97D07" w:rsidRPr="00FC6804">
        <w:rPr>
          <w:rFonts w:ascii="Arial" w:hAnsi="Arial" w:cs="Arial"/>
          <w:sz w:val="20"/>
          <w:szCs w:val="20"/>
        </w:rPr>
        <w:t>to</w:t>
      </w:r>
      <w:r w:rsidRPr="00FC6804">
        <w:rPr>
          <w:rFonts w:ascii="Arial" w:hAnsi="Arial" w:cs="Arial"/>
          <w:sz w:val="20"/>
          <w:szCs w:val="20"/>
        </w:rPr>
        <w:t xml:space="preserve"> 40% for many categories of licence in the abattoir</w:t>
      </w:r>
      <w:r w:rsidR="00AD1DDF">
        <w:rPr>
          <w:rFonts w:ascii="Arial" w:hAnsi="Arial" w:cs="Arial"/>
          <w:sz w:val="20"/>
          <w:szCs w:val="20"/>
        </w:rPr>
        <w:t xml:space="preserve">, poultry and </w:t>
      </w:r>
      <w:r w:rsidRPr="00FC6804">
        <w:rPr>
          <w:rFonts w:ascii="Arial" w:hAnsi="Arial" w:cs="Arial"/>
          <w:sz w:val="20"/>
          <w:szCs w:val="20"/>
        </w:rPr>
        <w:t>further meat processing sectors, with larger increases in some isolated cases; and</w:t>
      </w:r>
    </w:p>
    <w:p w:rsidR="00F97D07" w:rsidRPr="00FC6804" w:rsidRDefault="00F97D07" w:rsidP="00F97D07">
      <w:pPr>
        <w:pStyle w:val="NormalWeb"/>
        <w:spacing w:before="0" w:beforeAutospacing="0" w:after="0" w:afterAutospacing="0"/>
        <w:rPr>
          <w:rFonts w:ascii="Arial" w:hAnsi="Arial" w:cs="Arial"/>
          <w:sz w:val="20"/>
          <w:szCs w:val="20"/>
        </w:rPr>
      </w:pPr>
    </w:p>
    <w:p w:rsidR="00384422" w:rsidRDefault="007D32A8" w:rsidP="00384422">
      <w:pPr>
        <w:pStyle w:val="NormalWeb"/>
        <w:numPr>
          <w:ilvl w:val="0"/>
          <w:numId w:val="35"/>
        </w:numPr>
        <w:spacing w:before="0" w:beforeAutospacing="0" w:after="0" w:afterAutospacing="0"/>
        <w:rPr>
          <w:rFonts w:ascii="Arial" w:hAnsi="Arial" w:cs="Arial"/>
          <w:sz w:val="20"/>
          <w:szCs w:val="20"/>
        </w:rPr>
      </w:pPr>
      <w:r w:rsidRPr="00FC6804">
        <w:rPr>
          <w:rFonts w:ascii="Arial" w:hAnsi="Arial" w:cs="Arial"/>
          <w:sz w:val="20"/>
          <w:szCs w:val="20"/>
        </w:rPr>
        <w:t>Creation of two new licence categories for larger meat transport vehicles and one new licence category for retail butcher</w:t>
      </w:r>
      <w:r w:rsidR="004634B4">
        <w:rPr>
          <w:rFonts w:ascii="Arial" w:hAnsi="Arial" w:cs="Arial"/>
          <w:sz w:val="20"/>
          <w:szCs w:val="20"/>
        </w:rPr>
        <w:t xml:space="preserve"> shops</w:t>
      </w:r>
      <w:r w:rsidRPr="00FC6804">
        <w:rPr>
          <w:rFonts w:ascii="Arial" w:hAnsi="Arial" w:cs="Arial"/>
          <w:sz w:val="20"/>
          <w:szCs w:val="20"/>
        </w:rPr>
        <w:t xml:space="preserve"> that manufacture smallgoods, with significant fee increases</w:t>
      </w:r>
      <w:r w:rsidR="00140213">
        <w:rPr>
          <w:rFonts w:ascii="Arial" w:hAnsi="Arial" w:cs="Arial"/>
          <w:sz w:val="20"/>
          <w:szCs w:val="20"/>
        </w:rPr>
        <w:t xml:space="preserve"> for licensees moving into these </w:t>
      </w:r>
      <w:r w:rsidRPr="00FC6804">
        <w:rPr>
          <w:rFonts w:ascii="Arial" w:hAnsi="Arial" w:cs="Arial"/>
          <w:sz w:val="20"/>
          <w:szCs w:val="20"/>
        </w:rPr>
        <w:t>categories.</w:t>
      </w:r>
    </w:p>
    <w:p w:rsidR="00576657" w:rsidRPr="00FC6804" w:rsidRDefault="00576657" w:rsidP="00384422">
      <w:pPr>
        <w:pStyle w:val="NormalWeb"/>
        <w:numPr>
          <w:ilvl w:val="0"/>
          <w:numId w:val="35"/>
        </w:numPr>
        <w:spacing w:before="0" w:beforeAutospacing="0" w:after="0" w:afterAutospacing="0"/>
        <w:rPr>
          <w:rFonts w:ascii="Arial" w:hAnsi="Arial" w:cs="Arial"/>
          <w:sz w:val="20"/>
          <w:szCs w:val="20"/>
        </w:rPr>
        <w:sectPr w:rsidR="00576657" w:rsidRPr="00FC6804" w:rsidSect="00384422">
          <w:pgSz w:w="11906" w:h="16838"/>
          <w:pgMar w:top="1440" w:right="1440" w:bottom="1440" w:left="1440" w:header="567" w:footer="567" w:gutter="0"/>
          <w:cols w:space="708"/>
          <w:docGrid w:linePitch="360"/>
        </w:sectPr>
      </w:pPr>
    </w:p>
    <w:p w:rsidR="00776B65" w:rsidRPr="00FC6804" w:rsidRDefault="00776B65" w:rsidP="00F97D07">
      <w:pPr>
        <w:pStyle w:val="NormalWeb"/>
        <w:spacing w:before="0" w:beforeAutospacing="0" w:after="0" w:afterAutospacing="0"/>
        <w:rPr>
          <w:rFonts w:ascii="Arial" w:hAnsi="Arial" w:cs="Arial"/>
          <w:sz w:val="20"/>
          <w:szCs w:val="20"/>
        </w:rPr>
      </w:pPr>
      <w:r w:rsidRPr="00FC6804">
        <w:rPr>
          <w:rFonts w:ascii="Arial" w:hAnsi="Arial" w:cs="Arial"/>
          <w:sz w:val="20"/>
          <w:szCs w:val="20"/>
        </w:rPr>
        <w:lastRenderedPageBreak/>
        <w:t xml:space="preserve">Fees in </w:t>
      </w:r>
      <w:r w:rsidR="00D41655">
        <w:rPr>
          <w:rFonts w:ascii="Arial" w:hAnsi="Arial" w:cs="Arial"/>
          <w:sz w:val="20"/>
          <w:szCs w:val="20"/>
        </w:rPr>
        <w:t>o</w:t>
      </w:r>
      <w:r w:rsidRPr="00FC6804">
        <w:rPr>
          <w:rFonts w:ascii="Arial" w:hAnsi="Arial" w:cs="Arial"/>
          <w:sz w:val="20"/>
          <w:szCs w:val="20"/>
        </w:rPr>
        <w:t xml:space="preserve">ther </w:t>
      </w:r>
      <w:r w:rsidR="00D41655">
        <w:rPr>
          <w:rFonts w:ascii="Arial" w:hAnsi="Arial" w:cs="Arial"/>
          <w:sz w:val="20"/>
          <w:szCs w:val="20"/>
        </w:rPr>
        <w:t>m</w:t>
      </w:r>
      <w:r w:rsidRPr="00FC6804">
        <w:rPr>
          <w:rFonts w:ascii="Arial" w:hAnsi="Arial" w:cs="Arial"/>
          <w:sz w:val="20"/>
          <w:szCs w:val="20"/>
        </w:rPr>
        <w:t xml:space="preserve">eat and </w:t>
      </w:r>
      <w:r w:rsidR="00D41655">
        <w:rPr>
          <w:rFonts w:ascii="Arial" w:hAnsi="Arial" w:cs="Arial"/>
          <w:sz w:val="20"/>
          <w:szCs w:val="20"/>
        </w:rPr>
        <w:t>s</w:t>
      </w:r>
      <w:r w:rsidRPr="00FC6804">
        <w:rPr>
          <w:rFonts w:ascii="Arial" w:hAnsi="Arial" w:cs="Arial"/>
          <w:sz w:val="20"/>
          <w:szCs w:val="20"/>
        </w:rPr>
        <w:t xml:space="preserve">eafood </w:t>
      </w:r>
      <w:r w:rsidR="00D41655">
        <w:rPr>
          <w:rFonts w:ascii="Arial" w:hAnsi="Arial" w:cs="Arial"/>
          <w:sz w:val="20"/>
          <w:szCs w:val="20"/>
        </w:rPr>
        <w:t>p</w:t>
      </w:r>
      <w:r w:rsidRPr="00FC6804">
        <w:rPr>
          <w:rFonts w:ascii="Arial" w:hAnsi="Arial" w:cs="Arial"/>
          <w:sz w:val="20"/>
          <w:szCs w:val="20"/>
        </w:rPr>
        <w:t xml:space="preserve">rocessing </w:t>
      </w:r>
      <w:r w:rsidR="00D41655">
        <w:rPr>
          <w:rFonts w:ascii="Arial" w:hAnsi="Arial" w:cs="Arial"/>
          <w:sz w:val="20"/>
          <w:szCs w:val="20"/>
        </w:rPr>
        <w:t xml:space="preserve">licence </w:t>
      </w:r>
      <w:r w:rsidRPr="00FC6804">
        <w:rPr>
          <w:rFonts w:ascii="Arial" w:hAnsi="Arial" w:cs="Arial"/>
          <w:sz w:val="20"/>
          <w:szCs w:val="20"/>
        </w:rPr>
        <w:t>categories would n</w:t>
      </w:r>
      <w:r w:rsidR="00AD1DDF">
        <w:rPr>
          <w:rFonts w:ascii="Arial" w:hAnsi="Arial" w:cs="Arial"/>
          <w:sz w:val="20"/>
          <w:szCs w:val="20"/>
        </w:rPr>
        <w:t xml:space="preserve">ot be increased in real terms. </w:t>
      </w:r>
      <w:r w:rsidRPr="00FC6804">
        <w:rPr>
          <w:rFonts w:ascii="Arial" w:hAnsi="Arial" w:cs="Arial"/>
          <w:sz w:val="20"/>
          <w:szCs w:val="20"/>
        </w:rPr>
        <w:t>Rather, they would be indexed using the rate specified by the Tr</w:t>
      </w:r>
      <w:r w:rsidR="00723C40">
        <w:rPr>
          <w:rFonts w:ascii="Arial" w:hAnsi="Arial" w:cs="Arial"/>
          <w:sz w:val="20"/>
          <w:szCs w:val="20"/>
        </w:rPr>
        <w:t>easurer</w:t>
      </w:r>
      <w:r w:rsidR="00350954" w:rsidRPr="00FC6804">
        <w:rPr>
          <w:rFonts w:ascii="Arial" w:hAnsi="Arial" w:cs="Arial"/>
          <w:sz w:val="20"/>
          <w:szCs w:val="20"/>
        </w:rPr>
        <w:t xml:space="preserve">. </w:t>
      </w:r>
      <w:r w:rsidRPr="00FC6804">
        <w:rPr>
          <w:rFonts w:ascii="Arial" w:hAnsi="Arial" w:cs="Arial"/>
          <w:sz w:val="20"/>
          <w:szCs w:val="20"/>
        </w:rPr>
        <w:t xml:space="preserve">In 2015-16, this rate was 2.75%, however, the rate for 2016-17 </w:t>
      </w:r>
      <w:r w:rsidR="00D41655">
        <w:rPr>
          <w:rFonts w:ascii="Arial" w:hAnsi="Arial" w:cs="Arial"/>
          <w:sz w:val="20"/>
          <w:szCs w:val="20"/>
        </w:rPr>
        <w:t>is</w:t>
      </w:r>
      <w:r w:rsidRPr="00FC6804">
        <w:rPr>
          <w:rFonts w:ascii="Arial" w:hAnsi="Arial" w:cs="Arial"/>
          <w:sz w:val="20"/>
          <w:szCs w:val="20"/>
        </w:rPr>
        <w:t xml:space="preserve"> yet to be announced.</w:t>
      </w:r>
    </w:p>
    <w:p w:rsidR="001F5559" w:rsidRPr="00FC6804" w:rsidRDefault="001F5559" w:rsidP="00FF0CA7">
      <w:pPr>
        <w:pStyle w:val="NormalWeb"/>
        <w:spacing w:before="0" w:beforeAutospacing="0" w:after="0" w:afterAutospacing="0" w:line="276" w:lineRule="auto"/>
        <w:rPr>
          <w:rFonts w:ascii="Arial" w:hAnsi="Arial" w:cs="Arial"/>
          <w:sz w:val="20"/>
          <w:szCs w:val="20"/>
        </w:rPr>
      </w:pPr>
    </w:p>
    <w:p w:rsidR="001F5559" w:rsidRPr="00FC6804" w:rsidRDefault="001F5559" w:rsidP="002E7BBE">
      <w:pPr>
        <w:spacing w:after="0" w:line="240" w:lineRule="auto"/>
        <w:rPr>
          <w:rFonts w:ascii="Arial" w:hAnsi="Arial" w:cs="Arial"/>
          <w:b/>
          <w:color w:val="1F4E79" w:themeColor="accent1" w:themeShade="80"/>
          <w:sz w:val="20"/>
          <w:szCs w:val="20"/>
        </w:rPr>
      </w:pPr>
      <w:r w:rsidRPr="00FC6804">
        <w:rPr>
          <w:rFonts w:ascii="Arial" w:hAnsi="Arial" w:cs="Arial"/>
          <w:b/>
          <w:color w:val="1F4E79" w:themeColor="accent1" w:themeShade="80"/>
          <w:sz w:val="20"/>
          <w:szCs w:val="20"/>
        </w:rPr>
        <w:t>Table 1: Summary of current and proposed licence fees</w:t>
      </w:r>
    </w:p>
    <w:p w:rsidR="00E5301B" w:rsidRDefault="00E5301B" w:rsidP="002E7BBE">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4219"/>
        <w:gridCol w:w="1843"/>
        <w:gridCol w:w="3969"/>
        <w:gridCol w:w="1725"/>
        <w:gridCol w:w="2418"/>
      </w:tblGrid>
      <w:tr w:rsidR="00576657" w:rsidTr="00FA2C75">
        <w:tc>
          <w:tcPr>
            <w:tcW w:w="4219" w:type="dxa"/>
            <w:shd w:val="clear" w:color="auto" w:fill="F2F2F2" w:themeFill="background1" w:themeFillShade="F2"/>
            <w:vAlign w:val="center"/>
          </w:tcPr>
          <w:p w:rsidR="00576657" w:rsidRPr="00E87CBB" w:rsidRDefault="00576657" w:rsidP="00FA2C75">
            <w:pPr>
              <w:spacing w:before="60" w:after="60"/>
              <w:rPr>
                <w:rFonts w:ascii="Arial" w:hAnsi="Arial" w:cs="Arial"/>
                <w:b/>
                <w:sz w:val="20"/>
                <w:szCs w:val="20"/>
              </w:rPr>
            </w:pPr>
            <w:r w:rsidRPr="00E87CBB">
              <w:rPr>
                <w:rFonts w:ascii="Arial" w:hAnsi="Arial" w:cs="Arial"/>
                <w:b/>
                <w:sz w:val="20"/>
                <w:szCs w:val="20"/>
              </w:rPr>
              <w:t>Abattoir (Domestic)</w:t>
            </w:r>
          </w:p>
        </w:tc>
        <w:tc>
          <w:tcPr>
            <w:tcW w:w="1843" w:type="dxa"/>
            <w:shd w:val="clear" w:color="auto" w:fill="F2F2F2" w:themeFill="background1" w:themeFillShade="F2"/>
            <w:vAlign w:val="center"/>
          </w:tcPr>
          <w:p w:rsidR="00576657" w:rsidRPr="00EF785B" w:rsidRDefault="00576657" w:rsidP="00FA2C75">
            <w:pPr>
              <w:spacing w:before="60" w:after="60"/>
              <w:jc w:val="center"/>
              <w:rPr>
                <w:rFonts w:ascii="Arial" w:hAnsi="Arial" w:cs="Arial"/>
                <w:b/>
                <w:sz w:val="20"/>
                <w:szCs w:val="20"/>
              </w:rPr>
            </w:pPr>
            <w:r w:rsidRPr="00EF785B">
              <w:rPr>
                <w:rFonts w:ascii="Arial" w:hAnsi="Arial" w:cs="Arial"/>
                <w:b/>
                <w:sz w:val="20"/>
                <w:szCs w:val="20"/>
              </w:rPr>
              <w:t>Current</w:t>
            </w:r>
          </w:p>
        </w:tc>
        <w:tc>
          <w:tcPr>
            <w:tcW w:w="8112" w:type="dxa"/>
            <w:gridSpan w:val="3"/>
            <w:shd w:val="clear" w:color="auto" w:fill="F2F2F2" w:themeFill="background1" w:themeFillShade="F2"/>
            <w:vAlign w:val="center"/>
          </w:tcPr>
          <w:p w:rsidR="00576657" w:rsidRDefault="00576657" w:rsidP="00FA2C75">
            <w:pPr>
              <w:spacing w:before="60" w:after="60"/>
              <w:jc w:val="center"/>
              <w:rPr>
                <w:rFonts w:ascii="Arial" w:hAnsi="Arial" w:cs="Arial"/>
                <w:b/>
                <w:sz w:val="20"/>
                <w:szCs w:val="20"/>
                <w:u w:val="single"/>
              </w:rPr>
            </w:pPr>
            <w:r w:rsidRPr="00EF785B">
              <w:rPr>
                <w:rFonts w:ascii="Arial" w:hAnsi="Arial" w:cs="Arial"/>
                <w:b/>
                <w:sz w:val="20"/>
                <w:szCs w:val="20"/>
              </w:rPr>
              <w:t>Proposed</w:t>
            </w:r>
          </w:p>
        </w:tc>
      </w:tr>
      <w:tr w:rsidR="00576657" w:rsidTr="00FA2C75">
        <w:tc>
          <w:tcPr>
            <w:tcW w:w="4219" w:type="dxa"/>
            <w:vAlign w:val="center"/>
          </w:tcPr>
          <w:p w:rsidR="00576657" w:rsidRPr="00EF785B" w:rsidRDefault="00576657" w:rsidP="00FA2C75">
            <w:pPr>
              <w:spacing w:before="60" w:after="60"/>
              <w:rPr>
                <w:rFonts w:ascii="Arial" w:hAnsi="Arial" w:cs="Arial"/>
                <w:b/>
                <w:sz w:val="20"/>
                <w:szCs w:val="20"/>
              </w:rPr>
            </w:pPr>
            <w:r>
              <w:rPr>
                <w:rFonts w:ascii="Arial" w:hAnsi="Arial" w:cs="Arial"/>
                <w:b/>
                <w:sz w:val="20"/>
                <w:szCs w:val="20"/>
              </w:rPr>
              <w:t xml:space="preserve">Annual </w:t>
            </w:r>
            <w:r w:rsidRPr="00EF785B">
              <w:rPr>
                <w:rFonts w:ascii="Arial" w:hAnsi="Arial" w:cs="Arial"/>
                <w:b/>
                <w:sz w:val="20"/>
                <w:szCs w:val="20"/>
              </w:rPr>
              <w:t>Throughput</w:t>
            </w:r>
          </w:p>
        </w:tc>
        <w:tc>
          <w:tcPr>
            <w:tcW w:w="1843" w:type="dxa"/>
            <w:vAlign w:val="center"/>
          </w:tcPr>
          <w:p w:rsidR="00576657" w:rsidRDefault="00576657" w:rsidP="00FA2C75">
            <w:pPr>
              <w:spacing w:before="60" w:after="60"/>
              <w:jc w:val="center"/>
              <w:rPr>
                <w:rFonts w:ascii="Arial" w:hAnsi="Arial" w:cs="Arial"/>
                <w:b/>
                <w:sz w:val="20"/>
                <w:szCs w:val="20"/>
              </w:rPr>
            </w:pPr>
            <w:r>
              <w:rPr>
                <w:rFonts w:ascii="Arial" w:hAnsi="Arial" w:cs="Arial"/>
                <w:b/>
                <w:sz w:val="20"/>
                <w:szCs w:val="20"/>
              </w:rPr>
              <w:t>2015-16</w:t>
            </w:r>
          </w:p>
          <w:p w:rsidR="00576657" w:rsidRPr="00EF785B" w:rsidRDefault="00576657" w:rsidP="00FA2C75">
            <w:pPr>
              <w:spacing w:before="60" w:after="60"/>
              <w:jc w:val="center"/>
              <w:rPr>
                <w:rFonts w:ascii="Arial" w:hAnsi="Arial" w:cs="Arial"/>
                <w:b/>
                <w:sz w:val="20"/>
                <w:szCs w:val="20"/>
              </w:rPr>
            </w:pPr>
            <w:r>
              <w:rPr>
                <w:rFonts w:ascii="Arial" w:hAnsi="Arial" w:cs="Arial"/>
                <w:b/>
                <w:sz w:val="20"/>
                <w:szCs w:val="20"/>
              </w:rPr>
              <w:t>$</w:t>
            </w:r>
          </w:p>
        </w:tc>
        <w:tc>
          <w:tcPr>
            <w:tcW w:w="3969" w:type="dxa"/>
            <w:vAlign w:val="center"/>
          </w:tcPr>
          <w:p w:rsidR="00576657" w:rsidRPr="00EF785B" w:rsidRDefault="00576657" w:rsidP="00FA2C75">
            <w:pPr>
              <w:spacing w:before="60" w:after="60"/>
              <w:jc w:val="center"/>
              <w:rPr>
                <w:rFonts w:ascii="Arial" w:hAnsi="Arial" w:cs="Arial"/>
                <w:b/>
                <w:sz w:val="20"/>
                <w:szCs w:val="20"/>
              </w:rPr>
            </w:pPr>
            <w:r>
              <w:rPr>
                <w:rFonts w:ascii="Arial" w:hAnsi="Arial" w:cs="Arial"/>
                <w:b/>
                <w:sz w:val="20"/>
                <w:szCs w:val="20"/>
              </w:rPr>
              <w:t>Annual Throughput</w:t>
            </w:r>
          </w:p>
        </w:tc>
        <w:tc>
          <w:tcPr>
            <w:tcW w:w="1725" w:type="dxa"/>
            <w:vAlign w:val="center"/>
          </w:tcPr>
          <w:p w:rsidR="00576657" w:rsidRDefault="00576657" w:rsidP="00FA2C75">
            <w:pPr>
              <w:spacing w:before="60" w:after="60"/>
              <w:jc w:val="center"/>
              <w:rPr>
                <w:rFonts w:ascii="Arial" w:hAnsi="Arial" w:cs="Arial"/>
                <w:b/>
                <w:sz w:val="20"/>
                <w:szCs w:val="20"/>
              </w:rPr>
            </w:pPr>
            <w:r w:rsidRPr="00EF785B">
              <w:rPr>
                <w:rFonts w:ascii="Arial" w:hAnsi="Arial" w:cs="Arial"/>
                <w:b/>
                <w:sz w:val="20"/>
                <w:szCs w:val="20"/>
              </w:rPr>
              <w:t>2016-17</w:t>
            </w:r>
          </w:p>
          <w:p w:rsidR="00576657" w:rsidRPr="00EF785B" w:rsidRDefault="00576657" w:rsidP="00FA2C75">
            <w:pPr>
              <w:spacing w:before="60" w:after="60"/>
              <w:jc w:val="center"/>
              <w:rPr>
                <w:rFonts w:ascii="Arial" w:hAnsi="Arial" w:cs="Arial"/>
                <w:b/>
                <w:sz w:val="20"/>
                <w:szCs w:val="20"/>
              </w:rPr>
            </w:pPr>
            <w:r>
              <w:rPr>
                <w:rFonts w:ascii="Arial" w:hAnsi="Arial" w:cs="Arial"/>
                <w:b/>
                <w:sz w:val="20"/>
                <w:szCs w:val="20"/>
              </w:rPr>
              <w:t>$</w:t>
            </w:r>
          </w:p>
        </w:tc>
        <w:tc>
          <w:tcPr>
            <w:tcW w:w="2418" w:type="dxa"/>
            <w:vAlign w:val="center"/>
          </w:tcPr>
          <w:p w:rsidR="00576657" w:rsidRDefault="00576657" w:rsidP="00FA2C75">
            <w:pPr>
              <w:spacing w:before="60" w:after="60"/>
              <w:jc w:val="center"/>
              <w:rPr>
                <w:rFonts w:ascii="Arial" w:hAnsi="Arial" w:cs="Arial"/>
                <w:b/>
                <w:sz w:val="20"/>
                <w:szCs w:val="20"/>
              </w:rPr>
            </w:pPr>
            <w:r>
              <w:rPr>
                <w:rFonts w:ascii="Arial" w:hAnsi="Arial" w:cs="Arial"/>
                <w:b/>
                <w:sz w:val="20"/>
                <w:szCs w:val="20"/>
              </w:rPr>
              <w:t>Increase</w:t>
            </w:r>
          </w:p>
          <w:p w:rsidR="00576657" w:rsidRPr="00EF785B" w:rsidRDefault="00576657" w:rsidP="00FA2C75">
            <w:pPr>
              <w:spacing w:before="60" w:after="60"/>
              <w:jc w:val="center"/>
              <w:rPr>
                <w:rFonts w:ascii="Arial" w:hAnsi="Arial" w:cs="Arial"/>
                <w:b/>
                <w:sz w:val="20"/>
                <w:szCs w:val="20"/>
              </w:rPr>
            </w:pPr>
            <w:r>
              <w:rPr>
                <w:rFonts w:ascii="Arial" w:hAnsi="Arial" w:cs="Arial"/>
                <w:b/>
                <w:sz w:val="20"/>
                <w:szCs w:val="20"/>
              </w:rPr>
              <w:t>%</w:t>
            </w:r>
          </w:p>
        </w:tc>
      </w:tr>
      <w:tr w:rsidR="00576657" w:rsidTr="00FA2C75">
        <w:tc>
          <w:tcPr>
            <w:tcW w:w="4219" w:type="dxa"/>
            <w:vAlign w:val="center"/>
          </w:tcPr>
          <w:p w:rsidR="00576657" w:rsidRPr="00EF785B" w:rsidRDefault="00576657" w:rsidP="00FA2C75">
            <w:pPr>
              <w:rPr>
                <w:rFonts w:ascii="Arial" w:hAnsi="Arial" w:cs="Arial"/>
                <w:sz w:val="20"/>
                <w:szCs w:val="20"/>
              </w:rPr>
            </w:pPr>
            <w:r w:rsidRPr="00EF785B">
              <w:rPr>
                <w:rFonts w:ascii="Arial" w:hAnsi="Arial" w:cs="Arial"/>
                <w:sz w:val="20"/>
                <w:szCs w:val="20"/>
              </w:rPr>
              <w:t>Up to 8,000 units</w:t>
            </w:r>
          </w:p>
        </w:tc>
        <w:tc>
          <w:tcPr>
            <w:tcW w:w="1843" w:type="dxa"/>
            <w:vAlign w:val="center"/>
          </w:tcPr>
          <w:p w:rsidR="00576657" w:rsidRPr="00EF785B" w:rsidRDefault="00576657" w:rsidP="00FA2C75">
            <w:pPr>
              <w:spacing w:before="60" w:after="60"/>
              <w:jc w:val="center"/>
              <w:rPr>
                <w:rFonts w:ascii="Arial" w:hAnsi="Arial" w:cs="Arial"/>
                <w:sz w:val="20"/>
                <w:szCs w:val="20"/>
              </w:rPr>
            </w:pPr>
            <w:r w:rsidRPr="00EF785B">
              <w:rPr>
                <w:rFonts w:ascii="Arial" w:hAnsi="Arial" w:cs="Arial"/>
                <w:sz w:val="20"/>
                <w:szCs w:val="20"/>
              </w:rPr>
              <w:t>1,356</w:t>
            </w:r>
          </w:p>
        </w:tc>
        <w:tc>
          <w:tcPr>
            <w:tcW w:w="3969" w:type="dxa"/>
            <w:vMerge w:val="restart"/>
            <w:vAlign w:val="center"/>
          </w:tcPr>
          <w:p w:rsidR="00576657" w:rsidRPr="00EF785B" w:rsidRDefault="00576657" w:rsidP="00FA2C75">
            <w:pPr>
              <w:spacing w:before="60" w:after="60"/>
              <w:rPr>
                <w:rFonts w:ascii="Arial" w:hAnsi="Arial" w:cs="Arial"/>
                <w:sz w:val="20"/>
                <w:szCs w:val="20"/>
              </w:rPr>
            </w:pPr>
            <w:r>
              <w:rPr>
                <w:rFonts w:ascii="Arial" w:hAnsi="Arial" w:cs="Arial"/>
                <w:sz w:val="20"/>
                <w:szCs w:val="20"/>
              </w:rPr>
              <w:t>Up to 15,000 units</w:t>
            </w:r>
          </w:p>
        </w:tc>
        <w:tc>
          <w:tcPr>
            <w:tcW w:w="1725" w:type="dxa"/>
            <w:vMerge w:val="restart"/>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1,864</w:t>
            </w:r>
          </w:p>
        </w:tc>
        <w:tc>
          <w:tcPr>
            <w:tcW w:w="2418"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37.5%</w:t>
            </w:r>
          </w:p>
        </w:tc>
      </w:tr>
      <w:tr w:rsidR="00576657" w:rsidTr="00FA2C75">
        <w:tc>
          <w:tcPr>
            <w:tcW w:w="4219" w:type="dxa"/>
            <w:vAlign w:val="center"/>
          </w:tcPr>
          <w:p w:rsidR="00576657" w:rsidRPr="00EF785B" w:rsidRDefault="00576657" w:rsidP="00FA2C75">
            <w:pPr>
              <w:rPr>
                <w:rFonts w:ascii="Arial" w:hAnsi="Arial" w:cs="Arial"/>
                <w:sz w:val="20"/>
                <w:szCs w:val="20"/>
              </w:rPr>
            </w:pPr>
            <w:r>
              <w:rPr>
                <w:rFonts w:ascii="Arial" w:hAnsi="Arial" w:cs="Arial"/>
                <w:sz w:val="20"/>
                <w:szCs w:val="20"/>
              </w:rPr>
              <w:t xml:space="preserve">8,001 to </w:t>
            </w:r>
            <w:r w:rsidRPr="00EF785B">
              <w:rPr>
                <w:rFonts w:ascii="Arial" w:hAnsi="Arial" w:cs="Arial"/>
                <w:sz w:val="20"/>
                <w:szCs w:val="20"/>
              </w:rPr>
              <w:t>15,000 units</w:t>
            </w:r>
          </w:p>
        </w:tc>
        <w:tc>
          <w:tcPr>
            <w:tcW w:w="1843"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1,814</w:t>
            </w:r>
          </w:p>
        </w:tc>
        <w:tc>
          <w:tcPr>
            <w:tcW w:w="3969" w:type="dxa"/>
            <w:vMerge/>
            <w:vAlign w:val="center"/>
          </w:tcPr>
          <w:p w:rsidR="00576657" w:rsidRPr="00EF785B" w:rsidRDefault="00576657" w:rsidP="00FA2C75">
            <w:pPr>
              <w:spacing w:before="60" w:after="60"/>
              <w:rPr>
                <w:rFonts w:ascii="Arial" w:hAnsi="Arial" w:cs="Arial"/>
                <w:sz w:val="20"/>
                <w:szCs w:val="20"/>
              </w:rPr>
            </w:pPr>
          </w:p>
        </w:tc>
        <w:tc>
          <w:tcPr>
            <w:tcW w:w="1725" w:type="dxa"/>
            <w:vMerge/>
            <w:vAlign w:val="center"/>
          </w:tcPr>
          <w:p w:rsidR="00576657" w:rsidRPr="00EF785B" w:rsidRDefault="00576657" w:rsidP="00FA2C75">
            <w:pPr>
              <w:spacing w:before="60" w:after="60"/>
              <w:jc w:val="center"/>
              <w:rPr>
                <w:rFonts w:ascii="Arial" w:hAnsi="Arial" w:cs="Arial"/>
                <w:sz w:val="20"/>
                <w:szCs w:val="20"/>
              </w:rPr>
            </w:pPr>
          </w:p>
        </w:tc>
        <w:tc>
          <w:tcPr>
            <w:tcW w:w="2418"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2.75%</w:t>
            </w:r>
          </w:p>
        </w:tc>
      </w:tr>
      <w:tr w:rsidR="00576657" w:rsidTr="00FA2C75">
        <w:tc>
          <w:tcPr>
            <w:tcW w:w="4219" w:type="dxa"/>
            <w:vAlign w:val="center"/>
          </w:tcPr>
          <w:p w:rsidR="00576657" w:rsidRPr="00EF785B" w:rsidRDefault="00576657" w:rsidP="00FA2C75">
            <w:pPr>
              <w:rPr>
                <w:rFonts w:ascii="Arial" w:hAnsi="Arial" w:cs="Arial"/>
                <w:sz w:val="20"/>
                <w:szCs w:val="20"/>
              </w:rPr>
            </w:pPr>
            <w:r>
              <w:rPr>
                <w:rFonts w:ascii="Arial" w:hAnsi="Arial" w:cs="Arial"/>
                <w:sz w:val="20"/>
                <w:szCs w:val="20"/>
              </w:rPr>
              <w:t xml:space="preserve">15,001 to </w:t>
            </w:r>
            <w:r w:rsidRPr="00EF785B">
              <w:rPr>
                <w:rFonts w:ascii="Arial" w:hAnsi="Arial" w:cs="Arial"/>
                <w:sz w:val="20"/>
                <w:szCs w:val="20"/>
              </w:rPr>
              <w:t>100,000 units</w:t>
            </w:r>
          </w:p>
        </w:tc>
        <w:tc>
          <w:tcPr>
            <w:tcW w:w="1843"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3,241</w:t>
            </w:r>
          </w:p>
        </w:tc>
        <w:tc>
          <w:tcPr>
            <w:tcW w:w="3969" w:type="dxa"/>
            <w:vMerge w:val="restart"/>
            <w:vAlign w:val="center"/>
          </w:tcPr>
          <w:p w:rsidR="00576657" w:rsidRPr="00EF785B" w:rsidRDefault="00576657" w:rsidP="00FA2C75">
            <w:pPr>
              <w:spacing w:before="60" w:after="60"/>
              <w:rPr>
                <w:rFonts w:ascii="Arial" w:hAnsi="Arial" w:cs="Arial"/>
                <w:sz w:val="20"/>
                <w:szCs w:val="20"/>
              </w:rPr>
            </w:pPr>
            <w:r>
              <w:rPr>
                <w:rFonts w:ascii="Arial" w:hAnsi="Arial" w:cs="Arial"/>
                <w:sz w:val="20"/>
                <w:szCs w:val="20"/>
              </w:rPr>
              <w:t>15,001 to 200,000 units</w:t>
            </w:r>
          </w:p>
        </w:tc>
        <w:tc>
          <w:tcPr>
            <w:tcW w:w="1725" w:type="dxa"/>
            <w:vMerge w:val="restart"/>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3,330</w:t>
            </w:r>
          </w:p>
        </w:tc>
        <w:tc>
          <w:tcPr>
            <w:tcW w:w="2418"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2.75%</w:t>
            </w:r>
          </w:p>
        </w:tc>
      </w:tr>
      <w:tr w:rsidR="00576657" w:rsidTr="00FA2C75">
        <w:tc>
          <w:tcPr>
            <w:tcW w:w="4219" w:type="dxa"/>
            <w:vAlign w:val="center"/>
          </w:tcPr>
          <w:p w:rsidR="00576657" w:rsidRPr="00EF785B" w:rsidRDefault="00576657" w:rsidP="00FA2C75">
            <w:pPr>
              <w:rPr>
                <w:rFonts w:ascii="Arial" w:hAnsi="Arial" w:cs="Arial"/>
                <w:sz w:val="20"/>
                <w:szCs w:val="20"/>
              </w:rPr>
            </w:pPr>
            <w:r>
              <w:rPr>
                <w:rFonts w:ascii="Arial" w:hAnsi="Arial" w:cs="Arial"/>
                <w:sz w:val="20"/>
                <w:szCs w:val="20"/>
              </w:rPr>
              <w:t xml:space="preserve">100,001 to </w:t>
            </w:r>
            <w:r w:rsidRPr="00EF785B">
              <w:rPr>
                <w:rFonts w:ascii="Arial" w:hAnsi="Arial" w:cs="Arial"/>
                <w:sz w:val="20"/>
                <w:szCs w:val="20"/>
              </w:rPr>
              <w:t>200,000 units</w:t>
            </w:r>
          </w:p>
        </w:tc>
        <w:tc>
          <w:tcPr>
            <w:tcW w:w="1843"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4,866</w:t>
            </w:r>
          </w:p>
        </w:tc>
        <w:tc>
          <w:tcPr>
            <w:tcW w:w="3969" w:type="dxa"/>
            <w:vMerge/>
            <w:vAlign w:val="center"/>
          </w:tcPr>
          <w:p w:rsidR="00576657" w:rsidRPr="00EF785B" w:rsidRDefault="00576657" w:rsidP="00FA2C75">
            <w:pPr>
              <w:spacing w:before="60" w:after="60"/>
              <w:rPr>
                <w:rFonts w:ascii="Arial" w:hAnsi="Arial" w:cs="Arial"/>
                <w:sz w:val="20"/>
                <w:szCs w:val="20"/>
              </w:rPr>
            </w:pPr>
          </w:p>
        </w:tc>
        <w:tc>
          <w:tcPr>
            <w:tcW w:w="1725" w:type="dxa"/>
            <w:vMerge/>
            <w:vAlign w:val="center"/>
          </w:tcPr>
          <w:p w:rsidR="00576657" w:rsidRPr="00EF785B" w:rsidRDefault="00576657" w:rsidP="00FA2C75">
            <w:pPr>
              <w:spacing w:before="60" w:after="60"/>
              <w:jc w:val="center"/>
              <w:rPr>
                <w:rFonts w:ascii="Arial" w:hAnsi="Arial" w:cs="Arial"/>
                <w:sz w:val="20"/>
                <w:szCs w:val="20"/>
              </w:rPr>
            </w:pPr>
          </w:p>
        </w:tc>
        <w:tc>
          <w:tcPr>
            <w:tcW w:w="2418" w:type="dxa"/>
            <w:vAlign w:val="center"/>
          </w:tcPr>
          <w:p w:rsidR="00576657" w:rsidRPr="00EF785B" w:rsidRDefault="00576657" w:rsidP="00537017">
            <w:pPr>
              <w:spacing w:before="60" w:after="60"/>
              <w:jc w:val="center"/>
              <w:rPr>
                <w:rFonts w:ascii="Arial" w:hAnsi="Arial" w:cs="Arial"/>
                <w:sz w:val="20"/>
                <w:szCs w:val="20"/>
              </w:rPr>
            </w:pPr>
            <w:r>
              <w:rPr>
                <w:rFonts w:ascii="Arial" w:hAnsi="Arial" w:cs="Arial"/>
                <w:sz w:val="20"/>
                <w:szCs w:val="20"/>
              </w:rPr>
              <w:t>-</w:t>
            </w:r>
            <w:r w:rsidR="00537017">
              <w:rPr>
                <w:rFonts w:ascii="Arial" w:hAnsi="Arial" w:cs="Arial"/>
                <w:sz w:val="20"/>
                <w:szCs w:val="20"/>
              </w:rPr>
              <w:t>31.6%</w:t>
            </w:r>
          </w:p>
        </w:tc>
      </w:tr>
      <w:tr w:rsidR="00576657" w:rsidTr="00FA2C75">
        <w:tc>
          <w:tcPr>
            <w:tcW w:w="4219" w:type="dxa"/>
            <w:vAlign w:val="center"/>
          </w:tcPr>
          <w:p w:rsidR="00576657" w:rsidRPr="00EF785B" w:rsidRDefault="00576657" w:rsidP="00FA2C75">
            <w:pPr>
              <w:rPr>
                <w:rFonts w:ascii="Arial" w:hAnsi="Arial" w:cs="Arial"/>
                <w:sz w:val="20"/>
                <w:szCs w:val="20"/>
              </w:rPr>
            </w:pPr>
            <w:r>
              <w:rPr>
                <w:rFonts w:ascii="Arial" w:hAnsi="Arial" w:cs="Arial"/>
                <w:sz w:val="20"/>
                <w:szCs w:val="20"/>
              </w:rPr>
              <w:t xml:space="preserve">200,001 to </w:t>
            </w:r>
            <w:r w:rsidRPr="00EF785B">
              <w:rPr>
                <w:rFonts w:ascii="Arial" w:hAnsi="Arial" w:cs="Arial"/>
                <w:sz w:val="20"/>
                <w:szCs w:val="20"/>
              </w:rPr>
              <w:t>400,000 units</w:t>
            </w:r>
          </w:p>
        </w:tc>
        <w:tc>
          <w:tcPr>
            <w:tcW w:w="1843"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6,486</w:t>
            </w:r>
          </w:p>
        </w:tc>
        <w:tc>
          <w:tcPr>
            <w:tcW w:w="3969" w:type="dxa"/>
            <w:vAlign w:val="center"/>
          </w:tcPr>
          <w:p w:rsidR="00576657" w:rsidRPr="00EF785B" w:rsidRDefault="00576657" w:rsidP="00FA2C75">
            <w:pPr>
              <w:spacing w:before="60" w:after="60"/>
              <w:rPr>
                <w:rFonts w:ascii="Arial" w:hAnsi="Arial" w:cs="Arial"/>
                <w:sz w:val="20"/>
                <w:szCs w:val="20"/>
              </w:rPr>
            </w:pPr>
            <w:r>
              <w:rPr>
                <w:rFonts w:ascii="Arial" w:hAnsi="Arial" w:cs="Arial"/>
                <w:sz w:val="20"/>
                <w:szCs w:val="20"/>
              </w:rPr>
              <w:t>200,001 to 500,000 units</w:t>
            </w:r>
          </w:p>
        </w:tc>
        <w:tc>
          <w:tcPr>
            <w:tcW w:w="1725"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6,664</w:t>
            </w:r>
          </w:p>
        </w:tc>
        <w:tc>
          <w:tcPr>
            <w:tcW w:w="2418" w:type="dxa"/>
            <w:vAlign w:val="center"/>
          </w:tcPr>
          <w:p w:rsidR="00576657" w:rsidRPr="00EF785B" w:rsidRDefault="00576657" w:rsidP="00FA2C75">
            <w:pPr>
              <w:spacing w:before="60" w:after="60"/>
              <w:jc w:val="center"/>
              <w:rPr>
                <w:rFonts w:ascii="Arial" w:hAnsi="Arial" w:cs="Arial"/>
                <w:sz w:val="20"/>
                <w:szCs w:val="20"/>
              </w:rPr>
            </w:pPr>
            <w:r w:rsidRPr="00732F34">
              <w:rPr>
                <w:rFonts w:ascii="Arial" w:hAnsi="Arial" w:cs="Arial"/>
                <w:sz w:val="20"/>
                <w:szCs w:val="20"/>
              </w:rPr>
              <w:t>2.75% / -17.8%</w:t>
            </w:r>
            <w:r w:rsidRPr="00732F34">
              <w:rPr>
                <w:rStyle w:val="FootnoteReference"/>
                <w:rFonts w:ascii="Arial" w:hAnsi="Arial" w:cs="Arial"/>
                <w:sz w:val="20"/>
                <w:szCs w:val="20"/>
              </w:rPr>
              <w:footnoteReference w:id="1"/>
            </w:r>
          </w:p>
        </w:tc>
      </w:tr>
      <w:tr w:rsidR="00576657" w:rsidTr="00FA2C75">
        <w:tc>
          <w:tcPr>
            <w:tcW w:w="4219" w:type="dxa"/>
            <w:vAlign w:val="center"/>
          </w:tcPr>
          <w:p w:rsidR="00576657" w:rsidRPr="00EF785B" w:rsidRDefault="00576657" w:rsidP="00FA2C75">
            <w:pPr>
              <w:rPr>
                <w:rFonts w:ascii="Arial" w:hAnsi="Arial" w:cs="Arial"/>
                <w:sz w:val="20"/>
                <w:szCs w:val="20"/>
              </w:rPr>
            </w:pPr>
            <w:r w:rsidRPr="00EF785B">
              <w:rPr>
                <w:rFonts w:ascii="Arial" w:hAnsi="Arial" w:cs="Arial"/>
                <w:sz w:val="20"/>
                <w:szCs w:val="20"/>
              </w:rPr>
              <w:t>Over 400,000 units</w:t>
            </w:r>
          </w:p>
        </w:tc>
        <w:tc>
          <w:tcPr>
            <w:tcW w:w="1843"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8,107</w:t>
            </w:r>
          </w:p>
        </w:tc>
        <w:tc>
          <w:tcPr>
            <w:tcW w:w="3969" w:type="dxa"/>
            <w:vAlign w:val="center"/>
          </w:tcPr>
          <w:p w:rsidR="00576657" w:rsidRPr="00EF785B" w:rsidRDefault="00576657" w:rsidP="00FA2C75">
            <w:pPr>
              <w:spacing w:before="60" w:after="60"/>
              <w:rPr>
                <w:rFonts w:ascii="Arial" w:hAnsi="Arial" w:cs="Arial"/>
                <w:sz w:val="20"/>
                <w:szCs w:val="20"/>
              </w:rPr>
            </w:pPr>
            <w:r>
              <w:rPr>
                <w:rFonts w:ascii="Arial" w:hAnsi="Arial" w:cs="Arial"/>
                <w:sz w:val="20"/>
                <w:szCs w:val="20"/>
              </w:rPr>
              <w:t>Over 500,000 units</w:t>
            </w:r>
          </w:p>
        </w:tc>
        <w:tc>
          <w:tcPr>
            <w:tcW w:w="1725" w:type="dxa"/>
            <w:vAlign w:val="center"/>
          </w:tcPr>
          <w:p w:rsidR="00576657" w:rsidRPr="00EF785B" w:rsidRDefault="00576657" w:rsidP="00FA2C75">
            <w:pPr>
              <w:spacing w:before="60" w:after="60"/>
              <w:jc w:val="center"/>
              <w:rPr>
                <w:rFonts w:ascii="Arial" w:hAnsi="Arial" w:cs="Arial"/>
                <w:sz w:val="20"/>
                <w:szCs w:val="20"/>
              </w:rPr>
            </w:pPr>
            <w:r w:rsidRPr="00732F34">
              <w:rPr>
                <w:rFonts w:ascii="Arial" w:hAnsi="Arial" w:cs="Arial"/>
                <w:sz w:val="20"/>
                <w:szCs w:val="20"/>
              </w:rPr>
              <w:t>9,728</w:t>
            </w:r>
            <w:r w:rsidRPr="00732F34">
              <w:rPr>
                <w:rStyle w:val="FootnoteReference"/>
                <w:rFonts w:ascii="Arial" w:hAnsi="Arial" w:cs="Arial"/>
                <w:sz w:val="20"/>
                <w:szCs w:val="20"/>
              </w:rPr>
              <w:footnoteReference w:id="2"/>
            </w:r>
          </w:p>
        </w:tc>
        <w:tc>
          <w:tcPr>
            <w:tcW w:w="2418"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20.0%</w:t>
            </w:r>
          </w:p>
        </w:tc>
      </w:tr>
    </w:tbl>
    <w:p w:rsidR="00576657" w:rsidRDefault="00576657" w:rsidP="00576657">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4219"/>
        <w:gridCol w:w="1843"/>
        <w:gridCol w:w="3969"/>
        <w:gridCol w:w="1725"/>
        <w:gridCol w:w="2418"/>
      </w:tblGrid>
      <w:tr w:rsidR="00576657" w:rsidTr="00FA2C75">
        <w:tc>
          <w:tcPr>
            <w:tcW w:w="4219" w:type="dxa"/>
            <w:shd w:val="clear" w:color="auto" w:fill="F2F2F2" w:themeFill="background1" w:themeFillShade="F2"/>
            <w:vAlign w:val="center"/>
          </w:tcPr>
          <w:p w:rsidR="00576657" w:rsidRPr="00E87CBB" w:rsidRDefault="00576657" w:rsidP="00FA2C75">
            <w:pPr>
              <w:spacing w:before="60" w:after="60"/>
              <w:rPr>
                <w:rFonts w:ascii="Arial" w:hAnsi="Arial" w:cs="Arial"/>
                <w:b/>
                <w:sz w:val="20"/>
                <w:szCs w:val="20"/>
              </w:rPr>
            </w:pPr>
            <w:r w:rsidRPr="00E87CBB">
              <w:rPr>
                <w:rFonts w:ascii="Arial" w:hAnsi="Arial" w:cs="Arial"/>
                <w:b/>
                <w:sz w:val="20"/>
                <w:szCs w:val="20"/>
              </w:rPr>
              <w:t>Abattoir (</w:t>
            </w:r>
            <w:r>
              <w:rPr>
                <w:rFonts w:ascii="Arial" w:hAnsi="Arial" w:cs="Arial"/>
                <w:b/>
                <w:sz w:val="20"/>
                <w:szCs w:val="20"/>
              </w:rPr>
              <w:t>Export</w:t>
            </w:r>
            <w:r w:rsidRPr="00E87CBB">
              <w:rPr>
                <w:rFonts w:ascii="Arial" w:hAnsi="Arial" w:cs="Arial"/>
                <w:b/>
                <w:sz w:val="20"/>
                <w:szCs w:val="20"/>
              </w:rPr>
              <w:t>)</w:t>
            </w:r>
          </w:p>
        </w:tc>
        <w:tc>
          <w:tcPr>
            <w:tcW w:w="1843" w:type="dxa"/>
            <w:shd w:val="clear" w:color="auto" w:fill="F2F2F2" w:themeFill="background1" w:themeFillShade="F2"/>
            <w:vAlign w:val="center"/>
          </w:tcPr>
          <w:p w:rsidR="00576657" w:rsidRPr="00EF785B" w:rsidRDefault="00576657" w:rsidP="00FA2C75">
            <w:pPr>
              <w:spacing w:before="60" w:after="60"/>
              <w:jc w:val="center"/>
              <w:rPr>
                <w:rFonts w:ascii="Arial" w:hAnsi="Arial" w:cs="Arial"/>
                <w:b/>
                <w:sz w:val="20"/>
                <w:szCs w:val="20"/>
              </w:rPr>
            </w:pPr>
            <w:r w:rsidRPr="00EF785B">
              <w:rPr>
                <w:rFonts w:ascii="Arial" w:hAnsi="Arial" w:cs="Arial"/>
                <w:b/>
                <w:sz w:val="20"/>
                <w:szCs w:val="20"/>
              </w:rPr>
              <w:t>Current</w:t>
            </w:r>
          </w:p>
        </w:tc>
        <w:tc>
          <w:tcPr>
            <w:tcW w:w="8112" w:type="dxa"/>
            <w:gridSpan w:val="3"/>
            <w:shd w:val="clear" w:color="auto" w:fill="F2F2F2" w:themeFill="background1" w:themeFillShade="F2"/>
            <w:vAlign w:val="center"/>
          </w:tcPr>
          <w:p w:rsidR="00576657" w:rsidRDefault="00576657" w:rsidP="00FA2C75">
            <w:pPr>
              <w:spacing w:before="60" w:after="60"/>
              <w:jc w:val="center"/>
              <w:rPr>
                <w:rFonts w:ascii="Arial" w:hAnsi="Arial" w:cs="Arial"/>
                <w:b/>
                <w:sz w:val="20"/>
                <w:szCs w:val="20"/>
                <w:u w:val="single"/>
              </w:rPr>
            </w:pPr>
            <w:r w:rsidRPr="00EF785B">
              <w:rPr>
                <w:rFonts w:ascii="Arial" w:hAnsi="Arial" w:cs="Arial"/>
                <w:b/>
                <w:sz w:val="20"/>
                <w:szCs w:val="20"/>
              </w:rPr>
              <w:t>Proposed</w:t>
            </w:r>
          </w:p>
        </w:tc>
      </w:tr>
      <w:tr w:rsidR="00576657" w:rsidRPr="00EF785B" w:rsidTr="00FA2C75">
        <w:tc>
          <w:tcPr>
            <w:tcW w:w="4219" w:type="dxa"/>
            <w:vAlign w:val="center"/>
          </w:tcPr>
          <w:p w:rsidR="00576657" w:rsidRPr="00EF785B" w:rsidRDefault="00576657" w:rsidP="00FA2C75">
            <w:pPr>
              <w:spacing w:before="60" w:after="60"/>
              <w:rPr>
                <w:rFonts w:ascii="Arial" w:hAnsi="Arial" w:cs="Arial"/>
                <w:b/>
                <w:sz w:val="20"/>
                <w:szCs w:val="20"/>
              </w:rPr>
            </w:pPr>
            <w:r>
              <w:rPr>
                <w:rFonts w:ascii="Arial" w:hAnsi="Arial" w:cs="Arial"/>
                <w:b/>
                <w:sz w:val="20"/>
                <w:szCs w:val="20"/>
              </w:rPr>
              <w:t xml:space="preserve">Annual </w:t>
            </w:r>
            <w:r w:rsidRPr="00EF785B">
              <w:rPr>
                <w:rFonts w:ascii="Arial" w:hAnsi="Arial" w:cs="Arial"/>
                <w:b/>
                <w:sz w:val="20"/>
                <w:szCs w:val="20"/>
              </w:rPr>
              <w:t>Throughput</w:t>
            </w:r>
          </w:p>
        </w:tc>
        <w:tc>
          <w:tcPr>
            <w:tcW w:w="1843" w:type="dxa"/>
            <w:vAlign w:val="center"/>
          </w:tcPr>
          <w:p w:rsidR="00576657" w:rsidRDefault="00576657" w:rsidP="00FA2C75">
            <w:pPr>
              <w:spacing w:before="60" w:after="60"/>
              <w:jc w:val="center"/>
              <w:rPr>
                <w:rFonts w:ascii="Arial" w:hAnsi="Arial" w:cs="Arial"/>
                <w:b/>
                <w:sz w:val="20"/>
                <w:szCs w:val="20"/>
              </w:rPr>
            </w:pPr>
            <w:r>
              <w:rPr>
                <w:rFonts w:ascii="Arial" w:hAnsi="Arial" w:cs="Arial"/>
                <w:b/>
                <w:sz w:val="20"/>
                <w:szCs w:val="20"/>
              </w:rPr>
              <w:t>2015-16</w:t>
            </w:r>
          </w:p>
          <w:p w:rsidR="00576657" w:rsidRPr="00EF785B" w:rsidRDefault="00576657" w:rsidP="00FA2C75">
            <w:pPr>
              <w:spacing w:before="60" w:after="60"/>
              <w:jc w:val="center"/>
              <w:rPr>
                <w:rFonts w:ascii="Arial" w:hAnsi="Arial" w:cs="Arial"/>
                <w:b/>
                <w:sz w:val="20"/>
                <w:szCs w:val="20"/>
              </w:rPr>
            </w:pPr>
            <w:r>
              <w:rPr>
                <w:rFonts w:ascii="Arial" w:hAnsi="Arial" w:cs="Arial"/>
                <w:b/>
                <w:sz w:val="20"/>
                <w:szCs w:val="20"/>
              </w:rPr>
              <w:t>$</w:t>
            </w:r>
          </w:p>
        </w:tc>
        <w:tc>
          <w:tcPr>
            <w:tcW w:w="3969" w:type="dxa"/>
            <w:vAlign w:val="center"/>
          </w:tcPr>
          <w:p w:rsidR="00576657" w:rsidRPr="00EF785B" w:rsidRDefault="00576657" w:rsidP="00FA2C75">
            <w:pPr>
              <w:spacing w:before="60" w:after="60"/>
              <w:jc w:val="center"/>
              <w:rPr>
                <w:rFonts w:ascii="Arial" w:hAnsi="Arial" w:cs="Arial"/>
                <w:b/>
                <w:sz w:val="20"/>
                <w:szCs w:val="20"/>
              </w:rPr>
            </w:pPr>
            <w:r>
              <w:rPr>
                <w:rFonts w:ascii="Arial" w:hAnsi="Arial" w:cs="Arial"/>
                <w:b/>
                <w:sz w:val="20"/>
                <w:szCs w:val="20"/>
              </w:rPr>
              <w:t>Annual Throughput</w:t>
            </w:r>
          </w:p>
        </w:tc>
        <w:tc>
          <w:tcPr>
            <w:tcW w:w="1725" w:type="dxa"/>
            <w:vAlign w:val="center"/>
          </w:tcPr>
          <w:p w:rsidR="00576657" w:rsidRDefault="00576657" w:rsidP="00FA2C75">
            <w:pPr>
              <w:spacing w:before="60" w:after="60"/>
              <w:jc w:val="center"/>
              <w:rPr>
                <w:rFonts w:ascii="Arial" w:hAnsi="Arial" w:cs="Arial"/>
                <w:b/>
                <w:sz w:val="20"/>
                <w:szCs w:val="20"/>
              </w:rPr>
            </w:pPr>
            <w:r w:rsidRPr="00EF785B">
              <w:rPr>
                <w:rFonts w:ascii="Arial" w:hAnsi="Arial" w:cs="Arial"/>
                <w:b/>
                <w:sz w:val="20"/>
                <w:szCs w:val="20"/>
              </w:rPr>
              <w:t>2016-17</w:t>
            </w:r>
          </w:p>
          <w:p w:rsidR="00576657" w:rsidRPr="00EF785B" w:rsidRDefault="00576657" w:rsidP="00FA2C75">
            <w:pPr>
              <w:spacing w:before="60" w:after="60"/>
              <w:jc w:val="center"/>
              <w:rPr>
                <w:rFonts w:ascii="Arial" w:hAnsi="Arial" w:cs="Arial"/>
                <w:b/>
                <w:sz w:val="20"/>
                <w:szCs w:val="20"/>
              </w:rPr>
            </w:pPr>
            <w:r>
              <w:rPr>
                <w:rFonts w:ascii="Arial" w:hAnsi="Arial" w:cs="Arial"/>
                <w:b/>
                <w:sz w:val="20"/>
                <w:szCs w:val="20"/>
              </w:rPr>
              <w:t>$</w:t>
            </w:r>
          </w:p>
        </w:tc>
        <w:tc>
          <w:tcPr>
            <w:tcW w:w="2418" w:type="dxa"/>
            <w:vAlign w:val="center"/>
          </w:tcPr>
          <w:p w:rsidR="00576657" w:rsidRDefault="00576657" w:rsidP="00FA2C75">
            <w:pPr>
              <w:spacing w:before="60" w:after="60"/>
              <w:jc w:val="center"/>
              <w:rPr>
                <w:rFonts w:ascii="Arial" w:hAnsi="Arial" w:cs="Arial"/>
                <w:b/>
                <w:sz w:val="20"/>
                <w:szCs w:val="20"/>
              </w:rPr>
            </w:pPr>
            <w:r>
              <w:rPr>
                <w:rFonts w:ascii="Arial" w:hAnsi="Arial" w:cs="Arial"/>
                <w:b/>
                <w:sz w:val="20"/>
                <w:szCs w:val="20"/>
              </w:rPr>
              <w:t>Increase</w:t>
            </w:r>
          </w:p>
          <w:p w:rsidR="00576657" w:rsidRPr="00EF785B" w:rsidRDefault="00576657" w:rsidP="00FA2C75">
            <w:pPr>
              <w:spacing w:before="60" w:after="60"/>
              <w:jc w:val="center"/>
              <w:rPr>
                <w:rFonts w:ascii="Arial" w:hAnsi="Arial" w:cs="Arial"/>
                <w:b/>
                <w:sz w:val="20"/>
                <w:szCs w:val="20"/>
              </w:rPr>
            </w:pPr>
            <w:r>
              <w:rPr>
                <w:rFonts w:ascii="Arial" w:hAnsi="Arial" w:cs="Arial"/>
                <w:b/>
                <w:sz w:val="20"/>
                <w:szCs w:val="20"/>
              </w:rPr>
              <w:t>%</w:t>
            </w:r>
          </w:p>
        </w:tc>
      </w:tr>
      <w:tr w:rsidR="00576657" w:rsidRPr="00EF785B" w:rsidTr="00FA2C75">
        <w:tc>
          <w:tcPr>
            <w:tcW w:w="4219" w:type="dxa"/>
            <w:vAlign w:val="center"/>
          </w:tcPr>
          <w:p w:rsidR="00576657" w:rsidRPr="00EF785B" w:rsidRDefault="00576657" w:rsidP="00FA2C75">
            <w:pPr>
              <w:rPr>
                <w:rFonts w:ascii="Arial" w:hAnsi="Arial" w:cs="Arial"/>
                <w:sz w:val="20"/>
                <w:szCs w:val="20"/>
              </w:rPr>
            </w:pPr>
            <w:r w:rsidRPr="00EF785B">
              <w:rPr>
                <w:rFonts w:ascii="Arial" w:hAnsi="Arial" w:cs="Arial"/>
                <w:sz w:val="20"/>
                <w:szCs w:val="20"/>
              </w:rPr>
              <w:t>Up to 8,000 units</w:t>
            </w:r>
          </w:p>
        </w:tc>
        <w:tc>
          <w:tcPr>
            <w:tcW w:w="1843" w:type="dxa"/>
            <w:vAlign w:val="center"/>
          </w:tcPr>
          <w:p w:rsidR="00576657" w:rsidRPr="00EF785B" w:rsidRDefault="00576657" w:rsidP="00FA2C75">
            <w:pPr>
              <w:spacing w:before="60" w:after="60"/>
              <w:jc w:val="center"/>
              <w:rPr>
                <w:rFonts w:ascii="Arial" w:hAnsi="Arial" w:cs="Arial"/>
                <w:sz w:val="20"/>
                <w:szCs w:val="20"/>
              </w:rPr>
            </w:pPr>
            <w:r w:rsidRPr="00EF785B">
              <w:rPr>
                <w:rFonts w:ascii="Arial" w:hAnsi="Arial" w:cs="Arial"/>
                <w:sz w:val="20"/>
                <w:szCs w:val="20"/>
              </w:rPr>
              <w:t>1,356</w:t>
            </w:r>
          </w:p>
        </w:tc>
        <w:tc>
          <w:tcPr>
            <w:tcW w:w="3969" w:type="dxa"/>
            <w:vMerge w:val="restart"/>
            <w:vAlign w:val="center"/>
          </w:tcPr>
          <w:p w:rsidR="00576657" w:rsidRPr="00EF785B" w:rsidRDefault="00576657" w:rsidP="00FA2C75">
            <w:pPr>
              <w:spacing w:before="60" w:after="60"/>
              <w:rPr>
                <w:rFonts w:ascii="Arial" w:hAnsi="Arial" w:cs="Arial"/>
                <w:sz w:val="20"/>
                <w:szCs w:val="20"/>
              </w:rPr>
            </w:pPr>
            <w:r>
              <w:rPr>
                <w:rFonts w:ascii="Arial" w:hAnsi="Arial" w:cs="Arial"/>
                <w:sz w:val="20"/>
                <w:szCs w:val="20"/>
              </w:rPr>
              <w:t>Up to 15,000 units</w:t>
            </w:r>
          </w:p>
        </w:tc>
        <w:tc>
          <w:tcPr>
            <w:tcW w:w="1725" w:type="dxa"/>
            <w:vMerge w:val="restart"/>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1,850</w:t>
            </w:r>
          </w:p>
        </w:tc>
        <w:tc>
          <w:tcPr>
            <w:tcW w:w="2418"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36.4%</w:t>
            </w:r>
          </w:p>
        </w:tc>
      </w:tr>
      <w:tr w:rsidR="00576657" w:rsidRPr="00EF785B" w:rsidTr="00FA2C75">
        <w:tc>
          <w:tcPr>
            <w:tcW w:w="4219" w:type="dxa"/>
            <w:vAlign w:val="center"/>
          </w:tcPr>
          <w:p w:rsidR="00576657" w:rsidRPr="00EF785B" w:rsidRDefault="00576657" w:rsidP="00FA2C75">
            <w:pPr>
              <w:rPr>
                <w:rFonts w:ascii="Arial" w:hAnsi="Arial" w:cs="Arial"/>
                <w:sz w:val="20"/>
                <w:szCs w:val="20"/>
              </w:rPr>
            </w:pPr>
            <w:r>
              <w:rPr>
                <w:rFonts w:ascii="Arial" w:hAnsi="Arial" w:cs="Arial"/>
                <w:sz w:val="20"/>
                <w:szCs w:val="20"/>
              </w:rPr>
              <w:t xml:space="preserve">8,001 to </w:t>
            </w:r>
            <w:r w:rsidRPr="00EF785B">
              <w:rPr>
                <w:rFonts w:ascii="Arial" w:hAnsi="Arial" w:cs="Arial"/>
                <w:sz w:val="20"/>
                <w:szCs w:val="20"/>
              </w:rPr>
              <w:t>15,000 units</w:t>
            </w:r>
          </w:p>
        </w:tc>
        <w:tc>
          <w:tcPr>
            <w:tcW w:w="1843"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1,566</w:t>
            </w:r>
          </w:p>
        </w:tc>
        <w:tc>
          <w:tcPr>
            <w:tcW w:w="3969" w:type="dxa"/>
            <w:vMerge/>
            <w:vAlign w:val="center"/>
          </w:tcPr>
          <w:p w:rsidR="00576657" w:rsidRPr="00EF785B" w:rsidRDefault="00576657" w:rsidP="00FA2C75">
            <w:pPr>
              <w:spacing w:before="60" w:after="60"/>
              <w:rPr>
                <w:rFonts w:ascii="Arial" w:hAnsi="Arial" w:cs="Arial"/>
                <w:sz w:val="20"/>
                <w:szCs w:val="20"/>
              </w:rPr>
            </w:pPr>
          </w:p>
        </w:tc>
        <w:tc>
          <w:tcPr>
            <w:tcW w:w="1725" w:type="dxa"/>
            <w:vMerge/>
            <w:vAlign w:val="center"/>
          </w:tcPr>
          <w:p w:rsidR="00576657" w:rsidRPr="00EF785B" w:rsidRDefault="00576657" w:rsidP="00FA2C75">
            <w:pPr>
              <w:spacing w:before="60" w:after="60"/>
              <w:jc w:val="center"/>
              <w:rPr>
                <w:rFonts w:ascii="Arial" w:hAnsi="Arial" w:cs="Arial"/>
                <w:sz w:val="20"/>
                <w:szCs w:val="20"/>
              </w:rPr>
            </w:pPr>
          </w:p>
        </w:tc>
        <w:tc>
          <w:tcPr>
            <w:tcW w:w="2418"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18.1%</w:t>
            </w:r>
          </w:p>
        </w:tc>
      </w:tr>
      <w:tr w:rsidR="00576657" w:rsidRPr="00EF785B" w:rsidTr="00FA2C75">
        <w:tc>
          <w:tcPr>
            <w:tcW w:w="4219" w:type="dxa"/>
            <w:vAlign w:val="center"/>
          </w:tcPr>
          <w:p w:rsidR="00576657" w:rsidRPr="00EF785B" w:rsidRDefault="00576657" w:rsidP="00FA2C75">
            <w:pPr>
              <w:rPr>
                <w:rFonts w:ascii="Arial" w:hAnsi="Arial" w:cs="Arial"/>
                <w:sz w:val="20"/>
                <w:szCs w:val="20"/>
              </w:rPr>
            </w:pPr>
            <w:r>
              <w:rPr>
                <w:rFonts w:ascii="Arial" w:hAnsi="Arial" w:cs="Arial"/>
                <w:sz w:val="20"/>
                <w:szCs w:val="20"/>
              </w:rPr>
              <w:t xml:space="preserve">15,001 to </w:t>
            </w:r>
            <w:r w:rsidRPr="00EF785B">
              <w:rPr>
                <w:rFonts w:ascii="Arial" w:hAnsi="Arial" w:cs="Arial"/>
                <w:sz w:val="20"/>
                <w:szCs w:val="20"/>
              </w:rPr>
              <w:t>100,000 units</w:t>
            </w:r>
          </w:p>
        </w:tc>
        <w:tc>
          <w:tcPr>
            <w:tcW w:w="1843"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1,566</w:t>
            </w:r>
          </w:p>
        </w:tc>
        <w:tc>
          <w:tcPr>
            <w:tcW w:w="3969" w:type="dxa"/>
            <w:vMerge w:val="restart"/>
            <w:vAlign w:val="center"/>
          </w:tcPr>
          <w:p w:rsidR="00576657" w:rsidRPr="00EF785B" w:rsidRDefault="00576657" w:rsidP="00FA2C75">
            <w:pPr>
              <w:spacing w:before="60" w:after="60"/>
              <w:rPr>
                <w:rFonts w:ascii="Arial" w:hAnsi="Arial" w:cs="Arial"/>
                <w:sz w:val="20"/>
                <w:szCs w:val="20"/>
              </w:rPr>
            </w:pPr>
            <w:r>
              <w:rPr>
                <w:rFonts w:ascii="Arial" w:hAnsi="Arial" w:cs="Arial"/>
                <w:sz w:val="20"/>
                <w:szCs w:val="20"/>
              </w:rPr>
              <w:t>15,001 to 200,000 units</w:t>
            </w:r>
          </w:p>
        </w:tc>
        <w:tc>
          <w:tcPr>
            <w:tcW w:w="1725" w:type="dxa"/>
            <w:vMerge w:val="restart"/>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1,850</w:t>
            </w:r>
          </w:p>
        </w:tc>
        <w:tc>
          <w:tcPr>
            <w:tcW w:w="2418"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18.1%</w:t>
            </w:r>
          </w:p>
        </w:tc>
      </w:tr>
      <w:tr w:rsidR="00576657" w:rsidRPr="00EF785B" w:rsidTr="00FA2C75">
        <w:tc>
          <w:tcPr>
            <w:tcW w:w="4219" w:type="dxa"/>
            <w:vAlign w:val="center"/>
          </w:tcPr>
          <w:p w:rsidR="00576657" w:rsidRPr="00EF785B" w:rsidRDefault="00576657" w:rsidP="00FA2C75">
            <w:pPr>
              <w:rPr>
                <w:rFonts w:ascii="Arial" w:hAnsi="Arial" w:cs="Arial"/>
                <w:sz w:val="20"/>
                <w:szCs w:val="20"/>
              </w:rPr>
            </w:pPr>
            <w:r>
              <w:rPr>
                <w:rFonts w:ascii="Arial" w:hAnsi="Arial" w:cs="Arial"/>
                <w:sz w:val="20"/>
                <w:szCs w:val="20"/>
              </w:rPr>
              <w:t xml:space="preserve">100,001 to </w:t>
            </w:r>
            <w:r w:rsidRPr="00EF785B">
              <w:rPr>
                <w:rFonts w:ascii="Arial" w:hAnsi="Arial" w:cs="Arial"/>
                <w:sz w:val="20"/>
                <w:szCs w:val="20"/>
              </w:rPr>
              <w:t>200,000 units</w:t>
            </w:r>
          </w:p>
        </w:tc>
        <w:tc>
          <w:tcPr>
            <w:tcW w:w="1843"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1,566</w:t>
            </w:r>
          </w:p>
        </w:tc>
        <w:tc>
          <w:tcPr>
            <w:tcW w:w="3969" w:type="dxa"/>
            <w:vMerge/>
            <w:vAlign w:val="center"/>
          </w:tcPr>
          <w:p w:rsidR="00576657" w:rsidRPr="00EF785B" w:rsidRDefault="00576657" w:rsidP="00FA2C75">
            <w:pPr>
              <w:spacing w:before="60" w:after="60"/>
              <w:rPr>
                <w:rFonts w:ascii="Arial" w:hAnsi="Arial" w:cs="Arial"/>
                <w:sz w:val="20"/>
                <w:szCs w:val="20"/>
              </w:rPr>
            </w:pPr>
          </w:p>
        </w:tc>
        <w:tc>
          <w:tcPr>
            <w:tcW w:w="1725" w:type="dxa"/>
            <w:vMerge/>
            <w:vAlign w:val="center"/>
          </w:tcPr>
          <w:p w:rsidR="00576657" w:rsidRPr="00EF785B" w:rsidRDefault="00576657" w:rsidP="00FA2C75">
            <w:pPr>
              <w:spacing w:before="60" w:after="60"/>
              <w:jc w:val="center"/>
              <w:rPr>
                <w:rFonts w:ascii="Arial" w:hAnsi="Arial" w:cs="Arial"/>
                <w:sz w:val="20"/>
                <w:szCs w:val="20"/>
              </w:rPr>
            </w:pPr>
          </w:p>
        </w:tc>
        <w:tc>
          <w:tcPr>
            <w:tcW w:w="2418"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18.1%</w:t>
            </w:r>
          </w:p>
        </w:tc>
      </w:tr>
      <w:tr w:rsidR="00576657" w:rsidRPr="00EF785B" w:rsidTr="00FA2C75">
        <w:tc>
          <w:tcPr>
            <w:tcW w:w="4219" w:type="dxa"/>
            <w:vAlign w:val="center"/>
          </w:tcPr>
          <w:p w:rsidR="00576657" w:rsidRPr="00EF785B" w:rsidRDefault="00576657" w:rsidP="00FA2C75">
            <w:pPr>
              <w:rPr>
                <w:rFonts w:ascii="Arial" w:hAnsi="Arial" w:cs="Arial"/>
                <w:sz w:val="20"/>
                <w:szCs w:val="20"/>
              </w:rPr>
            </w:pPr>
            <w:r>
              <w:rPr>
                <w:rFonts w:ascii="Arial" w:hAnsi="Arial" w:cs="Arial"/>
                <w:sz w:val="20"/>
                <w:szCs w:val="20"/>
              </w:rPr>
              <w:t xml:space="preserve">200,001 to </w:t>
            </w:r>
            <w:r w:rsidRPr="00EF785B">
              <w:rPr>
                <w:rFonts w:ascii="Arial" w:hAnsi="Arial" w:cs="Arial"/>
                <w:sz w:val="20"/>
                <w:szCs w:val="20"/>
              </w:rPr>
              <w:t>400,000 units</w:t>
            </w:r>
          </w:p>
        </w:tc>
        <w:tc>
          <w:tcPr>
            <w:tcW w:w="1843"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1,566</w:t>
            </w:r>
          </w:p>
        </w:tc>
        <w:tc>
          <w:tcPr>
            <w:tcW w:w="3969" w:type="dxa"/>
            <w:vAlign w:val="center"/>
          </w:tcPr>
          <w:p w:rsidR="00576657" w:rsidRPr="00EF785B" w:rsidRDefault="00576657" w:rsidP="00FA2C75">
            <w:pPr>
              <w:spacing w:before="60" w:after="60"/>
              <w:rPr>
                <w:rFonts w:ascii="Arial" w:hAnsi="Arial" w:cs="Arial"/>
                <w:sz w:val="20"/>
                <w:szCs w:val="20"/>
              </w:rPr>
            </w:pPr>
            <w:r>
              <w:rPr>
                <w:rFonts w:ascii="Arial" w:hAnsi="Arial" w:cs="Arial"/>
                <w:sz w:val="20"/>
                <w:szCs w:val="20"/>
              </w:rPr>
              <w:t>200,001 to 500,000 units</w:t>
            </w:r>
          </w:p>
        </w:tc>
        <w:tc>
          <w:tcPr>
            <w:tcW w:w="1725"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1,850</w:t>
            </w:r>
          </w:p>
        </w:tc>
        <w:tc>
          <w:tcPr>
            <w:tcW w:w="2418"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18.1%</w:t>
            </w:r>
          </w:p>
        </w:tc>
      </w:tr>
      <w:tr w:rsidR="00576657" w:rsidRPr="00EF785B" w:rsidTr="00FA2C75">
        <w:tc>
          <w:tcPr>
            <w:tcW w:w="4219" w:type="dxa"/>
            <w:vAlign w:val="center"/>
          </w:tcPr>
          <w:p w:rsidR="00576657" w:rsidRPr="00EF785B" w:rsidRDefault="00576657" w:rsidP="00FA2C75">
            <w:pPr>
              <w:rPr>
                <w:rFonts w:ascii="Arial" w:hAnsi="Arial" w:cs="Arial"/>
                <w:sz w:val="20"/>
                <w:szCs w:val="20"/>
              </w:rPr>
            </w:pPr>
            <w:r w:rsidRPr="00EF785B">
              <w:rPr>
                <w:rFonts w:ascii="Arial" w:hAnsi="Arial" w:cs="Arial"/>
                <w:sz w:val="20"/>
                <w:szCs w:val="20"/>
              </w:rPr>
              <w:t>Over 400,000 units</w:t>
            </w:r>
          </w:p>
        </w:tc>
        <w:tc>
          <w:tcPr>
            <w:tcW w:w="1843"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1,566</w:t>
            </w:r>
          </w:p>
        </w:tc>
        <w:tc>
          <w:tcPr>
            <w:tcW w:w="3969" w:type="dxa"/>
            <w:vAlign w:val="center"/>
          </w:tcPr>
          <w:p w:rsidR="00576657" w:rsidRPr="00EF785B" w:rsidRDefault="00576657" w:rsidP="00FA2C75">
            <w:pPr>
              <w:spacing w:before="60" w:after="60"/>
              <w:rPr>
                <w:rFonts w:ascii="Arial" w:hAnsi="Arial" w:cs="Arial"/>
                <w:sz w:val="20"/>
                <w:szCs w:val="20"/>
              </w:rPr>
            </w:pPr>
            <w:r>
              <w:rPr>
                <w:rFonts w:ascii="Arial" w:hAnsi="Arial" w:cs="Arial"/>
                <w:sz w:val="20"/>
                <w:szCs w:val="20"/>
              </w:rPr>
              <w:t>Over 500,000 units</w:t>
            </w:r>
          </w:p>
        </w:tc>
        <w:tc>
          <w:tcPr>
            <w:tcW w:w="1725"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1,850</w:t>
            </w:r>
          </w:p>
        </w:tc>
        <w:tc>
          <w:tcPr>
            <w:tcW w:w="2418"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18.1%</w:t>
            </w:r>
          </w:p>
        </w:tc>
      </w:tr>
      <w:tr w:rsidR="00576657" w:rsidTr="00FA2C75">
        <w:tc>
          <w:tcPr>
            <w:tcW w:w="4219" w:type="dxa"/>
            <w:shd w:val="clear" w:color="auto" w:fill="F2F2F2" w:themeFill="background1" w:themeFillShade="F2"/>
            <w:vAlign w:val="center"/>
          </w:tcPr>
          <w:p w:rsidR="00576657" w:rsidRPr="00E87CBB" w:rsidRDefault="00576657" w:rsidP="00FA2C75">
            <w:pPr>
              <w:spacing w:before="60" w:after="60"/>
              <w:rPr>
                <w:rFonts w:ascii="Arial" w:hAnsi="Arial" w:cs="Arial"/>
                <w:b/>
                <w:sz w:val="20"/>
                <w:szCs w:val="20"/>
              </w:rPr>
            </w:pPr>
            <w:r>
              <w:rPr>
                <w:rFonts w:ascii="Arial" w:hAnsi="Arial" w:cs="Arial"/>
                <w:b/>
                <w:sz w:val="20"/>
                <w:szCs w:val="20"/>
              </w:rPr>
              <w:lastRenderedPageBreak/>
              <w:t>Poultry Processing Facilities</w:t>
            </w:r>
          </w:p>
        </w:tc>
        <w:tc>
          <w:tcPr>
            <w:tcW w:w="1843" w:type="dxa"/>
            <w:shd w:val="clear" w:color="auto" w:fill="F2F2F2" w:themeFill="background1" w:themeFillShade="F2"/>
            <w:vAlign w:val="center"/>
          </w:tcPr>
          <w:p w:rsidR="00576657" w:rsidRPr="00EF785B" w:rsidRDefault="00576657" w:rsidP="00FA2C75">
            <w:pPr>
              <w:spacing w:before="60" w:after="60"/>
              <w:jc w:val="center"/>
              <w:rPr>
                <w:rFonts w:ascii="Arial" w:hAnsi="Arial" w:cs="Arial"/>
                <w:b/>
                <w:sz w:val="20"/>
                <w:szCs w:val="20"/>
              </w:rPr>
            </w:pPr>
            <w:r w:rsidRPr="00EF785B">
              <w:rPr>
                <w:rFonts w:ascii="Arial" w:hAnsi="Arial" w:cs="Arial"/>
                <w:b/>
                <w:sz w:val="20"/>
                <w:szCs w:val="20"/>
              </w:rPr>
              <w:t>Current</w:t>
            </w:r>
          </w:p>
        </w:tc>
        <w:tc>
          <w:tcPr>
            <w:tcW w:w="8112" w:type="dxa"/>
            <w:gridSpan w:val="3"/>
            <w:shd w:val="clear" w:color="auto" w:fill="F2F2F2" w:themeFill="background1" w:themeFillShade="F2"/>
            <w:vAlign w:val="center"/>
          </w:tcPr>
          <w:p w:rsidR="00576657" w:rsidRDefault="00576657" w:rsidP="00FA2C75">
            <w:pPr>
              <w:spacing w:before="60" w:after="60"/>
              <w:jc w:val="center"/>
              <w:rPr>
                <w:rFonts w:ascii="Arial" w:hAnsi="Arial" w:cs="Arial"/>
                <w:b/>
                <w:sz w:val="20"/>
                <w:szCs w:val="20"/>
                <w:u w:val="single"/>
              </w:rPr>
            </w:pPr>
            <w:r w:rsidRPr="00EF785B">
              <w:rPr>
                <w:rFonts w:ascii="Arial" w:hAnsi="Arial" w:cs="Arial"/>
                <w:b/>
                <w:sz w:val="20"/>
                <w:szCs w:val="20"/>
              </w:rPr>
              <w:t>Proposed</w:t>
            </w:r>
          </w:p>
        </w:tc>
      </w:tr>
      <w:tr w:rsidR="00576657" w:rsidRPr="00EF785B" w:rsidTr="00FA2C75">
        <w:tc>
          <w:tcPr>
            <w:tcW w:w="4219" w:type="dxa"/>
            <w:vAlign w:val="center"/>
          </w:tcPr>
          <w:p w:rsidR="00576657" w:rsidRPr="00EF785B" w:rsidRDefault="00576657" w:rsidP="00FA2C75">
            <w:pPr>
              <w:spacing w:before="60" w:after="60"/>
              <w:rPr>
                <w:rFonts w:ascii="Arial" w:hAnsi="Arial" w:cs="Arial"/>
                <w:b/>
                <w:sz w:val="20"/>
                <w:szCs w:val="20"/>
              </w:rPr>
            </w:pPr>
            <w:r>
              <w:rPr>
                <w:rFonts w:ascii="Arial" w:hAnsi="Arial" w:cs="Arial"/>
                <w:b/>
                <w:sz w:val="20"/>
                <w:szCs w:val="20"/>
              </w:rPr>
              <w:t xml:space="preserve">Annual </w:t>
            </w:r>
            <w:r w:rsidRPr="00EF785B">
              <w:rPr>
                <w:rFonts w:ascii="Arial" w:hAnsi="Arial" w:cs="Arial"/>
                <w:b/>
                <w:sz w:val="20"/>
                <w:szCs w:val="20"/>
              </w:rPr>
              <w:t>Throughput</w:t>
            </w:r>
          </w:p>
        </w:tc>
        <w:tc>
          <w:tcPr>
            <w:tcW w:w="1843" w:type="dxa"/>
            <w:vAlign w:val="center"/>
          </w:tcPr>
          <w:p w:rsidR="00576657" w:rsidRDefault="00576657" w:rsidP="00FA2C75">
            <w:pPr>
              <w:spacing w:before="60" w:after="60"/>
              <w:jc w:val="center"/>
              <w:rPr>
                <w:rFonts w:ascii="Arial" w:hAnsi="Arial" w:cs="Arial"/>
                <w:b/>
                <w:sz w:val="20"/>
                <w:szCs w:val="20"/>
              </w:rPr>
            </w:pPr>
            <w:r>
              <w:rPr>
                <w:rFonts w:ascii="Arial" w:hAnsi="Arial" w:cs="Arial"/>
                <w:b/>
                <w:sz w:val="20"/>
                <w:szCs w:val="20"/>
              </w:rPr>
              <w:t>2015-16</w:t>
            </w:r>
          </w:p>
          <w:p w:rsidR="00576657" w:rsidRPr="00EF785B" w:rsidRDefault="00576657" w:rsidP="00FA2C75">
            <w:pPr>
              <w:spacing w:before="60" w:after="60"/>
              <w:jc w:val="center"/>
              <w:rPr>
                <w:rFonts w:ascii="Arial" w:hAnsi="Arial" w:cs="Arial"/>
                <w:b/>
                <w:sz w:val="20"/>
                <w:szCs w:val="20"/>
              </w:rPr>
            </w:pPr>
            <w:r>
              <w:rPr>
                <w:rFonts w:ascii="Arial" w:hAnsi="Arial" w:cs="Arial"/>
                <w:b/>
                <w:sz w:val="20"/>
                <w:szCs w:val="20"/>
              </w:rPr>
              <w:t>$</w:t>
            </w:r>
          </w:p>
        </w:tc>
        <w:tc>
          <w:tcPr>
            <w:tcW w:w="3969" w:type="dxa"/>
            <w:vAlign w:val="center"/>
          </w:tcPr>
          <w:p w:rsidR="00576657" w:rsidRPr="00EF785B" w:rsidRDefault="00576657" w:rsidP="00FA2C75">
            <w:pPr>
              <w:spacing w:before="60" w:after="60"/>
              <w:jc w:val="center"/>
              <w:rPr>
                <w:rFonts w:ascii="Arial" w:hAnsi="Arial" w:cs="Arial"/>
                <w:b/>
                <w:sz w:val="20"/>
                <w:szCs w:val="20"/>
              </w:rPr>
            </w:pPr>
            <w:r>
              <w:rPr>
                <w:rFonts w:ascii="Arial" w:hAnsi="Arial" w:cs="Arial"/>
                <w:b/>
                <w:sz w:val="20"/>
                <w:szCs w:val="20"/>
              </w:rPr>
              <w:t>Annual Throughput</w:t>
            </w:r>
          </w:p>
        </w:tc>
        <w:tc>
          <w:tcPr>
            <w:tcW w:w="1725" w:type="dxa"/>
            <w:vAlign w:val="center"/>
          </w:tcPr>
          <w:p w:rsidR="00576657" w:rsidRDefault="00576657" w:rsidP="00FA2C75">
            <w:pPr>
              <w:spacing w:before="60" w:after="60"/>
              <w:jc w:val="center"/>
              <w:rPr>
                <w:rFonts w:ascii="Arial" w:hAnsi="Arial" w:cs="Arial"/>
                <w:b/>
                <w:sz w:val="20"/>
                <w:szCs w:val="20"/>
              </w:rPr>
            </w:pPr>
            <w:r w:rsidRPr="00EF785B">
              <w:rPr>
                <w:rFonts w:ascii="Arial" w:hAnsi="Arial" w:cs="Arial"/>
                <w:b/>
                <w:sz w:val="20"/>
                <w:szCs w:val="20"/>
              </w:rPr>
              <w:t>2016-17</w:t>
            </w:r>
          </w:p>
          <w:p w:rsidR="00576657" w:rsidRPr="00EF785B" w:rsidRDefault="00576657" w:rsidP="00FA2C75">
            <w:pPr>
              <w:spacing w:before="60" w:after="60"/>
              <w:jc w:val="center"/>
              <w:rPr>
                <w:rFonts w:ascii="Arial" w:hAnsi="Arial" w:cs="Arial"/>
                <w:b/>
                <w:sz w:val="20"/>
                <w:szCs w:val="20"/>
              </w:rPr>
            </w:pPr>
            <w:r>
              <w:rPr>
                <w:rFonts w:ascii="Arial" w:hAnsi="Arial" w:cs="Arial"/>
                <w:b/>
                <w:sz w:val="20"/>
                <w:szCs w:val="20"/>
              </w:rPr>
              <w:t>$</w:t>
            </w:r>
          </w:p>
        </w:tc>
        <w:tc>
          <w:tcPr>
            <w:tcW w:w="2418" w:type="dxa"/>
            <w:vAlign w:val="center"/>
          </w:tcPr>
          <w:p w:rsidR="00576657" w:rsidRDefault="00576657" w:rsidP="00FA2C75">
            <w:pPr>
              <w:spacing w:before="60" w:after="60"/>
              <w:jc w:val="center"/>
              <w:rPr>
                <w:rFonts w:ascii="Arial" w:hAnsi="Arial" w:cs="Arial"/>
                <w:b/>
                <w:sz w:val="20"/>
                <w:szCs w:val="20"/>
              </w:rPr>
            </w:pPr>
            <w:r>
              <w:rPr>
                <w:rFonts w:ascii="Arial" w:hAnsi="Arial" w:cs="Arial"/>
                <w:b/>
                <w:sz w:val="20"/>
                <w:szCs w:val="20"/>
              </w:rPr>
              <w:t>Increase</w:t>
            </w:r>
          </w:p>
          <w:p w:rsidR="00576657" w:rsidRPr="00EF785B" w:rsidRDefault="00576657" w:rsidP="00FA2C75">
            <w:pPr>
              <w:spacing w:before="60" w:after="60"/>
              <w:jc w:val="center"/>
              <w:rPr>
                <w:rFonts w:ascii="Arial" w:hAnsi="Arial" w:cs="Arial"/>
                <w:b/>
                <w:sz w:val="20"/>
                <w:szCs w:val="20"/>
              </w:rPr>
            </w:pPr>
            <w:r>
              <w:rPr>
                <w:rFonts w:ascii="Arial" w:hAnsi="Arial" w:cs="Arial"/>
                <w:b/>
                <w:sz w:val="20"/>
                <w:szCs w:val="20"/>
              </w:rPr>
              <w:t>%</w:t>
            </w:r>
          </w:p>
        </w:tc>
      </w:tr>
      <w:tr w:rsidR="00576657" w:rsidRPr="00EF785B" w:rsidTr="00FA2C75">
        <w:tc>
          <w:tcPr>
            <w:tcW w:w="4219" w:type="dxa"/>
            <w:vAlign w:val="center"/>
          </w:tcPr>
          <w:p w:rsidR="00576657" w:rsidRPr="00EF785B" w:rsidRDefault="00576657" w:rsidP="00FA2C75">
            <w:pPr>
              <w:rPr>
                <w:rFonts w:ascii="Arial" w:hAnsi="Arial" w:cs="Arial"/>
                <w:sz w:val="20"/>
                <w:szCs w:val="20"/>
              </w:rPr>
            </w:pPr>
            <w:r w:rsidRPr="00EF785B">
              <w:rPr>
                <w:rFonts w:ascii="Arial" w:hAnsi="Arial" w:cs="Arial"/>
                <w:sz w:val="20"/>
                <w:szCs w:val="20"/>
              </w:rPr>
              <w:t xml:space="preserve">Up to </w:t>
            </w:r>
            <w:r>
              <w:rPr>
                <w:rFonts w:ascii="Arial" w:hAnsi="Arial" w:cs="Arial"/>
                <w:sz w:val="20"/>
                <w:szCs w:val="20"/>
              </w:rPr>
              <w:t>2,500</w:t>
            </w:r>
            <w:r w:rsidRPr="00EF785B">
              <w:rPr>
                <w:rFonts w:ascii="Arial" w:hAnsi="Arial" w:cs="Arial"/>
                <w:sz w:val="20"/>
                <w:szCs w:val="20"/>
              </w:rPr>
              <w:t xml:space="preserve"> units</w:t>
            </w:r>
          </w:p>
        </w:tc>
        <w:tc>
          <w:tcPr>
            <w:tcW w:w="1843"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377</w:t>
            </w:r>
          </w:p>
        </w:tc>
        <w:tc>
          <w:tcPr>
            <w:tcW w:w="3969" w:type="dxa"/>
            <w:vMerge w:val="restart"/>
            <w:vAlign w:val="center"/>
          </w:tcPr>
          <w:p w:rsidR="00576657" w:rsidRPr="00EF785B" w:rsidRDefault="00576657" w:rsidP="00FA2C75">
            <w:pPr>
              <w:spacing w:before="60" w:after="60"/>
              <w:rPr>
                <w:rFonts w:ascii="Arial" w:hAnsi="Arial" w:cs="Arial"/>
                <w:sz w:val="20"/>
                <w:szCs w:val="20"/>
              </w:rPr>
            </w:pPr>
            <w:r>
              <w:rPr>
                <w:rFonts w:ascii="Arial" w:hAnsi="Arial" w:cs="Arial"/>
                <w:sz w:val="20"/>
                <w:szCs w:val="20"/>
              </w:rPr>
              <w:t>Up to 50,000 units</w:t>
            </w:r>
          </w:p>
        </w:tc>
        <w:tc>
          <w:tcPr>
            <w:tcW w:w="1725" w:type="dxa"/>
            <w:vMerge w:val="restart"/>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1,766</w:t>
            </w:r>
          </w:p>
        </w:tc>
        <w:tc>
          <w:tcPr>
            <w:tcW w:w="2418"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368.4%</w:t>
            </w:r>
          </w:p>
        </w:tc>
      </w:tr>
      <w:tr w:rsidR="00576657" w:rsidRPr="00EF785B" w:rsidTr="00FA2C75">
        <w:tc>
          <w:tcPr>
            <w:tcW w:w="4219" w:type="dxa"/>
            <w:vAlign w:val="center"/>
          </w:tcPr>
          <w:p w:rsidR="00576657" w:rsidRPr="00EF785B" w:rsidRDefault="00576657" w:rsidP="00FA2C75">
            <w:pPr>
              <w:rPr>
                <w:rFonts w:ascii="Arial" w:hAnsi="Arial" w:cs="Arial"/>
                <w:sz w:val="20"/>
                <w:szCs w:val="20"/>
              </w:rPr>
            </w:pPr>
            <w:r>
              <w:rPr>
                <w:rFonts w:ascii="Arial" w:hAnsi="Arial" w:cs="Arial"/>
                <w:sz w:val="20"/>
                <w:szCs w:val="20"/>
              </w:rPr>
              <w:t>2,501 to 50,000 units</w:t>
            </w:r>
          </w:p>
        </w:tc>
        <w:tc>
          <w:tcPr>
            <w:tcW w:w="1843"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820</w:t>
            </w:r>
          </w:p>
        </w:tc>
        <w:tc>
          <w:tcPr>
            <w:tcW w:w="3969" w:type="dxa"/>
            <w:vMerge/>
            <w:vAlign w:val="center"/>
          </w:tcPr>
          <w:p w:rsidR="00576657" w:rsidRPr="00EF785B" w:rsidRDefault="00576657" w:rsidP="00FA2C75">
            <w:pPr>
              <w:spacing w:before="60" w:after="60"/>
              <w:rPr>
                <w:rFonts w:ascii="Arial" w:hAnsi="Arial" w:cs="Arial"/>
                <w:sz w:val="20"/>
                <w:szCs w:val="20"/>
              </w:rPr>
            </w:pPr>
          </w:p>
        </w:tc>
        <w:tc>
          <w:tcPr>
            <w:tcW w:w="1725" w:type="dxa"/>
            <w:vMerge/>
            <w:vAlign w:val="center"/>
          </w:tcPr>
          <w:p w:rsidR="00576657" w:rsidRPr="00EF785B" w:rsidRDefault="00576657" w:rsidP="00FA2C75">
            <w:pPr>
              <w:spacing w:before="60" w:after="60"/>
              <w:jc w:val="center"/>
              <w:rPr>
                <w:rFonts w:ascii="Arial" w:hAnsi="Arial" w:cs="Arial"/>
                <w:sz w:val="20"/>
                <w:szCs w:val="20"/>
              </w:rPr>
            </w:pPr>
          </w:p>
        </w:tc>
        <w:tc>
          <w:tcPr>
            <w:tcW w:w="2418"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115.4%</w:t>
            </w:r>
          </w:p>
        </w:tc>
      </w:tr>
      <w:tr w:rsidR="00576657" w:rsidRPr="00EF785B" w:rsidTr="00FA2C75">
        <w:tc>
          <w:tcPr>
            <w:tcW w:w="4219" w:type="dxa"/>
            <w:vAlign w:val="center"/>
          </w:tcPr>
          <w:p w:rsidR="00576657" w:rsidRPr="00EF785B" w:rsidRDefault="00576657" w:rsidP="00FA2C75">
            <w:pPr>
              <w:rPr>
                <w:rFonts w:ascii="Arial" w:hAnsi="Arial" w:cs="Arial"/>
                <w:sz w:val="20"/>
                <w:szCs w:val="20"/>
              </w:rPr>
            </w:pPr>
            <w:r>
              <w:rPr>
                <w:rFonts w:ascii="Arial" w:hAnsi="Arial" w:cs="Arial"/>
                <w:sz w:val="20"/>
                <w:szCs w:val="20"/>
              </w:rPr>
              <w:t>50,001 to 250,000 units</w:t>
            </w:r>
          </w:p>
        </w:tc>
        <w:tc>
          <w:tcPr>
            <w:tcW w:w="1843"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1,719</w:t>
            </w:r>
          </w:p>
        </w:tc>
        <w:tc>
          <w:tcPr>
            <w:tcW w:w="3969" w:type="dxa"/>
            <w:vAlign w:val="center"/>
          </w:tcPr>
          <w:p w:rsidR="00576657" w:rsidRPr="00EF785B" w:rsidRDefault="00576657" w:rsidP="00FA2C75">
            <w:pPr>
              <w:spacing w:before="60" w:after="60"/>
              <w:rPr>
                <w:rFonts w:ascii="Arial" w:hAnsi="Arial" w:cs="Arial"/>
                <w:sz w:val="20"/>
                <w:szCs w:val="20"/>
              </w:rPr>
            </w:pPr>
            <w:r>
              <w:rPr>
                <w:rFonts w:ascii="Arial" w:hAnsi="Arial" w:cs="Arial"/>
                <w:sz w:val="20"/>
                <w:szCs w:val="20"/>
              </w:rPr>
              <w:t>50,001 to 500,000 units</w:t>
            </w:r>
          </w:p>
        </w:tc>
        <w:tc>
          <w:tcPr>
            <w:tcW w:w="1725"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2,413</w:t>
            </w:r>
          </w:p>
        </w:tc>
        <w:tc>
          <w:tcPr>
            <w:tcW w:w="2418"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40.4%</w:t>
            </w:r>
          </w:p>
        </w:tc>
      </w:tr>
      <w:tr w:rsidR="00576657" w:rsidRPr="00EF785B" w:rsidTr="00FA2C75">
        <w:tc>
          <w:tcPr>
            <w:tcW w:w="4219" w:type="dxa"/>
            <w:vAlign w:val="center"/>
          </w:tcPr>
          <w:p w:rsidR="00576657" w:rsidRPr="00EF785B" w:rsidRDefault="00576657" w:rsidP="00FA2C75">
            <w:pPr>
              <w:rPr>
                <w:rFonts w:ascii="Arial" w:hAnsi="Arial" w:cs="Arial"/>
                <w:sz w:val="20"/>
                <w:szCs w:val="20"/>
              </w:rPr>
            </w:pPr>
            <w:r>
              <w:rPr>
                <w:rFonts w:ascii="Arial" w:hAnsi="Arial" w:cs="Arial"/>
                <w:sz w:val="20"/>
                <w:szCs w:val="20"/>
              </w:rPr>
              <w:t>250,001 to 1,000,000 units</w:t>
            </w:r>
          </w:p>
        </w:tc>
        <w:tc>
          <w:tcPr>
            <w:tcW w:w="1843"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2,348</w:t>
            </w:r>
          </w:p>
        </w:tc>
        <w:tc>
          <w:tcPr>
            <w:tcW w:w="3969" w:type="dxa"/>
            <w:vAlign w:val="center"/>
          </w:tcPr>
          <w:p w:rsidR="00576657" w:rsidRPr="00EF785B" w:rsidRDefault="00576657" w:rsidP="00FA2C75">
            <w:pPr>
              <w:spacing w:before="60" w:after="60"/>
              <w:rPr>
                <w:rFonts w:ascii="Arial" w:hAnsi="Arial" w:cs="Arial"/>
                <w:sz w:val="20"/>
                <w:szCs w:val="20"/>
              </w:rPr>
            </w:pPr>
            <w:r>
              <w:rPr>
                <w:rFonts w:ascii="Arial" w:hAnsi="Arial" w:cs="Arial"/>
                <w:sz w:val="20"/>
                <w:szCs w:val="20"/>
              </w:rPr>
              <w:t>50,001 to 500,000 units</w:t>
            </w:r>
          </w:p>
        </w:tc>
        <w:tc>
          <w:tcPr>
            <w:tcW w:w="1725" w:type="dxa"/>
            <w:vAlign w:val="center"/>
          </w:tcPr>
          <w:p w:rsidR="00576657" w:rsidRPr="00EF785B" w:rsidRDefault="00576657" w:rsidP="00FA2C75">
            <w:pPr>
              <w:spacing w:before="60" w:after="60"/>
              <w:jc w:val="center"/>
              <w:rPr>
                <w:rFonts w:ascii="Arial" w:hAnsi="Arial" w:cs="Arial"/>
                <w:sz w:val="20"/>
                <w:szCs w:val="20"/>
              </w:rPr>
            </w:pPr>
            <w:r w:rsidRPr="00732F34">
              <w:rPr>
                <w:rFonts w:ascii="Arial" w:hAnsi="Arial" w:cs="Arial"/>
                <w:sz w:val="20"/>
                <w:szCs w:val="20"/>
              </w:rPr>
              <w:t>2,413 / 3,697</w:t>
            </w:r>
            <w:r w:rsidRPr="00732F34">
              <w:rPr>
                <w:rStyle w:val="FootnoteReference"/>
                <w:rFonts w:ascii="Arial" w:hAnsi="Arial" w:cs="Arial"/>
                <w:sz w:val="20"/>
                <w:szCs w:val="20"/>
              </w:rPr>
              <w:footnoteReference w:id="3"/>
            </w:r>
          </w:p>
        </w:tc>
        <w:tc>
          <w:tcPr>
            <w:tcW w:w="2418"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2.75% / 57.5%</w:t>
            </w:r>
          </w:p>
        </w:tc>
      </w:tr>
      <w:tr w:rsidR="00576657" w:rsidRPr="00EF785B" w:rsidTr="00FA2C75">
        <w:tc>
          <w:tcPr>
            <w:tcW w:w="4219" w:type="dxa"/>
            <w:vAlign w:val="center"/>
          </w:tcPr>
          <w:p w:rsidR="00576657" w:rsidRPr="00EF785B" w:rsidRDefault="00576657" w:rsidP="00FA2C75">
            <w:pPr>
              <w:rPr>
                <w:rFonts w:ascii="Arial" w:hAnsi="Arial" w:cs="Arial"/>
                <w:sz w:val="20"/>
                <w:szCs w:val="20"/>
              </w:rPr>
            </w:pPr>
            <w:r>
              <w:rPr>
                <w:rFonts w:ascii="Arial" w:hAnsi="Arial" w:cs="Arial"/>
                <w:sz w:val="20"/>
                <w:szCs w:val="20"/>
              </w:rPr>
              <w:t>1,000,001 to 2,500,000 units</w:t>
            </w:r>
          </w:p>
        </w:tc>
        <w:tc>
          <w:tcPr>
            <w:tcW w:w="1843"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3,598</w:t>
            </w:r>
          </w:p>
        </w:tc>
        <w:tc>
          <w:tcPr>
            <w:tcW w:w="3969" w:type="dxa"/>
            <w:vAlign w:val="center"/>
          </w:tcPr>
          <w:p w:rsidR="00576657" w:rsidRPr="00EF785B" w:rsidRDefault="00576657" w:rsidP="00FA2C75">
            <w:pPr>
              <w:spacing w:before="60" w:after="60"/>
              <w:rPr>
                <w:rFonts w:ascii="Arial" w:hAnsi="Arial" w:cs="Arial"/>
                <w:sz w:val="20"/>
                <w:szCs w:val="20"/>
              </w:rPr>
            </w:pPr>
            <w:r>
              <w:rPr>
                <w:rFonts w:ascii="Arial" w:hAnsi="Arial" w:cs="Arial"/>
                <w:sz w:val="20"/>
                <w:szCs w:val="20"/>
              </w:rPr>
              <w:t>500,001 to 2,500,000 units</w:t>
            </w:r>
          </w:p>
        </w:tc>
        <w:tc>
          <w:tcPr>
            <w:tcW w:w="1725"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3,967</w:t>
            </w:r>
          </w:p>
        </w:tc>
        <w:tc>
          <w:tcPr>
            <w:tcW w:w="2418"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2.75%</w:t>
            </w:r>
          </w:p>
        </w:tc>
      </w:tr>
      <w:tr w:rsidR="00576657" w:rsidRPr="00EF785B" w:rsidTr="00FA2C75">
        <w:tc>
          <w:tcPr>
            <w:tcW w:w="4219" w:type="dxa"/>
            <w:vAlign w:val="center"/>
          </w:tcPr>
          <w:p w:rsidR="00576657" w:rsidRPr="00EF785B" w:rsidRDefault="00576657" w:rsidP="00FA2C75">
            <w:pPr>
              <w:rPr>
                <w:rFonts w:ascii="Arial" w:hAnsi="Arial" w:cs="Arial"/>
                <w:sz w:val="20"/>
                <w:szCs w:val="20"/>
              </w:rPr>
            </w:pPr>
            <w:r>
              <w:rPr>
                <w:rFonts w:ascii="Arial" w:hAnsi="Arial" w:cs="Arial"/>
                <w:sz w:val="20"/>
                <w:szCs w:val="20"/>
              </w:rPr>
              <w:t>2,500,001 to 5,000,000 units</w:t>
            </w:r>
          </w:p>
        </w:tc>
        <w:tc>
          <w:tcPr>
            <w:tcW w:w="1843"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6,173</w:t>
            </w:r>
          </w:p>
        </w:tc>
        <w:tc>
          <w:tcPr>
            <w:tcW w:w="3969" w:type="dxa"/>
            <w:vAlign w:val="center"/>
          </w:tcPr>
          <w:p w:rsidR="00576657" w:rsidRPr="00EF785B" w:rsidRDefault="00576657" w:rsidP="00FA2C75">
            <w:pPr>
              <w:spacing w:before="60" w:after="60"/>
              <w:rPr>
                <w:rFonts w:ascii="Arial" w:hAnsi="Arial" w:cs="Arial"/>
                <w:sz w:val="20"/>
                <w:szCs w:val="20"/>
              </w:rPr>
            </w:pPr>
            <w:r>
              <w:rPr>
                <w:rFonts w:ascii="Arial" w:hAnsi="Arial" w:cs="Arial"/>
                <w:sz w:val="20"/>
                <w:szCs w:val="20"/>
              </w:rPr>
              <w:t>2,500,001 to 5,000,000 units</w:t>
            </w:r>
          </w:p>
        </w:tc>
        <w:tc>
          <w:tcPr>
            <w:tcW w:w="1725"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6,343</w:t>
            </w:r>
          </w:p>
        </w:tc>
        <w:tc>
          <w:tcPr>
            <w:tcW w:w="2418"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2.75%</w:t>
            </w:r>
          </w:p>
        </w:tc>
      </w:tr>
      <w:tr w:rsidR="00576657" w:rsidRPr="00EF785B" w:rsidTr="00FA2C75">
        <w:tc>
          <w:tcPr>
            <w:tcW w:w="4219" w:type="dxa"/>
            <w:vAlign w:val="center"/>
          </w:tcPr>
          <w:p w:rsidR="00576657" w:rsidRDefault="00576657" w:rsidP="00FA2C75">
            <w:pPr>
              <w:rPr>
                <w:rFonts w:ascii="Arial" w:hAnsi="Arial" w:cs="Arial"/>
                <w:sz w:val="20"/>
                <w:szCs w:val="20"/>
              </w:rPr>
            </w:pPr>
            <w:r>
              <w:rPr>
                <w:rFonts w:ascii="Arial" w:hAnsi="Arial" w:cs="Arial"/>
                <w:sz w:val="20"/>
                <w:szCs w:val="20"/>
              </w:rPr>
              <w:t>Over 5,000,000 units</w:t>
            </w:r>
          </w:p>
        </w:tc>
        <w:tc>
          <w:tcPr>
            <w:tcW w:w="1843" w:type="dxa"/>
            <w:vAlign w:val="center"/>
          </w:tcPr>
          <w:p w:rsidR="00576657" w:rsidRDefault="00576657" w:rsidP="00FA2C75">
            <w:pPr>
              <w:spacing w:before="60" w:after="60"/>
              <w:jc w:val="center"/>
              <w:rPr>
                <w:rFonts w:ascii="Arial" w:hAnsi="Arial" w:cs="Arial"/>
                <w:sz w:val="20"/>
                <w:szCs w:val="20"/>
              </w:rPr>
            </w:pPr>
            <w:r>
              <w:rPr>
                <w:rFonts w:ascii="Arial" w:hAnsi="Arial" w:cs="Arial"/>
                <w:sz w:val="20"/>
                <w:szCs w:val="20"/>
              </w:rPr>
              <w:t>11,118</w:t>
            </w:r>
          </w:p>
        </w:tc>
        <w:tc>
          <w:tcPr>
            <w:tcW w:w="3969" w:type="dxa"/>
            <w:vAlign w:val="center"/>
          </w:tcPr>
          <w:p w:rsidR="00576657" w:rsidRDefault="00576657" w:rsidP="00FA2C75">
            <w:pPr>
              <w:spacing w:before="60" w:after="60"/>
              <w:rPr>
                <w:rFonts w:ascii="Arial" w:hAnsi="Arial" w:cs="Arial"/>
                <w:sz w:val="20"/>
                <w:szCs w:val="20"/>
              </w:rPr>
            </w:pPr>
            <w:r>
              <w:rPr>
                <w:rFonts w:ascii="Arial" w:hAnsi="Arial" w:cs="Arial"/>
                <w:sz w:val="20"/>
                <w:szCs w:val="20"/>
              </w:rPr>
              <w:t>Over 5,000,000 units</w:t>
            </w:r>
          </w:p>
        </w:tc>
        <w:tc>
          <w:tcPr>
            <w:tcW w:w="1725" w:type="dxa"/>
            <w:vAlign w:val="center"/>
          </w:tcPr>
          <w:p w:rsidR="00576657" w:rsidRDefault="00576657" w:rsidP="00FA2C75">
            <w:pPr>
              <w:spacing w:before="60" w:after="60"/>
              <w:jc w:val="center"/>
              <w:rPr>
                <w:rFonts w:ascii="Arial" w:hAnsi="Arial" w:cs="Arial"/>
                <w:sz w:val="20"/>
                <w:szCs w:val="20"/>
              </w:rPr>
            </w:pPr>
            <w:r>
              <w:rPr>
                <w:rFonts w:ascii="Arial" w:hAnsi="Arial" w:cs="Arial"/>
                <w:sz w:val="20"/>
                <w:szCs w:val="20"/>
              </w:rPr>
              <w:t>11,424</w:t>
            </w:r>
          </w:p>
        </w:tc>
        <w:tc>
          <w:tcPr>
            <w:tcW w:w="2418" w:type="dxa"/>
            <w:vAlign w:val="center"/>
          </w:tcPr>
          <w:p w:rsidR="00576657" w:rsidRDefault="00576657" w:rsidP="00FA2C75">
            <w:pPr>
              <w:spacing w:before="60" w:after="60"/>
              <w:jc w:val="center"/>
              <w:rPr>
                <w:rFonts w:ascii="Arial" w:hAnsi="Arial" w:cs="Arial"/>
                <w:sz w:val="20"/>
                <w:szCs w:val="20"/>
              </w:rPr>
            </w:pPr>
            <w:r>
              <w:rPr>
                <w:rFonts w:ascii="Arial" w:hAnsi="Arial" w:cs="Arial"/>
                <w:sz w:val="20"/>
                <w:szCs w:val="20"/>
              </w:rPr>
              <w:t>2.75%</w:t>
            </w:r>
          </w:p>
        </w:tc>
      </w:tr>
    </w:tbl>
    <w:p w:rsidR="00576657" w:rsidRDefault="00576657" w:rsidP="00576657">
      <w:pPr>
        <w:spacing w:after="0" w:line="240" w:lineRule="auto"/>
        <w:rPr>
          <w:rFonts w:ascii="Arial" w:hAnsi="Arial" w:cs="Arial"/>
          <w:b/>
          <w:sz w:val="20"/>
          <w:szCs w:val="20"/>
          <w:u w:val="single"/>
        </w:rPr>
      </w:pPr>
    </w:p>
    <w:p w:rsidR="00576657" w:rsidRDefault="00576657" w:rsidP="00576657">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4219"/>
        <w:gridCol w:w="1843"/>
        <w:gridCol w:w="3969"/>
        <w:gridCol w:w="1725"/>
        <w:gridCol w:w="2418"/>
      </w:tblGrid>
      <w:tr w:rsidR="00576657" w:rsidTr="00FA2C75">
        <w:tc>
          <w:tcPr>
            <w:tcW w:w="4219" w:type="dxa"/>
            <w:shd w:val="clear" w:color="auto" w:fill="F2F2F2" w:themeFill="background1" w:themeFillShade="F2"/>
            <w:vAlign w:val="center"/>
          </w:tcPr>
          <w:p w:rsidR="00576657" w:rsidRPr="00E87CBB" w:rsidRDefault="00576657" w:rsidP="00FA2C75">
            <w:pPr>
              <w:spacing w:before="60" w:after="60"/>
              <w:rPr>
                <w:rFonts w:ascii="Arial" w:hAnsi="Arial" w:cs="Arial"/>
                <w:b/>
                <w:sz w:val="20"/>
                <w:szCs w:val="20"/>
              </w:rPr>
            </w:pPr>
            <w:r>
              <w:rPr>
                <w:rFonts w:ascii="Arial" w:hAnsi="Arial" w:cs="Arial"/>
                <w:b/>
                <w:sz w:val="20"/>
                <w:szCs w:val="20"/>
              </w:rPr>
              <w:t xml:space="preserve">Further Meat Processing Facilities </w:t>
            </w:r>
            <w:r w:rsidRPr="00DC20C1">
              <w:rPr>
                <w:rStyle w:val="FootnoteReference"/>
                <w:rFonts w:ascii="Arial" w:hAnsi="Arial" w:cs="Arial"/>
                <w:color w:val="000000"/>
                <w:sz w:val="20"/>
                <w:szCs w:val="20"/>
              </w:rPr>
              <w:footnoteReference w:id="4"/>
            </w:r>
          </w:p>
        </w:tc>
        <w:tc>
          <w:tcPr>
            <w:tcW w:w="1843" w:type="dxa"/>
            <w:shd w:val="clear" w:color="auto" w:fill="F2F2F2" w:themeFill="background1" w:themeFillShade="F2"/>
            <w:vAlign w:val="center"/>
          </w:tcPr>
          <w:p w:rsidR="00576657" w:rsidRPr="00EF785B" w:rsidRDefault="00576657" w:rsidP="00FA2C75">
            <w:pPr>
              <w:spacing w:before="60" w:after="60"/>
              <w:jc w:val="center"/>
              <w:rPr>
                <w:rFonts w:ascii="Arial" w:hAnsi="Arial" w:cs="Arial"/>
                <w:b/>
                <w:sz w:val="20"/>
                <w:szCs w:val="20"/>
              </w:rPr>
            </w:pPr>
            <w:r w:rsidRPr="00EF785B">
              <w:rPr>
                <w:rFonts w:ascii="Arial" w:hAnsi="Arial" w:cs="Arial"/>
                <w:b/>
                <w:sz w:val="20"/>
                <w:szCs w:val="20"/>
              </w:rPr>
              <w:t>Current</w:t>
            </w:r>
          </w:p>
        </w:tc>
        <w:tc>
          <w:tcPr>
            <w:tcW w:w="8112" w:type="dxa"/>
            <w:gridSpan w:val="3"/>
            <w:shd w:val="clear" w:color="auto" w:fill="F2F2F2" w:themeFill="background1" w:themeFillShade="F2"/>
            <w:vAlign w:val="center"/>
          </w:tcPr>
          <w:p w:rsidR="00576657" w:rsidRDefault="00576657" w:rsidP="00FA2C75">
            <w:pPr>
              <w:spacing w:before="60" w:after="60"/>
              <w:jc w:val="center"/>
              <w:rPr>
                <w:rFonts w:ascii="Arial" w:hAnsi="Arial" w:cs="Arial"/>
                <w:b/>
                <w:sz w:val="20"/>
                <w:szCs w:val="20"/>
                <w:u w:val="single"/>
              </w:rPr>
            </w:pPr>
            <w:r w:rsidRPr="00EF785B">
              <w:rPr>
                <w:rFonts w:ascii="Arial" w:hAnsi="Arial" w:cs="Arial"/>
                <w:b/>
                <w:sz w:val="20"/>
                <w:szCs w:val="20"/>
              </w:rPr>
              <w:t>Proposed</w:t>
            </w:r>
          </w:p>
        </w:tc>
      </w:tr>
      <w:tr w:rsidR="00576657" w:rsidRPr="00EF785B" w:rsidTr="00FA2C75">
        <w:tc>
          <w:tcPr>
            <w:tcW w:w="4219" w:type="dxa"/>
            <w:vAlign w:val="center"/>
          </w:tcPr>
          <w:p w:rsidR="00576657" w:rsidRPr="00EF785B" w:rsidRDefault="00576657" w:rsidP="00FA2C75">
            <w:pPr>
              <w:spacing w:before="60" w:after="60"/>
              <w:rPr>
                <w:rFonts w:ascii="Arial" w:hAnsi="Arial" w:cs="Arial"/>
                <w:b/>
                <w:sz w:val="20"/>
                <w:szCs w:val="20"/>
              </w:rPr>
            </w:pPr>
            <w:r>
              <w:rPr>
                <w:rFonts w:ascii="Arial" w:hAnsi="Arial" w:cs="Arial"/>
                <w:b/>
                <w:sz w:val="20"/>
                <w:szCs w:val="20"/>
              </w:rPr>
              <w:t xml:space="preserve">Annual </w:t>
            </w:r>
            <w:r w:rsidRPr="00EF785B">
              <w:rPr>
                <w:rFonts w:ascii="Arial" w:hAnsi="Arial" w:cs="Arial"/>
                <w:b/>
                <w:sz w:val="20"/>
                <w:szCs w:val="20"/>
              </w:rPr>
              <w:t>Throughput</w:t>
            </w:r>
          </w:p>
        </w:tc>
        <w:tc>
          <w:tcPr>
            <w:tcW w:w="1843" w:type="dxa"/>
            <w:vAlign w:val="center"/>
          </w:tcPr>
          <w:p w:rsidR="00576657" w:rsidRDefault="00576657" w:rsidP="00FA2C75">
            <w:pPr>
              <w:spacing w:before="60" w:after="60"/>
              <w:jc w:val="center"/>
              <w:rPr>
                <w:rFonts w:ascii="Arial" w:hAnsi="Arial" w:cs="Arial"/>
                <w:b/>
                <w:sz w:val="20"/>
                <w:szCs w:val="20"/>
              </w:rPr>
            </w:pPr>
            <w:r>
              <w:rPr>
                <w:rFonts w:ascii="Arial" w:hAnsi="Arial" w:cs="Arial"/>
                <w:b/>
                <w:sz w:val="20"/>
                <w:szCs w:val="20"/>
              </w:rPr>
              <w:t>2015-16</w:t>
            </w:r>
          </w:p>
          <w:p w:rsidR="00576657" w:rsidRPr="00EF785B" w:rsidRDefault="00576657" w:rsidP="00FA2C75">
            <w:pPr>
              <w:spacing w:before="60" w:after="60"/>
              <w:jc w:val="center"/>
              <w:rPr>
                <w:rFonts w:ascii="Arial" w:hAnsi="Arial" w:cs="Arial"/>
                <w:b/>
                <w:sz w:val="20"/>
                <w:szCs w:val="20"/>
              </w:rPr>
            </w:pPr>
            <w:r>
              <w:rPr>
                <w:rFonts w:ascii="Arial" w:hAnsi="Arial" w:cs="Arial"/>
                <w:b/>
                <w:sz w:val="20"/>
                <w:szCs w:val="20"/>
              </w:rPr>
              <w:t>$</w:t>
            </w:r>
          </w:p>
        </w:tc>
        <w:tc>
          <w:tcPr>
            <w:tcW w:w="3969" w:type="dxa"/>
            <w:vAlign w:val="center"/>
          </w:tcPr>
          <w:p w:rsidR="00576657" w:rsidRPr="00EF785B" w:rsidRDefault="00576657" w:rsidP="00FA2C75">
            <w:pPr>
              <w:spacing w:before="60" w:after="60"/>
              <w:jc w:val="center"/>
              <w:rPr>
                <w:rFonts w:ascii="Arial" w:hAnsi="Arial" w:cs="Arial"/>
                <w:b/>
                <w:sz w:val="20"/>
                <w:szCs w:val="20"/>
              </w:rPr>
            </w:pPr>
            <w:r>
              <w:rPr>
                <w:rFonts w:ascii="Arial" w:hAnsi="Arial" w:cs="Arial"/>
                <w:b/>
                <w:sz w:val="20"/>
                <w:szCs w:val="20"/>
              </w:rPr>
              <w:t>Annual Throughput</w:t>
            </w:r>
          </w:p>
        </w:tc>
        <w:tc>
          <w:tcPr>
            <w:tcW w:w="1725" w:type="dxa"/>
            <w:vAlign w:val="center"/>
          </w:tcPr>
          <w:p w:rsidR="00576657" w:rsidRDefault="00576657" w:rsidP="00FA2C75">
            <w:pPr>
              <w:spacing w:before="60" w:after="60"/>
              <w:jc w:val="center"/>
              <w:rPr>
                <w:rFonts w:ascii="Arial" w:hAnsi="Arial" w:cs="Arial"/>
                <w:b/>
                <w:sz w:val="20"/>
                <w:szCs w:val="20"/>
              </w:rPr>
            </w:pPr>
            <w:r w:rsidRPr="00EF785B">
              <w:rPr>
                <w:rFonts w:ascii="Arial" w:hAnsi="Arial" w:cs="Arial"/>
                <w:b/>
                <w:sz w:val="20"/>
                <w:szCs w:val="20"/>
              </w:rPr>
              <w:t>2016-17</w:t>
            </w:r>
          </w:p>
          <w:p w:rsidR="00576657" w:rsidRPr="00EF785B" w:rsidRDefault="00576657" w:rsidP="00FA2C75">
            <w:pPr>
              <w:spacing w:before="60" w:after="60"/>
              <w:jc w:val="center"/>
              <w:rPr>
                <w:rFonts w:ascii="Arial" w:hAnsi="Arial" w:cs="Arial"/>
                <w:b/>
                <w:sz w:val="20"/>
                <w:szCs w:val="20"/>
              </w:rPr>
            </w:pPr>
            <w:r>
              <w:rPr>
                <w:rFonts w:ascii="Arial" w:hAnsi="Arial" w:cs="Arial"/>
                <w:b/>
                <w:sz w:val="20"/>
                <w:szCs w:val="20"/>
              </w:rPr>
              <w:t>$</w:t>
            </w:r>
          </w:p>
        </w:tc>
        <w:tc>
          <w:tcPr>
            <w:tcW w:w="2418" w:type="dxa"/>
            <w:vAlign w:val="center"/>
          </w:tcPr>
          <w:p w:rsidR="00576657" w:rsidRDefault="00576657" w:rsidP="00FA2C75">
            <w:pPr>
              <w:spacing w:before="60" w:after="60"/>
              <w:jc w:val="center"/>
              <w:rPr>
                <w:rFonts w:ascii="Arial" w:hAnsi="Arial" w:cs="Arial"/>
                <w:b/>
                <w:sz w:val="20"/>
                <w:szCs w:val="20"/>
              </w:rPr>
            </w:pPr>
            <w:r>
              <w:rPr>
                <w:rFonts w:ascii="Arial" w:hAnsi="Arial" w:cs="Arial"/>
                <w:b/>
                <w:sz w:val="20"/>
                <w:szCs w:val="20"/>
              </w:rPr>
              <w:t>Increase</w:t>
            </w:r>
          </w:p>
          <w:p w:rsidR="00576657" w:rsidRPr="00EF785B" w:rsidRDefault="00576657" w:rsidP="00FA2C75">
            <w:pPr>
              <w:spacing w:before="60" w:after="60"/>
              <w:jc w:val="center"/>
              <w:rPr>
                <w:rFonts w:ascii="Arial" w:hAnsi="Arial" w:cs="Arial"/>
                <w:b/>
                <w:sz w:val="20"/>
                <w:szCs w:val="20"/>
              </w:rPr>
            </w:pPr>
            <w:r>
              <w:rPr>
                <w:rFonts w:ascii="Arial" w:hAnsi="Arial" w:cs="Arial"/>
                <w:b/>
                <w:sz w:val="20"/>
                <w:szCs w:val="20"/>
              </w:rPr>
              <w:t>%</w:t>
            </w:r>
          </w:p>
        </w:tc>
      </w:tr>
      <w:tr w:rsidR="00576657" w:rsidRPr="00EF785B" w:rsidTr="00FA2C75">
        <w:tc>
          <w:tcPr>
            <w:tcW w:w="4219" w:type="dxa"/>
            <w:vAlign w:val="center"/>
          </w:tcPr>
          <w:p w:rsidR="00576657" w:rsidRPr="00EF785B" w:rsidRDefault="00576657" w:rsidP="00FA2C75">
            <w:pPr>
              <w:rPr>
                <w:rFonts w:ascii="Arial" w:hAnsi="Arial" w:cs="Arial"/>
                <w:sz w:val="20"/>
                <w:szCs w:val="20"/>
              </w:rPr>
            </w:pPr>
            <w:r>
              <w:rPr>
                <w:rFonts w:ascii="Arial" w:hAnsi="Arial" w:cs="Arial"/>
                <w:sz w:val="20"/>
                <w:szCs w:val="20"/>
              </w:rPr>
              <w:t>Up to 250 tonnes</w:t>
            </w:r>
          </w:p>
        </w:tc>
        <w:tc>
          <w:tcPr>
            <w:tcW w:w="1843"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624</w:t>
            </w:r>
          </w:p>
        </w:tc>
        <w:tc>
          <w:tcPr>
            <w:tcW w:w="3969" w:type="dxa"/>
            <w:vAlign w:val="center"/>
          </w:tcPr>
          <w:p w:rsidR="00576657" w:rsidRPr="00EF785B" w:rsidRDefault="00576657" w:rsidP="00FA2C75">
            <w:pPr>
              <w:rPr>
                <w:rFonts w:ascii="Arial" w:hAnsi="Arial" w:cs="Arial"/>
                <w:sz w:val="20"/>
                <w:szCs w:val="20"/>
              </w:rPr>
            </w:pPr>
            <w:r>
              <w:rPr>
                <w:rFonts w:ascii="Arial" w:hAnsi="Arial" w:cs="Arial"/>
                <w:sz w:val="20"/>
                <w:szCs w:val="20"/>
              </w:rPr>
              <w:t>Up to 250 tonnes</w:t>
            </w:r>
          </w:p>
        </w:tc>
        <w:tc>
          <w:tcPr>
            <w:tcW w:w="1725"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641</w:t>
            </w:r>
          </w:p>
        </w:tc>
        <w:tc>
          <w:tcPr>
            <w:tcW w:w="2418"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2.75%</w:t>
            </w:r>
          </w:p>
        </w:tc>
      </w:tr>
      <w:tr w:rsidR="00576657" w:rsidRPr="00EF785B" w:rsidTr="00FA2C75">
        <w:tc>
          <w:tcPr>
            <w:tcW w:w="4219" w:type="dxa"/>
            <w:vAlign w:val="center"/>
          </w:tcPr>
          <w:p w:rsidR="00576657" w:rsidRPr="00EF785B" w:rsidRDefault="00576657" w:rsidP="00FA2C75">
            <w:pPr>
              <w:rPr>
                <w:rFonts w:ascii="Arial" w:hAnsi="Arial" w:cs="Arial"/>
                <w:sz w:val="20"/>
                <w:szCs w:val="20"/>
              </w:rPr>
            </w:pPr>
            <w:r>
              <w:rPr>
                <w:rFonts w:ascii="Arial" w:hAnsi="Arial" w:cs="Arial"/>
                <w:sz w:val="20"/>
                <w:szCs w:val="20"/>
              </w:rPr>
              <w:t>251 to 500 tonnes</w:t>
            </w:r>
          </w:p>
        </w:tc>
        <w:tc>
          <w:tcPr>
            <w:tcW w:w="1843"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722</w:t>
            </w:r>
          </w:p>
        </w:tc>
        <w:tc>
          <w:tcPr>
            <w:tcW w:w="3969" w:type="dxa"/>
            <w:vAlign w:val="center"/>
          </w:tcPr>
          <w:p w:rsidR="00576657" w:rsidRPr="00EF785B" w:rsidRDefault="00576657" w:rsidP="00FA2C75">
            <w:pPr>
              <w:rPr>
                <w:rFonts w:ascii="Arial" w:hAnsi="Arial" w:cs="Arial"/>
                <w:sz w:val="20"/>
                <w:szCs w:val="20"/>
              </w:rPr>
            </w:pPr>
            <w:r>
              <w:rPr>
                <w:rFonts w:ascii="Arial" w:hAnsi="Arial" w:cs="Arial"/>
                <w:sz w:val="20"/>
                <w:szCs w:val="20"/>
              </w:rPr>
              <w:t>251 to 500 tonnes</w:t>
            </w:r>
          </w:p>
        </w:tc>
        <w:tc>
          <w:tcPr>
            <w:tcW w:w="1725"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742</w:t>
            </w:r>
          </w:p>
        </w:tc>
        <w:tc>
          <w:tcPr>
            <w:tcW w:w="2418"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2.75%</w:t>
            </w:r>
          </w:p>
        </w:tc>
      </w:tr>
      <w:tr w:rsidR="00576657" w:rsidRPr="00EF785B" w:rsidTr="00FA2C75">
        <w:tc>
          <w:tcPr>
            <w:tcW w:w="4219" w:type="dxa"/>
            <w:vAlign w:val="center"/>
          </w:tcPr>
          <w:p w:rsidR="00576657" w:rsidRPr="00EF785B" w:rsidRDefault="00576657" w:rsidP="00FA2C75">
            <w:pPr>
              <w:rPr>
                <w:rFonts w:ascii="Arial" w:hAnsi="Arial" w:cs="Arial"/>
                <w:sz w:val="20"/>
                <w:szCs w:val="20"/>
              </w:rPr>
            </w:pPr>
            <w:r>
              <w:rPr>
                <w:rFonts w:ascii="Arial" w:hAnsi="Arial" w:cs="Arial"/>
                <w:sz w:val="20"/>
                <w:szCs w:val="20"/>
              </w:rPr>
              <w:t>501 to 1,500 tonnes</w:t>
            </w:r>
          </w:p>
        </w:tc>
        <w:tc>
          <w:tcPr>
            <w:tcW w:w="1843"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1,085</w:t>
            </w:r>
          </w:p>
        </w:tc>
        <w:tc>
          <w:tcPr>
            <w:tcW w:w="3969" w:type="dxa"/>
            <w:vMerge w:val="restart"/>
            <w:vAlign w:val="center"/>
          </w:tcPr>
          <w:p w:rsidR="00576657" w:rsidRPr="00EF785B" w:rsidRDefault="00576657" w:rsidP="00FA2C75">
            <w:pPr>
              <w:spacing w:before="60" w:after="60"/>
              <w:rPr>
                <w:rFonts w:ascii="Arial" w:hAnsi="Arial" w:cs="Arial"/>
                <w:sz w:val="20"/>
                <w:szCs w:val="20"/>
              </w:rPr>
            </w:pPr>
            <w:r>
              <w:rPr>
                <w:rFonts w:ascii="Arial" w:hAnsi="Arial" w:cs="Arial"/>
                <w:sz w:val="20"/>
                <w:szCs w:val="20"/>
              </w:rPr>
              <w:t>501 to 2,500 tonnes</w:t>
            </w:r>
          </w:p>
        </w:tc>
        <w:tc>
          <w:tcPr>
            <w:tcW w:w="1725" w:type="dxa"/>
            <w:vMerge w:val="restart"/>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1,488</w:t>
            </w:r>
          </w:p>
        </w:tc>
        <w:tc>
          <w:tcPr>
            <w:tcW w:w="2418"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37.1%</w:t>
            </w:r>
          </w:p>
        </w:tc>
      </w:tr>
      <w:tr w:rsidR="00576657" w:rsidRPr="00EF785B" w:rsidTr="00FA2C75">
        <w:tc>
          <w:tcPr>
            <w:tcW w:w="4219" w:type="dxa"/>
            <w:vAlign w:val="center"/>
          </w:tcPr>
          <w:p w:rsidR="00576657" w:rsidRPr="00EF785B" w:rsidRDefault="00576657" w:rsidP="00FA2C75">
            <w:pPr>
              <w:rPr>
                <w:rFonts w:ascii="Arial" w:hAnsi="Arial" w:cs="Arial"/>
                <w:sz w:val="20"/>
                <w:szCs w:val="20"/>
              </w:rPr>
            </w:pPr>
            <w:r>
              <w:rPr>
                <w:rFonts w:ascii="Arial" w:hAnsi="Arial" w:cs="Arial"/>
                <w:sz w:val="20"/>
                <w:szCs w:val="20"/>
              </w:rPr>
              <w:t>1,501 to 2,500 tonnes</w:t>
            </w:r>
          </w:p>
        </w:tc>
        <w:tc>
          <w:tcPr>
            <w:tcW w:w="1843"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1,448</w:t>
            </w:r>
          </w:p>
        </w:tc>
        <w:tc>
          <w:tcPr>
            <w:tcW w:w="3969" w:type="dxa"/>
            <w:vMerge/>
            <w:vAlign w:val="center"/>
          </w:tcPr>
          <w:p w:rsidR="00576657" w:rsidRPr="00EF785B" w:rsidRDefault="00576657" w:rsidP="00FA2C75">
            <w:pPr>
              <w:spacing w:before="60" w:after="60"/>
              <w:rPr>
                <w:rFonts w:ascii="Arial" w:hAnsi="Arial" w:cs="Arial"/>
                <w:sz w:val="20"/>
                <w:szCs w:val="20"/>
              </w:rPr>
            </w:pPr>
          </w:p>
        </w:tc>
        <w:tc>
          <w:tcPr>
            <w:tcW w:w="1725" w:type="dxa"/>
            <w:vMerge/>
            <w:vAlign w:val="center"/>
          </w:tcPr>
          <w:p w:rsidR="00576657" w:rsidRPr="00EF785B" w:rsidRDefault="00576657" w:rsidP="00FA2C75">
            <w:pPr>
              <w:spacing w:before="60" w:after="60"/>
              <w:jc w:val="center"/>
              <w:rPr>
                <w:rFonts w:ascii="Arial" w:hAnsi="Arial" w:cs="Arial"/>
                <w:sz w:val="20"/>
                <w:szCs w:val="20"/>
              </w:rPr>
            </w:pPr>
          </w:p>
        </w:tc>
        <w:tc>
          <w:tcPr>
            <w:tcW w:w="2418"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2.75%</w:t>
            </w:r>
          </w:p>
        </w:tc>
      </w:tr>
      <w:tr w:rsidR="00576657" w:rsidRPr="00EF785B" w:rsidTr="00FA2C75">
        <w:tc>
          <w:tcPr>
            <w:tcW w:w="4219" w:type="dxa"/>
            <w:vAlign w:val="center"/>
          </w:tcPr>
          <w:p w:rsidR="00576657" w:rsidRPr="00EF785B" w:rsidRDefault="00576657" w:rsidP="00FA2C75">
            <w:pPr>
              <w:rPr>
                <w:rFonts w:ascii="Arial" w:hAnsi="Arial" w:cs="Arial"/>
                <w:sz w:val="20"/>
                <w:szCs w:val="20"/>
              </w:rPr>
            </w:pPr>
            <w:r>
              <w:rPr>
                <w:rFonts w:ascii="Arial" w:hAnsi="Arial" w:cs="Arial"/>
                <w:sz w:val="20"/>
                <w:szCs w:val="20"/>
              </w:rPr>
              <w:t>2,501 to 5,000 tonnes</w:t>
            </w:r>
          </w:p>
        </w:tc>
        <w:tc>
          <w:tcPr>
            <w:tcW w:w="1843"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1,814</w:t>
            </w:r>
          </w:p>
        </w:tc>
        <w:tc>
          <w:tcPr>
            <w:tcW w:w="3969" w:type="dxa"/>
            <w:vAlign w:val="center"/>
          </w:tcPr>
          <w:p w:rsidR="00576657" w:rsidRPr="00EF785B" w:rsidRDefault="00576657" w:rsidP="00FA2C75">
            <w:pPr>
              <w:rPr>
                <w:rFonts w:ascii="Arial" w:hAnsi="Arial" w:cs="Arial"/>
                <w:sz w:val="20"/>
                <w:szCs w:val="20"/>
              </w:rPr>
            </w:pPr>
            <w:r>
              <w:rPr>
                <w:rFonts w:ascii="Arial" w:hAnsi="Arial" w:cs="Arial"/>
                <w:sz w:val="20"/>
                <w:szCs w:val="20"/>
              </w:rPr>
              <w:t>2,501 to 5,000 tonnes</w:t>
            </w:r>
          </w:p>
        </w:tc>
        <w:tc>
          <w:tcPr>
            <w:tcW w:w="1725"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2,235</w:t>
            </w:r>
          </w:p>
        </w:tc>
        <w:tc>
          <w:tcPr>
            <w:tcW w:w="2418"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23.2%</w:t>
            </w:r>
          </w:p>
        </w:tc>
      </w:tr>
      <w:tr w:rsidR="00576657" w:rsidRPr="00EF785B" w:rsidTr="00FA2C75">
        <w:tc>
          <w:tcPr>
            <w:tcW w:w="4219" w:type="dxa"/>
            <w:vAlign w:val="center"/>
          </w:tcPr>
          <w:p w:rsidR="00576657" w:rsidRPr="00EF785B" w:rsidRDefault="00576657" w:rsidP="00FA2C75">
            <w:pPr>
              <w:rPr>
                <w:rFonts w:ascii="Arial" w:hAnsi="Arial" w:cs="Arial"/>
                <w:sz w:val="20"/>
                <w:szCs w:val="20"/>
              </w:rPr>
            </w:pPr>
            <w:r>
              <w:rPr>
                <w:rFonts w:ascii="Arial" w:hAnsi="Arial" w:cs="Arial"/>
                <w:sz w:val="20"/>
                <w:szCs w:val="20"/>
              </w:rPr>
              <w:t>Over 5,001 tonnes</w:t>
            </w:r>
          </w:p>
        </w:tc>
        <w:tc>
          <w:tcPr>
            <w:tcW w:w="1843"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2,175</w:t>
            </w:r>
          </w:p>
        </w:tc>
        <w:tc>
          <w:tcPr>
            <w:tcW w:w="3969" w:type="dxa"/>
            <w:vAlign w:val="center"/>
          </w:tcPr>
          <w:p w:rsidR="00576657" w:rsidRPr="00EF785B" w:rsidRDefault="00576657" w:rsidP="00FA2C75">
            <w:pPr>
              <w:rPr>
                <w:rFonts w:ascii="Arial" w:hAnsi="Arial" w:cs="Arial"/>
                <w:sz w:val="20"/>
                <w:szCs w:val="20"/>
              </w:rPr>
            </w:pPr>
            <w:r>
              <w:rPr>
                <w:rFonts w:ascii="Arial" w:hAnsi="Arial" w:cs="Arial"/>
                <w:sz w:val="20"/>
                <w:szCs w:val="20"/>
              </w:rPr>
              <w:t>Over 5,001 tonnes</w:t>
            </w:r>
          </w:p>
        </w:tc>
        <w:tc>
          <w:tcPr>
            <w:tcW w:w="1725"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2,719</w:t>
            </w:r>
          </w:p>
        </w:tc>
        <w:tc>
          <w:tcPr>
            <w:tcW w:w="2418" w:type="dxa"/>
            <w:vAlign w:val="center"/>
          </w:tcPr>
          <w:p w:rsidR="00576657" w:rsidRPr="00EF785B" w:rsidRDefault="00576657" w:rsidP="00FA2C75">
            <w:pPr>
              <w:spacing w:before="60" w:after="60"/>
              <w:jc w:val="center"/>
              <w:rPr>
                <w:rFonts w:ascii="Arial" w:hAnsi="Arial" w:cs="Arial"/>
                <w:sz w:val="20"/>
                <w:szCs w:val="20"/>
              </w:rPr>
            </w:pPr>
            <w:r>
              <w:rPr>
                <w:rFonts w:ascii="Arial" w:hAnsi="Arial" w:cs="Arial"/>
                <w:sz w:val="20"/>
                <w:szCs w:val="20"/>
              </w:rPr>
              <w:t>25.0%</w:t>
            </w:r>
          </w:p>
        </w:tc>
      </w:tr>
    </w:tbl>
    <w:p w:rsidR="00576657" w:rsidRDefault="00576657" w:rsidP="002E7BBE">
      <w:pPr>
        <w:spacing w:after="0" w:line="240" w:lineRule="auto"/>
        <w:rPr>
          <w:rFonts w:ascii="Arial" w:hAnsi="Arial" w:cs="Arial"/>
          <w:b/>
          <w:sz w:val="20"/>
          <w:szCs w:val="20"/>
          <w:u w:val="single"/>
        </w:rPr>
      </w:pPr>
    </w:p>
    <w:p w:rsidR="00576657" w:rsidRDefault="00576657" w:rsidP="002E7BBE">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4219"/>
        <w:gridCol w:w="1843"/>
        <w:gridCol w:w="3969"/>
        <w:gridCol w:w="1725"/>
        <w:gridCol w:w="2418"/>
      </w:tblGrid>
      <w:tr w:rsidR="000E3EC7" w:rsidTr="00FA2C75">
        <w:tc>
          <w:tcPr>
            <w:tcW w:w="4219" w:type="dxa"/>
            <w:shd w:val="clear" w:color="auto" w:fill="F2F2F2" w:themeFill="background1" w:themeFillShade="F2"/>
            <w:vAlign w:val="center"/>
          </w:tcPr>
          <w:p w:rsidR="000E3EC7" w:rsidRPr="00E87CBB" w:rsidRDefault="000E3EC7" w:rsidP="00FA2C75">
            <w:pPr>
              <w:spacing w:before="60" w:after="60"/>
              <w:rPr>
                <w:rFonts w:ascii="Arial" w:hAnsi="Arial" w:cs="Arial"/>
                <w:b/>
                <w:sz w:val="20"/>
                <w:szCs w:val="20"/>
              </w:rPr>
            </w:pPr>
            <w:r>
              <w:rPr>
                <w:rFonts w:ascii="Arial" w:hAnsi="Arial" w:cs="Arial"/>
                <w:b/>
                <w:sz w:val="20"/>
                <w:szCs w:val="20"/>
              </w:rPr>
              <w:t>Retail Butcher Shops</w:t>
            </w:r>
          </w:p>
        </w:tc>
        <w:tc>
          <w:tcPr>
            <w:tcW w:w="1843" w:type="dxa"/>
            <w:shd w:val="clear" w:color="auto" w:fill="F2F2F2" w:themeFill="background1" w:themeFillShade="F2"/>
            <w:vAlign w:val="center"/>
          </w:tcPr>
          <w:p w:rsidR="000E3EC7" w:rsidRPr="00EF785B" w:rsidRDefault="000E3EC7" w:rsidP="00FA2C75">
            <w:pPr>
              <w:spacing w:before="60" w:after="60"/>
              <w:jc w:val="center"/>
              <w:rPr>
                <w:rFonts w:ascii="Arial" w:hAnsi="Arial" w:cs="Arial"/>
                <w:b/>
                <w:sz w:val="20"/>
                <w:szCs w:val="20"/>
              </w:rPr>
            </w:pPr>
            <w:r w:rsidRPr="00EF785B">
              <w:rPr>
                <w:rFonts w:ascii="Arial" w:hAnsi="Arial" w:cs="Arial"/>
                <w:b/>
                <w:sz w:val="20"/>
                <w:szCs w:val="20"/>
              </w:rPr>
              <w:t>Current</w:t>
            </w:r>
          </w:p>
        </w:tc>
        <w:tc>
          <w:tcPr>
            <w:tcW w:w="8112" w:type="dxa"/>
            <w:gridSpan w:val="3"/>
            <w:shd w:val="clear" w:color="auto" w:fill="F2F2F2" w:themeFill="background1" w:themeFillShade="F2"/>
            <w:vAlign w:val="center"/>
          </w:tcPr>
          <w:p w:rsidR="000E3EC7" w:rsidRDefault="000E3EC7" w:rsidP="00FA2C75">
            <w:pPr>
              <w:spacing w:before="60" w:after="60"/>
              <w:jc w:val="center"/>
              <w:rPr>
                <w:rFonts w:ascii="Arial" w:hAnsi="Arial" w:cs="Arial"/>
                <w:b/>
                <w:sz w:val="20"/>
                <w:szCs w:val="20"/>
                <w:u w:val="single"/>
              </w:rPr>
            </w:pPr>
            <w:r w:rsidRPr="00EF785B">
              <w:rPr>
                <w:rFonts w:ascii="Arial" w:hAnsi="Arial" w:cs="Arial"/>
                <w:b/>
                <w:sz w:val="20"/>
                <w:szCs w:val="20"/>
              </w:rPr>
              <w:t>Proposed</w:t>
            </w:r>
          </w:p>
        </w:tc>
      </w:tr>
      <w:tr w:rsidR="000E3EC7" w:rsidRPr="00EF785B" w:rsidTr="00FA2C75">
        <w:tc>
          <w:tcPr>
            <w:tcW w:w="4219" w:type="dxa"/>
            <w:vAlign w:val="center"/>
          </w:tcPr>
          <w:p w:rsidR="000E3EC7" w:rsidRPr="00EF785B" w:rsidRDefault="000E3EC7" w:rsidP="00FA2C75">
            <w:pPr>
              <w:spacing w:before="60" w:after="60"/>
              <w:rPr>
                <w:rFonts w:ascii="Arial" w:hAnsi="Arial" w:cs="Arial"/>
                <w:b/>
                <w:sz w:val="20"/>
                <w:szCs w:val="20"/>
              </w:rPr>
            </w:pPr>
            <w:r>
              <w:rPr>
                <w:rFonts w:ascii="Arial" w:hAnsi="Arial" w:cs="Arial"/>
                <w:b/>
                <w:sz w:val="20"/>
                <w:szCs w:val="20"/>
              </w:rPr>
              <w:t>Activity</w:t>
            </w:r>
          </w:p>
        </w:tc>
        <w:tc>
          <w:tcPr>
            <w:tcW w:w="1843" w:type="dxa"/>
            <w:vAlign w:val="center"/>
          </w:tcPr>
          <w:p w:rsidR="000E3EC7" w:rsidRDefault="000E3EC7" w:rsidP="00FA2C75">
            <w:pPr>
              <w:spacing w:before="60" w:after="60"/>
              <w:jc w:val="center"/>
              <w:rPr>
                <w:rFonts w:ascii="Arial" w:hAnsi="Arial" w:cs="Arial"/>
                <w:b/>
                <w:sz w:val="20"/>
                <w:szCs w:val="20"/>
              </w:rPr>
            </w:pPr>
            <w:r>
              <w:rPr>
                <w:rFonts w:ascii="Arial" w:hAnsi="Arial" w:cs="Arial"/>
                <w:b/>
                <w:sz w:val="20"/>
                <w:szCs w:val="20"/>
              </w:rPr>
              <w:t>2015-16</w:t>
            </w:r>
          </w:p>
          <w:p w:rsidR="000E3EC7" w:rsidRPr="00EF785B" w:rsidRDefault="000E3EC7" w:rsidP="00FA2C75">
            <w:pPr>
              <w:spacing w:before="60" w:after="60"/>
              <w:jc w:val="center"/>
              <w:rPr>
                <w:rFonts w:ascii="Arial" w:hAnsi="Arial" w:cs="Arial"/>
                <w:b/>
                <w:sz w:val="20"/>
                <w:szCs w:val="20"/>
              </w:rPr>
            </w:pPr>
            <w:r>
              <w:rPr>
                <w:rFonts w:ascii="Arial" w:hAnsi="Arial" w:cs="Arial"/>
                <w:b/>
                <w:sz w:val="20"/>
                <w:szCs w:val="20"/>
              </w:rPr>
              <w:t>$</w:t>
            </w:r>
          </w:p>
        </w:tc>
        <w:tc>
          <w:tcPr>
            <w:tcW w:w="3969" w:type="dxa"/>
            <w:vAlign w:val="center"/>
          </w:tcPr>
          <w:p w:rsidR="000E3EC7" w:rsidRPr="00EF785B" w:rsidRDefault="000E3EC7" w:rsidP="00FA2C75">
            <w:pPr>
              <w:spacing w:before="60" w:after="60"/>
              <w:jc w:val="center"/>
              <w:rPr>
                <w:rFonts w:ascii="Arial" w:hAnsi="Arial" w:cs="Arial"/>
                <w:b/>
                <w:sz w:val="20"/>
                <w:szCs w:val="20"/>
              </w:rPr>
            </w:pPr>
            <w:r>
              <w:rPr>
                <w:rFonts w:ascii="Arial" w:hAnsi="Arial" w:cs="Arial"/>
                <w:b/>
                <w:sz w:val="20"/>
                <w:szCs w:val="20"/>
              </w:rPr>
              <w:t>Activity</w:t>
            </w:r>
          </w:p>
        </w:tc>
        <w:tc>
          <w:tcPr>
            <w:tcW w:w="1725" w:type="dxa"/>
            <w:vAlign w:val="center"/>
          </w:tcPr>
          <w:p w:rsidR="000E3EC7" w:rsidRDefault="000E3EC7" w:rsidP="00FA2C75">
            <w:pPr>
              <w:spacing w:before="60" w:after="60"/>
              <w:jc w:val="center"/>
              <w:rPr>
                <w:rFonts w:ascii="Arial" w:hAnsi="Arial" w:cs="Arial"/>
                <w:b/>
                <w:sz w:val="20"/>
                <w:szCs w:val="20"/>
              </w:rPr>
            </w:pPr>
            <w:r w:rsidRPr="00EF785B">
              <w:rPr>
                <w:rFonts w:ascii="Arial" w:hAnsi="Arial" w:cs="Arial"/>
                <w:b/>
                <w:sz w:val="20"/>
                <w:szCs w:val="20"/>
              </w:rPr>
              <w:t>2016-17</w:t>
            </w:r>
          </w:p>
          <w:p w:rsidR="000E3EC7" w:rsidRPr="00EF785B" w:rsidRDefault="000E3EC7" w:rsidP="00FA2C75">
            <w:pPr>
              <w:spacing w:before="60" w:after="60"/>
              <w:jc w:val="center"/>
              <w:rPr>
                <w:rFonts w:ascii="Arial" w:hAnsi="Arial" w:cs="Arial"/>
                <w:b/>
                <w:sz w:val="20"/>
                <w:szCs w:val="20"/>
              </w:rPr>
            </w:pPr>
            <w:r>
              <w:rPr>
                <w:rFonts w:ascii="Arial" w:hAnsi="Arial" w:cs="Arial"/>
                <w:b/>
                <w:sz w:val="20"/>
                <w:szCs w:val="20"/>
              </w:rPr>
              <w:t>$</w:t>
            </w:r>
          </w:p>
        </w:tc>
        <w:tc>
          <w:tcPr>
            <w:tcW w:w="2418" w:type="dxa"/>
            <w:vAlign w:val="center"/>
          </w:tcPr>
          <w:p w:rsidR="000E3EC7" w:rsidRDefault="000E3EC7" w:rsidP="00FA2C75">
            <w:pPr>
              <w:spacing w:before="60" w:after="60"/>
              <w:jc w:val="center"/>
              <w:rPr>
                <w:rFonts w:ascii="Arial" w:hAnsi="Arial" w:cs="Arial"/>
                <w:b/>
                <w:sz w:val="20"/>
                <w:szCs w:val="20"/>
              </w:rPr>
            </w:pPr>
            <w:r>
              <w:rPr>
                <w:rFonts w:ascii="Arial" w:hAnsi="Arial" w:cs="Arial"/>
                <w:b/>
                <w:sz w:val="20"/>
                <w:szCs w:val="20"/>
              </w:rPr>
              <w:t>Increase</w:t>
            </w:r>
          </w:p>
          <w:p w:rsidR="000E3EC7" w:rsidRPr="00EF785B" w:rsidRDefault="000E3EC7" w:rsidP="00FA2C75">
            <w:pPr>
              <w:spacing w:before="60" w:after="60"/>
              <w:jc w:val="center"/>
              <w:rPr>
                <w:rFonts w:ascii="Arial" w:hAnsi="Arial" w:cs="Arial"/>
                <w:b/>
                <w:sz w:val="20"/>
                <w:szCs w:val="20"/>
              </w:rPr>
            </w:pPr>
            <w:r>
              <w:rPr>
                <w:rFonts w:ascii="Arial" w:hAnsi="Arial" w:cs="Arial"/>
                <w:b/>
                <w:sz w:val="20"/>
                <w:szCs w:val="20"/>
              </w:rPr>
              <w:t>%</w:t>
            </w:r>
          </w:p>
        </w:tc>
      </w:tr>
      <w:tr w:rsidR="000E3EC7" w:rsidRPr="00EF785B" w:rsidTr="00FA2C75">
        <w:tc>
          <w:tcPr>
            <w:tcW w:w="4219" w:type="dxa"/>
            <w:vAlign w:val="center"/>
          </w:tcPr>
          <w:p w:rsidR="000E3EC7" w:rsidRPr="00EF785B" w:rsidRDefault="000E3EC7" w:rsidP="00FA2C75">
            <w:pPr>
              <w:rPr>
                <w:rFonts w:ascii="Arial" w:hAnsi="Arial" w:cs="Arial"/>
                <w:sz w:val="20"/>
                <w:szCs w:val="20"/>
              </w:rPr>
            </w:pPr>
            <w:r>
              <w:rPr>
                <w:rFonts w:ascii="Arial" w:hAnsi="Arial" w:cs="Arial"/>
                <w:sz w:val="20"/>
                <w:szCs w:val="20"/>
              </w:rPr>
              <w:t>Meat and/or poultry only</w:t>
            </w:r>
          </w:p>
        </w:tc>
        <w:tc>
          <w:tcPr>
            <w:tcW w:w="1843" w:type="dxa"/>
            <w:vAlign w:val="center"/>
          </w:tcPr>
          <w:p w:rsidR="000E3EC7" w:rsidRPr="00EF785B" w:rsidRDefault="000E3EC7" w:rsidP="00FA2C75">
            <w:pPr>
              <w:spacing w:before="60" w:after="60"/>
              <w:jc w:val="center"/>
              <w:rPr>
                <w:rFonts w:ascii="Arial" w:hAnsi="Arial" w:cs="Arial"/>
                <w:sz w:val="20"/>
                <w:szCs w:val="20"/>
              </w:rPr>
            </w:pPr>
            <w:r>
              <w:rPr>
                <w:rFonts w:ascii="Arial" w:hAnsi="Arial" w:cs="Arial"/>
                <w:sz w:val="20"/>
                <w:szCs w:val="20"/>
              </w:rPr>
              <w:t>266</w:t>
            </w:r>
          </w:p>
        </w:tc>
        <w:tc>
          <w:tcPr>
            <w:tcW w:w="3969" w:type="dxa"/>
            <w:vAlign w:val="center"/>
          </w:tcPr>
          <w:p w:rsidR="000E3EC7" w:rsidRPr="00EF785B" w:rsidRDefault="000E3EC7" w:rsidP="00FA2C75">
            <w:pPr>
              <w:rPr>
                <w:rFonts w:ascii="Arial" w:hAnsi="Arial" w:cs="Arial"/>
                <w:sz w:val="20"/>
                <w:szCs w:val="20"/>
              </w:rPr>
            </w:pPr>
            <w:r>
              <w:rPr>
                <w:rFonts w:ascii="Arial" w:hAnsi="Arial" w:cs="Arial"/>
                <w:sz w:val="20"/>
                <w:szCs w:val="20"/>
              </w:rPr>
              <w:t>Meat and/or poultry only</w:t>
            </w:r>
          </w:p>
        </w:tc>
        <w:tc>
          <w:tcPr>
            <w:tcW w:w="1725" w:type="dxa"/>
            <w:vAlign w:val="center"/>
          </w:tcPr>
          <w:p w:rsidR="000E3EC7" w:rsidRPr="00EF785B" w:rsidRDefault="000E3EC7" w:rsidP="00FA2C75">
            <w:pPr>
              <w:spacing w:before="60" w:after="60"/>
              <w:jc w:val="center"/>
              <w:rPr>
                <w:rFonts w:ascii="Arial" w:hAnsi="Arial" w:cs="Arial"/>
                <w:sz w:val="20"/>
                <w:szCs w:val="20"/>
              </w:rPr>
            </w:pPr>
            <w:r>
              <w:rPr>
                <w:rFonts w:ascii="Arial" w:hAnsi="Arial" w:cs="Arial"/>
                <w:sz w:val="20"/>
                <w:szCs w:val="20"/>
              </w:rPr>
              <w:t>320</w:t>
            </w:r>
          </w:p>
        </w:tc>
        <w:tc>
          <w:tcPr>
            <w:tcW w:w="2418" w:type="dxa"/>
            <w:vAlign w:val="center"/>
          </w:tcPr>
          <w:p w:rsidR="000E3EC7" w:rsidRPr="00EF785B" w:rsidRDefault="000E3EC7" w:rsidP="00FA2C75">
            <w:pPr>
              <w:spacing w:before="60" w:after="60"/>
              <w:jc w:val="center"/>
              <w:rPr>
                <w:rFonts w:ascii="Arial" w:hAnsi="Arial" w:cs="Arial"/>
                <w:sz w:val="20"/>
                <w:szCs w:val="20"/>
              </w:rPr>
            </w:pPr>
            <w:r>
              <w:rPr>
                <w:rFonts w:ascii="Arial" w:hAnsi="Arial" w:cs="Arial"/>
                <w:sz w:val="20"/>
                <w:szCs w:val="20"/>
              </w:rPr>
              <w:t>20.3%</w:t>
            </w:r>
          </w:p>
        </w:tc>
      </w:tr>
      <w:tr w:rsidR="000E3EC7" w:rsidRPr="00EF785B" w:rsidTr="00FA2C75">
        <w:tc>
          <w:tcPr>
            <w:tcW w:w="4219" w:type="dxa"/>
            <w:vAlign w:val="center"/>
          </w:tcPr>
          <w:p w:rsidR="000E3EC7" w:rsidRPr="00EF785B" w:rsidRDefault="000E3EC7" w:rsidP="00FA2C75">
            <w:pPr>
              <w:rPr>
                <w:rFonts w:ascii="Arial" w:hAnsi="Arial" w:cs="Arial"/>
                <w:sz w:val="20"/>
                <w:szCs w:val="20"/>
              </w:rPr>
            </w:pPr>
            <w:r>
              <w:rPr>
                <w:rFonts w:ascii="Arial" w:hAnsi="Arial" w:cs="Arial"/>
                <w:sz w:val="20"/>
                <w:szCs w:val="20"/>
              </w:rPr>
              <w:t>Meat/poultry and smallgoods</w:t>
            </w:r>
          </w:p>
        </w:tc>
        <w:tc>
          <w:tcPr>
            <w:tcW w:w="1843" w:type="dxa"/>
            <w:vAlign w:val="center"/>
          </w:tcPr>
          <w:p w:rsidR="000E3EC7" w:rsidRPr="00EF785B" w:rsidRDefault="000E3EC7" w:rsidP="00FA2C75">
            <w:pPr>
              <w:spacing w:before="60" w:after="60"/>
              <w:jc w:val="center"/>
              <w:rPr>
                <w:rFonts w:ascii="Arial" w:hAnsi="Arial" w:cs="Arial"/>
                <w:sz w:val="20"/>
                <w:szCs w:val="20"/>
              </w:rPr>
            </w:pPr>
            <w:r>
              <w:rPr>
                <w:rFonts w:ascii="Arial" w:hAnsi="Arial" w:cs="Arial"/>
                <w:sz w:val="20"/>
                <w:szCs w:val="20"/>
              </w:rPr>
              <w:t>266</w:t>
            </w:r>
          </w:p>
        </w:tc>
        <w:tc>
          <w:tcPr>
            <w:tcW w:w="3969" w:type="dxa"/>
            <w:vAlign w:val="center"/>
          </w:tcPr>
          <w:p w:rsidR="000E3EC7" w:rsidRPr="00EF785B" w:rsidRDefault="000E3EC7" w:rsidP="00FA2C75">
            <w:pPr>
              <w:rPr>
                <w:rFonts w:ascii="Arial" w:hAnsi="Arial" w:cs="Arial"/>
                <w:sz w:val="20"/>
                <w:szCs w:val="20"/>
              </w:rPr>
            </w:pPr>
            <w:r>
              <w:rPr>
                <w:rFonts w:ascii="Arial" w:hAnsi="Arial" w:cs="Arial"/>
                <w:sz w:val="20"/>
                <w:szCs w:val="20"/>
              </w:rPr>
              <w:t>Meat/poultry and smallgoods</w:t>
            </w:r>
          </w:p>
        </w:tc>
        <w:tc>
          <w:tcPr>
            <w:tcW w:w="1725" w:type="dxa"/>
            <w:vAlign w:val="center"/>
          </w:tcPr>
          <w:p w:rsidR="000E3EC7" w:rsidRPr="00EF785B" w:rsidRDefault="000E3EC7" w:rsidP="00FA2C75">
            <w:pPr>
              <w:spacing w:before="60" w:after="60"/>
              <w:jc w:val="center"/>
              <w:rPr>
                <w:rFonts w:ascii="Arial" w:hAnsi="Arial" w:cs="Arial"/>
                <w:sz w:val="20"/>
                <w:szCs w:val="20"/>
              </w:rPr>
            </w:pPr>
            <w:r>
              <w:rPr>
                <w:rFonts w:ascii="Arial" w:hAnsi="Arial" w:cs="Arial"/>
                <w:sz w:val="20"/>
                <w:szCs w:val="20"/>
              </w:rPr>
              <w:t>320</w:t>
            </w:r>
          </w:p>
        </w:tc>
        <w:tc>
          <w:tcPr>
            <w:tcW w:w="2418" w:type="dxa"/>
            <w:vAlign w:val="center"/>
          </w:tcPr>
          <w:p w:rsidR="000E3EC7" w:rsidRPr="00EF785B" w:rsidRDefault="000E3EC7" w:rsidP="00FA2C75">
            <w:pPr>
              <w:spacing w:before="60" w:after="60"/>
              <w:jc w:val="center"/>
              <w:rPr>
                <w:rFonts w:ascii="Arial" w:hAnsi="Arial" w:cs="Arial"/>
                <w:sz w:val="20"/>
                <w:szCs w:val="20"/>
              </w:rPr>
            </w:pPr>
            <w:r>
              <w:rPr>
                <w:rFonts w:ascii="Arial" w:hAnsi="Arial" w:cs="Arial"/>
                <w:sz w:val="20"/>
                <w:szCs w:val="20"/>
              </w:rPr>
              <w:t>20.3%</w:t>
            </w:r>
          </w:p>
        </w:tc>
      </w:tr>
      <w:tr w:rsidR="000E3EC7" w:rsidRPr="00EF785B" w:rsidTr="00FA2C75">
        <w:tc>
          <w:tcPr>
            <w:tcW w:w="4219" w:type="dxa"/>
            <w:vAlign w:val="center"/>
          </w:tcPr>
          <w:p w:rsidR="000E3EC7" w:rsidRPr="00EF785B" w:rsidRDefault="000E3EC7" w:rsidP="00FA2C75">
            <w:pPr>
              <w:rPr>
                <w:rFonts w:ascii="Arial" w:hAnsi="Arial" w:cs="Arial"/>
                <w:sz w:val="20"/>
                <w:szCs w:val="20"/>
              </w:rPr>
            </w:pPr>
          </w:p>
        </w:tc>
        <w:tc>
          <w:tcPr>
            <w:tcW w:w="1843" w:type="dxa"/>
            <w:vAlign w:val="center"/>
          </w:tcPr>
          <w:p w:rsidR="000E3EC7" w:rsidRPr="00EF785B" w:rsidRDefault="000E3EC7" w:rsidP="00FA2C75">
            <w:pPr>
              <w:spacing w:before="60" w:after="60"/>
              <w:jc w:val="center"/>
              <w:rPr>
                <w:rFonts w:ascii="Arial" w:hAnsi="Arial" w:cs="Arial"/>
                <w:sz w:val="20"/>
                <w:szCs w:val="20"/>
              </w:rPr>
            </w:pPr>
          </w:p>
        </w:tc>
        <w:tc>
          <w:tcPr>
            <w:tcW w:w="3969" w:type="dxa"/>
            <w:vAlign w:val="center"/>
          </w:tcPr>
          <w:p w:rsidR="000E3EC7" w:rsidRPr="00EF785B" w:rsidRDefault="000E3EC7" w:rsidP="00FA2C75">
            <w:pPr>
              <w:spacing w:before="60" w:after="60"/>
              <w:jc w:val="center"/>
              <w:rPr>
                <w:rFonts w:ascii="Arial" w:hAnsi="Arial" w:cs="Arial"/>
                <w:b/>
                <w:sz w:val="20"/>
                <w:szCs w:val="20"/>
              </w:rPr>
            </w:pPr>
            <w:r>
              <w:rPr>
                <w:rFonts w:ascii="Arial" w:hAnsi="Arial" w:cs="Arial"/>
                <w:b/>
                <w:sz w:val="20"/>
                <w:szCs w:val="20"/>
              </w:rPr>
              <w:t>Activity</w:t>
            </w:r>
          </w:p>
        </w:tc>
        <w:tc>
          <w:tcPr>
            <w:tcW w:w="1725" w:type="dxa"/>
            <w:vAlign w:val="center"/>
          </w:tcPr>
          <w:p w:rsidR="000E3EC7" w:rsidRDefault="000E3EC7" w:rsidP="00FA2C75">
            <w:pPr>
              <w:spacing w:before="60" w:after="60"/>
              <w:jc w:val="center"/>
              <w:rPr>
                <w:rFonts w:ascii="Arial" w:hAnsi="Arial" w:cs="Arial"/>
                <w:b/>
                <w:sz w:val="20"/>
                <w:szCs w:val="20"/>
              </w:rPr>
            </w:pPr>
            <w:r w:rsidRPr="00EF785B">
              <w:rPr>
                <w:rFonts w:ascii="Arial" w:hAnsi="Arial" w:cs="Arial"/>
                <w:b/>
                <w:sz w:val="20"/>
                <w:szCs w:val="20"/>
              </w:rPr>
              <w:t>201</w:t>
            </w:r>
            <w:r>
              <w:rPr>
                <w:rFonts w:ascii="Arial" w:hAnsi="Arial" w:cs="Arial"/>
                <w:b/>
                <w:sz w:val="20"/>
                <w:szCs w:val="20"/>
              </w:rPr>
              <w:t>7</w:t>
            </w:r>
            <w:r w:rsidRPr="00EF785B">
              <w:rPr>
                <w:rFonts w:ascii="Arial" w:hAnsi="Arial" w:cs="Arial"/>
                <w:b/>
                <w:sz w:val="20"/>
                <w:szCs w:val="20"/>
              </w:rPr>
              <w:t>-1</w:t>
            </w:r>
            <w:r>
              <w:rPr>
                <w:rFonts w:ascii="Arial" w:hAnsi="Arial" w:cs="Arial"/>
                <w:b/>
                <w:sz w:val="20"/>
                <w:szCs w:val="20"/>
              </w:rPr>
              <w:t>8</w:t>
            </w:r>
          </w:p>
          <w:p w:rsidR="000E3EC7" w:rsidRPr="00EF785B" w:rsidRDefault="000E3EC7" w:rsidP="00FA2C75">
            <w:pPr>
              <w:spacing w:before="60" w:after="60"/>
              <w:jc w:val="center"/>
              <w:rPr>
                <w:rFonts w:ascii="Arial" w:hAnsi="Arial" w:cs="Arial"/>
                <w:b/>
                <w:sz w:val="20"/>
                <w:szCs w:val="20"/>
              </w:rPr>
            </w:pPr>
            <w:r>
              <w:rPr>
                <w:rFonts w:ascii="Arial" w:hAnsi="Arial" w:cs="Arial"/>
                <w:b/>
                <w:sz w:val="20"/>
                <w:szCs w:val="20"/>
              </w:rPr>
              <w:t>$</w:t>
            </w:r>
          </w:p>
        </w:tc>
        <w:tc>
          <w:tcPr>
            <w:tcW w:w="2418" w:type="dxa"/>
            <w:vAlign w:val="center"/>
          </w:tcPr>
          <w:p w:rsidR="000E3EC7" w:rsidRDefault="000E3EC7" w:rsidP="00FA2C75">
            <w:pPr>
              <w:spacing w:before="60" w:after="60"/>
              <w:jc w:val="center"/>
              <w:rPr>
                <w:rFonts w:ascii="Arial" w:hAnsi="Arial" w:cs="Arial"/>
                <w:b/>
                <w:sz w:val="20"/>
                <w:szCs w:val="20"/>
              </w:rPr>
            </w:pPr>
            <w:r>
              <w:rPr>
                <w:rFonts w:ascii="Arial" w:hAnsi="Arial" w:cs="Arial"/>
                <w:b/>
                <w:sz w:val="20"/>
                <w:szCs w:val="20"/>
              </w:rPr>
              <w:t>Increase</w:t>
            </w:r>
          </w:p>
          <w:p w:rsidR="000E3EC7" w:rsidRPr="00EF785B" w:rsidRDefault="000E3EC7" w:rsidP="00FA2C75">
            <w:pPr>
              <w:spacing w:before="60" w:after="60"/>
              <w:jc w:val="center"/>
              <w:rPr>
                <w:rFonts w:ascii="Arial" w:hAnsi="Arial" w:cs="Arial"/>
                <w:b/>
                <w:sz w:val="20"/>
                <w:szCs w:val="20"/>
              </w:rPr>
            </w:pPr>
            <w:r>
              <w:rPr>
                <w:rFonts w:ascii="Arial" w:hAnsi="Arial" w:cs="Arial"/>
                <w:b/>
                <w:sz w:val="20"/>
                <w:szCs w:val="20"/>
              </w:rPr>
              <w:t>%</w:t>
            </w:r>
          </w:p>
        </w:tc>
      </w:tr>
      <w:tr w:rsidR="000E3EC7" w:rsidRPr="00EF785B" w:rsidTr="00FA2C75">
        <w:tc>
          <w:tcPr>
            <w:tcW w:w="4219" w:type="dxa"/>
            <w:vAlign w:val="center"/>
          </w:tcPr>
          <w:p w:rsidR="000E3EC7" w:rsidRPr="00EF785B" w:rsidRDefault="000E3EC7" w:rsidP="00FA2C75">
            <w:pPr>
              <w:rPr>
                <w:rFonts w:ascii="Arial" w:hAnsi="Arial" w:cs="Arial"/>
                <w:sz w:val="20"/>
                <w:szCs w:val="20"/>
              </w:rPr>
            </w:pPr>
          </w:p>
        </w:tc>
        <w:tc>
          <w:tcPr>
            <w:tcW w:w="1843" w:type="dxa"/>
            <w:vAlign w:val="center"/>
          </w:tcPr>
          <w:p w:rsidR="000E3EC7" w:rsidRPr="00EF785B" w:rsidRDefault="000E3EC7" w:rsidP="00FA2C75">
            <w:pPr>
              <w:spacing w:before="60" w:after="60"/>
              <w:jc w:val="center"/>
              <w:rPr>
                <w:rFonts w:ascii="Arial" w:hAnsi="Arial" w:cs="Arial"/>
                <w:sz w:val="20"/>
                <w:szCs w:val="20"/>
              </w:rPr>
            </w:pPr>
          </w:p>
        </w:tc>
        <w:tc>
          <w:tcPr>
            <w:tcW w:w="3969" w:type="dxa"/>
            <w:vAlign w:val="center"/>
          </w:tcPr>
          <w:p w:rsidR="000E3EC7" w:rsidRPr="00EF785B" w:rsidRDefault="000E3EC7" w:rsidP="00FA2C75">
            <w:pPr>
              <w:rPr>
                <w:rFonts w:ascii="Arial" w:hAnsi="Arial" w:cs="Arial"/>
                <w:sz w:val="20"/>
                <w:szCs w:val="20"/>
              </w:rPr>
            </w:pPr>
            <w:r>
              <w:rPr>
                <w:rFonts w:ascii="Arial" w:hAnsi="Arial" w:cs="Arial"/>
                <w:sz w:val="20"/>
                <w:szCs w:val="20"/>
              </w:rPr>
              <w:t>Meat/poultry and smallgoods</w:t>
            </w:r>
          </w:p>
        </w:tc>
        <w:tc>
          <w:tcPr>
            <w:tcW w:w="1725" w:type="dxa"/>
            <w:vAlign w:val="center"/>
          </w:tcPr>
          <w:p w:rsidR="000E3EC7" w:rsidRPr="00EF785B" w:rsidRDefault="000E3EC7" w:rsidP="00FA2C75">
            <w:pPr>
              <w:spacing w:before="60" w:after="60"/>
              <w:jc w:val="center"/>
              <w:rPr>
                <w:rFonts w:ascii="Arial" w:hAnsi="Arial" w:cs="Arial"/>
                <w:sz w:val="20"/>
                <w:szCs w:val="20"/>
              </w:rPr>
            </w:pPr>
            <w:r>
              <w:rPr>
                <w:rFonts w:ascii="Arial" w:hAnsi="Arial" w:cs="Arial"/>
                <w:sz w:val="20"/>
                <w:szCs w:val="20"/>
              </w:rPr>
              <w:t>650</w:t>
            </w:r>
          </w:p>
        </w:tc>
        <w:tc>
          <w:tcPr>
            <w:tcW w:w="2418" w:type="dxa"/>
            <w:vAlign w:val="center"/>
          </w:tcPr>
          <w:p w:rsidR="000E3EC7" w:rsidRPr="00EF785B" w:rsidRDefault="000E3EC7" w:rsidP="00FA2C75">
            <w:pPr>
              <w:spacing w:before="60" w:after="60"/>
              <w:jc w:val="center"/>
              <w:rPr>
                <w:rFonts w:ascii="Arial" w:hAnsi="Arial" w:cs="Arial"/>
                <w:sz w:val="20"/>
                <w:szCs w:val="20"/>
              </w:rPr>
            </w:pPr>
            <w:r w:rsidRPr="00DC20C1">
              <w:rPr>
                <w:rFonts w:ascii="Arial" w:hAnsi="Arial" w:cs="Arial"/>
                <w:color w:val="000000"/>
                <w:sz w:val="20"/>
                <w:szCs w:val="20"/>
              </w:rPr>
              <w:t>144.4%</w:t>
            </w:r>
            <w:r w:rsidRPr="00DC20C1">
              <w:rPr>
                <w:rStyle w:val="FootnoteReference"/>
                <w:rFonts w:ascii="Arial" w:hAnsi="Arial" w:cs="Arial"/>
                <w:color w:val="000000"/>
                <w:sz w:val="20"/>
                <w:szCs w:val="20"/>
              </w:rPr>
              <w:footnoteReference w:id="5"/>
            </w:r>
          </w:p>
        </w:tc>
      </w:tr>
    </w:tbl>
    <w:p w:rsidR="000E3EC7" w:rsidRDefault="000E3EC7" w:rsidP="002E7BBE">
      <w:pPr>
        <w:spacing w:after="0" w:line="240" w:lineRule="auto"/>
        <w:rPr>
          <w:rFonts w:ascii="Arial" w:hAnsi="Arial" w:cs="Arial"/>
          <w:b/>
          <w:sz w:val="20"/>
          <w:szCs w:val="20"/>
          <w:u w:val="single"/>
        </w:rPr>
      </w:pPr>
    </w:p>
    <w:p w:rsidR="000E3EC7" w:rsidRDefault="000E3EC7" w:rsidP="002E7BBE">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4219"/>
        <w:gridCol w:w="1843"/>
        <w:gridCol w:w="3969"/>
        <w:gridCol w:w="1725"/>
        <w:gridCol w:w="2418"/>
      </w:tblGrid>
      <w:tr w:rsidR="000E3EC7" w:rsidTr="00FA2C75">
        <w:tc>
          <w:tcPr>
            <w:tcW w:w="4219" w:type="dxa"/>
            <w:shd w:val="clear" w:color="auto" w:fill="F2F2F2" w:themeFill="background1" w:themeFillShade="F2"/>
            <w:vAlign w:val="center"/>
          </w:tcPr>
          <w:p w:rsidR="000E3EC7" w:rsidRPr="00E87CBB" w:rsidRDefault="000E3EC7" w:rsidP="00FA2C75">
            <w:pPr>
              <w:spacing w:before="60" w:after="60"/>
              <w:rPr>
                <w:rFonts w:ascii="Arial" w:hAnsi="Arial" w:cs="Arial"/>
                <w:b/>
                <w:sz w:val="20"/>
                <w:szCs w:val="20"/>
              </w:rPr>
            </w:pPr>
            <w:r>
              <w:rPr>
                <w:rFonts w:ascii="Arial" w:hAnsi="Arial" w:cs="Arial"/>
                <w:b/>
                <w:sz w:val="20"/>
                <w:szCs w:val="20"/>
              </w:rPr>
              <w:t>Other Meat</w:t>
            </w:r>
          </w:p>
        </w:tc>
        <w:tc>
          <w:tcPr>
            <w:tcW w:w="1843" w:type="dxa"/>
            <w:shd w:val="clear" w:color="auto" w:fill="F2F2F2" w:themeFill="background1" w:themeFillShade="F2"/>
            <w:vAlign w:val="center"/>
          </w:tcPr>
          <w:p w:rsidR="000E3EC7" w:rsidRPr="00EF785B" w:rsidRDefault="000E3EC7" w:rsidP="00FA2C75">
            <w:pPr>
              <w:spacing w:before="60" w:after="60"/>
              <w:jc w:val="center"/>
              <w:rPr>
                <w:rFonts w:ascii="Arial" w:hAnsi="Arial" w:cs="Arial"/>
                <w:b/>
                <w:sz w:val="20"/>
                <w:szCs w:val="20"/>
              </w:rPr>
            </w:pPr>
            <w:r w:rsidRPr="00EF785B">
              <w:rPr>
                <w:rFonts w:ascii="Arial" w:hAnsi="Arial" w:cs="Arial"/>
                <w:b/>
                <w:sz w:val="20"/>
                <w:szCs w:val="20"/>
              </w:rPr>
              <w:t>Current</w:t>
            </w:r>
          </w:p>
        </w:tc>
        <w:tc>
          <w:tcPr>
            <w:tcW w:w="8112" w:type="dxa"/>
            <w:gridSpan w:val="3"/>
            <w:shd w:val="clear" w:color="auto" w:fill="F2F2F2" w:themeFill="background1" w:themeFillShade="F2"/>
            <w:vAlign w:val="center"/>
          </w:tcPr>
          <w:p w:rsidR="000E3EC7" w:rsidRDefault="000E3EC7" w:rsidP="00FA2C75">
            <w:pPr>
              <w:spacing w:before="60" w:after="60"/>
              <w:jc w:val="center"/>
              <w:rPr>
                <w:rFonts w:ascii="Arial" w:hAnsi="Arial" w:cs="Arial"/>
                <w:b/>
                <w:sz w:val="20"/>
                <w:szCs w:val="20"/>
                <w:u w:val="single"/>
              </w:rPr>
            </w:pPr>
            <w:r w:rsidRPr="00EF785B">
              <w:rPr>
                <w:rFonts w:ascii="Arial" w:hAnsi="Arial" w:cs="Arial"/>
                <w:b/>
                <w:sz w:val="20"/>
                <w:szCs w:val="20"/>
              </w:rPr>
              <w:t>Proposed</w:t>
            </w:r>
            <w:r w:rsidR="007573C0">
              <w:rPr>
                <w:rFonts w:ascii="Arial" w:hAnsi="Arial" w:cs="Arial"/>
                <w:b/>
                <w:sz w:val="20"/>
                <w:szCs w:val="20"/>
              </w:rPr>
              <w:t xml:space="preserve"> *</w:t>
            </w:r>
          </w:p>
        </w:tc>
      </w:tr>
      <w:tr w:rsidR="000E3EC7" w:rsidRPr="00EF785B" w:rsidTr="00FA2C75">
        <w:tc>
          <w:tcPr>
            <w:tcW w:w="4219" w:type="dxa"/>
            <w:vAlign w:val="center"/>
          </w:tcPr>
          <w:p w:rsidR="000E3EC7" w:rsidRPr="00EF785B" w:rsidRDefault="000E3EC7" w:rsidP="00FA2C75">
            <w:pPr>
              <w:spacing w:before="60" w:after="60"/>
              <w:rPr>
                <w:rFonts w:ascii="Arial" w:hAnsi="Arial" w:cs="Arial"/>
                <w:b/>
                <w:sz w:val="20"/>
                <w:szCs w:val="20"/>
              </w:rPr>
            </w:pPr>
          </w:p>
        </w:tc>
        <w:tc>
          <w:tcPr>
            <w:tcW w:w="1843" w:type="dxa"/>
            <w:vAlign w:val="center"/>
          </w:tcPr>
          <w:p w:rsidR="000E3EC7" w:rsidRDefault="000E3EC7" w:rsidP="00FA2C75">
            <w:pPr>
              <w:spacing w:before="60" w:after="60"/>
              <w:jc w:val="center"/>
              <w:rPr>
                <w:rFonts w:ascii="Arial" w:hAnsi="Arial" w:cs="Arial"/>
                <w:b/>
                <w:sz w:val="20"/>
                <w:szCs w:val="20"/>
              </w:rPr>
            </w:pPr>
            <w:r>
              <w:rPr>
                <w:rFonts w:ascii="Arial" w:hAnsi="Arial" w:cs="Arial"/>
                <w:b/>
                <w:sz w:val="20"/>
                <w:szCs w:val="20"/>
              </w:rPr>
              <w:t>2015-16</w:t>
            </w:r>
          </w:p>
          <w:p w:rsidR="000E3EC7" w:rsidRPr="00EF785B" w:rsidRDefault="000E3EC7" w:rsidP="00FA2C75">
            <w:pPr>
              <w:spacing w:before="60" w:after="60"/>
              <w:jc w:val="center"/>
              <w:rPr>
                <w:rFonts w:ascii="Arial" w:hAnsi="Arial" w:cs="Arial"/>
                <w:b/>
                <w:sz w:val="20"/>
                <w:szCs w:val="20"/>
              </w:rPr>
            </w:pPr>
            <w:r>
              <w:rPr>
                <w:rFonts w:ascii="Arial" w:hAnsi="Arial" w:cs="Arial"/>
                <w:b/>
                <w:sz w:val="20"/>
                <w:szCs w:val="20"/>
              </w:rPr>
              <w:t>$</w:t>
            </w:r>
          </w:p>
        </w:tc>
        <w:tc>
          <w:tcPr>
            <w:tcW w:w="3969" w:type="dxa"/>
            <w:vAlign w:val="center"/>
          </w:tcPr>
          <w:p w:rsidR="000E3EC7" w:rsidRPr="00EF785B" w:rsidRDefault="000E3EC7" w:rsidP="00FA2C75">
            <w:pPr>
              <w:spacing w:before="60" w:after="60"/>
              <w:jc w:val="center"/>
              <w:rPr>
                <w:rFonts w:ascii="Arial" w:hAnsi="Arial" w:cs="Arial"/>
                <w:b/>
                <w:sz w:val="20"/>
                <w:szCs w:val="20"/>
              </w:rPr>
            </w:pPr>
          </w:p>
        </w:tc>
        <w:tc>
          <w:tcPr>
            <w:tcW w:w="1725" w:type="dxa"/>
            <w:vAlign w:val="center"/>
          </w:tcPr>
          <w:p w:rsidR="000E3EC7" w:rsidRDefault="000E3EC7" w:rsidP="00FA2C75">
            <w:pPr>
              <w:spacing w:before="60" w:after="60"/>
              <w:jc w:val="center"/>
              <w:rPr>
                <w:rFonts w:ascii="Arial" w:hAnsi="Arial" w:cs="Arial"/>
                <w:b/>
                <w:sz w:val="20"/>
                <w:szCs w:val="20"/>
              </w:rPr>
            </w:pPr>
            <w:r w:rsidRPr="00EF785B">
              <w:rPr>
                <w:rFonts w:ascii="Arial" w:hAnsi="Arial" w:cs="Arial"/>
                <w:b/>
                <w:sz w:val="20"/>
                <w:szCs w:val="20"/>
              </w:rPr>
              <w:t>2016-17</w:t>
            </w:r>
          </w:p>
          <w:p w:rsidR="000E3EC7" w:rsidRPr="00EF785B" w:rsidRDefault="000E3EC7" w:rsidP="00FA2C75">
            <w:pPr>
              <w:spacing w:before="60" w:after="60"/>
              <w:jc w:val="center"/>
              <w:rPr>
                <w:rFonts w:ascii="Arial" w:hAnsi="Arial" w:cs="Arial"/>
                <w:b/>
                <w:sz w:val="20"/>
                <w:szCs w:val="20"/>
              </w:rPr>
            </w:pPr>
            <w:r>
              <w:rPr>
                <w:rFonts w:ascii="Arial" w:hAnsi="Arial" w:cs="Arial"/>
                <w:b/>
                <w:sz w:val="20"/>
                <w:szCs w:val="20"/>
              </w:rPr>
              <w:t>$</w:t>
            </w:r>
          </w:p>
        </w:tc>
        <w:tc>
          <w:tcPr>
            <w:tcW w:w="2418" w:type="dxa"/>
            <w:vAlign w:val="center"/>
          </w:tcPr>
          <w:p w:rsidR="000E3EC7" w:rsidRDefault="000E3EC7" w:rsidP="00FA2C75">
            <w:pPr>
              <w:spacing w:before="60" w:after="60"/>
              <w:jc w:val="center"/>
              <w:rPr>
                <w:rFonts w:ascii="Arial" w:hAnsi="Arial" w:cs="Arial"/>
                <w:b/>
                <w:sz w:val="20"/>
                <w:szCs w:val="20"/>
              </w:rPr>
            </w:pPr>
            <w:r>
              <w:rPr>
                <w:rFonts w:ascii="Arial" w:hAnsi="Arial" w:cs="Arial"/>
                <w:b/>
                <w:sz w:val="20"/>
                <w:szCs w:val="20"/>
              </w:rPr>
              <w:t>Increase</w:t>
            </w:r>
          </w:p>
          <w:p w:rsidR="000E3EC7" w:rsidRPr="00EF785B" w:rsidRDefault="000E3EC7" w:rsidP="00FA2C75">
            <w:pPr>
              <w:spacing w:before="60" w:after="60"/>
              <w:jc w:val="center"/>
              <w:rPr>
                <w:rFonts w:ascii="Arial" w:hAnsi="Arial" w:cs="Arial"/>
                <w:b/>
                <w:sz w:val="20"/>
                <w:szCs w:val="20"/>
              </w:rPr>
            </w:pPr>
            <w:r>
              <w:rPr>
                <w:rFonts w:ascii="Arial" w:hAnsi="Arial" w:cs="Arial"/>
                <w:b/>
                <w:sz w:val="20"/>
                <w:szCs w:val="20"/>
              </w:rPr>
              <w:t>%</w:t>
            </w:r>
          </w:p>
        </w:tc>
      </w:tr>
      <w:tr w:rsidR="000E3EC7" w:rsidRPr="00EF785B" w:rsidTr="00FA2C75">
        <w:tc>
          <w:tcPr>
            <w:tcW w:w="4219" w:type="dxa"/>
            <w:vAlign w:val="center"/>
          </w:tcPr>
          <w:p w:rsidR="000E3EC7" w:rsidRPr="00EF785B" w:rsidRDefault="000E3EC7" w:rsidP="00FA2C75">
            <w:pPr>
              <w:rPr>
                <w:rFonts w:ascii="Arial" w:hAnsi="Arial" w:cs="Arial"/>
                <w:sz w:val="20"/>
                <w:szCs w:val="20"/>
              </w:rPr>
            </w:pPr>
            <w:r>
              <w:rPr>
                <w:rFonts w:ascii="Arial" w:hAnsi="Arial" w:cs="Arial"/>
                <w:sz w:val="20"/>
                <w:szCs w:val="20"/>
              </w:rPr>
              <w:t>Prime tallow processing</w:t>
            </w:r>
          </w:p>
        </w:tc>
        <w:tc>
          <w:tcPr>
            <w:tcW w:w="1843" w:type="dxa"/>
            <w:vAlign w:val="center"/>
          </w:tcPr>
          <w:p w:rsidR="000E3EC7" w:rsidRPr="00EF785B" w:rsidRDefault="000E3EC7" w:rsidP="00FA2C75">
            <w:pPr>
              <w:spacing w:before="60" w:after="60"/>
              <w:jc w:val="center"/>
              <w:rPr>
                <w:rFonts w:ascii="Arial" w:hAnsi="Arial" w:cs="Arial"/>
                <w:sz w:val="20"/>
                <w:szCs w:val="20"/>
              </w:rPr>
            </w:pPr>
            <w:r>
              <w:rPr>
                <w:rFonts w:ascii="Arial" w:hAnsi="Arial" w:cs="Arial"/>
                <w:sz w:val="20"/>
                <w:szCs w:val="20"/>
              </w:rPr>
              <w:t>3,053</w:t>
            </w:r>
          </w:p>
        </w:tc>
        <w:tc>
          <w:tcPr>
            <w:tcW w:w="3969" w:type="dxa"/>
            <w:vAlign w:val="center"/>
          </w:tcPr>
          <w:p w:rsidR="000E3EC7" w:rsidRPr="00EF785B" w:rsidRDefault="000E3EC7" w:rsidP="00FA2C75">
            <w:pPr>
              <w:rPr>
                <w:rFonts w:ascii="Arial" w:hAnsi="Arial" w:cs="Arial"/>
                <w:sz w:val="20"/>
                <w:szCs w:val="20"/>
              </w:rPr>
            </w:pPr>
            <w:r>
              <w:rPr>
                <w:rFonts w:ascii="Arial" w:hAnsi="Arial" w:cs="Arial"/>
                <w:sz w:val="20"/>
                <w:szCs w:val="20"/>
              </w:rPr>
              <w:t>Prime tallow processing</w:t>
            </w:r>
          </w:p>
        </w:tc>
        <w:tc>
          <w:tcPr>
            <w:tcW w:w="1725" w:type="dxa"/>
            <w:vAlign w:val="center"/>
          </w:tcPr>
          <w:p w:rsidR="000E3EC7" w:rsidRPr="00EF785B" w:rsidRDefault="000E3EC7" w:rsidP="00FA2C75">
            <w:pPr>
              <w:spacing w:before="60" w:after="60"/>
              <w:jc w:val="center"/>
              <w:rPr>
                <w:rFonts w:ascii="Arial" w:hAnsi="Arial" w:cs="Arial"/>
                <w:sz w:val="20"/>
                <w:szCs w:val="20"/>
              </w:rPr>
            </w:pPr>
            <w:r>
              <w:rPr>
                <w:rFonts w:ascii="Arial" w:hAnsi="Arial" w:cs="Arial"/>
                <w:sz w:val="20"/>
                <w:szCs w:val="20"/>
              </w:rPr>
              <w:t xml:space="preserve">TBD </w:t>
            </w:r>
          </w:p>
        </w:tc>
        <w:tc>
          <w:tcPr>
            <w:tcW w:w="2418" w:type="dxa"/>
            <w:vAlign w:val="center"/>
          </w:tcPr>
          <w:p w:rsidR="000E3EC7" w:rsidRPr="00EF785B" w:rsidRDefault="000E3EC7" w:rsidP="00FA2C75">
            <w:pPr>
              <w:spacing w:before="60" w:after="60"/>
              <w:jc w:val="center"/>
              <w:rPr>
                <w:rFonts w:ascii="Arial" w:hAnsi="Arial" w:cs="Arial"/>
                <w:sz w:val="20"/>
                <w:szCs w:val="20"/>
              </w:rPr>
            </w:pPr>
            <w:r>
              <w:rPr>
                <w:rFonts w:ascii="Arial" w:hAnsi="Arial" w:cs="Arial"/>
                <w:sz w:val="20"/>
                <w:szCs w:val="20"/>
              </w:rPr>
              <w:t>TBD</w:t>
            </w:r>
          </w:p>
        </w:tc>
      </w:tr>
      <w:tr w:rsidR="000E3EC7" w:rsidRPr="00EF785B" w:rsidTr="00FA2C75">
        <w:tc>
          <w:tcPr>
            <w:tcW w:w="4219" w:type="dxa"/>
            <w:vAlign w:val="center"/>
          </w:tcPr>
          <w:p w:rsidR="000E3EC7" w:rsidRPr="00EF785B" w:rsidRDefault="000E3EC7" w:rsidP="00FA2C75">
            <w:pPr>
              <w:rPr>
                <w:rFonts w:ascii="Arial" w:hAnsi="Arial" w:cs="Arial"/>
                <w:sz w:val="20"/>
                <w:szCs w:val="20"/>
              </w:rPr>
            </w:pPr>
            <w:r>
              <w:rPr>
                <w:rFonts w:ascii="Arial" w:hAnsi="Arial" w:cs="Arial"/>
                <w:sz w:val="20"/>
                <w:szCs w:val="20"/>
              </w:rPr>
              <w:t>Game meat</w:t>
            </w:r>
          </w:p>
        </w:tc>
        <w:tc>
          <w:tcPr>
            <w:tcW w:w="1843" w:type="dxa"/>
            <w:vAlign w:val="center"/>
          </w:tcPr>
          <w:p w:rsidR="000E3EC7" w:rsidRPr="00EF785B" w:rsidRDefault="000E3EC7" w:rsidP="00FA2C75">
            <w:pPr>
              <w:spacing w:before="60" w:after="60"/>
              <w:jc w:val="center"/>
              <w:rPr>
                <w:rFonts w:ascii="Arial" w:hAnsi="Arial" w:cs="Arial"/>
                <w:sz w:val="20"/>
                <w:szCs w:val="20"/>
              </w:rPr>
            </w:pPr>
            <w:r>
              <w:rPr>
                <w:rFonts w:ascii="Arial" w:hAnsi="Arial" w:cs="Arial"/>
                <w:sz w:val="20"/>
                <w:szCs w:val="20"/>
              </w:rPr>
              <w:t>821</w:t>
            </w:r>
          </w:p>
        </w:tc>
        <w:tc>
          <w:tcPr>
            <w:tcW w:w="3969" w:type="dxa"/>
            <w:vAlign w:val="center"/>
          </w:tcPr>
          <w:p w:rsidR="000E3EC7" w:rsidRPr="00EF785B" w:rsidRDefault="000E3EC7" w:rsidP="00FA2C75">
            <w:pPr>
              <w:rPr>
                <w:rFonts w:ascii="Arial" w:hAnsi="Arial" w:cs="Arial"/>
                <w:sz w:val="20"/>
                <w:szCs w:val="20"/>
              </w:rPr>
            </w:pPr>
            <w:r>
              <w:rPr>
                <w:rFonts w:ascii="Arial" w:hAnsi="Arial" w:cs="Arial"/>
                <w:sz w:val="20"/>
                <w:szCs w:val="20"/>
              </w:rPr>
              <w:t>Game meat</w:t>
            </w:r>
          </w:p>
        </w:tc>
        <w:tc>
          <w:tcPr>
            <w:tcW w:w="1725" w:type="dxa"/>
            <w:vAlign w:val="center"/>
          </w:tcPr>
          <w:p w:rsidR="000E3EC7" w:rsidRPr="00EF785B" w:rsidRDefault="000E3EC7" w:rsidP="00FA2C75">
            <w:pPr>
              <w:spacing w:before="60" w:after="60"/>
              <w:jc w:val="center"/>
              <w:rPr>
                <w:rFonts w:ascii="Arial" w:hAnsi="Arial" w:cs="Arial"/>
                <w:sz w:val="20"/>
                <w:szCs w:val="20"/>
              </w:rPr>
            </w:pPr>
            <w:r>
              <w:rPr>
                <w:rFonts w:ascii="Arial" w:hAnsi="Arial" w:cs="Arial"/>
                <w:sz w:val="20"/>
                <w:szCs w:val="20"/>
              </w:rPr>
              <w:t xml:space="preserve">TBD </w:t>
            </w:r>
          </w:p>
        </w:tc>
        <w:tc>
          <w:tcPr>
            <w:tcW w:w="2418" w:type="dxa"/>
            <w:vAlign w:val="center"/>
          </w:tcPr>
          <w:p w:rsidR="000E3EC7" w:rsidRPr="00EF785B" w:rsidRDefault="000E3EC7" w:rsidP="00FA2C75">
            <w:pPr>
              <w:spacing w:before="60" w:after="60"/>
              <w:jc w:val="center"/>
              <w:rPr>
                <w:rFonts w:ascii="Arial" w:hAnsi="Arial" w:cs="Arial"/>
                <w:sz w:val="20"/>
                <w:szCs w:val="20"/>
              </w:rPr>
            </w:pPr>
            <w:r>
              <w:rPr>
                <w:rFonts w:ascii="Arial" w:hAnsi="Arial" w:cs="Arial"/>
                <w:sz w:val="20"/>
                <w:szCs w:val="20"/>
              </w:rPr>
              <w:t>TBD</w:t>
            </w:r>
          </w:p>
        </w:tc>
      </w:tr>
      <w:tr w:rsidR="000E3EC7" w:rsidRPr="00EF785B" w:rsidTr="00FA2C75">
        <w:tc>
          <w:tcPr>
            <w:tcW w:w="4219" w:type="dxa"/>
            <w:vAlign w:val="center"/>
          </w:tcPr>
          <w:p w:rsidR="000E3EC7" w:rsidRDefault="000E3EC7" w:rsidP="00FA2C75">
            <w:pPr>
              <w:rPr>
                <w:rFonts w:ascii="Arial" w:hAnsi="Arial" w:cs="Arial"/>
                <w:sz w:val="20"/>
                <w:szCs w:val="20"/>
              </w:rPr>
            </w:pPr>
            <w:r>
              <w:rPr>
                <w:rFonts w:ascii="Arial" w:hAnsi="Arial" w:cs="Arial"/>
                <w:sz w:val="20"/>
                <w:szCs w:val="20"/>
              </w:rPr>
              <w:t>Inedible rendering</w:t>
            </w:r>
          </w:p>
        </w:tc>
        <w:tc>
          <w:tcPr>
            <w:tcW w:w="1843" w:type="dxa"/>
            <w:vAlign w:val="center"/>
          </w:tcPr>
          <w:p w:rsidR="000E3EC7" w:rsidRPr="00EF785B" w:rsidRDefault="000E3EC7" w:rsidP="00FA2C75">
            <w:pPr>
              <w:spacing w:before="60" w:after="60"/>
              <w:jc w:val="center"/>
              <w:rPr>
                <w:rFonts w:ascii="Arial" w:hAnsi="Arial" w:cs="Arial"/>
                <w:sz w:val="20"/>
                <w:szCs w:val="20"/>
              </w:rPr>
            </w:pPr>
            <w:r>
              <w:rPr>
                <w:rFonts w:ascii="Arial" w:hAnsi="Arial" w:cs="Arial"/>
                <w:sz w:val="20"/>
                <w:szCs w:val="20"/>
              </w:rPr>
              <w:t>2,287</w:t>
            </w:r>
          </w:p>
        </w:tc>
        <w:tc>
          <w:tcPr>
            <w:tcW w:w="3969" w:type="dxa"/>
            <w:vAlign w:val="center"/>
          </w:tcPr>
          <w:p w:rsidR="000E3EC7" w:rsidRDefault="000E3EC7" w:rsidP="00FA2C75">
            <w:pPr>
              <w:rPr>
                <w:rFonts w:ascii="Arial" w:hAnsi="Arial" w:cs="Arial"/>
                <w:sz w:val="20"/>
                <w:szCs w:val="20"/>
              </w:rPr>
            </w:pPr>
            <w:r>
              <w:rPr>
                <w:rFonts w:ascii="Arial" w:hAnsi="Arial" w:cs="Arial"/>
                <w:sz w:val="20"/>
                <w:szCs w:val="20"/>
              </w:rPr>
              <w:t>Inedible rendering</w:t>
            </w:r>
          </w:p>
        </w:tc>
        <w:tc>
          <w:tcPr>
            <w:tcW w:w="1725" w:type="dxa"/>
            <w:vAlign w:val="center"/>
          </w:tcPr>
          <w:p w:rsidR="000E3EC7" w:rsidRPr="00EF785B" w:rsidRDefault="000E3EC7" w:rsidP="00FA2C75">
            <w:pPr>
              <w:spacing w:before="60" w:after="60"/>
              <w:jc w:val="center"/>
              <w:rPr>
                <w:rFonts w:ascii="Arial" w:hAnsi="Arial" w:cs="Arial"/>
                <w:sz w:val="20"/>
                <w:szCs w:val="20"/>
              </w:rPr>
            </w:pPr>
            <w:r>
              <w:rPr>
                <w:rFonts w:ascii="Arial" w:hAnsi="Arial" w:cs="Arial"/>
                <w:sz w:val="20"/>
                <w:szCs w:val="20"/>
              </w:rPr>
              <w:t xml:space="preserve">TBD </w:t>
            </w:r>
          </w:p>
        </w:tc>
        <w:tc>
          <w:tcPr>
            <w:tcW w:w="2418" w:type="dxa"/>
            <w:vAlign w:val="center"/>
          </w:tcPr>
          <w:p w:rsidR="000E3EC7" w:rsidRPr="00EF785B" w:rsidRDefault="000E3EC7" w:rsidP="00FA2C75">
            <w:pPr>
              <w:spacing w:before="60" w:after="60"/>
              <w:jc w:val="center"/>
              <w:rPr>
                <w:rFonts w:ascii="Arial" w:hAnsi="Arial" w:cs="Arial"/>
                <w:sz w:val="20"/>
                <w:szCs w:val="20"/>
              </w:rPr>
            </w:pPr>
            <w:r>
              <w:rPr>
                <w:rFonts w:ascii="Arial" w:hAnsi="Arial" w:cs="Arial"/>
                <w:sz w:val="20"/>
                <w:szCs w:val="20"/>
              </w:rPr>
              <w:t>TBD</w:t>
            </w:r>
          </w:p>
        </w:tc>
      </w:tr>
      <w:tr w:rsidR="000E3EC7" w:rsidRPr="00EF785B" w:rsidTr="00FA2C75">
        <w:tc>
          <w:tcPr>
            <w:tcW w:w="4219" w:type="dxa"/>
            <w:vAlign w:val="center"/>
          </w:tcPr>
          <w:p w:rsidR="000E3EC7" w:rsidRDefault="000E3EC7" w:rsidP="00FA2C75">
            <w:pPr>
              <w:rPr>
                <w:rFonts w:ascii="Arial" w:hAnsi="Arial" w:cs="Arial"/>
                <w:sz w:val="20"/>
                <w:szCs w:val="20"/>
              </w:rPr>
            </w:pPr>
            <w:r>
              <w:rPr>
                <w:rFonts w:ascii="Arial" w:hAnsi="Arial" w:cs="Arial"/>
                <w:sz w:val="20"/>
                <w:szCs w:val="20"/>
              </w:rPr>
              <w:t>Pet meat processing plant</w:t>
            </w:r>
          </w:p>
        </w:tc>
        <w:tc>
          <w:tcPr>
            <w:tcW w:w="1843" w:type="dxa"/>
            <w:vAlign w:val="center"/>
          </w:tcPr>
          <w:p w:rsidR="000E3EC7" w:rsidRPr="00EF785B" w:rsidRDefault="000E3EC7" w:rsidP="00FA2C75">
            <w:pPr>
              <w:spacing w:before="60" w:after="60"/>
              <w:jc w:val="center"/>
              <w:rPr>
                <w:rFonts w:ascii="Arial" w:hAnsi="Arial" w:cs="Arial"/>
                <w:sz w:val="20"/>
                <w:szCs w:val="20"/>
              </w:rPr>
            </w:pPr>
            <w:r>
              <w:rPr>
                <w:rFonts w:ascii="Arial" w:hAnsi="Arial" w:cs="Arial"/>
                <w:sz w:val="20"/>
                <w:szCs w:val="20"/>
              </w:rPr>
              <w:t>2,175</w:t>
            </w:r>
          </w:p>
        </w:tc>
        <w:tc>
          <w:tcPr>
            <w:tcW w:w="3969" w:type="dxa"/>
            <w:vAlign w:val="center"/>
          </w:tcPr>
          <w:p w:rsidR="000E3EC7" w:rsidRDefault="000E3EC7" w:rsidP="00FA2C75">
            <w:pPr>
              <w:rPr>
                <w:rFonts w:ascii="Arial" w:hAnsi="Arial" w:cs="Arial"/>
                <w:sz w:val="20"/>
                <w:szCs w:val="20"/>
              </w:rPr>
            </w:pPr>
            <w:r>
              <w:rPr>
                <w:rFonts w:ascii="Arial" w:hAnsi="Arial" w:cs="Arial"/>
                <w:sz w:val="20"/>
                <w:szCs w:val="20"/>
              </w:rPr>
              <w:t>Pet meat processing plant</w:t>
            </w:r>
          </w:p>
        </w:tc>
        <w:tc>
          <w:tcPr>
            <w:tcW w:w="1725" w:type="dxa"/>
            <w:vAlign w:val="center"/>
          </w:tcPr>
          <w:p w:rsidR="000E3EC7" w:rsidRPr="00EF785B" w:rsidRDefault="000E3EC7" w:rsidP="00FA2C75">
            <w:pPr>
              <w:spacing w:before="60" w:after="60"/>
              <w:jc w:val="center"/>
              <w:rPr>
                <w:rFonts w:ascii="Arial" w:hAnsi="Arial" w:cs="Arial"/>
                <w:sz w:val="20"/>
                <w:szCs w:val="20"/>
              </w:rPr>
            </w:pPr>
            <w:r>
              <w:rPr>
                <w:rFonts w:ascii="Arial" w:hAnsi="Arial" w:cs="Arial"/>
                <w:sz w:val="20"/>
                <w:szCs w:val="20"/>
              </w:rPr>
              <w:t xml:space="preserve">TBD </w:t>
            </w:r>
          </w:p>
        </w:tc>
        <w:tc>
          <w:tcPr>
            <w:tcW w:w="2418" w:type="dxa"/>
            <w:vAlign w:val="center"/>
          </w:tcPr>
          <w:p w:rsidR="000E3EC7" w:rsidRPr="00EF785B" w:rsidRDefault="000E3EC7" w:rsidP="00FA2C75">
            <w:pPr>
              <w:spacing w:before="60" w:after="60"/>
              <w:jc w:val="center"/>
              <w:rPr>
                <w:rFonts w:ascii="Arial" w:hAnsi="Arial" w:cs="Arial"/>
                <w:sz w:val="20"/>
                <w:szCs w:val="20"/>
              </w:rPr>
            </w:pPr>
            <w:r>
              <w:rPr>
                <w:rFonts w:ascii="Arial" w:hAnsi="Arial" w:cs="Arial"/>
                <w:sz w:val="20"/>
                <w:szCs w:val="20"/>
              </w:rPr>
              <w:t>TBD</w:t>
            </w:r>
          </w:p>
        </w:tc>
      </w:tr>
      <w:tr w:rsidR="000E3EC7" w:rsidRPr="00EF785B" w:rsidTr="00FA2C75">
        <w:tc>
          <w:tcPr>
            <w:tcW w:w="4219" w:type="dxa"/>
            <w:vAlign w:val="center"/>
          </w:tcPr>
          <w:p w:rsidR="000E3EC7" w:rsidRDefault="000E3EC7" w:rsidP="00FA2C75">
            <w:pPr>
              <w:rPr>
                <w:rFonts w:ascii="Arial" w:hAnsi="Arial" w:cs="Arial"/>
                <w:sz w:val="20"/>
                <w:szCs w:val="20"/>
              </w:rPr>
            </w:pPr>
            <w:r>
              <w:rPr>
                <w:rFonts w:ascii="Arial" w:hAnsi="Arial" w:cs="Arial"/>
                <w:sz w:val="20"/>
                <w:szCs w:val="20"/>
              </w:rPr>
              <w:t>Pet food establishments</w:t>
            </w:r>
          </w:p>
        </w:tc>
        <w:tc>
          <w:tcPr>
            <w:tcW w:w="1843" w:type="dxa"/>
            <w:vAlign w:val="center"/>
          </w:tcPr>
          <w:p w:rsidR="000E3EC7" w:rsidRPr="00EF785B" w:rsidRDefault="000E3EC7" w:rsidP="00FA2C75">
            <w:pPr>
              <w:spacing w:before="60" w:after="60"/>
              <w:rPr>
                <w:rFonts w:ascii="Arial" w:hAnsi="Arial" w:cs="Arial"/>
                <w:sz w:val="20"/>
                <w:szCs w:val="20"/>
              </w:rPr>
            </w:pPr>
          </w:p>
        </w:tc>
        <w:tc>
          <w:tcPr>
            <w:tcW w:w="3969" w:type="dxa"/>
            <w:vAlign w:val="center"/>
          </w:tcPr>
          <w:p w:rsidR="000E3EC7" w:rsidRDefault="000E3EC7" w:rsidP="00FA2C75">
            <w:pPr>
              <w:rPr>
                <w:rFonts w:ascii="Arial" w:hAnsi="Arial" w:cs="Arial"/>
                <w:sz w:val="20"/>
                <w:szCs w:val="20"/>
              </w:rPr>
            </w:pPr>
            <w:r>
              <w:rPr>
                <w:rFonts w:ascii="Arial" w:hAnsi="Arial" w:cs="Arial"/>
                <w:sz w:val="20"/>
                <w:szCs w:val="20"/>
              </w:rPr>
              <w:t>Pet food establishments</w:t>
            </w:r>
          </w:p>
        </w:tc>
        <w:tc>
          <w:tcPr>
            <w:tcW w:w="1725" w:type="dxa"/>
            <w:vAlign w:val="center"/>
          </w:tcPr>
          <w:p w:rsidR="000E3EC7" w:rsidRPr="00EF785B" w:rsidRDefault="000E3EC7" w:rsidP="00FA2C75">
            <w:pPr>
              <w:spacing w:before="60" w:after="60"/>
              <w:jc w:val="center"/>
              <w:rPr>
                <w:rFonts w:ascii="Arial" w:hAnsi="Arial" w:cs="Arial"/>
                <w:sz w:val="20"/>
                <w:szCs w:val="20"/>
              </w:rPr>
            </w:pPr>
            <w:r>
              <w:rPr>
                <w:rFonts w:ascii="Arial" w:hAnsi="Arial" w:cs="Arial"/>
                <w:sz w:val="20"/>
                <w:szCs w:val="20"/>
              </w:rPr>
              <w:t xml:space="preserve">TBD </w:t>
            </w:r>
          </w:p>
        </w:tc>
        <w:tc>
          <w:tcPr>
            <w:tcW w:w="2418" w:type="dxa"/>
            <w:vAlign w:val="center"/>
          </w:tcPr>
          <w:p w:rsidR="000E3EC7" w:rsidRPr="00EF785B" w:rsidRDefault="000E3EC7" w:rsidP="00FA2C75">
            <w:pPr>
              <w:spacing w:before="60" w:after="60"/>
              <w:jc w:val="center"/>
              <w:rPr>
                <w:rFonts w:ascii="Arial" w:hAnsi="Arial" w:cs="Arial"/>
                <w:sz w:val="20"/>
                <w:szCs w:val="20"/>
              </w:rPr>
            </w:pPr>
            <w:r>
              <w:rPr>
                <w:rFonts w:ascii="Arial" w:hAnsi="Arial" w:cs="Arial"/>
                <w:sz w:val="20"/>
                <w:szCs w:val="20"/>
              </w:rPr>
              <w:t>TBD</w:t>
            </w:r>
          </w:p>
        </w:tc>
      </w:tr>
      <w:tr w:rsidR="000E3EC7" w:rsidRPr="00EF785B" w:rsidTr="00FA2C75">
        <w:tc>
          <w:tcPr>
            <w:tcW w:w="4219" w:type="dxa"/>
            <w:vAlign w:val="center"/>
          </w:tcPr>
          <w:p w:rsidR="000E3EC7" w:rsidRDefault="000E3EC7" w:rsidP="00FA2C75">
            <w:pPr>
              <w:rPr>
                <w:rFonts w:ascii="Arial" w:hAnsi="Arial" w:cs="Arial"/>
                <w:sz w:val="20"/>
                <w:szCs w:val="20"/>
              </w:rPr>
            </w:pPr>
            <w:r>
              <w:rPr>
                <w:rFonts w:ascii="Arial" w:hAnsi="Arial" w:cs="Arial"/>
                <w:sz w:val="20"/>
                <w:szCs w:val="20"/>
              </w:rPr>
              <w:t xml:space="preserve">     Up to 50 tonnes</w:t>
            </w:r>
          </w:p>
        </w:tc>
        <w:tc>
          <w:tcPr>
            <w:tcW w:w="1843" w:type="dxa"/>
            <w:vAlign w:val="center"/>
          </w:tcPr>
          <w:p w:rsidR="000E3EC7" w:rsidRPr="00EF785B" w:rsidRDefault="000E3EC7" w:rsidP="00FA2C75">
            <w:pPr>
              <w:spacing w:before="60" w:after="60"/>
              <w:jc w:val="center"/>
              <w:rPr>
                <w:rFonts w:ascii="Arial" w:hAnsi="Arial" w:cs="Arial"/>
                <w:sz w:val="20"/>
                <w:szCs w:val="20"/>
              </w:rPr>
            </w:pPr>
            <w:r>
              <w:rPr>
                <w:rFonts w:ascii="Arial" w:hAnsi="Arial" w:cs="Arial"/>
                <w:sz w:val="20"/>
                <w:szCs w:val="20"/>
              </w:rPr>
              <w:t>266</w:t>
            </w:r>
          </w:p>
        </w:tc>
        <w:tc>
          <w:tcPr>
            <w:tcW w:w="3969" w:type="dxa"/>
            <w:vAlign w:val="center"/>
          </w:tcPr>
          <w:p w:rsidR="000E3EC7" w:rsidRDefault="000E3EC7" w:rsidP="00FA2C75">
            <w:pPr>
              <w:rPr>
                <w:rFonts w:ascii="Arial" w:hAnsi="Arial" w:cs="Arial"/>
                <w:sz w:val="20"/>
                <w:szCs w:val="20"/>
              </w:rPr>
            </w:pPr>
            <w:r>
              <w:rPr>
                <w:rFonts w:ascii="Arial" w:hAnsi="Arial" w:cs="Arial"/>
                <w:sz w:val="20"/>
                <w:szCs w:val="20"/>
              </w:rPr>
              <w:t xml:space="preserve">     Up to 50 tonnes</w:t>
            </w:r>
          </w:p>
        </w:tc>
        <w:tc>
          <w:tcPr>
            <w:tcW w:w="1725" w:type="dxa"/>
            <w:vAlign w:val="center"/>
          </w:tcPr>
          <w:p w:rsidR="000E3EC7" w:rsidRPr="00EF785B" w:rsidRDefault="000E3EC7" w:rsidP="00FA2C75">
            <w:pPr>
              <w:spacing w:before="60" w:after="60"/>
              <w:jc w:val="center"/>
              <w:rPr>
                <w:rFonts w:ascii="Arial" w:hAnsi="Arial" w:cs="Arial"/>
                <w:sz w:val="20"/>
                <w:szCs w:val="20"/>
              </w:rPr>
            </w:pPr>
            <w:r>
              <w:rPr>
                <w:rFonts w:ascii="Arial" w:hAnsi="Arial" w:cs="Arial"/>
                <w:sz w:val="20"/>
                <w:szCs w:val="20"/>
              </w:rPr>
              <w:t xml:space="preserve">TBD </w:t>
            </w:r>
          </w:p>
        </w:tc>
        <w:tc>
          <w:tcPr>
            <w:tcW w:w="2418" w:type="dxa"/>
            <w:vAlign w:val="center"/>
          </w:tcPr>
          <w:p w:rsidR="000E3EC7" w:rsidRPr="00EF785B" w:rsidRDefault="000E3EC7" w:rsidP="00FA2C75">
            <w:pPr>
              <w:spacing w:before="60" w:after="60"/>
              <w:jc w:val="center"/>
              <w:rPr>
                <w:rFonts w:ascii="Arial" w:hAnsi="Arial" w:cs="Arial"/>
                <w:sz w:val="20"/>
                <w:szCs w:val="20"/>
              </w:rPr>
            </w:pPr>
            <w:r>
              <w:rPr>
                <w:rFonts w:ascii="Arial" w:hAnsi="Arial" w:cs="Arial"/>
                <w:sz w:val="20"/>
                <w:szCs w:val="20"/>
              </w:rPr>
              <w:t>TBD</w:t>
            </w:r>
          </w:p>
        </w:tc>
      </w:tr>
      <w:tr w:rsidR="000E3EC7" w:rsidRPr="00EF785B" w:rsidTr="00FA2C75">
        <w:tc>
          <w:tcPr>
            <w:tcW w:w="4219" w:type="dxa"/>
            <w:vAlign w:val="center"/>
          </w:tcPr>
          <w:p w:rsidR="000E3EC7" w:rsidRDefault="000E3EC7" w:rsidP="00FA2C75">
            <w:pPr>
              <w:rPr>
                <w:rFonts w:ascii="Arial" w:hAnsi="Arial" w:cs="Arial"/>
                <w:sz w:val="20"/>
                <w:szCs w:val="20"/>
              </w:rPr>
            </w:pPr>
            <w:r>
              <w:rPr>
                <w:rFonts w:ascii="Arial" w:hAnsi="Arial" w:cs="Arial"/>
                <w:sz w:val="20"/>
                <w:szCs w:val="20"/>
              </w:rPr>
              <w:t xml:space="preserve">     51 to 150 tonnes</w:t>
            </w:r>
          </w:p>
        </w:tc>
        <w:tc>
          <w:tcPr>
            <w:tcW w:w="1843" w:type="dxa"/>
            <w:vAlign w:val="center"/>
          </w:tcPr>
          <w:p w:rsidR="000E3EC7" w:rsidRPr="00EF785B" w:rsidRDefault="000E3EC7" w:rsidP="00FA2C75">
            <w:pPr>
              <w:spacing w:before="60" w:after="60"/>
              <w:jc w:val="center"/>
              <w:rPr>
                <w:rFonts w:ascii="Arial" w:hAnsi="Arial" w:cs="Arial"/>
                <w:sz w:val="20"/>
                <w:szCs w:val="20"/>
              </w:rPr>
            </w:pPr>
            <w:r>
              <w:rPr>
                <w:rFonts w:ascii="Arial" w:hAnsi="Arial" w:cs="Arial"/>
                <w:sz w:val="20"/>
                <w:szCs w:val="20"/>
              </w:rPr>
              <w:t>902</w:t>
            </w:r>
          </w:p>
        </w:tc>
        <w:tc>
          <w:tcPr>
            <w:tcW w:w="3969" w:type="dxa"/>
            <w:vAlign w:val="center"/>
          </w:tcPr>
          <w:p w:rsidR="000E3EC7" w:rsidRDefault="000E3EC7" w:rsidP="00FA2C75">
            <w:pPr>
              <w:rPr>
                <w:rFonts w:ascii="Arial" w:hAnsi="Arial" w:cs="Arial"/>
                <w:sz w:val="20"/>
                <w:szCs w:val="20"/>
              </w:rPr>
            </w:pPr>
            <w:r>
              <w:rPr>
                <w:rFonts w:ascii="Arial" w:hAnsi="Arial" w:cs="Arial"/>
                <w:sz w:val="20"/>
                <w:szCs w:val="20"/>
              </w:rPr>
              <w:t xml:space="preserve">     51 to 150 tonnes</w:t>
            </w:r>
          </w:p>
        </w:tc>
        <w:tc>
          <w:tcPr>
            <w:tcW w:w="1725" w:type="dxa"/>
            <w:vAlign w:val="center"/>
          </w:tcPr>
          <w:p w:rsidR="000E3EC7" w:rsidRPr="00EF785B" w:rsidRDefault="000E3EC7" w:rsidP="00FA2C75">
            <w:pPr>
              <w:spacing w:before="60" w:after="60"/>
              <w:jc w:val="center"/>
              <w:rPr>
                <w:rFonts w:ascii="Arial" w:hAnsi="Arial" w:cs="Arial"/>
                <w:sz w:val="20"/>
                <w:szCs w:val="20"/>
              </w:rPr>
            </w:pPr>
            <w:r>
              <w:rPr>
                <w:rFonts w:ascii="Arial" w:hAnsi="Arial" w:cs="Arial"/>
                <w:sz w:val="20"/>
                <w:szCs w:val="20"/>
              </w:rPr>
              <w:t xml:space="preserve">TBD </w:t>
            </w:r>
          </w:p>
        </w:tc>
        <w:tc>
          <w:tcPr>
            <w:tcW w:w="2418" w:type="dxa"/>
            <w:vAlign w:val="center"/>
          </w:tcPr>
          <w:p w:rsidR="000E3EC7" w:rsidRPr="00EF785B" w:rsidRDefault="000E3EC7" w:rsidP="00FA2C75">
            <w:pPr>
              <w:spacing w:before="60" w:after="60"/>
              <w:jc w:val="center"/>
              <w:rPr>
                <w:rFonts w:ascii="Arial" w:hAnsi="Arial" w:cs="Arial"/>
                <w:sz w:val="20"/>
                <w:szCs w:val="20"/>
              </w:rPr>
            </w:pPr>
            <w:r>
              <w:rPr>
                <w:rFonts w:ascii="Arial" w:hAnsi="Arial" w:cs="Arial"/>
                <w:sz w:val="20"/>
                <w:szCs w:val="20"/>
              </w:rPr>
              <w:t>TBD</w:t>
            </w:r>
          </w:p>
        </w:tc>
      </w:tr>
      <w:tr w:rsidR="000E3EC7" w:rsidRPr="00EF785B" w:rsidTr="00FA2C75">
        <w:tc>
          <w:tcPr>
            <w:tcW w:w="4219" w:type="dxa"/>
            <w:vAlign w:val="center"/>
          </w:tcPr>
          <w:p w:rsidR="000E3EC7" w:rsidRDefault="000E3EC7" w:rsidP="00FA2C75">
            <w:pPr>
              <w:rPr>
                <w:rFonts w:ascii="Arial" w:hAnsi="Arial" w:cs="Arial"/>
                <w:sz w:val="20"/>
                <w:szCs w:val="20"/>
              </w:rPr>
            </w:pPr>
            <w:r>
              <w:rPr>
                <w:rFonts w:ascii="Arial" w:hAnsi="Arial" w:cs="Arial"/>
                <w:sz w:val="20"/>
                <w:szCs w:val="20"/>
              </w:rPr>
              <w:t xml:space="preserve">     Over 150 tonnes</w:t>
            </w:r>
          </w:p>
        </w:tc>
        <w:tc>
          <w:tcPr>
            <w:tcW w:w="1843" w:type="dxa"/>
            <w:vAlign w:val="center"/>
          </w:tcPr>
          <w:p w:rsidR="000E3EC7" w:rsidRPr="00EF785B" w:rsidRDefault="000E3EC7" w:rsidP="00FA2C75">
            <w:pPr>
              <w:spacing w:before="60" w:after="60"/>
              <w:jc w:val="center"/>
              <w:rPr>
                <w:rFonts w:ascii="Arial" w:hAnsi="Arial" w:cs="Arial"/>
                <w:sz w:val="20"/>
                <w:szCs w:val="20"/>
              </w:rPr>
            </w:pPr>
            <w:r>
              <w:rPr>
                <w:rFonts w:ascii="Arial" w:hAnsi="Arial" w:cs="Arial"/>
                <w:sz w:val="20"/>
                <w:szCs w:val="20"/>
              </w:rPr>
              <w:t>1,814</w:t>
            </w:r>
          </w:p>
        </w:tc>
        <w:tc>
          <w:tcPr>
            <w:tcW w:w="3969" w:type="dxa"/>
            <w:vAlign w:val="center"/>
          </w:tcPr>
          <w:p w:rsidR="000E3EC7" w:rsidRDefault="000E3EC7" w:rsidP="00FA2C75">
            <w:pPr>
              <w:rPr>
                <w:rFonts w:ascii="Arial" w:hAnsi="Arial" w:cs="Arial"/>
                <w:sz w:val="20"/>
                <w:szCs w:val="20"/>
              </w:rPr>
            </w:pPr>
            <w:r>
              <w:rPr>
                <w:rFonts w:ascii="Arial" w:hAnsi="Arial" w:cs="Arial"/>
                <w:sz w:val="20"/>
                <w:szCs w:val="20"/>
              </w:rPr>
              <w:t xml:space="preserve">     Over 150 tonnes</w:t>
            </w:r>
          </w:p>
        </w:tc>
        <w:tc>
          <w:tcPr>
            <w:tcW w:w="1725" w:type="dxa"/>
            <w:vAlign w:val="center"/>
          </w:tcPr>
          <w:p w:rsidR="000E3EC7" w:rsidRPr="00EF785B" w:rsidRDefault="000E3EC7" w:rsidP="00FA2C75">
            <w:pPr>
              <w:spacing w:before="60" w:after="60"/>
              <w:jc w:val="center"/>
              <w:rPr>
                <w:rFonts w:ascii="Arial" w:hAnsi="Arial" w:cs="Arial"/>
                <w:sz w:val="20"/>
                <w:szCs w:val="20"/>
              </w:rPr>
            </w:pPr>
            <w:r>
              <w:rPr>
                <w:rFonts w:ascii="Arial" w:hAnsi="Arial" w:cs="Arial"/>
                <w:sz w:val="20"/>
                <w:szCs w:val="20"/>
              </w:rPr>
              <w:t xml:space="preserve">TBD </w:t>
            </w:r>
          </w:p>
        </w:tc>
        <w:tc>
          <w:tcPr>
            <w:tcW w:w="2418" w:type="dxa"/>
            <w:vAlign w:val="center"/>
          </w:tcPr>
          <w:p w:rsidR="000E3EC7" w:rsidRPr="00EF785B" w:rsidRDefault="000E3EC7" w:rsidP="00FA2C75">
            <w:pPr>
              <w:spacing w:before="60" w:after="60"/>
              <w:jc w:val="center"/>
              <w:rPr>
                <w:rFonts w:ascii="Arial" w:hAnsi="Arial" w:cs="Arial"/>
                <w:sz w:val="20"/>
                <w:szCs w:val="20"/>
              </w:rPr>
            </w:pPr>
            <w:r>
              <w:rPr>
                <w:rFonts w:ascii="Arial" w:hAnsi="Arial" w:cs="Arial"/>
                <w:sz w:val="20"/>
                <w:szCs w:val="20"/>
              </w:rPr>
              <w:t>TBD</w:t>
            </w:r>
          </w:p>
        </w:tc>
      </w:tr>
    </w:tbl>
    <w:p w:rsidR="000E3EC7" w:rsidRDefault="000E3EC7" w:rsidP="002E7BBE">
      <w:pPr>
        <w:spacing w:after="0" w:line="240" w:lineRule="auto"/>
        <w:rPr>
          <w:rFonts w:ascii="Arial" w:hAnsi="Arial" w:cs="Arial"/>
          <w:b/>
          <w:sz w:val="20"/>
          <w:szCs w:val="20"/>
          <w:u w:val="single"/>
        </w:rPr>
      </w:pPr>
    </w:p>
    <w:p w:rsidR="00BA4FA5" w:rsidRPr="003E36BB" w:rsidRDefault="00BA4FA5" w:rsidP="00BA4FA5">
      <w:pPr>
        <w:spacing w:after="0" w:line="240" w:lineRule="auto"/>
        <w:rPr>
          <w:rFonts w:ascii="Arial" w:hAnsi="Arial" w:cs="Arial"/>
          <w:sz w:val="18"/>
          <w:szCs w:val="18"/>
        </w:rPr>
      </w:pPr>
      <w:r w:rsidRPr="003E36BB">
        <w:rPr>
          <w:rFonts w:ascii="Arial" w:hAnsi="Arial" w:cs="Arial"/>
          <w:sz w:val="18"/>
          <w:szCs w:val="18"/>
        </w:rPr>
        <w:t xml:space="preserve">Note: </w:t>
      </w:r>
    </w:p>
    <w:p w:rsidR="00BA4FA5" w:rsidRPr="003E36BB" w:rsidRDefault="007573C0" w:rsidP="00BA4FA5">
      <w:pPr>
        <w:pStyle w:val="ListParagraph"/>
        <w:numPr>
          <w:ilvl w:val="0"/>
          <w:numId w:val="42"/>
        </w:numPr>
        <w:spacing w:after="0" w:line="240" w:lineRule="auto"/>
        <w:jc w:val="both"/>
        <w:rPr>
          <w:rFonts w:ascii="Arial" w:hAnsi="Arial" w:cs="Arial"/>
          <w:sz w:val="18"/>
          <w:szCs w:val="18"/>
        </w:rPr>
      </w:pPr>
      <w:r>
        <w:rPr>
          <w:rFonts w:ascii="Arial" w:hAnsi="Arial" w:cs="Arial"/>
          <w:sz w:val="18"/>
          <w:szCs w:val="18"/>
        </w:rPr>
        <w:t xml:space="preserve">* </w:t>
      </w:r>
      <w:r w:rsidR="00BA4FA5" w:rsidRPr="003E36BB">
        <w:rPr>
          <w:rFonts w:ascii="Arial" w:hAnsi="Arial" w:cs="Arial"/>
          <w:sz w:val="18"/>
          <w:szCs w:val="18"/>
        </w:rPr>
        <w:t>For all fees listed as ‘To Be Determined’ (TBD), the existing fees payable by these licensees will be indexed from 1 July 2017 in line with the rate published by the Treasurer.</w:t>
      </w:r>
    </w:p>
    <w:p w:rsidR="000E3EC7" w:rsidRDefault="000E3EC7" w:rsidP="002E7BBE">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4219"/>
        <w:gridCol w:w="1843"/>
        <w:gridCol w:w="3969"/>
        <w:gridCol w:w="1725"/>
        <w:gridCol w:w="2418"/>
      </w:tblGrid>
      <w:tr w:rsidR="005F74D6" w:rsidTr="00FA2C75">
        <w:tc>
          <w:tcPr>
            <w:tcW w:w="4219" w:type="dxa"/>
            <w:shd w:val="clear" w:color="auto" w:fill="F2F2F2" w:themeFill="background1" w:themeFillShade="F2"/>
            <w:vAlign w:val="center"/>
          </w:tcPr>
          <w:p w:rsidR="005F74D6" w:rsidRPr="00E87CBB" w:rsidRDefault="005F74D6" w:rsidP="00FA2C75">
            <w:pPr>
              <w:spacing w:before="60" w:after="60"/>
              <w:rPr>
                <w:rFonts w:ascii="Arial" w:hAnsi="Arial" w:cs="Arial"/>
                <w:b/>
                <w:sz w:val="20"/>
                <w:szCs w:val="20"/>
              </w:rPr>
            </w:pPr>
            <w:r>
              <w:rPr>
                <w:rFonts w:ascii="Arial" w:hAnsi="Arial" w:cs="Arial"/>
                <w:b/>
                <w:sz w:val="20"/>
                <w:szCs w:val="20"/>
              </w:rPr>
              <w:t>Meat Transport Vehicles</w:t>
            </w:r>
          </w:p>
        </w:tc>
        <w:tc>
          <w:tcPr>
            <w:tcW w:w="1843" w:type="dxa"/>
            <w:shd w:val="clear" w:color="auto" w:fill="F2F2F2" w:themeFill="background1" w:themeFillShade="F2"/>
            <w:vAlign w:val="center"/>
          </w:tcPr>
          <w:p w:rsidR="005F74D6" w:rsidRPr="00EF785B" w:rsidRDefault="005F74D6" w:rsidP="00FA2C75">
            <w:pPr>
              <w:spacing w:before="60" w:after="60"/>
              <w:jc w:val="center"/>
              <w:rPr>
                <w:rFonts w:ascii="Arial" w:hAnsi="Arial" w:cs="Arial"/>
                <w:b/>
                <w:sz w:val="20"/>
                <w:szCs w:val="20"/>
              </w:rPr>
            </w:pPr>
            <w:r w:rsidRPr="00EF785B">
              <w:rPr>
                <w:rFonts w:ascii="Arial" w:hAnsi="Arial" w:cs="Arial"/>
                <w:b/>
                <w:sz w:val="20"/>
                <w:szCs w:val="20"/>
              </w:rPr>
              <w:t>Current</w:t>
            </w:r>
          </w:p>
        </w:tc>
        <w:tc>
          <w:tcPr>
            <w:tcW w:w="8112" w:type="dxa"/>
            <w:gridSpan w:val="3"/>
            <w:shd w:val="clear" w:color="auto" w:fill="F2F2F2" w:themeFill="background1" w:themeFillShade="F2"/>
            <w:vAlign w:val="center"/>
          </w:tcPr>
          <w:p w:rsidR="005F74D6" w:rsidRDefault="005F74D6" w:rsidP="00FA2C75">
            <w:pPr>
              <w:spacing w:before="60" w:after="60"/>
              <w:jc w:val="center"/>
              <w:rPr>
                <w:rFonts w:ascii="Arial" w:hAnsi="Arial" w:cs="Arial"/>
                <w:b/>
                <w:sz w:val="20"/>
                <w:szCs w:val="20"/>
                <w:u w:val="single"/>
              </w:rPr>
            </w:pPr>
            <w:r w:rsidRPr="00EF785B">
              <w:rPr>
                <w:rFonts w:ascii="Arial" w:hAnsi="Arial" w:cs="Arial"/>
                <w:b/>
                <w:sz w:val="20"/>
                <w:szCs w:val="20"/>
              </w:rPr>
              <w:t>Proposed</w:t>
            </w:r>
          </w:p>
        </w:tc>
      </w:tr>
      <w:tr w:rsidR="005F74D6" w:rsidRPr="00EF785B" w:rsidTr="00FA2C75">
        <w:tc>
          <w:tcPr>
            <w:tcW w:w="4219" w:type="dxa"/>
            <w:vAlign w:val="center"/>
          </w:tcPr>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Vehicle Type</w:t>
            </w:r>
          </w:p>
        </w:tc>
        <w:tc>
          <w:tcPr>
            <w:tcW w:w="1843" w:type="dxa"/>
            <w:vAlign w:val="center"/>
          </w:tcPr>
          <w:p w:rsidR="005F74D6" w:rsidRDefault="005F74D6" w:rsidP="00FA2C75">
            <w:pPr>
              <w:spacing w:before="60" w:after="60"/>
              <w:jc w:val="center"/>
              <w:rPr>
                <w:rFonts w:ascii="Arial" w:hAnsi="Arial" w:cs="Arial"/>
                <w:b/>
                <w:sz w:val="20"/>
                <w:szCs w:val="20"/>
              </w:rPr>
            </w:pPr>
            <w:r>
              <w:rPr>
                <w:rFonts w:ascii="Arial" w:hAnsi="Arial" w:cs="Arial"/>
                <w:b/>
                <w:sz w:val="20"/>
                <w:szCs w:val="20"/>
              </w:rPr>
              <w:t>2015-16</w:t>
            </w:r>
          </w:p>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w:t>
            </w:r>
          </w:p>
        </w:tc>
        <w:tc>
          <w:tcPr>
            <w:tcW w:w="3969" w:type="dxa"/>
            <w:vAlign w:val="center"/>
          </w:tcPr>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Vehicle Type</w:t>
            </w:r>
          </w:p>
        </w:tc>
        <w:tc>
          <w:tcPr>
            <w:tcW w:w="1725" w:type="dxa"/>
            <w:vAlign w:val="center"/>
          </w:tcPr>
          <w:p w:rsidR="005F74D6" w:rsidRDefault="005F74D6" w:rsidP="00FA2C75">
            <w:pPr>
              <w:spacing w:before="60" w:after="60"/>
              <w:jc w:val="center"/>
              <w:rPr>
                <w:rFonts w:ascii="Arial" w:hAnsi="Arial" w:cs="Arial"/>
                <w:b/>
                <w:sz w:val="20"/>
                <w:szCs w:val="20"/>
              </w:rPr>
            </w:pPr>
            <w:r w:rsidRPr="00EF785B">
              <w:rPr>
                <w:rFonts w:ascii="Arial" w:hAnsi="Arial" w:cs="Arial"/>
                <w:b/>
                <w:sz w:val="20"/>
                <w:szCs w:val="20"/>
              </w:rPr>
              <w:t>2016-17</w:t>
            </w:r>
          </w:p>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w:t>
            </w:r>
          </w:p>
        </w:tc>
        <w:tc>
          <w:tcPr>
            <w:tcW w:w="2418" w:type="dxa"/>
            <w:vAlign w:val="center"/>
          </w:tcPr>
          <w:p w:rsidR="005F74D6" w:rsidRDefault="005F74D6" w:rsidP="00FA2C75">
            <w:pPr>
              <w:spacing w:before="60" w:after="60"/>
              <w:jc w:val="center"/>
              <w:rPr>
                <w:rFonts w:ascii="Arial" w:hAnsi="Arial" w:cs="Arial"/>
                <w:b/>
                <w:sz w:val="20"/>
                <w:szCs w:val="20"/>
              </w:rPr>
            </w:pPr>
            <w:r>
              <w:rPr>
                <w:rFonts w:ascii="Arial" w:hAnsi="Arial" w:cs="Arial"/>
                <w:b/>
                <w:sz w:val="20"/>
                <w:szCs w:val="20"/>
              </w:rPr>
              <w:t>Increase</w:t>
            </w:r>
          </w:p>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w:t>
            </w:r>
          </w:p>
        </w:tc>
      </w:tr>
      <w:tr w:rsidR="005F74D6" w:rsidRPr="00EF785B" w:rsidTr="00FA2C75">
        <w:tc>
          <w:tcPr>
            <w:tcW w:w="4219" w:type="dxa"/>
            <w:vAlign w:val="center"/>
          </w:tcPr>
          <w:p w:rsidR="005F74D6" w:rsidRPr="00EF785B" w:rsidRDefault="005F74D6" w:rsidP="00FA2C75">
            <w:pPr>
              <w:rPr>
                <w:rFonts w:ascii="Arial" w:hAnsi="Arial" w:cs="Arial"/>
                <w:sz w:val="20"/>
                <w:szCs w:val="20"/>
              </w:rPr>
            </w:pPr>
            <w:r>
              <w:rPr>
                <w:rFonts w:ascii="Arial" w:hAnsi="Arial" w:cs="Arial"/>
                <w:sz w:val="20"/>
                <w:szCs w:val="20"/>
              </w:rPr>
              <w:t>All vehicle types</w:t>
            </w:r>
          </w:p>
        </w:tc>
        <w:tc>
          <w:tcPr>
            <w:tcW w:w="1843"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114</w:t>
            </w:r>
          </w:p>
        </w:tc>
        <w:tc>
          <w:tcPr>
            <w:tcW w:w="3969" w:type="dxa"/>
            <w:vAlign w:val="center"/>
          </w:tcPr>
          <w:p w:rsidR="005F74D6" w:rsidRPr="00EF785B" w:rsidRDefault="005F74D6" w:rsidP="00FA2C75">
            <w:pPr>
              <w:rPr>
                <w:rFonts w:ascii="Arial" w:hAnsi="Arial" w:cs="Arial"/>
                <w:sz w:val="20"/>
                <w:szCs w:val="20"/>
              </w:rPr>
            </w:pPr>
            <w:r>
              <w:rPr>
                <w:rFonts w:ascii="Arial" w:hAnsi="Arial" w:cs="Arial"/>
                <w:sz w:val="20"/>
                <w:szCs w:val="20"/>
              </w:rPr>
              <w:t>Commercial van</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128</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12.3%</w:t>
            </w:r>
          </w:p>
        </w:tc>
      </w:tr>
      <w:tr w:rsidR="005F74D6" w:rsidRPr="00EF785B" w:rsidTr="00FA2C75">
        <w:tc>
          <w:tcPr>
            <w:tcW w:w="4219" w:type="dxa"/>
            <w:vAlign w:val="center"/>
          </w:tcPr>
          <w:p w:rsidR="005F74D6" w:rsidRPr="00EF785B" w:rsidRDefault="005F74D6" w:rsidP="00FA2C75">
            <w:pPr>
              <w:rPr>
                <w:rFonts w:ascii="Arial" w:hAnsi="Arial" w:cs="Arial"/>
                <w:sz w:val="20"/>
                <w:szCs w:val="20"/>
              </w:rPr>
            </w:pPr>
          </w:p>
        </w:tc>
        <w:tc>
          <w:tcPr>
            <w:tcW w:w="1843" w:type="dxa"/>
            <w:vAlign w:val="center"/>
          </w:tcPr>
          <w:p w:rsidR="005F74D6" w:rsidRPr="00EF785B" w:rsidRDefault="005F74D6" w:rsidP="00FA2C75">
            <w:pPr>
              <w:spacing w:before="60" w:after="60"/>
              <w:jc w:val="center"/>
              <w:rPr>
                <w:rFonts w:ascii="Arial" w:hAnsi="Arial" w:cs="Arial"/>
                <w:sz w:val="20"/>
                <w:szCs w:val="20"/>
              </w:rPr>
            </w:pPr>
          </w:p>
        </w:tc>
        <w:tc>
          <w:tcPr>
            <w:tcW w:w="3969" w:type="dxa"/>
            <w:vAlign w:val="center"/>
          </w:tcPr>
          <w:p w:rsidR="005F74D6" w:rsidRPr="00EF785B" w:rsidRDefault="005F74D6" w:rsidP="00FA2C75">
            <w:pPr>
              <w:rPr>
                <w:rFonts w:ascii="Arial" w:hAnsi="Arial" w:cs="Arial"/>
                <w:sz w:val="20"/>
                <w:szCs w:val="20"/>
              </w:rPr>
            </w:pPr>
            <w:r>
              <w:rPr>
                <w:rFonts w:ascii="Arial" w:hAnsi="Arial" w:cs="Arial"/>
                <w:sz w:val="20"/>
                <w:szCs w:val="20"/>
              </w:rPr>
              <w:t>Truck/Trailer under 4.5 tonnes GVM</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195</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71.1%</w:t>
            </w:r>
          </w:p>
        </w:tc>
      </w:tr>
      <w:tr w:rsidR="005F74D6" w:rsidRPr="00EF785B" w:rsidTr="00FA2C75">
        <w:trPr>
          <w:trHeight w:val="70"/>
        </w:trPr>
        <w:tc>
          <w:tcPr>
            <w:tcW w:w="4219" w:type="dxa"/>
            <w:vAlign w:val="center"/>
          </w:tcPr>
          <w:p w:rsidR="005F74D6" w:rsidRDefault="005F74D6" w:rsidP="00FA2C75">
            <w:pPr>
              <w:rPr>
                <w:rFonts w:ascii="Arial" w:hAnsi="Arial" w:cs="Arial"/>
                <w:sz w:val="20"/>
                <w:szCs w:val="20"/>
              </w:rPr>
            </w:pPr>
          </w:p>
        </w:tc>
        <w:tc>
          <w:tcPr>
            <w:tcW w:w="1843" w:type="dxa"/>
            <w:vAlign w:val="center"/>
          </w:tcPr>
          <w:p w:rsidR="005F74D6" w:rsidRPr="00EF785B" w:rsidRDefault="005F74D6" w:rsidP="00FA2C75">
            <w:pPr>
              <w:spacing w:before="60" w:after="60"/>
              <w:jc w:val="center"/>
              <w:rPr>
                <w:rFonts w:ascii="Arial" w:hAnsi="Arial" w:cs="Arial"/>
                <w:sz w:val="20"/>
                <w:szCs w:val="20"/>
              </w:rPr>
            </w:pPr>
          </w:p>
        </w:tc>
        <w:tc>
          <w:tcPr>
            <w:tcW w:w="3969" w:type="dxa"/>
            <w:vAlign w:val="center"/>
          </w:tcPr>
          <w:p w:rsidR="005F74D6" w:rsidRDefault="005F74D6" w:rsidP="00FA2C75">
            <w:pPr>
              <w:rPr>
                <w:rFonts w:ascii="Arial" w:hAnsi="Arial" w:cs="Arial"/>
                <w:sz w:val="20"/>
                <w:szCs w:val="20"/>
              </w:rPr>
            </w:pPr>
            <w:r>
              <w:rPr>
                <w:rFonts w:ascii="Arial" w:hAnsi="Arial" w:cs="Arial"/>
                <w:sz w:val="20"/>
                <w:szCs w:val="20"/>
              </w:rPr>
              <w:t>Truck/Trailer over 4.5 tonnes GVM</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247</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116.7%</w:t>
            </w:r>
          </w:p>
        </w:tc>
      </w:tr>
    </w:tbl>
    <w:p w:rsidR="005F74D6" w:rsidRDefault="005F74D6" w:rsidP="005F74D6">
      <w:pPr>
        <w:spacing w:after="0" w:line="240" w:lineRule="auto"/>
        <w:rPr>
          <w:rFonts w:ascii="Arial" w:hAnsi="Arial" w:cs="Arial"/>
          <w:sz w:val="20"/>
          <w:szCs w:val="20"/>
        </w:rPr>
      </w:pPr>
    </w:p>
    <w:p w:rsidR="005F74D6" w:rsidRDefault="005F74D6" w:rsidP="005F74D6">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4219"/>
        <w:gridCol w:w="1843"/>
        <w:gridCol w:w="3969"/>
        <w:gridCol w:w="1725"/>
        <w:gridCol w:w="2418"/>
      </w:tblGrid>
      <w:tr w:rsidR="005F74D6" w:rsidTr="00FA2C75">
        <w:tc>
          <w:tcPr>
            <w:tcW w:w="4219" w:type="dxa"/>
            <w:shd w:val="clear" w:color="auto" w:fill="F2F2F2" w:themeFill="background1" w:themeFillShade="F2"/>
            <w:vAlign w:val="center"/>
          </w:tcPr>
          <w:p w:rsidR="005F74D6" w:rsidRPr="00E87CBB" w:rsidRDefault="005F74D6" w:rsidP="00FA2C75">
            <w:pPr>
              <w:spacing w:before="60" w:after="60"/>
              <w:rPr>
                <w:rFonts w:ascii="Arial" w:hAnsi="Arial" w:cs="Arial"/>
                <w:b/>
                <w:sz w:val="20"/>
                <w:szCs w:val="20"/>
              </w:rPr>
            </w:pPr>
            <w:r>
              <w:rPr>
                <w:rFonts w:ascii="Arial" w:hAnsi="Arial" w:cs="Arial"/>
                <w:b/>
                <w:sz w:val="20"/>
                <w:szCs w:val="20"/>
              </w:rPr>
              <w:t>Pre-Licensing Advice</w:t>
            </w:r>
          </w:p>
        </w:tc>
        <w:tc>
          <w:tcPr>
            <w:tcW w:w="1843" w:type="dxa"/>
            <w:shd w:val="clear" w:color="auto" w:fill="F2F2F2" w:themeFill="background1" w:themeFillShade="F2"/>
            <w:vAlign w:val="center"/>
          </w:tcPr>
          <w:p w:rsidR="005F74D6" w:rsidRPr="00EF785B" w:rsidRDefault="005F74D6" w:rsidP="00FA2C75">
            <w:pPr>
              <w:spacing w:before="60" w:after="60"/>
              <w:jc w:val="center"/>
              <w:rPr>
                <w:rFonts w:ascii="Arial" w:hAnsi="Arial" w:cs="Arial"/>
                <w:b/>
                <w:sz w:val="20"/>
                <w:szCs w:val="20"/>
              </w:rPr>
            </w:pPr>
            <w:r w:rsidRPr="00EF785B">
              <w:rPr>
                <w:rFonts w:ascii="Arial" w:hAnsi="Arial" w:cs="Arial"/>
                <w:b/>
                <w:sz w:val="20"/>
                <w:szCs w:val="20"/>
              </w:rPr>
              <w:t>Current</w:t>
            </w:r>
          </w:p>
        </w:tc>
        <w:tc>
          <w:tcPr>
            <w:tcW w:w="8112" w:type="dxa"/>
            <w:gridSpan w:val="3"/>
            <w:shd w:val="clear" w:color="auto" w:fill="F2F2F2" w:themeFill="background1" w:themeFillShade="F2"/>
            <w:vAlign w:val="center"/>
          </w:tcPr>
          <w:p w:rsidR="005F74D6" w:rsidRDefault="005F74D6" w:rsidP="00FA2C75">
            <w:pPr>
              <w:spacing w:before="60" w:after="60"/>
              <w:jc w:val="center"/>
              <w:rPr>
                <w:rFonts w:ascii="Arial" w:hAnsi="Arial" w:cs="Arial"/>
                <w:b/>
                <w:sz w:val="20"/>
                <w:szCs w:val="20"/>
                <w:u w:val="single"/>
              </w:rPr>
            </w:pPr>
            <w:r w:rsidRPr="00EF785B">
              <w:rPr>
                <w:rFonts w:ascii="Arial" w:hAnsi="Arial" w:cs="Arial"/>
                <w:b/>
                <w:sz w:val="20"/>
                <w:szCs w:val="20"/>
              </w:rPr>
              <w:t>Proposed</w:t>
            </w:r>
          </w:p>
        </w:tc>
      </w:tr>
      <w:tr w:rsidR="005F74D6" w:rsidRPr="00EF785B" w:rsidTr="00FA2C75">
        <w:tc>
          <w:tcPr>
            <w:tcW w:w="4219" w:type="dxa"/>
            <w:vAlign w:val="center"/>
          </w:tcPr>
          <w:p w:rsidR="005F74D6" w:rsidRPr="00EF785B" w:rsidRDefault="005F74D6" w:rsidP="00FA2C75">
            <w:pPr>
              <w:spacing w:before="60" w:after="60"/>
              <w:jc w:val="center"/>
              <w:rPr>
                <w:rFonts w:ascii="Arial" w:hAnsi="Arial" w:cs="Arial"/>
                <w:b/>
                <w:sz w:val="20"/>
                <w:szCs w:val="20"/>
              </w:rPr>
            </w:pPr>
          </w:p>
        </w:tc>
        <w:tc>
          <w:tcPr>
            <w:tcW w:w="1843" w:type="dxa"/>
            <w:vAlign w:val="center"/>
          </w:tcPr>
          <w:p w:rsidR="005F74D6" w:rsidRDefault="005F74D6" w:rsidP="00FA2C75">
            <w:pPr>
              <w:spacing w:before="60" w:after="60"/>
              <w:jc w:val="center"/>
              <w:rPr>
                <w:rFonts w:ascii="Arial" w:hAnsi="Arial" w:cs="Arial"/>
                <w:b/>
                <w:sz w:val="20"/>
                <w:szCs w:val="20"/>
              </w:rPr>
            </w:pPr>
            <w:r>
              <w:rPr>
                <w:rFonts w:ascii="Arial" w:hAnsi="Arial" w:cs="Arial"/>
                <w:b/>
                <w:sz w:val="20"/>
                <w:szCs w:val="20"/>
              </w:rPr>
              <w:t>2015-16</w:t>
            </w:r>
          </w:p>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w:t>
            </w:r>
          </w:p>
        </w:tc>
        <w:tc>
          <w:tcPr>
            <w:tcW w:w="3969" w:type="dxa"/>
            <w:vAlign w:val="center"/>
          </w:tcPr>
          <w:p w:rsidR="005F74D6" w:rsidRPr="00EF785B" w:rsidRDefault="005F74D6" w:rsidP="00FA2C75">
            <w:pPr>
              <w:spacing w:before="60" w:after="60"/>
              <w:jc w:val="center"/>
              <w:rPr>
                <w:rFonts w:ascii="Arial" w:hAnsi="Arial" w:cs="Arial"/>
                <w:b/>
                <w:sz w:val="20"/>
                <w:szCs w:val="20"/>
              </w:rPr>
            </w:pPr>
          </w:p>
        </w:tc>
        <w:tc>
          <w:tcPr>
            <w:tcW w:w="1725" w:type="dxa"/>
            <w:vAlign w:val="center"/>
          </w:tcPr>
          <w:p w:rsidR="005F74D6" w:rsidRDefault="005F74D6" w:rsidP="00FA2C75">
            <w:pPr>
              <w:spacing w:before="60" w:after="60"/>
              <w:jc w:val="center"/>
              <w:rPr>
                <w:rFonts w:ascii="Arial" w:hAnsi="Arial" w:cs="Arial"/>
                <w:b/>
                <w:sz w:val="20"/>
                <w:szCs w:val="20"/>
              </w:rPr>
            </w:pPr>
            <w:r w:rsidRPr="00EF785B">
              <w:rPr>
                <w:rFonts w:ascii="Arial" w:hAnsi="Arial" w:cs="Arial"/>
                <w:b/>
                <w:sz w:val="20"/>
                <w:szCs w:val="20"/>
              </w:rPr>
              <w:t>2016-17</w:t>
            </w:r>
          </w:p>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w:t>
            </w:r>
          </w:p>
        </w:tc>
        <w:tc>
          <w:tcPr>
            <w:tcW w:w="2418" w:type="dxa"/>
            <w:vAlign w:val="center"/>
          </w:tcPr>
          <w:p w:rsidR="005F74D6" w:rsidRDefault="005F74D6" w:rsidP="00FA2C75">
            <w:pPr>
              <w:spacing w:before="60" w:after="60"/>
              <w:jc w:val="center"/>
              <w:rPr>
                <w:rFonts w:ascii="Arial" w:hAnsi="Arial" w:cs="Arial"/>
                <w:b/>
                <w:sz w:val="20"/>
                <w:szCs w:val="20"/>
              </w:rPr>
            </w:pPr>
            <w:r>
              <w:rPr>
                <w:rFonts w:ascii="Arial" w:hAnsi="Arial" w:cs="Arial"/>
                <w:b/>
                <w:sz w:val="20"/>
                <w:szCs w:val="20"/>
              </w:rPr>
              <w:t>Increase</w:t>
            </w:r>
          </w:p>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w:t>
            </w:r>
          </w:p>
        </w:tc>
      </w:tr>
      <w:tr w:rsidR="005F74D6" w:rsidRPr="00EF785B" w:rsidTr="00FA2C75">
        <w:tc>
          <w:tcPr>
            <w:tcW w:w="4219" w:type="dxa"/>
            <w:vAlign w:val="center"/>
          </w:tcPr>
          <w:p w:rsidR="005F74D6" w:rsidRPr="00EF785B" w:rsidRDefault="005F74D6" w:rsidP="00FA2C75">
            <w:pPr>
              <w:rPr>
                <w:rFonts w:ascii="Arial" w:hAnsi="Arial" w:cs="Arial"/>
                <w:sz w:val="20"/>
                <w:szCs w:val="20"/>
              </w:rPr>
            </w:pPr>
            <w:r>
              <w:rPr>
                <w:rFonts w:ascii="Arial" w:hAnsi="Arial" w:cs="Arial"/>
                <w:sz w:val="20"/>
                <w:szCs w:val="20"/>
              </w:rPr>
              <w:t>Not available</w:t>
            </w:r>
          </w:p>
        </w:tc>
        <w:tc>
          <w:tcPr>
            <w:tcW w:w="1843"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Not applicable</w:t>
            </w:r>
          </w:p>
        </w:tc>
        <w:tc>
          <w:tcPr>
            <w:tcW w:w="3969" w:type="dxa"/>
            <w:vAlign w:val="center"/>
          </w:tcPr>
          <w:p w:rsidR="005F74D6" w:rsidRPr="00EF785B" w:rsidRDefault="005F74D6" w:rsidP="00FA2C75">
            <w:pPr>
              <w:rPr>
                <w:rFonts w:ascii="Arial" w:hAnsi="Arial" w:cs="Arial"/>
                <w:sz w:val="20"/>
                <w:szCs w:val="20"/>
              </w:rPr>
            </w:pPr>
            <w:r>
              <w:rPr>
                <w:rFonts w:ascii="Arial" w:hAnsi="Arial" w:cs="Arial"/>
                <w:sz w:val="20"/>
                <w:szCs w:val="20"/>
              </w:rPr>
              <w:t>All licence types</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250 per hour  (ex GST)</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Not applicable</w:t>
            </w:r>
          </w:p>
        </w:tc>
      </w:tr>
    </w:tbl>
    <w:p w:rsidR="005F74D6" w:rsidRPr="00FE3A69" w:rsidRDefault="005F74D6" w:rsidP="005F74D6">
      <w:pPr>
        <w:spacing w:after="0" w:line="240" w:lineRule="auto"/>
        <w:rPr>
          <w:rFonts w:ascii="Arial" w:hAnsi="Arial" w:cs="Arial"/>
          <w:sz w:val="20"/>
          <w:szCs w:val="20"/>
        </w:rPr>
      </w:pPr>
    </w:p>
    <w:p w:rsidR="005F74D6" w:rsidRDefault="005F74D6" w:rsidP="005F74D6">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4219"/>
        <w:gridCol w:w="1843"/>
        <w:gridCol w:w="3969"/>
        <w:gridCol w:w="1725"/>
        <w:gridCol w:w="2418"/>
      </w:tblGrid>
      <w:tr w:rsidR="005F74D6" w:rsidTr="00FA2C75">
        <w:tc>
          <w:tcPr>
            <w:tcW w:w="4219" w:type="dxa"/>
            <w:shd w:val="clear" w:color="auto" w:fill="F2F2F2" w:themeFill="background1" w:themeFillShade="F2"/>
            <w:vAlign w:val="center"/>
          </w:tcPr>
          <w:p w:rsidR="005F74D6" w:rsidRPr="00E87CBB" w:rsidRDefault="005F74D6" w:rsidP="00FA2C75">
            <w:pPr>
              <w:spacing w:before="60" w:after="60"/>
              <w:rPr>
                <w:rFonts w:ascii="Arial" w:hAnsi="Arial" w:cs="Arial"/>
                <w:b/>
                <w:sz w:val="20"/>
                <w:szCs w:val="20"/>
              </w:rPr>
            </w:pPr>
            <w:r>
              <w:rPr>
                <w:rFonts w:ascii="Arial" w:hAnsi="Arial" w:cs="Arial"/>
                <w:b/>
                <w:sz w:val="20"/>
                <w:szCs w:val="20"/>
              </w:rPr>
              <w:t>Seafood Retailer</w:t>
            </w:r>
          </w:p>
        </w:tc>
        <w:tc>
          <w:tcPr>
            <w:tcW w:w="1843" w:type="dxa"/>
            <w:shd w:val="clear" w:color="auto" w:fill="F2F2F2" w:themeFill="background1" w:themeFillShade="F2"/>
            <w:vAlign w:val="center"/>
          </w:tcPr>
          <w:p w:rsidR="005F74D6" w:rsidRPr="00EF785B" w:rsidRDefault="005F74D6" w:rsidP="00FA2C75">
            <w:pPr>
              <w:spacing w:before="60" w:after="60"/>
              <w:jc w:val="center"/>
              <w:rPr>
                <w:rFonts w:ascii="Arial" w:hAnsi="Arial" w:cs="Arial"/>
                <w:b/>
                <w:sz w:val="20"/>
                <w:szCs w:val="20"/>
              </w:rPr>
            </w:pPr>
            <w:r w:rsidRPr="00EF785B">
              <w:rPr>
                <w:rFonts w:ascii="Arial" w:hAnsi="Arial" w:cs="Arial"/>
                <w:b/>
                <w:sz w:val="20"/>
                <w:szCs w:val="20"/>
              </w:rPr>
              <w:t>Current</w:t>
            </w:r>
          </w:p>
        </w:tc>
        <w:tc>
          <w:tcPr>
            <w:tcW w:w="8112" w:type="dxa"/>
            <w:gridSpan w:val="3"/>
            <w:shd w:val="clear" w:color="auto" w:fill="F2F2F2" w:themeFill="background1" w:themeFillShade="F2"/>
            <w:vAlign w:val="center"/>
          </w:tcPr>
          <w:p w:rsidR="005F74D6" w:rsidRDefault="005F74D6" w:rsidP="00FA2C75">
            <w:pPr>
              <w:spacing w:before="60" w:after="60"/>
              <w:jc w:val="center"/>
              <w:rPr>
                <w:rFonts w:ascii="Arial" w:hAnsi="Arial" w:cs="Arial"/>
                <w:b/>
                <w:sz w:val="20"/>
                <w:szCs w:val="20"/>
                <w:u w:val="single"/>
              </w:rPr>
            </w:pPr>
            <w:r w:rsidRPr="00EF785B">
              <w:rPr>
                <w:rFonts w:ascii="Arial" w:hAnsi="Arial" w:cs="Arial"/>
                <w:b/>
                <w:sz w:val="20"/>
                <w:szCs w:val="20"/>
              </w:rPr>
              <w:t>Proposed</w:t>
            </w:r>
            <w:r w:rsidR="00F27CDE">
              <w:rPr>
                <w:rFonts w:ascii="Arial" w:hAnsi="Arial" w:cs="Arial"/>
                <w:b/>
                <w:sz w:val="20"/>
                <w:szCs w:val="20"/>
              </w:rPr>
              <w:t xml:space="preserve"> *</w:t>
            </w:r>
          </w:p>
        </w:tc>
      </w:tr>
      <w:tr w:rsidR="005F74D6" w:rsidRPr="00EF785B" w:rsidTr="00FA2C75">
        <w:tc>
          <w:tcPr>
            <w:tcW w:w="4219" w:type="dxa"/>
            <w:vAlign w:val="center"/>
          </w:tcPr>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Throughput</w:t>
            </w:r>
          </w:p>
        </w:tc>
        <w:tc>
          <w:tcPr>
            <w:tcW w:w="1843" w:type="dxa"/>
            <w:vAlign w:val="center"/>
          </w:tcPr>
          <w:p w:rsidR="005F74D6" w:rsidRDefault="005F74D6" w:rsidP="00FA2C75">
            <w:pPr>
              <w:spacing w:before="60" w:after="60"/>
              <w:jc w:val="center"/>
              <w:rPr>
                <w:rFonts w:ascii="Arial" w:hAnsi="Arial" w:cs="Arial"/>
                <w:b/>
                <w:sz w:val="20"/>
                <w:szCs w:val="20"/>
              </w:rPr>
            </w:pPr>
            <w:r>
              <w:rPr>
                <w:rFonts w:ascii="Arial" w:hAnsi="Arial" w:cs="Arial"/>
                <w:b/>
                <w:sz w:val="20"/>
                <w:szCs w:val="20"/>
              </w:rPr>
              <w:t>2015-16</w:t>
            </w:r>
          </w:p>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w:t>
            </w:r>
          </w:p>
        </w:tc>
        <w:tc>
          <w:tcPr>
            <w:tcW w:w="3969" w:type="dxa"/>
            <w:vAlign w:val="center"/>
          </w:tcPr>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Throughput</w:t>
            </w:r>
          </w:p>
        </w:tc>
        <w:tc>
          <w:tcPr>
            <w:tcW w:w="1725" w:type="dxa"/>
            <w:vAlign w:val="center"/>
          </w:tcPr>
          <w:p w:rsidR="005F74D6" w:rsidRDefault="005F74D6" w:rsidP="00FA2C75">
            <w:pPr>
              <w:spacing w:before="60" w:after="60"/>
              <w:jc w:val="center"/>
              <w:rPr>
                <w:rFonts w:ascii="Arial" w:hAnsi="Arial" w:cs="Arial"/>
                <w:b/>
                <w:sz w:val="20"/>
                <w:szCs w:val="20"/>
              </w:rPr>
            </w:pPr>
            <w:r w:rsidRPr="00EF785B">
              <w:rPr>
                <w:rFonts w:ascii="Arial" w:hAnsi="Arial" w:cs="Arial"/>
                <w:b/>
                <w:sz w:val="20"/>
                <w:szCs w:val="20"/>
              </w:rPr>
              <w:t>2016-17</w:t>
            </w:r>
          </w:p>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w:t>
            </w:r>
          </w:p>
        </w:tc>
        <w:tc>
          <w:tcPr>
            <w:tcW w:w="2418" w:type="dxa"/>
            <w:vAlign w:val="center"/>
          </w:tcPr>
          <w:p w:rsidR="005F74D6" w:rsidRDefault="005F74D6" w:rsidP="00FA2C75">
            <w:pPr>
              <w:spacing w:before="60" w:after="60"/>
              <w:jc w:val="center"/>
              <w:rPr>
                <w:rFonts w:ascii="Arial" w:hAnsi="Arial" w:cs="Arial"/>
                <w:b/>
                <w:sz w:val="20"/>
                <w:szCs w:val="20"/>
              </w:rPr>
            </w:pPr>
            <w:r>
              <w:rPr>
                <w:rFonts w:ascii="Arial" w:hAnsi="Arial" w:cs="Arial"/>
                <w:b/>
                <w:sz w:val="20"/>
                <w:szCs w:val="20"/>
              </w:rPr>
              <w:t>Increase</w:t>
            </w:r>
          </w:p>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w:t>
            </w:r>
          </w:p>
        </w:tc>
      </w:tr>
      <w:tr w:rsidR="005F74D6" w:rsidRPr="00EF785B" w:rsidTr="00FA2C75">
        <w:tc>
          <w:tcPr>
            <w:tcW w:w="421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Not applicable</w:t>
            </w:r>
          </w:p>
        </w:tc>
        <w:tc>
          <w:tcPr>
            <w:tcW w:w="1843"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615</w:t>
            </w:r>
          </w:p>
        </w:tc>
        <w:tc>
          <w:tcPr>
            <w:tcW w:w="396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Not applicable</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r>
    </w:tbl>
    <w:p w:rsidR="000E3EC7" w:rsidRDefault="000E3EC7" w:rsidP="002E7BBE">
      <w:pPr>
        <w:spacing w:after="0" w:line="240" w:lineRule="auto"/>
        <w:rPr>
          <w:rFonts w:ascii="Arial" w:hAnsi="Arial" w:cs="Arial"/>
          <w:b/>
          <w:sz w:val="20"/>
          <w:szCs w:val="20"/>
          <w:u w:val="single"/>
        </w:rPr>
      </w:pPr>
    </w:p>
    <w:p w:rsidR="00F27CDE" w:rsidRPr="003E36BB" w:rsidRDefault="00F27CDE" w:rsidP="00F27CDE">
      <w:pPr>
        <w:spacing w:after="0" w:line="240" w:lineRule="auto"/>
        <w:rPr>
          <w:rFonts w:ascii="Arial" w:hAnsi="Arial" w:cs="Arial"/>
          <w:sz w:val="18"/>
          <w:szCs w:val="18"/>
        </w:rPr>
      </w:pPr>
      <w:r w:rsidRPr="003E36BB">
        <w:rPr>
          <w:rFonts w:ascii="Arial" w:hAnsi="Arial" w:cs="Arial"/>
          <w:sz w:val="18"/>
          <w:szCs w:val="18"/>
        </w:rPr>
        <w:t xml:space="preserve">Note: </w:t>
      </w:r>
    </w:p>
    <w:p w:rsidR="00F27CDE" w:rsidRPr="003E36BB" w:rsidRDefault="007573C0" w:rsidP="00F27CDE">
      <w:pPr>
        <w:pStyle w:val="ListParagraph"/>
        <w:numPr>
          <w:ilvl w:val="0"/>
          <w:numId w:val="42"/>
        </w:numPr>
        <w:spacing w:after="0" w:line="240" w:lineRule="auto"/>
        <w:jc w:val="both"/>
        <w:rPr>
          <w:rFonts w:ascii="Arial" w:hAnsi="Arial" w:cs="Arial"/>
          <w:sz w:val="18"/>
          <w:szCs w:val="18"/>
        </w:rPr>
      </w:pPr>
      <w:r>
        <w:rPr>
          <w:rFonts w:ascii="Arial" w:hAnsi="Arial" w:cs="Arial"/>
          <w:sz w:val="18"/>
          <w:szCs w:val="18"/>
        </w:rPr>
        <w:t xml:space="preserve">* </w:t>
      </w:r>
      <w:r w:rsidR="00F27CDE" w:rsidRPr="003E36BB">
        <w:rPr>
          <w:rFonts w:ascii="Arial" w:hAnsi="Arial" w:cs="Arial"/>
          <w:sz w:val="18"/>
          <w:szCs w:val="18"/>
        </w:rPr>
        <w:t>For all fees listed as ‘To Be Determined’ (TBD), the existing fees payable by these licensees will be indexed from 1 July 2017 in line with the rate published by the Treasurer.</w:t>
      </w:r>
    </w:p>
    <w:p w:rsidR="00F27CDE" w:rsidRDefault="00F27CDE" w:rsidP="002E7BBE">
      <w:pPr>
        <w:spacing w:after="0" w:line="240" w:lineRule="auto"/>
        <w:rPr>
          <w:rFonts w:ascii="Arial" w:hAnsi="Arial" w:cs="Arial"/>
          <w:b/>
          <w:sz w:val="20"/>
          <w:szCs w:val="20"/>
          <w:u w:val="single"/>
        </w:rPr>
      </w:pPr>
    </w:p>
    <w:p w:rsidR="005F74D6" w:rsidRDefault="005F74D6" w:rsidP="002E7BBE">
      <w:pPr>
        <w:spacing w:after="0" w:line="240" w:lineRule="auto"/>
        <w:rPr>
          <w:rFonts w:ascii="Arial" w:hAnsi="Arial" w:cs="Arial"/>
          <w:b/>
          <w:sz w:val="20"/>
          <w:szCs w:val="20"/>
          <w:u w:val="single"/>
        </w:rPr>
      </w:pPr>
    </w:p>
    <w:p w:rsidR="005F74D6" w:rsidRDefault="005F74D6" w:rsidP="002E7BBE">
      <w:pPr>
        <w:spacing w:after="0" w:line="240" w:lineRule="auto"/>
        <w:rPr>
          <w:rFonts w:ascii="Arial" w:hAnsi="Arial" w:cs="Arial"/>
          <w:b/>
          <w:sz w:val="20"/>
          <w:szCs w:val="20"/>
          <w:u w:val="single"/>
        </w:rPr>
      </w:pPr>
    </w:p>
    <w:p w:rsidR="005F74D6" w:rsidRDefault="005F74D6" w:rsidP="002E7BBE">
      <w:pPr>
        <w:spacing w:after="0" w:line="240" w:lineRule="auto"/>
        <w:rPr>
          <w:rFonts w:ascii="Arial" w:hAnsi="Arial" w:cs="Arial"/>
          <w:b/>
          <w:sz w:val="20"/>
          <w:szCs w:val="20"/>
          <w:u w:val="single"/>
        </w:rPr>
      </w:pPr>
    </w:p>
    <w:p w:rsidR="005F74D6" w:rsidRDefault="005F74D6" w:rsidP="002E7BBE">
      <w:pPr>
        <w:spacing w:after="0" w:line="240" w:lineRule="auto"/>
        <w:rPr>
          <w:rFonts w:ascii="Arial" w:hAnsi="Arial" w:cs="Arial"/>
          <w:b/>
          <w:sz w:val="20"/>
          <w:szCs w:val="20"/>
          <w:u w:val="single"/>
        </w:rPr>
      </w:pPr>
    </w:p>
    <w:p w:rsidR="005F74D6" w:rsidRDefault="005F74D6" w:rsidP="002E7BBE">
      <w:pPr>
        <w:spacing w:after="0" w:line="240" w:lineRule="auto"/>
        <w:rPr>
          <w:rFonts w:ascii="Arial" w:hAnsi="Arial" w:cs="Arial"/>
          <w:b/>
          <w:sz w:val="20"/>
          <w:szCs w:val="20"/>
          <w:u w:val="single"/>
        </w:rPr>
      </w:pPr>
    </w:p>
    <w:p w:rsidR="005F74D6" w:rsidRDefault="005F74D6" w:rsidP="002E7BBE">
      <w:pPr>
        <w:spacing w:after="0" w:line="240" w:lineRule="auto"/>
        <w:rPr>
          <w:rFonts w:ascii="Arial" w:hAnsi="Arial" w:cs="Arial"/>
          <w:b/>
          <w:sz w:val="20"/>
          <w:szCs w:val="20"/>
          <w:u w:val="single"/>
        </w:rPr>
      </w:pPr>
    </w:p>
    <w:p w:rsidR="005F74D6" w:rsidRDefault="005F74D6" w:rsidP="002E7BBE">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4219"/>
        <w:gridCol w:w="1843"/>
        <w:gridCol w:w="3969"/>
        <w:gridCol w:w="1725"/>
        <w:gridCol w:w="2418"/>
      </w:tblGrid>
      <w:tr w:rsidR="005F74D6" w:rsidTr="00FA2C75">
        <w:tc>
          <w:tcPr>
            <w:tcW w:w="4219" w:type="dxa"/>
            <w:shd w:val="clear" w:color="auto" w:fill="F2F2F2" w:themeFill="background1" w:themeFillShade="F2"/>
            <w:vAlign w:val="center"/>
          </w:tcPr>
          <w:p w:rsidR="005F74D6" w:rsidRPr="00E87CBB" w:rsidRDefault="005F74D6" w:rsidP="00FA2C75">
            <w:pPr>
              <w:spacing w:before="60" w:after="60"/>
              <w:rPr>
                <w:rFonts w:ascii="Arial" w:hAnsi="Arial" w:cs="Arial"/>
                <w:b/>
                <w:sz w:val="20"/>
                <w:szCs w:val="20"/>
              </w:rPr>
            </w:pPr>
            <w:r>
              <w:rPr>
                <w:rFonts w:ascii="Arial" w:hAnsi="Arial" w:cs="Arial"/>
                <w:b/>
                <w:sz w:val="20"/>
                <w:szCs w:val="20"/>
              </w:rPr>
              <w:t>Seafood Wholesaler Category A</w:t>
            </w:r>
            <w:r w:rsidR="00BA4FA5">
              <w:rPr>
                <w:rFonts w:ascii="Arial" w:hAnsi="Arial" w:cs="Arial"/>
                <w:b/>
                <w:sz w:val="20"/>
                <w:szCs w:val="20"/>
              </w:rPr>
              <w:t xml:space="preserve"> </w:t>
            </w:r>
            <w:r w:rsidR="00BA4FA5" w:rsidRPr="00BA4FA5">
              <w:rPr>
                <w:rFonts w:ascii="Arial" w:hAnsi="Arial" w:cs="Arial"/>
                <w:b/>
                <w:sz w:val="20"/>
                <w:szCs w:val="20"/>
                <w:vertAlign w:val="superscript"/>
              </w:rPr>
              <w:t>#</w:t>
            </w:r>
          </w:p>
        </w:tc>
        <w:tc>
          <w:tcPr>
            <w:tcW w:w="1843" w:type="dxa"/>
            <w:shd w:val="clear" w:color="auto" w:fill="F2F2F2" w:themeFill="background1" w:themeFillShade="F2"/>
            <w:vAlign w:val="center"/>
          </w:tcPr>
          <w:p w:rsidR="005F74D6" w:rsidRPr="00EF785B" w:rsidRDefault="005F74D6" w:rsidP="00FA2C75">
            <w:pPr>
              <w:spacing w:before="60" w:after="60"/>
              <w:jc w:val="center"/>
              <w:rPr>
                <w:rFonts w:ascii="Arial" w:hAnsi="Arial" w:cs="Arial"/>
                <w:b/>
                <w:sz w:val="20"/>
                <w:szCs w:val="20"/>
              </w:rPr>
            </w:pPr>
            <w:r w:rsidRPr="00EF785B">
              <w:rPr>
                <w:rFonts w:ascii="Arial" w:hAnsi="Arial" w:cs="Arial"/>
                <w:b/>
                <w:sz w:val="20"/>
                <w:szCs w:val="20"/>
              </w:rPr>
              <w:t>Current</w:t>
            </w:r>
          </w:p>
        </w:tc>
        <w:tc>
          <w:tcPr>
            <w:tcW w:w="8112" w:type="dxa"/>
            <w:gridSpan w:val="3"/>
            <w:shd w:val="clear" w:color="auto" w:fill="F2F2F2" w:themeFill="background1" w:themeFillShade="F2"/>
            <w:vAlign w:val="center"/>
          </w:tcPr>
          <w:p w:rsidR="005F74D6" w:rsidRDefault="005F74D6" w:rsidP="00FA2C75">
            <w:pPr>
              <w:spacing w:before="60" w:after="60"/>
              <w:jc w:val="center"/>
              <w:rPr>
                <w:rFonts w:ascii="Arial" w:hAnsi="Arial" w:cs="Arial"/>
                <w:b/>
                <w:sz w:val="20"/>
                <w:szCs w:val="20"/>
                <w:u w:val="single"/>
              </w:rPr>
            </w:pPr>
            <w:r w:rsidRPr="00EF785B">
              <w:rPr>
                <w:rFonts w:ascii="Arial" w:hAnsi="Arial" w:cs="Arial"/>
                <w:b/>
                <w:sz w:val="20"/>
                <w:szCs w:val="20"/>
              </w:rPr>
              <w:t>Proposed</w:t>
            </w:r>
            <w:r w:rsidR="00F27CDE">
              <w:rPr>
                <w:rFonts w:ascii="Arial" w:hAnsi="Arial" w:cs="Arial"/>
                <w:b/>
                <w:sz w:val="20"/>
                <w:szCs w:val="20"/>
              </w:rPr>
              <w:t xml:space="preserve"> * </w:t>
            </w:r>
          </w:p>
        </w:tc>
      </w:tr>
      <w:tr w:rsidR="005F74D6" w:rsidRPr="00EF785B" w:rsidTr="00FA2C75">
        <w:tc>
          <w:tcPr>
            <w:tcW w:w="4219" w:type="dxa"/>
            <w:vAlign w:val="center"/>
          </w:tcPr>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Throughput</w:t>
            </w:r>
          </w:p>
        </w:tc>
        <w:tc>
          <w:tcPr>
            <w:tcW w:w="1843" w:type="dxa"/>
            <w:vAlign w:val="center"/>
          </w:tcPr>
          <w:p w:rsidR="005F74D6" w:rsidRDefault="005F74D6" w:rsidP="00FA2C75">
            <w:pPr>
              <w:spacing w:before="60" w:after="60"/>
              <w:jc w:val="center"/>
              <w:rPr>
                <w:rFonts w:ascii="Arial" w:hAnsi="Arial" w:cs="Arial"/>
                <w:b/>
                <w:sz w:val="20"/>
                <w:szCs w:val="20"/>
              </w:rPr>
            </w:pPr>
            <w:r>
              <w:rPr>
                <w:rFonts w:ascii="Arial" w:hAnsi="Arial" w:cs="Arial"/>
                <w:b/>
                <w:sz w:val="20"/>
                <w:szCs w:val="20"/>
              </w:rPr>
              <w:t>2015-16</w:t>
            </w:r>
          </w:p>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w:t>
            </w:r>
          </w:p>
        </w:tc>
        <w:tc>
          <w:tcPr>
            <w:tcW w:w="3969" w:type="dxa"/>
            <w:vAlign w:val="center"/>
          </w:tcPr>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Throughput</w:t>
            </w:r>
          </w:p>
        </w:tc>
        <w:tc>
          <w:tcPr>
            <w:tcW w:w="1725" w:type="dxa"/>
            <w:vAlign w:val="center"/>
          </w:tcPr>
          <w:p w:rsidR="005F74D6" w:rsidRDefault="005F74D6" w:rsidP="00FA2C75">
            <w:pPr>
              <w:spacing w:before="60" w:after="60"/>
              <w:jc w:val="center"/>
              <w:rPr>
                <w:rFonts w:ascii="Arial" w:hAnsi="Arial" w:cs="Arial"/>
                <w:b/>
                <w:sz w:val="20"/>
                <w:szCs w:val="20"/>
              </w:rPr>
            </w:pPr>
            <w:r w:rsidRPr="00EF785B">
              <w:rPr>
                <w:rFonts w:ascii="Arial" w:hAnsi="Arial" w:cs="Arial"/>
                <w:b/>
                <w:sz w:val="20"/>
                <w:szCs w:val="20"/>
              </w:rPr>
              <w:t>2016-17</w:t>
            </w:r>
          </w:p>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w:t>
            </w:r>
          </w:p>
        </w:tc>
        <w:tc>
          <w:tcPr>
            <w:tcW w:w="2418" w:type="dxa"/>
            <w:vAlign w:val="center"/>
          </w:tcPr>
          <w:p w:rsidR="005F74D6" w:rsidRDefault="005F74D6" w:rsidP="00FA2C75">
            <w:pPr>
              <w:spacing w:before="60" w:after="60"/>
              <w:jc w:val="center"/>
              <w:rPr>
                <w:rFonts w:ascii="Arial" w:hAnsi="Arial" w:cs="Arial"/>
                <w:b/>
                <w:sz w:val="20"/>
                <w:szCs w:val="20"/>
              </w:rPr>
            </w:pPr>
            <w:r>
              <w:rPr>
                <w:rFonts w:ascii="Arial" w:hAnsi="Arial" w:cs="Arial"/>
                <w:b/>
                <w:sz w:val="20"/>
                <w:szCs w:val="20"/>
              </w:rPr>
              <w:t>Increase</w:t>
            </w:r>
          </w:p>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w:t>
            </w:r>
          </w:p>
        </w:tc>
      </w:tr>
      <w:tr w:rsidR="005F74D6" w:rsidRPr="00EF785B" w:rsidTr="00FA2C75">
        <w:tc>
          <w:tcPr>
            <w:tcW w:w="4219" w:type="dxa"/>
            <w:vAlign w:val="center"/>
          </w:tcPr>
          <w:p w:rsidR="005F74D6" w:rsidRPr="00EF785B" w:rsidRDefault="005F74D6" w:rsidP="00FA2C75">
            <w:pPr>
              <w:rPr>
                <w:rFonts w:ascii="Arial" w:hAnsi="Arial" w:cs="Arial"/>
                <w:sz w:val="20"/>
                <w:szCs w:val="20"/>
              </w:rPr>
            </w:pPr>
            <w:r>
              <w:rPr>
                <w:rFonts w:ascii="Arial" w:hAnsi="Arial" w:cs="Arial"/>
                <w:sz w:val="20"/>
                <w:szCs w:val="20"/>
              </w:rPr>
              <w:t>Up to 200 tonnes</w:t>
            </w:r>
          </w:p>
        </w:tc>
        <w:tc>
          <w:tcPr>
            <w:tcW w:w="1843"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820</w:t>
            </w:r>
          </w:p>
        </w:tc>
        <w:tc>
          <w:tcPr>
            <w:tcW w:w="3969" w:type="dxa"/>
            <w:vAlign w:val="center"/>
          </w:tcPr>
          <w:p w:rsidR="005F74D6" w:rsidRPr="00EF785B" w:rsidRDefault="005F74D6" w:rsidP="00FA2C75">
            <w:pPr>
              <w:rPr>
                <w:rFonts w:ascii="Arial" w:hAnsi="Arial" w:cs="Arial"/>
                <w:sz w:val="20"/>
                <w:szCs w:val="20"/>
              </w:rPr>
            </w:pPr>
            <w:r>
              <w:rPr>
                <w:rFonts w:ascii="Arial" w:hAnsi="Arial" w:cs="Arial"/>
                <w:sz w:val="20"/>
                <w:szCs w:val="20"/>
              </w:rPr>
              <w:t>Up to 200 tonnes</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r>
      <w:tr w:rsidR="005F74D6" w:rsidRPr="00EF785B" w:rsidTr="00FA2C75">
        <w:tc>
          <w:tcPr>
            <w:tcW w:w="4219" w:type="dxa"/>
            <w:vAlign w:val="center"/>
          </w:tcPr>
          <w:p w:rsidR="005F74D6" w:rsidRPr="00EF785B" w:rsidRDefault="005F74D6" w:rsidP="00FA2C75">
            <w:pPr>
              <w:rPr>
                <w:rFonts w:ascii="Arial" w:hAnsi="Arial" w:cs="Arial"/>
                <w:sz w:val="20"/>
                <w:szCs w:val="20"/>
              </w:rPr>
            </w:pPr>
            <w:r>
              <w:rPr>
                <w:rFonts w:ascii="Arial" w:hAnsi="Arial" w:cs="Arial"/>
                <w:sz w:val="20"/>
                <w:szCs w:val="20"/>
              </w:rPr>
              <w:t>201 to 400 tonnes</w:t>
            </w:r>
          </w:p>
        </w:tc>
        <w:tc>
          <w:tcPr>
            <w:tcW w:w="1843"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1,232</w:t>
            </w:r>
          </w:p>
        </w:tc>
        <w:tc>
          <w:tcPr>
            <w:tcW w:w="3969" w:type="dxa"/>
            <w:vAlign w:val="center"/>
          </w:tcPr>
          <w:p w:rsidR="005F74D6" w:rsidRPr="00EF785B" w:rsidRDefault="005F74D6" w:rsidP="00FA2C75">
            <w:pPr>
              <w:rPr>
                <w:rFonts w:ascii="Arial" w:hAnsi="Arial" w:cs="Arial"/>
                <w:sz w:val="20"/>
                <w:szCs w:val="20"/>
              </w:rPr>
            </w:pPr>
            <w:r>
              <w:rPr>
                <w:rFonts w:ascii="Arial" w:hAnsi="Arial" w:cs="Arial"/>
                <w:sz w:val="20"/>
                <w:szCs w:val="20"/>
              </w:rPr>
              <w:t>201 to 400 tonnes</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r>
      <w:tr w:rsidR="005F74D6" w:rsidRPr="00EF785B" w:rsidTr="00FA2C75">
        <w:trPr>
          <w:trHeight w:val="70"/>
        </w:trPr>
        <w:tc>
          <w:tcPr>
            <w:tcW w:w="4219" w:type="dxa"/>
            <w:vAlign w:val="center"/>
          </w:tcPr>
          <w:p w:rsidR="005F74D6" w:rsidRDefault="005F74D6" w:rsidP="00FA2C75">
            <w:pPr>
              <w:rPr>
                <w:rFonts w:ascii="Arial" w:hAnsi="Arial" w:cs="Arial"/>
                <w:sz w:val="20"/>
                <w:szCs w:val="20"/>
              </w:rPr>
            </w:pPr>
            <w:r>
              <w:rPr>
                <w:rFonts w:ascii="Arial" w:hAnsi="Arial" w:cs="Arial"/>
                <w:sz w:val="20"/>
                <w:szCs w:val="20"/>
              </w:rPr>
              <w:t>401 to 1,000 tonnes</w:t>
            </w:r>
          </w:p>
        </w:tc>
        <w:tc>
          <w:tcPr>
            <w:tcW w:w="1843"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2,868</w:t>
            </w:r>
          </w:p>
        </w:tc>
        <w:tc>
          <w:tcPr>
            <w:tcW w:w="3969" w:type="dxa"/>
            <w:vAlign w:val="center"/>
          </w:tcPr>
          <w:p w:rsidR="005F74D6" w:rsidRDefault="005F74D6" w:rsidP="00FA2C75">
            <w:pPr>
              <w:rPr>
                <w:rFonts w:ascii="Arial" w:hAnsi="Arial" w:cs="Arial"/>
                <w:sz w:val="20"/>
                <w:szCs w:val="20"/>
              </w:rPr>
            </w:pPr>
            <w:r>
              <w:rPr>
                <w:rFonts w:ascii="Arial" w:hAnsi="Arial" w:cs="Arial"/>
                <w:sz w:val="20"/>
                <w:szCs w:val="20"/>
              </w:rPr>
              <w:t>401 to 1,000 tonnes</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r>
      <w:tr w:rsidR="005F74D6" w:rsidRPr="00EF785B" w:rsidTr="00FA2C75">
        <w:trPr>
          <w:trHeight w:val="70"/>
        </w:trPr>
        <w:tc>
          <w:tcPr>
            <w:tcW w:w="4219" w:type="dxa"/>
            <w:vAlign w:val="center"/>
          </w:tcPr>
          <w:p w:rsidR="005F74D6" w:rsidRDefault="005F74D6" w:rsidP="00FA2C75">
            <w:pPr>
              <w:rPr>
                <w:rFonts w:ascii="Arial" w:hAnsi="Arial" w:cs="Arial"/>
                <w:sz w:val="20"/>
                <w:szCs w:val="20"/>
              </w:rPr>
            </w:pPr>
            <w:r>
              <w:rPr>
                <w:rFonts w:ascii="Arial" w:hAnsi="Arial" w:cs="Arial"/>
                <w:sz w:val="20"/>
                <w:szCs w:val="20"/>
              </w:rPr>
              <w:t>1,001 to 2,000 tonnes</w:t>
            </w:r>
          </w:p>
        </w:tc>
        <w:tc>
          <w:tcPr>
            <w:tcW w:w="1843"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6,151</w:t>
            </w:r>
          </w:p>
        </w:tc>
        <w:tc>
          <w:tcPr>
            <w:tcW w:w="3969" w:type="dxa"/>
            <w:vAlign w:val="center"/>
          </w:tcPr>
          <w:p w:rsidR="005F74D6" w:rsidRDefault="005F74D6" w:rsidP="00FA2C75">
            <w:pPr>
              <w:rPr>
                <w:rFonts w:ascii="Arial" w:hAnsi="Arial" w:cs="Arial"/>
                <w:sz w:val="20"/>
                <w:szCs w:val="20"/>
              </w:rPr>
            </w:pPr>
            <w:r>
              <w:rPr>
                <w:rFonts w:ascii="Arial" w:hAnsi="Arial" w:cs="Arial"/>
                <w:sz w:val="20"/>
                <w:szCs w:val="20"/>
              </w:rPr>
              <w:t>1,001 to 2,000 tonnes</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r>
      <w:tr w:rsidR="005F74D6" w:rsidRPr="00EF785B" w:rsidTr="00FA2C75">
        <w:trPr>
          <w:trHeight w:val="70"/>
        </w:trPr>
        <w:tc>
          <w:tcPr>
            <w:tcW w:w="4219" w:type="dxa"/>
            <w:vAlign w:val="center"/>
          </w:tcPr>
          <w:p w:rsidR="005F74D6" w:rsidRDefault="005F74D6" w:rsidP="00FA2C75">
            <w:pPr>
              <w:rPr>
                <w:rFonts w:ascii="Arial" w:hAnsi="Arial" w:cs="Arial"/>
                <w:sz w:val="20"/>
                <w:szCs w:val="20"/>
              </w:rPr>
            </w:pPr>
            <w:r>
              <w:rPr>
                <w:rFonts w:ascii="Arial" w:hAnsi="Arial" w:cs="Arial"/>
                <w:sz w:val="20"/>
                <w:szCs w:val="20"/>
              </w:rPr>
              <w:t>Over 2,000 tonnes</w:t>
            </w:r>
          </w:p>
        </w:tc>
        <w:tc>
          <w:tcPr>
            <w:tcW w:w="1843"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8,199</w:t>
            </w:r>
          </w:p>
        </w:tc>
        <w:tc>
          <w:tcPr>
            <w:tcW w:w="3969" w:type="dxa"/>
            <w:vAlign w:val="center"/>
          </w:tcPr>
          <w:p w:rsidR="005F74D6" w:rsidRDefault="005F74D6" w:rsidP="00FA2C75">
            <w:pPr>
              <w:rPr>
                <w:rFonts w:ascii="Arial" w:hAnsi="Arial" w:cs="Arial"/>
                <w:sz w:val="20"/>
                <w:szCs w:val="20"/>
              </w:rPr>
            </w:pPr>
            <w:r>
              <w:rPr>
                <w:rFonts w:ascii="Arial" w:hAnsi="Arial" w:cs="Arial"/>
                <w:sz w:val="20"/>
                <w:szCs w:val="20"/>
              </w:rPr>
              <w:t>Over 2,000 tonnes</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r>
      <w:tr w:rsidR="005F74D6" w:rsidRPr="00EF785B" w:rsidTr="00FA2C75">
        <w:trPr>
          <w:trHeight w:val="70"/>
        </w:trPr>
        <w:tc>
          <w:tcPr>
            <w:tcW w:w="4219" w:type="dxa"/>
            <w:shd w:val="clear" w:color="auto" w:fill="F2F2F2" w:themeFill="background1" w:themeFillShade="F2"/>
            <w:vAlign w:val="center"/>
          </w:tcPr>
          <w:p w:rsidR="005F74D6" w:rsidRDefault="005F74D6" w:rsidP="00FA2C75">
            <w:pPr>
              <w:rPr>
                <w:rFonts w:ascii="Arial" w:hAnsi="Arial" w:cs="Arial"/>
                <w:sz w:val="20"/>
                <w:szCs w:val="20"/>
              </w:rPr>
            </w:pPr>
            <w:r>
              <w:rPr>
                <w:rFonts w:ascii="Arial" w:hAnsi="Arial" w:cs="Arial"/>
                <w:b/>
                <w:sz w:val="20"/>
                <w:szCs w:val="20"/>
              </w:rPr>
              <w:t>Seafood Wholesaler Category B</w:t>
            </w:r>
            <w:r w:rsidR="00BA4FA5">
              <w:rPr>
                <w:rFonts w:ascii="Arial" w:hAnsi="Arial" w:cs="Arial"/>
                <w:b/>
                <w:sz w:val="20"/>
                <w:szCs w:val="20"/>
              </w:rPr>
              <w:t xml:space="preserve"> </w:t>
            </w:r>
            <w:r w:rsidR="00BA4FA5" w:rsidRPr="00BA4FA5">
              <w:rPr>
                <w:rFonts w:ascii="Arial" w:hAnsi="Arial" w:cs="Arial"/>
                <w:b/>
                <w:sz w:val="20"/>
                <w:szCs w:val="20"/>
                <w:vertAlign w:val="superscript"/>
              </w:rPr>
              <w:t>#</w:t>
            </w:r>
          </w:p>
        </w:tc>
        <w:tc>
          <w:tcPr>
            <w:tcW w:w="1843" w:type="dxa"/>
            <w:shd w:val="clear" w:color="auto" w:fill="F2F2F2" w:themeFill="background1" w:themeFillShade="F2"/>
            <w:vAlign w:val="center"/>
          </w:tcPr>
          <w:p w:rsidR="005F74D6" w:rsidRPr="001137AC" w:rsidRDefault="005F74D6" w:rsidP="00FA2C75">
            <w:pPr>
              <w:spacing w:before="60" w:after="60"/>
              <w:jc w:val="center"/>
              <w:rPr>
                <w:rFonts w:ascii="Arial" w:hAnsi="Arial" w:cs="Arial"/>
                <w:b/>
                <w:sz w:val="20"/>
                <w:szCs w:val="20"/>
              </w:rPr>
            </w:pPr>
            <w:r w:rsidRPr="001137AC">
              <w:rPr>
                <w:rFonts w:ascii="Arial" w:hAnsi="Arial" w:cs="Arial"/>
                <w:b/>
                <w:sz w:val="20"/>
                <w:szCs w:val="20"/>
              </w:rPr>
              <w:t>Current</w:t>
            </w:r>
          </w:p>
        </w:tc>
        <w:tc>
          <w:tcPr>
            <w:tcW w:w="8112" w:type="dxa"/>
            <w:gridSpan w:val="3"/>
            <w:shd w:val="clear" w:color="auto" w:fill="F2F2F2" w:themeFill="background1" w:themeFillShade="F2"/>
            <w:vAlign w:val="center"/>
          </w:tcPr>
          <w:p w:rsidR="005F74D6" w:rsidRPr="00EF785B" w:rsidRDefault="005F74D6" w:rsidP="00FA2C75">
            <w:pPr>
              <w:spacing w:before="60" w:after="60"/>
              <w:jc w:val="center"/>
              <w:rPr>
                <w:rFonts w:ascii="Arial" w:hAnsi="Arial" w:cs="Arial"/>
                <w:sz w:val="20"/>
                <w:szCs w:val="20"/>
              </w:rPr>
            </w:pPr>
            <w:r w:rsidRPr="00EF785B">
              <w:rPr>
                <w:rFonts w:ascii="Arial" w:hAnsi="Arial" w:cs="Arial"/>
                <w:b/>
                <w:sz w:val="20"/>
                <w:szCs w:val="20"/>
              </w:rPr>
              <w:t>Proposed</w:t>
            </w:r>
            <w:r w:rsidR="00F27CDE">
              <w:rPr>
                <w:rFonts w:ascii="Arial" w:hAnsi="Arial" w:cs="Arial"/>
                <w:b/>
                <w:sz w:val="20"/>
                <w:szCs w:val="20"/>
              </w:rPr>
              <w:t xml:space="preserve"> * </w:t>
            </w:r>
          </w:p>
        </w:tc>
      </w:tr>
      <w:tr w:rsidR="005F74D6" w:rsidRPr="00EF785B" w:rsidTr="00FA2C75">
        <w:trPr>
          <w:trHeight w:val="70"/>
        </w:trPr>
        <w:tc>
          <w:tcPr>
            <w:tcW w:w="4219" w:type="dxa"/>
            <w:vAlign w:val="center"/>
          </w:tcPr>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Throughput</w:t>
            </w:r>
          </w:p>
        </w:tc>
        <w:tc>
          <w:tcPr>
            <w:tcW w:w="1843" w:type="dxa"/>
            <w:vAlign w:val="center"/>
          </w:tcPr>
          <w:p w:rsidR="005F74D6" w:rsidRDefault="005F74D6" w:rsidP="00FA2C75">
            <w:pPr>
              <w:spacing w:before="60" w:after="60"/>
              <w:jc w:val="center"/>
              <w:rPr>
                <w:rFonts w:ascii="Arial" w:hAnsi="Arial" w:cs="Arial"/>
                <w:b/>
                <w:sz w:val="20"/>
                <w:szCs w:val="20"/>
              </w:rPr>
            </w:pPr>
            <w:r>
              <w:rPr>
                <w:rFonts w:ascii="Arial" w:hAnsi="Arial" w:cs="Arial"/>
                <w:b/>
                <w:sz w:val="20"/>
                <w:szCs w:val="20"/>
              </w:rPr>
              <w:t>2015-16</w:t>
            </w:r>
          </w:p>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w:t>
            </w:r>
          </w:p>
        </w:tc>
        <w:tc>
          <w:tcPr>
            <w:tcW w:w="3969" w:type="dxa"/>
            <w:vAlign w:val="center"/>
          </w:tcPr>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Throughput</w:t>
            </w:r>
          </w:p>
        </w:tc>
        <w:tc>
          <w:tcPr>
            <w:tcW w:w="1725" w:type="dxa"/>
            <w:vAlign w:val="center"/>
          </w:tcPr>
          <w:p w:rsidR="005F74D6" w:rsidRDefault="005F74D6" w:rsidP="00FA2C75">
            <w:pPr>
              <w:spacing w:before="60" w:after="60"/>
              <w:jc w:val="center"/>
              <w:rPr>
                <w:rFonts w:ascii="Arial" w:hAnsi="Arial" w:cs="Arial"/>
                <w:b/>
                <w:sz w:val="20"/>
                <w:szCs w:val="20"/>
              </w:rPr>
            </w:pPr>
            <w:r w:rsidRPr="00EF785B">
              <w:rPr>
                <w:rFonts w:ascii="Arial" w:hAnsi="Arial" w:cs="Arial"/>
                <w:b/>
                <w:sz w:val="20"/>
                <w:szCs w:val="20"/>
              </w:rPr>
              <w:t>2016-17</w:t>
            </w:r>
          </w:p>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w:t>
            </w:r>
          </w:p>
        </w:tc>
        <w:tc>
          <w:tcPr>
            <w:tcW w:w="2418" w:type="dxa"/>
            <w:vAlign w:val="center"/>
          </w:tcPr>
          <w:p w:rsidR="005F74D6" w:rsidRDefault="005F74D6" w:rsidP="00FA2C75">
            <w:pPr>
              <w:spacing w:before="60" w:after="60"/>
              <w:jc w:val="center"/>
              <w:rPr>
                <w:rFonts w:ascii="Arial" w:hAnsi="Arial" w:cs="Arial"/>
                <w:b/>
                <w:sz w:val="20"/>
                <w:szCs w:val="20"/>
              </w:rPr>
            </w:pPr>
            <w:r>
              <w:rPr>
                <w:rFonts w:ascii="Arial" w:hAnsi="Arial" w:cs="Arial"/>
                <w:b/>
                <w:sz w:val="20"/>
                <w:szCs w:val="20"/>
              </w:rPr>
              <w:t>Increase</w:t>
            </w:r>
          </w:p>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w:t>
            </w:r>
          </w:p>
        </w:tc>
      </w:tr>
      <w:tr w:rsidR="005F74D6" w:rsidRPr="00EF785B" w:rsidTr="00FA2C75">
        <w:trPr>
          <w:trHeight w:val="70"/>
        </w:trPr>
        <w:tc>
          <w:tcPr>
            <w:tcW w:w="4219" w:type="dxa"/>
            <w:vAlign w:val="center"/>
          </w:tcPr>
          <w:p w:rsidR="005F74D6" w:rsidRPr="001137AC" w:rsidRDefault="005F74D6" w:rsidP="00FA2C75">
            <w:pPr>
              <w:spacing w:before="60" w:after="60"/>
              <w:rPr>
                <w:rFonts w:ascii="Arial" w:hAnsi="Arial" w:cs="Arial"/>
                <w:sz w:val="20"/>
                <w:szCs w:val="20"/>
              </w:rPr>
            </w:pPr>
            <w:r w:rsidRPr="001137AC">
              <w:rPr>
                <w:rFonts w:ascii="Arial" w:hAnsi="Arial" w:cs="Arial"/>
                <w:sz w:val="20"/>
                <w:szCs w:val="20"/>
              </w:rPr>
              <w:t>Up to 75 tonnes</w:t>
            </w:r>
          </w:p>
        </w:tc>
        <w:tc>
          <w:tcPr>
            <w:tcW w:w="1843"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820</w:t>
            </w:r>
          </w:p>
        </w:tc>
        <w:tc>
          <w:tcPr>
            <w:tcW w:w="3969" w:type="dxa"/>
            <w:vAlign w:val="center"/>
          </w:tcPr>
          <w:p w:rsidR="005F74D6" w:rsidRPr="001137AC" w:rsidRDefault="005F74D6" w:rsidP="00FA2C75">
            <w:pPr>
              <w:spacing w:before="60" w:after="60"/>
              <w:jc w:val="both"/>
              <w:rPr>
                <w:rFonts w:ascii="Arial" w:hAnsi="Arial" w:cs="Arial"/>
                <w:sz w:val="20"/>
                <w:szCs w:val="20"/>
              </w:rPr>
            </w:pPr>
            <w:r w:rsidRPr="001137AC">
              <w:rPr>
                <w:rFonts w:ascii="Arial" w:hAnsi="Arial" w:cs="Arial"/>
                <w:sz w:val="20"/>
                <w:szCs w:val="20"/>
              </w:rPr>
              <w:t>Up to 75 tonnes</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r>
      <w:tr w:rsidR="005F74D6" w:rsidRPr="00EF785B" w:rsidTr="00FA2C75">
        <w:trPr>
          <w:trHeight w:val="70"/>
        </w:trPr>
        <w:tc>
          <w:tcPr>
            <w:tcW w:w="421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76 to 150 tonnes</w:t>
            </w:r>
          </w:p>
        </w:tc>
        <w:tc>
          <w:tcPr>
            <w:tcW w:w="1843"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1,232</w:t>
            </w:r>
          </w:p>
        </w:tc>
        <w:tc>
          <w:tcPr>
            <w:tcW w:w="396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76 to 150 tonnes</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r>
      <w:tr w:rsidR="005F74D6" w:rsidRPr="00EF785B" w:rsidTr="00FA2C75">
        <w:trPr>
          <w:trHeight w:val="70"/>
        </w:trPr>
        <w:tc>
          <w:tcPr>
            <w:tcW w:w="421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151 to 350 tonnes</w:t>
            </w:r>
          </w:p>
        </w:tc>
        <w:tc>
          <w:tcPr>
            <w:tcW w:w="1843"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2,868</w:t>
            </w:r>
          </w:p>
        </w:tc>
        <w:tc>
          <w:tcPr>
            <w:tcW w:w="396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151 to 350 tonnes</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r>
      <w:tr w:rsidR="005F74D6" w:rsidRPr="00EF785B" w:rsidTr="00FA2C75">
        <w:trPr>
          <w:trHeight w:val="70"/>
        </w:trPr>
        <w:tc>
          <w:tcPr>
            <w:tcW w:w="421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351 to 700 tonnes</w:t>
            </w:r>
          </w:p>
        </w:tc>
        <w:tc>
          <w:tcPr>
            <w:tcW w:w="1843"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6,151</w:t>
            </w:r>
          </w:p>
        </w:tc>
        <w:tc>
          <w:tcPr>
            <w:tcW w:w="396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351 to 700 tonnes</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r>
      <w:tr w:rsidR="005F74D6" w:rsidRPr="00EF785B" w:rsidTr="00FA2C75">
        <w:trPr>
          <w:trHeight w:val="70"/>
        </w:trPr>
        <w:tc>
          <w:tcPr>
            <w:tcW w:w="421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Over 700 tonnes</w:t>
            </w:r>
          </w:p>
        </w:tc>
        <w:tc>
          <w:tcPr>
            <w:tcW w:w="1843"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8,199</w:t>
            </w:r>
          </w:p>
        </w:tc>
        <w:tc>
          <w:tcPr>
            <w:tcW w:w="396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Over 700 tonnes</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r>
    </w:tbl>
    <w:p w:rsidR="005F74D6" w:rsidRDefault="005F74D6" w:rsidP="002E7BBE">
      <w:pPr>
        <w:spacing w:after="0" w:line="240" w:lineRule="auto"/>
        <w:rPr>
          <w:rFonts w:ascii="Arial" w:hAnsi="Arial" w:cs="Arial"/>
          <w:b/>
          <w:sz w:val="20"/>
          <w:szCs w:val="20"/>
          <w:u w:val="single"/>
        </w:rPr>
      </w:pPr>
    </w:p>
    <w:p w:rsidR="005F74D6" w:rsidRPr="003E36BB" w:rsidRDefault="003E36BB" w:rsidP="002E7BBE">
      <w:pPr>
        <w:spacing w:after="0" w:line="240" w:lineRule="auto"/>
        <w:rPr>
          <w:rFonts w:ascii="Arial" w:hAnsi="Arial" w:cs="Arial"/>
          <w:sz w:val="18"/>
          <w:szCs w:val="18"/>
        </w:rPr>
      </w:pPr>
      <w:r w:rsidRPr="003E36BB">
        <w:rPr>
          <w:rFonts w:ascii="Arial" w:hAnsi="Arial" w:cs="Arial"/>
          <w:sz w:val="18"/>
          <w:szCs w:val="18"/>
        </w:rPr>
        <w:t xml:space="preserve">Note: </w:t>
      </w:r>
    </w:p>
    <w:p w:rsidR="003E36BB" w:rsidRDefault="007573C0" w:rsidP="003E36BB">
      <w:pPr>
        <w:pStyle w:val="ListParagraph"/>
        <w:numPr>
          <w:ilvl w:val="0"/>
          <w:numId w:val="42"/>
        </w:numPr>
        <w:spacing w:after="0" w:line="240" w:lineRule="auto"/>
        <w:jc w:val="both"/>
        <w:rPr>
          <w:rFonts w:ascii="Arial" w:hAnsi="Arial" w:cs="Arial"/>
          <w:sz w:val="18"/>
          <w:szCs w:val="18"/>
        </w:rPr>
      </w:pPr>
      <w:r>
        <w:rPr>
          <w:rFonts w:ascii="Arial" w:hAnsi="Arial" w:cs="Arial"/>
          <w:sz w:val="18"/>
          <w:szCs w:val="18"/>
        </w:rPr>
        <w:t xml:space="preserve">* </w:t>
      </w:r>
      <w:r w:rsidR="003E36BB" w:rsidRPr="003E36BB">
        <w:rPr>
          <w:rFonts w:ascii="Arial" w:hAnsi="Arial" w:cs="Arial"/>
          <w:sz w:val="18"/>
          <w:szCs w:val="18"/>
        </w:rPr>
        <w:t>For all fees listed as ‘To Be Determined’ (TBD), the existing fees payable by these licensees will be indexed from 1 July 2017 in line with the rate published by the Treasurer.</w:t>
      </w:r>
    </w:p>
    <w:p w:rsidR="00BA4FA5" w:rsidRPr="003E36BB" w:rsidRDefault="00BA4FA5" w:rsidP="003E36BB">
      <w:pPr>
        <w:pStyle w:val="ListParagraph"/>
        <w:numPr>
          <w:ilvl w:val="0"/>
          <w:numId w:val="42"/>
        </w:numPr>
        <w:spacing w:after="0" w:line="240" w:lineRule="auto"/>
        <w:jc w:val="both"/>
        <w:rPr>
          <w:rFonts w:ascii="Arial" w:hAnsi="Arial" w:cs="Arial"/>
          <w:sz w:val="18"/>
          <w:szCs w:val="18"/>
        </w:rPr>
      </w:pPr>
      <w:r>
        <w:rPr>
          <w:rFonts w:ascii="Arial" w:hAnsi="Arial" w:cs="Arial"/>
          <w:sz w:val="18"/>
          <w:szCs w:val="18"/>
        </w:rPr>
        <w:t># Seafood processing facilities supervised by the Department of Agriculture (DA) where the DA accepts responsibility for all products placed on the domestic market will be required to pay a licence fee in accordance with the fee schedule up to a maximum fee of $1,850.</w:t>
      </w:r>
      <w:r w:rsidR="006E2019">
        <w:rPr>
          <w:rFonts w:ascii="Arial" w:hAnsi="Arial" w:cs="Arial"/>
          <w:sz w:val="18"/>
          <w:szCs w:val="18"/>
        </w:rPr>
        <w:t xml:space="preserve">  This fee cap would replace the existing fee cap of $1,566 applicable to these facilities.</w:t>
      </w:r>
    </w:p>
    <w:p w:rsidR="003E36BB" w:rsidRPr="003E36BB" w:rsidRDefault="003E36BB" w:rsidP="002E7BBE">
      <w:pPr>
        <w:spacing w:after="0" w:line="240" w:lineRule="auto"/>
        <w:rPr>
          <w:rFonts w:ascii="Arial" w:hAnsi="Arial" w:cs="Arial"/>
          <w:sz w:val="20"/>
          <w:szCs w:val="20"/>
        </w:rPr>
      </w:pPr>
    </w:p>
    <w:p w:rsidR="005F74D6" w:rsidRDefault="005F74D6" w:rsidP="002E7BBE">
      <w:pPr>
        <w:spacing w:after="0" w:line="240" w:lineRule="auto"/>
        <w:rPr>
          <w:rFonts w:ascii="Arial" w:hAnsi="Arial" w:cs="Arial"/>
          <w:b/>
          <w:sz w:val="20"/>
          <w:szCs w:val="20"/>
          <w:u w:val="single"/>
        </w:rPr>
      </w:pPr>
    </w:p>
    <w:p w:rsidR="005F74D6" w:rsidRDefault="005F74D6" w:rsidP="002E7BBE">
      <w:pPr>
        <w:spacing w:after="0" w:line="240" w:lineRule="auto"/>
        <w:rPr>
          <w:rFonts w:ascii="Arial" w:hAnsi="Arial" w:cs="Arial"/>
          <w:b/>
          <w:sz w:val="20"/>
          <w:szCs w:val="20"/>
          <w:u w:val="single"/>
        </w:rPr>
      </w:pPr>
    </w:p>
    <w:p w:rsidR="005F74D6" w:rsidRDefault="005F74D6" w:rsidP="002E7BBE">
      <w:pPr>
        <w:spacing w:after="0" w:line="240" w:lineRule="auto"/>
        <w:rPr>
          <w:rFonts w:ascii="Arial" w:hAnsi="Arial" w:cs="Arial"/>
          <w:b/>
          <w:sz w:val="20"/>
          <w:szCs w:val="20"/>
          <w:u w:val="single"/>
        </w:rPr>
      </w:pPr>
    </w:p>
    <w:p w:rsidR="005F74D6" w:rsidRDefault="005F74D6" w:rsidP="002E7BBE">
      <w:pPr>
        <w:spacing w:after="0" w:line="240" w:lineRule="auto"/>
        <w:rPr>
          <w:rFonts w:ascii="Arial" w:hAnsi="Arial" w:cs="Arial"/>
          <w:b/>
          <w:sz w:val="20"/>
          <w:szCs w:val="20"/>
          <w:u w:val="single"/>
        </w:rPr>
      </w:pPr>
    </w:p>
    <w:p w:rsidR="005F74D6" w:rsidRDefault="005F74D6" w:rsidP="002E7BBE">
      <w:pPr>
        <w:spacing w:after="0" w:line="240" w:lineRule="auto"/>
        <w:rPr>
          <w:rFonts w:ascii="Arial" w:hAnsi="Arial" w:cs="Arial"/>
          <w:b/>
          <w:sz w:val="20"/>
          <w:szCs w:val="20"/>
          <w:u w:val="single"/>
        </w:rPr>
      </w:pPr>
    </w:p>
    <w:p w:rsidR="005F74D6" w:rsidRDefault="005F74D6" w:rsidP="002E7BBE">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4219"/>
        <w:gridCol w:w="1843"/>
        <w:gridCol w:w="3969"/>
        <w:gridCol w:w="1725"/>
        <w:gridCol w:w="2418"/>
      </w:tblGrid>
      <w:tr w:rsidR="005F74D6" w:rsidTr="00FA2C75">
        <w:tc>
          <w:tcPr>
            <w:tcW w:w="4219" w:type="dxa"/>
            <w:shd w:val="clear" w:color="auto" w:fill="F2F2F2" w:themeFill="background1" w:themeFillShade="F2"/>
            <w:vAlign w:val="center"/>
          </w:tcPr>
          <w:p w:rsidR="005F74D6" w:rsidRPr="00E87CBB" w:rsidRDefault="005F74D6" w:rsidP="00FA2C75">
            <w:pPr>
              <w:spacing w:before="60" w:after="60"/>
              <w:rPr>
                <w:rFonts w:ascii="Arial" w:hAnsi="Arial" w:cs="Arial"/>
                <w:b/>
                <w:sz w:val="20"/>
                <w:szCs w:val="20"/>
              </w:rPr>
            </w:pPr>
            <w:r>
              <w:rPr>
                <w:rFonts w:ascii="Arial" w:hAnsi="Arial" w:cs="Arial"/>
                <w:b/>
                <w:sz w:val="20"/>
                <w:szCs w:val="20"/>
              </w:rPr>
              <w:t>Seafood Processor Category A</w:t>
            </w:r>
            <w:r w:rsidR="00AD1DDF">
              <w:rPr>
                <w:rFonts w:ascii="Arial" w:hAnsi="Arial" w:cs="Arial"/>
                <w:b/>
                <w:sz w:val="20"/>
                <w:szCs w:val="20"/>
              </w:rPr>
              <w:t xml:space="preserve"> </w:t>
            </w:r>
            <w:r w:rsidR="00AD1DDF" w:rsidRPr="00AD1DDF">
              <w:rPr>
                <w:rFonts w:ascii="Arial" w:hAnsi="Arial" w:cs="Arial"/>
                <w:b/>
                <w:sz w:val="20"/>
                <w:szCs w:val="20"/>
                <w:vertAlign w:val="superscript"/>
              </w:rPr>
              <w:t>#</w:t>
            </w:r>
          </w:p>
        </w:tc>
        <w:tc>
          <w:tcPr>
            <w:tcW w:w="1843" w:type="dxa"/>
            <w:shd w:val="clear" w:color="auto" w:fill="F2F2F2" w:themeFill="background1" w:themeFillShade="F2"/>
            <w:vAlign w:val="center"/>
          </w:tcPr>
          <w:p w:rsidR="005F74D6" w:rsidRPr="00EF785B" w:rsidRDefault="005F74D6" w:rsidP="00FA2C75">
            <w:pPr>
              <w:spacing w:before="60" w:after="60"/>
              <w:jc w:val="center"/>
              <w:rPr>
                <w:rFonts w:ascii="Arial" w:hAnsi="Arial" w:cs="Arial"/>
                <w:b/>
                <w:sz w:val="20"/>
                <w:szCs w:val="20"/>
              </w:rPr>
            </w:pPr>
            <w:r w:rsidRPr="00EF785B">
              <w:rPr>
                <w:rFonts w:ascii="Arial" w:hAnsi="Arial" w:cs="Arial"/>
                <w:b/>
                <w:sz w:val="20"/>
                <w:szCs w:val="20"/>
              </w:rPr>
              <w:t>Current</w:t>
            </w:r>
          </w:p>
        </w:tc>
        <w:tc>
          <w:tcPr>
            <w:tcW w:w="8112" w:type="dxa"/>
            <w:gridSpan w:val="3"/>
            <w:shd w:val="clear" w:color="auto" w:fill="F2F2F2" w:themeFill="background1" w:themeFillShade="F2"/>
            <w:vAlign w:val="center"/>
          </w:tcPr>
          <w:p w:rsidR="005F74D6" w:rsidRDefault="005F74D6" w:rsidP="00FA2C75">
            <w:pPr>
              <w:spacing w:before="60" w:after="60"/>
              <w:jc w:val="center"/>
              <w:rPr>
                <w:rFonts w:ascii="Arial" w:hAnsi="Arial" w:cs="Arial"/>
                <w:b/>
                <w:sz w:val="20"/>
                <w:szCs w:val="20"/>
                <w:u w:val="single"/>
              </w:rPr>
            </w:pPr>
            <w:r w:rsidRPr="00EF785B">
              <w:rPr>
                <w:rFonts w:ascii="Arial" w:hAnsi="Arial" w:cs="Arial"/>
                <w:b/>
                <w:sz w:val="20"/>
                <w:szCs w:val="20"/>
              </w:rPr>
              <w:t>Proposed</w:t>
            </w:r>
            <w:r w:rsidR="00F27CDE">
              <w:rPr>
                <w:rFonts w:ascii="Arial" w:hAnsi="Arial" w:cs="Arial"/>
                <w:b/>
                <w:sz w:val="20"/>
                <w:szCs w:val="20"/>
              </w:rPr>
              <w:t xml:space="preserve"> * </w:t>
            </w:r>
          </w:p>
        </w:tc>
      </w:tr>
      <w:tr w:rsidR="005F74D6" w:rsidRPr="00EF785B" w:rsidTr="00FA2C75">
        <w:tc>
          <w:tcPr>
            <w:tcW w:w="4219" w:type="dxa"/>
            <w:vAlign w:val="center"/>
          </w:tcPr>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Throughput</w:t>
            </w:r>
          </w:p>
        </w:tc>
        <w:tc>
          <w:tcPr>
            <w:tcW w:w="1843" w:type="dxa"/>
            <w:vAlign w:val="center"/>
          </w:tcPr>
          <w:p w:rsidR="005F74D6" w:rsidRDefault="005F74D6" w:rsidP="00FA2C75">
            <w:pPr>
              <w:spacing w:before="60" w:after="60"/>
              <w:jc w:val="center"/>
              <w:rPr>
                <w:rFonts w:ascii="Arial" w:hAnsi="Arial" w:cs="Arial"/>
                <w:b/>
                <w:sz w:val="20"/>
                <w:szCs w:val="20"/>
              </w:rPr>
            </w:pPr>
            <w:r>
              <w:rPr>
                <w:rFonts w:ascii="Arial" w:hAnsi="Arial" w:cs="Arial"/>
                <w:b/>
                <w:sz w:val="20"/>
                <w:szCs w:val="20"/>
              </w:rPr>
              <w:t>2015-16</w:t>
            </w:r>
          </w:p>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w:t>
            </w:r>
          </w:p>
        </w:tc>
        <w:tc>
          <w:tcPr>
            <w:tcW w:w="3969" w:type="dxa"/>
            <w:vAlign w:val="center"/>
          </w:tcPr>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Throughput</w:t>
            </w:r>
          </w:p>
        </w:tc>
        <w:tc>
          <w:tcPr>
            <w:tcW w:w="1725" w:type="dxa"/>
            <w:vAlign w:val="center"/>
          </w:tcPr>
          <w:p w:rsidR="005F74D6" w:rsidRDefault="005F74D6" w:rsidP="00FA2C75">
            <w:pPr>
              <w:spacing w:before="60" w:after="60"/>
              <w:jc w:val="center"/>
              <w:rPr>
                <w:rFonts w:ascii="Arial" w:hAnsi="Arial" w:cs="Arial"/>
                <w:b/>
                <w:sz w:val="20"/>
                <w:szCs w:val="20"/>
              </w:rPr>
            </w:pPr>
            <w:r w:rsidRPr="00EF785B">
              <w:rPr>
                <w:rFonts w:ascii="Arial" w:hAnsi="Arial" w:cs="Arial"/>
                <w:b/>
                <w:sz w:val="20"/>
                <w:szCs w:val="20"/>
              </w:rPr>
              <w:t>2016-17</w:t>
            </w:r>
          </w:p>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w:t>
            </w:r>
          </w:p>
        </w:tc>
        <w:tc>
          <w:tcPr>
            <w:tcW w:w="2418" w:type="dxa"/>
            <w:vAlign w:val="center"/>
          </w:tcPr>
          <w:p w:rsidR="005F74D6" w:rsidRDefault="005F74D6" w:rsidP="00FA2C75">
            <w:pPr>
              <w:spacing w:before="60" w:after="60"/>
              <w:jc w:val="center"/>
              <w:rPr>
                <w:rFonts w:ascii="Arial" w:hAnsi="Arial" w:cs="Arial"/>
                <w:b/>
                <w:sz w:val="20"/>
                <w:szCs w:val="20"/>
              </w:rPr>
            </w:pPr>
            <w:r>
              <w:rPr>
                <w:rFonts w:ascii="Arial" w:hAnsi="Arial" w:cs="Arial"/>
                <w:b/>
                <w:sz w:val="20"/>
                <w:szCs w:val="20"/>
              </w:rPr>
              <w:t>Increase</w:t>
            </w:r>
          </w:p>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w:t>
            </w:r>
          </w:p>
        </w:tc>
      </w:tr>
      <w:tr w:rsidR="005F74D6" w:rsidRPr="00EF785B" w:rsidTr="00FA2C75">
        <w:tc>
          <w:tcPr>
            <w:tcW w:w="4219" w:type="dxa"/>
            <w:vAlign w:val="center"/>
          </w:tcPr>
          <w:p w:rsidR="005F74D6" w:rsidRPr="00EF785B" w:rsidRDefault="005F74D6" w:rsidP="00FA2C75">
            <w:pPr>
              <w:rPr>
                <w:rFonts w:ascii="Arial" w:hAnsi="Arial" w:cs="Arial"/>
                <w:sz w:val="20"/>
                <w:szCs w:val="20"/>
              </w:rPr>
            </w:pPr>
            <w:r>
              <w:rPr>
                <w:rFonts w:ascii="Arial" w:hAnsi="Arial" w:cs="Arial"/>
                <w:sz w:val="20"/>
                <w:szCs w:val="20"/>
              </w:rPr>
              <w:t>Up to 150 tonnes</w:t>
            </w:r>
          </w:p>
        </w:tc>
        <w:tc>
          <w:tcPr>
            <w:tcW w:w="1843"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820</w:t>
            </w:r>
          </w:p>
        </w:tc>
        <w:tc>
          <w:tcPr>
            <w:tcW w:w="3969" w:type="dxa"/>
            <w:vAlign w:val="center"/>
          </w:tcPr>
          <w:p w:rsidR="005F74D6" w:rsidRPr="00EF785B" w:rsidRDefault="005F74D6" w:rsidP="00FA2C75">
            <w:pPr>
              <w:rPr>
                <w:rFonts w:ascii="Arial" w:hAnsi="Arial" w:cs="Arial"/>
                <w:sz w:val="20"/>
                <w:szCs w:val="20"/>
              </w:rPr>
            </w:pPr>
            <w:r>
              <w:rPr>
                <w:rFonts w:ascii="Arial" w:hAnsi="Arial" w:cs="Arial"/>
                <w:sz w:val="20"/>
                <w:szCs w:val="20"/>
              </w:rPr>
              <w:t>Up to 150 tonnes</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r>
      <w:tr w:rsidR="005F74D6" w:rsidRPr="00EF785B" w:rsidTr="00FA2C75">
        <w:tc>
          <w:tcPr>
            <w:tcW w:w="4219" w:type="dxa"/>
            <w:vAlign w:val="center"/>
          </w:tcPr>
          <w:p w:rsidR="005F74D6" w:rsidRPr="00EF785B" w:rsidRDefault="005F74D6" w:rsidP="00FA2C75">
            <w:pPr>
              <w:rPr>
                <w:rFonts w:ascii="Arial" w:hAnsi="Arial" w:cs="Arial"/>
                <w:sz w:val="20"/>
                <w:szCs w:val="20"/>
              </w:rPr>
            </w:pPr>
            <w:r>
              <w:rPr>
                <w:rFonts w:ascii="Arial" w:hAnsi="Arial" w:cs="Arial"/>
                <w:sz w:val="20"/>
                <w:szCs w:val="20"/>
              </w:rPr>
              <w:t>151 to 300 tonnes</w:t>
            </w:r>
          </w:p>
        </w:tc>
        <w:tc>
          <w:tcPr>
            <w:tcW w:w="1843"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1,232</w:t>
            </w:r>
          </w:p>
        </w:tc>
        <w:tc>
          <w:tcPr>
            <w:tcW w:w="3969" w:type="dxa"/>
            <w:vAlign w:val="center"/>
          </w:tcPr>
          <w:p w:rsidR="005F74D6" w:rsidRPr="00EF785B" w:rsidRDefault="005F74D6" w:rsidP="00FA2C75">
            <w:pPr>
              <w:rPr>
                <w:rFonts w:ascii="Arial" w:hAnsi="Arial" w:cs="Arial"/>
                <w:sz w:val="20"/>
                <w:szCs w:val="20"/>
              </w:rPr>
            </w:pPr>
            <w:r>
              <w:rPr>
                <w:rFonts w:ascii="Arial" w:hAnsi="Arial" w:cs="Arial"/>
                <w:sz w:val="20"/>
                <w:szCs w:val="20"/>
              </w:rPr>
              <w:t>151 to 300 tonnes</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r>
      <w:tr w:rsidR="005F74D6" w:rsidRPr="00EF785B" w:rsidTr="00FA2C75">
        <w:trPr>
          <w:trHeight w:val="70"/>
        </w:trPr>
        <w:tc>
          <w:tcPr>
            <w:tcW w:w="4219" w:type="dxa"/>
            <w:vAlign w:val="center"/>
          </w:tcPr>
          <w:p w:rsidR="005F74D6" w:rsidRDefault="005F74D6" w:rsidP="00FA2C75">
            <w:pPr>
              <w:rPr>
                <w:rFonts w:ascii="Arial" w:hAnsi="Arial" w:cs="Arial"/>
                <w:sz w:val="20"/>
                <w:szCs w:val="20"/>
              </w:rPr>
            </w:pPr>
            <w:r>
              <w:rPr>
                <w:rFonts w:ascii="Arial" w:hAnsi="Arial" w:cs="Arial"/>
                <w:sz w:val="20"/>
                <w:szCs w:val="20"/>
              </w:rPr>
              <w:t>301 to 750 tonnes</w:t>
            </w:r>
          </w:p>
        </w:tc>
        <w:tc>
          <w:tcPr>
            <w:tcW w:w="1843"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2,868</w:t>
            </w:r>
          </w:p>
        </w:tc>
        <w:tc>
          <w:tcPr>
            <w:tcW w:w="3969" w:type="dxa"/>
            <w:vAlign w:val="center"/>
          </w:tcPr>
          <w:p w:rsidR="005F74D6" w:rsidRDefault="005F74D6" w:rsidP="00FA2C75">
            <w:pPr>
              <w:rPr>
                <w:rFonts w:ascii="Arial" w:hAnsi="Arial" w:cs="Arial"/>
                <w:sz w:val="20"/>
                <w:szCs w:val="20"/>
              </w:rPr>
            </w:pPr>
            <w:r>
              <w:rPr>
                <w:rFonts w:ascii="Arial" w:hAnsi="Arial" w:cs="Arial"/>
                <w:sz w:val="20"/>
                <w:szCs w:val="20"/>
              </w:rPr>
              <w:t>301 to 750 tonnes</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r>
      <w:tr w:rsidR="005F74D6" w:rsidRPr="00EF785B" w:rsidTr="00FA2C75">
        <w:trPr>
          <w:trHeight w:val="70"/>
        </w:trPr>
        <w:tc>
          <w:tcPr>
            <w:tcW w:w="4219" w:type="dxa"/>
            <w:vAlign w:val="center"/>
          </w:tcPr>
          <w:p w:rsidR="005F74D6" w:rsidRDefault="005F74D6" w:rsidP="00FA2C75">
            <w:pPr>
              <w:rPr>
                <w:rFonts w:ascii="Arial" w:hAnsi="Arial" w:cs="Arial"/>
                <w:sz w:val="20"/>
                <w:szCs w:val="20"/>
              </w:rPr>
            </w:pPr>
            <w:r>
              <w:rPr>
                <w:rFonts w:ascii="Arial" w:hAnsi="Arial" w:cs="Arial"/>
                <w:sz w:val="20"/>
                <w:szCs w:val="20"/>
              </w:rPr>
              <w:t>751 to 1,500 tonnes</w:t>
            </w:r>
          </w:p>
        </w:tc>
        <w:tc>
          <w:tcPr>
            <w:tcW w:w="1843"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6,151</w:t>
            </w:r>
          </w:p>
        </w:tc>
        <w:tc>
          <w:tcPr>
            <w:tcW w:w="3969" w:type="dxa"/>
            <w:vAlign w:val="center"/>
          </w:tcPr>
          <w:p w:rsidR="005F74D6" w:rsidRDefault="005F74D6" w:rsidP="00FA2C75">
            <w:pPr>
              <w:rPr>
                <w:rFonts w:ascii="Arial" w:hAnsi="Arial" w:cs="Arial"/>
                <w:sz w:val="20"/>
                <w:szCs w:val="20"/>
              </w:rPr>
            </w:pPr>
            <w:r>
              <w:rPr>
                <w:rFonts w:ascii="Arial" w:hAnsi="Arial" w:cs="Arial"/>
                <w:sz w:val="20"/>
                <w:szCs w:val="20"/>
              </w:rPr>
              <w:t>751 to 1,500 tonnes</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r>
      <w:tr w:rsidR="005F74D6" w:rsidRPr="00EF785B" w:rsidTr="00FA2C75">
        <w:trPr>
          <w:trHeight w:val="70"/>
        </w:trPr>
        <w:tc>
          <w:tcPr>
            <w:tcW w:w="4219" w:type="dxa"/>
            <w:vAlign w:val="center"/>
          </w:tcPr>
          <w:p w:rsidR="005F74D6" w:rsidRDefault="005F74D6" w:rsidP="00FA2C75">
            <w:pPr>
              <w:rPr>
                <w:rFonts w:ascii="Arial" w:hAnsi="Arial" w:cs="Arial"/>
                <w:sz w:val="20"/>
                <w:szCs w:val="20"/>
              </w:rPr>
            </w:pPr>
            <w:r>
              <w:rPr>
                <w:rFonts w:ascii="Arial" w:hAnsi="Arial" w:cs="Arial"/>
                <w:sz w:val="20"/>
                <w:szCs w:val="20"/>
              </w:rPr>
              <w:t>Over 1,500 tonnes</w:t>
            </w:r>
          </w:p>
        </w:tc>
        <w:tc>
          <w:tcPr>
            <w:tcW w:w="1843"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8,199</w:t>
            </w:r>
          </w:p>
        </w:tc>
        <w:tc>
          <w:tcPr>
            <w:tcW w:w="3969" w:type="dxa"/>
            <w:vAlign w:val="center"/>
          </w:tcPr>
          <w:p w:rsidR="005F74D6" w:rsidRDefault="005F74D6" w:rsidP="00FA2C75">
            <w:pPr>
              <w:rPr>
                <w:rFonts w:ascii="Arial" w:hAnsi="Arial" w:cs="Arial"/>
                <w:sz w:val="20"/>
                <w:szCs w:val="20"/>
              </w:rPr>
            </w:pPr>
            <w:r>
              <w:rPr>
                <w:rFonts w:ascii="Arial" w:hAnsi="Arial" w:cs="Arial"/>
                <w:sz w:val="20"/>
                <w:szCs w:val="20"/>
              </w:rPr>
              <w:t>Over 1,500 tonnes</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r>
      <w:tr w:rsidR="005F74D6" w:rsidRPr="00EF785B" w:rsidTr="00FA2C75">
        <w:trPr>
          <w:trHeight w:val="70"/>
        </w:trPr>
        <w:tc>
          <w:tcPr>
            <w:tcW w:w="4219" w:type="dxa"/>
            <w:shd w:val="clear" w:color="auto" w:fill="F2F2F2" w:themeFill="background1" w:themeFillShade="F2"/>
            <w:vAlign w:val="center"/>
          </w:tcPr>
          <w:p w:rsidR="005F74D6" w:rsidRDefault="005F74D6" w:rsidP="00FA2C75">
            <w:pPr>
              <w:rPr>
                <w:rFonts w:ascii="Arial" w:hAnsi="Arial" w:cs="Arial"/>
                <w:sz w:val="20"/>
                <w:szCs w:val="20"/>
              </w:rPr>
            </w:pPr>
            <w:r>
              <w:rPr>
                <w:rFonts w:ascii="Arial" w:hAnsi="Arial" w:cs="Arial"/>
                <w:b/>
                <w:sz w:val="20"/>
                <w:szCs w:val="20"/>
              </w:rPr>
              <w:t>Seafood Processor Category B</w:t>
            </w:r>
            <w:r w:rsidR="00AD1DDF">
              <w:rPr>
                <w:rFonts w:ascii="Arial" w:hAnsi="Arial" w:cs="Arial"/>
                <w:b/>
                <w:sz w:val="20"/>
                <w:szCs w:val="20"/>
              </w:rPr>
              <w:t xml:space="preserve"> </w:t>
            </w:r>
            <w:r w:rsidR="00AD1DDF" w:rsidRPr="00AD1DDF">
              <w:rPr>
                <w:rFonts w:ascii="Arial" w:hAnsi="Arial" w:cs="Arial"/>
                <w:b/>
                <w:sz w:val="20"/>
                <w:szCs w:val="20"/>
                <w:vertAlign w:val="superscript"/>
              </w:rPr>
              <w:t>#</w:t>
            </w:r>
          </w:p>
        </w:tc>
        <w:tc>
          <w:tcPr>
            <w:tcW w:w="1843" w:type="dxa"/>
            <w:shd w:val="clear" w:color="auto" w:fill="F2F2F2" w:themeFill="background1" w:themeFillShade="F2"/>
            <w:vAlign w:val="center"/>
          </w:tcPr>
          <w:p w:rsidR="005F74D6" w:rsidRPr="001137AC" w:rsidRDefault="005F74D6" w:rsidP="00FA2C75">
            <w:pPr>
              <w:spacing w:before="60" w:after="60"/>
              <w:jc w:val="center"/>
              <w:rPr>
                <w:rFonts w:ascii="Arial" w:hAnsi="Arial" w:cs="Arial"/>
                <w:b/>
                <w:sz w:val="20"/>
                <w:szCs w:val="20"/>
              </w:rPr>
            </w:pPr>
            <w:r w:rsidRPr="001137AC">
              <w:rPr>
                <w:rFonts w:ascii="Arial" w:hAnsi="Arial" w:cs="Arial"/>
                <w:b/>
                <w:sz w:val="20"/>
                <w:szCs w:val="20"/>
              </w:rPr>
              <w:t>Current</w:t>
            </w:r>
          </w:p>
        </w:tc>
        <w:tc>
          <w:tcPr>
            <w:tcW w:w="8112" w:type="dxa"/>
            <w:gridSpan w:val="3"/>
            <w:shd w:val="clear" w:color="auto" w:fill="F2F2F2" w:themeFill="background1" w:themeFillShade="F2"/>
            <w:vAlign w:val="center"/>
          </w:tcPr>
          <w:p w:rsidR="005F74D6" w:rsidRPr="00EF785B" w:rsidRDefault="005F74D6" w:rsidP="00FA2C75">
            <w:pPr>
              <w:spacing w:before="60" w:after="60"/>
              <w:jc w:val="center"/>
              <w:rPr>
                <w:rFonts w:ascii="Arial" w:hAnsi="Arial" w:cs="Arial"/>
                <w:sz w:val="20"/>
                <w:szCs w:val="20"/>
              </w:rPr>
            </w:pPr>
            <w:r w:rsidRPr="00EF785B">
              <w:rPr>
                <w:rFonts w:ascii="Arial" w:hAnsi="Arial" w:cs="Arial"/>
                <w:b/>
                <w:sz w:val="20"/>
                <w:szCs w:val="20"/>
              </w:rPr>
              <w:t>Proposed</w:t>
            </w:r>
            <w:r w:rsidR="00F27CDE">
              <w:rPr>
                <w:rFonts w:ascii="Arial" w:hAnsi="Arial" w:cs="Arial"/>
                <w:b/>
                <w:sz w:val="20"/>
                <w:szCs w:val="20"/>
              </w:rPr>
              <w:t xml:space="preserve"> *</w:t>
            </w:r>
          </w:p>
        </w:tc>
      </w:tr>
      <w:tr w:rsidR="005F74D6" w:rsidRPr="00EF785B" w:rsidTr="00FA2C75">
        <w:trPr>
          <w:trHeight w:val="70"/>
        </w:trPr>
        <w:tc>
          <w:tcPr>
            <w:tcW w:w="4219" w:type="dxa"/>
            <w:vAlign w:val="center"/>
          </w:tcPr>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Throughput</w:t>
            </w:r>
          </w:p>
        </w:tc>
        <w:tc>
          <w:tcPr>
            <w:tcW w:w="1843" w:type="dxa"/>
            <w:vAlign w:val="center"/>
          </w:tcPr>
          <w:p w:rsidR="005F74D6" w:rsidRDefault="005F74D6" w:rsidP="00FA2C75">
            <w:pPr>
              <w:spacing w:before="60" w:after="60"/>
              <w:jc w:val="center"/>
              <w:rPr>
                <w:rFonts w:ascii="Arial" w:hAnsi="Arial" w:cs="Arial"/>
                <w:b/>
                <w:sz w:val="20"/>
                <w:szCs w:val="20"/>
              </w:rPr>
            </w:pPr>
            <w:r>
              <w:rPr>
                <w:rFonts w:ascii="Arial" w:hAnsi="Arial" w:cs="Arial"/>
                <w:b/>
                <w:sz w:val="20"/>
                <w:szCs w:val="20"/>
              </w:rPr>
              <w:t>2015-16</w:t>
            </w:r>
          </w:p>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w:t>
            </w:r>
          </w:p>
        </w:tc>
        <w:tc>
          <w:tcPr>
            <w:tcW w:w="3969" w:type="dxa"/>
            <w:vAlign w:val="center"/>
          </w:tcPr>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Throughput</w:t>
            </w:r>
          </w:p>
        </w:tc>
        <w:tc>
          <w:tcPr>
            <w:tcW w:w="1725" w:type="dxa"/>
            <w:vAlign w:val="center"/>
          </w:tcPr>
          <w:p w:rsidR="005F74D6" w:rsidRDefault="005F74D6" w:rsidP="00FA2C75">
            <w:pPr>
              <w:spacing w:before="60" w:after="60"/>
              <w:jc w:val="center"/>
              <w:rPr>
                <w:rFonts w:ascii="Arial" w:hAnsi="Arial" w:cs="Arial"/>
                <w:b/>
                <w:sz w:val="20"/>
                <w:szCs w:val="20"/>
              </w:rPr>
            </w:pPr>
            <w:r w:rsidRPr="00EF785B">
              <w:rPr>
                <w:rFonts w:ascii="Arial" w:hAnsi="Arial" w:cs="Arial"/>
                <w:b/>
                <w:sz w:val="20"/>
                <w:szCs w:val="20"/>
              </w:rPr>
              <w:t>2016-17</w:t>
            </w:r>
          </w:p>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w:t>
            </w:r>
          </w:p>
        </w:tc>
        <w:tc>
          <w:tcPr>
            <w:tcW w:w="2418" w:type="dxa"/>
            <w:vAlign w:val="center"/>
          </w:tcPr>
          <w:p w:rsidR="005F74D6" w:rsidRDefault="005F74D6" w:rsidP="00FA2C75">
            <w:pPr>
              <w:spacing w:before="60" w:after="60"/>
              <w:jc w:val="center"/>
              <w:rPr>
                <w:rFonts w:ascii="Arial" w:hAnsi="Arial" w:cs="Arial"/>
                <w:b/>
                <w:sz w:val="20"/>
                <w:szCs w:val="20"/>
              </w:rPr>
            </w:pPr>
            <w:r>
              <w:rPr>
                <w:rFonts w:ascii="Arial" w:hAnsi="Arial" w:cs="Arial"/>
                <w:b/>
                <w:sz w:val="20"/>
                <w:szCs w:val="20"/>
              </w:rPr>
              <w:t>Increase</w:t>
            </w:r>
          </w:p>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w:t>
            </w:r>
          </w:p>
        </w:tc>
      </w:tr>
      <w:tr w:rsidR="005F74D6" w:rsidRPr="00EF785B" w:rsidTr="00FA2C75">
        <w:trPr>
          <w:trHeight w:val="70"/>
        </w:trPr>
        <w:tc>
          <w:tcPr>
            <w:tcW w:w="421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Up to 50 tonnes</w:t>
            </w:r>
          </w:p>
        </w:tc>
        <w:tc>
          <w:tcPr>
            <w:tcW w:w="1843"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820</w:t>
            </w:r>
          </w:p>
        </w:tc>
        <w:tc>
          <w:tcPr>
            <w:tcW w:w="396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Up to 50 tonnes</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r>
      <w:tr w:rsidR="005F74D6" w:rsidRPr="00EF785B" w:rsidTr="00FA2C75">
        <w:trPr>
          <w:trHeight w:val="70"/>
        </w:trPr>
        <w:tc>
          <w:tcPr>
            <w:tcW w:w="421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51 to 100 tonnes</w:t>
            </w:r>
          </w:p>
        </w:tc>
        <w:tc>
          <w:tcPr>
            <w:tcW w:w="1843"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1,232</w:t>
            </w:r>
          </w:p>
        </w:tc>
        <w:tc>
          <w:tcPr>
            <w:tcW w:w="396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51 to 100 tonnes</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r>
      <w:tr w:rsidR="005F74D6" w:rsidRPr="00EF785B" w:rsidTr="00FA2C75">
        <w:trPr>
          <w:trHeight w:val="70"/>
        </w:trPr>
        <w:tc>
          <w:tcPr>
            <w:tcW w:w="421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101 to 250 tonnes</w:t>
            </w:r>
          </w:p>
        </w:tc>
        <w:tc>
          <w:tcPr>
            <w:tcW w:w="1843"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2,868</w:t>
            </w:r>
          </w:p>
        </w:tc>
        <w:tc>
          <w:tcPr>
            <w:tcW w:w="396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101 to 250 tonnes</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r>
      <w:tr w:rsidR="005F74D6" w:rsidRPr="00EF785B" w:rsidTr="00FA2C75">
        <w:trPr>
          <w:trHeight w:val="70"/>
        </w:trPr>
        <w:tc>
          <w:tcPr>
            <w:tcW w:w="421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251 to 500 tonnes</w:t>
            </w:r>
          </w:p>
        </w:tc>
        <w:tc>
          <w:tcPr>
            <w:tcW w:w="1843"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6,151</w:t>
            </w:r>
          </w:p>
        </w:tc>
        <w:tc>
          <w:tcPr>
            <w:tcW w:w="396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251 to 500 tonnes</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r>
      <w:tr w:rsidR="005F74D6" w:rsidRPr="00EF785B" w:rsidTr="00FA2C75">
        <w:trPr>
          <w:trHeight w:val="70"/>
        </w:trPr>
        <w:tc>
          <w:tcPr>
            <w:tcW w:w="421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 xml:space="preserve">Over 500 tonnes </w:t>
            </w:r>
          </w:p>
        </w:tc>
        <w:tc>
          <w:tcPr>
            <w:tcW w:w="1843"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8,199</w:t>
            </w:r>
          </w:p>
        </w:tc>
        <w:tc>
          <w:tcPr>
            <w:tcW w:w="396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 xml:space="preserve">Over 500 tonnes </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r>
    </w:tbl>
    <w:p w:rsidR="005F74D6" w:rsidRDefault="005F74D6" w:rsidP="002E7BBE">
      <w:pPr>
        <w:spacing w:after="0" w:line="240" w:lineRule="auto"/>
        <w:rPr>
          <w:rFonts w:ascii="Arial" w:hAnsi="Arial" w:cs="Arial"/>
          <w:b/>
          <w:sz w:val="20"/>
          <w:szCs w:val="20"/>
          <w:u w:val="single"/>
        </w:rPr>
      </w:pPr>
    </w:p>
    <w:p w:rsidR="00E37E16" w:rsidRPr="003E36BB" w:rsidRDefault="00E37E16" w:rsidP="00E37E16">
      <w:pPr>
        <w:spacing w:after="0" w:line="240" w:lineRule="auto"/>
        <w:rPr>
          <w:rFonts w:ascii="Arial" w:hAnsi="Arial" w:cs="Arial"/>
          <w:sz w:val="18"/>
          <w:szCs w:val="18"/>
        </w:rPr>
      </w:pPr>
      <w:r w:rsidRPr="003E36BB">
        <w:rPr>
          <w:rFonts w:ascii="Arial" w:hAnsi="Arial" w:cs="Arial"/>
          <w:sz w:val="18"/>
          <w:szCs w:val="18"/>
        </w:rPr>
        <w:t xml:space="preserve">Note: </w:t>
      </w:r>
    </w:p>
    <w:p w:rsidR="00E37E16" w:rsidRDefault="007573C0" w:rsidP="00E37E16">
      <w:pPr>
        <w:pStyle w:val="ListParagraph"/>
        <w:numPr>
          <w:ilvl w:val="0"/>
          <w:numId w:val="42"/>
        </w:numPr>
        <w:spacing w:after="0" w:line="240" w:lineRule="auto"/>
        <w:jc w:val="both"/>
        <w:rPr>
          <w:rFonts w:ascii="Arial" w:hAnsi="Arial" w:cs="Arial"/>
          <w:sz w:val="18"/>
          <w:szCs w:val="18"/>
        </w:rPr>
      </w:pPr>
      <w:r>
        <w:rPr>
          <w:rFonts w:ascii="Arial" w:hAnsi="Arial" w:cs="Arial"/>
          <w:sz w:val="18"/>
          <w:szCs w:val="18"/>
        </w:rPr>
        <w:t xml:space="preserve">* </w:t>
      </w:r>
      <w:r w:rsidR="00E37E16" w:rsidRPr="003E36BB">
        <w:rPr>
          <w:rFonts w:ascii="Arial" w:hAnsi="Arial" w:cs="Arial"/>
          <w:sz w:val="18"/>
          <w:szCs w:val="18"/>
        </w:rPr>
        <w:t>For all fees listed as ‘To Be Determined’ (TBD), the existing fees payable by these licensees will be indexed from 1 July 2017 in line with the rate published by the Treasurer.</w:t>
      </w:r>
    </w:p>
    <w:p w:rsidR="00BA4FA5" w:rsidRPr="003E36BB" w:rsidRDefault="00BA4FA5" w:rsidP="00BA4FA5">
      <w:pPr>
        <w:pStyle w:val="ListParagraph"/>
        <w:numPr>
          <w:ilvl w:val="0"/>
          <w:numId w:val="42"/>
        </w:numPr>
        <w:spacing w:after="0" w:line="240" w:lineRule="auto"/>
        <w:jc w:val="both"/>
        <w:rPr>
          <w:rFonts w:ascii="Arial" w:hAnsi="Arial" w:cs="Arial"/>
          <w:sz w:val="18"/>
          <w:szCs w:val="18"/>
        </w:rPr>
      </w:pPr>
      <w:r>
        <w:rPr>
          <w:rFonts w:ascii="Arial" w:hAnsi="Arial" w:cs="Arial"/>
          <w:sz w:val="18"/>
          <w:szCs w:val="18"/>
        </w:rPr>
        <w:t># Seafood processing facilities supervised by the Department of Agriculture (DA) where the DA accepts responsibility for all products placed on the domestic market will be required to pay a licence fee in accordance with the fee schedule up to a maximum fee of $1,850.</w:t>
      </w:r>
    </w:p>
    <w:p w:rsidR="00BA4FA5" w:rsidRPr="00BA4FA5" w:rsidRDefault="00BA4FA5" w:rsidP="00BA4FA5">
      <w:pPr>
        <w:spacing w:after="0" w:line="240" w:lineRule="auto"/>
        <w:jc w:val="both"/>
        <w:rPr>
          <w:rFonts w:ascii="Arial" w:hAnsi="Arial" w:cs="Arial"/>
          <w:sz w:val="18"/>
          <w:szCs w:val="18"/>
        </w:rPr>
      </w:pPr>
    </w:p>
    <w:p w:rsidR="00E37E16" w:rsidRDefault="00E37E16" w:rsidP="002E7BBE">
      <w:pPr>
        <w:spacing w:after="0" w:line="240" w:lineRule="auto"/>
        <w:rPr>
          <w:rFonts w:ascii="Arial" w:hAnsi="Arial" w:cs="Arial"/>
          <w:b/>
          <w:sz w:val="20"/>
          <w:szCs w:val="20"/>
          <w:u w:val="single"/>
        </w:rPr>
      </w:pPr>
    </w:p>
    <w:p w:rsidR="005F74D6" w:rsidRDefault="005F74D6" w:rsidP="002E7BBE">
      <w:pPr>
        <w:spacing w:after="0" w:line="240" w:lineRule="auto"/>
        <w:rPr>
          <w:rFonts w:ascii="Arial" w:hAnsi="Arial" w:cs="Arial"/>
          <w:b/>
          <w:sz w:val="20"/>
          <w:szCs w:val="20"/>
          <w:u w:val="single"/>
        </w:rPr>
      </w:pPr>
    </w:p>
    <w:p w:rsidR="005F74D6" w:rsidRDefault="005F74D6" w:rsidP="002E7BBE">
      <w:pPr>
        <w:spacing w:after="0" w:line="240" w:lineRule="auto"/>
        <w:rPr>
          <w:rFonts w:ascii="Arial" w:hAnsi="Arial" w:cs="Arial"/>
          <w:b/>
          <w:sz w:val="20"/>
          <w:szCs w:val="20"/>
          <w:u w:val="single"/>
        </w:rPr>
      </w:pPr>
    </w:p>
    <w:p w:rsidR="005F74D6" w:rsidRDefault="005F74D6" w:rsidP="002E7BBE">
      <w:pPr>
        <w:spacing w:after="0" w:line="240" w:lineRule="auto"/>
        <w:rPr>
          <w:rFonts w:ascii="Arial" w:hAnsi="Arial" w:cs="Arial"/>
          <w:b/>
          <w:sz w:val="20"/>
          <w:szCs w:val="20"/>
          <w:u w:val="single"/>
        </w:rPr>
      </w:pPr>
    </w:p>
    <w:p w:rsidR="005F74D6" w:rsidRDefault="005F74D6" w:rsidP="002E7BBE">
      <w:pPr>
        <w:spacing w:after="0" w:line="240" w:lineRule="auto"/>
        <w:rPr>
          <w:rFonts w:ascii="Arial" w:hAnsi="Arial" w:cs="Arial"/>
          <w:b/>
          <w:sz w:val="20"/>
          <w:szCs w:val="20"/>
          <w:u w:val="single"/>
        </w:rPr>
      </w:pPr>
    </w:p>
    <w:p w:rsidR="005F74D6" w:rsidRDefault="005F74D6" w:rsidP="002E7BBE">
      <w:pPr>
        <w:spacing w:after="0" w:line="240" w:lineRule="auto"/>
        <w:rPr>
          <w:rFonts w:ascii="Arial" w:hAnsi="Arial" w:cs="Arial"/>
          <w:b/>
          <w:sz w:val="20"/>
          <w:szCs w:val="20"/>
          <w:u w:val="single"/>
        </w:rPr>
      </w:pPr>
    </w:p>
    <w:p w:rsidR="005F74D6" w:rsidRDefault="005F74D6" w:rsidP="002E7BBE">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4219"/>
        <w:gridCol w:w="1843"/>
        <w:gridCol w:w="3969"/>
        <w:gridCol w:w="1725"/>
        <w:gridCol w:w="2418"/>
      </w:tblGrid>
      <w:tr w:rsidR="005F74D6" w:rsidTr="00FA2C75">
        <w:tc>
          <w:tcPr>
            <w:tcW w:w="4219" w:type="dxa"/>
            <w:shd w:val="clear" w:color="auto" w:fill="F2F2F2" w:themeFill="background1" w:themeFillShade="F2"/>
            <w:vAlign w:val="center"/>
          </w:tcPr>
          <w:p w:rsidR="005F74D6" w:rsidRPr="00E87CBB" w:rsidRDefault="005F74D6" w:rsidP="00FA2C75">
            <w:pPr>
              <w:spacing w:before="60" w:after="60"/>
              <w:rPr>
                <w:rFonts w:ascii="Arial" w:hAnsi="Arial" w:cs="Arial"/>
                <w:b/>
                <w:sz w:val="20"/>
                <w:szCs w:val="20"/>
              </w:rPr>
            </w:pPr>
            <w:r>
              <w:rPr>
                <w:rFonts w:ascii="Arial" w:hAnsi="Arial" w:cs="Arial"/>
                <w:b/>
                <w:sz w:val="20"/>
                <w:szCs w:val="20"/>
              </w:rPr>
              <w:t>Seafood Further Processor Category A</w:t>
            </w:r>
            <w:r w:rsidR="00AD1DDF">
              <w:rPr>
                <w:rFonts w:ascii="Arial" w:hAnsi="Arial" w:cs="Arial"/>
                <w:b/>
                <w:sz w:val="20"/>
                <w:szCs w:val="20"/>
              </w:rPr>
              <w:t xml:space="preserve"> </w:t>
            </w:r>
            <w:r w:rsidR="00AD1DDF" w:rsidRPr="00AD1DDF">
              <w:rPr>
                <w:rFonts w:ascii="Arial" w:hAnsi="Arial" w:cs="Arial"/>
                <w:b/>
                <w:sz w:val="20"/>
                <w:szCs w:val="20"/>
                <w:vertAlign w:val="superscript"/>
              </w:rPr>
              <w:t>#</w:t>
            </w:r>
          </w:p>
        </w:tc>
        <w:tc>
          <w:tcPr>
            <w:tcW w:w="1843" w:type="dxa"/>
            <w:shd w:val="clear" w:color="auto" w:fill="F2F2F2" w:themeFill="background1" w:themeFillShade="F2"/>
            <w:vAlign w:val="center"/>
          </w:tcPr>
          <w:p w:rsidR="005F74D6" w:rsidRPr="00EF785B" w:rsidRDefault="005F74D6" w:rsidP="00FA2C75">
            <w:pPr>
              <w:spacing w:before="60" w:after="60"/>
              <w:jc w:val="center"/>
              <w:rPr>
                <w:rFonts w:ascii="Arial" w:hAnsi="Arial" w:cs="Arial"/>
                <w:b/>
                <w:sz w:val="20"/>
                <w:szCs w:val="20"/>
              </w:rPr>
            </w:pPr>
            <w:r w:rsidRPr="00EF785B">
              <w:rPr>
                <w:rFonts w:ascii="Arial" w:hAnsi="Arial" w:cs="Arial"/>
                <w:b/>
                <w:sz w:val="20"/>
                <w:szCs w:val="20"/>
              </w:rPr>
              <w:t>Current</w:t>
            </w:r>
          </w:p>
        </w:tc>
        <w:tc>
          <w:tcPr>
            <w:tcW w:w="8112" w:type="dxa"/>
            <w:gridSpan w:val="3"/>
            <w:shd w:val="clear" w:color="auto" w:fill="F2F2F2" w:themeFill="background1" w:themeFillShade="F2"/>
            <w:vAlign w:val="center"/>
          </w:tcPr>
          <w:p w:rsidR="005F74D6" w:rsidRDefault="005F74D6" w:rsidP="00FA2C75">
            <w:pPr>
              <w:spacing w:before="60" w:after="60"/>
              <w:jc w:val="center"/>
              <w:rPr>
                <w:rFonts w:ascii="Arial" w:hAnsi="Arial" w:cs="Arial"/>
                <w:b/>
                <w:sz w:val="20"/>
                <w:szCs w:val="20"/>
                <w:u w:val="single"/>
              </w:rPr>
            </w:pPr>
            <w:r w:rsidRPr="00EF785B">
              <w:rPr>
                <w:rFonts w:ascii="Arial" w:hAnsi="Arial" w:cs="Arial"/>
                <w:b/>
                <w:sz w:val="20"/>
                <w:szCs w:val="20"/>
              </w:rPr>
              <w:t>Proposed</w:t>
            </w:r>
            <w:r w:rsidR="00BA4FA5">
              <w:rPr>
                <w:rFonts w:ascii="Arial" w:hAnsi="Arial" w:cs="Arial"/>
                <w:b/>
                <w:sz w:val="20"/>
                <w:szCs w:val="20"/>
              </w:rPr>
              <w:t xml:space="preserve"> *</w:t>
            </w:r>
          </w:p>
        </w:tc>
      </w:tr>
      <w:tr w:rsidR="005F74D6" w:rsidRPr="00EF785B" w:rsidTr="00FA2C75">
        <w:tc>
          <w:tcPr>
            <w:tcW w:w="4219" w:type="dxa"/>
            <w:vAlign w:val="center"/>
          </w:tcPr>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Throughput</w:t>
            </w:r>
          </w:p>
        </w:tc>
        <w:tc>
          <w:tcPr>
            <w:tcW w:w="1843" w:type="dxa"/>
            <w:vAlign w:val="center"/>
          </w:tcPr>
          <w:p w:rsidR="005F74D6" w:rsidRDefault="005F74D6" w:rsidP="00FA2C75">
            <w:pPr>
              <w:spacing w:before="60" w:after="60"/>
              <w:jc w:val="center"/>
              <w:rPr>
                <w:rFonts w:ascii="Arial" w:hAnsi="Arial" w:cs="Arial"/>
                <w:b/>
                <w:sz w:val="20"/>
                <w:szCs w:val="20"/>
              </w:rPr>
            </w:pPr>
            <w:r>
              <w:rPr>
                <w:rFonts w:ascii="Arial" w:hAnsi="Arial" w:cs="Arial"/>
                <w:b/>
                <w:sz w:val="20"/>
                <w:szCs w:val="20"/>
              </w:rPr>
              <w:t>2015-16</w:t>
            </w:r>
          </w:p>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w:t>
            </w:r>
          </w:p>
        </w:tc>
        <w:tc>
          <w:tcPr>
            <w:tcW w:w="3969" w:type="dxa"/>
            <w:vAlign w:val="center"/>
          </w:tcPr>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Throughput</w:t>
            </w:r>
          </w:p>
        </w:tc>
        <w:tc>
          <w:tcPr>
            <w:tcW w:w="1725" w:type="dxa"/>
            <w:vAlign w:val="center"/>
          </w:tcPr>
          <w:p w:rsidR="005F74D6" w:rsidRDefault="005F74D6" w:rsidP="00FA2C75">
            <w:pPr>
              <w:spacing w:before="60" w:after="60"/>
              <w:jc w:val="center"/>
              <w:rPr>
                <w:rFonts w:ascii="Arial" w:hAnsi="Arial" w:cs="Arial"/>
                <w:b/>
                <w:sz w:val="20"/>
                <w:szCs w:val="20"/>
              </w:rPr>
            </w:pPr>
            <w:r w:rsidRPr="00EF785B">
              <w:rPr>
                <w:rFonts w:ascii="Arial" w:hAnsi="Arial" w:cs="Arial"/>
                <w:b/>
                <w:sz w:val="20"/>
                <w:szCs w:val="20"/>
              </w:rPr>
              <w:t>2016-17</w:t>
            </w:r>
          </w:p>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w:t>
            </w:r>
          </w:p>
        </w:tc>
        <w:tc>
          <w:tcPr>
            <w:tcW w:w="2418" w:type="dxa"/>
            <w:vAlign w:val="center"/>
          </w:tcPr>
          <w:p w:rsidR="005F74D6" w:rsidRDefault="005F74D6" w:rsidP="00FA2C75">
            <w:pPr>
              <w:spacing w:before="60" w:after="60"/>
              <w:jc w:val="center"/>
              <w:rPr>
                <w:rFonts w:ascii="Arial" w:hAnsi="Arial" w:cs="Arial"/>
                <w:b/>
                <w:sz w:val="20"/>
                <w:szCs w:val="20"/>
              </w:rPr>
            </w:pPr>
            <w:r>
              <w:rPr>
                <w:rFonts w:ascii="Arial" w:hAnsi="Arial" w:cs="Arial"/>
                <w:b/>
                <w:sz w:val="20"/>
                <w:szCs w:val="20"/>
              </w:rPr>
              <w:t>Increase</w:t>
            </w:r>
          </w:p>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w:t>
            </w:r>
          </w:p>
        </w:tc>
      </w:tr>
      <w:tr w:rsidR="005F74D6" w:rsidRPr="00EF785B" w:rsidTr="00FA2C75">
        <w:tc>
          <w:tcPr>
            <w:tcW w:w="421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Up to 50 tonnes</w:t>
            </w:r>
          </w:p>
        </w:tc>
        <w:tc>
          <w:tcPr>
            <w:tcW w:w="1843"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820</w:t>
            </w:r>
          </w:p>
        </w:tc>
        <w:tc>
          <w:tcPr>
            <w:tcW w:w="396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Up to 50 tonnes</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r>
      <w:tr w:rsidR="005F74D6" w:rsidRPr="00EF785B" w:rsidTr="00FA2C75">
        <w:tc>
          <w:tcPr>
            <w:tcW w:w="421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51 to 100 tonnes</w:t>
            </w:r>
          </w:p>
        </w:tc>
        <w:tc>
          <w:tcPr>
            <w:tcW w:w="1843"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1,232</w:t>
            </w:r>
          </w:p>
        </w:tc>
        <w:tc>
          <w:tcPr>
            <w:tcW w:w="396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51 to 100 tonnes</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r>
      <w:tr w:rsidR="005F74D6" w:rsidRPr="00EF785B" w:rsidTr="00FA2C75">
        <w:trPr>
          <w:trHeight w:val="70"/>
        </w:trPr>
        <w:tc>
          <w:tcPr>
            <w:tcW w:w="421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101 to 250 tonnes</w:t>
            </w:r>
          </w:p>
        </w:tc>
        <w:tc>
          <w:tcPr>
            <w:tcW w:w="1843"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2,868</w:t>
            </w:r>
          </w:p>
        </w:tc>
        <w:tc>
          <w:tcPr>
            <w:tcW w:w="396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101 to 250 tonnes</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r>
      <w:tr w:rsidR="005F74D6" w:rsidRPr="00EF785B" w:rsidTr="00FA2C75">
        <w:trPr>
          <w:trHeight w:val="70"/>
        </w:trPr>
        <w:tc>
          <w:tcPr>
            <w:tcW w:w="421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251 to 500 tonnes</w:t>
            </w:r>
          </w:p>
        </w:tc>
        <w:tc>
          <w:tcPr>
            <w:tcW w:w="1843"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6,151</w:t>
            </w:r>
          </w:p>
        </w:tc>
        <w:tc>
          <w:tcPr>
            <w:tcW w:w="396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251 to 500 tonnes</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r>
      <w:tr w:rsidR="005F74D6" w:rsidRPr="00EF785B" w:rsidTr="00FA2C75">
        <w:trPr>
          <w:trHeight w:val="70"/>
        </w:trPr>
        <w:tc>
          <w:tcPr>
            <w:tcW w:w="421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 xml:space="preserve">Over 500 tonnes </w:t>
            </w:r>
          </w:p>
        </w:tc>
        <w:tc>
          <w:tcPr>
            <w:tcW w:w="1843"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8,199</w:t>
            </w:r>
          </w:p>
        </w:tc>
        <w:tc>
          <w:tcPr>
            <w:tcW w:w="396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 xml:space="preserve">Over 500 tonnes </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r>
      <w:tr w:rsidR="005F74D6" w:rsidRPr="00EF785B" w:rsidTr="00FA2C75">
        <w:trPr>
          <w:trHeight w:val="70"/>
        </w:trPr>
        <w:tc>
          <w:tcPr>
            <w:tcW w:w="4219" w:type="dxa"/>
            <w:shd w:val="clear" w:color="auto" w:fill="F2F2F2" w:themeFill="background1" w:themeFillShade="F2"/>
            <w:vAlign w:val="center"/>
          </w:tcPr>
          <w:p w:rsidR="005F74D6" w:rsidRDefault="005F74D6" w:rsidP="00FA2C75">
            <w:pPr>
              <w:rPr>
                <w:rFonts w:ascii="Arial" w:hAnsi="Arial" w:cs="Arial"/>
                <w:sz w:val="20"/>
                <w:szCs w:val="20"/>
              </w:rPr>
            </w:pPr>
            <w:r>
              <w:rPr>
                <w:rFonts w:ascii="Arial" w:hAnsi="Arial" w:cs="Arial"/>
                <w:b/>
                <w:sz w:val="20"/>
                <w:szCs w:val="20"/>
              </w:rPr>
              <w:t>Seafood Further Processor Category B</w:t>
            </w:r>
            <w:r w:rsidR="00AD1DDF">
              <w:rPr>
                <w:rFonts w:ascii="Arial" w:hAnsi="Arial" w:cs="Arial"/>
                <w:b/>
                <w:sz w:val="20"/>
                <w:szCs w:val="20"/>
              </w:rPr>
              <w:t xml:space="preserve"> </w:t>
            </w:r>
            <w:r w:rsidR="00AD1DDF" w:rsidRPr="00AD1DDF">
              <w:rPr>
                <w:rFonts w:ascii="Arial" w:hAnsi="Arial" w:cs="Arial"/>
                <w:b/>
                <w:sz w:val="20"/>
                <w:szCs w:val="20"/>
                <w:vertAlign w:val="superscript"/>
              </w:rPr>
              <w:t>#</w:t>
            </w:r>
          </w:p>
        </w:tc>
        <w:tc>
          <w:tcPr>
            <w:tcW w:w="1843" w:type="dxa"/>
            <w:shd w:val="clear" w:color="auto" w:fill="F2F2F2" w:themeFill="background1" w:themeFillShade="F2"/>
            <w:vAlign w:val="center"/>
          </w:tcPr>
          <w:p w:rsidR="005F74D6" w:rsidRPr="001137AC" w:rsidRDefault="005F74D6" w:rsidP="00FA2C75">
            <w:pPr>
              <w:spacing w:before="60" w:after="60"/>
              <w:jc w:val="center"/>
              <w:rPr>
                <w:rFonts w:ascii="Arial" w:hAnsi="Arial" w:cs="Arial"/>
                <w:b/>
                <w:sz w:val="20"/>
                <w:szCs w:val="20"/>
              </w:rPr>
            </w:pPr>
            <w:r w:rsidRPr="001137AC">
              <w:rPr>
                <w:rFonts w:ascii="Arial" w:hAnsi="Arial" w:cs="Arial"/>
                <w:b/>
                <w:sz w:val="20"/>
                <w:szCs w:val="20"/>
              </w:rPr>
              <w:t>Current</w:t>
            </w:r>
          </w:p>
        </w:tc>
        <w:tc>
          <w:tcPr>
            <w:tcW w:w="8112" w:type="dxa"/>
            <w:gridSpan w:val="3"/>
            <w:shd w:val="clear" w:color="auto" w:fill="F2F2F2" w:themeFill="background1" w:themeFillShade="F2"/>
            <w:vAlign w:val="center"/>
          </w:tcPr>
          <w:p w:rsidR="005F74D6" w:rsidRPr="00EF785B" w:rsidRDefault="005F74D6" w:rsidP="00FA2C75">
            <w:pPr>
              <w:spacing w:before="60" w:after="60"/>
              <w:jc w:val="center"/>
              <w:rPr>
                <w:rFonts w:ascii="Arial" w:hAnsi="Arial" w:cs="Arial"/>
                <w:sz w:val="20"/>
                <w:szCs w:val="20"/>
              </w:rPr>
            </w:pPr>
            <w:r w:rsidRPr="00EF785B">
              <w:rPr>
                <w:rFonts w:ascii="Arial" w:hAnsi="Arial" w:cs="Arial"/>
                <w:b/>
                <w:sz w:val="20"/>
                <w:szCs w:val="20"/>
              </w:rPr>
              <w:t>Proposed</w:t>
            </w:r>
            <w:r w:rsidR="00BA4FA5">
              <w:rPr>
                <w:rFonts w:ascii="Arial" w:hAnsi="Arial" w:cs="Arial"/>
                <w:b/>
                <w:sz w:val="20"/>
                <w:szCs w:val="20"/>
              </w:rPr>
              <w:t xml:space="preserve"> *</w:t>
            </w:r>
          </w:p>
        </w:tc>
      </w:tr>
      <w:tr w:rsidR="005F74D6" w:rsidRPr="00EF785B" w:rsidTr="00FA2C75">
        <w:trPr>
          <w:trHeight w:val="70"/>
        </w:trPr>
        <w:tc>
          <w:tcPr>
            <w:tcW w:w="4219" w:type="dxa"/>
            <w:vAlign w:val="center"/>
          </w:tcPr>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Throughput</w:t>
            </w:r>
          </w:p>
        </w:tc>
        <w:tc>
          <w:tcPr>
            <w:tcW w:w="1843" w:type="dxa"/>
            <w:vAlign w:val="center"/>
          </w:tcPr>
          <w:p w:rsidR="005F74D6" w:rsidRDefault="005F74D6" w:rsidP="00FA2C75">
            <w:pPr>
              <w:spacing w:before="60" w:after="60"/>
              <w:jc w:val="center"/>
              <w:rPr>
                <w:rFonts w:ascii="Arial" w:hAnsi="Arial" w:cs="Arial"/>
                <w:b/>
                <w:sz w:val="20"/>
                <w:szCs w:val="20"/>
              </w:rPr>
            </w:pPr>
            <w:r>
              <w:rPr>
                <w:rFonts w:ascii="Arial" w:hAnsi="Arial" w:cs="Arial"/>
                <w:b/>
                <w:sz w:val="20"/>
                <w:szCs w:val="20"/>
              </w:rPr>
              <w:t>2015-16</w:t>
            </w:r>
          </w:p>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w:t>
            </w:r>
          </w:p>
        </w:tc>
        <w:tc>
          <w:tcPr>
            <w:tcW w:w="3969" w:type="dxa"/>
            <w:vAlign w:val="center"/>
          </w:tcPr>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Throughput</w:t>
            </w:r>
          </w:p>
        </w:tc>
        <w:tc>
          <w:tcPr>
            <w:tcW w:w="1725" w:type="dxa"/>
            <w:vAlign w:val="center"/>
          </w:tcPr>
          <w:p w:rsidR="005F74D6" w:rsidRDefault="005F74D6" w:rsidP="00FA2C75">
            <w:pPr>
              <w:spacing w:before="60" w:after="60"/>
              <w:jc w:val="center"/>
              <w:rPr>
                <w:rFonts w:ascii="Arial" w:hAnsi="Arial" w:cs="Arial"/>
                <w:b/>
                <w:sz w:val="20"/>
                <w:szCs w:val="20"/>
              </w:rPr>
            </w:pPr>
            <w:r w:rsidRPr="00EF785B">
              <w:rPr>
                <w:rFonts w:ascii="Arial" w:hAnsi="Arial" w:cs="Arial"/>
                <w:b/>
                <w:sz w:val="20"/>
                <w:szCs w:val="20"/>
              </w:rPr>
              <w:t>2016-17</w:t>
            </w:r>
          </w:p>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w:t>
            </w:r>
          </w:p>
        </w:tc>
        <w:tc>
          <w:tcPr>
            <w:tcW w:w="2418" w:type="dxa"/>
            <w:vAlign w:val="center"/>
          </w:tcPr>
          <w:p w:rsidR="005F74D6" w:rsidRDefault="005F74D6" w:rsidP="00FA2C75">
            <w:pPr>
              <w:spacing w:before="60" w:after="60"/>
              <w:jc w:val="center"/>
              <w:rPr>
                <w:rFonts w:ascii="Arial" w:hAnsi="Arial" w:cs="Arial"/>
                <w:b/>
                <w:sz w:val="20"/>
                <w:szCs w:val="20"/>
              </w:rPr>
            </w:pPr>
            <w:r>
              <w:rPr>
                <w:rFonts w:ascii="Arial" w:hAnsi="Arial" w:cs="Arial"/>
                <w:b/>
                <w:sz w:val="20"/>
                <w:szCs w:val="20"/>
              </w:rPr>
              <w:t>Increase</w:t>
            </w:r>
          </w:p>
          <w:p w:rsidR="005F74D6" w:rsidRPr="00EF785B" w:rsidRDefault="005F74D6" w:rsidP="00FA2C75">
            <w:pPr>
              <w:spacing w:before="60" w:after="60"/>
              <w:jc w:val="center"/>
              <w:rPr>
                <w:rFonts w:ascii="Arial" w:hAnsi="Arial" w:cs="Arial"/>
                <w:b/>
                <w:sz w:val="20"/>
                <w:szCs w:val="20"/>
              </w:rPr>
            </w:pPr>
            <w:r>
              <w:rPr>
                <w:rFonts w:ascii="Arial" w:hAnsi="Arial" w:cs="Arial"/>
                <w:b/>
                <w:sz w:val="20"/>
                <w:szCs w:val="20"/>
              </w:rPr>
              <w:t>%</w:t>
            </w:r>
          </w:p>
        </w:tc>
      </w:tr>
      <w:tr w:rsidR="005F74D6" w:rsidRPr="00EF785B" w:rsidTr="00FA2C75">
        <w:trPr>
          <w:trHeight w:val="70"/>
        </w:trPr>
        <w:tc>
          <w:tcPr>
            <w:tcW w:w="421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Up to 25 tonnes</w:t>
            </w:r>
          </w:p>
        </w:tc>
        <w:tc>
          <w:tcPr>
            <w:tcW w:w="1843"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820</w:t>
            </w:r>
          </w:p>
        </w:tc>
        <w:tc>
          <w:tcPr>
            <w:tcW w:w="396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Up to 25 tonnes</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r>
      <w:tr w:rsidR="005F74D6" w:rsidRPr="00EF785B" w:rsidTr="00FA2C75">
        <w:trPr>
          <w:trHeight w:val="70"/>
        </w:trPr>
        <w:tc>
          <w:tcPr>
            <w:tcW w:w="421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26 to 50 tonnes</w:t>
            </w:r>
          </w:p>
        </w:tc>
        <w:tc>
          <w:tcPr>
            <w:tcW w:w="1843"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1,232</w:t>
            </w:r>
          </w:p>
        </w:tc>
        <w:tc>
          <w:tcPr>
            <w:tcW w:w="396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26 to 50 tonnes</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r>
      <w:tr w:rsidR="005F74D6" w:rsidRPr="00EF785B" w:rsidTr="00FA2C75">
        <w:trPr>
          <w:trHeight w:val="70"/>
        </w:trPr>
        <w:tc>
          <w:tcPr>
            <w:tcW w:w="421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51 to 100 tonnes</w:t>
            </w:r>
          </w:p>
        </w:tc>
        <w:tc>
          <w:tcPr>
            <w:tcW w:w="1843"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2,868</w:t>
            </w:r>
          </w:p>
        </w:tc>
        <w:tc>
          <w:tcPr>
            <w:tcW w:w="396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51 to 100 tonnes</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r>
      <w:tr w:rsidR="005F74D6" w:rsidRPr="00EF785B" w:rsidTr="00FA2C75">
        <w:trPr>
          <w:trHeight w:val="70"/>
        </w:trPr>
        <w:tc>
          <w:tcPr>
            <w:tcW w:w="421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101 to 200 tonnes</w:t>
            </w:r>
          </w:p>
        </w:tc>
        <w:tc>
          <w:tcPr>
            <w:tcW w:w="1843"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6,151</w:t>
            </w:r>
          </w:p>
        </w:tc>
        <w:tc>
          <w:tcPr>
            <w:tcW w:w="396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101 to 200 tonnes</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r>
      <w:tr w:rsidR="005F74D6" w:rsidRPr="00EF785B" w:rsidTr="00FA2C75">
        <w:trPr>
          <w:trHeight w:val="70"/>
        </w:trPr>
        <w:tc>
          <w:tcPr>
            <w:tcW w:w="421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Over 200 tonnes</w:t>
            </w:r>
          </w:p>
        </w:tc>
        <w:tc>
          <w:tcPr>
            <w:tcW w:w="1843"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8,199</w:t>
            </w:r>
          </w:p>
        </w:tc>
        <w:tc>
          <w:tcPr>
            <w:tcW w:w="3969" w:type="dxa"/>
            <w:vAlign w:val="center"/>
          </w:tcPr>
          <w:p w:rsidR="005F74D6" w:rsidRPr="001137AC" w:rsidRDefault="005F74D6" w:rsidP="00FA2C75">
            <w:pPr>
              <w:spacing w:before="60" w:after="60"/>
              <w:rPr>
                <w:rFonts w:ascii="Arial" w:hAnsi="Arial" w:cs="Arial"/>
                <w:sz w:val="20"/>
                <w:szCs w:val="20"/>
              </w:rPr>
            </w:pPr>
            <w:r>
              <w:rPr>
                <w:rFonts w:ascii="Arial" w:hAnsi="Arial" w:cs="Arial"/>
                <w:sz w:val="20"/>
                <w:szCs w:val="20"/>
              </w:rPr>
              <w:t>Over 200 tonnes</w:t>
            </w:r>
          </w:p>
        </w:tc>
        <w:tc>
          <w:tcPr>
            <w:tcW w:w="1725"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5F74D6" w:rsidRPr="00EF785B" w:rsidRDefault="005F74D6" w:rsidP="00FA2C75">
            <w:pPr>
              <w:spacing w:before="60" w:after="60"/>
              <w:jc w:val="center"/>
              <w:rPr>
                <w:rFonts w:ascii="Arial" w:hAnsi="Arial" w:cs="Arial"/>
                <w:sz w:val="20"/>
                <w:szCs w:val="20"/>
              </w:rPr>
            </w:pPr>
            <w:r>
              <w:rPr>
                <w:rFonts w:ascii="Arial" w:hAnsi="Arial" w:cs="Arial"/>
                <w:sz w:val="20"/>
                <w:szCs w:val="20"/>
              </w:rPr>
              <w:t>TBD</w:t>
            </w:r>
          </w:p>
        </w:tc>
      </w:tr>
      <w:tr w:rsidR="00BA4FA5" w:rsidRPr="00EF785B" w:rsidTr="00BA4FA5">
        <w:trPr>
          <w:trHeight w:val="70"/>
        </w:trPr>
        <w:tc>
          <w:tcPr>
            <w:tcW w:w="14174" w:type="dxa"/>
            <w:gridSpan w:val="5"/>
            <w:tcBorders>
              <w:left w:val="nil"/>
              <w:bottom w:val="nil"/>
              <w:right w:val="nil"/>
            </w:tcBorders>
            <w:vAlign w:val="center"/>
          </w:tcPr>
          <w:p w:rsidR="00BA4FA5" w:rsidRDefault="00BA4FA5" w:rsidP="00BA4FA5">
            <w:pPr>
              <w:rPr>
                <w:rFonts w:ascii="Arial" w:hAnsi="Arial" w:cs="Arial"/>
                <w:sz w:val="18"/>
                <w:szCs w:val="18"/>
              </w:rPr>
            </w:pPr>
          </w:p>
          <w:p w:rsidR="00BA4FA5" w:rsidRPr="003E36BB" w:rsidRDefault="00BA4FA5" w:rsidP="00BA4FA5">
            <w:pPr>
              <w:rPr>
                <w:rFonts w:ascii="Arial" w:hAnsi="Arial" w:cs="Arial"/>
                <w:sz w:val="18"/>
                <w:szCs w:val="18"/>
              </w:rPr>
            </w:pPr>
            <w:r w:rsidRPr="003E36BB">
              <w:rPr>
                <w:rFonts w:ascii="Arial" w:hAnsi="Arial" w:cs="Arial"/>
                <w:sz w:val="18"/>
                <w:szCs w:val="18"/>
              </w:rPr>
              <w:t xml:space="preserve">Note: </w:t>
            </w:r>
          </w:p>
          <w:p w:rsidR="00BA4FA5" w:rsidRDefault="007573C0" w:rsidP="00BA4FA5">
            <w:pPr>
              <w:pStyle w:val="ListParagraph"/>
              <w:numPr>
                <w:ilvl w:val="0"/>
                <w:numId w:val="42"/>
              </w:numPr>
              <w:jc w:val="both"/>
              <w:rPr>
                <w:rFonts w:ascii="Arial" w:hAnsi="Arial" w:cs="Arial"/>
                <w:sz w:val="18"/>
                <w:szCs w:val="18"/>
              </w:rPr>
            </w:pPr>
            <w:r>
              <w:rPr>
                <w:rFonts w:ascii="Arial" w:hAnsi="Arial" w:cs="Arial"/>
                <w:sz w:val="18"/>
                <w:szCs w:val="18"/>
              </w:rPr>
              <w:t xml:space="preserve">* </w:t>
            </w:r>
            <w:r w:rsidR="00BA4FA5" w:rsidRPr="003E36BB">
              <w:rPr>
                <w:rFonts w:ascii="Arial" w:hAnsi="Arial" w:cs="Arial"/>
                <w:sz w:val="18"/>
                <w:szCs w:val="18"/>
              </w:rPr>
              <w:t>For all fees listed as ‘To Be Determined’ (TBD), the existing fees payable by these licensees will be indexed from 1 July 2017 in line with the rate published by the Treasurer.</w:t>
            </w:r>
          </w:p>
          <w:p w:rsidR="00BA4FA5" w:rsidRPr="003E36BB" w:rsidRDefault="00BA4FA5" w:rsidP="00BA4FA5">
            <w:pPr>
              <w:pStyle w:val="ListParagraph"/>
              <w:numPr>
                <w:ilvl w:val="0"/>
                <w:numId w:val="42"/>
              </w:numPr>
              <w:jc w:val="both"/>
              <w:rPr>
                <w:rFonts w:ascii="Arial" w:hAnsi="Arial" w:cs="Arial"/>
                <w:sz w:val="18"/>
                <w:szCs w:val="18"/>
              </w:rPr>
            </w:pPr>
            <w:r>
              <w:rPr>
                <w:rFonts w:ascii="Arial" w:hAnsi="Arial" w:cs="Arial"/>
                <w:sz w:val="18"/>
                <w:szCs w:val="18"/>
              </w:rPr>
              <w:t># Seafood processing facilities supervised by the Department of Agriculture (DA) where the DA accepts responsibility for all products placed on the domestic market will be required to pay a licence fee in accordance with the fee schedule up to a maximum fee of $1,850.</w:t>
            </w:r>
          </w:p>
          <w:p w:rsidR="00BA4FA5" w:rsidRPr="00BA4FA5" w:rsidRDefault="00BA4FA5" w:rsidP="00BA4FA5">
            <w:pPr>
              <w:jc w:val="both"/>
              <w:rPr>
                <w:rFonts w:ascii="Arial" w:hAnsi="Arial" w:cs="Arial"/>
                <w:sz w:val="18"/>
                <w:szCs w:val="18"/>
              </w:rPr>
            </w:pPr>
          </w:p>
          <w:p w:rsidR="00BA4FA5" w:rsidRDefault="00BA4FA5" w:rsidP="00FA2C75">
            <w:pPr>
              <w:spacing w:before="60" w:after="60"/>
              <w:jc w:val="center"/>
              <w:rPr>
                <w:rFonts w:ascii="Arial" w:hAnsi="Arial" w:cs="Arial"/>
                <w:sz w:val="20"/>
                <w:szCs w:val="20"/>
              </w:rPr>
            </w:pPr>
          </w:p>
        </w:tc>
      </w:tr>
    </w:tbl>
    <w:p w:rsidR="007D48F5" w:rsidRDefault="007D48F5" w:rsidP="002E7BBE">
      <w:pPr>
        <w:spacing w:after="0" w:line="240" w:lineRule="auto"/>
        <w:rPr>
          <w:rFonts w:ascii="Arial" w:hAnsi="Arial" w:cs="Arial"/>
          <w:b/>
          <w:sz w:val="20"/>
          <w:szCs w:val="20"/>
          <w:u w:val="single"/>
        </w:rPr>
        <w:sectPr w:rsidR="007D48F5" w:rsidSect="00576657">
          <w:pgSz w:w="16838" w:h="11906" w:orient="landscape"/>
          <w:pgMar w:top="1440" w:right="1440" w:bottom="1440" w:left="1440" w:header="567" w:footer="567" w:gutter="0"/>
          <w:cols w:space="708"/>
          <w:docGrid w:linePitch="360"/>
        </w:sectPr>
      </w:pPr>
    </w:p>
    <w:p w:rsidR="00CB5AD6" w:rsidRPr="00FC6804" w:rsidRDefault="00CB5AD6" w:rsidP="00F30C7E">
      <w:pPr>
        <w:pStyle w:val="NormalWeb"/>
        <w:spacing w:before="0" w:beforeAutospacing="0" w:after="0" w:afterAutospacing="0"/>
        <w:rPr>
          <w:rFonts w:ascii="Arial" w:hAnsi="Arial" w:cs="Arial"/>
          <w:sz w:val="20"/>
          <w:szCs w:val="20"/>
        </w:rPr>
      </w:pPr>
      <w:r w:rsidRPr="00FC6804">
        <w:rPr>
          <w:rFonts w:ascii="Arial" w:hAnsi="Arial" w:cs="Arial"/>
          <w:sz w:val="20"/>
          <w:szCs w:val="20"/>
        </w:rPr>
        <w:t>Prime</w:t>
      </w:r>
      <w:r w:rsidR="00F30C7E" w:rsidRPr="00FC6804">
        <w:rPr>
          <w:rFonts w:ascii="Arial" w:hAnsi="Arial" w:cs="Arial"/>
          <w:sz w:val="20"/>
          <w:szCs w:val="20"/>
        </w:rPr>
        <w:t>S</w:t>
      </w:r>
      <w:r w:rsidRPr="00FC6804">
        <w:rPr>
          <w:rFonts w:ascii="Arial" w:hAnsi="Arial" w:cs="Arial"/>
          <w:sz w:val="20"/>
          <w:szCs w:val="20"/>
        </w:rPr>
        <w:t>afe will also undertake significant work over the next two to three years aimed at improving its understanding of the costs incurred by it in undertaking a range of specific regulatory activities in relation to a range</w:t>
      </w:r>
      <w:r w:rsidR="00F30C7E" w:rsidRPr="00FC6804">
        <w:rPr>
          <w:rFonts w:ascii="Arial" w:hAnsi="Arial" w:cs="Arial"/>
          <w:sz w:val="20"/>
          <w:szCs w:val="20"/>
        </w:rPr>
        <w:t xml:space="preserve"> of different </w:t>
      </w:r>
      <w:r w:rsidR="00BD08F4">
        <w:rPr>
          <w:rFonts w:ascii="Arial" w:hAnsi="Arial" w:cs="Arial"/>
          <w:sz w:val="20"/>
          <w:szCs w:val="20"/>
        </w:rPr>
        <w:t>licence categories</w:t>
      </w:r>
      <w:r w:rsidR="00F30C7E" w:rsidRPr="00FC6804">
        <w:rPr>
          <w:rFonts w:ascii="Arial" w:hAnsi="Arial" w:cs="Arial"/>
          <w:sz w:val="20"/>
          <w:szCs w:val="20"/>
        </w:rPr>
        <w:t xml:space="preserve">. </w:t>
      </w:r>
      <w:r w:rsidRPr="00FC6804">
        <w:rPr>
          <w:rFonts w:ascii="Arial" w:hAnsi="Arial" w:cs="Arial"/>
          <w:sz w:val="20"/>
          <w:szCs w:val="20"/>
        </w:rPr>
        <w:t>This will be done in the context of broader reviews of its inspection and surveillance programs and will form an impor</w:t>
      </w:r>
      <w:r w:rsidR="00F30C7E" w:rsidRPr="00FC6804">
        <w:rPr>
          <w:rFonts w:ascii="Arial" w:hAnsi="Arial" w:cs="Arial"/>
          <w:sz w:val="20"/>
          <w:szCs w:val="20"/>
        </w:rPr>
        <w:t xml:space="preserve">tant element of these reviews. </w:t>
      </w:r>
      <w:r w:rsidRPr="00FC6804">
        <w:rPr>
          <w:rFonts w:ascii="Arial" w:hAnsi="Arial" w:cs="Arial"/>
          <w:sz w:val="20"/>
          <w:szCs w:val="20"/>
        </w:rPr>
        <w:t>As a result, there is likely to be a significant reorientation of Prime</w:t>
      </w:r>
      <w:r w:rsidR="00F30C7E" w:rsidRPr="00FC6804">
        <w:rPr>
          <w:rFonts w:ascii="Arial" w:hAnsi="Arial" w:cs="Arial"/>
          <w:sz w:val="20"/>
          <w:szCs w:val="20"/>
        </w:rPr>
        <w:t>S</w:t>
      </w:r>
      <w:r w:rsidRPr="00FC6804">
        <w:rPr>
          <w:rFonts w:ascii="Arial" w:hAnsi="Arial" w:cs="Arial"/>
          <w:sz w:val="20"/>
          <w:szCs w:val="20"/>
        </w:rPr>
        <w:t>afe’s inspection activities driven in large part by an increase in the use of risk assessments as the basis for directing this activity.</w:t>
      </w:r>
    </w:p>
    <w:p w:rsidR="00CB5AD6" w:rsidRPr="00FC6804" w:rsidRDefault="00CB5AD6" w:rsidP="00F30C7E">
      <w:pPr>
        <w:pStyle w:val="NormalWeb"/>
        <w:spacing w:before="0" w:beforeAutospacing="0" w:after="0" w:afterAutospacing="0"/>
        <w:rPr>
          <w:rFonts w:ascii="Arial" w:hAnsi="Arial" w:cs="Arial"/>
          <w:sz w:val="20"/>
          <w:szCs w:val="20"/>
        </w:rPr>
      </w:pPr>
    </w:p>
    <w:p w:rsidR="00CB5AD6" w:rsidRPr="00FC6804" w:rsidRDefault="00CB5AD6" w:rsidP="00F30C7E">
      <w:pPr>
        <w:spacing w:after="0" w:line="240" w:lineRule="auto"/>
        <w:rPr>
          <w:rFonts w:ascii="Arial" w:hAnsi="Arial" w:cs="Arial"/>
          <w:sz w:val="20"/>
          <w:szCs w:val="20"/>
        </w:rPr>
      </w:pPr>
      <w:r w:rsidRPr="00FC6804">
        <w:rPr>
          <w:rFonts w:ascii="Arial" w:hAnsi="Arial" w:cs="Arial"/>
          <w:sz w:val="20"/>
          <w:szCs w:val="20"/>
        </w:rPr>
        <w:t>A more disaggregated analysis of the activities which make up the “CEO/Administration” cost category will be undertaken, to provide data to support consideration of different allocations of elements of this cost category, in preference to the current approach which simply distributes this cost</w:t>
      </w:r>
      <w:r w:rsidR="00F30C7E" w:rsidRPr="00FC6804">
        <w:rPr>
          <w:rFonts w:ascii="Arial" w:hAnsi="Arial" w:cs="Arial"/>
          <w:sz w:val="20"/>
          <w:szCs w:val="20"/>
        </w:rPr>
        <w:t xml:space="preserve"> equally across all licensees. </w:t>
      </w:r>
      <w:r w:rsidRPr="00FC6804">
        <w:rPr>
          <w:rFonts w:ascii="Arial" w:hAnsi="Arial" w:cs="Arial"/>
          <w:sz w:val="20"/>
          <w:szCs w:val="20"/>
        </w:rPr>
        <w:t>This reflects the view that, while there are significant fixed costs associated with the regulatory function, not all items currently included in the CEO/Administration category are likely</w:t>
      </w:r>
      <w:r w:rsidR="00F30C7E" w:rsidRPr="00FC6804">
        <w:rPr>
          <w:rFonts w:ascii="Arial" w:hAnsi="Arial" w:cs="Arial"/>
          <w:sz w:val="20"/>
          <w:szCs w:val="20"/>
        </w:rPr>
        <w:t xml:space="preserve"> to fall within this category. </w:t>
      </w:r>
      <w:r w:rsidRPr="00FC6804">
        <w:rPr>
          <w:rFonts w:ascii="Arial" w:hAnsi="Arial" w:cs="Arial"/>
          <w:sz w:val="20"/>
          <w:szCs w:val="20"/>
        </w:rPr>
        <w:t>This process will be facilitated by the adoption of a new integrated licensee database, which is currently being sourced.</w:t>
      </w:r>
    </w:p>
    <w:p w:rsidR="00F30C7E" w:rsidRPr="00FC6804" w:rsidRDefault="00F30C7E" w:rsidP="00F30C7E">
      <w:pPr>
        <w:spacing w:after="0" w:line="240" w:lineRule="auto"/>
        <w:rPr>
          <w:rFonts w:ascii="Arial" w:hAnsi="Arial" w:cs="Arial"/>
          <w:sz w:val="20"/>
          <w:szCs w:val="20"/>
        </w:rPr>
      </w:pPr>
    </w:p>
    <w:p w:rsidR="008F59DB" w:rsidRPr="00FC6804" w:rsidRDefault="00CB5AD6" w:rsidP="00F30C7E">
      <w:pPr>
        <w:spacing w:after="0" w:line="240" w:lineRule="auto"/>
        <w:rPr>
          <w:rFonts w:ascii="Arial" w:eastAsiaTheme="majorEastAsia" w:hAnsi="Arial" w:cs="Arial"/>
          <w:color w:val="2E74B5" w:themeColor="accent1" w:themeShade="BF"/>
          <w:sz w:val="20"/>
          <w:szCs w:val="20"/>
        </w:rPr>
      </w:pPr>
      <w:r w:rsidRPr="00FC6804">
        <w:rPr>
          <w:rFonts w:ascii="Arial" w:hAnsi="Arial" w:cs="Arial"/>
          <w:sz w:val="20"/>
          <w:szCs w:val="20"/>
        </w:rPr>
        <w:t>Given the significant changes to Prime</w:t>
      </w:r>
      <w:r w:rsidR="00F30C7E" w:rsidRPr="00FC6804">
        <w:rPr>
          <w:rFonts w:ascii="Arial" w:hAnsi="Arial" w:cs="Arial"/>
          <w:sz w:val="20"/>
          <w:szCs w:val="20"/>
        </w:rPr>
        <w:t>S</w:t>
      </w:r>
      <w:r w:rsidRPr="00FC6804">
        <w:rPr>
          <w:rFonts w:ascii="Arial" w:hAnsi="Arial" w:cs="Arial"/>
          <w:sz w:val="20"/>
          <w:szCs w:val="20"/>
        </w:rPr>
        <w:t xml:space="preserve">afe’s operations likely to arise as a result of the above-mentioned reviews, as well as the need to consider the impact of the fee changes currently proposed, </w:t>
      </w:r>
      <w:r w:rsidR="00701131" w:rsidRPr="00FC6804">
        <w:rPr>
          <w:rFonts w:ascii="Arial" w:hAnsi="Arial" w:cs="Arial"/>
          <w:sz w:val="20"/>
          <w:szCs w:val="20"/>
        </w:rPr>
        <w:t>PrimeSafe</w:t>
      </w:r>
      <w:r w:rsidRPr="00FC6804">
        <w:rPr>
          <w:rFonts w:ascii="Arial" w:hAnsi="Arial" w:cs="Arial"/>
          <w:sz w:val="20"/>
          <w:szCs w:val="20"/>
        </w:rPr>
        <w:t xml:space="preserve"> </w:t>
      </w:r>
      <w:r w:rsidR="002E2B19" w:rsidRPr="00FC6804">
        <w:rPr>
          <w:rFonts w:ascii="Arial" w:hAnsi="Arial" w:cs="Arial"/>
          <w:sz w:val="20"/>
          <w:szCs w:val="20"/>
        </w:rPr>
        <w:t xml:space="preserve">will </w:t>
      </w:r>
      <w:r w:rsidRPr="00FC6804">
        <w:rPr>
          <w:rFonts w:ascii="Arial" w:hAnsi="Arial" w:cs="Arial"/>
          <w:sz w:val="20"/>
          <w:szCs w:val="20"/>
        </w:rPr>
        <w:t>undertak</w:t>
      </w:r>
      <w:r w:rsidR="002E2B19" w:rsidRPr="00FC6804">
        <w:rPr>
          <w:rFonts w:ascii="Arial" w:hAnsi="Arial" w:cs="Arial"/>
          <w:sz w:val="20"/>
          <w:szCs w:val="20"/>
        </w:rPr>
        <w:t>e</w:t>
      </w:r>
      <w:r w:rsidRPr="00FC6804">
        <w:rPr>
          <w:rFonts w:ascii="Arial" w:hAnsi="Arial" w:cs="Arial"/>
          <w:sz w:val="20"/>
          <w:szCs w:val="20"/>
        </w:rPr>
        <w:t xml:space="preserve"> a substantive reconsideration of its fee structure within three years.</w:t>
      </w:r>
      <w:r w:rsidR="00F30C7E" w:rsidRPr="00FC6804">
        <w:rPr>
          <w:rFonts w:ascii="Arial" w:hAnsi="Arial" w:cs="Arial"/>
          <w:sz w:val="20"/>
          <w:szCs w:val="20"/>
        </w:rPr>
        <w:t xml:space="preserve"> </w:t>
      </w:r>
      <w:r w:rsidR="002E2B19" w:rsidRPr="00FC6804">
        <w:rPr>
          <w:rFonts w:ascii="Arial" w:hAnsi="Arial" w:cs="Arial"/>
          <w:sz w:val="20"/>
          <w:szCs w:val="20"/>
        </w:rPr>
        <w:t>This will occur in the context of broader reviews of Prime</w:t>
      </w:r>
      <w:r w:rsidR="00B24670" w:rsidRPr="00FC6804">
        <w:rPr>
          <w:rFonts w:ascii="Arial" w:hAnsi="Arial" w:cs="Arial"/>
          <w:sz w:val="20"/>
          <w:szCs w:val="20"/>
        </w:rPr>
        <w:t>S</w:t>
      </w:r>
      <w:r w:rsidR="002E2B19" w:rsidRPr="00FC6804">
        <w:rPr>
          <w:rFonts w:ascii="Arial" w:hAnsi="Arial" w:cs="Arial"/>
          <w:sz w:val="20"/>
          <w:szCs w:val="20"/>
        </w:rPr>
        <w:t>afe’s inspection and enforcement activities, with the reviews incorporating substantial stakeholder engagement.</w:t>
      </w:r>
      <w:r w:rsidR="00F30C7E" w:rsidRPr="00FC6804">
        <w:rPr>
          <w:rFonts w:ascii="Arial" w:hAnsi="Arial" w:cs="Arial"/>
          <w:sz w:val="20"/>
          <w:szCs w:val="20"/>
        </w:rPr>
        <w:t xml:space="preserve"> </w:t>
      </w:r>
      <w:r w:rsidR="002E2B19" w:rsidRPr="00FC6804">
        <w:rPr>
          <w:rFonts w:ascii="Arial" w:hAnsi="Arial" w:cs="Arial"/>
          <w:sz w:val="20"/>
          <w:szCs w:val="20"/>
        </w:rPr>
        <w:t>Significant changes to inspection practices are considered likely, as are consequent changes to the fee structure.</w:t>
      </w:r>
      <w:r w:rsidRPr="00FC6804">
        <w:rPr>
          <w:rFonts w:ascii="Arial" w:eastAsiaTheme="majorEastAsia" w:hAnsi="Arial" w:cs="Arial"/>
          <w:color w:val="2E74B5" w:themeColor="accent1" w:themeShade="BF"/>
          <w:sz w:val="20"/>
          <w:szCs w:val="20"/>
        </w:rPr>
        <w:t xml:space="preserve">  </w:t>
      </w:r>
    </w:p>
    <w:p w:rsidR="007F2CB9" w:rsidRPr="00FC6804" w:rsidRDefault="007F2CB9" w:rsidP="00F30C7E">
      <w:pPr>
        <w:spacing w:after="0" w:line="240" w:lineRule="auto"/>
        <w:rPr>
          <w:rFonts w:ascii="Arial" w:hAnsi="Arial" w:cs="Arial"/>
          <w:b/>
          <w:sz w:val="20"/>
          <w:szCs w:val="20"/>
          <w:u w:val="single"/>
        </w:rPr>
      </w:pPr>
    </w:p>
    <w:p w:rsidR="008F59DB" w:rsidRPr="00FC6804" w:rsidRDefault="008F59DB" w:rsidP="00F30C7E">
      <w:pPr>
        <w:spacing w:after="0" w:line="240" w:lineRule="auto"/>
        <w:rPr>
          <w:rFonts w:ascii="Arial" w:hAnsi="Arial" w:cs="Arial"/>
          <w:b/>
          <w:color w:val="1F4E79" w:themeColor="accent1" w:themeShade="80"/>
          <w:sz w:val="20"/>
          <w:szCs w:val="20"/>
        </w:rPr>
      </w:pPr>
      <w:r w:rsidRPr="00FC6804">
        <w:rPr>
          <w:rFonts w:ascii="Arial" w:hAnsi="Arial" w:cs="Arial"/>
          <w:b/>
          <w:color w:val="1F4E79" w:themeColor="accent1" w:themeShade="80"/>
          <w:sz w:val="20"/>
          <w:szCs w:val="20"/>
        </w:rPr>
        <w:t>Stakeholder questions</w:t>
      </w:r>
    </w:p>
    <w:p w:rsidR="00F30C7E" w:rsidRPr="00FC6804" w:rsidRDefault="00F30C7E" w:rsidP="00F30C7E">
      <w:pPr>
        <w:spacing w:after="0" w:line="240" w:lineRule="auto"/>
        <w:rPr>
          <w:rFonts w:ascii="Arial" w:hAnsi="Arial" w:cs="Arial"/>
          <w:sz w:val="20"/>
          <w:szCs w:val="20"/>
        </w:rPr>
      </w:pPr>
    </w:p>
    <w:p w:rsidR="008F59DB" w:rsidRPr="00FC6804" w:rsidRDefault="008F59DB" w:rsidP="00F30C7E">
      <w:pPr>
        <w:spacing w:after="0" w:line="240" w:lineRule="auto"/>
        <w:rPr>
          <w:rFonts w:ascii="Arial" w:hAnsi="Arial" w:cs="Arial"/>
          <w:sz w:val="20"/>
          <w:szCs w:val="20"/>
        </w:rPr>
      </w:pPr>
      <w:r w:rsidRPr="00FC6804">
        <w:rPr>
          <w:rFonts w:ascii="Arial" w:hAnsi="Arial" w:cs="Arial"/>
          <w:sz w:val="20"/>
          <w:szCs w:val="20"/>
        </w:rPr>
        <w:t>Stakeholders are invited to provide any relevant feedback on the proposed fees and/or the issues raised</w:t>
      </w:r>
      <w:r w:rsidR="00CF44B0">
        <w:rPr>
          <w:rFonts w:ascii="Arial" w:hAnsi="Arial" w:cs="Arial"/>
          <w:sz w:val="20"/>
          <w:szCs w:val="20"/>
        </w:rPr>
        <w:t xml:space="preserve"> in this RIS. </w:t>
      </w:r>
      <w:r w:rsidR="00B27EDC" w:rsidRPr="00FC6804">
        <w:rPr>
          <w:rFonts w:ascii="Arial" w:hAnsi="Arial" w:cs="Arial"/>
          <w:sz w:val="20"/>
          <w:szCs w:val="20"/>
        </w:rPr>
        <w:t>PrimeSafe</w:t>
      </w:r>
      <w:r w:rsidRPr="00FC6804">
        <w:rPr>
          <w:rFonts w:ascii="Arial" w:hAnsi="Arial" w:cs="Arial"/>
          <w:sz w:val="20"/>
          <w:szCs w:val="20"/>
        </w:rPr>
        <w:t xml:space="preserve"> particularly welcomes responses to the following key questions:</w:t>
      </w:r>
    </w:p>
    <w:p w:rsidR="00F30C7E" w:rsidRPr="00FC6804" w:rsidRDefault="00F30C7E" w:rsidP="00F30C7E">
      <w:pPr>
        <w:spacing w:after="0" w:line="240" w:lineRule="auto"/>
        <w:rPr>
          <w:rFonts w:ascii="Arial" w:hAnsi="Arial" w:cs="Arial"/>
          <w:sz w:val="20"/>
          <w:szCs w:val="20"/>
        </w:rPr>
      </w:pPr>
    </w:p>
    <w:p w:rsidR="008F59DB" w:rsidRPr="00FC6804" w:rsidRDefault="008F59DB" w:rsidP="00F30C7E">
      <w:pPr>
        <w:pStyle w:val="ListParagraph"/>
        <w:numPr>
          <w:ilvl w:val="0"/>
          <w:numId w:val="36"/>
        </w:numPr>
        <w:spacing w:after="0" w:line="240" w:lineRule="auto"/>
        <w:contextualSpacing w:val="0"/>
        <w:rPr>
          <w:rFonts w:ascii="Arial" w:hAnsi="Arial" w:cs="Arial"/>
          <w:sz w:val="20"/>
          <w:szCs w:val="20"/>
        </w:rPr>
      </w:pPr>
      <w:r w:rsidRPr="00FC6804">
        <w:rPr>
          <w:rFonts w:ascii="Arial" w:hAnsi="Arial" w:cs="Arial"/>
          <w:sz w:val="20"/>
          <w:szCs w:val="20"/>
        </w:rPr>
        <w:t>Do you believe that the proposed fee structure is appropriate, having regard to the need to generate additional revenue to support Prime</w:t>
      </w:r>
      <w:r w:rsidR="00F30C7E" w:rsidRPr="00FC6804">
        <w:rPr>
          <w:rFonts w:ascii="Arial" w:hAnsi="Arial" w:cs="Arial"/>
          <w:sz w:val="20"/>
          <w:szCs w:val="20"/>
        </w:rPr>
        <w:t>S</w:t>
      </w:r>
      <w:r w:rsidRPr="00FC6804">
        <w:rPr>
          <w:rFonts w:ascii="Arial" w:hAnsi="Arial" w:cs="Arial"/>
          <w:sz w:val="20"/>
          <w:szCs w:val="20"/>
        </w:rPr>
        <w:t>afe’s expanded functions and the need to minimise cross-subsidies between groups of licensees?</w:t>
      </w:r>
    </w:p>
    <w:p w:rsidR="00F30C7E" w:rsidRPr="00FC6804" w:rsidRDefault="00F30C7E" w:rsidP="00F30C7E">
      <w:pPr>
        <w:pStyle w:val="ListParagraph"/>
        <w:spacing w:after="0" w:line="240" w:lineRule="auto"/>
        <w:contextualSpacing w:val="0"/>
        <w:rPr>
          <w:rFonts w:ascii="Arial" w:hAnsi="Arial" w:cs="Arial"/>
          <w:sz w:val="20"/>
          <w:szCs w:val="20"/>
        </w:rPr>
      </w:pPr>
    </w:p>
    <w:p w:rsidR="008F59DB" w:rsidRPr="00FC6804" w:rsidRDefault="008F59DB" w:rsidP="00F30C7E">
      <w:pPr>
        <w:pStyle w:val="ListParagraph"/>
        <w:numPr>
          <w:ilvl w:val="0"/>
          <w:numId w:val="36"/>
        </w:numPr>
        <w:spacing w:after="0" w:line="240" w:lineRule="auto"/>
        <w:contextualSpacing w:val="0"/>
        <w:rPr>
          <w:rFonts w:ascii="Arial" w:hAnsi="Arial" w:cs="Arial"/>
          <w:sz w:val="20"/>
          <w:szCs w:val="20"/>
        </w:rPr>
      </w:pPr>
      <w:r w:rsidRPr="00FC6804">
        <w:rPr>
          <w:rFonts w:ascii="Arial" w:hAnsi="Arial" w:cs="Arial"/>
          <w:sz w:val="20"/>
          <w:szCs w:val="20"/>
        </w:rPr>
        <w:t>If not, which alternative option to you believe is superior, and why?  Are there any fee options that have not been considered in this RIS that you believe should be considered?</w:t>
      </w:r>
    </w:p>
    <w:p w:rsidR="00F30C7E" w:rsidRPr="00FC6804" w:rsidRDefault="00F30C7E" w:rsidP="00F30C7E">
      <w:pPr>
        <w:spacing w:after="0" w:line="240" w:lineRule="auto"/>
        <w:rPr>
          <w:rFonts w:ascii="Arial" w:hAnsi="Arial" w:cs="Arial"/>
          <w:sz w:val="20"/>
          <w:szCs w:val="20"/>
        </w:rPr>
      </w:pPr>
    </w:p>
    <w:p w:rsidR="008F59DB" w:rsidRPr="00FC6804" w:rsidRDefault="008F59DB" w:rsidP="00F30C7E">
      <w:pPr>
        <w:pStyle w:val="ListParagraph"/>
        <w:numPr>
          <w:ilvl w:val="0"/>
          <w:numId w:val="36"/>
        </w:numPr>
        <w:spacing w:after="0" w:line="240" w:lineRule="auto"/>
        <w:contextualSpacing w:val="0"/>
        <w:rPr>
          <w:rFonts w:ascii="Arial" w:hAnsi="Arial" w:cs="Arial"/>
          <w:sz w:val="20"/>
          <w:szCs w:val="20"/>
        </w:rPr>
      </w:pPr>
      <w:r w:rsidRPr="00FC6804">
        <w:rPr>
          <w:rFonts w:ascii="Arial" w:hAnsi="Arial" w:cs="Arial"/>
          <w:sz w:val="20"/>
          <w:szCs w:val="20"/>
        </w:rPr>
        <w:t>Do you support Prime</w:t>
      </w:r>
      <w:r w:rsidR="00F30C7E" w:rsidRPr="00FC6804">
        <w:rPr>
          <w:rFonts w:ascii="Arial" w:hAnsi="Arial" w:cs="Arial"/>
          <w:sz w:val="20"/>
          <w:szCs w:val="20"/>
        </w:rPr>
        <w:t>S</w:t>
      </w:r>
      <w:r w:rsidRPr="00FC6804">
        <w:rPr>
          <w:rFonts w:ascii="Arial" w:hAnsi="Arial" w:cs="Arial"/>
          <w:sz w:val="20"/>
          <w:szCs w:val="20"/>
        </w:rPr>
        <w:t>afe’s proposal to move to eliminate the remaining cross-subsidies implicit in the fee structure in the medium term, following a review of its inspection program and development of improved cost allocation data?</w:t>
      </w:r>
    </w:p>
    <w:p w:rsidR="00B24670" w:rsidRPr="00FC6804" w:rsidRDefault="00CB5AD6" w:rsidP="00F30C7E">
      <w:pPr>
        <w:spacing w:after="0" w:line="240" w:lineRule="auto"/>
        <w:rPr>
          <w:rFonts w:ascii="Arial" w:hAnsi="Arial" w:cs="Arial"/>
          <w:sz w:val="20"/>
          <w:szCs w:val="20"/>
        </w:rPr>
        <w:sectPr w:rsidR="00B24670" w:rsidRPr="00FC6804" w:rsidSect="007D48F5">
          <w:pgSz w:w="11906" w:h="16838"/>
          <w:pgMar w:top="1440" w:right="1440" w:bottom="1440" w:left="1440" w:header="567" w:footer="567" w:gutter="0"/>
          <w:cols w:space="708"/>
          <w:docGrid w:linePitch="360"/>
        </w:sectPr>
      </w:pPr>
      <w:r w:rsidRPr="00FC6804">
        <w:rPr>
          <w:rFonts w:ascii="Arial" w:hAnsi="Arial" w:cs="Arial"/>
          <w:sz w:val="20"/>
          <w:szCs w:val="20"/>
        </w:rPr>
        <w:br w:type="page"/>
      </w:r>
    </w:p>
    <w:bookmarkStart w:id="3" w:name="_Toc443915338" w:displacedByCustomXml="next"/>
    <w:sdt>
      <w:sdtPr>
        <w:rPr>
          <w:rFonts w:asciiTheme="minorHAnsi" w:eastAsiaTheme="minorHAnsi" w:hAnsiTheme="minorHAnsi" w:cstheme="minorBidi"/>
          <w:color w:val="auto"/>
          <w:sz w:val="20"/>
          <w:szCs w:val="20"/>
          <w:lang w:val="en-AU"/>
        </w:rPr>
        <w:id w:val="-1912916688"/>
        <w:docPartObj>
          <w:docPartGallery w:val="Table of Contents"/>
          <w:docPartUnique/>
        </w:docPartObj>
      </w:sdtPr>
      <w:sdtEndPr>
        <w:rPr>
          <w:bCs/>
        </w:rPr>
      </w:sdtEndPr>
      <w:sdtContent>
        <w:p w:rsidR="007B228D" w:rsidRPr="007944F4" w:rsidRDefault="007B228D" w:rsidP="0026792B">
          <w:pPr>
            <w:pStyle w:val="Heading1"/>
          </w:pPr>
          <w:r w:rsidRPr="007944F4">
            <w:t>Contents</w:t>
          </w:r>
          <w:bookmarkEnd w:id="3"/>
        </w:p>
        <w:p w:rsidR="001A3516" w:rsidRPr="00627690" w:rsidRDefault="001A3516" w:rsidP="00627690">
          <w:pPr>
            <w:spacing w:after="0" w:line="240" w:lineRule="auto"/>
            <w:rPr>
              <w:rFonts w:ascii="Arial" w:hAnsi="Arial" w:cs="Arial"/>
              <w:sz w:val="20"/>
              <w:szCs w:val="20"/>
            </w:rPr>
          </w:pPr>
        </w:p>
        <w:p w:rsidR="00BB5D16" w:rsidRDefault="0026792B">
          <w:pPr>
            <w:pStyle w:val="TOC1"/>
            <w:rPr>
              <w:rFonts w:asciiTheme="minorHAnsi" w:eastAsiaTheme="minorEastAsia" w:hAnsiTheme="minorHAnsi"/>
              <w:noProof/>
              <w:color w:val="auto"/>
              <w:sz w:val="22"/>
              <w:lang w:eastAsia="en-AU"/>
            </w:rPr>
          </w:pPr>
          <w:r>
            <w:rPr>
              <w:rFonts w:cs="Arial"/>
              <w:b/>
              <w:szCs w:val="20"/>
            </w:rPr>
            <w:fldChar w:fldCharType="begin"/>
          </w:r>
          <w:r>
            <w:rPr>
              <w:rFonts w:cs="Arial"/>
              <w:b/>
              <w:szCs w:val="20"/>
            </w:rPr>
            <w:instrText xml:space="preserve"> TOC \o "1-3" \h \z \u </w:instrText>
          </w:r>
          <w:r>
            <w:rPr>
              <w:rFonts w:cs="Arial"/>
              <w:b/>
              <w:szCs w:val="20"/>
            </w:rPr>
            <w:fldChar w:fldCharType="separate"/>
          </w:r>
          <w:hyperlink w:anchor="_Toc443915337" w:history="1">
            <w:r w:rsidR="00BB5D16" w:rsidRPr="007E2E1C">
              <w:rPr>
                <w:rStyle w:val="Hyperlink"/>
                <w:noProof/>
              </w:rPr>
              <w:t>1.</w:t>
            </w:r>
            <w:r w:rsidR="00BB5D16">
              <w:rPr>
                <w:rFonts w:asciiTheme="minorHAnsi" w:eastAsiaTheme="minorEastAsia" w:hAnsiTheme="minorHAnsi"/>
                <w:noProof/>
                <w:color w:val="auto"/>
                <w:sz w:val="22"/>
                <w:lang w:eastAsia="en-AU"/>
              </w:rPr>
              <w:tab/>
            </w:r>
            <w:r w:rsidR="00BB5D16" w:rsidRPr="007E2E1C">
              <w:rPr>
                <w:rStyle w:val="Hyperlink"/>
                <w:noProof/>
              </w:rPr>
              <w:t>Summary</w:t>
            </w:r>
            <w:r w:rsidR="00BB5D16">
              <w:rPr>
                <w:noProof/>
                <w:webHidden/>
              </w:rPr>
              <w:tab/>
            </w:r>
            <w:r w:rsidR="00BB5D16">
              <w:rPr>
                <w:noProof/>
                <w:webHidden/>
              </w:rPr>
              <w:fldChar w:fldCharType="begin"/>
            </w:r>
            <w:r w:rsidR="00BB5D16">
              <w:rPr>
                <w:noProof/>
                <w:webHidden/>
              </w:rPr>
              <w:instrText xml:space="preserve"> PAGEREF _Toc443915337 \h </w:instrText>
            </w:r>
            <w:r w:rsidR="00BB5D16">
              <w:rPr>
                <w:noProof/>
                <w:webHidden/>
              </w:rPr>
            </w:r>
            <w:r w:rsidR="00BB5D16">
              <w:rPr>
                <w:noProof/>
                <w:webHidden/>
              </w:rPr>
              <w:fldChar w:fldCharType="separate"/>
            </w:r>
            <w:r w:rsidR="00AD1DDF">
              <w:rPr>
                <w:noProof/>
                <w:webHidden/>
              </w:rPr>
              <w:t>3</w:t>
            </w:r>
            <w:r w:rsidR="00BB5D16">
              <w:rPr>
                <w:noProof/>
                <w:webHidden/>
              </w:rPr>
              <w:fldChar w:fldCharType="end"/>
            </w:r>
          </w:hyperlink>
        </w:p>
        <w:p w:rsidR="00BB5D16" w:rsidRDefault="00162762">
          <w:pPr>
            <w:pStyle w:val="TOC1"/>
            <w:rPr>
              <w:rFonts w:asciiTheme="minorHAnsi" w:eastAsiaTheme="minorEastAsia" w:hAnsiTheme="minorHAnsi"/>
              <w:noProof/>
              <w:color w:val="auto"/>
              <w:sz w:val="22"/>
              <w:lang w:eastAsia="en-AU"/>
            </w:rPr>
          </w:pPr>
          <w:hyperlink w:anchor="_Toc443915338" w:history="1">
            <w:r w:rsidR="00BB5D16" w:rsidRPr="007E2E1C">
              <w:rPr>
                <w:rStyle w:val="Hyperlink"/>
                <w:noProof/>
              </w:rPr>
              <w:t>2.</w:t>
            </w:r>
            <w:r w:rsidR="00BB5D16">
              <w:rPr>
                <w:rFonts w:asciiTheme="minorHAnsi" w:eastAsiaTheme="minorEastAsia" w:hAnsiTheme="minorHAnsi"/>
                <w:noProof/>
                <w:color w:val="auto"/>
                <w:sz w:val="22"/>
                <w:lang w:eastAsia="en-AU"/>
              </w:rPr>
              <w:tab/>
            </w:r>
            <w:r w:rsidR="00BB5D16" w:rsidRPr="007E2E1C">
              <w:rPr>
                <w:rStyle w:val="Hyperlink"/>
                <w:noProof/>
              </w:rPr>
              <w:t>Contents</w:t>
            </w:r>
            <w:r w:rsidR="00BB5D16">
              <w:rPr>
                <w:noProof/>
                <w:webHidden/>
              </w:rPr>
              <w:tab/>
            </w:r>
            <w:r w:rsidR="00BB5D16">
              <w:rPr>
                <w:noProof/>
                <w:webHidden/>
              </w:rPr>
              <w:fldChar w:fldCharType="begin"/>
            </w:r>
            <w:r w:rsidR="00BB5D16">
              <w:rPr>
                <w:noProof/>
                <w:webHidden/>
              </w:rPr>
              <w:instrText xml:space="preserve"> PAGEREF _Toc443915338 \h </w:instrText>
            </w:r>
            <w:r w:rsidR="00BB5D16">
              <w:rPr>
                <w:noProof/>
                <w:webHidden/>
              </w:rPr>
            </w:r>
            <w:r w:rsidR="00BB5D16">
              <w:rPr>
                <w:noProof/>
                <w:webHidden/>
              </w:rPr>
              <w:fldChar w:fldCharType="separate"/>
            </w:r>
            <w:r w:rsidR="00AD1DDF">
              <w:rPr>
                <w:noProof/>
                <w:webHidden/>
              </w:rPr>
              <w:t>13</w:t>
            </w:r>
            <w:r w:rsidR="00BB5D16">
              <w:rPr>
                <w:noProof/>
                <w:webHidden/>
              </w:rPr>
              <w:fldChar w:fldCharType="end"/>
            </w:r>
          </w:hyperlink>
        </w:p>
        <w:p w:rsidR="00BB5D16" w:rsidRDefault="00162762">
          <w:pPr>
            <w:pStyle w:val="TOC1"/>
            <w:rPr>
              <w:rFonts w:asciiTheme="minorHAnsi" w:eastAsiaTheme="minorEastAsia" w:hAnsiTheme="minorHAnsi"/>
              <w:noProof/>
              <w:color w:val="auto"/>
              <w:sz w:val="22"/>
              <w:lang w:eastAsia="en-AU"/>
            </w:rPr>
          </w:pPr>
          <w:hyperlink w:anchor="_Toc443915339" w:history="1">
            <w:r w:rsidR="00BB5D16" w:rsidRPr="007E2E1C">
              <w:rPr>
                <w:rStyle w:val="Hyperlink"/>
                <w:noProof/>
              </w:rPr>
              <w:t>3.</w:t>
            </w:r>
            <w:r w:rsidR="00BB5D16">
              <w:rPr>
                <w:rFonts w:asciiTheme="minorHAnsi" w:eastAsiaTheme="minorEastAsia" w:hAnsiTheme="minorHAnsi"/>
                <w:noProof/>
                <w:color w:val="auto"/>
                <w:sz w:val="22"/>
                <w:lang w:eastAsia="en-AU"/>
              </w:rPr>
              <w:tab/>
            </w:r>
            <w:r w:rsidR="00BB5D16" w:rsidRPr="007E2E1C">
              <w:rPr>
                <w:rStyle w:val="Hyperlink"/>
                <w:noProof/>
              </w:rPr>
              <w:t>Introduction</w:t>
            </w:r>
            <w:r w:rsidR="00BB5D16">
              <w:rPr>
                <w:noProof/>
                <w:webHidden/>
              </w:rPr>
              <w:tab/>
            </w:r>
            <w:r w:rsidR="00BB5D16">
              <w:rPr>
                <w:noProof/>
                <w:webHidden/>
              </w:rPr>
              <w:fldChar w:fldCharType="begin"/>
            </w:r>
            <w:r w:rsidR="00BB5D16">
              <w:rPr>
                <w:noProof/>
                <w:webHidden/>
              </w:rPr>
              <w:instrText xml:space="preserve"> PAGEREF _Toc443915339 \h </w:instrText>
            </w:r>
            <w:r w:rsidR="00BB5D16">
              <w:rPr>
                <w:noProof/>
                <w:webHidden/>
              </w:rPr>
            </w:r>
            <w:r w:rsidR="00BB5D16">
              <w:rPr>
                <w:noProof/>
                <w:webHidden/>
              </w:rPr>
              <w:fldChar w:fldCharType="separate"/>
            </w:r>
            <w:r w:rsidR="00AD1DDF">
              <w:rPr>
                <w:noProof/>
                <w:webHidden/>
              </w:rPr>
              <w:t>14</w:t>
            </w:r>
            <w:r w:rsidR="00BB5D16">
              <w:rPr>
                <w:noProof/>
                <w:webHidden/>
              </w:rPr>
              <w:fldChar w:fldCharType="end"/>
            </w:r>
          </w:hyperlink>
        </w:p>
        <w:p w:rsidR="00BB5D16" w:rsidRDefault="00162762">
          <w:pPr>
            <w:pStyle w:val="TOC1"/>
            <w:rPr>
              <w:rFonts w:asciiTheme="minorHAnsi" w:eastAsiaTheme="minorEastAsia" w:hAnsiTheme="minorHAnsi"/>
              <w:noProof/>
              <w:color w:val="auto"/>
              <w:sz w:val="22"/>
              <w:lang w:eastAsia="en-AU"/>
            </w:rPr>
          </w:pPr>
          <w:hyperlink w:anchor="_Toc443915340" w:history="1">
            <w:r w:rsidR="00BB5D16" w:rsidRPr="007E2E1C">
              <w:rPr>
                <w:rStyle w:val="Hyperlink"/>
                <w:noProof/>
              </w:rPr>
              <w:t>4.</w:t>
            </w:r>
            <w:r w:rsidR="00BB5D16">
              <w:rPr>
                <w:rFonts w:asciiTheme="minorHAnsi" w:eastAsiaTheme="minorEastAsia" w:hAnsiTheme="minorHAnsi"/>
                <w:noProof/>
                <w:color w:val="auto"/>
                <w:sz w:val="22"/>
                <w:lang w:eastAsia="en-AU"/>
              </w:rPr>
              <w:tab/>
            </w:r>
            <w:r w:rsidR="00BB5D16" w:rsidRPr="007E2E1C">
              <w:rPr>
                <w:rStyle w:val="Hyperlink"/>
                <w:noProof/>
              </w:rPr>
              <w:t>Background</w:t>
            </w:r>
            <w:r w:rsidR="00BB5D16">
              <w:rPr>
                <w:noProof/>
                <w:webHidden/>
              </w:rPr>
              <w:tab/>
            </w:r>
            <w:r w:rsidR="00BB5D16">
              <w:rPr>
                <w:noProof/>
                <w:webHidden/>
              </w:rPr>
              <w:fldChar w:fldCharType="begin"/>
            </w:r>
            <w:r w:rsidR="00BB5D16">
              <w:rPr>
                <w:noProof/>
                <w:webHidden/>
              </w:rPr>
              <w:instrText xml:space="preserve"> PAGEREF _Toc443915340 \h </w:instrText>
            </w:r>
            <w:r w:rsidR="00BB5D16">
              <w:rPr>
                <w:noProof/>
                <w:webHidden/>
              </w:rPr>
            </w:r>
            <w:r w:rsidR="00BB5D16">
              <w:rPr>
                <w:noProof/>
                <w:webHidden/>
              </w:rPr>
              <w:fldChar w:fldCharType="separate"/>
            </w:r>
            <w:r w:rsidR="00AD1DDF">
              <w:rPr>
                <w:noProof/>
                <w:webHidden/>
              </w:rPr>
              <w:t>15</w:t>
            </w:r>
            <w:r w:rsidR="00BB5D16">
              <w:rPr>
                <w:noProof/>
                <w:webHidden/>
              </w:rPr>
              <w:fldChar w:fldCharType="end"/>
            </w:r>
          </w:hyperlink>
        </w:p>
        <w:p w:rsidR="00BB5D16" w:rsidRDefault="00162762">
          <w:pPr>
            <w:pStyle w:val="TOC1"/>
            <w:rPr>
              <w:rFonts w:asciiTheme="minorHAnsi" w:eastAsiaTheme="minorEastAsia" w:hAnsiTheme="minorHAnsi"/>
              <w:noProof/>
              <w:color w:val="auto"/>
              <w:sz w:val="22"/>
              <w:lang w:eastAsia="en-AU"/>
            </w:rPr>
          </w:pPr>
          <w:hyperlink w:anchor="_Toc443915341" w:history="1">
            <w:r w:rsidR="00BB5D16" w:rsidRPr="007E2E1C">
              <w:rPr>
                <w:rStyle w:val="Hyperlink"/>
                <w:noProof/>
              </w:rPr>
              <w:t>5.</w:t>
            </w:r>
            <w:r w:rsidR="00BB5D16">
              <w:rPr>
                <w:rFonts w:asciiTheme="minorHAnsi" w:eastAsiaTheme="minorEastAsia" w:hAnsiTheme="minorHAnsi"/>
                <w:noProof/>
                <w:color w:val="auto"/>
                <w:sz w:val="22"/>
                <w:lang w:eastAsia="en-AU"/>
              </w:rPr>
              <w:tab/>
            </w:r>
            <w:r w:rsidR="00BB5D16" w:rsidRPr="007E2E1C">
              <w:rPr>
                <w:rStyle w:val="Hyperlink"/>
                <w:noProof/>
              </w:rPr>
              <w:t>Nature and extent of the problem</w:t>
            </w:r>
            <w:r w:rsidR="00BB5D16">
              <w:rPr>
                <w:noProof/>
                <w:webHidden/>
              </w:rPr>
              <w:tab/>
            </w:r>
            <w:r w:rsidR="00BB5D16">
              <w:rPr>
                <w:noProof/>
                <w:webHidden/>
              </w:rPr>
              <w:fldChar w:fldCharType="begin"/>
            </w:r>
            <w:r w:rsidR="00BB5D16">
              <w:rPr>
                <w:noProof/>
                <w:webHidden/>
              </w:rPr>
              <w:instrText xml:space="preserve"> PAGEREF _Toc443915341 \h </w:instrText>
            </w:r>
            <w:r w:rsidR="00BB5D16">
              <w:rPr>
                <w:noProof/>
                <w:webHidden/>
              </w:rPr>
            </w:r>
            <w:r w:rsidR="00BB5D16">
              <w:rPr>
                <w:noProof/>
                <w:webHidden/>
              </w:rPr>
              <w:fldChar w:fldCharType="separate"/>
            </w:r>
            <w:r w:rsidR="00AD1DDF">
              <w:rPr>
                <w:noProof/>
                <w:webHidden/>
              </w:rPr>
              <w:t>16</w:t>
            </w:r>
            <w:r w:rsidR="00BB5D16">
              <w:rPr>
                <w:noProof/>
                <w:webHidden/>
              </w:rPr>
              <w:fldChar w:fldCharType="end"/>
            </w:r>
          </w:hyperlink>
        </w:p>
        <w:p w:rsidR="00BB5D16" w:rsidRDefault="00162762">
          <w:pPr>
            <w:pStyle w:val="TOC2"/>
            <w:rPr>
              <w:rFonts w:asciiTheme="minorHAnsi" w:eastAsiaTheme="minorEastAsia" w:hAnsiTheme="minorHAnsi"/>
              <w:noProof/>
              <w:color w:val="auto"/>
              <w:sz w:val="22"/>
              <w:lang w:eastAsia="en-AU"/>
            </w:rPr>
          </w:pPr>
          <w:hyperlink w:anchor="_Toc443915342" w:history="1">
            <w:r w:rsidR="00BB5D16" w:rsidRPr="007E2E1C">
              <w:rPr>
                <w:rStyle w:val="Hyperlink"/>
                <w:rFonts w:cs="Arial"/>
                <w:b/>
                <w:noProof/>
              </w:rPr>
              <w:t>5.1.</w:t>
            </w:r>
            <w:r w:rsidR="00BB5D16">
              <w:rPr>
                <w:rFonts w:asciiTheme="minorHAnsi" w:eastAsiaTheme="minorEastAsia" w:hAnsiTheme="minorHAnsi"/>
                <w:noProof/>
                <w:color w:val="auto"/>
                <w:sz w:val="22"/>
                <w:lang w:eastAsia="en-AU"/>
              </w:rPr>
              <w:tab/>
            </w:r>
            <w:r w:rsidR="00BB5D16" w:rsidRPr="007E2E1C">
              <w:rPr>
                <w:rStyle w:val="Hyperlink"/>
                <w:rFonts w:cs="Arial"/>
                <w:b/>
                <w:noProof/>
              </w:rPr>
              <w:t>Overview</w:t>
            </w:r>
            <w:r w:rsidR="00BB5D16">
              <w:rPr>
                <w:noProof/>
                <w:webHidden/>
              </w:rPr>
              <w:tab/>
            </w:r>
            <w:r w:rsidR="00BB5D16">
              <w:rPr>
                <w:noProof/>
                <w:webHidden/>
              </w:rPr>
              <w:fldChar w:fldCharType="begin"/>
            </w:r>
            <w:r w:rsidR="00BB5D16">
              <w:rPr>
                <w:noProof/>
                <w:webHidden/>
              </w:rPr>
              <w:instrText xml:space="preserve"> PAGEREF _Toc443915342 \h </w:instrText>
            </w:r>
            <w:r w:rsidR="00BB5D16">
              <w:rPr>
                <w:noProof/>
                <w:webHidden/>
              </w:rPr>
            </w:r>
            <w:r w:rsidR="00BB5D16">
              <w:rPr>
                <w:noProof/>
                <w:webHidden/>
              </w:rPr>
              <w:fldChar w:fldCharType="separate"/>
            </w:r>
            <w:r w:rsidR="00AD1DDF">
              <w:rPr>
                <w:noProof/>
                <w:webHidden/>
              </w:rPr>
              <w:t>16</w:t>
            </w:r>
            <w:r w:rsidR="00BB5D16">
              <w:rPr>
                <w:noProof/>
                <w:webHidden/>
              </w:rPr>
              <w:fldChar w:fldCharType="end"/>
            </w:r>
          </w:hyperlink>
        </w:p>
        <w:p w:rsidR="00BB5D16" w:rsidRDefault="00162762">
          <w:pPr>
            <w:pStyle w:val="TOC2"/>
            <w:rPr>
              <w:rFonts w:asciiTheme="minorHAnsi" w:eastAsiaTheme="minorEastAsia" w:hAnsiTheme="minorHAnsi"/>
              <w:noProof/>
              <w:color w:val="auto"/>
              <w:sz w:val="22"/>
              <w:lang w:eastAsia="en-AU"/>
            </w:rPr>
          </w:pPr>
          <w:hyperlink w:anchor="_Toc443915343" w:history="1">
            <w:r w:rsidR="00BB5D16" w:rsidRPr="007E2E1C">
              <w:rPr>
                <w:rStyle w:val="Hyperlink"/>
                <w:rFonts w:cs="Arial"/>
                <w:b/>
                <w:noProof/>
              </w:rPr>
              <w:t>5.2.</w:t>
            </w:r>
            <w:r w:rsidR="00BB5D16">
              <w:rPr>
                <w:rFonts w:asciiTheme="minorHAnsi" w:eastAsiaTheme="minorEastAsia" w:hAnsiTheme="minorHAnsi"/>
                <w:noProof/>
                <w:color w:val="auto"/>
                <w:sz w:val="22"/>
                <w:lang w:eastAsia="en-AU"/>
              </w:rPr>
              <w:tab/>
            </w:r>
            <w:r w:rsidR="00BB5D16" w:rsidRPr="007E2E1C">
              <w:rPr>
                <w:rStyle w:val="Hyperlink"/>
                <w:rFonts w:cs="Arial"/>
                <w:b/>
                <w:noProof/>
              </w:rPr>
              <w:t>Achieving full cost recovery in the medium-term</w:t>
            </w:r>
            <w:r w:rsidR="00BB5D16">
              <w:rPr>
                <w:noProof/>
                <w:webHidden/>
              </w:rPr>
              <w:tab/>
            </w:r>
            <w:r w:rsidR="00BB5D16">
              <w:rPr>
                <w:noProof/>
                <w:webHidden/>
              </w:rPr>
              <w:fldChar w:fldCharType="begin"/>
            </w:r>
            <w:r w:rsidR="00BB5D16">
              <w:rPr>
                <w:noProof/>
                <w:webHidden/>
              </w:rPr>
              <w:instrText xml:space="preserve"> PAGEREF _Toc443915343 \h </w:instrText>
            </w:r>
            <w:r w:rsidR="00BB5D16">
              <w:rPr>
                <w:noProof/>
                <w:webHidden/>
              </w:rPr>
            </w:r>
            <w:r w:rsidR="00BB5D16">
              <w:rPr>
                <w:noProof/>
                <w:webHidden/>
              </w:rPr>
              <w:fldChar w:fldCharType="separate"/>
            </w:r>
            <w:r w:rsidR="00AD1DDF">
              <w:rPr>
                <w:noProof/>
                <w:webHidden/>
              </w:rPr>
              <w:t>16</w:t>
            </w:r>
            <w:r w:rsidR="00BB5D16">
              <w:rPr>
                <w:noProof/>
                <w:webHidden/>
              </w:rPr>
              <w:fldChar w:fldCharType="end"/>
            </w:r>
          </w:hyperlink>
        </w:p>
        <w:p w:rsidR="00BB5D16" w:rsidRDefault="00162762">
          <w:pPr>
            <w:pStyle w:val="TOC2"/>
            <w:rPr>
              <w:rFonts w:asciiTheme="minorHAnsi" w:eastAsiaTheme="minorEastAsia" w:hAnsiTheme="minorHAnsi"/>
              <w:noProof/>
              <w:color w:val="auto"/>
              <w:sz w:val="22"/>
              <w:lang w:eastAsia="en-AU"/>
            </w:rPr>
          </w:pPr>
          <w:hyperlink w:anchor="_Toc443915344" w:history="1">
            <w:r w:rsidR="00BB5D16" w:rsidRPr="007E2E1C">
              <w:rPr>
                <w:rStyle w:val="Hyperlink"/>
                <w:rFonts w:cs="Arial"/>
                <w:b/>
                <w:noProof/>
              </w:rPr>
              <w:t>5.3.</w:t>
            </w:r>
            <w:r w:rsidR="00BB5D16">
              <w:rPr>
                <w:rFonts w:asciiTheme="minorHAnsi" w:eastAsiaTheme="minorEastAsia" w:hAnsiTheme="minorHAnsi"/>
                <w:noProof/>
                <w:color w:val="auto"/>
                <w:sz w:val="22"/>
                <w:lang w:eastAsia="en-AU"/>
              </w:rPr>
              <w:tab/>
            </w:r>
            <w:r w:rsidR="00BB5D16" w:rsidRPr="007E2E1C">
              <w:rPr>
                <w:rStyle w:val="Hyperlink"/>
                <w:rFonts w:cs="Arial"/>
                <w:b/>
                <w:noProof/>
              </w:rPr>
              <w:t>Addressing cross-subsidies between licence categories</w:t>
            </w:r>
            <w:r w:rsidR="00BB5D16">
              <w:rPr>
                <w:noProof/>
                <w:webHidden/>
              </w:rPr>
              <w:tab/>
            </w:r>
            <w:r w:rsidR="00BB5D16">
              <w:rPr>
                <w:noProof/>
                <w:webHidden/>
              </w:rPr>
              <w:fldChar w:fldCharType="begin"/>
            </w:r>
            <w:r w:rsidR="00BB5D16">
              <w:rPr>
                <w:noProof/>
                <w:webHidden/>
              </w:rPr>
              <w:instrText xml:space="preserve"> PAGEREF _Toc443915344 \h </w:instrText>
            </w:r>
            <w:r w:rsidR="00BB5D16">
              <w:rPr>
                <w:noProof/>
                <w:webHidden/>
              </w:rPr>
            </w:r>
            <w:r w:rsidR="00BB5D16">
              <w:rPr>
                <w:noProof/>
                <w:webHidden/>
              </w:rPr>
              <w:fldChar w:fldCharType="separate"/>
            </w:r>
            <w:r w:rsidR="00AD1DDF">
              <w:rPr>
                <w:noProof/>
                <w:webHidden/>
              </w:rPr>
              <w:t>23</w:t>
            </w:r>
            <w:r w:rsidR="00BB5D16">
              <w:rPr>
                <w:noProof/>
                <w:webHidden/>
              </w:rPr>
              <w:fldChar w:fldCharType="end"/>
            </w:r>
          </w:hyperlink>
        </w:p>
        <w:p w:rsidR="00BB5D16" w:rsidRDefault="00162762">
          <w:pPr>
            <w:pStyle w:val="TOC2"/>
            <w:rPr>
              <w:rFonts w:asciiTheme="minorHAnsi" w:eastAsiaTheme="minorEastAsia" w:hAnsiTheme="minorHAnsi"/>
              <w:noProof/>
              <w:color w:val="auto"/>
              <w:sz w:val="22"/>
              <w:lang w:eastAsia="en-AU"/>
            </w:rPr>
          </w:pPr>
          <w:hyperlink w:anchor="_Toc443915345" w:history="1">
            <w:r w:rsidR="00BB5D16" w:rsidRPr="007E2E1C">
              <w:rPr>
                <w:rStyle w:val="Hyperlink"/>
                <w:rFonts w:cs="Arial"/>
                <w:b/>
                <w:noProof/>
              </w:rPr>
              <w:t>5.4.</w:t>
            </w:r>
            <w:r w:rsidR="00BB5D16">
              <w:rPr>
                <w:rFonts w:asciiTheme="minorHAnsi" w:eastAsiaTheme="minorEastAsia" w:hAnsiTheme="minorHAnsi"/>
                <w:noProof/>
                <w:color w:val="auto"/>
                <w:sz w:val="22"/>
                <w:lang w:eastAsia="en-AU"/>
              </w:rPr>
              <w:tab/>
            </w:r>
            <w:r w:rsidR="00BB5D16" w:rsidRPr="007E2E1C">
              <w:rPr>
                <w:rStyle w:val="Hyperlink"/>
                <w:rFonts w:cs="Arial"/>
                <w:b/>
                <w:noProof/>
              </w:rPr>
              <w:t>Streamlining output-based fee categories</w:t>
            </w:r>
            <w:r w:rsidR="00BB5D16">
              <w:rPr>
                <w:noProof/>
                <w:webHidden/>
              </w:rPr>
              <w:tab/>
            </w:r>
            <w:r w:rsidR="00BB5D16">
              <w:rPr>
                <w:noProof/>
                <w:webHidden/>
              </w:rPr>
              <w:fldChar w:fldCharType="begin"/>
            </w:r>
            <w:r w:rsidR="00BB5D16">
              <w:rPr>
                <w:noProof/>
                <w:webHidden/>
              </w:rPr>
              <w:instrText xml:space="preserve"> PAGEREF _Toc443915345 \h </w:instrText>
            </w:r>
            <w:r w:rsidR="00BB5D16">
              <w:rPr>
                <w:noProof/>
                <w:webHidden/>
              </w:rPr>
            </w:r>
            <w:r w:rsidR="00BB5D16">
              <w:rPr>
                <w:noProof/>
                <w:webHidden/>
              </w:rPr>
              <w:fldChar w:fldCharType="separate"/>
            </w:r>
            <w:r w:rsidR="00AD1DDF">
              <w:rPr>
                <w:noProof/>
                <w:webHidden/>
              </w:rPr>
              <w:t>26</w:t>
            </w:r>
            <w:r w:rsidR="00BB5D16">
              <w:rPr>
                <w:noProof/>
                <w:webHidden/>
              </w:rPr>
              <w:fldChar w:fldCharType="end"/>
            </w:r>
          </w:hyperlink>
        </w:p>
        <w:p w:rsidR="00BB5D16" w:rsidRDefault="00162762">
          <w:pPr>
            <w:pStyle w:val="TOC1"/>
            <w:rPr>
              <w:rFonts w:asciiTheme="minorHAnsi" w:eastAsiaTheme="minorEastAsia" w:hAnsiTheme="minorHAnsi"/>
              <w:noProof/>
              <w:color w:val="auto"/>
              <w:sz w:val="22"/>
              <w:lang w:eastAsia="en-AU"/>
            </w:rPr>
          </w:pPr>
          <w:hyperlink w:anchor="_Toc443915346" w:history="1">
            <w:r w:rsidR="00BB5D16" w:rsidRPr="007E2E1C">
              <w:rPr>
                <w:rStyle w:val="Hyperlink"/>
                <w:noProof/>
              </w:rPr>
              <w:t>6.</w:t>
            </w:r>
            <w:r w:rsidR="00BB5D16">
              <w:rPr>
                <w:rFonts w:asciiTheme="minorHAnsi" w:eastAsiaTheme="minorEastAsia" w:hAnsiTheme="minorHAnsi"/>
                <w:noProof/>
                <w:color w:val="auto"/>
                <w:sz w:val="22"/>
                <w:lang w:eastAsia="en-AU"/>
              </w:rPr>
              <w:tab/>
            </w:r>
            <w:r w:rsidR="00BB5D16" w:rsidRPr="007E2E1C">
              <w:rPr>
                <w:rStyle w:val="Hyperlink"/>
                <w:noProof/>
              </w:rPr>
              <w:t>Objectives of the proposed fees order</w:t>
            </w:r>
            <w:r w:rsidR="00BB5D16">
              <w:rPr>
                <w:noProof/>
                <w:webHidden/>
              </w:rPr>
              <w:tab/>
            </w:r>
            <w:r w:rsidR="00BB5D16">
              <w:rPr>
                <w:noProof/>
                <w:webHidden/>
              </w:rPr>
              <w:fldChar w:fldCharType="begin"/>
            </w:r>
            <w:r w:rsidR="00BB5D16">
              <w:rPr>
                <w:noProof/>
                <w:webHidden/>
              </w:rPr>
              <w:instrText xml:space="preserve"> PAGEREF _Toc443915346 \h </w:instrText>
            </w:r>
            <w:r w:rsidR="00BB5D16">
              <w:rPr>
                <w:noProof/>
                <w:webHidden/>
              </w:rPr>
            </w:r>
            <w:r w:rsidR="00BB5D16">
              <w:rPr>
                <w:noProof/>
                <w:webHidden/>
              </w:rPr>
              <w:fldChar w:fldCharType="separate"/>
            </w:r>
            <w:r w:rsidR="00AD1DDF">
              <w:rPr>
                <w:noProof/>
                <w:webHidden/>
              </w:rPr>
              <w:t>29</w:t>
            </w:r>
            <w:r w:rsidR="00BB5D16">
              <w:rPr>
                <w:noProof/>
                <w:webHidden/>
              </w:rPr>
              <w:fldChar w:fldCharType="end"/>
            </w:r>
          </w:hyperlink>
        </w:p>
        <w:p w:rsidR="00BB5D16" w:rsidRDefault="00162762">
          <w:pPr>
            <w:pStyle w:val="TOC1"/>
            <w:rPr>
              <w:rFonts w:asciiTheme="minorHAnsi" w:eastAsiaTheme="minorEastAsia" w:hAnsiTheme="minorHAnsi"/>
              <w:noProof/>
              <w:color w:val="auto"/>
              <w:sz w:val="22"/>
              <w:lang w:eastAsia="en-AU"/>
            </w:rPr>
          </w:pPr>
          <w:hyperlink w:anchor="_Toc443915347" w:history="1">
            <w:r w:rsidR="00BB5D16" w:rsidRPr="007E2E1C">
              <w:rPr>
                <w:rStyle w:val="Hyperlink"/>
                <w:noProof/>
              </w:rPr>
              <w:t>7.</w:t>
            </w:r>
            <w:r w:rsidR="00BB5D16">
              <w:rPr>
                <w:rFonts w:asciiTheme="minorHAnsi" w:eastAsiaTheme="minorEastAsia" w:hAnsiTheme="minorHAnsi"/>
                <w:noProof/>
                <w:color w:val="auto"/>
                <w:sz w:val="22"/>
                <w:lang w:eastAsia="en-AU"/>
              </w:rPr>
              <w:tab/>
            </w:r>
            <w:r w:rsidR="00BB5D16" w:rsidRPr="007E2E1C">
              <w:rPr>
                <w:rStyle w:val="Hyperlink"/>
                <w:noProof/>
              </w:rPr>
              <w:t>Overview of feasible options</w:t>
            </w:r>
            <w:r w:rsidR="00BB5D16">
              <w:rPr>
                <w:noProof/>
                <w:webHidden/>
              </w:rPr>
              <w:tab/>
            </w:r>
            <w:r w:rsidR="00BB5D16">
              <w:rPr>
                <w:noProof/>
                <w:webHidden/>
              </w:rPr>
              <w:fldChar w:fldCharType="begin"/>
            </w:r>
            <w:r w:rsidR="00BB5D16">
              <w:rPr>
                <w:noProof/>
                <w:webHidden/>
              </w:rPr>
              <w:instrText xml:space="preserve"> PAGEREF _Toc443915347 \h </w:instrText>
            </w:r>
            <w:r w:rsidR="00BB5D16">
              <w:rPr>
                <w:noProof/>
                <w:webHidden/>
              </w:rPr>
            </w:r>
            <w:r w:rsidR="00BB5D16">
              <w:rPr>
                <w:noProof/>
                <w:webHidden/>
              </w:rPr>
              <w:fldChar w:fldCharType="separate"/>
            </w:r>
            <w:r w:rsidR="00AD1DDF">
              <w:rPr>
                <w:noProof/>
                <w:webHidden/>
              </w:rPr>
              <w:t>30</w:t>
            </w:r>
            <w:r w:rsidR="00BB5D16">
              <w:rPr>
                <w:noProof/>
                <w:webHidden/>
              </w:rPr>
              <w:fldChar w:fldCharType="end"/>
            </w:r>
          </w:hyperlink>
        </w:p>
        <w:p w:rsidR="00BB5D16" w:rsidRDefault="00162762">
          <w:pPr>
            <w:pStyle w:val="TOC1"/>
            <w:rPr>
              <w:rFonts w:asciiTheme="minorHAnsi" w:eastAsiaTheme="minorEastAsia" w:hAnsiTheme="minorHAnsi"/>
              <w:noProof/>
              <w:color w:val="auto"/>
              <w:sz w:val="22"/>
              <w:lang w:eastAsia="en-AU"/>
            </w:rPr>
          </w:pPr>
          <w:hyperlink w:anchor="_Toc443915348" w:history="1">
            <w:r w:rsidR="00BB5D16" w:rsidRPr="007E2E1C">
              <w:rPr>
                <w:rStyle w:val="Hyperlink"/>
                <w:noProof/>
              </w:rPr>
              <w:t>8.</w:t>
            </w:r>
            <w:r w:rsidR="00BB5D16">
              <w:rPr>
                <w:rFonts w:asciiTheme="minorHAnsi" w:eastAsiaTheme="minorEastAsia" w:hAnsiTheme="minorHAnsi"/>
                <w:noProof/>
                <w:color w:val="auto"/>
                <w:sz w:val="22"/>
                <w:lang w:eastAsia="en-AU"/>
              </w:rPr>
              <w:tab/>
            </w:r>
            <w:r w:rsidR="00BB5D16" w:rsidRPr="007E2E1C">
              <w:rPr>
                <w:rStyle w:val="Hyperlink"/>
                <w:noProof/>
              </w:rPr>
              <w:t>Option 1: A flat percentage increase in all fees</w:t>
            </w:r>
            <w:r w:rsidR="00BB5D16">
              <w:rPr>
                <w:noProof/>
                <w:webHidden/>
              </w:rPr>
              <w:tab/>
            </w:r>
            <w:r w:rsidR="00BB5D16">
              <w:rPr>
                <w:noProof/>
                <w:webHidden/>
              </w:rPr>
              <w:fldChar w:fldCharType="begin"/>
            </w:r>
            <w:r w:rsidR="00BB5D16">
              <w:rPr>
                <w:noProof/>
                <w:webHidden/>
              </w:rPr>
              <w:instrText xml:space="preserve"> PAGEREF _Toc443915348 \h </w:instrText>
            </w:r>
            <w:r w:rsidR="00BB5D16">
              <w:rPr>
                <w:noProof/>
                <w:webHidden/>
              </w:rPr>
            </w:r>
            <w:r w:rsidR="00BB5D16">
              <w:rPr>
                <w:noProof/>
                <w:webHidden/>
              </w:rPr>
              <w:fldChar w:fldCharType="separate"/>
            </w:r>
            <w:r w:rsidR="00AD1DDF">
              <w:rPr>
                <w:noProof/>
                <w:webHidden/>
              </w:rPr>
              <w:t>32</w:t>
            </w:r>
            <w:r w:rsidR="00BB5D16">
              <w:rPr>
                <w:noProof/>
                <w:webHidden/>
              </w:rPr>
              <w:fldChar w:fldCharType="end"/>
            </w:r>
          </w:hyperlink>
        </w:p>
        <w:p w:rsidR="00BB5D16" w:rsidRDefault="00162762">
          <w:pPr>
            <w:pStyle w:val="TOC2"/>
            <w:rPr>
              <w:rFonts w:asciiTheme="minorHAnsi" w:eastAsiaTheme="minorEastAsia" w:hAnsiTheme="minorHAnsi"/>
              <w:noProof/>
              <w:color w:val="auto"/>
              <w:sz w:val="22"/>
              <w:lang w:eastAsia="en-AU"/>
            </w:rPr>
          </w:pPr>
          <w:hyperlink w:anchor="_Toc443915349" w:history="1">
            <w:r w:rsidR="00BB5D16" w:rsidRPr="007E2E1C">
              <w:rPr>
                <w:rStyle w:val="Hyperlink"/>
                <w:rFonts w:cs="Arial"/>
                <w:b/>
                <w:noProof/>
              </w:rPr>
              <w:t>8.1.</w:t>
            </w:r>
            <w:r w:rsidR="00BB5D16">
              <w:rPr>
                <w:rFonts w:asciiTheme="minorHAnsi" w:eastAsiaTheme="minorEastAsia" w:hAnsiTheme="minorHAnsi"/>
                <w:noProof/>
                <w:color w:val="auto"/>
                <w:sz w:val="22"/>
                <w:lang w:eastAsia="en-AU"/>
              </w:rPr>
              <w:tab/>
            </w:r>
            <w:r w:rsidR="00BB5D16" w:rsidRPr="007E2E1C">
              <w:rPr>
                <w:rStyle w:val="Hyperlink"/>
                <w:rFonts w:cs="Arial"/>
                <w:b/>
                <w:noProof/>
              </w:rPr>
              <w:t>Description of the option</w:t>
            </w:r>
            <w:r w:rsidR="00BB5D16">
              <w:rPr>
                <w:noProof/>
                <w:webHidden/>
              </w:rPr>
              <w:tab/>
            </w:r>
            <w:r w:rsidR="00BB5D16">
              <w:rPr>
                <w:noProof/>
                <w:webHidden/>
              </w:rPr>
              <w:fldChar w:fldCharType="begin"/>
            </w:r>
            <w:r w:rsidR="00BB5D16">
              <w:rPr>
                <w:noProof/>
                <w:webHidden/>
              </w:rPr>
              <w:instrText xml:space="preserve"> PAGEREF _Toc443915349 \h </w:instrText>
            </w:r>
            <w:r w:rsidR="00BB5D16">
              <w:rPr>
                <w:noProof/>
                <w:webHidden/>
              </w:rPr>
            </w:r>
            <w:r w:rsidR="00BB5D16">
              <w:rPr>
                <w:noProof/>
                <w:webHidden/>
              </w:rPr>
              <w:fldChar w:fldCharType="separate"/>
            </w:r>
            <w:r w:rsidR="00AD1DDF">
              <w:rPr>
                <w:noProof/>
                <w:webHidden/>
              </w:rPr>
              <w:t>32</w:t>
            </w:r>
            <w:r w:rsidR="00BB5D16">
              <w:rPr>
                <w:noProof/>
                <w:webHidden/>
              </w:rPr>
              <w:fldChar w:fldCharType="end"/>
            </w:r>
          </w:hyperlink>
        </w:p>
        <w:p w:rsidR="00BB5D16" w:rsidRDefault="00162762">
          <w:pPr>
            <w:pStyle w:val="TOC2"/>
            <w:rPr>
              <w:rFonts w:asciiTheme="minorHAnsi" w:eastAsiaTheme="minorEastAsia" w:hAnsiTheme="minorHAnsi"/>
              <w:noProof/>
              <w:color w:val="auto"/>
              <w:sz w:val="22"/>
              <w:lang w:eastAsia="en-AU"/>
            </w:rPr>
          </w:pPr>
          <w:hyperlink w:anchor="_Toc443915350" w:history="1">
            <w:r w:rsidR="00BB5D16" w:rsidRPr="007E2E1C">
              <w:rPr>
                <w:rStyle w:val="Hyperlink"/>
                <w:rFonts w:cs="Arial"/>
                <w:b/>
                <w:noProof/>
              </w:rPr>
              <w:t>8.2.</w:t>
            </w:r>
            <w:r w:rsidR="00BB5D16">
              <w:rPr>
                <w:rFonts w:asciiTheme="minorHAnsi" w:eastAsiaTheme="minorEastAsia" w:hAnsiTheme="minorHAnsi"/>
                <w:noProof/>
                <w:color w:val="auto"/>
                <w:sz w:val="22"/>
                <w:lang w:eastAsia="en-AU"/>
              </w:rPr>
              <w:tab/>
            </w:r>
            <w:r w:rsidR="00BB5D16" w:rsidRPr="007E2E1C">
              <w:rPr>
                <w:rStyle w:val="Hyperlink"/>
                <w:rFonts w:cs="Arial"/>
                <w:b/>
                <w:noProof/>
              </w:rPr>
              <w:t>Expected benefits of the option</w:t>
            </w:r>
            <w:r w:rsidR="00BB5D16">
              <w:rPr>
                <w:noProof/>
                <w:webHidden/>
              </w:rPr>
              <w:tab/>
            </w:r>
            <w:r w:rsidR="00BB5D16">
              <w:rPr>
                <w:noProof/>
                <w:webHidden/>
              </w:rPr>
              <w:fldChar w:fldCharType="begin"/>
            </w:r>
            <w:r w:rsidR="00BB5D16">
              <w:rPr>
                <w:noProof/>
                <w:webHidden/>
              </w:rPr>
              <w:instrText xml:space="preserve"> PAGEREF _Toc443915350 \h </w:instrText>
            </w:r>
            <w:r w:rsidR="00BB5D16">
              <w:rPr>
                <w:noProof/>
                <w:webHidden/>
              </w:rPr>
            </w:r>
            <w:r w:rsidR="00BB5D16">
              <w:rPr>
                <w:noProof/>
                <w:webHidden/>
              </w:rPr>
              <w:fldChar w:fldCharType="separate"/>
            </w:r>
            <w:r w:rsidR="00AD1DDF">
              <w:rPr>
                <w:noProof/>
                <w:webHidden/>
              </w:rPr>
              <w:t>35</w:t>
            </w:r>
            <w:r w:rsidR="00BB5D16">
              <w:rPr>
                <w:noProof/>
                <w:webHidden/>
              </w:rPr>
              <w:fldChar w:fldCharType="end"/>
            </w:r>
          </w:hyperlink>
        </w:p>
        <w:p w:rsidR="00BB5D16" w:rsidRDefault="00162762">
          <w:pPr>
            <w:pStyle w:val="TOC2"/>
            <w:rPr>
              <w:rFonts w:asciiTheme="minorHAnsi" w:eastAsiaTheme="minorEastAsia" w:hAnsiTheme="minorHAnsi"/>
              <w:noProof/>
              <w:color w:val="auto"/>
              <w:sz w:val="22"/>
              <w:lang w:eastAsia="en-AU"/>
            </w:rPr>
          </w:pPr>
          <w:hyperlink w:anchor="_Toc443915351" w:history="1">
            <w:r w:rsidR="00BB5D16" w:rsidRPr="007E2E1C">
              <w:rPr>
                <w:rStyle w:val="Hyperlink"/>
                <w:rFonts w:cs="Arial"/>
                <w:b/>
                <w:noProof/>
              </w:rPr>
              <w:t>8.3.</w:t>
            </w:r>
            <w:r w:rsidR="00BB5D16">
              <w:rPr>
                <w:rFonts w:asciiTheme="minorHAnsi" w:eastAsiaTheme="minorEastAsia" w:hAnsiTheme="minorHAnsi"/>
                <w:noProof/>
                <w:color w:val="auto"/>
                <w:sz w:val="22"/>
                <w:lang w:eastAsia="en-AU"/>
              </w:rPr>
              <w:tab/>
            </w:r>
            <w:r w:rsidR="00BB5D16" w:rsidRPr="007E2E1C">
              <w:rPr>
                <w:rStyle w:val="Hyperlink"/>
                <w:rFonts w:cs="Arial"/>
                <w:b/>
                <w:noProof/>
              </w:rPr>
              <w:t>Expected costs of the option</w:t>
            </w:r>
            <w:r w:rsidR="00BB5D16">
              <w:rPr>
                <w:noProof/>
                <w:webHidden/>
              </w:rPr>
              <w:tab/>
            </w:r>
            <w:r w:rsidR="00BB5D16">
              <w:rPr>
                <w:noProof/>
                <w:webHidden/>
              </w:rPr>
              <w:fldChar w:fldCharType="begin"/>
            </w:r>
            <w:r w:rsidR="00BB5D16">
              <w:rPr>
                <w:noProof/>
                <w:webHidden/>
              </w:rPr>
              <w:instrText xml:space="preserve"> PAGEREF _Toc443915351 \h </w:instrText>
            </w:r>
            <w:r w:rsidR="00BB5D16">
              <w:rPr>
                <w:noProof/>
                <w:webHidden/>
              </w:rPr>
            </w:r>
            <w:r w:rsidR="00BB5D16">
              <w:rPr>
                <w:noProof/>
                <w:webHidden/>
              </w:rPr>
              <w:fldChar w:fldCharType="separate"/>
            </w:r>
            <w:r w:rsidR="00AD1DDF">
              <w:rPr>
                <w:noProof/>
                <w:webHidden/>
              </w:rPr>
              <w:t>35</w:t>
            </w:r>
            <w:r w:rsidR="00BB5D16">
              <w:rPr>
                <w:noProof/>
                <w:webHidden/>
              </w:rPr>
              <w:fldChar w:fldCharType="end"/>
            </w:r>
          </w:hyperlink>
        </w:p>
        <w:p w:rsidR="00BB5D16" w:rsidRDefault="00162762">
          <w:pPr>
            <w:pStyle w:val="TOC1"/>
            <w:rPr>
              <w:rFonts w:asciiTheme="minorHAnsi" w:eastAsiaTheme="minorEastAsia" w:hAnsiTheme="minorHAnsi"/>
              <w:noProof/>
              <w:color w:val="auto"/>
              <w:sz w:val="22"/>
              <w:lang w:eastAsia="en-AU"/>
            </w:rPr>
          </w:pPr>
          <w:hyperlink w:anchor="_Toc443915352" w:history="1">
            <w:r w:rsidR="00BB5D16" w:rsidRPr="007E2E1C">
              <w:rPr>
                <w:rStyle w:val="Hyperlink"/>
                <w:noProof/>
              </w:rPr>
              <w:t>9.</w:t>
            </w:r>
            <w:r w:rsidR="00BB5D16">
              <w:rPr>
                <w:rFonts w:asciiTheme="minorHAnsi" w:eastAsiaTheme="minorEastAsia" w:hAnsiTheme="minorHAnsi"/>
                <w:noProof/>
                <w:color w:val="auto"/>
                <w:sz w:val="22"/>
                <w:lang w:eastAsia="en-AU"/>
              </w:rPr>
              <w:tab/>
            </w:r>
            <w:r w:rsidR="00BB5D16" w:rsidRPr="007E2E1C">
              <w:rPr>
                <w:rStyle w:val="Hyperlink"/>
                <w:noProof/>
              </w:rPr>
              <w:t>Option 2: Limited amendments to the existing fee schedule</w:t>
            </w:r>
            <w:r w:rsidR="00BB5D16">
              <w:rPr>
                <w:noProof/>
                <w:webHidden/>
              </w:rPr>
              <w:tab/>
            </w:r>
            <w:r w:rsidR="00BB5D16">
              <w:rPr>
                <w:noProof/>
                <w:webHidden/>
              </w:rPr>
              <w:fldChar w:fldCharType="begin"/>
            </w:r>
            <w:r w:rsidR="00BB5D16">
              <w:rPr>
                <w:noProof/>
                <w:webHidden/>
              </w:rPr>
              <w:instrText xml:space="preserve"> PAGEREF _Toc443915352 \h </w:instrText>
            </w:r>
            <w:r w:rsidR="00BB5D16">
              <w:rPr>
                <w:noProof/>
                <w:webHidden/>
              </w:rPr>
            </w:r>
            <w:r w:rsidR="00BB5D16">
              <w:rPr>
                <w:noProof/>
                <w:webHidden/>
              </w:rPr>
              <w:fldChar w:fldCharType="separate"/>
            </w:r>
            <w:r w:rsidR="00AD1DDF">
              <w:rPr>
                <w:noProof/>
                <w:webHidden/>
              </w:rPr>
              <w:t>36</w:t>
            </w:r>
            <w:r w:rsidR="00BB5D16">
              <w:rPr>
                <w:noProof/>
                <w:webHidden/>
              </w:rPr>
              <w:fldChar w:fldCharType="end"/>
            </w:r>
          </w:hyperlink>
        </w:p>
        <w:p w:rsidR="00BB5D16" w:rsidRDefault="00162762">
          <w:pPr>
            <w:pStyle w:val="TOC2"/>
            <w:rPr>
              <w:rFonts w:asciiTheme="minorHAnsi" w:eastAsiaTheme="minorEastAsia" w:hAnsiTheme="minorHAnsi"/>
              <w:noProof/>
              <w:color w:val="auto"/>
              <w:sz w:val="22"/>
              <w:lang w:eastAsia="en-AU"/>
            </w:rPr>
          </w:pPr>
          <w:hyperlink w:anchor="_Toc443915353" w:history="1">
            <w:r w:rsidR="00BB5D16" w:rsidRPr="007E2E1C">
              <w:rPr>
                <w:rStyle w:val="Hyperlink"/>
                <w:rFonts w:cs="Arial"/>
                <w:b/>
                <w:noProof/>
              </w:rPr>
              <w:t>9.1.</w:t>
            </w:r>
            <w:r w:rsidR="00BB5D16">
              <w:rPr>
                <w:rFonts w:asciiTheme="minorHAnsi" w:eastAsiaTheme="minorEastAsia" w:hAnsiTheme="minorHAnsi"/>
                <w:noProof/>
                <w:color w:val="auto"/>
                <w:sz w:val="22"/>
                <w:lang w:eastAsia="en-AU"/>
              </w:rPr>
              <w:tab/>
            </w:r>
            <w:r w:rsidR="00BB5D16" w:rsidRPr="007E2E1C">
              <w:rPr>
                <w:rStyle w:val="Hyperlink"/>
                <w:rFonts w:cs="Arial"/>
                <w:b/>
                <w:noProof/>
              </w:rPr>
              <w:t>Description of the option</w:t>
            </w:r>
            <w:r w:rsidR="00BB5D16">
              <w:rPr>
                <w:noProof/>
                <w:webHidden/>
              </w:rPr>
              <w:tab/>
            </w:r>
            <w:r w:rsidR="00BB5D16">
              <w:rPr>
                <w:noProof/>
                <w:webHidden/>
              </w:rPr>
              <w:fldChar w:fldCharType="begin"/>
            </w:r>
            <w:r w:rsidR="00BB5D16">
              <w:rPr>
                <w:noProof/>
                <w:webHidden/>
              </w:rPr>
              <w:instrText xml:space="preserve"> PAGEREF _Toc443915353 \h </w:instrText>
            </w:r>
            <w:r w:rsidR="00BB5D16">
              <w:rPr>
                <w:noProof/>
                <w:webHidden/>
              </w:rPr>
            </w:r>
            <w:r w:rsidR="00BB5D16">
              <w:rPr>
                <w:noProof/>
                <w:webHidden/>
              </w:rPr>
              <w:fldChar w:fldCharType="separate"/>
            </w:r>
            <w:r w:rsidR="00AD1DDF">
              <w:rPr>
                <w:noProof/>
                <w:webHidden/>
              </w:rPr>
              <w:t>36</w:t>
            </w:r>
            <w:r w:rsidR="00BB5D16">
              <w:rPr>
                <w:noProof/>
                <w:webHidden/>
              </w:rPr>
              <w:fldChar w:fldCharType="end"/>
            </w:r>
          </w:hyperlink>
        </w:p>
        <w:p w:rsidR="00BB5D16" w:rsidRDefault="00162762">
          <w:pPr>
            <w:pStyle w:val="TOC2"/>
            <w:rPr>
              <w:rFonts w:asciiTheme="minorHAnsi" w:eastAsiaTheme="minorEastAsia" w:hAnsiTheme="minorHAnsi"/>
              <w:noProof/>
              <w:color w:val="auto"/>
              <w:sz w:val="22"/>
              <w:lang w:eastAsia="en-AU"/>
            </w:rPr>
          </w:pPr>
          <w:hyperlink w:anchor="_Toc443915354" w:history="1">
            <w:r w:rsidR="00BB5D16" w:rsidRPr="007E2E1C">
              <w:rPr>
                <w:rStyle w:val="Hyperlink"/>
                <w:rFonts w:cs="Arial"/>
                <w:b/>
                <w:noProof/>
              </w:rPr>
              <w:t>9.2</w:t>
            </w:r>
            <w:r w:rsidR="00BB5D16">
              <w:rPr>
                <w:rFonts w:asciiTheme="minorHAnsi" w:eastAsiaTheme="minorEastAsia" w:hAnsiTheme="minorHAnsi"/>
                <w:noProof/>
                <w:color w:val="auto"/>
                <w:sz w:val="22"/>
                <w:lang w:eastAsia="en-AU"/>
              </w:rPr>
              <w:tab/>
            </w:r>
            <w:r w:rsidR="00BB5D16" w:rsidRPr="007E2E1C">
              <w:rPr>
                <w:rStyle w:val="Hyperlink"/>
                <w:rFonts w:cs="Arial"/>
                <w:b/>
                <w:noProof/>
              </w:rPr>
              <w:t>Expected benefits of Option 2</w:t>
            </w:r>
            <w:r w:rsidR="00BB5D16">
              <w:rPr>
                <w:noProof/>
                <w:webHidden/>
              </w:rPr>
              <w:tab/>
            </w:r>
            <w:r w:rsidR="00BB5D16">
              <w:rPr>
                <w:noProof/>
                <w:webHidden/>
              </w:rPr>
              <w:fldChar w:fldCharType="begin"/>
            </w:r>
            <w:r w:rsidR="00BB5D16">
              <w:rPr>
                <w:noProof/>
                <w:webHidden/>
              </w:rPr>
              <w:instrText xml:space="preserve"> PAGEREF _Toc443915354 \h </w:instrText>
            </w:r>
            <w:r w:rsidR="00BB5D16">
              <w:rPr>
                <w:noProof/>
                <w:webHidden/>
              </w:rPr>
            </w:r>
            <w:r w:rsidR="00BB5D16">
              <w:rPr>
                <w:noProof/>
                <w:webHidden/>
              </w:rPr>
              <w:fldChar w:fldCharType="separate"/>
            </w:r>
            <w:r w:rsidR="00AD1DDF">
              <w:rPr>
                <w:noProof/>
                <w:webHidden/>
              </w:rPr>
              <w:t>46</w:t>
            </w:r>
            <w:r w:rsidR="00BB5D16">
              <w:rPr>
                <w:noProof/>
                <w:webHidden/>
              </w:rPr>
              <w:fldChar w:fldCharType="end"/>
            </w:r>
          </w:hyperlink>
        </w:p>
        <w:p w:rsidR="00BB5D16" w:rsidRDefault="00162762">
          <w:pPr>
            <w:pStyle w:val="TOC2"/>
            <w:rPr>
              <w:rFonts w:asciiTheme="minorHAnsi" w:eastAsiaTheme="minorEastAsia" w:hAnsiTheme="minorHAnsi"/>
              <w:noProof/>
              <w:color w:val="auto"/>
              <w:sz w:val="22"/>
              <w:lang w:eastAsia="en-AU"/>
            </w:rPr>
          </w:pPr>
          <w:hyperlink w:anchor="_Toc443915358" w:history="1">
            <w:r w:rsidR="00BB5D16" w:rsidRPr="007E2E1C">
              <w:rPr>
                <w:rStyle w:val="Hyperlink"/>
                <w:rFonts w:cs="Arial"/>
                <w:b/>
                <w:noProof/>
              </w:rPr>
              <w:t>9.3</w:t>
            </w:r>
            <w:r w:rsidR="00BB5D16">
              <w:rPr>
                <w:rFonts w:asciiTheme="minorHAnsi" w:eastAsiaTheme="minorEastAsia" w:hAnsiTheme="minorHAnsi"/>
                <w:noProof/>
                <w:color w:val="auto"/>
                <w:sz w:val="22"/>
                <w:lang w:eastAsia="en-AU"/>
              </w:rPr>
              <w:tab/>
            </w:r>
            <w:r w:rsidR="00BB5D16" w:rsidRPr="007E2E1C">
              <w:rPr>
                <w:rStyle w:val="Hyperlink"/>
                <w:rFonts w:cs="Arial"/>
                <w:b/>
                <w:noProof/>
              </w:rPr>
              <w:t>Expected costs of Option 2</w:t>
            </w:r>
            <w:r w:rsidR="00BB5D16">
              <w:rPr>
                <w:noProof/>
                <w:webHidden/>
              </w:rPr>
              <w:tab/>
            </w:r>
            <w:r w:rsidR="00BB5D16">
              <w:rPr>
                <w:noProof/>
                <w:webHidden/>
              </w:rPr>
              <w:fldChar w:fldCharType="begin"/>
            </w:r>
            <w:r w:rsidR="00BB5D16">
              <w:rPr>
                <w:noProof/>
                <w:webHidden/>
              </w:rPr>
              <w:instrText xml:space="preserve"> PAGEREF _Toc443915358 \h </w:instrText>
            </w:r>
            <w:r w:rsidR="00BB5D16">
              <w:rPr>
                <w:noProof/>
                <w:webHidden/>
              </w:rPr>
            </w:r>
            <w:r w:rsidR="00BB5D16">
              <w:rPr>
                <w:noProof/>
                <w:webHidden/>
              </w:rPr>
              <w:fldChar w:fldCharType="separate"/>
            </w:r>
            <w:r w:rsidR="00AD1DDF">
              <w:rPr>
                <w:noProof/>
                <w:webHidden/>
              </w:rPr>
              <w:t>47</w:t>
            </w:r>
            <w:r w:rsidR="00BB5D16">
              <w:rPr>
                <w:noProof/>
                <w:webHidden/>
              </w:rPr>
              <w:fldChar w:fldCharType="end"/>
            </w:r>
          </w:hyperlink>
        </w:p>
        <w:p w:rsidR="00BB5D16" w:rsidRDefault="00162762">
          <w:pPr>
            <w:pStyle w:val="TOC1"/>
            <w:rPr>
              <w:rFonts w:asciiTheme="minorHAnsi" w:eastAsiaTheme="minorEastAsia" w:hAnsiTheme="minorHAnsi"/>
              <w:noProof/>
              <w:color w:val="auto"/>
              <w:sz w:val="22"/>
              <w:lang w:eastAsia="en-AU"/>
            </w:rPr>
          </w:pPr>
          <w:hyperlink w:anchor="_Toc443915359" w:history="1">
            <w:r w:rsidR="00BB5D16" w:rsidRPr="007E2E1C">
              <w:rPr>
                <w:rStyle w:val="Hyperlink"/>
                <w:noProof/>
              </w:rPr>
              <w:t>10.</w:t>
            </w:r>
            <w:r w:rsidR="00BB5D16">
              <w:rPr>
                <w:rFonts w:asciiTheme="minorHAnsi" w:eastAsiaTheme="minorEastAsia" w:hAnsiTheme="minorHAnsi"/>
                <w:noProof/>
                <w:color w:val="auto"/>
                <w:sz w:val="22"/>
                <w:lang w:eastAsia="en-AU"/>
              </w:rPr>
              <w:tab/>
            </w:r>
            <w:r w:rsidR="00BB5D16" w:rsidRPr="007E2E1C">
              <w:rPr>
                <w:rStyle w:val="Hyperlink"/>
                <w:noProof/>
              </w:rPr>
              <w:t>Option 3: Equalise cost recovery level for all licence categories</w:t>
            </w:r>
            <w:r w:rsidR="00BB5D16">
              <w:rPr>
                <w:noProof/>
                <w:webHidden/>
              </w:rPr>
              <w:tab/>
            </w:r>
            <w:r w:rsidR="00BB5D16">
              <w:rPr>
                <w:noProof/>
                <w:webHidden/>
              </w:rPr>
              <w:fldChar w:fldCharType="begin"/>
            </w:r>
            <w:r w:rsidR="00BB5D16">
              <w:rPr>
                <w:noProof/>
                <w:webHidden/>
              </w:rPr>
              <w:instrText xml:space="preserve"> PAGEREF _Toc443915359 \h </w:instrText>
            </w:r>
            <w:r w:rsidR="00BB5D16">
              <w:rPr>
                <w:noProof/>
                <w:webHidden/>
              </w:rPr>
            </w:r>
            <w:r w:rsidR="00BB5D16">
              <w:rPr>
                <w:noProof/>
                <w:webHidden/>
              </w:rPr>
              <w:fldChar w:fldCharType="separate"/>
            </w:r>
            <w:r w:rsidR="00AD1DDF">
              <w:rPr>
                <w:noProof/>
                <w:webHidden/>
              </w:rPr>
              <w:t>48</w:t>
            </w:r>
            <w:r w:rsidR="00BB5D16">
              <w:rPr>
                <w:noProof/>
                <w:webHidden/>
              </w:rPr>
              <w:fldChar w:fldCharType="end"/>
            </w:r>
          </w:hyperlink>
        </w:p>
        <w:p w:rsidR="00BB5D16" w:rsidRDefault="00162762">
          <w:pPr>
            <w:pStyle w:val="TOC2"/>
            <w:rPr>
              <w:rFonts w:asciiTheme="minorHAnsi" w:eastAsiaTheme="minorEastAsia" w:hAnsiTheme="minorHAnsi"/>
              <w:noProof/>
              <w:color w:val="auto"/>
              <w:sz w:val="22"/>
              <w:lang w:eastAsia="en-AU"/>
            </w:rPr>
          </w:pPr>
          <w:hyperlink w:anchor="_Toc443915360" w:history="1">
            <w:r w:rsidR="00BB5D16" w:rsidRPr="007E2E1C">
              <w:rPr>
                <w:rStyle w:val="Hyperlink"/>
                <w:rFonts w:cs="Arial"/>
                <w:b/>
                <w:noProof/>
              </w:rPr>
              <w:t>10.1.</w:t>
            </w:r>
            <w:r w:rsidR="00BB5D16">
              <w:rPr>
                <w:rFonts w:asciiTheme="minorHAnsi" w:eastAsiaTheme="minorEastAsia" w:hAnsiTheme="minorHAnsi"/>
                <w:noProof/>
                <w:color w:val="auto"/>
                <w:sz w:val="22"/>
                <w:lang w:eastAsia="en-AU"/>
              </w:rPr>
              <w:tab/>
            </w:r>
            <w:r w:rsidR="00BB5D16" w:rsidRPr="007E2E1C">
              <w:rPr>
                <w:rStyle w:val="Hyperlink"/>
                <w:rFonts w:cs="Arial"/>
                <w:b/>
                <w:noProof/>
              </w:rPr>
              <w:t>Description of the option</w:t>
            </w:r>
            <w:r w:rsidR="00BB5D16">
              <w:rPr>
                <w:noProof/>
                <w:webHidden/>
              </w:rPr>
              <w:tab/>
            </w:r>
            <w:r w:rsidR="00BB5D16">
              <w:rPr>
                <w:noProof/>
                <w:webHidden/>
              </w:rPr>
              <w:fldChar w:fldCharType="begin"/>
            </w:r>
            <w:r w:rsidR="00BB5D16">
              <w:rPr>
                <w:noProof/>
                <w:webHidden/>
              </w:rPr>
              <w:instrText xml:space="preserve"> PAGEREF _Toc443915360 \h </w:instrText>
            </w:r>
            <w:r w:rsidR="00BB5D16">
              <w:rPr>
                <w:noProof/>
                <w:webHidden/>
              </w:rPr>
            </w:r>
            <w:r w:rsidR="00BB5D16">
              <w:rPr>
                <w:noProof/>
                <w:webHidden/>
              </w:rPr>
              <w:fldChar w:fldCharType="separate"/>
            </w:r>
            <w:r w:rsidR="00AD1DDF">
              <w:rPr>
                <w:noProof/>
                <w:webHidden/>
              </w:rPr>
              <w:t>48</w:t>
            </w:r>
            <w:r w:rsidR="00BB5D16">
              <w:rPr>
                <w:noProof/>
                <w:webHidden/>
              </w:rPr>
              <w:fldChar w:fldCharType="end"/>
            </w:r>
          </w:hyperlink>
        </w:p>
        <w:p w:rsidR="00BB5D16" w:rsidRDefault="00162762">
          <w:pPr>
            <w:pStyle w:val="TOC2"/>
            <w:rPr>
              <w:rFonts w:asciiTheme="minorHAnsi" w:eastAsiaTheme="minorEastAsia" w:hAnsiTheme="minorHAnsi"/>
              <w:noProof/>
              <w:color w:val="auto"/>
              <w:sz w:val="22"/>
              <w:lang w:eastAsia="en-AU"/>
            </w:rPr>
          </w:pPr>
          <w:hyperlink w:anchor="_Toc443915361" w:history="1">
            <w:r w:rsidR="00BB5D16" w:rsidRPr="007E2E1C">
              <w:rPr>
                <w:rStyle w:val="Hyperlink"/>
                <w:rFonts w:cs="Arial"/>
                <w:b/>
                <w:noProof/>
              </w:rPr>
              <w:t>10.2.</w:t>
            </w:r>
            <w:r w:rsidR="00BB5D16">
              <w:rPr>
                <w:rFonts w:asciiTheme="minorHAnsi" w:eastAsiaTheme="minorEastAsia" w:hAnsiTheme="minorHAnsi"/>
                <w:noProof/>
                <w:color w:val="auto"/>
                <w:sz w:val="22"/>
                <w:lang w:eastAsia="en-AU"/>
              </w:rPr>
              <w:tab/>
            </w:r>
            <w:r w:rsidR="00BB5D16" w:rsidRPr="007E2E1C">
              <w:rPr>
                <w:rStyle w:val="Hyperlink"/>
                <w:rFonts w:cs="Arial"/>
                <w:b/>
                <w:noProof/>
              </w:rPr>
              <w:t>Expected benefits of Option 3</w:t>
            </w:r>
            <w:r w:rsidR="00BB5D16">
              <w:rPr>
                <w:noProof/>
                <w:webHidden/>
              </w:rPr>
              <w:tab/>
            </w:r>
            <w:r w:rsidR="00BB5D16">
              <w:rPr>
                <w:noProof/>
                <w:webHidden/>
              </w:rPr>
              <w:fldChar w:fldCharType="begin"/>
            </w:r>
            <w:r w:rsidR="00BB5D16">
              <w:rPr>
                <w:noProof/>
                <w:webHidden/>
              </w:rPr>
              <w:instrText xml:space="preserve"> PAGEREF _Toc443915361 \h </w:instrText>
            </w:r>
            <w:r w:rsidR="00BB5D16">
              <w:rPr>
                <w:noProof/>
                <w:webHidden/>
              </w:rPr>
            </w:r>
            <w:r w:rsidR="00BB5D16">
              <w:rPr>
                <w:noProof/>
                <w:webHidden/>
              </w:rPr>
              <w:fldChar w:fldCharType="separate"/>
            </w:r>
            <w:r w:rsidR="00AD1DDF">
              <w:rPr>
                <w:noProof/>
                <w:webHidden/>
              </w:rPr>
              <w:t>49</w:t>
            </w:r>
            <w:r w:rsidR="00BB5D16">
              <w:rPr>
                <w:noProof/>
                <w:webHidden/>
              </w:rPr>
              <w:fldChar w:fldCharType="end"/>
            </w:r>
          </w:hyperlink>
        </w:p>
        <w:p w:rsidR="00BB5D16" w:rsidRDefault="00162762">
          <w:pPr>
            <w:pStyle w:val="TOC2"/>
            <w:rPr>
              <w:rFonts w:asciiTheme="minorHAnsi" w:eastAsiaTheme="minorEastAsia" w:hAnsiTheme="minorHAnsi"/>
              <w:noProof/>
              <w:color w:val="auto"/>
              <w:sz w:val="22"/>
              <w:lang w:eastAsia="en-AU"/>
            </w:rPr>
          </w:pPr>
          <w:hyperlink w:anchor="_Toc443915362" w:history="1">
            <w:r w:rsidR="00BB5D16" w:rsidRPr="007E2E1C">
              <w:rPr>
                <w:rStyle w:val="Hyperlink"/>
                <w:rFonts w:cs="Arial"/>
                <w:b/>
                <w:noProof/>
              </w:rPr>
              <w:t>10.3.</w:t>
            </w:r>
            <w:r w:rsidR="00BB5D16">
              <w:rPr>
                <w:rFonts w:asciiTheme="minorHAnsi" w:eastAsiaTheme="minorEastAsia" w:hAnsiTheme="minorHAnsi"/>
                <w:noProof/>
                <w:color w:val="auto"/>
                <w:sz w:val="22"/>
                <w:lang w:eastAsia="en-AU"/>
              </w:rPr>
              <w:tab/>
            </w:r>
            <w:r w:rsidR="00BB5D16" w:rsidRPr="007E2E1C">
              <w:rPr>
                <w:rStyle w:val="Hyperlink"/>
                <w:rFonts w:cs="Arial"/>
                <w:b/>
                <w:noProof/>
              </w:rPr>
              <w:t>Expected costs of Option 3</w:t>
            </w:r>
            <w:r w:rsidR="00BB5D16">
              <w:rPr>
                <w:noProof/>
                <w:webHidden/>
              </w:rPr>
              <w:tab/>
            </w:r>
            <w:r w:rsidR="00BB5D16">
              <w:rPr>
                <w:noProof/>
                <w:webHidden/>
              </w:rPr>
              <w:fldChar w:fldCharType="begin"/>
            </w:r>
            <w:r w:rsidR="00BB5D16">
              <w:rPr>
                <w:noProof/>
                <w:webHidden/>
              </w:rPr>
              <w:instrText xml:space="preserve"> PAGEREF _Toc443915362 \h </w:instrText>
            </w:r>
            <w:r w:rsidR="00BB5D16">
              <w:rPr>
                <w:noProof/>
                <w:webHidden/>
              </w:rPr>
            </w:r>
            <w:r w:rsidR="00BB5D16">
              <w:rPr>
                <w:noProof/>
                <w:webHidden/>
              </w:rPr>
              <w:fldChar w:fldCharType="separate"/>
            </w:r>
            <w:r w:rsidR="00AD1DDF">
              <w:rPr>
                <w:noProof/>
                <w:webHidden/>
              </w:rPr>
              <w:t>49</w:t>
            </w:r>
            <w:r w:rsidR="00BB5D16">
              <w:rPr>
                <w:noProof/>
                <w:webHidden/>
              </w:rPr>
              <w:fldChar w:fldCharType="end"/>
            </w:r>
          </w:hyperlink>
        </w:p>
        <w:p w:rsidR="00BB5D16" w:rsidRDefault="00162762">
          <w:pPr>
            <w:pStyle w:val="TOC1"/>
            <w:rPr>
              <w:rFonts w:asciiTheme="minorHAnsi" w:eastAsiaTheme="minorEastAsia" w:hAnsiTheme="minorHAnsi"/>
              <w:noProof/>
              <w:color w:val="auto"/>
              <w:sz w:val="22"/>
              <w:lang w:eastAsia="en-AU"/>
            </w:rPr>
          </w:pPr>
          <w:hyperlink w:anchor="_Toc443915363" w:history="1">
            <w:r w:rsidR="00BB5D16" w:rsidRPr="007E2E1C">
              <w:rPr>
                <w:rStyle w:val="Hyperlink"/>
                <w:noProof/>
              </w:rPr>
              <w:t>11.</w:t>
            </w:r>
            <w:r w:rsidR="00BB5D16">
              <w:rPr>
                <w:rFonts w:asciiTheme="minorHAnsi" w:eastAsiaTheme="minorEastAsia" w:hAnsiTheme="minorHAnsi"/>
                <w:noProof/>
                <w:color w:val="auto"/>
                <w:sz w:val="22"/>
                <w:lang w:eastAsia="en-AU"/>
              </w:rPr>
              <w:tab/>
            </w:r>
            <w:r w:rsidR="00BB5D16" w:rsidRPr="007E2E1C">
              <w:rPr>
                <w:rStyle w:val="Hyperlink"/>
                <w:noProof/>
              </w:rPr>
              <w:t>Option 4: Equalise cost recovery levels across licence types while adopting a more risk-based approach to regulatory surveillance</w:t>
            </w:r>
            <w:r w:rsidR="00BB5D16">
              <w:rPr>
                <w:noProof/>
                <w:webHidden/>
              </w:rPr>
              <w:tab/>
            </w:r>
            <w:r w:rsidR="00BB5D16">
              <w:rPr>
                <w:noProof/>
                <w:webHidden/>
              </w:rPr>
              <w:fldChar w:fldCharType="begin"/>
            </w:r>
            <w:r w:rsidR="00BB5D16">
              <w:rPr>
                <w:noProof/>
                <w:webHidden/>
              </w:rPr>
              <w:instrText xml:space="preserve"> PAGEREF _Toc443915363 \h </w:instrText>
            </w:r>
            <w:r w:rsidR="00BB5D16">
              <w:rPr>
                <w:noProof/>
                <w:webHidden/>
              </w:rPr>
            </w:r>
            <w:r w:rsidR="00BB5D16">
              <w:rPr>
                <w:noProof/>
                <w:webHidden/>
              </w:rPr>
              <w:fldChar w:fldCharType="separate"/>
            </w:r>
            <w:r w:rsidR="00AD1DDF">
              <w:rPr>
                <w:noProof/>
                <w:webHidden/>
              </w:rPr>
              <w:t>50</w:t>
            </w:r>
            <w:r w:rsidR="00BB5D16">
              <w:rPr>
                <w:noProof/>
                <w:webHidden/>
              </w:rPr>
              <w:fldChar w:fldCharType="end"/>
            </w:r>
          </w:hyperlink>
        </w:p>
        <w:p w:rsidR="00BB5D16" w:rsidRDefault="00162762">
          <w:pPr>
            <w:pStyle w:val="TOC2"/>
            <w:rPr>
              <w:rFonts w:asciiTheme="minorHAnsi" w:eastAsiaTheme="minorEastAsia" w:hAnsiTheme="minorHAnsi"/>
              <w:noProof/>
              <w:color w:val="auto"/>
              <w:sz w:val="22"/>
              <w:lang w:eastAsia="en-AU"/>
            </w:rPr>
          </w:pPr>
          <w:hyperlink w:anchor="_Toc443915364" w:history="1">
            <w:r w:rsidR="00BB5D16" w:rsidRPr="007E2E1C">
              <w:rPr>
                <w:rStyle w:val="Hyperlink"/>
                <w:rFonts w:cs="Arial"/>
                <w:b/>
                <w:noProof/>
              </w:rPr>
              <w:t>11.1.</w:t>
            </w:r>
            <w:r w:rsidR="00BB5D16">
              <w:rPr>
                <w:rFonts w:asciiTheme="minorHAnsi" w:eastAsiaTheme="minorEastAsia" w:hAnsiTheme="minorHAnsi"/>
                <w:noProof/>
                <w:color w:val="auto"/>
                <w:sz w:val="22"/>
                <w:lang w:eastAsia="en-AU"/>
              </w:rPr>
              <w:tab/>
            </w:r>
            <w:r w:rsidR="00BB5D16" w:rsidRPr="007E2E1C">
              <w:rPr>
                <w:rStyle w:val="Hyperlink"/>
                <w:rFonts w:cs="Arial"/>
                <w:b/>
                <w:noProof/>
              </w:rPr>
              <w:t>Description of the option</w:t>
            </w:r>
            <w:r w:rsidR="00BB5D16">
              <w:rPr>
                <w:noProof/>
                <w:webHidden/>
              </w:rPr>
              <w:tab/>
            </w:r>
            <w:r w:rsidR="00BB5D16">
              <w:rPr>
                <w:noProof/>
                <w:webHidden/>
              </w:rPr>
              <w:fldChar w:fldCharType="begin"/>
            </w:r>
            <w:r w:rsidR="00BB5D16">
              <w:rPr>
                <w:noProof/>
                <w:webHidden/>
              </w:rPr>
              <w:instrText xml:space="preserve"> PAGEREF _Toc443915364 \h </w:instrText>
            </w:r>
            <w:r w:rsidR="00BB5D16">
              <w:rPr>
                <w:noProof/>
                <w:webHidden/>
              </w:rPr>
            </w:r>
            <w:r w:rsidR="00BB5D16">
              <w:rPr>
                <w:noProof/>
                <w:webHidden/>
              </w:rPr>
              <w:fldChar w:fldCharType="separate"/>
            </w:r>
            <w:r w:rsidR="00AD1DDF">
              <w:rPr>
                <w:noProof/>
                <w:webHidden/>
              </w:rPr>
              <w:t>50</w:t>
            </w:r>
            <w:r w:rsidR="00BB5D16">
              <w:rPr>
                <w:noProof/>
                <w:webHidden/>
              </w:rPr>
              <w:fldChar w:fldCharType="end"/>
            </w:r>
          </w:hyperlink>
        </w:p>
        <w:p w:rsidR="00BB5D16" w:rsidRDefault="00162762">
          <w:pPr>
            <w:pStyle w:val="TOC2"/>
            <w:rPr>
              <w:rFonts w:asciiTheme="minorHAnsi" w:eastAsiaTheme="minorEastAsia" w:hAnsiTheme="minorHAnsi"/>
              <w:noProof/>
              <w:color w:val="auto"/>
              <w:sz w:val="22"/>
              <w:lang w:eastAsia="en-AU"/>
            </w:rPr>
          </w:pPr>
          <w:hyperlink w:anchor="_Toc443915365" w:history="1">
            <w:r w:rsidR="00BB5D16" w:rsidRPr="007E2E1C">
              <w:rPr>
                <w:rStyle w:val="Hyperlink"/>
                <w:rFonts w:cs="Arial"/>
                <w:b/>
                <w:noProof/>
              </w:rPr>
              <w:t>11.2.</w:t>
            </w:r>
            <w:r w:rsidR="00BB5D16">
              <w:rPr>
                <w:rFonts w:asciiTheme="minorHAnsi" w:eastAsiaTheme="minorEastAsia" w:hAnsiTheme="minorHAnsi"/>
                <w:noProof/>
                <w:color w:val="auto"/>
                <w:sz w:val="22"/>
                <w:lang w:eastAsia="en-AU"/>
              </w:rPr>
              <w:tab/>
            </w:r>
            <w:r w:rsidR="00BB5D16" w:rsidRPr="007E2E1C">
              <w:rPr>
                <w:rStyle w:val="Hyperlink"/>
                <w:rFonts w:cs="Arial"/>
                <w:b/>
                <w:noProof/>
              </w:rPr>
              <w:t>Expected benefits of the option</w:t>
            </w:r>
            <w:r w:rsidR="00BB5D16">
              <w:rPr>
                <w:noProof/>
                <w:webHidden/>
              </w:rPr>
              <w:tab/>
            </w:r>
            <w:r w:rsidR="00BB5D16">
              <w:rPr>
                <w:noProof/>
                <w:webHidden/>
              </w:rPr>
              <w:fldChar w:fldCharType="begin"/>
            </w:r>
            <w:r w:rsidR="00BB5D16">
              <w:rPr>
                <w:noProof/>
                <w:webHidden/>
              </w:rPr>
              <w:instrText xml:space="preserve"> PAGEREF _Toc443915365 \h </w:instrText>
            </w:r>
            <w:r w:rsidR="00BB5D16">
              <w:rPr>
                <w:noProof/>
                <w:webHidden/>
              </w:rPr>
            </w:r>
            <w:r w:rsidR="00BB5D16">
              <w:rPr>
                <w:noProof/>
                <w:webHidden/>
              </w:rPr>
              <w:fldChar w:fldCharType="separate"/>
            </w:r>
            <w:r w:rsidR="00AD1DDF">
              <w:rPr>
                <w:noProof/>
                <w:webHidden/>
              </w:rPr>
              <w:t>51</w:t>
            </w:r>
            <w:r w:rsidR="00BB5D16">
              <w:rPr>
                <w:noProof/>
                <w:webHidden/>
              </w:rPr>
              <w:fldChar w:fldCharType="end"/>
            </w:r>
          </w:hyperlink>
        </w:p>
        <w:p w:rsidR="00BB5D16" w:rsidRDefault="00162762">
          <w:pPr>
            <w:pStyle w:val="TOC2"/>
            <w:rPr>
              <w:rFonts w:asciiTheme="minorHAnsi" w:eastAsiaTheme="minorEastAsia" w:hAnsiTheme="minorHAnsi"/>
              <w:noProof/>
              <w:color w:val="auto"/>
              <w:sz w:val="22"/>
              <w:lang w:eastAsia="en-AU"/>
            </w:rPr>
          </w:pPr>
          <w:hyperlink w:anchor="_Toc443915366" w:history="1">
            <w:r w:rsidR="00BB5D16" w:rsidRPr="007E2E1C">
              <w:rPr>
                <w:rStyle w:val="Hyperlink"/>
                <w:rFonts w:cs="Arial"/>
                <w:b/>
                <w:noProof/>
              </w:rPr>
              <w:t>11.3.</w:t>
            </w:r>
            <w:r w:rsidR="00BB5D16">
              <w:rPr>
                <w:rFonts w:asciiTheme="minorHAnsi" w:eastAsiaTheme="minorEastAsia" w:hAnsiTheme="minorHAnsi"/>
                <w:noProof/>
                <w:color w:val="auto"/>
                <w:sz w:val="22"/>
                <w:lang w:eastAsia="en-AU"/>
              </w:rPr>
              <w:tab/>
            </w:r>
            <w:r w:rsidR="00BB5D16" w:rsidRPr="007E2E1C">
              <w:rPr>
                <w:rStyle w:val="Hyperlink"/>
                <w:rFonts w:cs="Arial"/>
                <w:b/>
                <w:noProof/>
              </w:rPr>
              <w:t>Expected costs of the option</w:t>
            </w:r>
            <w:r w:rsidR="00BB5D16">
              <w:rPr>
                <w:noProof/>
                <w:webHidden/>
              </w:rPr>
              <w:tab/>
            </w:r>
            <w:r w:rsidR="00BB5D16">
              <w:rPr>
                <w:noProof/>
                <w:webHidden/>
              </w:rPr>
              <w:fldChar w:fldCharType="begin"/>
            </w:r>
            <w:r w:rsidR="00BB5D16">
              <w:rPr>
                <w:noProof/>
                <w:webHidden/>
              </w:rPr>
              <w:instrText xml:space="preserve"> PAGEREF _Toc443915366 \h </w:instrText>
            </w:r>
            <w:r w:rsidR="00BB5D16">
              <w:rPr>
                <w:noProof/>
                <w:webHidden/>
              </w:rPr>
            </w:r>
            <w:r w:rsidR="00BB5D16">
              <w:rPr>
                <w:noProof/>
                <w:webHidden/>
              </w:rPr>
              <w:fldChar w:fldCharType="separate"/>
            </w:r>
            <w:r w:rsidR="00AD1DDF">
              <w:rPr>
                <w:noProof/>
                <w:webHidden/>
              </w:rPr>
              <w:t>51</w:t>
            </w:r>
            <w:r w:rsidR="00BB5D16">
              <w:rPr>
                <w:noProof/>
                <w:webHidden/>
              </w:rPr>
              <w:fldChar w:fldCharType="end"/>
            </w:r>
          </w:hyperlink>
        </w:p>
        <w:p w:rsidR="00BB5D16" w:rsidRDefault="00162762">
          <w:pPr>
            <w:pStyle w:val="TOC1"/>
            <w:rPr>
              <w:rFonts w:asciiTheme="minorHAnsi" w:eastAsiaTheme="minorEastAsia" w:hAnsiTheme="minorHAnsi"/>
              <w:noProof/>
              <w:color w:val="auto"/>
              <w:sz w:val="22"/>
              <w:lang w:eastAsia="en-AU"/>
            </w:rPr>
          </w:pPr>
          <w:hyperlink w:anchor="_Toc443915367" w:history="1">
            <w:r w:rsidR="00BB5D16" w:rsidRPr="007E2E1C">
              <w:rPr>
                <w:rStyle w:val="Hyperlink"/>
                <w:noProof/>
              </w:rPr>
              <w:t>12.</w:t>
            </w:r>
            <w:r w:rsidR="00BB5D16">
              <w:rPr>
                <w:rFonts w:asciiTheme="minorHAnsi" w:eastAsiaTheme="minorEastAsia" w:hAnsiTheme="minorHAnsi"/>
                <w:noProof/>
                <w:color w:val="auto"/>
                <w:sz w:val="22"/>
                <w:lang w:eastAsia="en-AU"/>
              </w:rPr>
              <w:tab/>
            </w:r>
            <w:r w:rsidR="00BB5D16" w:rsidRPr="007E2E1C">
              <w:rPr>
                <w:rStyle w:val="Hyperlink"/>
                <w:noProof/>
              </w:rPr>
              <w:t>Conclusion</w:t>
            </w:r>
            <w:r w:rsidR="00BB5D16">
              <w:rPr>
                <w:noProof/>
                <w:webHidden/>
              </w:rPr>
              <w:tab/>
            </w:r>
            <w:r w:rsidR="00BB5D16">
              <w:rPr>
                <w:noProof/>
                <w:webHidden/>
              </w:rPr>
              <w:fldChar w:fldCharType="begin"/>
            </w:r>
            <w:r w:rsidR="00BB5D16">
              <w:rPr>
                <w:noProof/>
                <w:webHidden/>
              </w:rPr>
              <w:instrText xml:space="preserve"> PAGEREF _Toc443915367 \h </w:instrText>
            </w:r>
            <w:r w:rsidR="00BB5D16">
              <w:rPr>
                <w:noProof/>
                <w:webHidden/>
              </w:rPr>
            </w:r>
            <w:r w:rsidR="00BB5D16">
              <w:rPr>
                <w:noProof/>
                <w:webHidden/>
              </w:rPr>
              <w:fldChar w:fldCharType="separate"/>
            </w:r>
            <w:r w:rsidR="00AD1DDF">
              <w:rPr>
                <w:noProof/>
                <w:webHidden/>
              </w:rPr>
              <w:t>53</w:t>
            </w:r>
            <w:r w:rsidR="00BB5D16">
              <w:rPr>
                <w:noProof/>
                <w:webHidden/>
              </w:rPr>
              <w:fldChar w:fldCharType="end"/>
            </w:r>
          </w:hyperlink>
        </w:p>
        <w:p w:rsidR="00BB5D16" w:rsidRDefault="00162762">
          <w:pPr>
            <w:pStyle w:val="TOC2"/>
            <w:rPr>
              <w:rFonts w:asciiTheme="minorHAnsi" w:eastAsiaTheme="minorEastAsia" w:hAnsiTheme="minorHAnsi"/>
              <w:noProof/>
              <w:color w:val="auto"/>
              <w:sz w:val="22"/>
              <w:lang w:eastAsia="en-AU"/>
            </w:rPr>
          </w:pPr>
          <w:hyperlink w:anchor="_Toc443915368" w:history="1">
            <w:r w:rsidR="00BB5D16" w:rsidRPr="007E2E1C">
              <w:rPr>
                <w:rStyle w:val="Hyperlink"/>
                <w:rFonts w:cs="Arial"/>
                <w:b/>
                <w:noProof/>
              </w:rPr>
              <w:t>12.1.</w:t>
            </w:r>
            <w:r w:rsidR="00BB5D16">
              <w:rPr>
                <w:rFonts w:asciiTheme="minorHAnsi" w:eastAsiaTheme="minorEastAsia" w:hAnsiTheme="minorHAnsi"/>
                <w:noProof/>
                <w:color w:val="auto"/>
                <w:sz w:val="22"/>
                <w:lang w:eastAsia="en-AU"/>
              </w:rPr>
              <w:tab/>
            </w:r>
            <w:r w:rsidR="00BB5D16" w:rsidRPr="007E2E1C">
              <w:rPr>
                <w:rStyle w:val="Hyperlink"/>
                <w:rFonts w:cs="Arial"/>
                <w:b/>
                <w:noProof/>
              </w:rPr>
              <w:t>Overview</w:t>
            </w:r>
            <w:r w:rsidR="00BB5D16">
              <w:rPr>
                <w:noProof/>
                <w:webHidden/>
              </w:rPr>
              <w:tab/>
            </w:r>
            <w:r w:rsidR="00BB5D16">
              <w:rPr>
                <w:noProof/>
                <w:webHidden/>
              </w:rPr>
              <w:fldChar w:fldCharType="begin"/>
            </w:r>
            <w:r w:rsidR="00BB5D16">
              <w:rPr>
                <w:noProof/>
                <w:webHidden/>
              </w:rPr>
              <w:instrText xml:space="preserve"> PAGEREF _Toc443915368 \h </w:instrText>
            </w:r>
            <w:r w:rsidR="00BB5D16">
              <w:rPr>
                <w:noProof/>
                <w:webHidden/>
              </w:rPr>
            </w:r>
            <w:r w:rsidR="00BB5D16">
              <w:rPr>
                <w:noProof/>
                <w:webHidden/>
              </w:rPr>
              <w:fldChar w:fldCharType="separate"/>
            </w:r>
            <w:r w:rsidR="00AD1DDF">
              <w:rPr>
                <w:noProof/>
                <w:webHidden/>
              </w:rPr>
              <w:t>53</w:t>
            </w:r>
            <w:r w:rsidR="00BB5D16">
              <w:rPr>
                <w:noProof/>
                <w:webHidden/>
              </w:rPr>
              <w:fldChar w:fldCharType="end"/>
            </w:r>
          </w:hyperlink>
        </w:p>
        <w:p w:rsidR="00BB5D16" w:rsidRDefault="00162762">
          <w:pPr>
            <w:pStyle w:val="TOC2"/>
            <w:rPr>
              <w:rFonts w:asciiTheme="minorHAnsi" w:eastAsiaTheme="minorEastAsia" w:hAnsiTheme="minorHAnsi"/>
              <w:noProof/>
              <w:color w:val="auto"/>
              <w:sz w:val="22"/>
              <w:lang w:eastAsia="en-AU"/>
            </w:rPr>
          </w:pPr>
          <w:hyperlink w:anchor="_Toc443915369" w:history="1">
            <w:r w:rsidR="00BB5D16" w:rsidRPr="007E2E1C">
              <w:rPr>
                <w:rStyle w:val="Hyperlink"/>
                <w:rFonts w:cs="Arial"/>
                <w:b/>
                <w:noProof/>
              </w:rPr>
              <w:t>12.2.</w:t>
            </w:r>
            <w:r w:rsidR="00BB5D16">
              <w:rPr>
                <w:rFonts w:asciiTheme="minorHAnsi" w:eastAsiaTheme="minorEastAsia" w:hAnsiTheme="minorHAnsi"/>
                <w:noProof/>
                <w:color w:val="auto"/>
                <w:sz w:val="22"/>
                <w:lang w:eastAsia="en-AU"/>
              </w:rPr>
              <w:tab/>
            </w:r>
            <w:r w:rsidR="00BB5D16" w:rsidRPr="007E2E1C">
              <w:rPr>
                <w:rStyle w:val="Hyperlink"/>
                <w:rFonts w:cs="Arial"/>
                <w:b/>
                <w:noProof/>
              </w:rPr>
              <w:t>Multi-criteria analysis</w:t>
            </w:r>
            <w:r w:rsidR="00BB5D16">
              <w:rPr>
                <w:noProof/>
                <w:webHidden/>
              </w:rPr>
              <w:tab/>
            </w:r>
            <w:r w:rsidR="00BB5D16">
              <w:rPr>
                <w:noProof/>
                <w:webHidden/>
              </w:rPr>
              <w:fldChar w:fldCharType="begin"/>
            </w:r>
            <w:r w:rsidR="00BB5D16">
              <w:rPr>
                <w:noProof/>
                <w:webHidden/>
              </w:rPr>
              <w:instrText xml:space="preserve"> PAGEREF _Toc443915369 \h </w:instrText>
            </w:r>
            <w:r w:rsidR="00BB5D16">
              <w:rPr>
                <w:noProof/>
                <w:webHidden/>
              </w:rPr>
            </w:r>
            <w:r w:rsidR="00BB5D16">
              <w:rPr>
                <w:noProof/>
                <w:webHidden/>
              </w:rPr>
              <w:fldChar w:fldCharType="separate"/>
            </w:r>
            <w:r w:rsidR="00AD1DDF">
              <w:rPr>
                <w:noProof/>
                <w:webHidden/>
              </w:rPr>
              <w:t>53</w:t>
            </w:r>
            <w:r w:rsidR="00BB5D16">
              <w:rPr>
                <w:noProof/>
                <w:webHidden/>
              </w:rPr>
              <w:fldChar w:fldCharType="end"/>
            </w:r>
          </w:hyperlink>
        </w:p>
        <w:p w:rsidR="00BB5D16" w:rsidRDefault="00162762">
          <w:pPr>
            <w:pStyle w:val="TOC3"/>
            <w:rPr>
              <w:rFonts w:asciiTheme="minorHAnsi" w:eastAsiaTheme="minorEastAsia" w:hAnsiTheme="minorHAnsi"/>
              <w:noProof/>
              <w:color w:val="auto"/>
              <w:sz w:val="22"/>
              <w:lang w:eastAsia="en-AU"/>
            </w:rPr>
          </w:pPr>
          <w:hyperlink w:anchor="_Toc443915370" w:history="1">
            <w:r w:rsidR="00BB5D16" w:rsidRPr="007E2E1C">
              <w:rPr>
                <w:rStyle w:val="Hyperlink"/>
                <w:rFonts w:cs="Arial"/>
                <w:i/>
                <w:noProof/>
              </w:rPr>
              <w:t>12.2.1.</w:t>
            </w:r>
            <w:r w:rsidR="00BB5D16">
              <w:rPr>
                <w:rFonts w:asciiTheme="minorHAnsi" w:eastAsiaTheme="minorEastAsia" w:hAnsiTheme="minorHAnsi"/>
                <w:noProof/>
                <w:color w:val="auto"/>
                <w:sz w:val="22"/>
                <w:lang w:eastAsia="en-AU"/>
              </w:rPr>
              <w:tab/>
            </w:r>
            <w:r w:rsidR="00BB5D16" w:rsidRPr="007E2E1C">
              <w:rPr>
                <w:rStyle w:val="Hyperlink"/>
                <w:rFonts w:cs="Arial"/>
                <w:i/>
                <w:noProof/>
              </w:rPr>
              <w:t>Assessment criteria</w:t>
            </w:r>
            <w:r w:rsidR="00BB5D16">
              <w:rPr>
                <w:noProof/>
                <w:webHidden/>
              </w:rPr>
              <w:tab/>
            </w:r>
            <w:r w:rsidR="00BB5D16">
              <w:rPr>
                <w:noProof/>
                <w:webHidden/>
              </w:rPr>
              <w:fldChar w:fldCharType="begin"/>
            </w:r>
            <w:r w:rsidR="00BB5D16">
              <w:rPr>
                <w:noProof/>
                <w:webHidden/>
              </w:rPr>
              <w:instrText xml:space="preserve"> PAGEREF _Toc443915370 \h </w:instrText>
            </w:r>
            <w:r w:rsidR="00BB5D16">
              <w:rPr>
                <w:noProof/>
                <w:webHidden/>
              </w:rPr>
            </w:r>
            <w:r w:rsidR="00BB5D16">
              <w:rPr>
                <w:noProof/>
                <w:webHidden/>
              </w:rPr>
              <w:fldChar w:fldCharType="separate"/>
            </w:r>
            <w:r w:rsidR="00AD1DDF">
              <w:rPr>
                <w:noProof/>
                <w:webHidden/>
              </w:rPr>
              <w:t>53</w:t>
            </w:r>
            <w:r w:rsidR="00BB5D16">
              <w:rPr>
                <w:noProof/>
                <w:webHidden/>
              </w:rPr>
              <w:fldChar w:fldCharType="end"/>
            </w:r>
          </w:hyperlink>
        </w:p>
        <w:p w:rsidR="00BB5D16" w:rsidRDefault="00162762">
          <w:pPr>
            <w:pStyle w:val="TOC3"/>
            <w:rPr>
              <w:rFonts w:asciiTheme="minorHAnsi" w:eastAsiaTheme="minorEastAsia" w:hAnsiTheme="minorHAnsi"/>
              <w:noProof/>
              <w:color w:val="auto"/>
              <w:sz w:val="22"/>
              <w:lang w:eastAsia="en-AU"/>
            </w:rPr>
          </w:pPr>
          <w:hyperlink w:anchor="_Toc443915371" w:history="1">
            <w:r w:rsidR="00BB5D16" w:rsidRPr="007E2E1C">
              <w:rPr>
                <w:rStyle w:val="Hyperlink"/>
                <w:rFonts w:cs="Arial"/>
                <w:i/>
                <w:noProof/>
              </w:rPr>
              <w:t>12.2.2.</w:t>
            </w:r>
            <w:r w:rsidR="00BB5D16">
              <w:rPr>
                <w:rFonts w:asciiTheme="minorHAnsi" w:eastAsiaTheme="minorEastAsia" w:hAnsiTheme="minorHAnsi"/>
                <w:noProof/>
                <w:color w:val="auto"/>
                <w:sz w:val="22"/>
                <w:lang w:eastAsia="en-AU"/>
              </w:rPr>
              <w:tab/>
            </w:r>
            <w:r w:rsidR="00BB5D16" w:rsidRPr="007E2E1C">
              <w:rPr>
                <w:rStyle w:val="Hyperlink"/>
                <w:rFonts w:cs="Arial"/>
                <w:i/>
                <w:noProof/>
              </w:rPr>
              <w:t>Assessment of the options against the identified criteria</w:t>
            </w:r>
            <w:r w:rsidR="00BB5D16">
              <w:rPr>
                <w:noProof/>
                <w:webHidden/>
              </w:rPr>
              <w:tab/>
            </w:r>
            <w:r w:rsidR="00BB5D16">
              <w:rPr>
                <w:noProof/>
                <w:webHidden/>
              </w:rPr>
              <w:fldChar w:fldCharType="begin"/>
            </w:r>
            <w:r w:rsidR="00BB5D16">
              <w:rPr>
                <w:noProof/>
                <w:webHidden/>
              </w:rPr>
              <w:instrText xml:space="preserve"> PAGEREF _Toc443915371 \h </w:instrText>
            </w:r>
            <w:r w:rsidR="00BB5D16">
              <w:rPr>
                <w:noProof/>
                <w:webHidden/>
              </w:rPr>
            </w:r>
            <w:r w:rsidR="00BB5D16">
              <w:rPr>
                <w:noProof/>
                <w:webHidden/>
              </w:rPr>
              <w:fldChar w:fldCharType="separate"/>
            </w:r>
            <w:r w:rsidR="00AD1DDF">
              <w:rPr>
                <w:noProof/>
                <w:webHidden/>
              </w:rPr>
              <w:t>54</w:t>
            </w:r>
            <w:r w:rsidR="00BB5D16">
              <w:rPr>
                <w:noProof/>
                <w:webHidden/>
              </w:rPr>
              <w:fldChar w:fldCharType="end"/>
            </w:r>
          </w:hyperlink>
        </w:p>
        <w:p w:rsidR="00BB5D16" w:rsidRDefault="00162762">
          <w:pPr>
            <w:pStyle w:val="TOC1"/>
            <w:rPr>
              <w:rFonts w:asciiTheme="minorHAnsi" w:eastAsiaTheme="minorEastAsia" w:hAnsiTheme="minorHAnsi"/>
              <w:noProof/>
              <w:color w:val="auto"/>
              <w:sz w:val="22"/>
              <w:lang w:eastAsia="en-AU"/>
            </w:rPr>
          </w:pPr>
          <w:hyperlink w:anchor="_Toc443915372" w:history="1">
            <w:r w:rsidR="00BB5D16" w:rsidRPr="007E2E1C">
              <w:rPr>
                <w:rStyle w:val="Hyperlink"/>
                <w:noProof/>
              </w:rPr>
              <w:t>13.</w:t>
            </w:r>
            <w:r w:rsidR="00BB5D16">
              <w:rPr>
                <w:rFonts w:asciiTheme="minorHAnsi" w:eastAsiaTheme="minorEastAsia" w:hAnsiTheme="minorHAnsi"/>
                <w:noProof/>
                <w:color w:val="auto"/>
                <w:sz w:val="22"/>
                <w:lang w:eastAsia="en-AU"/>
              </w:rPr>
              <w:tab/>
            </w:r>
            <w:r w:rsidR="00BB5D16" w:rsidRPr="007E2E1C">
              <w:rPr>
                <w:rStyle w:val="Hyperlink"/>
                <w:noProof/>
              </w:rPr>
              <w:t>Consultation</w:t>
            </w:r>
            <w:r w:rsidR="00BB5D16">
              <w:rPr>
                <w:noProof/>
                <w:webHidden/>
              </w:rPr>
              <w:tab/>
            </w:r>
            <w:r w:rsidR="00BB5D16">
              <w:rPr>
                <w:noProof/>
                <w:webHidden/>
              </w:rPr>
              <w:fldChar w:fldCharType="begin"/>
            </w:r>
            <w:r w:rsidR="00BB5D16">
              <w:rPr>
                <w:noProof/>
                <w:webHidden/>
              </w:rPr>
              <w:instrText xml:space="preserve"> PAGEREF _Toc443915372 \h </w:instrText>
            </w:r>
            <w:r w:rsidR="00BB5D16">
              <w:rPr>
                <w:noProof/>
                <w:webHidden/>
              </w:rPr>
            </w:r>
            <w:r w:rsidR="00BB5D16">
              <w:rPr>
                <w:noProof/>
                <w:webHidden/>
              </w:rPr>
              <w:fldChar w:fldCharType="separate"/>
            </w:r>
            <w:r w:rsidR="00AD1DDF">
              <w:rPr>
                <w:noProof/>
                <w:webHidden/>
              </w:rPr>
              <w:t>57</w:t>
            </w:r>
            <w:r w:rsidR="00BB5D16">
              <w:rPr>
                <w:noProof/>
                <w:webHidden/>
              </w:rPr>
              <w:fldChar w:fldCharType="end"/>
            </w:r>
          </w:hyperlink>
        </w:p>
        <w:p w:rsidR="00BB5D16" w:rsidRDefault="00162762">
          <w:pPr>
            <w:pStyle w:val="TOC1"/>
            <w:rPr>
              <w:rFonts w:asciiTheme="minorHAnsi" w:eastAsiaTheme="minorEastAsia" w:hAnsiTheme="minorHAnsi"/>
              <w:noProof/>
              <w:color w:val="auto"/>
              <w:sz w:val="22"/>
              <w:lang w:eastAsia="en-AU"/>
            </w:rPr>
          </w:pPr>
          <w:hyperlink w:anchor="_Toc443915373" w:history="1">
            <w:r w:rsidR="00BB5D16" w:rsidRPr="007E2E1C">
              <w:rPr>
                <w:rStyle w:val="Hyperlink"/>
                <w:noProof/>
              </w:rPr>
              <w:t>14.</w:t>
            </w:r>
            <w:r w:rsidR="00BB5D16">
              <w:rPr>
                <w:rFonts w:asciiTheme="minorHAnsi" w:eastAsiaTheme="minorEastAsia" w:hAnsiTheme="minorHAnsi"/>
                <w:noProof/>
                <w:color w:val="auto"/>
                <w:sz w:val="22"/>
                <w:lang w:eastAsia="en-AU"/>
              </w:rPr>
              <w:tab/>
            </w:r>
            <w:r w:rsidR="00BB5D16" w:rsidRPr="007E2E1C">
              <w:rPr>
                <w:rStyle w:val="Hyperlink"/>
                <w:noProof/>
              </w:rPr>
              <w:t>Statement of compliance with the National Competition Policy</w:t>
            </w:r>
            <w:r w:rsidR="00BB5D16">
              <w:rPr>
                <w:noProof/>
                <w:webHidden/>
              </w:rPr>
              <w:tab/>
            </w:r>
            <w:r w:rsidR="00BB5D16">
              <w:rPr>
                <w:noProof/>
                <w:webHidden/>
              </w:rPr>
              <w:fldChar w:fldCharType="begin"/>
            </w:r>
            <w:r w:rsidR="00BB5D16">
              <w:rPr>
                <w:noProof/>
                <w:webHidden/>
              </w:rPr>
              <w:instrText xml:space="preserve"> PAGEREF _Toc443915373 \h </w:instrText>
            </w:r>
            <w:r w:rsidR="00BB5D16">
              <w:rPr>
                <w:noProof/>
                <w:webHidden/>
              </w:rPr>
            </w:r>
            <w:r w:rsidR="00BB5D16">
              <w:rPr>
                <w:noProof/>
                <w:webHidden/>
              </w:rPr>
              <w:fldChar w:fldCharType="separate"/>
            </w:r>
            <w:r w:rsidR="00AD1DDF">
              <w:rPr>
                <w:noProof/>
                <w:webHidden/>
              </w:rPr>
              <w:t>59</w:t>
            </w:r>
            <w:r w:rsidR="00BB5D16">
              <w:rPr>
                <w:noProof/>
                <w:webHidden/>
              </w:rPr>
              <w:fldChar w:fldCharType="end"/>
            </w:r>
          </w:hyperlink>
        </w:p>
        <w:p w:rsidR="00BB5D16" w:rsidRDefault="00162762">
          <w:pPr>
            <w:pStyle w:val="TOC1"/>
            <w:rPr>
              <w:rFonts w:asciiTheme="minorHAnsi" w:eastAsiaTheme="minorEastAsia" w:hAnsiTheme="minorHAnsi"/>
              <w:noProof/>
              <w:color w:val="auto"/>
              <w:sz w:val="22"/>
              <w:lang w:eastAsia="en-AU"/>
            </w:rPr>
          </w:pPr>
          <w:hyperlink w:anchor="_Toc443915374" w:history="1">
            <w:r w:rsidR="00BB5D16" w:rsidRPr="007E2E1C">
              <w:rPr>
                <w:rStyle w:val="Hyperlink"/>
                <w:noProof/>
              </w:rPr>
              <w:t>15.</w:t>
            </w:r>
            <w:r w:rsidR="00BB5D16">
              <w:rPr>
                <w:rFonts w:asciiTheme="minorHAnsi" w:eastAsiaTheme="minorEastAsia" w:hAnsiTheme="minorHAnsi"/>
                <w:noProof/>
                <w:color w:val="auto"/>
                <w:sz w:val="22"/>
                <w:lang w:eastAsia="en-AU"/>
              </w:rPr>
              <w:tab/>
            </w:r>
            <w:r w:rsidR="00BB5D16" w:rsidRPr="007E2E1C">
              <w:rPr>
                <w:rStyle w:val="Hyperlink"/>
                <w:noProof/>
              </w:rPr>
              <w:t>Implementation plan</w:t>
            </w:r>
            <w:r w:rsidR="00BB5D16">
              <w:rPr>
                <w:noProof/>
                <w:webHidden/>
              </w:rPr>
              <w:tab/>
            </w:r>
            <w:r w:rsidR="00BB5D16">
              <w:rPr>
                <w:noProof/>
                <w:webHidden/>
              </w:rPr>
              <w:fldChar w:fldCharType="begin"/>
            </w:r>
            <w:r w:rsidR="00BB5D16">
              <w:rPr>
                <w:noProof/>
                <w:webHidden/>
              </w:rPr>
              <w:instrText xml:space="preserve"> PAGEREF _Toc443915374 \h </w:instrText>
            </w:r>
            <w:r w:rsidR="00BB5D16">
              <w:rPr>
                <w:noProof/>
                <w:webHidden/>
              </w:rPr>
            </w:r>
            <w:r w:rsidR="00BB5D16">
              <w:rPr>
                <w:noProof/>
                <w:webHidden/>
              </w:rPr>
              <w:fldChar w:fldCharType="separate"/>
            </w:r>
            <w:r w:rsidR="00AD1DDF">
              <w:rPr>
                <w:noProof/>
                <w:webHidden/>
              </w:rPr>
              <w:t>60</w:t>
            </w:r>
            <w:r w:rsidR="00BB5D16">
              <w:rPr>
                <w:noProof/>
                <w:webHidden/>
              </w:rPr>
              <w:fldChar w:fldCharType="end"/>
            </w:r>
          </w:hyperlink>
        </w:p>
        <w:p w:rsidR="00BB5D16" w:rsidRDefault="00162762">
          <w:pPr>
            <w:pStyle w:val="TOC1"/>
            <w:rPr>
              <w:rFonts w:asciiTheme="minorHAnsi" w:eastAsiaTheme="minorEastAsia" w:hAnsiTheme="minorHAnsi"/>
              <w:noProof/>
              <w:color w:val="auto"/>
              <w:sz w:val="22"/>
              <w:lang w:eastAsia="en-AU"/>
            </w:rPr>
          </w:pPr>
          <w:hyperlink w:anchor="_Toc443915375" w:history="1">
            <w:r w:rsidR="00BB5D16" w:rsidRPr="007E2E1C">
              <w:rPr>
                <w:rStyle w:val="Hyperlink"/>
                <w:noProof/>
              </w:rPr>
              <w:t>16.</w:t>
            </w:r>
            <w:r w:rsidR="00BB5D16">
              <w:rPr>
                <w:rFonts w:asciiTheme="minorHAnsi" w:eastAsiaTheme="minorEastAsia" w:hAnsiTheme="minorHAnsi"/>
                <w:noProof/>
                <w:color w:val="auto"/>
                <w:sz w:val="22"/>
                <w:lang w:eastAsia="en-AU"/>
              </w:rPr>
              <w:tab/>
            </w:r>
            <w:r w:rsidR="00BB5D16" w:rsidRPr="007E2E1C">
              <w:rPr>
                <w:rStyle w:val="Hyperlink"/>
                <w:noProof/>
              </w:rPr>
              <w:t>Evaluation strategy</w:t>
            </w:r>
            <w:r w:rsidR="00BB5D16">
              <w:rPr>
                <w:noProof/>
                <w:webHidden/>
              </w:rPr>
              <w:tab/>
            </w:r>
            <w:r w:rsidR="00BB5D16">
              <w:rPr>
                <w:noProof/>
                <w:webHidden/>
              </w:rPr>
              <w:fldChar w:fldCharType="begin"/>
            </w:r>
            <w:r w:rsidR="00BB5D16">
              <w:rPr>
                <w:noProof/>
                <w:webHidden/>
              </w:rPr>
              <w:instrText xml:space="preserve"> PAGEREF _Toc443915375 \h </w:instrText>
            </w:r>
            <w:r w:rsidR="00BB5D16">
              <w:rPr>
                <w:noProof/>
                <w:webHidden/>
              </w:rPr>
            </w:r>
            <w:r w:rsidR="00BB5D16">
              <w:rPr>
                <w:noProof/>
                <w:webHidden/>
              </w:rPr>
              <w:fldChar w:fldCharType="separate"/>
            </w:r>
            <w:r w:rsidR="00AD1DDF">
              <w:rPr>
                <w:noProof/>
                <w:webHidden/>
              </w:rPr>
              <w:t>61</w:t>
            </w:r>
            <w:r w:rsidR="00BB5D16">
              <w:rPr>
                <w:noProof/>
                <w:webHidden/>
              </w:rPr>
              <w:fldChar w:fldCharType="end"/>
            </w:r>
          </w:hyperlink>
        </w:p>
        <w:p w:rsidR="00BB5D16" w:rsidRDefault="00162762">
          <w:pPr>
            <w:pStyle w:val="TOC1"/>
            <w:rPr>
              <w:rFonts w:asciiTheme="minorHAnsi" w:eastAsiaTheme="minorEastAsia" w:hAnsiTheme="minorHAnsi"/>
              <w:noProof/>
              <w:color w:val="auto"/>
              <w:sz w:val="22"/>
              <w:lang w:eastAsia="en-AU"/>
            </w:rPr>
          </w:pPr>
          <w:hyperlink w:anchor="_Toc443915376" w:history="1">
            <w:r w:rsidR="00BB5D16" w:rsidRPr="007E2E1C">
              <w:rPr>
                <w:rStyle w:val="Hyperlink"/>
                <w:noProof/>
              </w:rPr>
              <w:t>17.</w:t>
            </w:r>
            <w:r w:rsidR="00BB5D16">
              <w:rPr>
                <w:rFonts w:asciiTheme="minorHAnsi" w:eastAsiaTheme="minorEastAsia" w:hAnsiTheme="minorHAnsi"/>
                <w:noProof/>
                <w:color w:val="auto"/>
                <w:sz w:val="22"/>
                <w:lang w:eastAsia="en-AU"/>
              </w:rPr>
              <w:tab/>
            </w:r>
            <w:r w:rsidR="00BB5D16" w:rsidRPr="007E2E1C">
              <w:rPr>
                <w:rStyle w:val="Hyperlink"/>
                <w:noProof/>
              </w:rPr>
              <w:t>Appendix 1: Proposed PrimeSafe Fee Schedule</w:t>
            </w:r>
            <w:r w:rsidR="00BB5D16">
              <w:rPr>
                <w:noProof/>
                <w:webHidden/>
              </w:rPr>
              <w:tab/>
            </w:r>
            <w:r w:rsidR="00BB5D16">
              <w:rPr>
                <w:noProof/>
                <w:webHidden/>
              </w:rPr>
              <w:fldChar w:fldCharType="begin"/>
            </w:r>
            <w:r w:rsidR="00BB5D16">
              <w:rPr>
                <w:noProof/>
                <w:webHidden/>
              </w:rPr>
              <w:instrText xml:space="preserve"> PAGEREF _Toc443915376 \h </w:instrText>
            </w:r>
            <w:r w:rsidR="00BB5D16">
              <w:rPr>
                <w:noProof/>
                <w:webHidden/>
              </w:rPr>
            </w:r>
            <w:r w:rsidR="00BB5D16">
              <w:rPr>
                <w:noProof/>
                <w:webHidden/>
              </w:rPr>
              <w:fldChar w:fldCharType="separate"/>
            </w:r>
            <w:r w:rsidR="00AD1DDF">
              <w:rPr>
                <w:noProof/>
                <w:webHidden/>
              </w:rPr>
              <w:t>62</w:t>
            </w:r>
            <w:r w:rsidR="00BB5D16">
              <w:rPr>
                <w:noProof/>
                <w:webHidden/>
              </w:rPr>
              <w:fldChar w:fldCharType="end"/>
            </w:r>
          </w:hyperlink>
        </w:p>
        <w:p w:rsidR="00350954" w:rsidRPr="004D2F04" w:rsidRDefault="0026792B" w:rsidP="004D2F04">
          <w:pPr>
            <w:spacing w:after="0" w:line="240" w:lineRule="auto"/>
            <w:rPr>
              <w:rFonts w:ascii="Arial" w:hAnsi="Arial" w:cs="Arial"/>
              <w:sz w:val="20"/>
              <w:szCs w:val="20"/>
            </w:rPr>
            <w:sectPr w:rsidR="00350954" w:rsidRPr="004D2F04" w:rsidSect="0076363E">
              <w:pgSz w:w="11906" w:h="16838"/>
              <w:pgMar w:top="1440" w:right="1440" w:bottom="1440" w:left="1440" w:header="567" w:footer="567" w:gutter="0"/>
              <w:cols w:space="708"/>
              <w:docGrid w:linePitch="360"/>
            </w:sectPr>
          </w:pPr>
          <w:r>
            <w:rPr>
              <w:rFonts w:ascii="Arial" w:hAnsi="Arial" w:cs="Arial"/>
              <w:b/>
              <w:color w:val="000000" w:themeColor="text1"/>
              <w:sz w:val="20"/>
              <w:szCs w:val="20"/>
            </w:rPr>
            <w:fldChar w:fldCharType="end"/>
          </w:r>
        </w:p>
      </w:sdtContent>
    </w:sdt>
    <w:p w:rsidR="00D47ADE" w:rsidRPr="00FC6804" w:rsidRDefault="00D47ADE" w:rsidP="0026792B">
      <w:pPr>
        <w:pStyle w:val="Heading1"/>
      </w:pPr>
      <w:bookmarkStart w:id="4" w:name="_Toc443915339"/>
      <w:r w:rsidRPr="00FC6804">
        <w:t>Introduction</w:t>
      </w:r>
      <w:bookmarkEnd w:id="4"/>
    </w:p>
    <w:p w:rsidR="00D47ADE" w:rsidRPr="00FC6804" w:rsidRDefault="00D47ADE" w:rsidP="00350954">
      <w:pPr>
        <w:spacing w:after="0" w:line="240" w:lineRule="auto"/>
        <w:rPr>
          <w:rFonts w:ascii="Arial" w:hAnsi="Arial" w:cs="Arial"/>
          <w:sz w:val="20"/>
          <w:szCs w:val="20"/>
        </w:rPr>
      </w:pPr>
    </w:p>
    <w:p w:rsidR="007166A2" w:rsidRPr="00FC6804" w:rsidRDefault="007166A2" w:rsidP="00350954">
      <w:pPr>
        <w:pStyle w:val="NormalWeb"/>
        <w:spacing w:before="0" w:beforeAutospacing="0" w:after="0" w:afterAutospacing="0"/>
        <w:rPr>
          <w:rFonts w:ascii="Arial" w:hAnsi="Arial" w:cs="Arial"/>
          <w:sz w:val="20"/>
          <w:szCs w:val="20"/>
        </w:rPr>
      </w:pPr>
      <w:r w:rsidRPr="00FC6804">
        <w:rPr>
          <w:rFonts w:ascii="Arial" w:hAnsi="Arial" w:cs="Arial"/>
          <w:sz w:val="20"/>
          <w:szCs w:val="20"/>
        </w:rPr>
        <w:t xml:space="preserve">This </w:t>
      </w:r>
      <w:r w:rsidR="00350954" w:rsidRPr="00FC6804">
        <w:rPr>
          <w:rFonts w:ascii="Arial" w:hAnsi="Arial" w:cs="Arial"/>
          <w:sz w:val="20"/>
          <w:szCs w:val="20"/>
        </w:rPr>
        <w:t>Regulatory Impact Statement (</w:t>
      </w:r>
      <w:r w:rsidRPr="00FC6804">
        <w:rPr>
          <w:rFonts w:ascii="Arial" w:hAnsi="Arial" w:cs="Arial"/>
          <w:sz w:val="20"/>
          <w:szCs w:val="20"/>
        </w:rPr>
        <w:t>RIS</w:t>
      </w:r>
      <w:r w:rsidR="00350954" w:rsidRPr="00FC6804">
        <w:rPr>
          <w:rFonts w:ascii="Arial" w:hAnsi="Arial" w:cs="Arial"/>
          <w:sz w:val="20"/>
          <w:szCs w:val="20"/>
        </w:rPr>
        <w:t>)</w:t>
      </w:r>
      <w:r w:rsidRPr="00FC6804">
        <w:rPr>
          <w:rFonts w:ascii="Arial" w:hAnsi="Arial" w:cs="Arial"/>
          <w:sz w:val="20"/>
          <w:szCs w:val="20"/>
        </w:rPr>
        <w:t xml:space="preserve"> discusses a limited range of proposed changes to the fees currently charged by PrimeSafe in connection with the carrying out of its functions in respect of the assurance of the safety of meat</w:t>
      </w:r>
      <w:r w:rsidR="001A6A12">
        <w:rPr>
          <w:rFonts w:ascii="Arial" w:hAnsi="Arial" w:cs="Arial"/>
          <w:sz w:val="20"/>
          <w:szCs w:val="20"/>
        </w:rPr>
        <w:t xml:space="preserve">, seafood </w:t>
      </w:r>
      <w:r w:rsidR="00FB1805" w:rsidRPr="00FC6804">
        <w:rPr>
          <w:rFonts w:ascii="Arial" w:hAnsi="Arial" w:cs="Arial"/>
          <w:sz w:val="20"/>
          <w:szCs w:val="20"/>
        </w:rPr>
        <w:t xml:space="preserve">and </w:t>
      </w:r>
      <w:r w:rsidRPr="00FC6804">
        <w:rPr>
          <w:rFonts w:ascii="Arial" w:hAnsi="Arial" w:cs="Arial"/>
          <w:sz w:val="20"/>
          <w:szCs w:val="20"/>
        </w:rPr>
        <w:t xml:space="preserve">poultry </w:t>
      </w:r>
      <w:r w:rsidR="00FB1805" w:rsidRPr="00FC6804">
        <w:rPr>
          <w:rFonts w:ascii="Arial" w:hAnsi="Arial" w:cs="Arial"/>
          <w:sz w:val="20"/>
          <w:szCs w:val="20"/>
        </w:rPr>
        <w:t xml:space="preserve">in </w:t>
      </w:r>
      <w:r w:rsidRPr="00FC6804">
        <w:rPr>
          <w:rFonts w:ascii="Arial" w:hAnsi="Arial" w:cs="Arial"/>
          <w:sz w:val="20"/>
          <w:szCs w:val="20"/>
        </w:rPr>
        <w:t>Victoria.</w:t>
      </w:r>
    </w:p>
    <w:p w:rsidR="007166A2" w:rsidRPr="00FC6804" w:rsidRDefault="007166A2" w:rsidP="00350954">
      <w:pPr>
        <w:pStyle w:val="NormalWeb"/>
        <w:spacing w:before="0" w:beforeAutospacing="0" w:after="0" w:afterAutospacing="0"/>
        <w:rPr>
          <w:rFonts w:ascii="Arial" w:hAnsi="Arial" w:cs="Arial"/>
          <w:sz w:val="20"/>
          <w:szCs w:val="20"/>
        </w:rPr>
      </w:pPr>
    </w:p>
    <w:p w:rsidR="00B16838" w:rsidRPr="00FC6804" w:rsidRDefault="00B16838" w:rsidP="00350954">
      <w:pPr>
        <w:pStyle w:val="NormalWeb"/>
        <w:spacing w:before="0" w:beforeAutospacing="0" w:after="0" w:afterAutospacing="0"/>
        <w:rPr>
          <w:rFonts w:ascii="Arial" w:hAnsi="Arial" w:cs="Arial"/>
          <w:sz w:val="20"/>
          <w:szCs w:val="20"/>
        </w:rPr>
      </w:pPr>
      <w:r w:rsidRPr="00FC6804">
        <w:rPr>
          <w:rFonts w:ascii="Arial" w:hAnsi="Arial" w:cs="Arial"/>
          <w:sz w:val="20"/>
          <w:szCs w:val="20"/>
        </w:rPr>
        <w:t>PrimeSafe was established on 1 July 2003 under the</w:t>
      </w:r>
      <w:r w:rsidRPr="00FC6804">
        <w:rPr>
          <w:rStyle w:val="apple-converted-space"/>
          <w:rFonts w:ascii="Arial" w:eastAsiaTheme="majorEastAsia" w:hAnsi="Arial" w:cs="Arial"/>
          <w:sz w:val="20"/>
          <w:szCs w:val="20"/>
        </w:rPr>
        <w:t> </w:t>
      </w:r>
      <w:r w:rsidRPr="00FC6804">
        <w:rPr>
          <w:rStyle w:val="Emphasis"/>
          <w:rFonts w:ascii="Arial" w:hAnsi="Arial" w:cs="Arial"/>
          <w:sz w:val="20"/>
          <w:szCs w:val="20"/>
        </w:rPr>
        <w:t>Seafood Safety Act 2003</w:t>
      </w:r>
      <w:r w:rsidRPr="00FC6804">
        <w:rPr>
          <w:rStyle w:val="apple-converted-space"/>
          <w:rFonts w:ascii="Arial" w:eastAsiaTheme="majorEastAsia" w:hAnsi="Arial" w:cs="Arial"/>
          <w:i/>
          <w:iCs/>
          <w:sz w:val="20"/>
          <w:szCs w:val="20"/>
        </w:rPr>
        <w:t> </w:t>
      </w:r>
      <w:r w:rsidRPr="00FC6804">
        <w:rPr>
          <w:rFonts w:ascii="Arial" w:hAnsi="Arial" w:cs="Arial"/>
          <w:sz w:val="20"/>
          <w:szCs w:val="20"/>
        </w:rPr>
        <w:t>and the</w:t>
      </w:r>
      <w:r w:rsidRPr="00FC6804">
        <w:rPr>
          <w:rStyle w:val="apple-converted-space"/>
          <w:rFonts w:ascii="Arial" w:eastAsiaTheme="majorEastAsia" w:hAnsi="Arial" w:cs="Arial"/>
          <w:sz w:val="20"/>
          <w:szCs w:val="20"/>
        </w:rPr>
        <w:t> </w:t>
      </w:r>
      <w:r w:rsidR="0069650A">
        <w:rPr>
          <w:rStyle w:val="Emphasis"/>
          <w:rFonts w:ascii="Arial" w:hAnsi="Arial" w:cs="Arial"/>
          <w:sz w:val="20"/>
          <w:szCs w:val="20"/>
        </w:rPr>
        <w:t>Meat Industry Act 1993</w:t>
      </w:r>
      <w:r w:rsidR="0069650A" w:rsidRPr="0069650A">
        <w:rPr>
          <w:rStyle w:val="Emphasis"/>
          <w:rFonts w:ascii="Arial" w:hAnsi="Arial" w:cs="Arial"/>
          <w:i w:val="0"/>
          <w:sz w:val="20"/>
          <w:szCs w:val="20"/>
        </w:rPr>
        <w:t xml:space="preserve">. </w:t>
      </w:r>
      <w:r w:rsidRPr="0069650A">
        <w:rPr>
          <w:rStyle w:val="Emphasis"/>
          <w:rFonts w:ascii="Arial" w:hAnsi="Arial" w:cs="Arial"/>
          <w:i w:val="0"/>
          <w:sz w:val="20"/>
          <w:szCs w:val="20"/>
        </w:rPr>
        <w:t>It took over the functions of the</w:t>
      </w:r>
      <w:r w:rsidRPr="0069650A">
        <w:rPr>
          <w:rStyle w:val="apple-converted-space"/>
          <w:rFonts w:ascii="Arial" w:eastAsiaTheme="majorEastAsia" w:hAnsi="Arial" w:cs="Arial"/>
          <w:i/>
          <w:iCs/>
          <w:sz w:val="20"/>
          <w:szCs w:val="20"/>
        </w:rPr>
        <w:t> </w:t>
      </w:r>
      <w:r w:rsidRPr="0069650A">
        <w:rPr>
          <w:rFonts w:ascii="Arial" w:hAnsi="Arial" w:cs="Arial"/>
          <w:i/>
          <w:sz w:val="20"/>
          <w:szCs w:val="20"/>
        </w:rPr>
        <w:t xml:space="preserve">former Victorian Meat Authority with respect to </w:t>
      </w:r>
      <w:r w:rsidR="00DE222F" w:rsidRPr="0069650A">
        <w:rPr>
          <w:rFonts w:ascii="Arial" w:hAnsi="Arial" w:cs="Arial"/>
          <w:i/>
          <w:sz w:val="20"/>
          <w:szCs w:val="20"/>
        </w:rPr>
        <w:t xml:space="preserve">food safety in relation to </w:t>
      </w:r>
      <w:r w:rsidRPr="0069650A">
        <w:rPr>
          <w:rFonts w:ascii="Arial" w:hAnsi="Arial" w:cs="Arial"/>
          <w:i/>
          <w:sz w:val="20"/>
          <w:szCs w:val="20"/>
        </w:rPr>
        <w:t>red meat</w:t>
      </w:r>
      <w:r w:rsidRPr="00FC6804">
        <w:rPr>
          <w:rFonts w:ascii="Arial" w:hAnsi="Arial" w:cs="Arial"/>
          <w:sz w:val="20"/>
          <w:szCs w:val="20"/>
        </w:rPr>
        <w:t xml:space="preserve"> and poultry, as well as taking resp</w:t>
      </w:r>
      <w:r w:rsidR="00350954" w:rsidRPr="00FC6804">
        <w:rPr>
          <w:rFonts w:ascii="Arial" w:hAnsi="Arial" w:cs="Arial"/>
          <w:sz w:val="20"/>
          <w:szCs w:val="20"/>
        </w:rPr>
        <w:t xml:space="preserve">onsibility for seafood safety. </w:t>
      </w:r>
      <w:r w:rsidRPr="00FC6804">
        <w:rPr>
          <w:rFonts w:ascii="Arial" w:hAnsi="Arial" w:cs="Arial"/>
          <w:sz w:val="20"/>
          <w:szCs w:val="20"/>
        </w:rPr>
        <w:t>PrimeSafe is also responsible for the regulatory management of pet food.</w:t>
      </w:r>
    </w:p>
    <w:p w:rsidR="00B16838" w:rsidRPr="00FC6804" w:rsidRDefault="00B16838" w:rsidP="00350954">
      <w:pPr>
        <w:pStyle w:val="NormalWeb"/>
        <w:spacing w:before="0" w:beforeAutospacing="0" w:after="0" w:afterAutospacing="0"/>
        <w:rPr>
          <w:rFonts w:ascii="Arial" w:hAnsi="Arial" w:cs="Arial"/>
          <w:sz w:val="20"/>
          <w:szCs w:val="20"/>
        </w:rPr>
      </w:pPr>
    </w:p>
    <w:p w:rsidR="00B16838" w:rsidRPr="00FC6804" w:rsidRDefault="00B16838" w:rsidP="00350954">
      <w:pPr>
        <w:pStyle w:val="NormalWeb"/>
        <w:spacing w:before="0" w:beforeAutospacing="0" w:after="0" w:afterAutospacing="0"/>
        <w:rPr>
          <w:rStyle w:val="Emphasis"/>
          <w:rFonts w:ascii="Arial" w:hAnsi="Arial" w:cs="Arial"/>
          <w:i w:val="0"/>
          <w:sz w:val="20"/>
          <w:szCs w:val="20"/>
        </w:rPr>
      </w:pPr>
      <w:r w:rsidRPr="00FC6804">
        <w:rPr>
          <w:rFonts w:ascii="Arial" w:hAnsi="Arial" w:cs="Arial"/>
          <w:sz w:val="20"/>
          <w:szCs w:val="20"/>
        </w:rPr>
        <w:t>The functions of PrimeSafe are prescribed under Section 44 of the</w:t>
      </w:r>
      <w:r w:rsidRPr="00FC6804">
        <w:rPr>
          <w:rStyle w:val="apple-converted-space"/>
          <w:rFonts w:ascii="Arial" w:eastAsiaTheme="majorEastAsia" w:hAnsi="Arial" w:cs="Arial"/>
          <w:sz w:val="20"/>
          <w:szCs w:val="20"/>
        </w:rPr>
        <w:t> </w:t>
      </w:r>
      <w:r w:rsidRPr="00FC6804">
        <w:rPr>
          <w:rStyle w:val="Emphasis"/>
          <w:rFonts w:ascii="Arial" w:hAnsi="Arial" w:cs="Arial"/>
          <w:sz w:val="20"/>
          <w:szCs w:val="20"/>
        </w:rPr>
        <w:t xml:space="preserve">Meat Industry Act 1993 </w:t>
      </w:r>
      <w:r w:rsidRPr="00FC6804">
        <w:rPr>
          <w:rStyle w:val="Emphasis"/>
          <w:rFonts w:ascii="Arial" w:hAnsi="Arial" w:cs="Arial"/>
          <w:i w:val="0"/>
          <w:sz w:val="20"/>
          <w:szCs w:val="20"/>
        </w:rPr>
        <w:t xml:space="preserve">and include responsibility for standards in respect of meat, poultry and game produced for consumption and sale within Victoria, standards for the construction and hygiene of plant and equipment involved in meat processing, ensuring that appropriately qualified persons are authorised as inspectors, licensing of meat processing facilities, approving quality assurance programs, protecting public health and carrying out the functions conferred upon it by the </w:t>
      </w:r>
      <w:r w:rsidRPr="00FC6804">
        <w:rPr>
          <w:rStyle w:val="Emphasis"/>
          <w:rFonts w:ascii="Arial" w:hAnsi="Arial" w:cs="Arial"/>
          <w:sz w:val="20"/>
          <w:szCs w:val="20"/>
        </w:rPr>
        <w:t>Seafood Safety Act 2003</w:t>
      </w:r>
      <w:r w:rsidRPr="00FC6804">
        <w:rPr>
          <w:rStyle w:val="Emphasis"/>
          <w:rFonts w:ascii="Arial" w:hAnsi="Arial" w:cs="Arial"/>
          <w:i w:val="0"/>
          <w:sz w:val="20"/>
          <w:szCs w:val="20"/>
        </w:rPr>
        <w:t>.</w:t>
      </w:r>
    </w:p>
    <w:p w:rsidR="00B16838" w:rsidRPr="00FC6804" w:rsidRDefault="00B16838" w:rsidP="00350954">
      <w:pPr>
        <w:pStyle w:val="NormalWeb"/>
        <w:spacing w:before="0" w:beforeAutospacing="0" w:after="0" w:afterAutospacing="0"/>
        <w:rPr>
          <w:rStyle w:val="Emphasis"/>
          <w:rFonts w:ascii="Arial" w:hAnsi="Arial" w:cs="Arial"/>
          <w:i w:val="0"/>
          <w:sz w:val="20"/>
          <w:szCs w:val="20"/>
        </w:rPr>
      </w:pPr>
    </w:p>
    <w:p w:rsidR="00B16838" w:rsidRPr="00FC6804" w:rsidRDefault="00B16838" w:rsidP="00350954">
      <w:pPr>
        <w:pStyle w:val="NormalWeb"/>
        <w:spacing w:before="0" w:beforeAutospacing="0" w:after="0" w:afterAutospacing="0"/>
        <w:rPr>
          <w:rFonts w:ascii="Arial" w:hAnsi="Arial" w:cs="Arial"/>
          <w:sz w:val="20"/>
          <w:szCs w:val="20"/>
        </w:rPr>
      </w:pPr>
      <w:r w:rsidRPr="00FC6804">
        <w:rPr>
          <w:rFonts w:ascii="Arial" w:hAnsi="Arial" w:cs="Arial"/>
          <w:sz w:val="20"/>
          <w:szCs w:val="20"/>
        </w:rPr>
        <w:t xml:space="preserve">Section 45(2) of the </w:t>
      </w:r>
      <w:r w:rsidRPr="00FC6804">
        <w:rPr>
          <w:rFonts w:ascii="Arial" w:hAnsi="Arial" w:cs="Arial"/>
          <w:i/>
          <w:sz w:val="20"/>
          <w:szCs w:val="20"/>
        </w:rPr>
        <w:t>Meat Industry Act 1993</w:t>
      </w:r>
      <w:r w:rsidRPr="00FC6804">
        <w:rPr>
          <w:rFonts w:ascii="Arial" w:hAnsi="Arial" w:cs="Arial"/>
          <w:sz w:val="20"/>
          <w:szCs w:val="20"/>
        </w:rPr>
        <w:t xml:space="preserve"> authorises PrimeSafe to “</w:t>
      </w:r>
      <w:r w:rsidRPr="00FC6804">
        <w:rPr>
          <w:rFonts w:ascii="Arial" w:hAnsi="Arial" w:cs="Arial"/>
          <w:i/>
          <w:sz w:val="20"/>
          <w:szCs w:val="20"/>
        </w:rPr>
        <w:t>fix and charge fees for the carrying out of its functions or the provision of its services or the services of inspectors</w:t>
      </w:r>
      <w:r w:rsidRPr="00FC6804">
        <w:rPr>
          <w:rFonts w:ascii="Arial" w:hAnsi="Arial" w:cs="Arial"/>
          <w:sz w:val="20"/>
          <w:szCs w:val="20"/>
        </w:rPr>
        <w:t>”</w:t>
      </w:r>
      <w:r w:rsidR="001C73F1" w:rsidRPr="00FC6804">
        <w:rPr>
          <w:rStyle w:val="FootnoteReference"/>
          <w:rFonts w:ascii="Arial" w:hAnsi="Arial" w:cs="Arial"/>
          <w:sz w:val="20"/>
          <w:szCs w:val="20"/>
        </w:rPr>
        <w:footnoteReference w:id="6"/>
      </w:r>
      <w:r w:rsidRPr="00FC6804">
        <w:rPr>
          <w:rFonts w:ascii="Arial" w:hAnsi="Arial" w:cs="Arial"/>
          <w:sz w:val="20"/>
          <w:szCs w:val="20"/>
        </w:rPr>
        <w:t xml:space="preserve">. </w:t>
      </w:r>
      <w:r w:rsidR="00FB1805" w:rsidRPr="00FC6804">
        <w:rPr>
          <w:rFonts w:ascii="Arial" w:hAnsi="Arial" w:cs="Arial"/>
          <w:sz w:val="20"/>
          <w:szCs w:val="20"/>
        </w:rPr>
        <w:t xml:space="preserve">The </w:t>
      </w:r>
      <w:r w:rsidR="001A6A12" w:rsidRPr="00FC6804">
        <w:rPr>
          <w:rFonts w:ascii="Arial" w:hAnsi="Arial" w:cs="Arial"/>
          <w:i/>
          <w:sz w:val="20"/>
          <w:szCs w:val="20"/>
        </w:rPr>
        <w:t>Meat Industry Act 1993</w:t>
      </w:r>
      <w:r w:rsidR="001A6A12">
        <w:rPr>
          <w:rFonts w:ascii="Arial" w:hAnsi="Arial" w:cs="Arial"/>
          <w:i/>
          <w:sz w:val="20"/>
          <w:szCs w:val="20"/>
        </w:rPr>
        <w:t xml:space="preserve"> </w:t>
      </w:r>
      <w:r w:rsidR="00FB1805" w:rsidRPr="00FC6804">
        <w:rPr>
          <w:rFonts w:ascii="Arial" w:hAnsi="Arial" w:cs="Arial"/>
          <w:sz w:val="20"/>
          <w:szCs w:val="20"/>
        </w:rPr>
        <w:t xml:space="preserve">does not </w:t>
      </w:r>
      <w:r w:rsidRPr="00FC6804">
        <w:rPr>
          <w:rFonts w:ascii="Arial" w:hAnsi="Arial" w:cs="Arial"/>
          <w:sz w:val="20"/>
          <w:szCs w:val="20"/>
        </w:rPr>
        <w:t>specif</w:t>
      </w:r>
      <w:r w:rsidR="00FB1805" w:rsidRPr="00FC6804">
        <w:rPr>
          <w:rFonts w:ascii="Arial" w:hAnsi="Arial" w:cs="Arial"/>
          <w:sz w:val="20"/>
          <w:szCs w:val="20"/>
        </w:rPr>
        <w:t>y</w:t>
      </w:r>
      <w:r w:rsidRPr="00FC6804">
        <w:rPr>
          <w:rFonts w:ascii="Arial" w:hAnsi="Arial" w:cs="Arial"/>
          <w:sz w:val="20"/>
          <w:szCs w:val="20"/>
        </w:rPr>
        <w:t xml:space="preserve"> the processes by which the relevant fees are to be established</w:t>
      </w:r>
      <w:r w:rsidR="007166A2" w:rsidRPr="00FC6804">
        <w:rPr>
          <w:rFonts w:ascii="Arial" w:hAnsi="Arial" w:cs="Arial"/>
          <w:sz w:val="20"/>
          <w:szCs w:val="20"/>
        </w:rPr>
        <w:t xml:space="preserve">. </w:t>
      </w:r>
      <w:r w:rsidR="00FB1805" w:rsidRPr="00FC6804">
        <w:rPr>
          <w:rFonts w:ascii="Arial" w:hAnsi="Arial" w:cs="Arial"/>
          <w:sz w:val="20"/>
          <w:szCs w:val="20"/>
        </w:rPr>
        <w:t xml:space="preserve"> </w:t>
      </w:r>
      <w:r w:rsidR="007166A2" w:rsidRPr="00FC6804">
        <w:rPr>
          <w:rFonts w:ascii="Arial" w:hAnsi="Arial" w:cs="Arial"/>
          <w:sz w:val="20"/>
          <w:szCs w:val="20"/>
        </w:rPr>
        <w:t xml:space="preserve">However, as a result of amendments to the </w:t>
      </w:r>
      <w:r w:rsidR="007166A2" w:rsidRPr="00FC6804">
        <w:rPr>
          <w:rFonts w:ascii="Arial" w:hAnsi="Arial" w:cs="Arial"/>
          <w:i/>
          <w:sz w:val="20"/>
          <w:szCs w:val="20"/>
        </w:rPr>
        <w:t>Subordinate Legislation Act 1994</w:t>
      </w:r>
      <w:r w:rsidR="007166A2" w:rsidRPr="00FC6804">
        <w:rPr>
          <w:rFonts w:ascii="Arial" w:hAnsi="Arial" w:cs="Arial"/>
          <w:sz w:val="20"/>
          <w:szCs w:val="20"/>
        </w:rPr>
        <w:t xml:space="preserve"> made in 2011</w:t>
      </w:r>
      <w:r w:rsidR="00DE222F" w:rsidRPr="00FC6804">
        <w:rPr>
          <w:rStyle w:val="FootnoteReference"/>
          <w:rFonts w:ascii="Arial" w:hAnsi="Arial" w:cs="Arial"/>
          <w:sz w:val="20"/>
          <w:szCs w:val="20"/>
        </w:rPr>
        <w:footnoteReference w:id="7"/>
      </w:r>
      <w:r w:rsidR="007166A2" w:rsidRPr="00FC6804">
        <w:rPr>
          <w:rFonts w:ascii="Arial" w:hAnsi="Arial" w:cs="Arial"/>
          <w:sz w:val="20"/>
          <w:szCs w:val="20"/>
        </w:rPr>
        <w:t xml:space="preserve">, the setting of these fees (including any modifications to pre-existing fees) are now subject to the </w:t>
      </w:r>
      <w:r w:rsidR="00350954" w:rsidRPr="00FC6804">
        <w:rPr>
          <w:rFonts w:ascii="Arial" w:hAnsi="Arial" w:cs="Arial"/>
          <w:sz w:val="20"/>
          <w:szCs w:val="20"/>
        </w:rPr>
        <w:t>RIS</w:t>
      </w:r>
      <w:r w:rsidR="007166A2" w:rsidRPr="00FC6804">
        <w:rPr>
          <w:rFonts w:ascii="Arial" w:hAnsi="Arial" w:cs="Arial"/>
          <w:sz w:val="20"/>
          <w:szCs w:val="20"/>
        </w:rPr>
        <w:t xml:space="preserve"> process.</w:t>
      </w:r>
    </w:p>
    <w:p w:rsidR="00350954" w:rsidRPr="00FC6804" w:rsidRDefault="00350954" w:rsidP="00350954">
      <w:pPr>
        <w:pStyle w:val="NormalWeb"/>
        <w:spacing w:before="0" w:beforeAutospacing="0" w:after="0" w:afterAutospacing="0"/>
        <w:rPr>
          <w:rFonts w:ascii="Arial" w:hAnsi="Arial" w:cs="Arial"/>
          <w:sz w:val="20"/>
          <w:szCs w:val="20"/>
        </w:rPr>
        <w:sectPr w:rsidR="00350954" w:rsidRPr="00FC6804" w:rsidSect="0076363E">
          <w:pgSz w:w="11906" w:h="16838"/>
          <w:pgMar w:top="1440" w:right="1440" w:bottom="1440" w:left="1440" w:header="567" w:footer="567" w:gutter="0"/>
          <w:cols w:space="708"/>
          <w:docGrid w:linePitch="360"/>
        </w:sectPr>
      </w:pPr>
    </w:p>
    <w:p w:rsidR="00B16838" w:rsidRPr="00FC6804" w:rsidRDefault="007166A2" w:rsidP="0026792B">
      <w:pPr>
        <w:pStyle w:val="Heading1"/>
      </w:pPr>
      <w:bookmarkStart w:id="5" w:name="_Toc443915340"/>
      <w:r w:rsidRPr="00FC6804">
        <w:t>Background</w:t>
      </w:r>
      <w:bookmarkEnd w:id="5"/>
    </w:p>
    <w:p w:rsidR="00B27EDC" w:rsidRPr="00FC6804" w:rsidRDefault="00B27EDC" w:rsidP="00B27EDC">
      <w:pPr>
        <w:spacing w:after="0" w:line="240" w:lineRule="auto"/>
        <w:rPr>
          <w:rFonts w:ascii="Arial" w:hAnsi="Arial" w:cs="Arial"/>
          <w:sz w:val="20"/>
          <w:szCs w:val="20"/>
        </w:rPr>
      </w:pPr>
    </w:p>
    <w:p w:rsidR="00AB069D" w:rsidRPr="00FC6804" w:rsidRDefault="0026607A" w:rsidP="007166A2">
      <w:pPr>
        <w:rPr>
          <w:rFonts w:ascii="Arial" w:hAnsi="Arial" w:cs="Arial"/>
          <w:sz w:val="20"/>
          <w:szCs w:val="20"/>
        </w:rPr>
      </w:pPr>
      <w:r w:rsidRPr="00FC6804">
        <w:rPr>
          <w:rFonts w:ascii="Arial" w:hAnsi="Arial" w:cs="Arial"/>
          <w:sz w:val="20"/>
          <w:szCs w:val="20"/>
        </w:rPr>
        <w:t xml:space="preserve">The fees set </w:t>
      </w:r>
      <w:r w:rsidR="00AB069D" w:rsidRPr="00FC6804">
        <w:rPr>
          <w:rFonts w:ascii="Arial" w:hAnsi="Arial" w:cs="Arial"/>
          <w:sz w:val="20"/>
          <w:szCs w:val="20"/>
        </w:rPr>
        <w:t xml:space="preserve">by </w:t>
      </w:r>
      <w:r w:rsidR="000F12BE" w:rsidRPr="00FC6804">
        <w:rPr>
          <w:rFonts w:ascii="Arial" w:hAnsi="Arial" w:cs="Arial"/>
          <w:sz w:val="20"/>
          <w:szCs w:val="20"/>
        </w:rPr>
        <w:t>PrimeSafe</w:t>
      </w:r>
      <w:r w:rsidR="00AB069D" w:rsidRPr="00FC6804">
        <w:rPr>
          <w:rFonts w:ascii="Arial" w:hAnsi="Arial" w:cs="Arial"/>
          <w:sz w:val="20"/>
          <w:szCs w:val="20"/>
        </w:rPr>
        <w:t xml:space="preserve"> </w:t>
      </w:r>
      <w:r w:rsidRPr="00FC6804">
        <w:rPr>
          <w:rFonts w:ascii="Arial" w:hAnsi="Arial" w:cs="Arial"/>
          <w:sz w:val="20"/>
          <w:szCs w:val="20"/>
        </w:rPr>
        <w:t xml:space="preserve">under the </w:t>
      </w:r>
      <w:r w:rsidR="00AB069D" w:rsidRPr="00FC6804">
        <w:rPr>
          <w:rFonts w:ascii="Arial" w:hAnsi="Arial" w:cs="Arial"/>
          <w:sz w:val="20"/>
          <w:szCs w:val="20"/>
        </w:rPr>
        <w:t xml:space="preserve">authority of the </w:t>
      </w:r>
      <w:r w:rsidR="00026691" w:rsidRPr="00FC6804">
        <w:rPr>
          <w:rFonts w:ascii="Arial" w:hAnsi="Arial" w:cs="Arial"/>
          <w:i/>
          <w:sz w:val="20"/>
          <w:szCs w:val="20"/>
        </w:rPr>
        <w:t>Meat Industry Act 1993</w:t>
      </w:r>
      <w:r w:rsidR="00026691" w:rsidRPr="00FC6804">
        <w:rPr>
          <w:rFonts w:ascii="Arial" w:hAnsi="Arial" w:cs="Arial"/>
          <w:sz w:val="20"/>
          <w:szCs w:val="20"/>
        </w:rPr>
        <w:t xml:space="preserve"> </w:t>
      </w:r>
      <w:r w:rsidR="008652B8">
        <w:rPr>
          <w:rFonts w:ascii="Arial" w:hAnsi="Arial" w:cs="Arial"/>
          <w:sz w:val="20"/>
          <w:szCs w:val="20"/>
        </w:rPr>
        <w:t xml:space="preserve">(the Act) </w:t>
      </w:r>
      <w:r w:rsidR="00AB069D" w:rsidRPr="00FC6804">
        <w:rPr>
          <w:rFonts w:ascii="Arial" w:hAnsi="Arial" w:cs="Arial"/>
          <w:sz w:val="20"/>
          <w:szCs w:val="20"/>
        </w:rPr>
        <w:t xml:space="preserve">constitute a one-off licence application fee, payable on initial application to become licensed, and an annual licence </w:t>
      </w:r>
      <w:r w:rsidR="0023204F" w:rsidRPr="00FC6804">
        <w:rPr>
          <w:rFonts w:ascii="Arial" w:hAnsi="Arial" w:cs="Arial"/>
          <w:sz w:val="20"/>
          <w:szCs w:val="20"/>
        </w:rPr>
        <w:t xml:space="preserve">fee, payable by all licensees. </w:t>
      </w:r>
      <w:r w:rsidR="00AB069D" w:rsidRPr="00FC6804">
        <w:rPr>
          <w:rFonts w:ascii="Arial" w:hAnsi="Arial" w:cs="Arial"/>
          <w:sz w:val="20"/>
          <w:szCs w:val="20"/>
        </w:rPr>
        <w:t>Licence</w:t>
      </w:r>
      <w:r w:rsidR="001A6A12">
        <w:rPr>
          <w:rFonts w:ascii="Arial" w:hAnsi="Arial" w:cs="Arial"/>
          <w:sz w:val="20"/>
          <w:szCs w:val="20"/>
        </w:rPr>
        <w:t xml:space="preserve"> fees vary by licence type and </w:t>
      </w:r>
      <w:r w:rsidR="00AB069D" w:rsidRPr="00FC6804">
        <w:rPr>
          <w:rFonts w:ascii="Arial" w:hAnsi="Arial" w:cs="Arial"/>
          <w:sz w:val="20"/>
          <w:szCs w:val="20"/>
        </w:rPr>
        <w:t>within some licence types, vary according to the</w:t>
      </w:r>
      <w:r w:rsidR="0023204F" w:rsidRPr="00FC6804">
        <w:rPr>
          <w:rFonts w:ascii="Arial" w:hAnsi="Arial" w:cs="Arial"/>
          <w:sz w:val="20"/>
          <w:szCs w:val="20"/>
        </w:rPr>
        <w:t xml:space="preserve"> output level of the business. </w:t>
      </w:r>
      <w:r w:rsidR="00AB069D" w:rsidRPr="00FC6804">
        <w:rPr>
          <w:rFonts w:ascii="Arial" w:hAnsi="Arial" w:cs="Arial"/>
          <w:sz w:val="20"/>
          <w:szCs w:val="20"/>
        </w:rPr>
        <w:t>Licence application fees are set at 50% of t</w:t>
      </w:r>
      <w:r w:rsidR="0023204F" w:rsidRPr="00FC6804">
        <w:rPr>
          <w:rFonts w:ascii="Arial" w:hAnsi="Arial" w:cs="Arial"/>
          <w:sz w:val="20"/>
          <w:szCs w:val="20"/>
        </w:rPr>
        <w:t xml:space="preserve">he annual licence fee payable. </w:t>
      </w:r>
      <w:r w:rsidR="00AB069D" w:rsidRPr="00FC6804">
        <w:rPr>
          <w:rFonts w:ascii="Arial" w:hAnsi="Arial" w:cs="Arial"/>
          <w:sz w:val="20"/>
          <w:szCs w:val="20"/>
        </w:rPr>
        <w:t>Licence fees are paid by all entities regulated by Prime</w:t>
      </w:r>
      <w:r w:rsidR="0023204F" w:rsidRPr="00FC6804">
        <w:rPr>
          <w:rFonts w:ascii="Arial" w:hAnsi="Arial" w:cs="Arial"/>
          <w:sz w:val="20"/>
          <w:szCs w:val="20"/>
        </w:rPr>
        <w:t>S</w:t>
      </w:r>
      <w:r w:rsidR="00AB069D" w:rsidRPr="00FC6804">
        <w:rPr>
          <w:rFonts w:ascii="Arial" w:hAnsi="Arial" w:cs="Arial"/>
          <w:sz w:val="20"/>
          <w:szCs w:val="20"/>
        </w:rPr>
        <w:t>afe.</w:t>
      </w:r>
    </w:p>
    <w:p w:rsidR="00AB069D" w:rsidRPr="00FC6804" w:rsidRDefault="0026607A" w:rsidP="007166A2">
      <w:pPr>
        <w:rPr>
          <w:rFonts w:ascii="Arial" w:hAnsi="Arial" w:cs="Arial"/>
          <w:sz w:val="20"/>
          <w:szCs w:val="20"/>
        </w:rPr>
      </w:pPr>
      <w:r w:rsidRPr="00FC6804">
        <w:rPr>
          <w:rFonts w:ascii="Arial" w:hAnsi="Arial" w:cs="Arial"/>
          <w:sz w:val="20"/>
          <w:szCs w:val="20"/>
        </w:rPr>
        <w:t xml:space="preserve">The fees have consistently been set at </w:t>
      </w:r>
      <w:r w:rsidR="00AB069D" w:rsidRPr="00FC6804">
        <w:rPr>
          <w:rFonts w:ascii="Arial" w:hAnsi="Arial" w:cs="Arial"/>
          <w:sz w:val="20"/>
          <w:szCs w:val="20"/>
        </w:rPr>
        <w:t xml:space="preserve">levels that ensure that total revenue fully recovers the regulatory costs incurred by </w:t>
      </w:r>
      <w:r w:rsidR="000F12BE" w:rsidRPr="00FC6804">
        <w:rPr>
          <w:rFonts w:ascii="Arial" w:hAnsi="Arial" w:cs="Arial"/>
          <w:sz w:val="20"/>
          <w:szCs w:val="20"/>
        </w:rPr>
        <w:t>PrimeSafe</w:t>
      </w:r>
      <w:r w:rsidR="0069650A">
        <w:rPr>
          <w:rFonts w:ascii="Arial" w:hAnsi="Arial" w:cs="Arial"/>
          <w:sz w:val="20"/>
          <w:szCs w:val="20"/>
        </w:rPr>
        <w:t xml:space="preserve">. </w:t>
      </w:r>
      <w:r w:rsidRPr="00FC6804">
        <w:rPr>
          <w:rFonts w:ascii="Arial" w:hAnsi="Arial" w:cs="Arial"/>
          <w:sz w:val="20"/>
          <w:szCs w:val="20"/>
        </w:rPr>
        <w:t>This reflects the fact that Section 63 of the Act requires PrimeSafe to be self-funding</w:t>
      </w:r>
      <w:r w:rsidR="00335DE8" w:rsidRPr="00FC6804">
        <w:rPr>
          <w:rStyle w:val="FootnoteReference"/>
          <w:rFonts w:ascii="Arial" w:hAnsi="Arial" w:cs="Arial"/>
          <w:sz w:val="20"/>
          <w:szCs w:val="20"/>
        </w:rPr>
        <w:footnoteReference w:id="8"/>
      </w:r>
      <w:r w:rsidR="00335DE8" w:rsidRPr="00FC6804">
        <w:rPr>
          <w:rFonts w:ascii="Arial" w:hAnsi="Arial" w:cs="Arial"/>
          <w:sz w:val="20"/>
          <w:szCs w:val="20"/>
        </w:rPr>
        <w:t>,</w:t>
      </w:r>
      <w:r w:rsidR="00AB069D" w:rsidRPr="00FC6804">
        <w:rPr>
          <w:rFonts w:ascii="Arial" w:hAnsi="Arial" w:cs="Arial"/>
          <w:sz w:val="20"/>
          <w:szCs w:val="20"/>
        </w:rPr>
        <w:t xml:space="preserve"> as well as the fact that the Department of Treasury and Finance Cost Recovery Guidelines embody a general presumption in favour of regulatory fees being set at levels that recover the costs incurred by the regulator. </w:t>
      </w:r>
      <w:r w:rsidR="002D573C" w:rsidRPr="00FC6804">
        <w:rPr>
          <w:rFonts w:ascii="Arial" w:hAnsi="Arial" w:cs="Arial"/>
          <w:sz w:val="20"/>
          <w:szCs w:val="20"/>
        </w:rPr>
        <w:t xml:space="preserve"> </w:t>
      </w:r>
      <w:r w:rsidR="00026691" w:rsidRPr="00FC6804">
        <w:rPr>
          <w:rFonts w:ascii="Arial" w:hAnsi="Arial" w:cs="Arial"/>
          <w:sz w:val="20"/>
          <w:szCs w:val="20"/>
        </w:rPr>
        <w:t xml:space="preserve"> </w:t>
      </w:r>
      <w:r w:rsidR="00AB069D" w:rsidRPr="00FC6804">
        <w:rPr>
          <w:rFonts w:ascii="Arial" w:hAnsi="Arial" w:cs="Arial"/>
          <w:sz w:val="20"/>
          <w:szCs w:val="20"/>
        </w:rPr>
        <w:t xml:space="preserve">  </w:t>
      </w:r>
      <w:r w:rsidRPr="00FC6804">
        <w:rPr>
          <w:rFonts w:ascii="Arial" w:hAnsi="Arial" w:cs="Arial"/>
          <w:sz w:val="20"/>
          <w:szCs w:val="20"/>
        </w:rPr>
        <w:t xml:space="preserve"> </w:t>
      </w:r>
    </w:p>
    <w:p w:rsidR="007166A2" w:rsidRPr="00FC6804" w:rsidRDefault="0026607A" w:rsidP="007166A2">
      <w:pPr>
        <w:rPr>
          <w:rFonts w:ascii="Arial" w:hAnsi="Arial" w:cs="Arial"/>
          <w:sz w:val="20"/>
          <w:szCs w:val="20"/>
        </w:rPr>
      </w:pPr>
      <w:r w:rsidRPr="00FC6804">
        <w:rPr>
          <w:rFonts w:ascii="Arial" w:hAnsi="Arial" w:cs="Arial"/>
          <w:sz w:val="20"/>
          <w:szCs w:val="20"/>
        </w:rPr>
        <w:t>Full cost recovery</w:t>
      </w:r>
      <w:r w:rsidR="0069650A">
        <w:rPr>
          <w:rFonts w:ascii="Arial" w:hAnsi="Arial" w:cs="Arial"/>
          <w:sz w:val="20"/>
          <w:szCs w:val="20"/>
        </w:rPr>
        <w:t xml:space="preserve"> based fee </w:t>
      </w:r>
      <w:r w:rsidR="00335DE8" w:rsidRPr="00FC6804">
        <w:rPr>
          <w:rFonts w:ascii="Arial" w:hAnsi="Arial" w:cs="Arial"/>
          <w:sz w:val="20"/>
          <w:szCs w:val="20"/>
        </w:rPr>
        <w:t>setting</w:t>
      </w:r>
      <w:r w:rsidRPr="00FC6804">
        <w:rPr>
          <w:rFonts w:ascii="Arial" w:hAnsi="Arial" w:cs="Arial"/>
          <w:sz w:val="20"/>
          <w:szCs w:val="20"/>
        </w:rPr>
        <w:t xml:space="preserve"> is economically efficient, in that it ensures that the full costs of the products of an industry are reflected in their prices</w:t>
      </w:r>
      <w:r w:rsidR="00335DE8" w:rsidRPr="00FC6804">
        <w:rPr>
          <w:rFonts w:ascii="Arial" w:hAnsi="Arial" w:cs="Arial"/>
          <w:sz w:val="20"/>
          <w:szCs w:val="20"/>
        </w:rPr>
        <w:t>, thus avoiding price-based distortions to consumption and production decisions</w:t>
      </w:r>
      <w:r w:rsidRPr="00FC6804">
        <w:rPr>
          <w:rFonts w:ascii="Arial" w:hAnsi="Arial" w:cs="Arial"/>
          <w:sz w:val="20"/>
          <w:szCs w:val="20"/>
        </w:rPr>
        <w:t>.</w:t>
      </w:r>
      <w:r w:rsidR="0023204F" w:rsidRPr="00FC6804">
        <w:rPr>
          <w:rFonts w:ascii="Arial" w:hAnsi="Arial" w:cs="Arial"/>
          <w:sz w:val="20"/>
          <w:szCs w:val="20"/>
        </w:rPr>
        <w:t xml:space="preserve"> </w:t>
      </w:r>
      <w:r w:rsidRPr="00FC6804">
        <w:rPr>
          <w:rFonts w:ascii="Arial" w:hAnsi="Arial" w:cs="Arial"/>
          <w:sz w:val="20"/>
          <w:szCs w:val="20"/>
        </w:rPr>
        <w:t>It is also equitable, in that it avoids the need for taxpayers generally to subsidise the regulation of individual industries.</w:t>
      </w:r>
      <w:r w:rsidR="0023204F" w:rsidRPr="00FC6804">
        <w:rPr>
          <w:rFonts w:ascii="Arial" w:hAnsi="Arial" w:cs="Arial"/>
          <w:sz w:val="20"/>
          <w:szCs w:val="20"/>
        </w:rPr>
        <w:t xml:space="preserve"> </w:t>
      </w:r>
      <w:r w:rsidR="00872277" w:rsidRPr="00FC6804">
        <w:rPr>
          <w:rFonts w:ascii="Arial" w:hAnsi="Arial" w:cs="Arial"/>
          <w:sz w:val="20"/>
          <w:szCs w:val="20"/>
        </w:rPr>
        <w:t>These principles also imply that fees and costs should generally be closely aligned for particular groups of regulated entities – for example, for holders o</w:t>
      </w:r>
      <w:r w:rsidR="009B590C" w:rsidRPr="00FC6804">
        <w:rPr>
          <w:rFonts w:ascii="Arial" w:hAnsi="Arial" w:cs="Arial"/>
          <w:sz w:val="20"/>
          <w:szCs w:val="20"/>
        </w:rPr>
        <w:t xml:space="preserve">f different types of licences. </w:t>
      </w:r>
      <w:r w:rsidR="009429F9" w:rsidRPr="00FC6804">
        <w:rPr>
          <w:rFonts w:ascii="Arial" w:hAnsi="Arial" w:cs="Arial"/>
          <w:sz w:val="20"/>
          <w:szCs w:val="20"/>
        </w:rPr>
        <w:t>This avoids cross-subsidies between groups that are widely considered to be unfair and which also tend to distort consumer decisions by affecting the relat</w:t>
      </w:r>
      <w:r w:rsidR="0069650A">
        <w:rPr>
          <w:rFonts w:ascii="Arial" w:hAnsi="Arial" w:cs="Arial"/>
          <w:sz w:val="20"/>
          <w:szCs w:val="20"/>
        </w:rPr>
        <w:t xml:space="preserve">ive prices of different goods. </w:t>
      </w:r>
      <w:r w:rsidR="009429F9" w:rsidRPr="00FC6804">
        <w:rPr>
          <w:rFonts w:ascii="Arial" w:hAnsi="Arial" w:cs="Arial"/>
          <w:sz w:val="20"/>
          <w:szCs w:val="20"/>
        </w:rPr>
        <w:t>However</w:t>
      </w:r>
      <w:r w:rsidR="00872277" w:rsidRPr="00FC6804">
        <w:rPr>
          <w:rFonts w:ascii="Arial" w:hAnsi="Arial" w:cs="Arial"/>
          <w:sz w:val="20"/>
          <w:szCs w:val="20"/>
        </w:rPr>
        <w:t>, practical considerations such as the need t</w:t>
      </w:r>
      <w:r w:rsidR="0069650A">
        <w:rPr>
          <w:rFonts w:ascii="Arial" w:hAnsi="Arial" w:cs="Arial"/>
          <w:sz w:val="20"/>
          <w:szCs w:val="20"/>
        </w:rPr>
        <w:t xml:space="preserve">o avoid undue complexity in fee </w:t>
      </w:r>
      <w:r w:rsidR="00872277" w:rsidRPr="00FC6804">
        <w:rPr>
          <w:rFonts w:ascii="Arial" w:hAnsi="Arial" w:cs="Arial"/>
          <w:sz w:val="20"/>
          <w:szCs w:val="20"/>
        </w:rPr>
        <w:t xml:space="preserve">setting require some departure from this principle, while other policy objectives, including ensuring that fees do not create disincentives to entry to the industry by exceeding the capacity to pay of small </w:t>
      </w:r>
      <w:r w:rsidR="008652B8">
        <w:rPr>
          <w:rFonts w:ascii="Arial" w:hAnsi="Arial" w:cs="Arial"/>
          <w:sz w:val="20"/>
          <w:szCs w:val="20"/>
        </w:rPr>
        <w:t>processors</w:t>
      </w:r>
      <w:r w:rsidR="00872277" w:rsidRPr="00FC6804">
        <w:rPr>
          <w:rFonts w:ascii="Arial" w:hAnsi="Arial" w:cs="Arial"/>
          <w:sz w:val="20"/>
          <w:szCs w:val="20"/>
        </w:rPr>
        <w:t xml:space="preserve">, may also need to be weighed in considering this issue. </w:t>
      </w:r>
    </w:p>
    <w:p w:rsidR="00E24D27" w:rsidRPr="00FC6804" w:rsidRDefault="00CE0DB5" w:rsidP="007166A2">
      <w:pPr>
        <w:rPr>
          <w:rFonts w:ascii="Arial" w:hAnsi="Arial" w:cs="Arial"/>
          <w:sz w:val="20"/>
          <w:szCs w:val="20"/>
        </w:rPr>
      </w:pPr>
      <w:r w:rsidRPr="00FC6804">
        <w:rPr>
          <w:rFonts w:ascii="Arial" w:hAnsi="Arial" w:cs="Arial"/>
          <w:sz w:val="20"/>
          <w:szCs w:val="20"/>
        </w:rPr>
        <w:t xml:space="preserve">Fees set by PrimeSafe are not subject to the provisions of the </w:t>
      </w:r>
      <w:r w:rsidRPr="00FC6804">
        <w:rPr>
          <w:rFonts w:ascii="Arial" w:hAnsi="Arial" w:cs="Arial"/>
          <w:i/>
          <w:sz w:val="20"/>
          <w:szCs w:val="20"/>
        </w:rPr>
        <w:t>Monetary Units Act 2004</w:t>
      </w:r>
      <w:r w:rsidRPr="00FC6804">
        <w:rPr>
          <w:rFonts w:ascii="Arial" w:hAnsi="Arial" w:cs="Arial"/>
          <w:sz w:val="20"/>
          <w:szCs w:val="20"/>
        </w:rPr>
        <w:t xml:space="preserve"> and are therefore not automatically updated in line with changes in </w:t>
      </w:r>
      <w:r w:rsidR="0069650A">
        <w:rPr>
          <w:rFonts w:ascii="Arial" w:hAnsi="Arial" w:cs="Arial"/>
          <w:sz w:val="20"/>
          <w:szCs w:val="20"/>
        </w:rPr>
        <w:t>the Consumer Price Index</w:t>
      </w:r>
      <w:r w:rsidR="0023204F" w:rsidRPr="00FC6804">
        <w:rPr>
          <w:rFonts w:ascii="Arial" w:hAnsi="Arial" w:cs="Arial"/>
          <w:sz w:val="20"/>
          <w:szCs w:val="20"/>
        </w:rPr>
        <w:t xml:space="preserve">. </w:t>
      </w:r>
      <w:r w:rsidRPr="00FC6804">
        <w:rPr>
          <w:rFonts w:ascii="Arial" w:hAnsi="Arial" w:cs="Arial"/>
          <w:sz w:val="20"/>
          <w:szCs w:val="20"/>
        </w:rPr>
        <w:t>However,</w:t>
      </w:r>
      <w:r w:rsidR="00335DE8" w:rsidRPr="00FC6804">
        <w:rPr>
          <w:rFonts w:ascii="Arial" w:hAnsi="Arial" w:cs="Arial"/>
          <w:sz w:val="20"/>
          <w:szCs w:val="20"/>
        </w:rPr>
        <w:t xml:space="preserve"> the</w:t>
      </w:r>
      <w:r w:rsidRPr="00FC6804">
        <w:rPr>
          <w:rFonts w:ascii="Arial" w:hAnsi="Arial" w:cs="Arial"/>
          <w:sz w:val="20"/>
          <w:szCs w:val="20"/>
        </w:rPr>
        <w:t xml:space="preserve"> PrimeSafe </w:t>
      </w:r>
      <w:r w:rsidR="001D2383" w:rsidRPr="00FC6804">
        <w:rPr>
          <w:rFonts w:ascii="Arial" w:hAnsi="Arial" w:cs="Arial"/>
          <w:sz w:val="20"/>
          <w:szCs w:val="20"/>
        </w:rPr>
        <w:t xml:space="preserve">Board </w:t>
      </w:r>
      <w:r w:rsidR="00335DE8" w:rsidRPr="00FC6804">
        <w:rPr>
          <w:rFonts w:ascii="Arial" w:hAnsi="Arial" w:cs="Arial"/>
          <w:sz w:val="20"/>
          <w:szCs w:val="20"/>
        </w:rPr>
        <w:t xml:space="preserve">typically </w:t>
      </w:r>
      <w:r w:rsidRPr="00FC6804">
        <w:rPr>
          <w:rFonts w:ascii="Arial" w:hAnsi="Arial" w:cs="Arial"/>
          <w:sz w:val="20"/>
          <w:szCs w:val="20"/>
        </w:rPr>
        <w:t xml:space="preserve">adjusts the fees </w:t>
      </w:r>
      <w:r w:rsidR="001D2383" w:rsidRPr="00FC6804">
        <w:rPr>
          <w:rFonts w:ascii="Arial" w:hAnsi="Arial" w:cs="Arial"/>
          <w:sz w:val="20"/>
          <w:szCs w:val="20"/>
        </w:rPr>
        <w:t xml:space="preserve">annually </w:t>
      </w:r>
      <w:r w:rsidR="00026691" w:rsidRPr="00FC6804">
        <w:rPr>
          <w:rFonts w:ascii="Arial" w:hAnsi="Arial" w:cs="Arial"/>
          <w:sz w:val="20"/>
          <w:szCs w:val="20"/>
        </w:rPr>
        <w:t xml:space="preserve">in line with the percentage rate specified by the Treasurer </w:t>
      </w:r>
      <w:r w:rsidR="00E24D27" w:rsidRPr="00FC6804">
        <w:rPr>
          <w:rFonts w:ascii="Arial" w:hAnsi="Arial" w:cs="Arial"/>
          <w:sz w:val="20"/>
          <w:szCs w:val="20"/>
        </w:rPr>
        <w:t>pursuant to Section 5 of</w:t>
      </w:r>
      <w:r w:rsidR="0023204F" w:rsidRPr="00FC6804">
        <w:rPr>
          <w:rFonts w:ascii="Arial" w:hAnsi="Arial" w:cs="Arial"/>
          <w:sz w:val="20"/>
          <w:szCs w:val="20"/>
        </w:rPr>
        <w:t xml:space="preserve"> the </w:t>
      </w:r>
      <w:r w:rsidR="0023204F" w:rsidRPr="00FC6804">
        <w:rPr>
          <w:rFonts w:ascii="Arial" w:hAnsi="Arial" w:cs="Arial"/>
          <w:i/>
          <w:sz w:val="20"/>
          <w:szCs w:val="20"/>
        </w:rPr>
        <w:t>Monetary Units Act 2004</w:t>
      </w:r>
      <w:r w:rsidR="0023204F" w:rsidRPr="00FC6804">
        <w:rPr>
          <w:rFonts w:ascii="Arial" w:hAnsi="Arial" w:cs="Arial"/>
          <w:sz w:val="20"/>
          <w:szCs w:val="20"/>
        </w:rPr>
        <w:t xml:space="preserve">. </w:t>
      </w:r>
      <w:r w:rsidRPr="00FC6804">
        <w:rPr>
          <w:rFonts w:ascii="Arial" w:hAnsi="Arial" w:cs="Arial"/>
          <w:sz w:val="20"/>
          <w:szCs w:val="20"/>
        </w:rPr>
        <w:t>The proposed changes to the existing fees</w:t>
      </w:r>
      <w:r w:rsidR="00335DE8" w:rsidRPr="00FC6804">
        <w:rPr>
          <w:rFonts w:ascii="Arial" w:hAnsi="Arial" w:cs="Arial"/>
          <w:sz w:val="20"/>
          <w:szCs w:val="20"/>
        </w:rPr>
        <w:t>,</w:t>
      </w:r>
      <w:r w:rsidRPr="00FC6804">
        <w:rPr>
          <w:rFonts w:ascii="Arial" w:hAnsi="Arial" w:cs="Arial"/>
          <w:sz w:val="20"/>
          <w:szCs w:val="20"/>
        </w:rPr>
        <w:t xml:space="preserve"> which are the subject of this RIS</w:t>
      </w:r>
      <w:r w:rsidR="00335DE8" w:rsidRPr="00FC6804">
        <w:rPr>
          <w:rFonts w:ascii="Arial" w:hAnsi="Arial" w:cs="Arial"/>
          <w:sz w:val="20"/>
          <w:szCs w:val="20"/>
        </w:rPr>
        <w:t>,</w:t>
      </w:r>
      <w:r w:rsidRPr="00FC6804">
        <w:rPr>
          <w:rFonts w:ascii="Arial" w:hAnsi="Arial" w:cs="Arial"/>
          <w:sz w:val="20"/>
          <w:szCs w:val="20"/>
        </w:rPr>
        <w:t xml:space="preserve"> </w:t>
      </w:r>
      <w:r w:rsidR="00E24D27" w:rsidRPr="00FC6804">
        <w:rPr>
          <w:rFonts w:ascii="Arial" w:hAnsi="Arial" w:cs="Arial"/>
          <w:sz w:val="20"/>
          <w:szCs w:val="20"/>
        </w:rPr>
        <w:t>include indexation of all fees in accordance with this process.</w:t>
      </w:r>
      <w:r w:rsidR="0023204F" w:rsidRPr="00FC6804">
        <w:rPr>
          <w:rFonts w:ascii="Arial" w:hAnsi="Arial" w:cs="Arial"/>
          <w:sz w:val="20"/>
          <w:szCs w:val="20"/>
        </w:rPr>
        <w:t xml:space="preserve"> </w:t>
      </w:r>
      <w:r w:rsidR="00E24D27" w:rsidRPr="00FC6804">
        <w:rPr>
          <w:rFonts w:ascii="Arial" w:hAnsi="Arial" w:cs="Arial"/>
          <w:sz w:val="20"/>
          <w:szCs w:val="20"/>
        </w:rPr>
        <w:t xml:space="preserve">However, </w:t>
      </w:r>
      <w:r w:rsidR="00867B1B" w:rsidRPr="00FC6804">
        <w:rPr>
          <w:rFonts w:ascii="Arial" w:hAnsi="Arial" w:cs="Arial"/>
          <w:sz w:val="20"/>
          <w:szCs w:val="20"/>
        </w:rPr>
        <w:t xml:space="preserve">four </w:t>
      </w:r>
      <w:r w:rsidR="00E24D27" w:rsidRPr="00FC6804">
        <w:rPr>
          <w:rFonts w:ascii="Arial" w:hAnsi="Arial" w:cs="Arial"/>
          <w:sz w:val="20"/>
          <w:szCs w:val="20"/>
        </w:rPr>
        <w:t>substant</w:t>
      </w:r>
      <w:r w:rsidR="0023204F" w:rsidRPr="00FC6804">
        <w:rPr>
          <w:rFonts w:ascii="Arial" w:hAnsi="Arial" w:cs="Arial"/>
          <w:sz w:val="20"/>
          <w:szCs w:val="20"/>
        </w:rPr>
        <w:t xml:space="preserve">ive changes are also proposed. </w:t>
      </w:r>
      <w:r w:rsidR="00E24D27" w:rsidRPr="00FC6804">
        <w:rPr>
          <w:rFonts w:ascii="Arial" w:hAnsi="Arial" w:cs="Arial"/>
          <w:sz w:val="20"/>
          <w:szCs w:val="20"/>
        </w:rPr>
        <w:t>These are:</w:t>
      </w:r>
    </w:p>
    <w:p w:rsidR="00FC57C7" w:rsidRPr="00FC6804" w:rsidRDefault="00867B1B" w:rsidP="00FC57C7">
      <w:pPr>
        <w:pStyle w:val="ListParagraph"/>
        <w:numPr>
          <w:ilvl w:val="0"/>
          <w:numId w:val="15"/>
        </w:numPr>
        <w:rPr>
          <w:rFonts w:ascii="Arial" w:hAnsi="Arial" w:cs="Arial"/>
          <w:sz w:val="20"/>
          <w:szCs w:val="20"/>
        </w:rPr>
      </w:pPr>
      <w:r w:rsidRPr="00FC6804">
        <w:rPr>
          <w:rFonts w:ascii="Arial" w:hAnsi="Arial" w:cs="Arial"/>
          <w:sz w:val="20"/>
          <w:szCs w:val="20"/>
        </w:rPr>
        <w:t xml:space="preserve">Introduction of a new fee of $250 per hour </w:t>
      </w:r>
      <w:r w:rsidR="008652B8">
        <w:rPr>
          <w:rFonts w:ascii="Arial" w:hAnsi="Arial" w:cs="Arial"/>
          <w:sz w:val="20"/>
          <w:szCs w:val="20"/>
        </w:rPr>
        <w:t xml:space="preserve">(ex GST) </w:t>
      </w:r>
      <w:r w:rsidRPr="00FC6804">
        <w:rPr>
          <w:rFonts w:ascii="Arial" w:hAnsi="Arial" w:cs="Arial"/>
          <w:sz w:val="20"/>
          <w:szCs w:val="20"/>
        </w:rPr>
        <w:t xml:space="preserve">for the provision of detailed, business-specific advice to </w:t>
      </w:r>
      <w:r w:rsidR="008652B8">
        <w:rPr>
          <w:rFonts w:ascii="Arial" w:hAnsi="Arial" w:cs="Arial"/>
          <w:sz w:val="20"/>
          <w:szCs w:val="20"/>
        </w:rPr>
        <w:t>prospective</w:t>
      </w:r>
      <w:r w:rsidRPr="00FC6804">
        <w:rPr>
          <w:rFonts w:ascii="Arial" w:hAnsi="Arial" w:cs="Arial"/>
          <w:sz w:val="20"/>
          <w:szCs w:val="20"/>
        </w:rPr>
        <w:t xml:space="preserve"> licensees;</w:t>
      </w:r>
    </w:p>
    <w:p w:rsidR="00FC57C7" w:rsidRPr="00FC6804" w:rsidRDefault="00FC57C7" w:rsidP="00FC57C7">
      <w:pPr>
        <w:pStyle w:val="ListParagraph"/>
        <w:rPr>
          <w:rFonts w:ascii="Arial" w:hAnsi="Arial" w:cs="Arial"/>
          <w:sz w:val="20"/>
          <w:szCs w:val="20"/>
        </w:rPr>
      </w:pPr>
    </w:p>
    <w:p w:rsidR="00FC57C7" w:rsidRPr="00FC6804" w:rsidRDefault="00E24D27" w:rsidP="00FC57C7">
      <w:pPr>
        <w:pStyle w:val="ListParagraph"/>
        <w:numPr>
          <w:ilvl w:val="0"/>
          <w:numId w:val="15"/>
        </w:numPr>
        <w:rPr>
          <w:rFonts w:ascii="Arial" w:hAnsi="Arial" w:cs="Arial"/>
          <w:sz w:val="20"/>
          <w:szCs w:val="20"/>
        </w:rPr>
      </w:pPr>
      <w:r w:rsidRPr="00FC6804">
        <w:rPr>
          <w:rFonts w:ascii="Arial" w:hAnsi="Arial" w:cs="Arial"/>
          <w:sz w:val="20"/>
          <w:szCs w:val="20"/>
        </w:rPr>
        <w:t>An increase in total fee revenue of 25% to fund an increased range of regulatory activities to be undertaken by Prime</w:t>
      </w:r>
      <w:r w:rsidR="00FC57C7" w:rsidRPr="00FC6804">
        <w:rPr>
          <w:rFonts w:ascii="Arial" w:hAnsi="Arial" w:cs="Arial"/>
          <w:sz w:val="20"/>
          <w:szCs w:val="20"/>
        </w:rPr>
        <w:t>S</w:t>
      </w:r>
      <w:r w:rsidRPr="00FC6804">
        <w:rPr>
          <w:rFonts w:ascii="Arial" w:hAnsi="Arial" w:cs="Arial"/>
          <w:sz w:val="20"/>
          <w:szCs w:val="20"/>
        </w:rPr>
        <w:t>afe;</w:t>
      </w:r>
    </w:p>
    <w:p w:rsidR="00FC57C7" w:rsidRPr="00FC6804" w:rsidRDefault="00FC57C7" w:rsidP="00FC57C7">
      <w:pPr>
        <w:pStyle w:val="ListParagraph"/>
        <w:rPr>
          <w:rFonts w:ascii="Arial" w:hAnsi="Arial" w:cs="Arial"/>
          <w:sz w:val="20"/>
          <w:szCs w:val="20"/>
        </w:rPr>
      </w:pPr>
    </w:p>
    <w:p w:rsidR="00E24D27" w:rsidRPr="00FC6804" w:rsidRDefault="00E24D27" w:rsidP="00E24D27">
      <w:pPr>
        <w:pStyle w:val="ListParagraph"/>
        <w:numPr>
          <w:ilvl w:val="0"/>
          <w:numId w:val="15"/>
        </w:numPr>
        <w:rPr>
          <w:rFonts w:ascii="Arial" w:hAnsi="Arial" w:cs="Arial"/>
          <w:sz w:val="20"/>
          <w:szCs w:val="20"/>
        </w:rPr>
      </w:pPr>
      <w:r w:rsidRPr="00FC6804">
        <w:rPr>
          <w:rFonts w:ascii="Arial" w:hAnsi="Arial" w:cs="Arial"/>
          <w:sz w:val="20"/>
          <w:szCs w:val="20"/>
        </w:rPr>
        <w:t>A rebalancing of fees to improve the degree of alignment between fee revenue and regulatory costs at the level of individual licence types; and</w:t>
      </w:r>
    </w:p>
    <w:p w:rsidR="00FC57C7" w:rsidRPr="00FC6804" w:rsidRDefault="00FC57C7" w:rsidP="00FC57C7">
      <w:pPr>
        <w:pStyle w:val="ListParagraph"/>
        <w:rPr>
          <w:rFonts w:ascii="Arial" w:hAnsi="Arial" w:cs="Arial"/>
          <w:sz w:val="20"/>
          <w:szCs w:val="20"/>
        </w:rPr>
      </w:pPr>
    </w:p>
    <w:p w:rsidR="00E24D27" w:rsidRPr="00FC6804" w:rsidRDefault="00E24D27" w:rsidP="00E24D27">
      <w:pPr>
        <w:pStyle w:val="ListParagraph"/>
        <w:numPr>
          <w:ilvl w:val="0"/>
          <w:numId w:val="15"/>
        </w:numPr>
        <w:rPr>
          <w:rFonts w:ascii="Arial" w:hAnsi="Arial" w:cs="Arial"/>
          <w:sz w:val="20"/>
          <w:szCs w:val="20"/>
        </w:rPr>
      </w:pPr>
      <w:r w:rsidRPr="00FC6804">
        <w:rPr>
          <w:rFonts w:ascii="Arial" w:hAnsi="Arial" w:cs="Arial"/>
          <w:sz w:val="20"/>
          <w:szCs w:val="20"/>
        </w:rPr>
        <w:t>A streamlining of output-based fee categories for the major licence types of abattoirs, further meat processing facilities and poultry processing facilities.</w:t>
      </w:r>
    </w:p>
    <w:p w:rsidR="00C86397" w:rsidRPr="00FC6804" w:rsidRDefault="00C86397" w:rsidP="00C86397">
      <w:pPr>
        <w:pStyle w:val="ListParagraph"/>
        <w:rPr>
          <w:rFonts w:ascii="Arial" w:hAnsi="Arial" w:cs="Arial"/>
          <w:sz w:val="20"/>
          <w:szCs w:val="20"/>
        </w:rPr>
      </w:pPr>
    </w:p>
    <w:p w:rsidR="00C86397" w:rsidRPr="00FC6804" w:rsidRDefault="00C86397" w:rsidP="00C86397">
      <w:pPr>
        <w:rPr>
          <w:rFonts w:ascii="Arial" w:hAnsi="Arial" w:cs="Arial"/>
          <w:sz w:val="20"/>
          <w:szCs w:val="20"/>
        </w:rPr>
        <w:sectPr w:rsidR="00C86397" w:rsidRPr="00FC6804" w:rsidSect="0076363E">
          <w:pgSz w:w="11906" w:h="16838"/>
          <w:pgMar w:top="1440" w:right="1440" w:bottom="1440" w:left="1440" w:header="567" w:footer="567" w:gutter="0"/>
          <w:cols w:space="708"/>
          <w:docGrid w:linePitch="360"/>
        </w:sectPr>
      </w:pPr>
    </w:p>
    <w:p w:rsidR="001508B7" w:rsidRPr="00FC6804" w:rsidRDefault="001508B7" w:rsidP="0026792B">
      <w:pPr>
        <w:pStyle w:val="Heading1"/>
      </w:pPr>
      <w:bookmarkStart w:id="6" w:name="_Toc443915341"/>
      <w:r w:rsidRPr="00FC6804">
        <w:t>Nature and extent of the problem</w:t>
      </w:r>
      <w:bookmarkEnd w:id="6"/>
    </w:p>
    <w:p w:rsidR="001508B7" w:rsidRPr="00FC6804" w:rsidRDefault="001508B7" w:rsidP="0024386A">
      <w:pPr>
        <w:spacing w:after="0" w:line="240" w:lineRule="auto"/>
        <w:rPr>
          <w:rFonts w:ascii="Arial" w:hAnsi="Arial" w:cs="Arial"/>
          <w:sz w:val="20"/>
          <w:szCs w:val="20"/>
        </w:rPr>
      </w:pPr>
    </w:p>
    <w:p w:rsidR="00936D3A" w:rsidRPr="00FC6804" w:rsidRDefault="00936D3A" w:rsidP="0024386A">
      <w:pPr>
        <w:pStyle w:val="Heading2"/>
        <w:numPr>
          <w:ilvl w:val="1"/>
          <w:numId w:val="2"/>
        </w:numPr>
        <w:rPr>
          <w:rFonts w:cs="Arial"/>
          <w:b/>
          <w:szCs w:val="20"/>
        </w:rPr>
      </w:pPr>
      <w:bookmarkStart w:id="7" w:name="_Toc443915342"/>
      <w:r w:rsidRPr="00FC6804">
        <w:rPr>
          <w:rFonts w:cs="Arial"/>
          <w:b/>
          <w:szCs w:val="20"/>
        </w:rPr>
        <w:t>Overview</w:t>
      </w:r>
      <w:bookmarkEnd w:id="7"/>
    </w:p>
    <w:p w:rsidR="00936D3A" w:rsidRPr="00FC6804" w:rsidRDefault="00936D3A" w:rsidP="0024386A">
      <w:pPr>
        <w:spacing w:after="0" w:line="240" w:lineRule="auto"/>
        <w:rPr>
          <w:rFonts w:ascii="Arial" w:hAnsi="Arial" w:cs="Arial"/>
          <w:sz w:val="20"/>
          <w:szCs w:val="20"/>
        </w:rPr>
      </w:pPr>
    </w:p>
    <w:p w:rsidR="00936D3A" w:rsidRPr="00FC6804" w:rsidRDefault="00936D3A" w:rsidP="0024386A">
      <w:pPr>
        <w:spacing w:after="0" w:line="240" w:lineRule="auto"/>
        <w:rPr>
          <w:rFonts w:ascii="Arial" w:hAnsi="Arial" w:cs="Arial"/>
          <w:sz w:val="20"/>
          <w:szCs w:val="20"/>
        </w:rPr>
      </w:pPr>
      <w:r w:rsidRPr="00FC6804">
        <w:rPr>
          <w:rFonts w:ascii="Arial" w:hAnsi="Arial" w:cs="Arial"/>
          <w:sz w:val="20"/>
          <w:szCs w:val="20"/>
        </w:rPr>
        <w:t xml:space="preserve">The problem required to be addressed through revisions to the existing </w:t>
      </w:r>
      <w:r w:rsidR="00701131" w:rsidRPr="00FC6804">
        <w:rPr>
          <w:rFonts w:ascii="Arial" w:hAnsi="Arial" w:cs="Arial"/>
          <w:sz w:val="20"/>
          <w:szCs w:val="20"/>
        </w:rPr>
        <w:t>PrimeSafe</w:t>
      </w:r>
      <w:r w:rsidRPr="00FC6804">
        <w:rPr>
          <w:rFonts w:ascii="Arial" w:hAnsi="Arial" w:cs="Arial"/>
          <w:sz w:val="20"/>
          <w:szCs w:val="20"/>
        </w:rPr>
        <w:t xml:space="preserve"> fee structure is essentially </w:t>
      </w:r>
      <w:r w:rsidR="007B5016" w:rsidRPr="00FC6804">
        <w:rPr>
          <w:rFonts w:ascii="Arial" w:hAnsi="Arial" w:cs="Arial"/>
          <w:sz w:val="20"/>
          <w:szCs w:val="20"/>
        </w:rPr>
        <w:t>t</w:t>
      </w:r>
      <w:r w:rsidR="00B56AA5" w:rsidRPr="00FC6804">
        <w:rPr>
          <w:rFonts w:ascii="Arial" w:hAnsi="Arial" w:cs="Arial"/>
          <w:sz w:val="20"/>
          <w:szCs w:val="20"/>
        </w:rPr>
        <w:t>hree</w:t>
      </w:r>
      <w:r w:rsidR="006E52F8">
        <w:rPr>
          <w:rFonts w:ascii="Arial" w:hAnsi="Arial" w:cs="Arial"/>
          <w:sz w:val="20"/>
          <w:szCs w:val="20"/>
        </w:rPr>
        <w:t xml:space="preserve">fold. </w:t>
      </w:r>
      <w:r w:rsidR="007B5016" w:rsidRPr="00FC6804">
        <w:rPr>
          <w:rFonts w:ascii="Arial" w:hAnsi="Arial" w:cs="Arial"/>
          <w:sz w:val="20"/>
          <w:szCs w:val="20"/>
        </w:rPr>
        <w:t xml:space="preserve">First, the cost of fulfilling </w:t>
      </w:r>
      <w:r w:rsidRPr="00FC6804">
        <w:rPr>
          <w:rFonts w:ascii="Arial" w:hAnsi="Arial" w:cs="Arial"/>
          <w:sz w:val="20"/>
          <w:szCs w:val="20"/>
        </w:rPr>
        <w:t>Prime</w:t>
      </w:r>
      <w:r w:rsidR="00EB224B" w:rsidRPr="00FC6804">
        <w:rPr>
          <w:rFonts w:ascii="Arial" w:hAnsi="Arial" w:cs="Arial"/>
          <w:sz w:val="20"/>
          <w:szCs w:val="20"/>
        </w:rPr>
        <w:t>S</w:t>
      </w:r>
      <w:r w:rsidRPr="00FC6804">
        <w:rPr>
          <w:rFonts w:ascii="Arial" w:hAnsi="Arial" w:cs="Arial"/>
          <w:sz w:val="20"/>
          <w:szCs w:val="20"/>
        </w:rPr>
        <w:t xml:space="preserve">afe’s regulatory </w:t>
      </w:r>
      <w:r w:rsidR="007B5016" w:rsidRPr="00FC6804">
        <w:rPr>
          <w:rFonts w:ascii="Arial" w:hAnsi="Arial" w:cs="Arial"/>
          <w:sz w:val="20"/>
          <w:szCs w:val="20"/>
        </w:rPr>
        <w:t>role is expected to increase significantly in 2016-17 and thereafter, largely as a result of an expansion in the range of functions it will be required</w:t>
      </w:r>
      <w:r w:rsidR="006E52F8">
        <w:rPr>
          <w:rFonts w:ascii="Arial" w:hAnsi="Arial" w:cs="Arial"/>
          <w:sz w:val="20"/>
          <w:szCs w:val="20"/>
        </w:rPr>
        <w:t xml:space="preserve"> to perform. </w:t>
      </w:r>
      <w:r w:rsidR="007B5016" w:rsidRPr="00FC6804">
        <w:rPr>
          <w:rFonts w:ascii="Arial" w:hAnsi="Arial" w:cs="Arial"/>
          <w:sz w:val="20"/>
          <w:szCs w:val="20"/>
        </w:rPr>
        <w:t xml:space="preserve">Second, there is a need to rebalance the fee structure to achieve a closer correspondence between fees paid and costs incurred at the level of individual licence categories.  </w:t>
      </w:r>
      <w:r w:rsidR="00B56AA5" w:rsidRPr="00FC6804">
        <w:rPr>
          <w:rFonts w:ascii="Arial" w:hAnsi="Arial" w:cs="Arial"/>
          <w:sz w:val="20"/>
          <w:szCs w:val="20"/>
        </w:rPr>
        <w:t xml:space="preserve">Third, there is a need to streamline the output-based fee categories used in respect of several licence types to respond to changes in industry structure that </w:t>
      </w:r>
      <w:r w:rsidR="00EB224B" w:rsidRPr="00FC6804">
        <w:rPr>
          <w:rFonts w:ascii="Arial" w:hAnsi="Arial" w:cs="Arial"/>
          <w:sz w:val="20"/>
          <w:szCs w:val="20"/>
        </w:rPr>
        <w:t xml:space="preserve">have occurred in recent years. </w:t>
      </w:r>
      <w:r w:rsidR="007B5016" w:rsidRPr="00FC6804">
        <w:rPr>
          <w:rFonts w:ascii="Arial" w:hAnsi="Arial" w:cs="Arial"/>
          <w:sz w:val="20"/>
          <w:szCs w:val="20"/>
        </w:rPr>
        <w:t>These issues are discussed in turn below.</w:t>
      </w:r>
      <w:r w:rsidR="00B56AA5" w:rsidRPr="00FC6804">
        <w:rPr>
          <w:rFonts w:ascii="Arial" w:hAnsi="Arial" w:cs="Arial"/>
          <w:sz w:val="20"/>
          <w:szCs w:val="20"/>
        </w:rPr>
        <w:t xml:space="preserve">  </w:t>
      </w:r>
    </w:p>
    <w:p w:rsidR="00936D3A" w:rsidRPr="00FC6804" w:rsidRDefault="00936D3A" w:rsidP="0024386A">
      <w:pPr>
        <w:spacing w:after="0" w:line="240" w:lineRule="auto"/>
        <w:rPr>
          <w:rFonts w:ascii="Arial" w:hAnsi="Arial" w:cs="Arial"/>
          <w:sz w:val="20"/>
          <w:szCs w:val="20"/>
        </w:rPr>
      </w:pPr>
    </w:p>
    <w:p w:rsidR="007B5016" w:rsidRPr="00FC6804" w:rsidRDefault="007B5016" w:rsidP="0024386A">
      <w:pPr>
        <w:pStyle w:val="Heading2"/>
        <w:numPr>
          <w:ilvl w:val="1"/>
          <w:numId w:val="2"/>
        </w:numPr>
        <w:rPr>
          <w:rFonts w:cs="Arial"/>
          <w:b/>
          <w:szCs w:val="20"/>
        </w:rPr>
      </w:pPr>
      <w:bookmarkStart w:id="8" w:name="_Toc443915343"/>
      <w:r w:rsidRPr="00FC6804">
        <w:rPr>
          <w:rFonts w:cs="Arial"/>
          <w:b/>
          <w:szCs w:val="20"/>
        </w:rPr>
        <w:t>Achieving full cost recovery in the medium-term</w:t>
      </w:r>
      <w:bookmarkEnd w:id="8"/>
    </w:p>
    <w:p w:rsidR="007B5016" w:rsidRPr="00FC6804" w:rsidRDefault="007B5016" w:rsidP="0024386A">
      <w:pPr>
        <w:spacing w:after="0" w:line="240" w:lineRule="auto"/>
        <w:rPr>
          <w:rFonts w:ascii="Arial" w:hAnsi="Arial" w:cs="Arial"/>
          <w:sz w:val="20"/>
          <w:szCs w:val="20"/>
        </w:rPr>
      </w:pPr>
    </w:p>
    <w:p w:rsidR="00AB069D" w:rsidRPr="00FC6804" w:rsidRDefault="007B5016" w:rsidP="0024386A">
      <w:pPr>
        <w:spacing w:after="0" w:line="240" w:lineRule="auto"/>
        <w:rPr>
          <w:rFonts w:ascii="Arial" w:hAnsi="Arial" w:cs="Arial"/>
          <w:color w:val="000000"/>
          <w:sz w:val="20"/>
          <w:szCs w:val="20"/>
        </w:rPr>
      </w:pPr>
      <w:r w:rsidRPr="00FC6804">
        <w:rPr>
          <w:rFonts w:ascii="Arial" w:hAnsi="Arial" w:cs="Arial"/>
          <w:color w:val="000000"/>
          <w:sz w:val="20"/>
          <w:szCs w:val="20"/>
        </w:rPr>
        <w:t xml:space="preserve">Section 63 of the </w:t>
      </w:r>
      <w:r w:rsidRPr="00FC6804">
        <w:rPr>
          <w:rFonts w:ascii="Arial" w:hAnsi="Arial" w:cs="Arial"/>
          <w:i/>
          <w:color w:val="000000"/>
          <w:sz w:val="20"/>
          <w:szCs w:val="20"/>
        </w:rPr>
        <w:t>Meat Industry Act 1993</w:t>
      </w:r>
      <w:r w:rsidRPr="00FC6804">
        <w:rPr>
          <w:rFonts w:ascii="Arial" w:hAnsi="Arial" w:cs="Arial"/>
          <w:color w:val="000000"/>
          <w:sz w:val="20"/>
          <w:szCs w:val="20"/>
        </w:rPr>
        <w:t xml:space="preserve"> requires Prime</w:t>
      </w:r>
      <w:r w:rsidR="00EB224B" w:rsidRPr="00FC6804">
        <w:rPr>
          <w:rFonts w:ascii="Arial" w:hAnsi="Arial" w:cs="Arial"/>
          <w:color w:val="000000"/>
          <w:sz w:val="20"/>
          <w:szCs w:val="20"/>
        </w:rPr>
        <w:t xml:space="preserve">Safe to be self-funding. </w:t>
      </w:r>
      <w:r w:rsidRPr="00FC6804">
        <w:rPr>
          <w:rFonts w:ascii="Arial" w:hAnsi="Arial" w:cs="Arial"/>
          <w:color w:val="000000"/>
          <w:sz w:val="20"/>
          <w:szCs w:val="20"/>
        </w:rPr>
        <w:t xml:space="preserve">This implies that any increase in the costs the organisation incurs in carrying out its regulatory functions must be recovered through increases in the fees charged to </w:t>
      </w:r>
      <w:r w:rsidR="006E52F8">
        <w:rPr>
          <w:rFonts w:ascii="Arial" w:hAnsi="Arial" w:cs="Arial"/>
          <w:color w:val="000000"/>
          <w:sz w:val="20"/>
          <w:szCs w:val="20"/>
        </w:rPr>
        <w:t>licensed</w:t>
      </w:r>
      <w:r w:rsidRPr="00FC6804">
        <w:rPr>
          <w:rFonts w:ascii="Arial" w:hAnsi="Arial" w:cs="Arial"/>
          <w:color w:val="000000"/>
          <w:sz w:val="20"/>
          <w:szCs w:val="20"/>
        </w:rPr>
        <w:t xml:space="preserve"> ent</w:t>
      </w:r>
      <w:r w:rsidR="00EB224B" w:rsidRPr="00FC6804">
        <w:rPr>
          <w:rFonts w:ascii="Arial" w:hAnsi="Arial" w:cs="Arial"/>
          <w:color w:val="000000"/>
          <w:sz w:val="20"/>
          <w:szCs w:val="20"/>
        </w:rPr>
        <w:t xml:space="preserve">ities. </w:t>
      </w:r>
      <w:r w:rsidRPr="00FC6804">
        <w:rPr>
          <w:rFonts w:ascii="Arial" w:hAnsi="Arial" w:cs="Arial"/>
          <w:color w:val="000000"/>
          <w:sz w:val="20"/>
          <w:szCs w:val="20"/>
        </w:rPr>
        <w:t>While Prime</w:t>
      </w:r>
      <w:r w:rsidR="00EB224B" w:rsidRPr="00FC6804">
        <w:rPr>
          <w:rFonts w:ascii="Arial" w:hAnsi="Arial" w:cs="Arial"/>
          <w:color w:val="000000"/>
          <w:sz w:val="20"/>
          <w:szCs w:val="20"/>
        </w:rPr>
        <w:t>S</w:t>
      </w:r>
      <w:r w:rsidRPr="00FC6804">
        <w:rPr>
          <w:rFonts w:ascii="Arial" w:hAnsi="Arial" w:cs="Arial"/>
          <w:color w:val="000000"/>
          <w:sz w:val="20"/>
          <w:szCs w:val="20"/>
        </w:rPr>
        <w:t xml:space="preserve">afe’s budget has been stable in recent years, it will be required to carry out a number of additional activities, commencing in 2016-17, as a result of the content of the most recent </w:t>
      </w:r>
      <w:r w:rsidR="006E52F8">
        <w:rPr>
          <w:rFonts w:ascii="Arial" w:hAnsi="Arial" w:cs="Arial"/>
          <w:color w:val="000000"/>
          <w:sz w:val="20"/>
          <w:szCs w:val="20"/>
        </w:rPr>
        <w:t>M</w:t>
      </w:r>
      <w:r w:rsidRPr="00FC6804">
        <w:rPr>
          <w:rFonts w:ascii="Arial" w:hAnsi="Arial" w:cs="Arial"/>
          <w:color w:val="000000"/>
          <w:sz w:val="20"/>
          <w:szCs w:val="20"/>
        </w:rPr>
        <w:t>inisterial Statement of Expectations</w:t>
      </w:r>
      <w:r w:rsidR="00723D21" w:rsidRPr="00FC6804">
        <w:rPr>
          <w:rFonts w:ascii="Arial" w:hAnsi="Arial" w:cs="Arial"/>
          <w:color w:val="000000"/>
          <w:sz w:val="20"/>
          <w:szCs w:val="20"/>
        </w:rPr>
        <w:t xml:space="preserve">, </w:t>
      </w:r>
      <w:r w:rsidR="001174BA" w:rsidRPr="00FC6804">
        <w:rPr>
          <w:rFonts w:ascii="Arial" w:hAnsi="Arial" w:cs="Arial"/>
          <w:color w:val="000000"/>
          <w:sz w:val="20"/>
          <w:szCs w:val="20"/>
        </w:rPr>
        <w:t>communicated to it on</w:t>
      </w:r>
      <w:r w:rsidR="00723D21" w:rsidRPr="00FC6804">
        <w:rPr>
          <w:rFonts w:ascii="Arial" w:hAnsi="Arial" w:cs="Arial"/>
          <w:color w:val="000000"/>
          <w:sz w:val="20"/>
          <w:szCs w:val="20"/>
        </w:rPr>
        <w:t xml:space="preserve"> 17 December 2015</w:t>
      </w:r>
      <w:r w:rsidRPr="00FC6804">
        <w:rPr>
          <w:rFonts w:ascii="Arial" w:hAnsi="Arial" w:cs="Arial"/>
          <w:color w:val="000000"/>
          <w:sz w:val="20"/>
          <w:szCs w:val="20"/>
        </w:rPr>
        <w:t>.</w:t>
      </w:r>
      <w:r w:rsidR="00EB224B" w:rsidRPr="00FC6804">
        <w:rPr>
          <w:rFonts w:ascii="Arial" w:hAnsi="Arial" w:cs="Arial"/>
          <w:color w:val="000000"/>
          <w:sz w:val="20"/>
          <w:szCs w:val="20"/>
        </w:rPr>
        <w:t xml:space="preserve"> </w:t>
      </w:r>
      <w:r w:rsidR="00723D21" w:rsidRPr="00FC6804">
        <w:rPr>
          <w:rFonts w:ascii="Arial" w:hAnsi="Arial" w:cs="Arial"/>
          <w:color w:val="000000"/>
          <w:sz w:val="20"/>
          <w:szCs w:val="20"/>
        </w:rPr>
        <w:t xml:space="preserve">This </w:t>
      </w:r>
      <w:r w:rsidR="001174BA" w:rsidRPr="00FC6804">
        <w:rPr>
          <w:rFonts w:ascii="Arial" w:hAnsi="Arial" w:cs="Arial"/>
          <w:color w:val="000000"/>
          <w:sz w:val="20"/>
          <w:szCs w:val="20"/>
        </w:rPr>
        <w:t xml:space="preserve">statement </w:t>
      </w:r>
      <w:r w:rsidR="00723D21" w:rsidRPr="00FC6804">
        <w:rPr>
          <w:rFonts w:ascii="Arial" w:hAnsi="Arial" w:cs="Arial"/>
          <w:color w:val="000000"/>
          <w:sz w:val="20"/>
          <w:szCs w:val="20"/>
        </w:rPr>
        <w:t>highlights a requirement that Prime</w:t>
      </w:r>
      <w:r w:rsidR="00EB224B" w:rsidRPr="00FC6804">
        <w:rPr>
          <w:rFonts w:ascii="Arial" w:hAnsi="Arial" w:cs="Arial"/>
          <w:color w:val="000000"/>
          <w:sz w:val="20"/>
          <w:szCs w:val="20"/>
        </w:rPr>
        <w:t>S</w:t>
      </w:r>
      <w:r w:rsidR="00723D21" w:rsidRPr="00FC6804">
        <w:rPr>
          <w:rFonts w:ascii="Arial" w:hAnsi="Arial" w:cs="Arial"/>
          <w:color w:val="000000"/>
          <w:sz w:val="20"/>
          <w:szCs w:val="20"/>
        </w:rPr>
        <w:t xml:space="preserve">afe should help businesses to understand their obligations </w:t>
      </w:r>
      <w:r w:rsidR="001174BA" w:rsidRPr="00FC6804">
        <w:rPr>
          <w:rFonts w:ascii="Arial" w:hAnsi="Arial" w:cs="Arial"/>
          <w:color w:val="000000"/>
          <w:sz w:val="20"/>
          <w:szCs w:val="20"/>
        </w:rPr>
        <w:t xml:space="preserve">under the relevant regulatory instruments, </w:t>
      </w:r>
      <w:r w:rsidR="00723D21" w:rsidRPr="00FC6804">
        <w:rPr>
          <w:rFonts w:ascii="Arial" w:hAnsi="Arial" w:cs="Arial"/>
          <w:color w:val="000000"/>
          <w:sz w:val="20"/>
          <w:szCs w:val="20"/>
        </w:rPr>
        <w:t>in order to fa</w:t>
      </w:r>
      <w:r w:rsidR="00EB224B" w:rsidRPr="00FC6804">
        <w:rPr>
          <w:rFonts w:ascii="Arial" w:hAnsi="Arial" w:cs="Arial"/>
          <w:color w:val="000000"/>
          <w:sz w:val="20"/>
          <w:szCs w:val="20"/>
        </w:rPr>
        <w:t xml:space="preserve">cilitate voluntary compliance. </w:t>
      </w:r>
      <w:r w:rsidR="00723D21" w:rsidRPr="00FC6804">
        <w:rPr>
          <w:rFonts w:ascii="Arial" w:hAnsi="Arial" w:cs="Arial"/>
          <w:color w:val="000000"/>
          <w:sz w:val="20"/>
          <w:szCs w:val="20"/>
        </w:rPr>
        <w:t xml:space="preserve">In addition, </w:t>
      </w:r>
      <w:r w:rsidR="00EB224B" w:rsidRPr="00FC6804">
        <w:rPr>
          <w:rFonts w:ascii="Arial" w:hAnsi="Arial" w:cs="Arial"/>
          <w:color w:val="000000"/>
          <w:sz w:val="20"/>
          <w:szCs w:val="20"/>
        </w:rPr>
        <w:t>PrimeSafe</w:t>
      </w:r>
      <w:r w:rsidR="001174BA" w:rsidRPr="00FC6804">
        <w:rPr>
          <w:rFonts w:ascii="Arial" w:hAnsi="Arial" w:cs="Arial"/>
          <w:color w:val="000000"/>
          <w:sz w:val="20"/>
          <w:szCs w:val="20"/>
        </w:rPr>
        <w:t xml:space="preserve"> is asked to </w:t>
      </w:r>
      <w:r w:rsidR="00723D21" w:rsidRPr="00FC6804">
        <w:rPr>
          <w:rFonts w:ascii="Arial" w:hAnsi="Arial" w:cs="Arial"/>
          <w:color w:val="000000"/>
          <w:sz w:val="20"/>
          <w:szCs w:val="20"/>
        </w:rPr>
        <w:t xml:space="preserve">improve communication and provide a higher level of assistance to businesses in understanding their regulatory </w:t>
      </w:r>
      <w:r w:rsidR="006E52F8">
        <w:rPr>
          <w:rFonts w:ascii="Arial" w:hAnsi="Arial" w:cs="Arial"/>
          <w:color w:val="000000"/>
          <w:sz w:val="20"/>
          <w:szCs w:val="20"/>
        </w:rPr>
        <w:t>requirements</w:t>
      </w:r>
      <w:r w:rsidR="00723D21" w:rsidRPr="00FC6804">
        <w:rPr>
          <w:rFonts w:ascii="Arial" w:hAnsi="Arial" w:cs="Arial"/>
          <w:color w:val="000000"/>
          <w:sz w:val="20"/>
          <w:szCs w:val="20"/>
        </w:rPr>
        <w:t xml:space="preserve">.  </w:t>
      </w:r>
    </w:p>
    <w:p w:rsidR="00EB224B" w:rsidRPr="00FC6804" w:rsidRDefault="00EB224B" w:rsidP="0024386A">
      <w:pPr>
        <w:spacing w:after="0" w:line="240" w:lineRule="auto"/>
        <w:rPr>
          <w:rFonts w:ascii="Arial" w:hAnsi="Arial" w:cs="Arial"/>
          <w:color w:val="000000"/>
          <w:sz w:val="20"/>
          <w:szCs w:val="20"/>
        </w:rPr>
      </w:pPr>
    </w:p>
    <w:p w:rsidR="00723D21" w:rsidRPr="00FC6804" w:rsidRDefault="00723D21" w:rsidP="0024386A">
      <w:pPr>
        <w:spacing w:after="0" w:line="240" w:lineRule="auto"/>
        <w:rPr>
          <w:rFonts w:ascii="Arial" w:hAnsi="Arial" w:cs="Arial"/>
          <w:color w:val="000000"/>
          <w:sz w:val="20"/>
          <w:szCs w:val="20"/>
        </w:rPr>
      </w:pPr>
      <w:r w:rsidRPr="00FC6804">
        <w:rPr>
          <w:rFonts w:ascii="Arial" w:hAnsi="Arial" w:cs="Arial"/>
          <w:color w:val="000000"/>
          <w:sz w:val="20"/>
          <w:szCs w:val="20"/>
        </w:rPr>
        <w:t>A specific requirement</w:t>
      </w:r>
      <w:r w:rsidR="001174BA" w:rsidRPr="00FC6804">
        <w:rPr>
          <w:rFonts w:ascii="Arial" w:hAnsi="Arial" w:cs="Arial"/>
          <w:color w:val="000000"/>
          <w:sz w:val="20"/>
          <w:szCs w:val="20"/>
        </w:rPr>
        <w:t xml:space="preserve"> in this regard </w:t>
      </w:r>
      <w:r w:rsidRPr="00FC6804">
        <w:rPr>
          <w:rFonts w:ascii="Arial" w:hAnsi="Arial" w:cs="Arial"/>
          <w:color w:val="000000"/>
          <w:sz w:val="20"/>
          <w:szCs w:val="20"/>
        </w:rPr>
        <w:t>is to establish a</w:t>
      </w:r>
      <w:r w:rsidR="001174BA" w:rsidRPr="00FC6804">
        <w:rPr>
          <w:rFonts w:ascii="Arial" w:hAnsi="Arial" w:cs="Arial"/>
          <w:color w:val="000000"/>
          <w:sz w:val="20"/>
          <w:szCs w:val="20"/>
        </w:rPr>
        <w:t xml:space="preserve"> </w:t>
      </w:r>
      <w:r w:rsidRPr="00FC6804">
        <w:rPr>
          <w:rFonts w:ascii="Arial" w:hAnsi="Arial" w:cs="Arial"/>
          <w:color w:val="000000"/>
          <w:sz w:val="20"/>
          <w:szCs w:val="20"/>
        </w:rPr>
        <w:t>pre-application consultation process</w:t>
      </w:r>
      <w:r w:rsidR="001174BA" w:rsidRPr="00FC6804">
        <w:rPr>
          <w:rFonts w:ascii="Arial" w:hAnsi="Arial" w:cs="Arial"/>
          <w:color w:val="000000"/>
          <w:sz w:val="20"/>
          <w:szCs w:val="20"/>
        </w:rPr>
        <w:t xml:space="preserve"> for businesses intending to enter the industry and thus become licensed by </w:t>
      </w:r>
      <w:r w:rsidR="00EB224B" w:rsidRPr="00FC6804">
        <w:rPr>
          <w:rFonts w:ascii="Arial" w:hAnsi="Arial" w:cs="Arial"/>
          <w:color w:val="000000"/>
          <w:sz w:val="20"/>
          <w:szCs w:val="20"/>
        </w:rPr>
        <w:t xml:space="preserve">PrimeSafe. </w:t>
      </w:r>
      <w:r w:rsidR="00AB069D" w:rsidRPr="00FC6804">
        <w:rPr>
          <w:rFonts w:ascii="Arial" w:hAnsi="Arial" w:cs="Arial"/>
          <w:color w:val="000000"/>
          <w:sz w:val="20"/>
          <w:szCs w:val="20"/>
        </w:rPr>
        <w:t>While such advice is potentially something that could be provided by the private sector, a substantial and continuing gap in the market has been identified, with many businesses seeking advice on these issues and being prepared to pay for it, but few, if any, compet</w:t>
      </w:r>
      <w:r w:rsidR="006E52F8">
        <w:rPr>
          <w:rFonts w:ascii="Arial" w:hAnsi="Arial" w:cs="Arial"/>
          <w:color w:val="000000"/>
          <w:sz w:val="20"/>
          <w:szCs w:val="20"/>
        </w:rPr>
        <w:t xml:space="preserve">ent providers being available. </w:t>
      </w:r>
      <w:r w:rsidR="00AB069D" w:rsidRPr="00FC6804">
        <w:rPr>
          <w:rFonts w:ascii="Arial" w:hAnsi="Arial" w:cs="Arial"/>
          <w:color w:val="000000"/>
          <w:sz w:val="20"/>
          <w:szCs w:val="20"/>
        </w:rPr>
        <w:t xml:space="preserve">In this context, the Minister </w:t>
      </w:r>
      <w:r w:rsidR="006E52F8">
        <w:rPr>
          <w:rFonts w:ascii="Arial" w:hAnsi="Arial" w:cs="Arial"/>
          <w:color w:val="000000"/>
          <w:sz w:val="20"/>
          <w:szCs w:val="20"/>
        </w:rPr>
        <w:t xml:space="preserve">for Agriculture </w:t>
      </w:r>
      <w:r w:rsidR="00AB069D" w:rsidRPr="00FC6804">
        <w:rPr>
          <w:rFonts w:ascii="Arial" w:hAnsi="Arial" w:cs="Arial"/>
          <w:color w:val="000000"/>
          <w:sz w:val="20"/>
          <w:szCs w:val="20"/>
        </w:rPr>
        <w:t>has requested that Prime</w:t>
      </w:r>
      <w:r w:rsidR="00BD5244" w:rsidRPr="00FC6804">
        <w:rPr>
          <w:rFonts w:ascii="Arial" w:hAnsi="Arial" w:cs="Arial"/>
          <w:color w:val="000000"/>
          <w:sz w:val="20"/>
          <w:szCs w:val="20"/>
        </w:rPr>
        <w:t>S</w:t>
      </w:r>
      <w:r w:rsidR="00AB069D" w:rsidRPr="00FC6804">
        <w:rPr>
          <w:rFonts w:ascii="Arial" w:hAnsi="Arial" w:cs="Arial"/>
          <w:color w:val="000000"/>
          <w:sz w:val="20"/>
          <w:szCs w:val="20"/>
        </w:rPr>
        <w:t>afe make s</w:t>
      </w:r>
      <w:r w:rsidR="00EB224B" w:rsidRPr="00FC6804">
        <w:rPr>
          <w:rFonts w:ascii="Arial" w:hAnsi="Arial" w:cs="Arial"/>
          <w:color w:val="000000"/>
          <w:sz w:val="20"/>
          <w:szCs w:val="20"/>
        </w:rPr>
        <w:t xml:space="preserve">uch advice available directly. </w:t>
      </w:r>
      <w:r w:rsidR="00AB069D" w:rsidRPr="00FC6804">
        <w:rPr>
          <w:rFonts w:ascii="Arial" w:hAnsi="Arial" w:cs="Arial"/>
          <w:color w:val="000000"/>
          <w:sz w:val="20"/>
          <w:szCs w:val="20"/>
        </w:rPr>
        <w:t>Given Prime</w:t>
      </w:r>
      <w:r w:rsidR="00EB224B" w:rsidRPr="00FC6804">
        <w:rPr>
          <w:rFonts w:ascii="Arial" w:hAnsi="Arial" w:cs="Arial"/>
          <w:color w:val="000000"/>
          <w:sz w:val="20"/>
          <w:szCs w:val="20"/>
        </w:rPr>
        <w:t>S</w:t>
      </w:r>
      <w:r w:rsidR="00AB069D" w:rsidRPr="00FC6804">
        <w:rPr>
          <w:rFonts w:ascii="Arial" w:hAnsi="Arial" w:cs="Arial"/>
          <w:color w:val="000000"/>
          <w:sz w:val="20"/>
          <w:szCs w:val="20"/>
        </w:rPr>
        <w:t xml:space="preserve">afe’s funding model, this will necessarily occur on a fee for service basis.  </w:t>
      </w:r>
    </w:p>
    <w:p w:rsidR="00EB224B" w:rsidRPr="00FC6804" w:rsidRDefault="00EB224B" w:rsidP="0024386A">
      <w:pPr>
        <w:spacing w:after="0" w:line="240" w:lineRule="auto"/>
        <w:rPr>
          <w:rFonts w:ascii="Arial" w:hAnsi="Arial" w:cs="Arial"/>
          <w:color w:val="000000"/>
          <w:sz w:val="20"/>
          <w:szCs w:val="20"/>
        </w:rPr>
      </w:pPr>
    </w:p>
    <w:p w:rsidR="007B5016" w:rsidRPr="00FC6804" w:rsidRDefault="007B5016" w:rsidP="0024386A">
      <w:pPr>
        <w:spacing w:after="0" w:line="240" w:lineRule="auto"/>
        <w:rPr>
          <w:rFonts w:ascii="Arial" w:hAnsi="Arial" w:cs="Arial"/>
          <w:color w:val="000000"/>
          <w:sz w:val="20"/>
          <w:szCs w:val="20"/>
        </w:rPr>
      </w:pPr>
      <w:r w:rsidRPr="00FC6804">
        <w:rPr>
          <w:rFonts w:ascii="Arial" w:hAnsi="Arial" w:cs="Arial"/>
          <w:color w:val="000000"/>
          <w:sz w:val="20"/>
          <w:szCs w:val="20"/>
        </w:rPr>
        <w:t xml:space="preserve">Enabling these additional functions to be carried out effectively will require the allocation of </w:t>
      </w:r>
      <w:r w:rsidR="001174BA" w:rsidRPr="00FC6804">
        <w:rPr>
          <w:rFonts w:ascii="Arial" w:hAnsi="Arial" w:cs="Arial"/>
          <w:color w:val="000000"/>
          <w:sz w:val="20"/>
          <w:szCs w:val="20"/>
        </w:rPr>
        <w:t>additional</w:t>
      </w:r>
      <w:r w:rsidRPr="00FC6804">
        <w:rPr>
          <w:rFonts w:ascii="Arial" w:hAnsi="Arial" w:cs="Arial"/>
          <w:color w:val="000000"/>
          <w:sz w:val="20"/>
          <w:szCs w:val="20"/>
        </w:rPr>
        <w:t xml:space="preserve"> resources to two of the three key </w:t>
      </w:r>
      <w:r w:rsidR="000F12BE" w:rsidRPr="00FC6804">
        <w:rPr>
          <w:rFonts w:ascii="Arial" w:hAnsi="Arial" w:cs="Arial"/>
          <w:color w:val="000000"/>
          <w:sz w:val="20"/>
          <w:szCs w:val="20"/>
        </w:rPr>
        <w:t>PrimeSafe</w:t>
      </w:r>
      <w:r w:rsidRPr="00FC6804">
        <w:rPr>
          <w:rFonts w:ascii="Arial" w:hAnsi="Arial" w:cs="Arial"/>
          <w:color w:val="000000"/>
          <w:sz w:val="20"/>
          <w:szCs w:val="20"/>
        </w:rPr>
        <w:t xml:space="preserve"> activity areas: information </w:t>
      </w:r>
      <w:r w:rsidR="006E52F8">
        <w:rPr>
          <w:rFonts w:ascii="Arial" w:hAnsi="Arial" w:cs="Arial"/>
          <w:color w:val="000000"/>
          <w:sz w:val="20"/>
          <w:szCs w:val="20"/>
        </w:rPr>
        <w:t xml:space="preserve">and </w:t>
      </w:r>
      <w:r w:rsidRPr="00FC6804">
        <w:rPr>
          <w:rFonts w:ascii="Arial" w:hAnsi="Arial" w:cs="Arial"/>
          <w:color w:val="000000"/>
          <w:sz w:val="20"/>
          <w:szCs w:val="20"/>
        </w:rPr>
        <w:t>support</w:t>
      </w:r>
      <w:r w:rsidR="006E52F8">
        <w:rPr>
          <w:rFonts w:ascii="Arial" w:hAnsi="Arial" w:cs="Arial"/>
          <w:color w:val="000000"/>
          <w:sz w:val="20"/>
          <w:szCs w:val="20"/>
        </w:rPr>
        <w:t>,</w:t>
      </w:r>
      <w:r w:rsidRPr="00FC6804">
        <w:rPr>
          <w:rFonts w:ascii="Arial" w:hAnsi="Arial" w:cs="Arial"/>
          <w:color w:val="000000"/>
          <w:sz w:val="20"/>
          <w:szCs w:val="20"/>
        </w:rPr>
        <w:t xml:space="preserve"> and compliance and enforcement.</w:t>
      </w:r>
    </w:p>
    <w:p w:rsidR="00EB224B" w:rsidRPr="00FC6804" w:rsidRDefault="00EB224B" w:rsidP="0024386A">
      <w:pPr>
        <w:spacing w:after="0" w:line="240" w:lineRule="auto"/>
        <w:rPr>
          <w:rFonts w:ascii="Arial" w:hAnsi="Arial" w:cs="Arial"/>
          <w:color w:val="000000"/>
          <w:sz w:val="20"/>
          <w:szCs w:val="20"/>
        </w:rPr>
      </w:pPr>
    </w:p>
    <w:p w:rsidR="007B5016" w:rsidRPr="00FC6804" w:rsidRDefault="007B5016" w:rsidP="0024386A">
      <w:pPr>
        <w:spacing w:after="0" w:line="240" w:lineRule="auto"/>
        <w:rPr>
          <w:rFonts w:ascii="Arial" w:hAnsi="Arial" w:cs="Arial"/>
          <w:b/>
          <w:i/>
          <w:color w:val="000000"/>
          <w:sz w:val="20"/>
          <w:szCs w:val="20"/>
        </w:rPr>
      </w:pPr>
      <w:r w:rsidRPr="00FC6804">
        <w:rPr>
          <w:rFonts w:ascii="Arial" w:hAnsi="Arial" w:cs="Arial"/>
          <w:b/>
          <w:i/>
          <w:color w:val="000000"/>
          <w:sz w:val="20"/>
          <w:szCs w:val="20"/>
        </w:rPr>
        <w:t>Information and Support</w:t>
      </w:r>
    </w:p>
    <w:p w:rsidR="00EB224B" w:rsidRPr="00FC6804" w:rsidRDefault="00EB224B" w:rsidP="0024386A">
      <w:pPr>
        <w:pStyle w:val="ListParagraph"/>
        <w:spacing w:after="0" w:line="240" w:lineRule="auto"/>
        <w:ind w:left="0"/>
        <w:contextualSpacing w:val="0"/>
        <w:rPr>
          <w:rFonts w:ascii="Arial" w:hAnsi="Arial" w:cs="Arial"/>
          <w:color w:val="000000"/>
          <w:sz w:val="20"/>
          <w:szCs w:val="20"/>
          <w:lang w:eastAsia="en-AU"/>
        </w:rPr>
      </w:pPr>
    </w:p>
    <w:p w:rsidR="007B5016" w:rsidRPr="00FC6804" w:rsidRDefault="007B5016" w:rsidP="0024386A">
      <w:pPr>
        <w:pStyle w:val="ListParagraph"/>
        <w:spacing w:after="0" w:line="240" w:lineRule="auto"/>
        <w:ind w:left="0"/>
        <w:contextualSpacing w:val="0"/>
        <w:rPr>
          <w:rFonts w:ascii="Arial" w:hAnsi="Arial" w:cs="Arial"/>
          <w:color w:val="000000"/>
          <w:sz w:val="20"/>
          <w:szCs w:val="20"/>
          <w:lang w:eastAsia="en-AU"/>
        </w:rPr>
      </w:pPr>
      <w:r w:rsidRPr="00FC6804">
        <w:rPr>
          <w:rFonts w:ascii="Arial" w:hAnsi="Arial" w:cs="Arial"/>
          <w:color w:val="000000"/>
          <w:sz w:val="20"/>
          <w:szCs w:val="20"/>
          <w:lang w:eastAsia="en-AU"/>
        </w:rPr>
        <w:t>The following additional activities will b</w:t>
      </w:r>
      <w:r w:rsidR="00EB224B" w:rsidRPr="00FC6804">
        <w:rPr>
          <w:rFonts w:ascii="Arial" w:hAnsi="Arial" w:cs="Arial"/>
          <w:color w:val="000000"/>
          <w:sz w:val="20"/>
          <w:szCs w:val="20"/>
          <w:lang w:eastAsia="en-AU"/>
        </w:rPr>
        <w:t>e carried out from early 2016-</w:t>
      </w:r>
      <w:r w:rsidRPr="00FC6804">
        <w:rPr>
          <w:rFonts w:ascii="Arial" w:hAnsi="Arial" w:cs="Arial"/>
          <w:color w:val="000000"/>
          <w:sz w:val="20"/>
          <w:szCs w:val="20"/>
          <w:lang w:eastAsia="en-AU"/>
        </w:rPr>
        <w:t>17</w:t>
      </w:r>
      <w:r w:rsidR="001174BA" w:rsidRPr="00FC6804">
        <w:rPr>
          <w:rFonts w:ascii="Arial" w:hAnsi="Arial" w:cs="Arial"/>
          <w:color w:val="000000"/>
          <w:sz w:val="20"/>
          <w:szCs w:val="20"/>
          <w:lang w:eastAsia="en-AU"/>
        </w:rPr>
        <w:t>, pursuant to the Stateme</w:t>
      </w:r>
      <w:r w:rsidR="001D2383" w:rsidRPr="00FC6804">
        <w:rPr>
          <w:rFonts w:ascii="Arial" w:hAnsi="Arial" w:cs="Arial"/>
          <w:color w:val="000000"/>
          <w:sz w:val="20"/>
          <w:szCs w:val="20"/>
          <w:lang w:eastAsia="en-AU"/>
        </w:rPr>
        <w:t>n</w:t>
      </w:r>
      <w:r w:rsidR="001174BA" w:rsidRPr="00FC6804">
        <w:rPr>
          <w:rFonts w:ascii="Arial" w:hAnsi="Arial" w:cs="Arial"/>
          <w:color w:val="000000"/>
          <w:sz w:val="20"/>
          <w:szCs w:val="20"/>
          <w:lang w:eastAsia="en-AU"/>
        </w:rPr>
        <w:t>t of Expectations,</w:t>
      </w:r>
      <w:r w:rsidRPr="00FC6804">
        <w:rPr>
          <w:rFonts w:ascii="Arial" w:hAnsi="Arial" w:cs="Arial"/>
          <w:color w:val="000000"/>
          <w:sz w:val="20"/>
          <w:szCs w:val="20"/>
          <w:lang w:eastAsia="en-AU"/>
        </w:rPr>
        <w:t xml:space="preserve"> and fall within </w:t>
      </w:r>
      <w:r w:rsidR="00D30BF8" w:rsidRPr="00FC6804">
        <w:rPr>
          <w:rFonts w:ascii="Arial" w:hAnsi="Arial" w:cs="Arial"/>
          <w:color w:val="000000"/>
          <w:sz w:val="20"/>
          <w:szCs w:val="20"/>
          <w:lang w:eastAsia="en-AU"/>
        </w:rPr>
        <w:t xml:space="preserve">the </w:t>
      </w:r>
      <w:r w:rsidRPr="00FC6804">
        <w:rPr>
          <w:rFonts w:ascii="Arial" w:hAnsi="Arial" w:cs="Arial"/>
          <w:color w:val="000000"/>
          <w:sz w:val="20"/>
          <w:szCs w:val="20"/>
          <w:lang w:eastAsia="en-AU"/>
        </w:rPr>
        <w:t>information and support function:</w:t>
      </w:r>
    </w:p>
    <w:p w:rsidR="007B5016" w:rsidRPr="00FC6804" w:rsidRDefault="007B5016" w:rsidP="0024386A">
      <w:pPr>
        <w:pStyle w:val="ListParagraph"/>
        <w:spacing w:after="0" w:line="240" w:lineRule="auto"/>
        <w:ind w:left="0"/>
        <w:contextualSpacing w:val="0"/>
        <w:rPr>
          <w:rFonts w:ascii="Arial" w:hAnsi="Arial" w:cs="Arial"/>
          <w:color w:val="000000"/>
          <w:sz w:val="20"/>
          <w:szCs w:val="20"/>
          <w:lang w:eastAsia="en-AU"/>
        </w:rPr>
      </w:pPr>
    </w:p>
    <w:p w:rsidR="007B5016" w:rsidRPr="00FC6804" w:rsidRDefault="007B5016" w:rsidP="00EB224B">
      <w:pPr>
        <w:pStyle w:val="ListParagraph"/>
        <w:numPr>
          <w:ilvl w:val="0"/>
          <w:numId w:val="3"/>
        </w:numPr>
        <w:spacing w:after="0" w:line="240" w:lineRule="auto"/>
        <w:ind w:left="720"/>
        <w:contextualSpacing w:val="0"/>
        <w:rPr>
          <w:rFonts w:ascii="Arial" w:hAnsi="Arial" w:cs="Arial"/>
          <w:color w:val="000000"/>
          <w:sz w:val="20"/>
          <w:szCs w:val="20"/>
        </w:rPr>
      </w:pPr>
      <w:r w:rsidRPr="00FC6804">
        <w:rPr>
          <w:rFonts w:ascii="Arial" w:hAnsi="Arial" w:cs="Arial"/>
          <w:color w:val="000000"/>
          <w:sz w:val="20"/>
          <w:szCs w:val="20"/>
        </w:rPr>
        <w:t>Provision of pre-operational support to prospective licensees;</w:t>
      </w:r>
    </w:p>
    <w:p w:rsidR="00EB224B" w:rsidRPr="00FC6804" w:rsidRDefault="00EB224B" w:rsidP="00EB224B">
      <w:pPr>
        <w:pStyle w:val="ListParagraph"/>
        <w:spacing w:after="0" w:line="240" w:lineRule="auto"/>
        <w:contextualSpacing w:val="0"/>
        <w:rPr>
          <w:rFonts w:ascii="Arial" w:hAnsi="Arial" w:cs="Arial"/>
          <w:color w:val="000000"/>
          <w:sz w:val="20"/>
          <w:szCs w:val="20"/>
        </w:rPr>
      </w:pPr>
    </w:p>
    <w:p w:rsidR="007B5016" w:rsidRPr="00FC6804" w:rsidRDefault="007B5016" w:rsidP="00EB224B">
      <w:pPr>
        <w:pStyle w:val="ListParagraph"/>
        <w:numPr>
          <w:ilvl w:val="0"/>
          <w:numId w:val="3"/>
        </w:numPr>
        <w:spacing w:after="0" w:line="240" w:lineRule="auto"/>
        <w:ind w:left="720"/>
        <w:contextualSpacing w:val="0"/>
        <w:rPr>
          <w:rFonts w:ascii="Arial" w:hAnsi="Arial" w:cs="Arial"/>
          <w:color w:val="000000"/>
          <w:sz w:val="20"/>
          <w:szCs w:val="20"/>
        </w:rPr>
      </w:pPr>
      <w:r w:rsidRPr="00FC6804">
        <w:rPr>
          <w:rFonts w:ascii="Arial" w:hAnsi="Arial" w:cs="Arial"/>
          <w:color w:val="000000"/>
          <w:sz w:val="20"/>
          <w:szCs w:val="20"/>
        </w:rPr>
        <w:t>Development of new guidelines (i.e. PrimeNotes);</w:t>
      </w:r>
    </w:p>
    <w:p w:rsidR="00EB224B" w:rsidRPr="00FC6804" w:rsidRDefault="00EB224B" w:rsidP="00EB224B">
      <w:pPr>
        <w:pStyle w:val="ListParagraph"/>
        <w:ind w:left="1080"/>
        <w:rPr>
          <w:rFonts w:ascii="Arial" w:hAnsi="Arial" w:cs="Arial"/>
          <w:color w:val="000000"/>
          <w:sz w:val="20"/>
          <w:szCs w:val="20"/>
        </w:rPr>
      </w:pPr>
    </w:p>
    <w:p w:rsidR="007B5016" w:rsidRPr="00FC6804" w:rsidRDefault="007B5016" w:rsidP="00EB224B">
      <w:pPr>
        <w:pStyle w:val="ListParagraph"/>
        <w:numPr>
          <w:ilvl w:val="0"/>
          <w:numId w:val="3"/>
        </w:numPr>
        <w:spacing w:after="0" w:line="240" w:lineRule="auto"/>
        <w:ind w:left="720"/>
        <w:contextualSpacing w:val="0"/>
        <w:rPr>
          <w:rFonts w:ascii="Arial" w:hAnsi="Arial" w:cs="Arial"/>
          <w:color w:val="000000"/>
          <w:sz w:val="20"/>
          <w:szCs w:val="20"/>
        </w:rPr>
      </w:pPr>
      <w:r w:rsidRPr="00FC6804">
        <w:rPr>
          <w:rFonts w:ascii="Arial" w:hAnsi="Arial" w:cs="Arial"/>
          <w:color w:val="000000"/>
          <w:sz w:val="20"/>
          <w:szCs w:val="20"/>
        </w:rPr>
        <w:t>Participation in risk assessment activities within PrimeSafe and other state and national regulatory authorities;</w:t>
      </w:r>
    </w:p>
    <w:p w:rsidR="00EB224B" w:rsidRPr="00FC6804" w:rsidRDefault="00EB224B" w:rsidP="00EB224B">
      <w:pPr>
        <w:pStyle w:val="ListParagraph"/>
        <w:ind w:left="1080"/>
        <w:rPr>
          <w:rFonts w:ascii="Arial" w:hAnsi="Arial" w:cs="Arial"/>
          <w:color w:val="000000"/>
          <w:sz w:val="20"/>
          <w:szCs w:val="20"/>
        </w:rPr>
      </w:pPr>
    </w:p>
    <w:p w:rsidR="007B5016" w:rsidRPr="00FC6804" w:rsidRDefault="007B5016" w:rsidP="00EB224B">
      <w:pPr>
        <w:pStyle w:val="ListParagraph"/>
        <w:numPr>
          <w:ilvl w:val="0"/>
          <w:numId w:val="3"/>
        </w:numPr>
        <w:spacing w:after="0" w:line="240" w:lineRule="auto"/>
        <w:ind w:left="720"/>
        <w:contextualSpacing w:val="0"/>
        <w:rPr>
          <w:rFonts w:ascii="Arial" w:hAnsi="Arial" w:cs="Arial"/>
          <w:strike/>
          <w:color w:val="000000"/>
          <w:sz w:val="20"/>
          <w:szCs w:val="20"/>
        </w:rPr>
      </w:pPr>
      <w:r w:rsidRPr="00FC6804">
        <w:rPr>
          <w:rFonts w:ascii="Arial" w:hAnsi="Arial" w:cs="Arial"/>
          <w:color w:val="000000"/>
          <w:sz w:val="20"/>
          <w:szCs w:val="20"/>
        </w:rPr>
        <w:t>Assistance with more complex general queries;</w:t>
      </w:r>
    </w:p>
    <w:p w:rsidR="00EB224B" w:rsidRPr="00FC6804" w:rsidRDefault="00EB224B" w:rsidP="00EB224B">
      <w:pPr>
        <w:pStyle w:val="ListParagraph"/>
        <w:ind w:left="1080"/>
        <w:rPr>
          <w:rFonts w:ascii="Arial" w:hAnsi="Arial" w:cs="Arial"/>
          <w:strike/>
          <w:color w:val="000000"/>
          <w:sz w:val="20"/>
          <w:szCs w:val="20"/>
        </w:rPr>
      </w:pPr>
    </w:p>
    <w:p w:rsidR="007B5016" w:rsidRPr="00FC6804" w:rsidRDefault="007B5016" w:rsidP="00EB224B">
      <w:pPr>
        <w:pStyle w:val="ListParagraph"/>
        <w:numPr>
          <w:ilvl w:val="0"/>
          <w:numId w:val="3"/>
        </w:numPr>
        <w:spacing w:after="0" w:line="240" w:lineRule="auto"/>
        <w:ind w:left="720"/>
        <w:contextualSpacing w:val="0"/>
        <w:rPr>
          <w:rFonts w:ascii="Arial" w:hAnsi="Arial" w:cs="Arial"/>
          <w:color w:val="000000"/>
          <w:sz w:val="20"/>
          <w:szCs w:val="20"/>
        </w:rPr>
      </w:pPr>
      <w:r w:rsidRPr="00FC6804">
        <w:rPr>
          <w:rFonts w:ascii="Arial" w:hAnsi="Arial" w:cs="Arial"/>
          <w:color w:val="000000"/>
          <w:sz w:val="20"/>
          <w:szCs w:val="20"/>
        </w:rPr>
        <w:t xml:space="preserve">Attendance and representation at food safety meetings and seminars at the state and national levels; </w:t>
      </w:r>
    </w:p>
    <w:p w:rsidR="00EB224B" w:rsidRPr="00FC6804" w:rsidRDefault="00EB224B" w:rsidP="00EB224B">
      <w:pPr>
        <w:pStyle w:val="ListParagraph"/>
        <w:ind w:left="1080"/>
        <w:rPr>
          <w:rFonts w:ascii="Arial" w:hAnsi="Arial" w:cs="Arial"/>
          <w:color w:val="000000"/>
          <w:sz w:val="20"/>
          <w:szCs w:val="20"/>
        </w:rPr>
      </w:pPr>
    </w:p>
    <w:p w:rsidR="007B5016" w:rsidRPr="00FC6804" w:rsidRDefault="007B5016" w:rsidP="00EB224B">
      <w:pPr>
        <w:pStyle w:val="ListParagraph"/>
        <w:numPr>
          <w:ilvl w:val="0"/>
          <w:numId w:val="3"/>
        </w:numPr>
        <w:spacing w:after="0" w:line="240" w:lineRule="auto"/>
        <w:ind w:left="720"/>
        <w:contextualSpacing w:val="0"/>
        <w:rPr>
          <w:rFonts w:ascii="Arial" w:hAnsi="Arial" w:cs="Arial"/>
          <w:color w:val="000000"/>
          <w:sz w:val="20"/>
          <w:szCs w:val="20"/>
        </w:rPr>
      </w:pPr>
      <w:r w:rsidRPr="00FC6804">
        <w:rPr>
          <w:rFonts w:ascii="Arial" w:hAnsi="Arial" w:cs="Arial"/>
          <w:color w:val="000000"/>
          <w:sz w:val="20"/>
          <w:szCs w:val="20"/>
        </w:rPr>
        <w:t>Assistance with auditor consistency management;</w:t>
      </w:r>
    </w:p>
    <w:p w:rsidR="00EB224B" w:rsidRPr="00FC6804" w:rsidRDefault="00EB224B" w:rsidP="00EB224B">
      <w:pPr>
        <w:pStyle w:val="ListParagraph"/>
        <w:ind w:left="1080"/>
        <w:rPr>
          <w:rFonts w:ascii="Arial" w:hAnsi="Arial" w:cs="Arial"/>
          <w:color w:val="000000"/>
          <w:sz w:val="20"/>
          <w:szCs w:val="20"/>
        </w:rPr>
      </w:pPr>
    </w:p>
    <w:p w:rsidR="00EB224B" w:rsidRPr="006E52F8" w:rsidRDefault="007B5016" w:rsidP="006E52F8">
      <w:pPr>
        <w:pStyle w:val="ListParagraph"/>
        <w:numPr>
          <w:ilvl w:val="0"/>
          <w:numId w:val="3"/>
        </w:numPr>
        <w:spacing w:after="0" w:line="240" w:lineRule="auto"/>
        <w:ind w:left="720"/>
        <w:contextualSpacing w:val="0"/>
        <w:rPr>
          <w:rFonts w:ascii="Arial" w:hAnsi="Arial" w:cs="Arial"/>
          <w:color w:val="000000"/>
          <w:sz w:val="20"/>
          <w:szCs w:val="20"/>
        </w:rPr>
      </w:pPr>
      <w:r w:rsidRPr="00FC6804">
        <w:rPr>
          <w:rFonts w:ascii="Arial" w:hAnsi="Arial" w:cs="Arial"/>
          <w:color w:val="000000"/>
          <w:sz w:val="20"/>
          <w:szCs w:val="20"/>
        </w:rPr>
        <w:t xml:space="preserve">Conduct workshops and forums; </w:t>
      </w:r>
      <w:r w:rsidR="00C449AD">
        <w:rPr>
          <w:rFonts w:ascii="Arial" w:hAnsi="Arial" w:cs="Arial"/>
          <w:color w:val="000000"/>
          <w:sz w:val="20"/>
          <w:szCs w:val="20"/>
        </w:rPr>
        <w:t>and</w:t>
      </w:r>
    </w:p>
    <w:p w:rsidR="007B5016" w:rsidRPr="00FC6804" w:rsidRDefault="007B5016" w:rsidP="00EB224B">
      <w:pPr>
        <w:pStyle w:val="ListParagraph"/>
        <w:numPr>
          <w:ilvl w:val="0"/>
          <w:numId w:val="3"/>
        </w:numPr>
        <w:spacing w:after="0" w:line="240" w:lineRule="auto"/>
        <w:ind w:left="720"/>
        <w:contextualSpacing w:val="0"/>
        <w:rPr>
          <w:rFonts w:ascii="Arial" w:hAnsi="Arial" w:cs="Arial"/>
          <w:color w:val="000000"/>
          <w:sz w:val="20"/>
          <w:szCs w:val="20"/>
        </w:rPr>
      </w:pPr>
      <w:r w:rsidRPr="00FC6804">
        <w:rPr>
          <w:rFonts w:ascii="Arial" w:hAnsi="Arial" w:cs="Arial"/>
          <w:color w:val="000000"/>
          <w:sz w:val="20"/>
          <w:szCs w:val="20"/>
        </w:rPr>
        <w:t>Assistance to registered training organisations (RTOs) and third party auditing bodies with training requirements.</w:t>
      </w:r>
    </w:p>
    <w:p w:rsidR="007B5016" w:rsidRPr="00FC6804" w:rsidRDefault="007B5016" w:rsidP="0024386A">
      <w:pPr>
        <w:pStyle w:val="ListParagraph"/>
        <w:spacing w:after="0" w:line="240" w:lineRule="auto"/>
        <w:ind w:left="0"/>
        <w:contextualSpacing w:val="0"/>
        <w:rPr>
          <w:rFonts w:ascii="Arial" w:hAnsi="Arial" w:cs="Arial"/>
          <w:color w:val="000000"/>
          <w:sz w:val="20"/>
          <w:szCs w:val="20"/>
        </w:rPr>
      </w:pPr>
    </w:p>
    <w:p w:rsidR="007B5016" w:rsidRPr="00FC6804" w:rsidRDefault="007B5016" w:rsidP="0024386A">
      <w:pPr>
        <w:pStyle w:val="ListParagraph"/>
        <w:spacing w:after="0" w:line="240" w:lineRule="auto"/>
        <w:ind w:left="0"/>
        <w:contextualSpacing w:val="0"/>
        <w:rPr>
          <w:rFonts w:ascii="Arial" w:hAnsi="Arial" w:cs="Arial"/>
          <w:b/>
          <w:i/>
          <w:color w:val="000000"/>
          <w:sz w:val="20"/>
          <w:szCs w:val="20"/>
        </w:rPr>
      </w:pPr>
      <w:r w:rsidRPr="00FC6804">
        <w:rPr>
          <w:rFonts w:ascii="Arial" w:hAnsi="Arial" w:cs="Arial"/>
          <w:b/>
          <w:i/>
          <w:color w:val="000000"/>
          <w:sz w:val="20"/>
          <w:szCs w:val="20"/>
        </w:rPr>
        <w:t>Compliance and Enforcement</w:t>
      </w:r>
    </w:p>
    <w:p w:rsidR="007B5016" w:rsidRPr="00FC6804" w:rsidRDefault="007B5016" w:rsidP="0024386A">
      <w:pPr>
        <w:pStyle w:val="ListParagraph"/>
        <w:spacing w:after="0" w:line="240" w:lineRule="auto"/>
        <w:ind w:left="0"/>
        <w:contextualSpacing w:val="0"/>
        <w:rPr>
          <w:rFonts w:ascii="Arial" w:hAnsi="Arial" w:cs="Arial"/>
          <w:b/>
          <w:i/>
          <w:color w:val="000000"/>
          <w:sz w:val="20"/>
          <w:szCs w:val="20"/>
        </w:rPr>
      </w:pPr>
    </w:p>
    <w:p w:rsidR="00C449AD" w:rsidRDefault="007B5016" w:rsidP="0024386A">
      <w:pPr>
        <w:pStyle w:val="ListParagraph"/>
        <w:spacing w:after="0" w:line="240" w:lineRule="auto"/>
        <w:ind w:left="0"/>
        <w:contextualSpacing w:val="0"/>
        <w:rPr>
          <w:rFonts w:ascii="Arial" w:hAnsi="Arial" w:cs="Arial"/>
          <w:color w:val="000000"/>
          <w:sz w:val="20"/>
          <w:szCs w:val="20"/>
        </w:rPr>
      </w:pPr>
      <w:r w:rsidRPr="00FC6804">
        <w:rPr>
          <w:rFonts w:ascii="Arial" w:hAnsi="Arial" w:cs="Arial"/>
          <w:color w:val="000000"/>
          <w:sz w:val="20"/>
          <w:szCs w:val="20"/>
        </w:rPr>
        <w:t xml:space="preserve">In addition, increased resources will need to be allocated to the compliance and enforcement function. </w:t>
      </w:r>
    </w:p>
    <w:p w:rsidR="00C449AD" w:rsidRDefault="00C449AD" w:rsidP="0024386A">
      <w:pPr>
        <w:pStyle w:val="ListParagraph"/>
        <w:spacing w:after="0" w:line="240" w:lineRule="auto"/>
        <w:ind w:left="0"/>
        <w:contextualSpacing w:val="0"/>
        <w:rPr>
          <w:rFonts w:ascii="Arial" w:hAnsi="Arial" w:cs="Arial"/>
          <w:color w:val="000000"/>
          <w:sz w:val="20"/>
          <w:szCs w:val="20"/>
        </w:rPr>
      </w:pPr>
    </w:p>
    <w:p w:rsidR="007B5016" w:rsidRPr="00FC6804" w:rsidRDefault="007B5016" w:rsidP="0024386A">
      <w:pPr>
        <w:pStyle w:val="ListParagraph"/>
        <w:spacing w:after="0" w:line="240" w:lineRule="auto"/>
        <w:ind w:left="0"/>
        <w:contextualSpacing w:val="0"/>
        <w:rPr>
          <w:rFonts w:ascii="Arial" w:hAnsi="Arial" w:cs="Arial"/>
          <w:color w:val="000000"/>
          <w:sz w:val="20"/>
          <w:szCs w:val="20"/>
        </w:rPr>
      </w:pPr>
      <w:r w:rsidRPr="00FC6804">
        <w:rPr>
          <w:rFonts w:ascii="Arial" w:hAnsi="Arial" w:cs="Arial"/>
          <w:color w:val="000000"/>
          <w:sz w:val="20"/>
          <w:szCs w:val="20"/>
        </w:rPr>
        <w:t>These resources will be used to:</w:t>
      </w:r>
    </w:p>
    <w:p w:rsidR="007B5016" w:rsidRPr="00FC6804" w:rsidRDefault="007B5016" w:rsidP="0024386A">
      <w:pPr>
        <w:pStyle w:val="ListParagraph"/>
        <w:spacing w:after="0" w:line="240" w:lineRule="auto"/>
        <w:ind w:left="0" w:firstLine="720"/>
        <w:contextualSpacing w:val="0"/>
        <w:rPr>
          <w:rFonts w:ascii="Arial" w:hAnsi="Arial" w:cs="Arial"/>
          <w:color w:val="000000"/>
          <w:sz w:val="20"/>
          <w:szCs w:val="20"/>
        </w:rPr>
      </w:pPr>
    </w:p>
    <w:p w:rsidR="007B5016" w:rsidRPr="00FC6804" w:rsidRDefault="007B5016" w:rsidP="0024386A">
      <w:pPr>
        <w:pStyle w:val="ListParagraph"/>
        <w:numPr>
          <w:ilvl w:val="0"/>
          <w:numId w:val="4"/>
        </w:numPr>
        <w:spacing w:after="0" w:line="240" w:lineRule="auto"/>
        <w:contextualSpacing w:val="0"/>
        <w:rPr>
          <w:rFonts w:ascii="Arial" w:hAnsi="Arial" w:cs="Arial"/>
          <w:color w:val="000000"/>
          <w:sz w:val="20"/>
          <w:szCs w:val="20"/>
        </w:rPr>
      </w:pPr>
      <w:r w:rsidRPr="00FC6804">
        <w:rPr>
          <w:rFonts w:ascii="Arial" w:hAnsi="Arial" w:cs="Arial"/>
          <w:color w:val="000000"/>
          <w:sz w:val="20"/>
          <w:szCs w:val="20"/>
        </w:rPr>
        <w:t>Provide assistance to licensees in interpreting and complying with relevant Australian and Victorian Standards; and</w:t>
      </w:r>
    </w:p>
    <w:p w:rsidR="00BD5244" w:rsidRPr="00FC6804" w:rsidRDefault="00BD5244" w:rsidP="00BD5244">
      <w:pPr>
        <w:pStyle w:val="ListParagraph"/>
        <w:spacing w:after="0" w:line="240" w:lineRule="auto"/>
        <w:contextualSpacing w:val="0"/>
        <w:rPr>
          <w:rFonts w:ascii="Arial" w:hAnsi="Arial" w:cs="Arial"/>
          <w:color w:val="000000"/>
          <w:sz w:val="20"/>
          <w:szCs w:val="20"/>
        </w:rPr>
      </w:pPr>
    </w:p>
    <w:p w:rsidR="007B5016" w:rsidRPr="00FC6804" w:rsidRDefault="00BB5D16" w:rsidP="0024386A">
      <w:pPr>
        <w:pStyle w:val="ListParagraph"/>
        <w:numPr>
          <w:ilvl w:val="0"/>
          <w:numId w:val="4"/>
        </w:numPr>
        <w:spacing w:after="0" w:line="240" w:lineRule="auto"/>
        <w:contextualSpacing w:val="0"/>
        <w:rPr>
          <w:rFonts w:ascii="Arial" w:hAnsi="Arial" w:cs="Arial"/>
          <w:color w:val="000000"/>
          <w:sz w:val="20"/>
          <w:szCs w:val="20"/>
        </w:rPr>
      </w:pPr>
      <w:r>
        <w:rPr>
          <w:rFonts w:ascii="Arial" w:hAnsi="Arial" w:cs="Arial"/>
          <w:color w:val="000000"/>
          <w:sz w:val="20"/>
          <w:szCs w:val="20"/>
        </w:rPr>
        <w:t>E</w:t>
      </w:r>
      <w:r w:rsidR="007B5016" w:rsidRPr="00FC6804">
        <w:rPr>
          <w:rFonts w:ascii="Arial" w:hAnsi="Arial" w:cs="Arial"/>
          <w:color w:val="000000"/>
          <w:sz w:val="20"/>
          <w:szCs w:val="20"/>
        </w:rPr>
        <w:t>nable a more extensive program of surveillance activities to be undertaken.</w:t>
      </w:r>
    </w:p>
    <w:p w:rsidR="00B56AA5" w:rsidRPr="00FC6804" w:rsidRDefault="00B56AA5" w:rsidP="0024386A">
      <w:pPr>
        <w:spacing w:after="0" w:line="240" w:lineRule="auto"/>
        <w:rPr>
          <w:rFonts w:ascii="Arial" w:hAnsi="Arial" w:cs="Arial"/>
          <w:color w:val="000000"/>
          <w:sz w:val="20"/>
          <w:szCs w:val="20"/>
        </w:rPr>
      </w:pPr>
    </w:p>
    <w:p w:rsidR="00CB3A30" w:rsidRPr="00FC6804" w:rsidRDefault="00B56AA5" w:rsidP="0024386A">
      <w:pPr>
        <w:spacing w:after="0" w:line="240" w:lineRule="auto"/>
        <w:rPr>
          <w:rFonts w:ascii="Arial" w:hAnsi="Arial" w:cs="Arial"/>
          <w:sz w:val="20"/>
          <w:szCs w:val="20"/>
        </w:rPr>
      </w:pPr>
      <w:r w:rsidRPr="00FC6804">
        <w:rPr>
          <w:rFonts w:ascii="Arial" w:hAnsi="Arial" w:cs="Arial"/>
          <w:sz w:val="20"/>
          <w:szCs w:val="20"/>
        </w:rPr>
        <w:t>The proposed increase in surveillance activ</w:t>
      </w:r>
      <w:r w:rsidR="00BD5244" w:rsidRPr="00FC6804">
        <w:rPr>
          <w:rFonts w:ascii="Arial" w:hAnsi="Arial" w:cs="Arial"/>
          <w:sz w:val="20"/>
          <w:szCs w:val="20"/>
        </w:rPr>
        <w:t xml:space="preserve">ities has two main components. </w:t>
      </w:r>
      <w:r w:rsidRPr="00FC6804">
        <w:rPr>
          <w:rFonts w:ascii="Arial" w:hAnsi="Arial" w:cs="Arial"/>
          <w:sz w:val="20"/>
          <w:szCs w:val="20"/>
        </w:rPr>
        <w:t>Firstly, it is proposed to reintroduce a number of surveillance programs that were previously undertaken by Prime</w:t>
      </w:r>
      <w:r w:rsidR="00BD5244" w:rsidRPr="00FC6804">
        <w:rPr>
          <w:rFonts w:ascii="Arial" w:hAnsi="Arial" w:cs="Arial"/>
          <w:sz w:val="20"/>
          <w:szCs w:val="20"/>
        </w:rPr>
        <w:t>S</w:t>
      </w:r>
      <w:r w:rsidRPr="00FC6804">
        <w:rPr>
          <w:rFonts w:ascii="Arial" w:hAnsi="Arial" w:cs="Arial"/>
          <w:sz w:val="20"/>
          <w:szCs w:val="20"/>
        </w:rPr>
        <w:t>afe but which were discontinued in recent years due to the lack</w:t>
      </w:r>
      <w:r w:rsidR="00BD5244" w:rsidRPr="00FC6804">
        <w:rPr>
          <w:rFonts w:ascii="Arial" w:hAnsi="Arial" w:cs="Arial"/>
          <w:sz w:val="20"/>
          <w:szCs w:val="20"/>
        </w:rPr>
        <w:t xml:space="preserve"> of sufficient resources. </w:t>
      </w:r>
      <w:r w:rsidR="00CB3A30" w:rsidRPr="00FC6804">
        <w:rPr>
          <w:rFonts w:ascii="Arial" w:hAnsi="Arial" w:cs="Arial"/>
          <w:sz w:val="20"/>
          <w:szCs w:val="20"/>
        </w:rPr>
        <w:t>This includes, in particular, surveillance in the wildcatch sector</w:t>
      </w:r>
      <w:r w:rsidR="00057B93" w:rsidRPr="00FC6804">
        <w:rPr>
          <w:rFonts w:ascii="Arial" w:hAnsi="Arial" w:cs="Arial"/>
          <w:sz w:val="20"/>
          <w:szCs w:val="20"/>
        </w:rPr>
        <w:t xml:space="preserve"> </w:t>
      </w:r>
      <w:r w:rsidR="0024386A" w:rsidRPr="00FC6804">
        <w:rPr>
          <w:rFonts w:ascii="Arial" w:hAnsi="Arial" w:cs="Arial"/>
          <w:sz w:val="20"/>
          <w:szCs w:val="20"/>
        </w:rPr>
        <w:t>and additional</w:t>
      </w:r>
      <w:r w:rsidR="00CB3A30" w:rsidRPr="00FC6804">
        <w:rPr>
          <w:rFonts w:ascii="Arial" w:hAnsi="Arial" w:cs="Arial"/>
          <w:sz w:val="20"/>
          <w:szCs w:val="20"/>
        </w:rPr>
        <w:t xml:space="preserve"> surveillance of animal welfare issues is proposed.</w:t>
      </w:r>
      <w:r w:rsidR="00924F70">
        <w:rPr>
          <w:rFonts w:ascii="Arial" w:hAnsi="Arial" w:cs="Arial"/>
          <w:sz w:val="20"/>
          <w:szCs w:val="20"/>
        </w:rPr>
        <w:t xml:space="preserve"> </w:t>
      </w:r>
      <w:r w:rsidR="00057B93" w:rsidRPr="00FC6804">
        <w:rPr>
          <w:rFonts w:ascii="Arial" w:hAnsi="Arial" w:cs="Arial"/>
          <w:sz w:val="20"/>
          <w:szCs w:val="20"/>
        </w:rPr>
        <w:t>The additional wildcatch surveillance has been adopted in response to the results of a 2013-14 seafood industry risk assessment, which identified increasing risks to the safety of wild</w:t>
      </w:r>
      <w:r w:rsidR="00C02C20" w:rsidRPr="00FC6804">
        <w:rPr>
          <w:rFonts w:ascii="Arial" w:hAnsi="Arial" w:cs="Arial"/>
          <w:sz w:val="20"/>
          <w:szCs w:val="20"/>
        </w:rPr>
        <w:t xml:space="preserve">catch due </w:t>
      </w:r>
      <w:r w:rsidR="00924F70">
        <w:rPr>
          <w:rFonts w:ascii="Arial" w:hAnsi="Arial" w:cs="Arial"/>
          <w:sz w:val="20"/>
          <w:szCs w:val="20"/>
        </w:rPr>
        <w:t xml:space="preserve">to </w:t>
      </w:r>
      <w:r w:rsidR="00C02C20" w:rsidRPr="00FC6804">
        <w:rPr>
          <w:rFonts w:ascii="Arial" w:hAnsi="Arial" w:cs="Arial"/>
          <w:sz w:val="20"/>
          <w:szCs w:val="20"/>
        </w:rPr>
        <w:t>more widespread incidence of algal blooms, which contain bio</w:t>
      </w:r>
      <w:r w:rsidR="00924F70">
        <w:rPr>
          <w:rFonts w:ascii="Arial" w:hAnsi="Arial" w:cs="Arial"/>
          <w:sz w:val="20"/>
          <w:szCs w:val="20"/>
        </w:rPr>
        <w:t>-</w:t>
      </w:r>
      <w:r w:rsidR="00C02C20" w:rsidRPr="00FC6804">
        <w:rPr>
          <w:rFonts w:ascii="Arial" w:hAnsi="Arial" w:cs="Arial"/>
          <w:sz w:val="20"/>
          <w:szCs w:val="20"/>
        </w:rPr>
        <w:t>toxins that can conta</w:t>
      </w:r>
      <w:r w:rsidR="00BD5244" w:rsidRPr="00FC6804">
        <w:rPr>
          <w:rFonts w:ascii="Arial" w:hAnsi="Arial" w:cs="Arial"/>
          <w:sz w:val="20"/>
          <w:szCs w:val="20"/>
        </w:rPr>
        <w:t xml:space="preserve">minate fish and other seafood. </w:t>
      </w:r>
      <w:r w:rsidR="00C02C20" w:rsidRPr="00FC6804">
        <w:rPr>
          <w:rFonts w:ascii="Arial" w:hAnsi="Arial" w:cs="Arial"/>
          <w:sz w:val="20"/>
          <w:szCs w:val="20"/>
        </w:rPr>
        <w:t>In relation to animal welfare, while the number of complaints received is low (at five per annum over the past two years) these have been high profile cases which have garnere</w:t>
      </w:r>
      <w:r w:rsidR="00BD5244" w:rsidRPr="00FC6804">
        <w:rPr>
          <w:rFonts w:ascii="Arial" w:hAnsi="Arial" w:cs="Arial"/>
          <w:sz w:val="20"/>
          <w:szCs w:val="20"/>
        </w:rPr>
        <w:t xml:space="preserve">d substantial media attention. </w:t>
      </w:r>
      <w:r w:rsidR="00C02C20" w:rsidRPr="00FC6804">
        <w:rPr>
          <w:rFonts w:ascii="Arial" w:hAnsi="Arial" w:cs="Arial"/>
          <w:sz w:val="20"/>
          <w:szCs w:val="20"/>
        </w:rPr>
        <w:t xml:space="preserve">The significant public interest in these issues led </w:t>
      </w:r>
      <w:r w:rsidR="000F12BE" w:rsidRPr="00FC6804">
        <w:rPr>
          <w:rFonts w:ascii="Arial" w:hAnsi="Arial" w:cs="Arial"/>
          <w:sz w:val="20"/>
          <w:szCs w:val="20"/>
        </w:rPr>
        <w:t>PrimeSafe</w:t>
      </w:r>
      <w:r w:rsidR="00C02C20" w:rsidRPr="00FC6804">
        <w:rPr>
          <w:rFonts w:ascii="Arial" w:hAnsi="Arial" w:cs="Arial"/>
          <w:sz w:val="20"/>
          <w:szCs w:val="20"/>
        </w:rPr>
        <w:t xml:space="preserve"> to the view that additional resources should be targeted to this area to more effectively ensure that the relevant standards are being systematically met.</w:t>
      </w:r>
    </w:p>
    <w:p w:rsidR="00CB3A30" w:rsidRPr="00FC6804" w:rsidRDefault="00CB3A30" w:rsidP="0024386A">
      <w:pPr>
        <w:spacing w:after="0" w:line="240" w:lineRule="auto"/>
        <w:rPr>
          <w:rFonts w:ascii="Arial" w:hAnsi="Arial" w:cs="Arial"/>
          <w:sz w:val="20"/>
          <w:szCs w:val="20"/>
        </w:rPr>
      </w:pPr>
    </w:p>
    <w:p w:rsidR="00936D3A" w:rsidRPr="00FC6804" w:rsidRDefault="007B5016" w:rsidP="0024386A">
      <w:pPr>
        <w:spacing w:after="0" w:line="240" w:lineRule="auto"/>
        <w:rPr>
          <w:rFonts w:ascii="Arial" w:hAnsi="Arial" w:cs="Arial"/>
          <w:sz w:val="20"/>
          <w:szCs w:val="20"/>
        </w:rPr>
      </w:pPr>
      <w:r w:rsidRPr="00FC6804">
        <w:rPr>
          <w:rFonts w:ascii="Arial" w:hAnsi="Arial" w:cs="Arial"/>
          <w:sz w:val="20"/>
          <w:szCs w:val="20"/>
        </w:rPr>
        <w:t>Prime</w:t>
      </w:r>
      <w:r w:rsidR="00BD5244" w:rsidRPr="00FC6804">
        <w:rPr>
          <w:rFonts w:ascii="Arial" w:hAnsi="Arial" w:cs="Arial"/>
          <w:sz w:val="20"/>
          <w:szCs w:val="20"/>
        </w:rPr>
        <w:t>S</w:t>
      </w:r>
      <w:r w:rsidRPr="00FC6804">
        <w:rPr>
          <w:rFonts w:ascii="Arial" w:hAnsi="Arial" w:cs="Arial"/>
          <w:sz w:val="20"/>
          <w:szCs w:val="20"/>
        </w:rPr>
        <w:t xml:space="preserve">afe’s actual expenditures in 2013-14 </w:t>
      </w:r>
      <w:r w:rsidR="000F12BE" w:rsidRPr="00FC6804">
        <w:rPr>
          <w:rFonts w:ascii="Arial" w:hAnsi="Arial" w:cs="Arial"/>
          <w:sz w:val="20"/>
          <w:szCs w:val="20"/>
        </w:rPr>
        <w:t xml:space="preserve">and 2014-15 were $2.0 million. </w:t>
      </w:r>
      <w:r w:rsidRPr="00FC6804">
        <w:rPr>
          <w:rFonts w:ascii="Arial" w:hAnsi="Arial" w:cs="Arial"/>
          <w:sz w:val="20"/>
          <w:szCs w:val="20"/>
        </w:rPr>
        <w:t xml:space="preserve">However, its budgeted expenditure for 2016-17, including allowance for the costs of carrying out the additional functions identified above, is approximately 25% higher </w:t>
      </w:r>
      <w:r w:rsidR="00BD5244" w:rsidRPr="00FC6804">
        <w:rPr>
          <w:rFonts w:ascii="Arial" w:hAnsi="Arial" w:cs="Arial"/>
          <w:sz w:val="20"/>
          <w:szCs w:val="20"/>
        </w:rPr>
        <w:t xml:space="preserve">at $2.5 million. </w:t>
      </w:r>
      <w:r w:rsidRPr="00FC6804">
        <w:rPr>
          <w:rFonts w:ascii="Arial" w:hAnsi="Arial" w:cs="Arial"/>
          <w:sz w:val="20"/>
          <w:szCs w:val="20"/>
        </w:rPr>
        <w:t xml:space="preserve">Table </w:t>
      </w:r>
      <w:r w:rsidR="001A070F">
        <w:rPr>
          <w:rFonts w:ascii="Arial" w:hAnsi="Arial" w:cs="Arial"/>
          <w:sz w:val="20"/>
          <w:szCs w:val="20"/>
        </w:rPr>
        <w:t>5</w:t>
      </w:r>
      <w:r w:rsidRPr="00FC6804">
        <w:rPr>
          <w:rFonts w:ascii="Arial" w:hAnsi="Arial" w:cs="Arial"/>
          <w:sz w:val="20"/>
          <w:szCs w:val="20"/>
        </w:rPr>
        <w:t xml:space="preserve">.1, below </w:t>
      </w:r>
      <w:r w:rsidR="00936D3A" w:rsidRPr="00FC6804">
        <w:rPr>
          <w:rFonts w:ascii="Arial" w:hAnsi="Arial" w:cs="Arial"/>
          <w:sz w:val="20"/>
          <w:szCs w:val="20"/>
        </w:rPr>
        <w:t>summarises Prime</w:t>
      </w:r>
      <w:r w:rsidR="000F12BE" w:rsidRPr="00FC6804">
        <w:rPr>
          <w:rFonts w:ascii="Arial" w:hAnsi="Arial" w:cs="Arial"/>
          <w:sz w:val="20"/>
          <w:szCs w:val="20"/>
        </w:rPr>
        <w:t>S</w:t>
      </w:r>
      <w:r w:rsidR="00936D3A" w:rsidRPr="00FC6804">
        <w:rPr>
          <w:rFonts w:ascii="Arial" w:hAnsi="Arial" w:cs="Arial"/>
          <w:sz w:val="20"/>
          <w:szCs w:val="20"/>
        </w:rPr>
        <w:t xml:space="preserve">afe’s expected regulatory costs for 2016-17.  </w:t>
      </w:r>
    </w:p>
    <w:p w:rsidR="00936D3A" w:rsidRPr="00FC6804" w:rsidRDefault="00936D3A" w:rsidP="0024386A">
      <w:pPr>
        <w:spacing w:after="0" w:line="240" w:lineRule="auto"/>
        <w:rPr>
          <w:rFonts w:ascii="Arial" w:hAnsi="Arial" w:cs="Arial"/>
          <w:sz w:val="20"/>
          <w:szCs w:val="20"/>
        </w:rPr>
      </w:pPr>
    </w:p>
    <w:p w:rsidR="009B590C" w:rsidRPr="00FC6804" w:rsidRDefault="009B590C" w:rsidP="0024386A">
      <w:pPr>
        <w:spacing w:after="0" w:line="240" w:lineRule="auto"/>
        <w:rPr>
          <w:rFonts w:ascii="Arial" w:hAnsi="Arial" w:cs="Arial"/>
          <w:sz w:val="20"/>
          <w:szCs w:val="20"/>
        </w:rPr>
      </w:pPr>
    </w:p>
    <w:p w:rsidR="009B590C" w:rsidRPr="00FC6804" w:rsidRDefault="009B590C" w:rsidP="0024386A">
      <w:pPr>
        <w:spacing w:after="0" w:line="240" w:lineRule="auto"/>
        <w:rPr>
          <w:rFonts w:ascii="Arial" w:hAnsi="Arial" w:cs="Arial"/>
          <w:sz w:val="20"/>
          <w:szCs w:val="20"/>
        </w:rPr>
      </w:pPr>
    </w:p>
    <w:p w:rsidR="009B590C" w:rsidRPr="00FC6804" w:rsidRDefault="009B590C" w:rsidP="0024386A">
      <w:pPr>
        <w:spacing w:after="0" w:line="240" w:lineRule="auto"/>
        <w:rPr>
          <w:rFonts w:ascii="Arial" w:hAnsi="Arial" w:cs="Arial"/>
          <w:sz w:val="20"/>
          <w:szCs w:val="20"/>
        </w:rPr>
      </w:pPr>
    </w:p>
    <w:p w:rsidR="009B590C" w:rsidRPr="00FC6804" w:rsidRDefault="009B590C" w:rsidP="0024386A">
      <w:pPr>
        <w:spacing w:after="0" w:line="240" w:lineRule="auto"/>
        <w:rPr>
          <w:rFonts w:ascii="Arial" w:hAnsi="Arial" w:cs="Arial"/>
          <w:sz w:val="20"/>
          <w:szCs w:val="20"/>
        </w:rPr>
      </w:pPr>
    </w:p>
    <w:p w:rsidR="009B590C" w:rsidRPr="00FC6804" w:rsidRDefault="009B590C" w:rsidP="0024386A">
      <w:pPr>
        <w:spacing w:after="0" w:line="240" w:lineRule="auto"/>
        <w:rPr>
          <w:rFonts w:ascii="Arial" w:hAnsi="Arial" w:cs="Arial"/>
          <w:sz w:val="20"/>
          <w:szCs w:val="20"/>
        </w:rPr>
      </w:pPr>
    </w:p>
    <w:p w:rsidR="009B590C" w:rsidRPr="00FC6804" w:rsidRDefault="009B590C" w:rsidP="0024386A">
      <w:pPr>
        <w:spacing w:after="0" w:line="240" w:lineRule="auto"/>
        <w:rPr>
          <w:rFonts w:ascii="Arial" w:hAnsi="Arial" w:cs="Arial"/>
          <w:sz w:val="20"/>
          <w:szCs w:val="20"/>
        </w:rPr>
      </w:pPr>
    </w:p>
    <w:p w:rsidR="009B590C" w:rsidRPr="00FC6804" w:rsidRDefault="009B590C" w:rsidP="0024386A">
      <w:pPr>
        <w:spacing w:after="0" w:line="240" w:lineRule="auto"/>
        <w:rPr>
          <w:rFonts w:ascii="Arial" w:hAnsi="Arial" w:cs="Arial"/>
          <w:sz w:val="20"/>
          <w:szCs w:val="20"/>
        </w:rPr>
      </w:pPr>
    </w:p>
    <w:p w:rsidR="009B590C" w:rsidRPr="00FC6804" w:rsidRDefault="009B590C" w:rsidP="0024386A">
      <w:pPr>
        <w:spacing w:after="0" w:line="240" w:lineRule="auto"/>
        <w:rPr>
          <w:rFonts w:ascii="Arial" w:hAnsi="Arial" w:cs="Arial"/>
          <w:sz w:val="20"/>
          <w:szCs w:val="20"/>
        </w:rPr>
      </w:pPr>
    </w:p>
    <w:p w:rsidR="009B590C" w:rsidRPr="00FC6804" w:rsidRDefault="009B590C" w:rsidP="0024386A">
      <w:pPr>
        <w:spacing w:after="0" w:line="240" w:lineRule="auto"/>
        <w:rPr>
          <w:rFonts w:ascii="Arial" w:hAnsi="Arial" w:cs="Arial"/>
          <w:sz w:val="20"/>
          <w:szCs w:val="20"/>
        </w:rPr>
      </w:pPr>
    </w:p>
    <w:p w:rsidR="009B590C" w:rsidRPr="00FC6804" w:rsidRDefault="009B590C" w:rsidP="0024386A">
      <w:pPr>
        <w:spacing w:after="0" w:line="240" w:lineRule="auto"/>
        <w:rPr>
          <w:rFonts w:ascii="Arial" w:hAnsi="Arial" w:cs="Arial"/>
          <w:sz w:val="20"/>
          <w:szCs w:val="20"/>
        </w:rPr>
      </w:pPr>
    </w:p>
    <w:p w:rsidR="009B590C" w:rsidRPr="00FC6804" w:rsidRDefault="009B590C" w:rsidP="0024386A">
      <w:pPr>
        <w:spacing w:after="0" w:line="240" w:lineRule="auto"/>
        <w:rPr>
          <w:rFonts w:ascii="Arial" w:hAnsi="Arial" w:cs="Arial"/>
          <w:sz w:val="20"/>
          <w:szCs w:val="20"/>
        </w:rPr>
      </w:pPr>
    </w:p>
    <w:p w:rsidR="009B590C" w:rsidRPr="00FC6804" w:rsidRDefault="009B590C" w:rsidP="0024386A">
      <w:pPr>
        <w:spacing w:after="0" w:line="240" w:lineRule="auto"/>
        <w:rPr>
          <w:rFonts w:ascii="Arial" w:hAnsi="Arial" w:cs="Arial"/>
          <w:sz w:val="20"/>
          <w:szCs w:val="20"/>
        </w:rPr>
      </w:pPr>
    </w:p>
    <w:p w:rsidR="009B590C" w:rsidRPr="00FC6804" w:rsidRDefault="009B590C" w:rsidP="0024386A">
      <w:pPr>
        <w:spacing w:after="0" w:line="240" w:lineRule="auto"/>
        <w:rPr>
          <w:rFonts w:ascii="Arial" w:hAnsi="Arial" w:cs="Arial"/>
          <w:sz w:val="20"/>
          <w:szCs w:val="20"/>
        </w:rPr>
      </w:pPr>
    </w:p>
    <w:p w:rsidR="009B590C" w:rsidRPr="00FC6804" w:rsidRDefault="009B590C" w:rsidP="0024386A">
      <w:pPr>
        <w:spacing w:after="0" w:line="240" w:lineRule="auto"/>
        <w:rPr>
          <w:rFonts w:ascii="Arial" w:hAnsi="Arial" w:cs="Arial"/>
          <w:sz w:val="20"/>
          <w:szCs w:val="20"/>
        </w:rPr>
      </w:pPr>
    </w:p>
    <w:p w:rsidR="009B590C" w:rsidRPr="00FC6804" w:rsidRDefault="009B590C" w:rsidP="0024386A">
      <w:pPr>
        <w:spacing w:after="0" w:line="240" w:lineRule="auto"/>
        <w:rPr>
          <w:rFonts w:ascii="Arial" w:hAnsi="Arial" w:cs="Arial"/>
          <w:sz w:val="20"/>
          <w:szCs w:val="20"/>
        </w:rPr>
      </w:pPr>
    </w:p>
    <w:p w:rsidR="009B590C" w:rsidRPr="00FC6804" w:rsidRDefault="009B590C" w:rsidP="0024386A">
      <w:pPr>
        <w:spacing w:after="0" w:line="240" w:lineRule="auto"/>
        <w:rPr>
          <w:rFonts w:ascii="Arial" w:hAnsi="Arial" w:cs="Arial"/>
          <w:sz w:val="20"/>
          <w:szCs w:val="20"/>
        </w:rPr>
      </w:pPr>
    </w:p>
    <w:p w:rsidR="009B590C" w:rsidRPr="00FC6804" w:rsidRDefault="009B590C" w:rsidP="0024386A">
      <w:pPr>
        <w:spacing w:after="0" w:line="240" w:lineRule="auto"/>
        <w:rPr>
          <w:rFonts w:ascii="Arial" w:hAnsi="Arial" w:cs="Arial"/>
          <w:sz w:val="20"/>
          <w:szCs w:val="20"/>
        </w:rPr>
      </w:pPr>
    </w:p>
    <w:p w:rsidR="009B590C" w:rsidRPr="00FC6804" w:rsidRDefault="009B590C" w:rsidP="0024386A">
      <w:pPr>
        <w:spacing w:after="0" w:line="240" w:lineRule="auto"/>
        <w:rPr>
          <w:rFonts w:ascii="Arial" w:hAnsi="Arial" w:cs="Arial"/>
          <w:sz w:val="20"/>
          <w:szCs w:val="20"/>
        </w:rPr>
      </w:pPr>
    </w:p>
    <w:p w:rsidR="009B590C" w:rsidRPr="00FC6804" w:rsidRDefault="009B590C" w:rsidP="0024386A">
      <w:pPr>
        <w:spacing w:after="0" w:line="240" w:lineRule="auto"/>
        <w:rPr>
          <w:rFonts w:ascii="Arial" w:hAnsi="Arial" w:cs="Arial"/>
          <w:sz w:val="20"/>
          <w:szCs w:val="20"/>
        </w:rPr>
      </w:pPr>
    </w:p>
    <w:p w:rsidR="009B590C" w:rsidRPr="00FC6804" w:rsidRDefault="009B590C" w:rsidP="0024386A">
      <w:pPr>
        <w:spacing w:after="0" w:line="240" w:lineRule="auto"/>
        <w:rPr>
          <w:rFonts w:ascii="Arial" w:hAnsi="Arial" w:cs="Arial"/>
          <w:sz w:val="20"/>
          <w:szCs w:val="20"/>
        </w:rPr>
      </w:pPr>
    </w:p>
    <w:p w:rsidR="009B590C" w:rsidRPr="00FC6804" w:rsidRDefault="009B590C" w:rsidP="0024386A">
      <w:pPr>
        <w:spacing w:after="0" w:line="240" w:lineRule="auto"/>
        <w:rPr>
          <w:rFonts w:ascii="Arial" w:hAnsi="Arial" w:cs="Arial"/>
          <w:sz w:val="20"/>
          <w:szCs w:val="20"/>
        </w:rPr>
      </w:pPr>
    </w:p>
    <w:p w:rsidR="009B590C" w:rsidRPr="00FC6804" w:rsidRDefault="009B590C" w:rsidP="0024386A">
      <w:pPr>
        <w:spacing w:after="0" w:line="240" w:lineRule="auto"/>
        <w:rPr>
          <w:rFonts w:ascii="Arial" w:hAnsi="Arial" w:cs="Arial"/>
          <w:sz w:val="20"/>
          <w:szCs w:val="20"/>
        </w:rPr>
      </w:pPr>
    </w:p>
    <w:p w:rsidR="009B590C" w:rsidRPr="00FC6804" w:rsidRDefault="009B590C" w:rsidP="0024386A">
      <w:pPr>
        <w:spacing w:after="0" w:line="240" w:lineRule="auto"/>
        <w:rPr>
          <w:rFonts w:ascii="Arial" w:hAnsi="Arial" w:cs="Arial"/>
          <w:sz w:val="20"/>
          <w:szCs w:val="20"/>
        </w:rPr>
      </w:pPr>
    </w:p>
    <w:p w:rsidR="009B590C" w:rsidRDefault="009B590C" w:rsidP="0024386A">
      <w:pPr>
        <w:spacing w:after="0" w:line="240" w:lineRule="auto"/>
        <w:rPr>
          <w:rFonts w:ascii="Arial" w:hAnsi="Arial" w:cs="Arial"/>
          <w:sz w:val="20"/>
          <w:szCs w:val="20"/>
        </w:rPr>
      </w:pPr>
    </w:p>
    <w:p w:rsidR="00BD2E36" w:rsidRPr="00FC6804" w:rsidRDefault="00BD2E36" w:rsidP="0024386A">
      <w:pPr>
        <w:spacing w:after="0" w:line="240" w:lineRule="auto"/>
        <w:rPr>
          <w:rFonts w:ascii="Arial" w:hAnsi="Arial" w:cs="Arial"/>
          <w:sz w:val="20"/>
          <w:szCs w:val="20"/>
        </w:rPr>
      </w:pPr>
    </w:p>
    <w:p w:rsidR="009B590C" w:rsidRPr="00FC6804" w:rsidRDefault="009B590C" w:rsidP="0024386A">
      <w:pPr>
        <w:spacing w:after="0" w:line="240" w:lineRule="auto"/>
        <w:rPr>
          <w:rFonts w:ascii="Arial" w:hAnsi="Arial" w:cs="Arial"/>
          <w:sz w:val="20"/>
          <w:szCs w:val="20"/>
        </w:rPr>
      </w:pPr>
    </w:p>
    <w:p w:rsidR="009B590C" w:rsidRPr="00FC6804" w:rsidRDefault="009B590C" w:rsidP="0024386A">
      <w:pPr>
        <w:spacing w:after="0" w:line="240" w:lineRule="auto"/>
        <w:rPr>
          <w:rFonts w:ascii="Arial" w:hAnsi="Arial" w:cs="Arial"/>
          <w:sz w:val="20"/>
          <w:szCs w:val="20"/>
        </w:rPr>
      </w:pPr>
    </w:p>
    <w:p w:rsidR="00936D3A" w:rsidRDefault="00936D3A" w:rsidP="0024386A">
      <w:pPr>
        <w:spacing w:after="0" w:line="240" w:lineRule="auto"/>
        <w:rPr>
          <w:rFonts w:ascii="Arial" w:hAnsi="Arial" w:cs="Arial"/>
          <w:b/>
          <w:color w:val="1F4E79" w:themeColor="accent1" w:themeShade="80"/>
          <w:sz w:val="20"/>
          <w:szCs w:val="20"/>
        </w:rPr>
      </w:pPr>
      <w:r w:rsidRPr="00FC6804">
        <w:rPr>
          <w:rFonts w:ascii="Arial" w:hAnsi="Arial" w:cs="Arial"/>
          <w:b/>
          <w:color w:val="1F4E79" w:themeColor="accent1" w:themeShade="80"/>
          <w:sz w:val="20"/>
          <w:szCs w:val="20"/>
        </w:rPr>
        <w:t xml:space="preserve">Table </w:t>
      </w:r>
      <w:r w:rsidR="006A7A0B">
        <w:rPr>
          <w:rFonts w:ascii="Arial" w:hAnsi="Arial" w:cs="Arial"/>
          <w:b/>
          <w:color w:val="1F4E79" w:themeColor="accent1" w:themeShade="80"/>
          <w:sz w:val="20"/>
          <w:szCs w:val="20"/>
        </w:rPr>
        <w:t>5</w:t>
      </w:r>
      <w:r w:rsidRPr="00FC6804">
        <w:rPr>
          <w:rFonts w:ascii="Arial" w:hAnsi="Arial" w:cs="Arial"/>
          <w:b/>
          <w:color w:val="1F4E79" w:themeColor="accent1" w:themeShade="80"/>
          <w:sz w:val="20"/>
          <w:szCs w:val="20"/>
        </w:rPr>
        <w:t xml:space="preserve">.1: </w:t>
      </w:r>
      <w:r w:rsidR="00BD5244" w:rsidRPr="00FC6804">
        <w:rPr>
          <w:rFonts w:ascii="Arial" w:hAnsi="Arial" w:cs="Arial"/>
          <w:b/>
          <w:color w:val="1F4E79" w:themeColor="accent1" w:themeShade="80"/>
          <w:sz w:val="20"/>
          <w:szCs w:val="20"/>
        </w:rPr>
        <w:t>PrimeSafe</w:t>
      </w:r>
      <w:r w:rsidR="009B590C" w:rsidRPr="00FC6804">
        <w:rPr>
          <w:rFonts w:ascii="Arial" w:hAnsi="Arial" w:cs="Arial"/>
          <w:b/>
          <w:color w:val="1F4E79" w:themeColor="accent1" w:themeShade="80"/>
          <w:sz w:val="20"/>
          <w:szCs w:val="20"/>
        </w:rPr>
        <w:t xml:space="preserve"> cost breakdown (</w:t>
      </w:r>
      <w:r w:rsidRPr="00FC6804">
        <w:rPr>
          <w:rFonts w:ascii="Arial" w:hAnsi="Arial" w:cs="Arial"/>
          <w:b/>
          <w:color w:val="1F4E79" w:themeColor="accent1" w:themeShade="80"/>
          <w:sz w:val="20"/>
          <w:szCs w:val="20"/>
        </w:rPr>
        <w:t>2016-17</w:t>
      </w:r>
      <w:r w:rsidR="009B590C" w:rsidRPr="00FC6804">
        <w:rPr>
          <w:rFonts w:ascii="Arial" w:hAnsi="Arial" w:cs="Arial"/>
          <w:b/>
          <w:color w:val="1F4E79" w:themeColor="accent1" w:themeShade="80"/>
          <w:sz w:val="20"/>
          <w:szCs w:val="20"/>
        </w:rPr>
        <w:t>)</w:t>
      </w:r>
    </w:p>
    <w:p w:rsidR="001D33AD" w:rsidRPr="00FC6804" w:rsidRDefault="001D33AD" w:rsidP="0024386A">
      <w:pPr>
        <w:spacing w:after="0" w:line="240" w:lineRule="auto"/>
        <w:rPr>
          <w:rFonts w:ascii="Arial" w:hAnsi="Arial" w:cs="Arial"/>
          <w:b/>
          <w:sz w:val="20"/>
          <w:szCs w:val="20"/>
        </w:rPr>
      </w:pPr>
    </w:p>
    <w:tbl>
      <w:tblPr>
        <w:tblStyle w:val="TableGrid"/>
        <w:tblW w:w="0" w:type="auto"/>
        <w:tblLayout w:type="fixed"/>
        <w:tblLook w:val="04A0" w:firstRow="1" w:lastRow="0" w:firstColumn="1" w:lastColumn="0" w:noHBand="0" w:noVBand="1"/>
      </w:tblPr>
      <w:tblGrid>
        <w:gridCol w:w="2802"/>
        <w:gridCol w:w="1701"/>
        <w:gridCol w:w="1701"/>
        <w:gridCol w:w="1701"/>
        <w:gridCol w:w="1275"/>
      </w:tblGrid>
      <w:tr w:rsidR="00936D3A" w:rsidRPr="00FC6804" w:rsidTr="009E63BE">
        <w:tc>
          <w:tcPr>
            <w:tcW w:w="2802" w:type="dxa"/>
            <w:shd w:val="clear" w:color="auto" w:fill="F2F2F2" w:themeFill="background1" w:themeFillShade="F2"/>
          </w:tcPr>
          <w:p w:rsidR="00936D3A" w:rsidRPr="00FC6804" w:rsidRDefault="00936D3A" w:rsidP="009B590C">
            <w:pPr>
              <w:spacing w:before="60" w:after="60"/>
              <w:jc w:val="center"/>
              <w:rPr>
                <w:rFonts w:ascii="Arial" w:hAnsi="Arial" w:cs="Arial"/>
                <w:b/>
                <w:sz w:val="20"/>
                <w:szCs w:val="20"/>
              </w:rPr>
            </w:pPr>
            <w:r w:rsidRPr="00FC6804">
              <w:rPr>
                <w:rFonts w:ascii="Arial" w:hAnsi="Arial" w:cs="Arial"/>
                <w:b/>
                <w:sz w:val="20"/>
                <w:szCs w:val="20"/>
              </w:rPr>
              <w:t>Cost category</w:t>
            </w:r>
          </w:p>
        </w:tc>
        <w:tc>
          <w:tcPr>
            <w:tcW w:w="1701" w:type="dxa"/>
            <w:shd w:val="clear" w:color="auto" w:fill="F2F2F2" w:themeFill="background1" w:themeFillShade="F2"/>
          </w:tcPr>
          <w:p w:rsidR="00936D3A" w:rsidRPr="00FC6804" w:rsidRDefault="00936D3A" w:rsidP="009B590C">
            <w:pPr>
              <w:spacing w:before="60" w:after="60"/>
              <w:jc w:val="center"/>
              <w:rPr>
                <w:rFonts w:ascii="Arial" w:hAnsi="Arial" w:cs="Arial"/>
                <w:b/>
                <w:sz w:val="20"/>
                <w:szCs w:val="20"/>
              </w:rPr>
            </w:pPr>
            <w:r w:rsidRPr="00FC6804">
              <w:rPr>
                <w:rFonts w:ascii="Arial" w:hAnsi="Arial" w:cs="Arial"/>
                <w:b/>
                <w:sz w:val="20"/>
                <w:szCs w:val="20"/>
              </w:rPr>
              <w:t>CEO &amp; Administration</w:t>
            </w:r>
          </w:p>
          <w:p w:rsidR="009B590C" w:rsidRPr="00FC6804" w:rsidRDefault="009B590C" w:rsidP="009B590C">
            <w:pPr>
              <w:spacing w:before="60" w:after="60"/>
              <w:jc w:val="center"/>
              <w:rPr>
                <w:rFonts w:ascii="Arial" w:hAnsi="Arial" w:cs="Arial"/>
                <w:b/>
                <w:sz w:val="20"/>
                <w:szCs w:val="20"/>
              </w:rPr>
            </w:pPr>
            <w:r w:rsidRPr="00FC6804">
              <w:rPr>
                <w:rFonts w:ascii="Arial" w:hAnsi="Arial" w:cs="Arial"/>
                <w:b/>
                <w:sz w:val="20"/>
                <w:szCs w:val="20"/>
              </w:rPr>
              <w:t>($)</w:t>
            </w:r>
          </w:p>
        </w:tc>
        <w:tc>
          <w:tcPr>
            <w:tcW w:w="1701" w:type="dxa"/>
            <w:shd w:val="clear" w:color="auto" w:fill="F2F2F2" w:themeFill="background1" w:themeFillShade="F2"/>
          </w:tcPr>
          <w:p w:rsidR="00936D3A" w:rsidRPr="00FC6804" w:rsidRDefault="00936D3A" w:rsidP="009B590C">
            <w:pPr>
              <w:spacing w:before="60" w:after="60"/>
              <w:jc w:val="center"/>
              <w:rPr>
                <w:rFonts w:ascii="Arial" w:hAnsi="Arial" w:cs="Arial"/>
                <w:b/>
                <w:sz w:val="20"/>
                <w:szCs w:val="20"/>
              </w:rPr>
            </w:pPr>
            <w:r w:rsidRPr="00FC6804">
              <w:rPr>
                <w:rFonts w:ascii="Arial" w:hAnsi="Arial" w:cs="Arial"/>
                <w:b/>
                <w:sz w:val="20"/>
                <w:szCs w:val="20"/>
              </w:rPr>
              <w:t xml:space="preserve">Compliance &amp; </w:t>
            </w:r>
            <w:r w:rsidR="009B590C" w:rsidRPr="00FC6804">
              <w:rPr>
                <w:rFonts w:ascii="Arial" w:hAnsi="Arial" w:cs="Arial"/>
                <w:b/>
                <w:sz w:val="20"/>
                <w:szCs w:val="20"/>
              </w:rPr>
              <w:t>E</w:t>
            </w:r>
            <w:r w:rsidRPr="00FC6804">
              <w:rPr>
                <w:rFonts w:ascii="Arial" w:hAnsi="Arial" w:cs="Arial"/>
                <w:b/>
                <w:sz w:val="20"/>
                <w:szCs w:val="20"/>
              </w:rPr>
              <w:t>nforcement</w:t>
            </w:r>
          </w:p>
          <w:p w:rsidR="009B590C" w:rsidRPr="00FC6804" w:rsidRDefault="009B590C" w:rsidP="009B590C">
            <w:pPr>
              <w:spacing w:before="60" w:after="60"/>
              <w:jc w:val="center"/>
              <w:rPr>
                <w:rFonts w:ascii="Arial" w:hAnsi="Arial" w:cs="Arial"/>
                <w:b/>
                <w:sz w:val="20"/>
                <w:szCs w:val="20"/>
              </w:rPr>
            </w:pPr>
            <w:r w:rsidRPr="00FC6804">
              <w:rPr>
                <w:rFonts w:ascii="Arial" w:hAnsi="Arial" w:cs="Arial"/>
                <w:b/>
                <w:sz w:val="20"/>
                <w:szCs w:val="20"/>
              </w:rPr>
              <w:t>($)</w:t>
            </w:r>
          </w:p>
        </w:tc>
        <w:tc>
          <w:tcPr>
            <w:tcW w:w="1701" w:type="dxa"/>
            <w:shd w:val="clear" w:color="auto" w:fill="F2F2F2" w:themeFill="background1" w:themeFillShade="F2"/>
          </w:tcPr>
          <w:p w:rsidR="00936D3A" w:rsidRPr="00FC6804" w:rsidRDefault="009B590C" w:rsidP="009B590C">
            <w:pPr>
              <w:spacing w:before="60" w:after="60"/>
              <w:jc w:val="center"/>
              <w:rPr>
                <w:rFonts w:ascii="Arial" w:hAnsi="Arial" w:cs="Arial"/>
                <w:b/>
                <w:sz w:val="20"/>
                <w:szCs w:val="20"/>
              </w:rPr>
            </w:pPr>
            <w:r w:rsidRPr="00FC6804">
              <w:rPr>
                <w:rFonts w:ascii="Arial" w:hAnsi="Arial" w:cs="Arial"/>
                <w:b/>
                <w:sz w:val="20"/>
                <w:szCs w:val="20"/>
              </w:rPr>
              <w:t>Information &amp; Support</w:t>
            </w:r>
          </w:p>
          <w:p w:rsidR="009B590C" w:rsidRPr="00FC6804" w:rsidRDefault="009B590C" w:rsidP="009B590C">
            <w:pPr>
              <w:spacing w:before="60" w:after="60"/>
              <w:jc w:val="center"/>
              <w:rPr>
                <w:rFonts w:ascii="Arial" w:hAnsi="Arial" w:cs="Arial"/>
                <w:b/>
                <w:sz w:val="20"/>
                <w:szCs w:val="20"/>
              </w:rPr>
            </w:pPr>
            <w:r w:rsidRPr="00FC6804">
              <w:rPr>
                <w:rFonts w:ascii="Arial" w:hAnsi="Arial" w:cs="Arial"/>
                <w:b/>
                <w:sz w:val="20"/>
                <w:szCs w:val="20"/>
              </w:rPr>
              <w:t>($)</w:t>
            </w:r>
          </w:p>
        </w:tc>
        <w:tc>
          <w:tcPr>
            <w:tcW w:w="1275" w:type="dxa"/>
            <w:shd w:val="clear" w:color="auto" w:fill="F2F2F2" w:themeFill="background1" w:themeFillShade="F2"/>
          </w:tcPr>
          <w:p w:rsidR="009B590C" w:rsidRPr="00FC6804" w:rsidRDefault="00936D3A" w:rsidP="009B590C">
            <w:pPr>
              <w:spacing w:before="60" w:after="60"/>
              <w:jc w:val="center"/>
              <w:rPr>
                <w:rFonts w:ascii="Arial" w:hAnsi="Arial" w:cs="Arial"/>
                <w:b/>
                <w:sz w:val="20"/>
                <w:szCs w:val="20"/>
              </w:rPr>
            </w:pPr>
            <w:r w:rsidRPr="00FC6804">
              <w:rPr>
                <w:rFonts w:ascii="Arial" w:hAnsi="Arial" w:cs="Arial"/>
                <w:b/>
                <w:sz w:val="20"/>
                <w:szCs w:val="20"/>
              </w:rPr>
              <w:t>Total</w:t>
            </w:r>
            <w:r w:rsidR="009B590C" w:rsidRPr="00FC6804">
              <w:rPr>
                <w:rFonts w:ascii="Arial" w:hAnsi="Arial" w:cs="Arial"/>
                <w:b/>
                <w:sz w:val="20"/>
                <w:szCs w:val="20"/>
              </w:rPr>
              <w:t xml:space="preserve">               </w:t>
            </w:r>
          </w:p>
          <w:p w:rsidR="009B590C" w:rsidRPr="00FC6804" w:rsidRDefault="009B590C" w:rsidP="009B590C">
            <w:pPr>
              <w:spacing w:before="60" w:after="60"/>
              <w:jc w:val="center"/>
              <w:rPr>
                <w:rFonts w:ascii="Arial" w:hAnsi="Arial" w:cs="Arial"/>
                <w:b/>
                <w:sz w:val="20"/>
                <w:szCs w:val="20"/>
              </w:rPr>
            </w:pPr>
            <w:r w:rsidRPr="00FC6804">
              <w:rPr>
                <w:rFonts w:ascii="Arial" w:hAnsi="Arial" w:cs="Arial"/>
                <w:b/>
                <w:sz w:val="20"/>
                <w:szCs w:val="20"/>
              </w:rPr>
              <w:t xml:space="preserve">                   ($)</w:t>
            </w:r>
          </w:p>
        </w:tc>
      </w:tr>
      <w:tr w:rsidR="00936D3A" w:rsidRPr="00FC6804" w:rsidTr="001D33AD">
        <w:tc>
          <w:tcPr>
            <w:tcW w:w="2802" w:type="dxa"/>
          </w:tcPr>
          <w:p w:rsidR="00936D3A" w:rsidRPr="00FC6804" w:rsidRDefault="00936D3A" w:rsidP="009B590C">
            <w:pPr>
              <w:spacing w:before="60" w:after="60"/>
              <w:rPr>
                <w:rFonts w:ascii="Arial" w:hAnsi="Arial" w:cs="Arial"/>
                <w:sz w:val="20"/>
                <w:szCs w:val="20"/>
              </w:rPr>
            </w:pPr>
            <w:r w:rsidRPr="00FC6804">
              <w:rPr>
                <w:rFonts w:ascii="Arial" w:hAnsi="Arial" w:cs="Arial"/>
                <w:sz w:val="20"/>
                <w:szCs w:val="20"/>
              </w:rPr>
              <w:t xml:space="preserve">Staff salaries and </w:t>
            </w:r>
            <w:r w:rsidR="001C73F1" w:rsidRPr="00FC6804">
              <w:rPr>
                <w:rFonts w:ascii="Arial" w:hAnsi="Arial" w:cs="Arial"/>
                <w:sz w:val="20"/>
                <w:szCs w:val="20"/>
              </w:rPr>
              <w:t>on-costs</w:t>
            </w:r>
          </w:p>
        </w:tc>
        <w:tc>
          <w:tcPr>
            <w:tcW w:w="1701" w:type="dxa"/>
          </w:tcPr>
          <w:p w:rsidR="00936D3A" w:rsidRPr="00FC6804" w:rsidRDefault="00936D3A" w:rsidP="009B590C">
            <w:pPr>
              <w:spacing w:before="60" w:after="60"/>
              <w:jc w:val="center"/>
              <w:rPr>
                <w:rFonts w:ascii="Arial" w:hAnsi="Arial" w:cs="Arial"/>
                <w:sz w:val="20"/>
                <w:szCs w:val="20"/>
              </w:rPr>
            </w:pPr>
            <w:r w:rsidRPr="00FC6804">
              <w:rPr>
                <w:rFonts w:ascii="Arial" w:hAnsi="Arial" w:cs="Arial"/>
                <w:sz w:val="20"/>
                <w:szCs w:val="20"/>
              </w:rPr>
              <w:t>689,717</w:t>
            </w:r>
          </w:p>
        </w:tc>
        <w:tc>
          <w:tcPr>
            <w:tcW w:w="1701" w:type="dxa"/>
          </w:tcPr>
          <w:p w:rsidR="00936D3A" w:rsidRPr="00FC6804" w:rsidRDefault="00936D3A" w:rsidP="009B590C">
            <w:pPr>
              <w:spacing w:before="60" w:after="60"/>
              <w:jc w:val="center"/>
              <w:rPr>
                <w:rFonts w:ascii="Arial" w:hAnsi="Arial" w:cs="Arial"/>
                <w:sz w:val="20"/>
                <w:szCs w:val="20"/>
              </w:rPr>
            </w:pPr>
            <w:r w:rsidRPr="00FC6804">
              <w:rPr>
                <w:rFonts w:ascii="Arial" w:hAnsi="Arial" w:cs="Arial"/>
                <w:sz w:val="20"/>
                <w:szCs w:val="20"/>
              </w:rPr>
              <w:t>494,588</w:t>
            </w:r>
          </w:p>
        </w:tc>
        <w:tc>
          <w:tcPr>
            <w:tcW w:w="1701" w:type="dxa"/>
          </w:tcPr>
          <w:p w:rsidR="00936D3A" w:rsidRPr="00FC6804" w:rsidRDefault="00936D3A" w:rsidP="009B590C">
            <w:pPr>
              <w:spacing w:before="60" w:after="60"/>
              <w:jc w:val="center"/>
              <w:rPr>
                <w:rFonts w:ascii="Arial" w:hAnsi="Arial" w:cs="Arial"/>
                <w:sz w:val="20"/>
                <w:szCs w:val="20"/>
              </w:rPr>
            </w:pPr>
            <w:r w:rsidRPr="00FC6804">
              <w:rPr>
                <w:rFonts w:ascii="Arial" w:hAnsi="Arial" w:cs="Arial"/>
                <w:sz w:val="20"/>
                <w:szCs w:val="20"/>
              </w:rPr>
              <w:t>237,689</w:t>
            </w:r>
          </w:p>
        </w:tc>
        <w:tc>
          <w:tcPr>
            <w:tcW w:w="1275" w:type="dxa"/>
          </w:tcPr>
          <w:p w:rsidR="00936D3A" w:rsidRPr="00FC6804" w:rsidRDefault="00936D3A" w:rsidP="009B590C">
            <w:pPr>
              <w:spacing w:before="60" w:after="60"/>
              <w:jc w:val="center"/>
              <w:rPr>
                <w:rFonts w:ascii="Arial" w:hAnsi="Arial" w:cs="Arial"/>
                <w:sz w:val="20"/>
                <w:szCs w:val="20"/>
              </w:rPr>
            </w:pPr>
            <w:r w:rsidRPr="00FC6804">
              <w:rPr>
                <w:rFonts w:ascii="Arial" w:hAnsi="Arial" w:cs="Arial"/>
                <w:sz w:val="20"/>
                <w:szCs w:val="20"/>
              </w:rPr>
              <w:t>1,421,994</w:t>
            </w:r>
          </w:p>
        </w:tc>
      </w:tr>
      <w:tr w:rsidR="00936D3A" w:rsidRPr="00FC6804" w:rsidTr="001D33AD">
        <w:tc>
          <w:tcPr>
            <w:tcW w:w="2802" w:type="dxa"/>
          </w:tcPr>
          <w:p w:rsidR="00936D3A" w:rsidRPr="00FC6804" w:rsidRDefault="00936D3A" w:rsidP="009B590C">
            <w:pPr>
              <w:spacing w:before="60" w:after="60"/>
              <w:rPr>
                <w:rFonts w:ascii="Arial" w:hAnsi="Arial" w:cs="Arial"/>
                <w:sz w:val="20"/>
                <w:szCs w:val="20"/>
              </w:rPr>
            </w:pPr>
            <w:r w:rsidRPr="00FC6804">
              <w:rPr>
                <w:rFonts w:ascii="Arial" w:hAnsi="Arial" w:cs="Arial"/>
                <w:sz w:val="20"/>
                <w:szCs w:val="20"/>
              </w:rPr>
              <w:t>Operating costs</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42,569</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99,328</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0</w:t>
            </w:r>
          </w:p>
        </w:tc>
        <w:tc>
          <w:tcPr>
            <w:tcW w:w="1275" w:type="dxa"/>
          </w:tcPr>
          <w:p w:rsidR="00936D3A" w:rsidRPr="00FC6804" w:rsidRDefault="00936D3A" w:rsidP="009B590C">
            <w:pPr>
              <w:spacing w:before="60" w:after="60"/>
              <w:jc w:val="center"/>
              <w:rPr>
                <w:rFonts w:ascii="Arial" w:hAnsi="Arial" w:cs="Arial"/>
                <w:sz w:val="20"/>
                <w:szCs w:val="20"/>
              </w:rPr>
            </w:pPr>
            <w:r w:rsidRPr="00FC6804">
              <w:rPr>
                <w:rFonts w:ascii="Arial" w:hAnsi="Arial" w:cs="Arial"/>
                <w:sz w:val="20"/>
                <w:szCs w:val="20"/>
              </w:rPr>
              <w:t>141,897</w:t>
            </w:r>
          </w:p>
        </w:tc>
      </w:tr>
      <w:tr w:rsidR="00936D3A" w:rsidRPr="00FC6804" w:rsidTr="001D33AD">
        <w:tc>
          <w:tcPr>
            <w:tcW w:w="2802" w:type="dxa"/>
          </w:tcPr>
          <w:p w:rsidR="00936D3A" w:rsidRPr="00FC6804" w:rsidRDefault="00936D3A" w:rsidP="009B590C">
            <w:pPr>
              <w:spacing w:before="60" w:after="60"/>
              <w:rPr>
                <w:rFonts w:ascii="Arial" w:hAnsi="Arial" w:cs="Arial"/>
                <w:sz w:val="20"/>
                <w:szCs w:val="20"/>
              </w:rPr>
            </w:pPr>
            <w:r w:rsidRPr="00FC6804">
              <w:rPr>
                <w:rFonts w:ascii="Arial" w:hAnsi="Arial" w:cs="Arial"/>
                <w:sz w:val="20"/>
                <w:szCs w:val="20"/>
              </w:rPr>
              <w:t>Board costs</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75,543</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75,543</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30,217</w:t>
            </w:r>
          </w:p>
        </w:tc>
        <w:tc>
          <w:tcPr>
            <w:tcW w:w="1275" w:type="dxa"/>
          </w:tcPr>
          <w:p w:rsidR="00936D3A" w:rsidRPr="00FC6804" w:rsidRDefault="00936D3A" w:rsidP="009B590C">
            <w:pPr>
              <w:spacing w:before="60" w:after="60"/>
              <w:jc w:val="center"/>
              <w:rPr>
                <w:rFonts w:ascii="Arial" w:hAnsi="Arial" w:cs="Arial"/>
                <w:sz w:val="20"/>
                <w:szCs w:val="20"/>
              </w:rPr>
            </w:pPr>
            <w:r w:rsidRPr="00FC6804">
              <w:rPr>
                <w:rFonts w:ascii="Arial" w:hAnsi="Arial" w:cs="Arial"/>
                <w:sz w:val="20"/>
                <w:szCs w:val="20"/>
              </w:rPr>
              <w:t>181,304</w:t>
            </w:r>
          </w:p>
        </w:tc>
      </w:tr>
      <w:tr w:rsidR="00936D3A" w:rsidRPr="00FC6804" w:rsidTr="001D33AD">
        <w:tc>
          <w:tcPr>
            <w:tcW w:w="2802" w:type="dxa"/>
          </w:tcPr>
          <w:p w:rsidR="00936D3A" w:rsidRPr="00FC6804" w:rsidRDefault="00936D3A" w:rsidP="009B590C">
            <w:pPr>
              <w:spacing w:before="60" w:after="60"/>
              <w:rPr>
                <w:rFonts w:ascii="Arial" w:hAnsi="Arial" w:cs="Arial"/>
                <w:sz w:val="20"/>
                <w:szCs w:val="20"/>
              </w:rPr>
            </w:pPr>
            <w:r w:rsidRPr="00FC6804">
              <w:rPr>
                <w:rFonts w:ascii="Arial" w:hAnsi="Arial" w:cs="Arial"/>
                <w:sz w:val="20"/>
                <w:szCs w:val="20"/>
              </w:rPr>
              <w:t>Administration</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45,048</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45,048</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18,019</w:t>
            </w:r>
          </w:p>
        </w:tc>
        <w:tc>
          <w:tcPr>
            <w:tcW w:w="1275" w:type="dxa"/>
          </w:tcPr>
          <w:p w:rsidR="00936D3A" w:rsidRPr="00FC6804" w:rsidRDefault="00936D3A" w:rsidP="009B590C">
            <w:pPr>
              <w:spacing w:before="60" w:after="60"/>
              <w:jc w:val="center"/>
              <w:rPr>
                <w:rFonts w:ascii="Arial" w:hAnsi="Arial" w:cs="Arial"/>
                <w:sz w:val="20"/>
                <w:szCs w:val="20"/>
              </w:rPr>
            </w:pPr>
            <w:r w:rsidRPr="00FC6804">
              <w:rPr>
                <w:rFonts w:ascii="Arial" w:hAnsi="Arial" w:cs="Arial"/>
                <w:sz w:val="20"/>
                <w:szCs w:val="20"/>
              </w:rPr>
              <w:t>108,115</w:t>
            </w:r>
          </w:p>
        </w:tc>
      </w:tr>
      <w:tr w:rsidR="00936D3A" w:rsidRPr="00FC6804" w:rsidTr="001D33AD">
        <w:tc>
          <w:tcPr>
            <w:tcW w:w="2802" w:type="dxa"/>
          </w:tcPr>
          <w:p w:rsidR="00936D3A" w:rsidRPr="00FC6804" w:rsidRDefault="00936D3A" w:rsidP="009B590C">
            <w:pPr>
              <w:spacing w:before="60" w:after="60"/>
              <w:rPr>
                <w:rFonts w:ascii="Arial" w:hAnsi="Arial" w:cs="Arial"/>
                <w:sz w:val="20"/>
                <w:szCs w:val="20"/>
              </w:rPr>
            </w:pPr>
            <w:r w:rsidRPr="00FC6804">
              <w:rPr>
                <w:rFonts w:ascii="Arial" w:hAnsi="Arial" w:cs="Arial"/>
                <w:sz w:val="20"/>
                <w:szCs w:val="20"/>
              </w:rPr>
              <w:t>Communications</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12,835</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12,835</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5,134</w:t>
            </w:r>
          </w:p>
        </w:tc>
        <w:tc>
          <w:tcPr>
            <w:tcW w:w="1275" w:type="dxa"/>
          </w:tcPr>
          <w:p w:rsidR="00936D3A" w:rsidRPr="00FC6804" w:rsidRDefault="00936D3A" w:rsidP="009B590C">
            <w:pPr>
              <w:spacing w:before="60" w:after="60"/>
              <w:jc w:val="center"/>
              <w:rPr>
                <w:rFonts w:ascii="Arial" w:hAnsi="Arial" w:cs="Arial"/>
                <w:sz w:val="20"/>
                <w:szCs w:val="20"/>
              </w:rPr>
            </w:pPr>
            <w:r w:rsidRPr="00FC6804">
              <w:rPr>
                <w:rFonts w:ascii="Arial" w:hAnsi="Arial" w:cs="Arial"/>
                <w:sz w:val="20"/>
                <w:szCs w:val="20"/>
              </w:rPr>
              <w:t>30,804</w:t>
            </w:r>
          </w:p>
        </w:tc>
      </w:tr>
      <w:tr w:rsidR="00936D3A" w:rsidRPr="00FC6804" w:rsidTr="001D33AD">
        <w:tc>
          <w:tcPr>
            <w:tcW w:w="2802" w:type="dxa"/>
          </w:tcPr>
          <w:p w:rsidR="00936D3A" w:rsidRPr="00FC6804" w:rsidRDefault="00936D3A" w:rsidP="009B590C">
            <w:pPr>
              <w:spacing w:before="60" w:after="60"/>
              <w:rPr>
                <w:rFonts w:ascii="Arial" w:hAnsi="Arial" w:cs="Arial"/>
                <w:sz w:val="20"/>
                <w:szCs w:val="20"/>
              </w:rPr>
            </w:pPr>
            <w:r w:rsidRPr="00FC6804">
              <w:rPr>
                <w:rFonts w:ascii="Arial" w:hAnsi="Arial" w:cs="Arial"/>
                <w:sz w:val="20"/>
                <w:szCs w:val="20"/>
              </w:rPr>
              <w:t>Computer costs</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34,333</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34,333</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13,733</w:t>
            </w:r>
          </w:p>
        </w:tc>
        <w:tc>
          <w:tcPr>
            <w:tcW w:w="1275" w:type="dxa"/>
          </w:tcPr>
          <w:p w:rsidR="00936D3A" w:rsidRPr="00FC6804" w:rsidRDefault="00936D3A" w:rsidP="009B590C">
            <w:pPr>
              <w:spacing w:before="60" w:after="60"/>
              <w:jc w:val="center"/>
              <w:rPr>
                <w:rFonts w:ascii="Arial" w:hAnsi="Arial" w:cs="Arial"/>
                <w:sz w:val="20"/>
                <w:szCs w:val="20"/>
              </w:rPr>
            </w:pPr>
            <w:r w:rsidRPr="00FC6804">
              <w:rPr>
                <w:rFonts w:ascii="Arial" w:hAnsi="Arial" w:cs="Arial"/>
                <w:sz w:val="20"/>
                <w:szCs w:val="20"/>
              </w:rPr>
              <w:t>82,400</w:t>
            </w:r>
          </w:p>
        </w:tc>
      </w:tr>
      <w:tr w:rsidR="00936D3A" w:rsidRPr="00FC6804" w:rsidTr="001D33AD">
        <w:tc>
          <w:tcPr>
            <w:tcW w:w="2802" w:type="dxa"/>
          </w:tcPr>
          <w:p w:rsidR="00936D3A" w:rsidRPr="00FC6804" w:rsidRDefault="00936D3A" w:rsidP="009B590C">
            <w:pPr>
              <w:spacing w:before="60" w:after="60"/>
              <w:rPr>
                <w:rFonts w:ascii="Arial" w:hAnsi="Arial" w:cs="Arial"/>
                <w:sz w:val="20"/>
                <w:szCs w:val="20"/>
              </w:rPr>
            </w:pPr>
            <w:r w:rsidRPr="00FC6804">
              <w:rPr>
                <w:rFonts w:ascii="Arial" w:hAnsi="Arial" w:cs="Arial"/>
                <w:sz w:val="20"/>
                <w:szCs w:val="20"/>
              </w:rPr>
              <w:t>Depreciation</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35,417</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35,417</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14,167</w:t>
            </w:r>
          </w:p>
        </w:tc>
        <w:tc>
          <w:tcPr>
            <w:tcW w:w="1275" w:type="dxa"/>
          </w:tcPr>
          <w:p w:rsidR="00936D3A" w:rsidRPr="00FC6804" w:rsidRDefault="00936D3A" w:rsidP="009B590C">
            <w:pPr>
              <w:spacing w:before="60" w:after="60"/>
              <w:jc w:val="center"/>
              <w:rPr>
                <w:rFonts w:ascii="Arial" w:hAnsi="Arial" w:cs="Arial"/>
                <w:sz w:val="20"/>
                <w:szCs w:val="20"/>
              </w:rPr>
            </w:pPr>
            <w:r w:rsidRPr="00FC6804">
              <w:rPr>
                <w:rFonts w:ascii="Arial" w:hAnsi="Arial" w:cs="Arial"/>
                <w:sz w:val="20"/>
                <w:szCs w:val="20"/>
              </w:rPr>
              <w:t>85,000</w:t>
            </w:r>
          </w:p>
        </w:tc>
      </w:tr>
      <w:tr w:rsidR="00936D3A" w:rsidRPr="00FC6804" w:rsidTr="001D33AD">
        <w:tc>
          <w:tcPr>
            <w:tcW w:w="2802" w:type="dxa"/>
          </w:tcPr>
          <w:p w:rsidR="00936D3A" w:rsidRPr="00FC6804" w:rsidRDefault="009B590C" w:rsidP="009B590C">
            <w:pPr>
              <w:spacing w:before="60" w:after="60"/>
              <w:rPr>
                <w:rFonts w:ascii="Arial" w:hAnsi="Arial" w:cs="Arial"/>
                <w:sz w:val="20"/>
                <w:szCs w:val="20"/>
              </w:rPr>
            </w:pPr>
            <w:r w:rsidRPr="00FC6804">
              <w:rPr>
                <w:rFonts w:ascii="Arial" w:hAnsi="Arial" w:cs="Arial"/>
                <w:sz w:val="20"/>
                <w:szCs w:val="20"/>
              </w:rPr>
              <w:t>Industry and government liaison</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9,442</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9,442</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3,777</w:t>
            </w:r>
          </w:p>
        </w:tc>
        <w:tc>
          <w:tcPr>
            <w:tcW w:w="1275" w:type="dxa"/>
          </w:tcPr>
          <w:p w:rsidR="00936D3A" w:rsidRPr="00FC6804" w:rsidRDefault="00936D3A" w:rsidP="009B590C">
            <w:pPr>
              <w:spacing w:before="60" w:after="60"/>
              <w:jc w:val="center"/>
              <w:rPr>
                <w:rFonts w:ascii="Arial" w:hAnsi="Arial" w:cs="Arial"/>
                <w:sz w:val="20"/>
                <w:szCs w:val="20"/>
              </w:rPr>
            </w:pPr>
            <w:r w:rsidRPr="00FC6804">
              <w:rPr>
                <w:rFonts w:ascii="Arial" w:hAnsi="Arial" w:cs="Arial"/>
                <w:sz w:val="20"/>
                <w:szCs w:val="20"/>
              </w:rPr>
              <w:t>22,600</w:t>
            </w:r>
          </w:p>
        </w:tc>
      </w:tr>
      <w:tr w:rsidR="00936D3A" w:rsidRPr="00FC6804" w:rsidTr="001D33AD">
        <w:tc>
          <w:tcPr>
            <w:tcW w:w="2802" w:type="dxa"/>
          </w:tcPr>
          <w:p w:rsidR="00936D3A" w:rsidRPr="00FC6804" w:rsidRDefault="00936D3A" w:rsidP="009B590C">
            <w:pPr>
              <w:spacing w:before="60" w:after="60"/>
              <w:rPr>
                <w:rFonts w:ascii="Arial" w:hAnsi="Arial" w:cs="Arial"/>
                <w:sz w:val="20"/>
                <w:szCs w:val="20"/>
              </w:rPr>
            </w:pPr>
            <w:r w:rsidRPr="00FC6804">
              <w:rPr>
                <w:rFonts w:ascii="Arial" w:hAnsi="Arial" w:cs="Arial"/>
                <w:sz w:val="20"/>
                <w:szCs w:val="20"/>
              </w:rPr>
              <w:t>Insurance</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12,917</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12,917</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5,167</w:t>
            </w:r>
          </w:p>
        </w:tc>
        <w:tc>
          <w:tcPr>
            <w:tcW w:w="1275" w:type="dxa"/>
          </w:tcPr>
          <w:p w:rsidR="00936D3A" w:rsidRPr="00FC6804" w:rsidRDefault="00936D3A" w:rsidP="009B590C">
            <w:pPr>
              <w:spacing w:before="60" w:after="60"/>
              <w:jc w:val="center"/>
              <w:rPr>
                <w:rFonts w:ascii="Arial" w:hAnsi="Arial" w:cs="Arial"/>
                <w:sz w:val="20"/>
                <w:szCs w:val="20"/>
              </w:rPr>
            </w:pPr>
            <w:r w:rsidRPr="00FC6804">
              <w:rPr>
                <w:rFonts w:ascii="Arial" w:hAnsi="Arial" w:cs="Arial"/>
                <w:sz w:val="20"/>
                <w:szCs w:val="20"/>
              </w:rPr>
              <w:t>31,000</w:t>
            </w:r>
          </w:p>
        </w:tc>
      </w:tr>
      <w:tr w:rsidR="00936D3A" w:rsidRPr="00FC6804" w:rsidTr="001D33AD">
        <w:tc>
          <w:tcPr>
            <w:tcW w:w="2802" w:type="dxa"/>
          </w:tcPr>
          <w:p w:rsidR="00936D3A" w:rsidRPr="00FC6804" w:rsidRDefault="00936D3A" w:rsidP="009B590C">
            <w:pPr>
              <w:spacing w:before="60" w:after="60"/>
              <w:rPr>
                <w:rFonts w:ascii="Arial" w:hAnsi="Arial" w:cs="Arial"/>
                <w:sz w:val="20"/>
                <w:szCs w:val="20"/>
              </w:rPr>
            </w:pPr>
            <w:r w:rsidRPr="00FC6804">
              <w:rPr>
                <w:rFonts w:ascii="Arial" w:hAnsi="Arial" w:cs="Arial"/>
                <w:sz w:val="20"/>
                <w:szCs w:val="20"/>
              </w:rPr>
              <w:t>Legal &amp; compliance</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44,204</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44,204</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17,682</w:t>
            </w:r>
          </w:p>
        </w:tc>
        <w:tc>
          <w:tcPr>
            <w:tcW w:w="1275" w:type="dxa"/>
          </w:tcPr>
          <w:p w:rsidR="00936D3A" w:rsidRPr="00FC6804" w:rsidRDefault="00936D3A" w:rsidP="009B590C">
            <w:pPr>
              <w:spacing w:before="60" w:after="60"/>
              <w:jc w:val="center"/>
              <w:rPr>
                <w:rFonts w:ascii="Arial" w:hAnsi="Arial" w:cs="Arial"/>
                <w:sz w:val="20"/>
                <w:szCs w:val="20"/>
              </w:rPr>
            </w:pPr>
            <w:r w:rsidRPr="00FC6804">
              <w:rPr>
                <w:rFonts w:ascii="Arial" w:hAnsi="Arial" w:cs="Arial"/>
                <w:sz w:val="20"/>
                <w:szCs w:val="20"/>
              </w:rPr>
              <w:t>106,090</w:t>
            </w:r>
          </w:p>
        </w:tc>
      </w:tr>
      <w:tr w:rsidR="00936D3A" w:rsidRPr="00FC6804" w:rsidTr="001D33AD">
        <w:tc>
          <w:tcPr>
            <w:tcW w:w="2802" w:type="dxa"/>
          </w:tcPr>
          <w:p w:rsidR="00936D3A" w:rsidRPr="00FC6804" w:rsidRDefault="00936D3A" w:rsidP="009B590C">
            <w:pPr>
              <w:spacing w:before="60" w:after="60"/>
              <w:rPr>
                <w:rFonts w:ascii="Arial" w:hAnsi="Arial" w:cs="Arial"/>
                <w:sz w:val="20"/>
                <w:szCs w:val="20"/>
              </w:rPr>
            </w:pPr>
            <w:r w:rsidRPr="00FC6804">
              <w:rPr>
                <w:rFonts w:ascii="Arial" w:hAnsi="Arial" w:cs="Arial"/>
                <w:sz w:val="20"/>
                <w:szCs w:val="20"/>
              </w:rPr>
              <w:t>Rent &amp; outgoings</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62,500</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62,500</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25,000</w:t>
            </w:r>
          </w:p>
        </w:tc>
        <w:tc>
          <w:tcPr>
            <w:tcW w:w="1275" w:type="dxa"/>
          </w:tcPr>
          <w:p w:rsidR="00936D3A" w:rsidRPr="00FC6804" w:rsidRDefault="00936D3A" w:rsidP="009B590C">
            <w:pPr>
              <w:spacing w:before="60" w:after="60"/>
              <w:jc w:val="center"/>
              <w:rPr>
                <w:rFonts w:ascii="Arial" w:hAnsi="Arial" w:cs="Arial"/>
                <w:sz w:val="20"/>
                <w:szCs w:val="20"/>
              </w:rPr>
            </w:pPr>
            <w:r w:rsidRPr="00FC6804">
              <w:rPr>
                <w:rFonts w:ascii="Arial" w:hAnsi="Arial" w:cs="Arial"/>
                <w:sz w:val="20"/>
                <w:szCs w:val="20"/>
              </w:rPr>
              <w:t>150,000</w:t>
            </w:r>
          </w:p>
        </w:tc>
      </w:tr>
      <w:tr w:rsidR="00936D3A" w:rsidRPr="00FC6804" w:rsidTr="001D33AD">
        <w:tc>
          <w:tcPr>
            <w:tcW w:w="2802" w:type="dxa"/>
          </w:tcPr>
          <w:p w:rsidR="00936D3A" w:rsidRPr="00FC6804" w:rsidRDefault="00936D3A" w:rsidP="009B590C">
            <w:pPr>
              <w:spacing w:before="60" w:after="60"/>
              <w:rPr>
                <w:rFonts w:ascii="Arial" w:hAnsi="Arial" w:cs="Arial"/>
                <w:sz w:val="20"/>
                <w:szCs w:val="20"/>
              </w:rPr>
            </w:pPr>
            <w:r w:rsidRPr="00FC6804">
              <w:rPr>
                <w:rFonts w:ascii="Arial" w:hAnsi="Arial" w:cs="Arial"/>
                <w:sz w:val="20"/>
                <w:szCs w:val="20"/>
              </w:rPr>
              <w:t>Professional fees</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54,167</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54,167</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21,667</w:t>
            </w:r>
          </w:p>
        </w:tc>
        <w:tc>
          <w:tcPr>
            <w:tcW w:w="1275" w:type="dxa"/>
          </w:tcPr>
          <w:p w:rsidR="00936D3A" w:rsidRPr="00FC6804" w:rsidRDefault="00936D3A" w:rsidP="009B590C">
            <w:pPr>
              <w:spacing w:before="60" w:after="60"/>
              <w:jc w:val="center"/>
              <w:rPr>
                <w:rFonts w:ascii="Arial" w:hAnsi="Arial" w:cs="Arial"/>
                <w:sz w:val="20"/>
                <w:szCs w:val="20"/>
              </w:rPr>
            </w:pPr>
            <w:r w:rsidRPr="00FC6804">
              <w:rPr>
                <w:rFonts w:ascii="Arial" w:hAnsi="Arial" w:cs="Arial"/>
                <w:sz w:val="20"/>
                <w:szCs w:val="20"/>
              </w:rPr>
              <w:t>130,000</w:t>
            </w:r>
          </w:p>
        </w:tc>
      </w:tr>
      <w:tr w:rsidR="00936D3A" w:rsidRPr="00FC6804" w:rsidTr="001D33AD">
        <w:tc>
          <w:tcPr>
            <w:tcW w:w="2802" w:type="dxa"/>
          </w:tcPr>
          <w:p w:rsidR="00936D3A" w:rsidRPr="00FC6804" w:rsidRDefault="00936D3A" w:rsidP="009B590C">
            <w:pPr>
              <w:spacing w:before="60" w:after="60"/>
              <w:rPr>
                <w:rFonts w:ascii="Arial" w:hAnsi="Arial" w:cs="Arial"/>
                <w:sz w:val="20"/>
                <w:szCs w:val="20"/>
              </w:rPr>
            </w:pPr>
            <w:r w:rsidRPr="00FC6804">
              <w:rPr>
                <w:rFonts w:ascii="Arial" w:hAnsi="Arial" w:cs="Arial"/>
                <w:sz w:val="20"/>
                <w:szCs w:val="20"/>
              </w:rPr>
              <w:t>External audit fees</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5,579</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5,579</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2,232</w:t>
            </w:r>
          </w:p>
        </w:tc>
        <w:tc>
          <w:tcPr>
            <w:tcW w:w="1275" w:type="dxa"/>
          </w:tcPr>
          <w:p w:rsidR="00936D3A" w:rsidRPr="00FC6804" w:rsidRDefault="00936D3A" w:rsidP="009B590C">
            <w:pPr>
              <w:spacing w:before="60" w:after="60"/>
              <w:jc w:val="center"/>
              <w:rPr>
                <w:rFonts w:ascii="Arial" w:hAnsi="Arial" w:cs="Arial"/>
                <w:sz w:val="20"/>
                <w:szCs w:val="20"/>
              </w:rPr>
            </w:pPr>
            <w:r w:rsidRPr="00FC6804">
              <w:rPr>
                <w:rFonts w:ascii="Arial" w:hAnsi="Arial" w:cs="Arial"/>
                <w:sz w:val="20"/>
                <w:szCs w:val="20"/>
              </w:rPr>
              <w:t>13,390</w:t>
            </w:r>
          </w:p>
        </w:tc>
      </w:tr>
      <w:tr w:rsidR="00936D3A" w:rsidRPr="00FC6804" w:rsidTr="001D33AD">
        <w:tc>
          <w:tcPr>
            <w:tcW w:w="2802" w:type="dxa"/>
          </w:tcPr>
          <w:p w:rsidR="00936D3A" w:rsidRPr="00FC6804" w:rsidRDefault="00936D3A" w:rsidP="009B590C">
            <w:pPr>
              <w:spacing w:before="60" w:after="60"/>
              <w:rPr>
                <w:rFonts w:ascii="Arial" w:hAnsi="Arial" w:cs="Arial"/>
                <w:sz w:val="20"/>
                <w:szCs w:val="20"/>
              </w:rPr>
            </w:pPr>
            <w:r w:rsidRPr="00FC6804">
              <w:rPr>
                <w:rFonts w:ascii="Arial" w:hAnsi="Arial" w:cs="Arial"/>
                <w:sz w:val="20"/>
                <w:szCs w:val="20"/>
              </w:rPr>
              <w:t>Bad/doubtful debts</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417</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417</w:t>
            </w:r>
          </w:p>
        </w:tc>
        <w:tc>
          <w:tcPr>
            <w:tcW w:w="1701" w:type="dxa"/>
          </w:tcPr>
          <w:p w:rsidR="00936D3A" w:rsidRPr="00FC6804" w:rsidRDefault="00936D3A" w:rsidP="009B590C">
            <w:pPr>
              <w:spacing w:before="60" w:after="60"/>
              <w:jc w:val="center"/>
              <w:rPr>
                <w:rFonts w:ascii="Arial" w:hAnsi="Arial" w:cs="Arial"/>
                <w:bCs/>
                <w:color w:val="000000"/>
                <w:sz w:val="20"/>
                <w:szCs w:val="20"/>
              </w:rPr>
            </w:pPr>
            <w:r w:rsidRPr="00FC6804">
              <w:rPr>
                <w:rFonts w:ascii="Arial" w:hAnsi="Arial" w:cs="Arial"/>
                <w:bCs/>
                <w:color w:val="000000"/>
                <w:sz w:val="20"/>
                <w:szCs w:val="20"/>
              </w:rPr>
              <w:t>167</w:t>
            </w:r>
          </w:p>
        </w:tc>
        <w:tc>
          <w:tcPr>
            <w:tcW w:w="1275" w:type="dxa"/>
          </w:tcPr>
          <w:p w:rsidR="00936D3A" w:rsidRPr="00FC6804" w:rsidRDefault="00936D3A" w:rsidP="009B590C">
            <w:pPr>
              <w:spacing w:before="60" w:after="60"/>
              <w:jc w:val="center"/>
              <w:rPr>
                <w:rFonts w:ascii="Arial" w:hAnsi="Arial" w:cs="Arial"/>
                <w:sz w:val="20"/>
                <w:szCs w:val="20"/>
              </w:rPr>
            </w:pPr>
            <w:r w:rsidRPr="00FC6804">
              <w:rPr>
                <w:rFonts w:ascii="Arial" w:hAnsi="Arial" w:cs="Arial"/>
                <w:sz w:val="20"/>
                <w:szCs w:val="20"/>
              </w:rPr>
              <w:t>1,000</w:t>
            </w:r>
          </w:p>
        </w:tc>
      </w:tr>
      <w:tr w:rsidR="00936D3A" w:rsidRPr="00FC6804" w:rsidTr="001D33AD">
        <w:tc>
          <w:tcPr>
            <w:tcW w:w="2802" w:type="dxa"/>
          </w:tcPr>
          <w:p w:rsidR="00936D3A" w:rsidRPr="00FC6804" w:rsidRDefault="00936D3A" w:rsidP="009B590C">
            <w:pPr>
              <w:spacing w:before="60" w:after="60"/>
              <w:rPr>
                <w:rFonts w:ascii="Arial" w:hAnsi="Arial" w:cs="Arial"/>
                <w:b/>
                <w:sz w:val="20"/>
                <w:szCs w:val="20"/>
              </w:rPr>
            </w:pPr>
            <w:r w:rsidRPr="00FC6804">
              <w:rPr>
                <w:rFonts w:ascii="Arial" w:hAnsi="Arial" w:cs="Arial"/>
                <w:b/>
                <w:sz w:val="20"/>
                <w:szCs w:val="20"/>
              </w:rPr>
              <w:t>Totals</w:t>
            </w:r>
          </w:p>
        </w:tc>
        <w:tc>
          <w:tcPr>
            <w:tcW w:w="1701" w:type="dxa"/>
          </w:tcPr>
          <w:p w:rsidR="00936D3A" w:rsidRPr="00FC6804" w:rsidRDefault="003514E9" w:rsidP="009B590C">
            <w:pPr>
              <w:spacing w:before="60" w:after="60"/>
              <w:jc w:val="center"/>
              <w:rPr>
                <w:rFonts w:ascii="Arial" w:hAnsi="Arial" w:cs="Arial"/>
                <w:b/>
                <w:bCs/>
                <w:color w:val="000000"/>
                <w:sz w:val="20"/>
                <w:szCs w:val="20"/>
              </w:rPr>
            </w:pPr>
            <w:r>
              <w:rPr>
                <w:rFonts w:ascii="Arial" w:hAnsi="Arial" w:cs="Arial"/>
                <w:b/>
                <w:bCs/>
                <w:color w:val="000000"/>
                <w:sz w:val="20"/>
                <w:szCs w:val="20"/>
              </w:rPr>
              <w:t>1,124,688</w:t>
            </w:r>
          </w:p>
        </w:tc>
        <w:tc>
          <w:tcPr>
            <w:tcW w:w="1701" w:type="dxa"/>
          </w:tcPr>
          <w:p w:rsidR="00936D3A" w:rsidRPr="00FC6804" w:rsidRDefault="003514E9" w:rsidP="009B590C">
            <w:pPr>
              <w:spacing w:before="60" w:after="60"/>
              <w:jc w:val="center"/>
              <w:rPr>
                <w:rFonts w:ascii="Arial" w:hAnsi="Arial" w:cs="Arial"/>
                <w:b/>
                <w:bCs/>
                <w:color w:val="000000"/>
                <w:sz w:val="20"/>
                <w:szCs w:val="20"/>
              </w:rPr>
            </w:pPr>
            <w:r>
              <w:rPr>
                <w:rFonts w:ascii="Arial" w:hAnsi="Arial" w:cs="Arial"/>
                <w:b/>
                <w:bCs/>
                <w:color w:val="000000"/>
                <w:sz w:val="20"/>
                <w:szCs w:val="20"/>
              </w:rPr>
              <w:t>986,318</w:t>
            </w:r>
          </w:p>
        </w:tc>
        <w:tc>
          <w:tcPr>
            <w:tcW w:w="1701" w:type="dxa"/>
          </w:tcPr>
          <w:p w:rsidR="00936D3A" w:rsidRPr="00FC6804" w:rsidRDefault="00936D3A" w:rsidP="003514E9">
            <w:pPr>
              <w:spacing w:before="60" w:after="60"/>
              <w:jc w:val="center"/>
              <w:rPr>
                <w:rFonts w:ascii="Arial" w:hAnsi="Arial" w:cs="Arial"/>
                <w:b/>
                <w:bCs/>
                <w:color w:val="000000"/>
                <w:sz w:val="20"/>
                <w:szCs w:val="20"/>
              </w:rPr>
            </w:pPr>
            <w:r w:rsidRPr="00FC6804">
              <w:rPr>
                <w:rFonts w:ascii="Arial" w:hAnsi="Arial" w:cs="Arial"/>
                <w:b/>
                <w:bCs/>
                <w:color w:val="000000"/>
                <w:sz w:val="20"/>
                <w:szCs w:val="20"/>
              </w:rPr>
              <w:t>394,6</w:t>
            </w:r>
            <w:r w:rsidR="003514E9">
              <w:rPr>
                <w:rFonts w:ascii="Arial" w:hAnsi="Arial" w:cs="Arial"/>
                <w:b/>
                <w:bCs/>
                <w:color w:val="000000"/>
                <w:sz w:val="20"/>
                <w:szCs w:val="20"/>
              </w:rPr>
              <w:t>51</w:t>
            </w:r>
          </w:p>
        </w:tc>
        <w:tc>
          <w:tcPr>
            <w:tcW w:w="1275" w:type="dxa"/>
          </w:tcPr>
          <w:p w:rsidR="00936D3A" w:rsidRPr="00FC6804" w:rsidRDefault="00936D3A" w:rsidP="009B590C">
            <w:pPr>
              <w:spacing w:before="60" w:after="60"/>
              <w:jc w:val="center"/>
              <w:rPr>
                <w:rFonts w:ascii="Arial" w:hAnsi="Arial" w:cs="Arial"/>
                <w:b/>
                <w:bCs/>
                <w:color w:val="000000"/>
                <w:sz w:val="20"/>
                <w:szCs w:val="20"/>
              </w:rPr>
            </w:pPr>
            <w:r w:rsidRPr="00FC6804">
              <w:rPr>
                <w:rFonts w:ascii="Arial" w:hAnsi="Arial" w:cs="Arial"/>
                <w:b/>
                <w:bCs/>
                <w:color w:val="000000"/>
                <w:sz w:val="20"/>
                <w:szCs w:val="20"/>
              </w:rPr>
              <w:t>2</w:t>
            </w:r>
            <w:r w:rsidR="003514E9">
              <w:rPr>
                <w:rFonts w:ascii="Arial" w:hAnsi="Arial" w:cs="Arial"/>
                <w:b/>
                <w:bCs/>
                <w:color w:val="000000"/>
                <w:sz w:val="20"/>
                <w:szCs w:val="20"/>
              </w:rPr>
              <w:t>,505,657</w:t>
            </w:r>
          </w:p>
        </w:tc>
      </w:tr>
    </w:tbl>
    <w:p w:rsidR="00936D3A" w:rsidRPr="00FC6804" w:rsidRDefault="00936D3A" w:rsidP="00B0450D">
      <w:pPr>
        <w:spacing w:after="0" w:line="240" w:lineRule="auto"/>
        <w:rPr>
          <w:rFonts w:ascii="Arial" w:hAnsi="Arial" w:cs="Arial"/>
          <w:b/>
          <w:sz w:val="18"/>
          <w:szCs w:val="18"/>
        </w:rPr>
      </w:pPr>
    </w:p>
    <w:p w:rsidR="00936D3A" w:rsidRPr="000A4CF7" w:rsidRDefault="00936D3A" w:rsidP="00B0450D">
      <w:pPr>
        <w:spacing w:after="0" w:line="240" w:lineRule="auto"/>
        <w:rPr>
          <w:rFonts w:ascii="Arial" w:hAnsi="Arial" w:cs="Arial"/>
          <w:sz w:val="18"/>
          <w:szCs w:val="18"/>
        </w:rPr>
      </w:pPr>
      <w:r w:rsidRPr="000A4CF7">
        <w:rPr>
          <w:rFonts w:ascii="Arial" w:hAnsi="Arial" w:cs="Arial"/>
          <w:sz w:val="18"/>
          <w:szCs w:val="18"/>
        </w:rPr>
        <w:t>Notes:</w:t>
      </w:r>
    </w:p>
    <w:p w:rsidR="00936D3A" w:rsidRPr="000A4CF7" w:rsidRDefault="00936D3A" w:rsidP="00B0450D">
      <w:pPr>
        <w:pStyle w:val="ListParagraph"/>
        <w:numPr>
          <w:ilvl w:val="0"/>
          <w:numId w:val="6"/>
        </w:numPr>
        <w:spacing w:after="0" w:line="240" w:lineRule="auto"/>
        <w:contextualSpacing w:val="0"/>
        <w:rPr>
          <w:rFonts w:ascii="Arial" w:hAnsi="Arial" w:cs="Arial"/>
          <w:sz w:val="18"/>
          <w:szCs w:val="18"/>
        </w:rPr>
      </w:pPr>
      <w:r w:rsidRPr="000A4CF7">
        <w:rPr>
          <w:rFonts w:ascii="Arial" w:hAnsi="Arial" w:cs="Arial"/>
          <w:sz w:val="18"/>
          <w:szCs w:val="18"/>
        </w:rPr>
        <w:t xml:space="preserve">Staff salaries </w:t>
      </w:r>
      <w:r w:rsidR="007B5016" w:rsidRPr="000A4CF7">
        <w:rPr>
          <w:rFonts w:ascii="Arial" w:hAnsi="Arial" w:cs="Arial"/>
          <w:sz w:val="18"/>
          <w:szCs w:val="18"/>
        </w:rPr>
        <w:t xml:space="preserve">are </w:t>
      </w:r>
      <w:r w:rsidRPr="000A4CF7">
        <w:rPr>
          <w:rFonts w:ascii="Arial" w:hAnsi="Arial" w:cs="Arial"/>
          <w:sz w:val="18"/>
          <w:szCs w:val="18"/>
        </w:rPr>
        <w:t xml:space="preserve">based on 12 staff members, of whom five are dedicated to the CEO/administration function, five are dedicated to the compliance and enforcement function and two are dedicated to the information </w:t>
      </w:r>
      <w:r w:rsidR="00772F9F">
        <w:rPr>
          <w:rFonts w:ascii="Arial" w:hAnsi="Arial" w:cs="Arial"/>
          <w:sz w:val="18"/>
          <w:szCs w:val="18"/>
        </w:rPr>
        <w:t>and support</w:t>
      </w:r>
      <w:r w:rsidRPr="000A4CF7">
        <w:rPr>
          <w:rFonts w:ascii="Arial" w:hAnsi="Arial" w:cs="Arial"/>
          <w:sz w:val="18"/>
          <w:szCs w:val="18"/>
        </w:rPr>
        <w:t xml:space="preserve"> function. Salaries and overheads figures are based on the actual salaries paid to the staff members in question.</w:t>
      </w:r>
    </w:p>
    <w:p w:rsidR="00936D3A" w:rsidRPr="000A4CF7" w:rsidRDefault="00936D3A" w:rsidP="00B0450D">
      <w:pPr>
        <w:pStyle w:val="ListParagraph"/>
        <w:numPr>
          <w:ilvl w:val="0"/>
          <w:numId w:val="6"/>
        </w:numPr>
        <w:spacing w:after="0" w:line="240" w:lineRule="auto"/>
        <w:contextualSpacing w:val="0"/>
        <w:rPr>
          <w:rFonts w:ascii="Arial" w:hAnsi="Arial" w:cs="Arial"/>
          <w:sz w:val="18"/>
          <w:szCs w:val="18"/>
        </w:rPr>
      </w:pPr>
      <w:r w:rsidRPr="000A4CF7">
        <w:rPr>
          <w:rFonts w:ascii="Arial" w:hAnsi="Arial" w:cs="Arial"/>
          <w:sz w:val="18"/>
          <w:szCs w:val="18"/>
        </w:rPr>
        <w:t>The operating costs have been allocated 70% to the compliance and enforcement function and 30% to the CEO/administration function. This judgement reflects the fact that motor vehicle and travel expenses predominate in this cost category and field officers are the major users of these resources.</w:t>
      </w:r>
    </w:p>
    <w:p w:rsidR="00936D3A" w:rsidRPr="000A4CF7" w:rsidRDefault="00936D3A" w:rsidP="00B0450D">
      <w:pPr>
        <w:pStyle w:val="ListParagraph"/>
        <w:numPr>
          <w:ilvl w:val="0"/>
          <w:numId w:val="6"/>
        </w:numPr>
        <w:spacing w:after="0" w:line="240" w:lineRule="auto"/>
        <w:contextualSpacing w:val="0"/>
        <w:rPr>
          <w:rFonts w:ascii="Arial" w:hAnsi="Arial" w:cs="Arial"/>
          <w:sz w:val="18"/>
          <w:szCs w:val="18"/>
        </w:rPr>
      </w:pPr>
      <w:r w:rsidRPr="000A4CF7">
        <w:rPr>
          <w:rFonts w:ascii="Arial" w:hAnsi="Arial" w:cs="Arial"/>
          <w:sz w:val="18"/>
          <w:szCs w:val="18"/>
        </w:rPr>
        <w:t>The remaining cost categories have been allocated according to headcount</w:t>
      </w:r>
      <w:r w:rsidR="001B0D1B">
        <w:rPr>
          <w:rFonts w:ascii="Arial" w:hAnsi="Arial" w:cs="Arial"/>
          <w:sz w:val="18"/>
          <w:szCs w:val="18"/>
        </w:rPr>
        <w:t>:</w:t>
      </w:r>
      <w:r w:rsidRPr="000A4CF7">
        <w:rPr>
          <w:rFonts w:ascii="Arial" w:hAnsi="Arial" w:cs="Arial"/>
          <w:sz w:val="18"/>
          <w:szCs w:val="18"/>
        </w:rPr>
        <w:t xml:space="preserve"> i.e.</w:t>
      </w:r>
      <w:r w:rsidR="00772F9F">
        <w:rPr>
          <w:rFonts w:ascii="Arial" w:hAnsi="Arial" w:cs="Arial"/>
          <w:sz w:val="18"/>
          <w:szCs w:val="18"/>
        </w:rPr>
        <w:t xml:space="preserve"> </w:t>
      </w:r>
      <w:r w:rsidRPr="000A4CF7">
        <w:rPr>
          <w:rFonts w:ascii="Arial" w:hAnsi="Arial" w:cs="Arial"/>
          <w:sz w:val="18"/>
          <w:szCs w:val="18"/>
        </w:rPr>
        <w:t xml:space="preserve">5/12ths to CEO/administration, 5/12ths to compliance and enforcement and 2/12ths to information </w:t>
      </w:r>
      <w:r w:rsidR="001B0D1B">
        <w:rPr>
          <w:rFonts w:ascii="Arial" w:hAnsi="Arial" w:cs="Arial"/>
          <w:sz w:val="18"/>
          <w:szCs w:val="18"/>
        </w:rPr>
        <w:t>and support</w:t>
      </w:r>
      <w:r w:rsidRPr="000A4CF7">
        <w:rPr>
          <w:rFonts w:ascii="Arial" w:hAnsi="Arial" w:cs="Arial"/>
          <w:sz w:val="18"/>
          <w:szCs w:val="18"/>
        </w:rPr>
        <w:t>.</w:t>
      </w:r>
    </w:p>
    <w:p w:rsidR="00C11A36" w:rsidRPr="00FC6804" w:rsidRDefault="00C11A36" w:rsidP="00F14E97">
      <w:pPr>
        <w:spacing w:after="0" w:line="240" w:lineRule="auto"/>
        <w:rPr>
          <w:rFonts w:ascii="Arial" w:hAnsi="Arial" w:cs="Arial"/>
          <w:sz w:val="20"/>
          <w:szCs w:val="20"/>
        </w:rPr>
      </w:pPr>
    </w:p>
    <w:p w:rsidR="00875394" w:rsidRPr="00FC6804" w:rsidRDefault="00875394" w:rsidP="00F14E97">
      <w:pPr>
        <w:spacing w:after="0" w:line="240" w:lineRule="auto"/>
        <w:rPr>
          <w:rFonts w:ascii="Arial" w:hAnsi="Arial" w:cs="Arial"/>
          <w:b/>
          <w:color w:val="1F4E79" w:themeColor="accent1" w:themeShade="80"/>
          <w:sz w:val="20"/>
          <w:szCs w:val="20"/>
        </w:rPr>
      </w:pPr>
      <w:r w:rsidRPr="00FC6804">
        <w:rPr>
          <w:rFonts w:ascii="Arial" w:hAnsi="Arial" w:cs="Arial"/>
          <w:b/>
          <w:color w:val="1F4E79" w:themeColor="accent1" w:themeShade="80"/>
          <w:sz w:val="20"/>
          <w:szCs w:val="20"/>
        </w:rPr>
        <w:t>Benchmarking Prime</w:t>
      </w:r>
      <w:r w:rsidR="00F14E97" w:rsidRPr="00FC6804">
        <w:rPr>
          <w:rFonts w:ascii="Arial" w:hAnsi="Arial" w:cs="Arial"/>
          <w:b/>
          <w:color w:val="1F4E79" w:themeColor="accent1" w:themeShade="80"/>
          <w:sz w:val="20"/>
          <w:szCs w:val="20"/>
        </w:rPr>
        <w:t>S</w:t>
      </w:r>
      <w:r w:rsidRPr="00FC6804">
        <w:rPr>
          <w:rFonts w:ascii="Arial" w:hAnsi="Arial" w:cs="Arial"/>
          <w:b/>
          <w:color w:val="1F4E79" w:themeColor="accent1" w:themeShade="80"/>
          <w:sz w:val="20"/>
          <w:szCs w:val="20"/>
        </w:rPr>
        <w:t>afe’s costs</w:t>
      </w:r>
    </w:p>
    <w:p w:rsidR="00F14E97" w:rsidRPr="00FC6804" w:rsidRDefault="00F14E97" w:rsidP="00F14E97">
      <w:pPr>
        <w:spacing w:after="0" w:line="240" w:lineRule="auto"/>
        <w:rPr>
          <w:rFonts w:ascii="Arial" w:hAnsi="Arial" w:cs="Arial"/>
          <w:sz w:val="20"/>
          <w:szCs w:val="20"/>
        </w:rPr>
      </w:pPr>
    </w:p>
    <w:p w:rsidR="000E0A15" w:rsidRPr="00FC6804" w:rsidRDefault="000E0A15" w:rsidP="00F14E97">
      <w:pPr>
        <w:spacing w:after="0" w:line="240" w:lineRule="auto"/>
        <w:rPr>
          <w:rFonts w:ascii="Arial" w:hAnsi="Arial" w:cs="Arial"/>
          <w:sz w:val="20"/>
          <w:szCs w:val="20"/>
        </w:rPr>
      </w:pPr>
      <w:r w:rsidRPr="00FC6804">
        <w:rPr>
          <w:rFonts w:ascii="Arial" w:hAnsi="Arial" w:cs="Arial"/>
          <w:sz w:val="20"/>
          <w:szCs w:val="20"/>
        </w:rPr>
        <w:t>Prime</w:t>
      </w:r>
      <w:r w:rsidR="00F14E97" w:rsidRPr="00FC6804">
        <w:rPr>
          <w:rFonts w:ascii="Arial" w:hAnsi="Arial" w:cs="Arial"/>
          <w:sz w:val="20"/>
          <w:szCs w:val="20"/>
        </w:rPr>
        <w:t>S</w:t>
      </w:r>
      <w:r w:rsidRPr="00FC6804">
        <w:rPr>
          <w:rFonts w:ascii="Arial" w:hAnsi="Arial" w:cs="Arial"/>
          <w:sz w:val="20"/>
          <w:szCs w:val="20"/>
        </w:rPr>
        <w:t>afe’s operating costs have been broadly constant in real terms since its es</w:t>
      </w:r>
      <w:r w:rsidR="00F14E97" w:rsidRPr="00FC6804">
        <w:rPr>
          <w:rFonts w:ascii="Arial" w:hAnsi="Arial" w:cs="Arial"/>
          <w:sz w:val="20"/>
          <w:szCs w:val="20"/>
        </w:rPr>
        <w:t xml:space="preserve">tablishment over a decade ago. </w:t>
      </w:r>
      <w:r w:rsidRPr="00FC6804">
        <w:rPr>
          <w:rFonts w:ascii="Arial" w:hAnsi="Arial" w:cs="Arial"/>
          <w:sz w:val="20"/>
          <w:szCs w:val="20"/>
        </w:rPr>
        <w:t>Its operating costs of $1.45 million in 2004-05</w:t>
      </w:r>
      <w:r w:rsidRPr="00FC6804">
        <w:rPr>
          <w:rStyle w:val="FootnoteReference"/>
          <w:rFonts w:ascii="Arial" w:hAnsi="Arial" w:cs="Arial"/>
          <w:sz w:val="20"/>
          <w:szCs w:val="20"/>
        </w:rPr>
        <w:footnoteReference w:id="9"/>
      </w:r>
      <w:r w:rsidRPr="00FC6804">
        <w:rPr>
          <w:rFonts w:ascii="Arial" w:hAnsi="Arial" w:cs="Arial"/>
          <w:sz w:val="20"/>
          <w:szCs w:val="20"/>
        </w:rPr>
        <w:t xml:space="preserve"> are equal to $1.87 million in 2015 terms</w:t>
      </w:r>
      <w:r w:rsidR="00C872C0" w:rsidRPr="00FC6804">
        <w:rPr>
          <w:rStyle w:val="FootnoteReference"/>
          <w:rFonts w:ascii="Arial" w:hAnsi="Arial" w:cs="Arial"/>
          <w:sz w:val="20"/>
          <w:szCs w:val="20"/>
        </w:rPr>
        <w:footnoteReference w:id="10"/>
      </w:r>
      <w:r w:rsidRPr="00FC6804">
        <w:rPr>
          <w:rFonts w:ascii="Arial" w:hAnsi="Arial" w:cs="Arial"/>
          <w:sz w:val="20"/>
          <w:szCs w:val="20"/>
        </w:rPr>
        <w:t>.  Thus, its 2014-15 operating costs of $2.0 million represents an increase of only 8.5% over the period, a very modest increase that reflects in significant part the expansion in the regulated industries that has occurred over the period and the wider range of regulatory activities that Prime</w:t>
      </w:r>
      <w:r w:rsidR="001F4B20" w:rsidRPr="00FC6804">
        <w:rPr>
          <w:rFonts w:ascii="Arial" w:hAnsi="Arial" w:cs="Arial"/>
          <w:sz w:val="20"/>
          <w:szCs w:val="20"/>
        </w:rPr>
        <w:t>S</w:t>
      </w:r>
      <w:r w:rsidRPr="00FC6804">
        <w:rPr>
          <w:rFonts w:ascii="Arial" w:hAnsi="Arial" w:cs="Arial"/>
          <w:sz w:val="20"/>
          <w:szCs w:val="20"/>
        </w:rPr>
        <w:t>afe has been required to undertake.</w:t>
      </w:r>
    </w:p>
    <w:p w:rsidR="00F14E97" w:rsidRPr="00FC6804" w:rsidRDefault="00F14E97" w:rsidP="00F14E97">
      <w:pPr>
        <w:spacing w:after="0" w:line="240" w:lineRule="auto"/>
        <w:rPr>
          <w:rFonts w:ascii="Arial" w:hAnsi="Arial" w:cs="Arial"/>
          <w:sz w:val="20"/>
          <w:szCs w:val="20"/>
        </w:rPr>
      </w:pPr>
    </w:p>
    <w:p w:rsidR="005F5051" w:rsidRPr="00FC6804" w:rsidRDefault="005F5051" w:rsidP="00F14E97">
      <w:pPr>
        <w:spacing w:after="0" w:line="240" w:lineRule="auto"/>
        <w:rPr>
          <w:rFonts w:ascii="Arial" w:hAnsi="Arial" w:cs="Arial"/>
          <w:sz w:val="20"/>
          <w:szCs w:val="20"/>
        </w:rPr>
      </w:pPr>
      <w:r w:rsidRPr="00FC6804">
        <w:rPr>
          <w:rFonts w:ascii="Arial" w:hAnsi="Arial" w:cs="Arial"/>
          <w:sz w:val="20"/>
          <w:szCs w:val="20"/>
        </w:rPr>
        <w:t>While Prime</w:t>
      </w:r>
      <w:r w:rsidR="00F14E97" w:rsidRPr="00FC6804">
        <w:rPr>
          <w:rFonts w:ascii="Arial" w:hAnsi="Arial" w:cs="Arial"/>
          <w:sz w:val="20"/>
          <w:szCs w:val="20"/>
        </w:rPr>
        <w:t>S</w:t>
      </w:r>
      <w:r w:rsidRPr="00FC6804">
        <w:rPr>
          <w:rFonts w:ascii="Arial" w:hAnsi="Arial" w:cs="Arial"/>
          <w:sz w:val="20"/>
          <w:szCs w:val="20"/>
        </w:rPr>
        <w:t>afe’s total regulatory costs are expect</w:t>
      </w:r>
      <w:r w:rsidR="00F14E97" w:rsidRPr="00FC6804">
        <w:rPr>
          <w:rFonts w:ascii="Arial" w:hAnsi="Arial" w:cs="Arial"/>
          <w:sz w:val="20"/>
          <w:szCs w:val="20"/>
        </w:rPr>
        <w:t>ed to increase by 25% in 2016-</w:t>
      </w:r>
      <w:r w:rsidRPr="00FC6804">
        <w:rPr>
          <w:rFonts w:ascii="Arial" w:hAnsi="Arial" w:cs="Arial"/>
          <w:sz w:val="20"/>
          <w:szCs w:val="20"/>
        </w:rPr>
        <w:t>17, these costs remain proportionate, in relation to the nature and extent of the risks which it regulates and in comparison to the regulatory costs incurred by its equivalent organisations in other Australian states and territories.</w:t>
      </w:r>
    </w:p>
    <w:p w:rsidR="00F14E97" w:rsidRDefault="00F14E97" w:rsidP="00F14E97">
      <w:pPr>
        <w:spacing w:after="0" w:line="240" w:lineRule="auto"/>
        <w:rPr>
          <w:rFonts w:ascii="Arial" w:hAnsi="Arial" w:cs="Arial"/>
          <w:sz w:val="20"/>
          <w:szCs w:val="20"/>
        </w:rPr>
      </w:pPr>
    </w:p>
    <w:p w:rsidR="00770D01" w:rsidRDefault="00770D01" w:rsidP="00F14E97">
      <w:pPr>
        <w:spacing w:after="0" w:line="240" w:lineRule="auto"/>
        <w:rPr>
          <w:rFonts w:ascii="Arial" w:hAnsi="Arial" w:cs="Arial"/>
          <w:sz w:val="20"/>
          <w:szCs w:val="20"/>
        </w:rPr>
      </w:pPr>
    </w:p>
    <w:p w:rsidR="005F5051" w:rsidRPr="00FC6804" w:rsidRDefault="005F5051" w:rsidP="00F14E97">
      <w:pPr>
        <w:spacing w:after="0" w:line="240" w:lineRule="auto"/>
        <w:rPr>
          <w:rFonts w:ascii="Arial" w:hAnsi="Arial" w:cs="Arial"/>
          <w:sz w:val="20"/>
          <w:szCs w:val="20"/>
        </w:rPr>
      </w:pPr>
      <w:r w:rsidRPr="00FC6804">
        <w:rPr>
          <w:rFonts w:ascii="Arial" w:hAnsi="Arial" w:cs="Arial"/>
          <w:sz w:val="20"/>
          <w:szCs w:val="20"/>
        </w:rPr>
        <w:t>The essential regulatory function performed by Prime</w:t>
      </w:r>
      <w:r w:rsidR="001F4B20" w:rsidRPr="00FC6804">
        <w:rPr>
          <w:rFonts w:ascii="Arial" w:hAnsi="Arial" w:cs="Arial"/>
          <w:sz w:val="20"/>
          <w:szCs w:val="20"/>
        </w:rPr>
        <w:t>S</w:t>
      </w:r>
      <w:r w:rsidRPr="00FC6804">
        <w:rPr>
          <w:rFonts w:ascii="Arial" w:hAnsi="Arial" w:cs="Arial"/>
          <w:sz w:val="20"/>
          <w:szCs w:val="20"/>
        </w:rPr>
        <w:t xml:space="preserve">afe is to minimise </w:t>
      </w:r>
      <w:r w:rsidR="00770D01" w:rsidRPr="00FC6804">
        <w:rPr>
          <w:rFonts w:ascii="Arial" w:hAnsi="Arial" w:cs="Arial"/>
          <w:sz w:val="20"/>
          <w:szCs w:val="20"/>
        </w:rPr>
        <w:t>food borne</w:t>
      </w:r>
      <w:r w:rsidRPr="00FC6804">
        <w:rPr>
          <w:rFonts w:ascii="Arial" w:hAnsi="Arial" w:cs="Arial"/>
          <w:sz w:val="20"/>
          <w:szCs w:val="20"/>
        </w:rPr>
        <w:t xml:space="preserve"> illness in the Victorian population acquired through consumpti</w:t>
      </w:r>
      <w:r w:rsidR="001F4B20" w:rsidRPr="00FC6804">
        <w:rPr>
          <w:rFonts w:ascii="Arial" w:hAnsi="Arial" w:cs="Arial"/>
          <w:sz w:val="20"/>
          <w:szCs w:val="20"/>
        </w:rPr>
        <w:t xml:space="preserve">on of meat, poultry or seafood. </w:t>
      </w:r>
      <w:r w:rsidRPr="00FC6804">
        <w:rPr>
          <w:rFonts w:ascii="Arial" w:hAnsi="Arial" w:cs="Arial"/>
          <w:sz w:val="20"/>
          <w:szCs w:val="20"/>
        </w:rPr>
        <w:t>In addition, the organisation has a role in ensuring animal welfare</w:t>
      </w:r>
      <w:r w:rsidR="001F4B20" w:rsidRPr="00FC6804">
        <w:rPr>
          <w:rFonts w:ascii="Arial" w:hAnsi="Arial" w:cs="Arial"/>
          <w:sz w:val="20"/>
          <w:szCs w:val="20"/>
        </w:rPr>
        <w:t xml:space="preserve"> during the slaughter process. </w:t>
      </w:r>
      <w:r w:rsidRPr="00FC6804">
        <w:rPr>
          <w:rFonts w:ascii="Arial" w:hAnsi="Arial" w:cs="Arial"/>
          <w:sz w:val="20"/>
          <w:szCs w:val="20"/>
        </w:rPr>
        <w:t xml:space="preserve">The risk of </w:t>
      </w:r>
      <w:r w:rsidR="00770D01" w:rsidRPr="00FC6804">
        <w:rPr>
          <w:rFonts w:ascii="Arial" w:hAnsi="Arial" w:cs="Arial"/>
          <w:sz w:val="20"/>
          <w:szCs w:val="20"/>
        </w:rPr>
        <w:t>food borne</w:t>
      </w:r>
      <w:r w:rsidRPr="00FC6804">
        <w:rPr>
          <w:rFonts w:ascii="Arial" w:hAnsi="Arial" w:cs="Arial"/>
          <w:sz w:val="20"/>
          <w:szCs w:val="20"/>
        </w:rPr>
        <w:t xml:space="preserve"> illness is substantial, as indicated by estimates suggesting that around </w:t>
      </w:r>
      <w:r w:rsidR="001F4B20" w:rsidRPr="00FC6804">
        <w:rPr>
          <w:rFonts w:ascii="Arial" w:hAnsi="Arial" w:cs="Arial"/>
          <w:sz w:val="20"/>
          <w:szCs w:val="20"/>
        </w:rPr>
        <w:t>four</w:t>
      </w:r>
      <w:r w:rsidRPr="00FC6804">
        <w:rPr>
          <w:rFonts w:ascii="Arial" w:hAnsi="Arial" w:cs="Arial"/>
          <w:sz w:val="20"/>
          <w:szCs w:val="20"/>
        </w:rPr>
        <w:t xml:space="preserve"> million cases of </w:t>
      </w:r>
      <w:r w:rsidR="00770D01" w:rsidRPr="00FC6804">
        <w:rPr>
          <w:rFonts w:ascii="Arial" w:hAnsi="Arial" w:cs="Arial"/>
          <w:sz w:val="20"/>
          <w:szCs w:val="20"/>
        </w:rPr>
        <w:t>food borne</w:t>
      </w:r>
      <w:r w:rsidRPr="00FC6804">
        <w:rPr>
          <w:rFonts w:ascii="Arial" w:hAnsi="Arial" w:cs="Arial"/>
          <w:sz w:val="20"/>
          <w:szCs w:val="20"/>
        </w:rPr>
        <w:t xml:space="preserve"> gastroenteritis occur annua</w:t>
      </w:r>
      <w:r w:rsidR="00733DEB">
        <w:rPr>
          <w:rFonts w:ascii="Arial" w:hAnsi="Arial" w:cs="Arial"/>
          <w:sz w:val="20"/>
          <w:szCs w:val="20"/>
        </w:rPr>
        <w:t>lly</w:t>
      </w:r>
      <w:r w:rsidRPr="00FC6804">
        <w:rPr>
          <w:rFonts w:ascii="Arial" w:hAnsi="Arial" w:cs="Arial"/>
          <w:sz w:val="20"/>
          <w:szCs w:val="20"/>
        </w:rPr>
        <w:t xml:space="preserve"> Australia wide, equivalent to around </w:t>
      </w:r>
      <w:r w:rsidR="00772F9F">
        <w:rPr>
          <w:rFonts w:ascii="Arial" w:hAnsi="Arial" w:cs="Arial"/>
          <w:sz w:val="20"/>
          <w:szCs w:val="20"/>
        </w:rPr>
        <w:t>one</w:t>
      </w:r>
      <w:r w:rsidRPr="00FC6804">
        <w:rPr>
          <w:rFonts w:ascii="Arial" w:hAnsi="Arial" w:cs="Arial"/>
          <w:sz w:val="20"/>
          <w:szCs w:val="20"/>
        </w:rPr>
        <w:t xml:space="preserve"> million cases in Victoria</w:t>
      </w:r>
      <w:r w:rsidRPr="00FC6804">
        <w:rPr>
          <w:rStyle w:val="FootnoteReference"/>
          <w:rFonts w:ascii="Arial" w:hAnsi="Arial" w:cs="Arial"/>
          <w:sz w:val="20"/>
          <w:szCs w:val="20"/>
        </w:rPr>
        <w:footnoteReference w:id="11"/>
      </w:r>
      <w:r w:rsidRPr="00FC6804">
        <w:rPr>
          <w:rFonts w:ascii="Arial" w:hAnsi="Arial" w:cs="Arial"/>
          <w:sz w:val="20"/>
          <w:szCs w:val="20"/>
        </w:rPr>
        <w:t>.</w:t>
      </w:r>
      <w:r w:rsidR="001F4B20" w:rsidRPr="00FC6804">
        <w:rPr>
          <w:rFonts w:ascii="Arial" w:hAnsi="Arial" w:cs="Arial"/>
          <w:sz w:val="20"/>
          <w:szCs w:val="20"/>
        </w:rPr>
        <w:t xml:space="preserve"> </w:t>
      </w:r>
      <w:r w:rsidR="00875394" w:rsidRPr="00FC6804">
        <w:rPr>
          <w:rFonts w:ascii="Arial" w:hAnsi="Arial" w:cs="Arial"/>
          <w:sz w:val="20"/>
          <w:szCs w:val="20"/>
        </w:rPr>
        <w:t xml:space="preserve">A 2004 estimate puts the cost of this illness at around $1.25 billion nationally, or more than $300 million in Victoria. While these estimates relate to all sources of </w:t>
      </w:r>
      <w:r w:rsidR="00770D01" w:rsidRPr="00FC6804">
        <w:rPr>
          <w:rFonts w:ascii="Arial" w:hAnsi="Arial" w:cs="Arial"/>
          <w:sz w:val="20"/>
          <w:szCs w:val="20"/>
        </w:rPr>
        <w:t>food borne</w:t>
      </w:r>
      <w:r w:rsidR="00875394" w:rsidRPr="00FC6804">
        <w:rPr>
          <w:rFonts w:ascii="Arial" w:hAnsi="Arial" w:cs="Arial"/>
          <w:sz w:val="20"/>
          <w:szCs w:val="20"/>
        </w:rPr>
        <w:t xml:space="preserve"> illnes</w:t>
      </w:r>
      <w:r w:rsidR="00733DEB">
        <w:rPr>
          <w:rFonts w:ascii="Arial" w:hAnsi="Arial" w:cs="Arial"/>
          <w:sz w:val="20"/>
          <w:szCs w:val="20"/>
        </w:rPr>
        <w:t xml:space="preserve">s, meat, seafood </w:t>
      </w:r>
      <w:r w:rsidR="00875394" w:rsidRPr="00FC6804">
        <w:rPr>
          <w:rFonts w:ascii="Arial" w:hAnsi="Arial" w:cs="Arial"/>
          <w:sz w:val="20"/>
          <w:szCs w:val="20"/>
        </w:rPr>
        <w:t>and poultry constitute important sources of ri</w:t>
      </w:r>
      <w:r w:rsidR="001F4B20" w:rsidRPr="00FC6804">
        <w:rPr>
          <w:rFonts w:ascii="Arial" w:hAnsi="Arial" w:cs="Arial"/>
          <w:sz w:val="20"/>
          <w:szCs w:val="20"/>
        </w:rPr>
        <w:t xml:space="preserve">sk within this broader context. </w:t>
      </w:r>
      <w:r w:rsidR="00B30312" w:rsidRPr="00FC6804">
        <w:rPr>
          <w:rFonts w:ascii="Arial" w:hAnsi="Arial" w:cs="Arial"/>
          <w:sz w:val="20"/>
          <w:szCs w:val="20"/>
        </w:rPr>
        <w:t xml:space="preserve">Thus, </w:t>
      </w:r>
      <w:r w:rsidR="00875394" w:rsidRPr="00FC6804">
        <w:rPr>
          <w:rFonts w:ascii="Arial" w:hAnsi="Arial" w:cs="Arial"/>
          <w:sz w:val="20"/>
          <w:szCs w:val="20"/>
        </w:rPr>
        <w:t>Prime</w:t>
      </w:r>
      <w:r w:rsidR="001F4B20" w:rsidRPr="00FC6804">
        <w:rPr>
          <w:rFonts w:ascii="Arial" w:hAnsi="Arial" w:cs="Arial"/>
          <w:sz w:val="20"/>
          <w:szCs w:val="20"/>
        </w:rPr>
        <w:t>S</w:t>
      </w:r>
      <w:r w:rsidR="00875394" w:rsidRPr="00FC6804">
        <w:rPr>
          <w:rFonts w:ascii="Arial" w:hAnsi="Arial" w:cs="Arial"/>
          <w:sz w:val="20"/>
          <w:szCs w:val="20"/>
        </w:rPr>
        <w:t>afe’s bu</w:t>
      </w:r>
      <w:r w:rsidR="001F4B20" w:rsidRPr="00FC6804">
        <w:rPr>
          <w:rFonts w:ascii="Arial" w:hAnsi="Arial" w:cs="Arial"/>
          <w:sz w:val="20"/>
          <w:szCs w:val="20"/>
        </w:rPr>
        <w:t>dget of $2.5 million for 2016-</w:t>
      </w:r>
      <w:r w:rsidR="00875394" w:rsidRPr="00FC6804">
        <w:rPr>
          <w:rFonts w:ascii="Arial" w:hAnsi="Arial" w:cs="Arial"/>
          <w:sz w:val="20"/>
          <w:szCs w:val="20"/>
        </w:rPr>
        <w:t xml:space="preserve">17 </w:t>
      </w:r>
      <w:r w:rsidR="00B30312" w:rsidRPr="00FC6804">
        <w:rPr>
          <w:rFonts w:ascii="Arial" w:hAnsi="Arial" w:cs="Arial"/>
          <w:sz w:val="20"/>
          <w:szCs w:val="20"/>
        </w:rPr>
        <w:t xml:space="preserve">represents less than </w:t>
      </w:r>
      <w:r w:rsidR="00733DEB">
        <w:rPr>
          <w:rFonts w:ascii="Arial" w:hAnsi="Arial" w:cs="Arial"/>
          <w:sz w:val="20"/>
          <w:szCs w:val="20"/>
        </w:rPr>
        <w:t xml:space="preserve">1% of this current cost of food </w:t>
      </w:r>
      <w:r w:rsidR="00B30312" w:rsidRPr="00FC6804">
        <w:rPr>
          <w:rFonts w:ascii="Arial" w:hAnsi="Arial" w:cs="Arial"/>
          <w:sz w:val="20"/>
          <w:szCs w:val="20"/>
        </w:rPr>
        <w:t>borne illness.</w:t>
      </w:r>
      <w:r w:rsidR="001F4B20" w:rsidRPr="00FC6804">
        <w:rPr>
          <w:rFonts w:ascii="Arial" w:hAnsi="Arial" w:cs="Arial"/>
          <w:sz w:val="20"/>
          <w:szCs w:val="20"/>
        </w:rPr>
        <w:t xml:space="preserve"> </w:t>
      </w:r>
      <w:r w:rsidR="00B30312" w:rsidRPr="00FC6804">
        <w:rPr>
          <w:rFonts w:ascii="Arial" w:hAnsi="Arial" w:cs="Arial"/>
          <w:sz w:val="20"/>
          <w:szCs w:val="20"/>
        </w:rPr>
        <w:t>Considered alternatively, Prime</w:t>
      </w:r>
      <w:r w:rsidR="001F4B20" w:rsidRPr="00FC6804">
        <w:rPr>
          <w:rFonts w:ascii="Arial" w:hAnsi="Arial" w:cs="Arial"/>
          <w:sz w:val="20"/>
          <w:szCs w:val="20"/>
        </w:rPr>
        <w:t>S</w:t>
      </w:r>
      <w:r w:rsidR="00B30312" w:rsidRPr="00FC6804">
        <w:rPr>
          <w:rFonts w:ascii="Arial" w:hAnsi="Arial" w:cs="Arial"/>
          <w:sz w:val="20"/>
          <w:szCs w:val="20"/>
        </w:rPr>
        <w:t xml:space="preserve">afe’s budget of $2.5 million </w:t>
      </w:r>
      <w:r w:rsidR="00875394" w:rsidRPr="00FC6804">
        <w:rPr>
          <w:rFonts w:ascii="Arial" w:hAnsi="Arial" w:cs="Arial"/>
          <w:sz w:val="20"/>
          <w:szCs w:val="20"/>
        </w:rPr>
        <w:t>is equal to around $</w:t>
      </w:r>
      <w:r w:rsidR="00B30312" w:rsidRPr="00FC6804">
        <w:rPr>
          <w:rFonts w:ascii="Arial" w:hAnsi="Arial" w:cs="Arial"/>
          <w:sz w:val="20"/>
          <w:szCs w:val="20"/>
        </w:rPr>
        <w:t>0</w:t>
      </w:r>
      <w:r w:rsidR="00875394" w:rsidRPr="00FC6804">
        <w:rPr>
          <w:rFonts w:ascii="Arial" w:hAnsi="Arial" w:cs="Arial"/>
          <w:sz w:val="20"/>
          <w:szCs w:val="20"/>
        </w:rPr>
        <w:t>.43 per annum for each of Victoria’s 5.8 million population.</w:t>
      </w:r>
    </w:p>
    <w:p w:rsidR="001F4B20" w:rsidRPr="00FC6804" w:rsidRDefault="001F4B20" w:rsidP="00F14E97">
      <w:pPr>
        <w:spacing w:after="0" w:line="240" w:lineRule="auto"/>
        <w:rPr>
          <w:rFonts w:ascii="Arial" w:hAnsi="Arial" w:cs="Arial"/>
          <w:sz w:val="20"/>
          <w:szCs w:val="20"/>
        </w:rPr>
      </w:pPr>
    </w:p>
    <w:p w:rsidR="00B30312" w:rsidRPr="00FC6804" w:rsidRDefault="00B30312" w:rsidP="00F14E97">
      <w:pPr>
        <w:spacing w:after="0" w:line="240" w:lineRule="auto"/>
        <w:rPr>
          <w:rFonts w:ascii="Arial" w:hAnsi="Arial" w:cs="Arial"/>
          <w:sz w:val="20"/>
          <w:szCs w:val="20"/>
        </w:rPr>
      </w:pPr>
      <w:r w:rsidRPr="00FC6804">
        <w:rPr>
          <w:rFonts w:ascii="Arial" w:hAnsi="Arial" w:cs="Arial"/>
          <w:sz w:val="20"/>
          <w:szCs w:val="20"/>
        </w:rPr>
        <w:t>It can also be noted that</w:t>
      </w:r>
      <w:r w:rsidR="00875394" w:rsidRPr="00FC6804">
        <w:rPr>
          <w:rFonts w:ascii="Arial" w:hAnsi="Arial" w:cs="Arial"/>
          <w:sz w:val="20"/>
          <w:szCs w:val="20"/>
        </w:rPr>
        <w:t xml:space="preserve"> Prime</w:t>
      </w:r>
      <w:r w:rsidR="001F4B20" w:rsidRPr="00FC6804">
        <w:rPr>
          <w:rFonts w:ascii="Arial" w:hAnsi="Arial" w:cs="Arial"/>
          <w:sz w:val="20"/>
          <w:szCs w:val="20"/>
        </w:rPr>
        <w:t>S</w:t>
      </w:r>
      <w:r w:rsidR="00875394" w:rsidRPr="00FC6804">
        <w:rPr>
          <w:rFonts w:ascii="Arial" w:hAnsi="Arial" w:cs="Arial"/>
          <w:sz w:val="20"/>
          <w:szCs w:val="20"/>
        </w:rPr>
        <w:t>afe currently licenses 7</w:t>
      </w:r>
      <w:r w:rsidR="001F4B20" w:rsidRPr="00FC6804">
        <w:rPr>
          <w:rFonts w:ascii="Arial" w:hAnsi="Arial" w:cs="Arial"/>
          <w:sz w:val="20"/>
          <w:szCs w:val="20"/>
        </w:rPr>
        <w:t>,</w:t>
      </w:r>
      <w:r w:rsidR="00875394" w:rsidRPr="00FC6804">
        <w:rPr>
          <w:rFonts w:ascii="Arial" w:hAnsi="Arial" w:cs="Arial"/>
          <w:sz w:val="20"/>
          <w:szCs w:val="20"/>
        </w:rPr>
        <w:t xml:space="preserve">156 entities (December 2015). The $2.5 million annual cost is therefore equivalent to an average regulatory cost of approximately $350 per regulated entity. </w:t>
      </w:r>
    </w:p>
    <w:p w:rsidR="001F4B20" w:rsidRPr="00FC6804" w:rsidRDefault="001F4B20" w:rsidP="00F14E97">
      <w:pPr>
        <w:spacing w:after="0" w:line="240" w:lineRule="auto"/>
        <w:rPr>
          <w:rFonts w:ascii="Arial" w:hAnsi="Arial" w:cs="Arial"/>
          <w:sz w:val="20"/>
          <w:szCs w:val="20"/>
        </w:rPr>
      </w:pPr>
    </w:p>
    <w:p w:rsidR="009947A6" w:rsidRPr="00FC6804" w:rsidRDefault="00B30312" w:rsidP="00F14E97">
      <w:pPr>
        <w:spacing w:after="0" w:line="240" w:lineRule="auto"/>
        <w:rPr>
          <w:rFonts w:ascii="Arial" w:hAnsi="Arial" w:cs="Arial"/>
          <w:sz w:val="20"/>
          <w:szCs w:val="20"/>
        </w:rPr>
      </w:pPr>
      <w:r w:rsidRPr="00FC6804">
        <w:rPr>
          <w:rFonts w:ascii="Arial" w:hAnsi="Arial" w:cs="Arial"/>
          <w:sz w:val="20"/>
          <w:szCs w:val="20"/>
        </w:rPr>
        <w:t>A further benchmarking of the cost of food safety regulation in Victoria can be obtained by comparing these costs with those incurred in</w:t>
      </w:r>
      <w:r w:rsidR="001F4B20" w:rsidRPr="00FC6804">
        <w:rPr>
          <w:rFonts w:ascii="Arial" w:hAnsi="Arial" w:cs="Arial"/>
          <w:sz w:val="20"/>
          <w:szCs w:val="20"/>
        </w:rPr>
        <w:t xml:space="preserve"> other </w:t>
      </w:r>
      <w:r w:rsidR="00733DEB">
        <w:rPr>
          <w:rFonts w:ascii="Arial" w:hAnsi="Arial" w:cs="Arial"/>
          <w:sz w:val="20"/>
          <w:szCs w:val="20"/>
        </w:rPr>
        <w:t>s</w:t>
      </w:r>
      <w:r w:rsidR="001F4B20" w:rsidRPr="00FC6804">
        <w:rPr>
          <w:rFonts w:ascii="Arial" w:hAnsi="Arial" w:cs="Arial"/>
          <w:sz w:val="20"/>
          <w:szCs w:val="20"/>
        </w:rPr>
        <w:t xml:space="preserve">tates and </w:t>
      </w:r>
      <w:r w:rsidR="00733DEB">
        <w:rPr>
          <w:rFonts w:ascii="Arial" w:hAnsi="Arial" w:cs="Arial"/>
          <w:sz w:val="20"/>
          <w:szCs w:val="20"/>
        </w:rPr>
        <w:t>t</w:t>
      </w:r>
      <w:r w:rsidR="001F4B20" w:rsidRPr="00FC6804">
        <w:rPr>
          <w:rFonts w:ascii="Arial" w:hAnsi="Arial" w:cs="Arial"/>
          <w:sz w:val="20"/>
          <w:szCs w:val="20"/>
        </w:rPr>
        <w:t xml:space="preserve">erritories. </w:t>
      </w:r>
      <w:r w:rsidRPr="00FC6804">
        <w:rPr>
          <w:rFonts w:ascii="Arial" w:hAnsi="Arial" w:cs="Arial"/>
          <w:sz w:val="20"/>
          <w:szCs w:val="20"/>
        </w:rPr>
        <w:t xml:space="preserve">This comparison is rendered complex by the </w:t>
      </w:r>
      <w:r w:rsidR="00702C63" w:rsidRPr="00FC6804">
        <w:rPr>
          <w:rFonts w:ascii="Arial" w:hAnsi="Arial" w:cs="Arial"/>
          <w:sz w:val="20"/>
          <w:szCs w:val="20"/>
        </w:rPr>
        <w:t>different institutional arrangements in place</w:t>
      </w:r>
      <w:r w:rsidR="001F4B20" w:rsidRPr="00FC6804">
        <w:rPr>
          <w:rFonts w:ascii="Arial" w:hAnsi="Arial" w:cs="Arial"/>
          <w:sz w:val="20"/>
          <w:szCs w:val="20"/>
        </w:rPr>
        <w:t xml:space="preserve"> in the various jurisdictions. </w:t>
      </w:r>
      <w:r w:rsidR="00702C63" w:rsidRPr="00FC6804">
        <w:rPr>
          <w:rFonts w:ascii="Arial" w:hAnsi="Arial" w:cs="Arial"/>
          <w:sz w:val="20"/>
          <w:szCs w:val="20"/>
        </w:rPr>
        <w:t>V</w:t>
      </w:r>
      <w:r w:rsidRPr="00FC6804">
        <w:rPr>
          <w:rFonts w:ascii="Arial" w:hAnsi="Arial" w:cs="Arial"/>
          <w:sz w:val="20"/>
          <w:szCs w:val="20"/>
        </w:rPr>
        <w:t>ictoria appears to be unique in having a specific regulator responsible for meat, poultry and seafood</w:t>
      </w:r>
      <w:r w:rsidR="001F4B20" w:rsidRPr="00FC6804">
        <w:rPr>
          <w:rFonts w:ascii="Arial" w:hAnsi="Arial" w:cs="Arial"/>
          <w:sz w:val="20"/>
          <w:szCs w:val="20"/>
        </w:rPr>
        <w:t xml:space="preserve">. </w:t>
      </w:r>
      <w:r w:rsidR="00702C63" w:rsidRPr="00FC6804">
        <w:rPr>
          <w:rFonts w:ascii="Arial" w:hAnsi="Arial" w:cs="Arial"/>
          <w:sz w:val="20"/>
          <w:szCs w:val="20"/>
        </w:rPr>
        <w:t>Conversely, where regulatory responsibility for different elements of food safety in Victoria is split between two independent regulators (Prime</w:t>
      </w:r>
      <w:r w:rsidR="001F4B20" w:rsidRPr="00FC6804">
        <w:rPr>
          <w:rFonts w:ascii="Arial" w:hAnsi="Arial" w:cs="Arial"/>
          <w:sz w:val="20"/>
          <w:szCs w:val="20"/>
        </w:rPr>
        <w:t>S</w:t>
      </w:r>
      <w:r w:rsidR="00702C63" w:rsidRPr="00FC6804">
        <w:rPr>
          <w:rFonts w:ascii="Arial" w:hAnsi="Arial" w:cs="Arial"/>
          <w:sz w:val="20"/>
          <w:szCs w:val="20"/>
        </w:rPr>
        <w:t>afe and Dairy Food Safety Victoria) as well as the Department of Health and Human Services, a single regulator (the New South Wales Food Authority) fulfils all of these</w:t>
      </w:r>
      <w:r w:rsidR="00733DEB">
        <w:rPr>
          <w:rFonts w:ascii="Arial" w:hAnsi="Arial" w:cs="Arial"/>
          <w:sz w:val="20"/>
          <w:szCs w:val="20"/>
        </w:rPr>
        <w:t xml:space="preserve"> functions in New South Wales. </w:t>
      </w:r>
      <w:r w:rsidR="00702C63" w:rsidRPr="00FC6804">
        <w:rPr>
          <w:rFonts w:ascii="Arial" w:hAnsi="Arial" w:cs="Arial"/>
          <w:sz w:val="20"/>
          <w:szCs w:val="20"/>
        </w:rPr>
        <w:t xml:space="preserve">Another difference is that Victoria’s regulatory system makes substantial use of third party (i.e. non-government) auditors, unlike most other </w:t>
      </w:r>
      <w:r w:rsidR="00733DEB">
        <w:rPr>
          <w:rFonts w:ascii="Arial" w:hAnsi="Arial" w:cs="Arial"/>
          <w:sz w:val="20"/>
          <w:szCs w:val="20"/>
        </w:rPr>
        <w:t>s</w:t>
      </w:r>
      <w:r w:rsidR="00702C63" w:rsidRPr="00FC6804">
        <w:rPr>
          <w:rFonts w:ascii="Arial" w:hAnsi="Arial" w:cs="Arial"/>
          <w:sz w:val="20"/>
          <w:szCs w:val="20"/>
        </w:rPr>
        <w:t xml:space="preserve">tates and </w:t>
      </w:r>
      <w:r w:rsidR="00733DEB">
        <w:rPr>
          <w:rFonts w:ascii="Arial" w:hAnsi="Arial" w:cs="Arial"/>
          <w:sz w:val="20"/>
          <w:szCs w:val="20"/>
        </w:rPr>
        <w:t>t</w:t>
      </w:r>
      <w:r w:rsidR="00702C63" w:rsidRPr="00FC6804">
        <w:rPr>
          <w:rFonts w:ascii="Arial" w:hAnsi="Arial" w:cs="Arial"/>
          <w:sz w:val="20"/>
          <w:szCs w:val="20"/>
        </w:rPr>
        <w:t>erritories.  Given these qualifications, the comparisons set out in</w:t>
      </w:r>
      <w:r w:rsidR="00733DEB">
        <w:rPr>
          <w:rFonts w:ascii="Arial" w:hAnsi="Arial" w:cs="Arial"/>
          <w:sz w:val="20"/>
          <w:szCs w:val="20"/>
        </w:rPr>
        <w:t xml:space="preserve"> Table </w:t>
      </w:r>
      <w:r w:rsidR="00772F9F">
        <w:rPr>
          <w:rFonts w:ascii="Arial" w:hAnsi="Arial" w:cs="Arial"/>
          <w:sz w:val="20"/>
          <w:szCs w:val="20"/>
        </w:rPr>
        <w:t>5</w:t>
      </w:r>
      <w:r w:rsidR="00733DEB">
        <w:rPr>
          <w:rFonts w:ascii="Arial" w:hAnsi="Arial" w:cs="Arial"/>
          <w:sz w:val="20"/>
          <w:szCs w:val="20"/>
        </w:rPr>
        <w:t xml:space="preserve">.2 below </w:t>
      </w:r>
      <w:r w:rsidR="00702C63" w:rsidRPr="00FC6804">
        <w:rPr>
          <w:rFonts w:ascii="Arial" w:hAnsi="Arial" w:cs="Arial"/>
          <w:sz w:val="20"/>
          <w:szCs w:val="20"/>
        </w:rPr>
        <w:t xml:space="preserve">can only be considered to be indicative in nature.    </w:t>
      </w:r>
    </w:p>
    <w:p w:rsidR="009947A6" w:rsidRPr="00FC6804" w:rsidRDefault="009947A6" w:rsidP="00F14E97">
      <w:pPr>
        <w:spacing w:after="0" w:line="240" w:lineRule="auto"/>
        <w:rPr>
          <w:rFonts w:ascii="Arial" w:hAnsi="Arial" w:cs="Arial"/>
          <w:sz w:val="20"/>
          <w:szCs w:val="20"/>
        </w:rPr>
      </w:pPr>
    </w:p>
    <w:p w:rsidR="009947A6" w:rsidRPr="00FC6804" w:rsidRDefault="009947A6" w:rsidP="00F14E97">
      <w:pPr>
        <w:spacing w:after="0" w:line="240" w:lineRule="auto"/>
        <w:rPr>
          <w:rFonts w:ascii="Arial" w:hAnsi="Arial" w:cs="Arial"/>
          <w:b/>
          <w:color w:val="1F4E79" w:themeColor="accent1" w:themeShade="80"/>
          <w:sz w:val="20"/>
          <w:szCs w:val="20"/>
        </w:rPr>
      </w:pPr>
      <w:r w:rsidRPr="00FC6804">
        <w:rPr>
          <w:rFonts w:ascii="Arial" w:hAnsi="Arial" w:cs="Arial"/>
          <w:b/>
          <w:color w:val="1F4E79" w:themeColor="accent1" w:themeShade="80"/>
          <w:sz w:val="20"/>
          <w:szCs w:val="20"/>
        </w:rPr>
        <w:t xml:space="preserve">Table </w:t>
      </w:r>
      <w:r w:rsidR="006A7A0B">
        <w:rPr>
          <w:rFonts w:ascii="Arial" w:hAnsi="Arial" w:cs="Arial"/>
          <w:b/>
          <w:color w:val="1F4E79" w:themeColor="accent1" w:themeShade="80"/>
          <w:sz w:val="20"/>
          <w:szCs w:val="20"/>
        </w:rPr>
        <w:t>5</w:t>
      </w:r>
      <w:r w:rsidRPr="00FC6804">
        <w:rPr>
          <w:rFonts w:ascii="Arial" w:hAnsi="Arial" w:cs="Arial"/>
          <w:b/>
          <w:color w:val="1F4E79" w:themeColor="accent1" w:themeShade="80"/>
          <w:sz w:val="20"/>
          <w:szCs w:val="20"/>
        </w:rPr>
        <w:t>.2: Comparison of expenditures on food safety reg</w:t>
      </w:r>
      <w:r w:rsidR="001F4B20" w:rsidRPr="00FC6804">
        <w:rPr>
          <w:rFonts w:ascii="Arial" w:hAnsi="Arial" w:cs="Arial"/>
          <w:b/>
          <w:color w:val="1F4E79" w:themeColor="accent1" w:themeShade="80"/>
          <w:sz w:val="20"/>
          <w:szCs w:val="20"/>
        </w:rPr>
        <w:t>ulators (</w:t>
      </w:r>
      <w:r w:rsidRPr="00FC6804">
        <w:rPr>
          <w:rFonts w:ascii="Arial" w:hAnsi="Arial" w:cs="Arial"/>
          <w:b/>
          <w:color w:val="1F4E79" w:themeColor="accent1" w:themeShade="80"/>
          <w:sz w:val="20"/>
          <w:szCs w:val="20"/>
        </w:rPr>
        <w:t>2013-14</w:t>
      </w:r>
      <w:r w:rsidR="001F4B20" w:rsidRPr="00FC6804">
        <w:rPr>
          <w:rFonts w:ascii="Arial" w:hAnsi="Arial" w:cs="Arial"/>
          <w:b/>
          <w:color w:val="1F4E79" w:themeColor="accent1" w:themeShade="80"/>
          <w:sz w:val="20"/>
          <w:szCs w:val="20"/>
        </w:rPr>
        <w:t>)</w:t>
      </w:r>
    </w:p>
    <w:p w:rsidR="001F4B20" w:rsidRDefault="001F4B20" w:rsidP="00F14E97">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4621"/>
        <w:gridCol w:w="4621"/>
      </w:tblGrid>
      <w:tr w:rsidR="009947A6" w:rsidRPr="00FC6804" w:rsidTr="009E63BE">
        <w:tc>
          <w:tcPr>
            <w:tcW w:w="4621" w:type="dxa"/>
            <w:shd w:val="clear" w:color="auto" w:fill="F2F2F2" w:themeFill="background1" w:themeFillShade="F2"/>
          </w:tcPr>
          <w:p w:rsidR="009947A6" w:rsidRPr="00FC6804" w:rsidRDefault="009947A6" w:rsidP="001E7008">
            <w:pPr>
              <w:spacing w:before="60" w:after="60"/>
              <w:jc w:val="center"/>
              <w:rPr>
                <w:rFonts w:ascii="Arial" w:hAnsi="Arial" w:cs="Arial"/>
                <w:b/>
                <w:sz w:val="20"/>
                <w:szCs w:val="20"/>
              </w:rPr>
            </w:pPr>
            <w:r w:rsidRPr="00FC6804">
              <w:rPr>
                <w:rFonts w:ascii="Arial" w:hAnsi="Arial" w:cs="Arial"/>
                <w:b/>
                <w:sz w:val="20"/>
                <w:szCs w:val="20"/>
              </w:rPr>
              <w:t>State</w:t>
            </w:r>
          </w:p>
        </w:tc>
        <w:tc>
          <w:tcPr>
            <w:tcW w:w="4621" w:type="dxa"/>
            <w:shd w:val="clear" w:color="auto" w:fill="F2F2F2" w:themeFill="background1" w:themeFillShade="F2"/>
          </w:tcPr>
          <w:p w:rsidR="009947A6" w:rsidRPr="00FC6804" w:rsidRDefault="009947A6" w:rsidP="001E7008">
            <w:pPr>
              <w:spacing w:before="60" w:after="60"/>
              <w:jc w:val="center"/>
              <w:rPr>
                <w:rFonts w:ascii="Arial" w:hAnsi="Arial" w:cs="Arial"/>
                <w:b/>
                <w:sz w:val="20"/>
                <w:szCs w:val="20"/>
              </w:rPr>
            </w:pPr>
            <w:r w:rsidRPr="00FC6804">
              <w:rPr>
                <w:rFonts w:ascii="Arial" w:hAnsi="Arial" w:cs="Arial"/>
                <w:b/>
                <w:sz w:val="20"/>
                <w:szCs w:val="20"/>
              </w:rPr>
              <w:t>Budget</w:t>
            </w:r>
          </w:p>
        </w:tc>
      </w:tr>
      <w:tr w:rsidR="009947A6" w:rsidRPr="00FC6804" w:rsidTr="009947A6">
        <w:tc>
          <w:tcPr>
            <w:tcW w:w="4621" w:type="dxa"/>
          </w:tcPr>
          <w:p w:rsidR="009947A6" w:rsidRPr="00FC6804" w:rsidRDefault="009947A6" w:rsidP="001E7008">
            <w:pPr>
              <w:spacing w:before="60" w:after="60"/>
              <w:jc w:val="center"/>
              <w:rPr>
                <w:rFonts w:ascii="Arial" w:hAnsi="Arial" w:cs="Arial"/>
                <w:sz w:val="20"/>
                <w:szCs w:val="20"/>
              </w:rPr>
            </w:pPr>
            <w:r w:rsidRPr="00FC6804">
              <w:rPr>
                <w:rFonts w:ascii="Arial" w:hAnsi="Arial" w:cs="Arial"/>
                <w:sz w:val="20"/>
                <w:szCs w:val="20"/>
              </w:rPr>
              <w:t>Victoria (Prime</w:t>
            </w:r>
            <w:r w:rsidR="001E7008" w:rsidRPr="00FC6804">
              <w:rPr>
                <w:rFonts w:ascii="Arial" w:hAnsi="Arial" w:cs="Arial"/>
                <w:sz w:val="20"/>
                <w:szCs w:val="20"/>
              </w:rPr>
              <w:t>S</w:t>
            </w:r>
            <w:r w:rsidRPr="00FC6804">
              <w:rPr>
                <w:rFonts w:ascii="Arial" w:hAnsi="Arial" w:cs="Arial"/>
                <w:sz w:val="20"/>
                <w:szCs w:val="20"/>
              </w:rPr>
              <w:t>afe &amp; DFSV)</w:t>
            </w:r>
          </w:p>
        </w:tc>
        <w:tc>
          <w:tcPr>
            <w:tcW w:w="4621" w:type="dxa"/>
          </w:tcPr>
          <w:p w:rsidR="009947A6" w:rsidRPr="00FC6804" w:rsidRDefault="009947A6" w:rsidP="001E7008">
            <w:pPr>
              <w:spacing w:before="60" w:after="60"/>
              <w:jc w:val="center"/>
              <w:rPr>
                <w:rFonts w:ascii="Arial" w:hAnsi="Arial" w:cs="Arial"/>
                <w:sz w:val="20"/>
                <w:szCs w:val="20"/>
              </w:rPr>
            </w:pPr>
            <w:r w:rsidRPr="00FC6804">
              <w:rPr>
                <w:rFonts w:ascii="Arial" w:hAnsi="Arial" w:cs="Arial"/>
                <w:sz w:val="20"/>
                <w:szCs w:val="20"/>
              </w:rPr>
              <w:t>$7.5 million</w:t>
            </w:r>
          </w:p>
        </w:tc>
      </w:tr>
      <w:tr w:rsidR="009947A6" w:rsidRPr="00FC6804" w:rsidTr="009947A6">
        <w:tc>
          <w:tcPr>
            <w:tcW w:w="4621" w:type="dxa"/>
          </w:tcPr>
          <w:p w:rsidR="009947A6" w:rsidRPr="00FC6804" w:rsidRDefault="009947A6" w:rsidP="001E7008">
            <w:pPr>
              <w:spacing w:before="60" w:after="60"/>
              <w:jc w:val="center"/>
              <w:rPr>
                <w:rFonts w:ascii="Arial" w:hAnsi="Arial" w:cs="Arial"/>
                <w:sz w:val="20"/>
                <w:szCs w:val="20"/>
              </w:rPr>
            </w:pPr>
            <w:r w:rsidRPr="00FC6804">
              <w:rPr>
                <w:rFonts w:ascii="Arial" w:hAnsi="Arial" w:cs="Arial"/>
                <w:sz w:val="20"/>
                <w:szCs w:val="20"/>
              </w:rPr>
              <w:t>New South Wales (NSW Food Authority)</w:t>
            </w:r>
          </w:p>
        </w:tc>
        <w:tc>
          <w:tcPr>
            <w:tcW w:w="4621" w:type="dxa"/>
          </w:tcPr>
          <w:p w:rsidR="009947A6" w:rsidRPr="00FC6804" w:rsidRDefault="009947A6" w:rsidP="001E7008">
            <w:pPr>
              <w:spacing w:before="60" w:after="60"/>
              <w:jc w:val="center"/>
              <w:rPr>
                <w:rFonts w:ascii="Arial" w:hAnsi="Arial" w:cs="Arial"/>
                <w:sz w:val="20"/>
                <w:szCs w:val="20"/>
              </w:rPr>
            </w:pPr>
            <w:r w:rsidRPr="00FC6804">
              <w:rPr>
                <w:rFonts w:ascii="Arial" w:hAnsi="Arial" w:cs="Arial"/>
                <w:sz w:val="20"/>
                <w:szCs w:val="20"/>
              </w:rPr>
              <w:t>$23.6 million</w:t>
            </w:r>
          </w:p>
        </w:tc>
      </w:tr>
      <w:tr w:rsidR="009947A6" w:rsidRPr="00FC6804" w:rsidTr="009947A6">
        <w:tc>
          <w:tcPr>
            <w:tcW w:w="4621" w:type="dxa"/>
          </w:tcPr>
          <w:p w:rsidR="009947A6" w:rsidRPr="00FC6804" w:rsidRDefault="009947A6" w:rsidP="001E7008">
            <w:pPr>
              <w:spacing w:before="60" w:after="60"/>
              <w:jc w:val="center"/>
              <w:rPr>
                <w:rFonts w:ascii="Arial" w:hAnsi="Arial" w:cs="Arial"/>
                <w:sz w:val="20"/>
                <w:szCs w:val="20"/>
              </w:rPr>
            </w:pPr>
            <w:r w:rsidRPr="00FC6804">
              <w:rPr>
                <w:rFonts w:ascii="Arial" w:hAnsi="Arial" w:cs="Arial"/>
                <w:sz w:val="20"/>
                <w:szCs w:val="20"/>
              </w:rPr>
              <w:t>Queensland (Safe Food Queensland)</w:t>
            </w:r>
          </w:p>
        </w:tc>
        <w:tc>
          <w:tcPr>
            <w:tcW w:w="4621" w:type="dxa"/>
          </w:tcPr>
          <w:p w:rsidR="009947A6" w:rsidRPr="00FC6804" w:rsidRDefault="009947A6" w:rsidP="001E7008">
            <w:pPr>
              <w:spacing w:before="60" w:after="60"/>
              <w:jc w:val="center"/>
              <w:rPr>
                <w:rFonts w:ascii="Arial" w:hAnsi="Arial" w:cs="Arial"/>
                <w:sz w:val="20"/>
                <w:szCs w:val="20"/>
              </w:rPr>
            </w:pPr>
            <w:r w:rsidRPr="00FC6804">
              <w:rPr>
                <w:rFonts w:ascii="Arial" w:hAnsi="Arial" w:cs="Arial"/>
                <w:sz w:val="20"/>
                <w:szCs w:val="20"/>
              </w:rPr>
              <w:t>$6.5 million</w:t>
            </w:r>
          </w:p>
        </w:tc>
      </w:tr>
      <w:tr w:rsidR="009947A6" w:rsidRPr="00FC6804" w:rsidTr="009947A6">
        <w:tc>
          <w:tcPr>
            <w:tcW w:w="4621" w:type="dxa"/>
          </w:tcPr>
          <w:p w:rsidR="009947A6" w:rsidRPr="00FC6804" w:rsidRDefault="009947A6" w:rsidP="001E7008">
            <w:pPr>
              <w:spacing w:before="60" w:after="60"/>
              <w:jc w:val="center"/>
              <w:rPr>
                <w:rFonts w:ascii="Arial" w:hAnsi="Arial" w:cs="Arial"/>
                <w:sz w:val="20"/>
                <w:szCs w:val="20"/>
              </w:rPr>
            </w:pPr>
            <w:r w:rsidRPr="00FC6804">
              <w:rPr>
                <w:rFonts w:ascii="Arial" w:hAnsi="Arial" w:cs="Arial"/>
                <w:sz w:val="20"/>
                <w:szCs w:val="20"/>
              </w:rPr>
              <w:t>Western Australia</w:t>
            </w:r>
            <w:r w:rsidR="009B6832" w:rsidRPr="00FC6804">
              <w:rPr>
                <w:rFonts w:ascii="Arial" w:hAnsi="Arial" w:cs="Arial"/>
                <w:sz w:val="20"/>
                <w:szCs w:val="20"/>
              </w:rPr>
              <w:t xml:space="preserve"> (Department of Health)</w:t>
            </w:r>
          </w:p>
        </w:tc>
        <w:tc>
          <w:tcPr>
            <w:tcW w:w="4621" w:type="dxa"/>
          </w:tcPr>
          <w:p w:rsidR="009947A6" w:rsidRPr="00FC6804" w:rsidRDefault="009B6832" w:rsidP="001E7008">
            <w:pPr>
              <w:spacing w:before="60" w:after="60"/>
              <w:jc w:val="center"/>
              <w:rPr>
                <w:rFonts w:ascii="Arial" w:hAnsi="Arial" w:cs="Arial"/>
                <w:sz w:val="20"/>
                <w:szCs w:val="20"/>
              </w:rPr>
            </w:pPr>
            <w:r w:rsidRPr="00FC6804">
              <w:rPr>
                <w:rFonts w:ascii="Arial" w:hAnsi="Arial" w:cs="Arial"/>
                <w:sz w:val="20"/>
                <w:szCs w:val="20"/>
              </w:rPr>
              <w:t>$2.5 million</w:t>
            </w:r>
          </w:p>
        </w:tc>
      </w:tr>
    </w:tbl>
    <w:p w:rsidR="00CE6427" w:rsidRPr="00FC6804" w:rsidRDefault="00CE6427" w:rsidP="00F14E97">
      <w:pPr>
        <w:spacing w:after="0" w:line="240" w:lineRule="auto"/>
        <w:rPr>
          <w:rFonts w:ascii="Arial" w:hAnsi="Arial" w:cs="Arial"/>
          <w:b/>
          <w:sz w:val="20"/>
          <w:szCs w:val="20"/>
        </w:rPr>
      </w:pPr>
    </w:p>
    <w:p w:rsidR="009947A6" w:rsidRPr="00733DEB" w:rsidRDefault="009B6832" w:rsidP="00F14E97">
      <w:pPr>
        <w:spacing w:after="0" w:line="240" w:lineRule="auto"/>
        <w:rPr>
          <w:rFonts w:ascii="Arial" w:hAnsi="Arial" w:cs="Arial"/>
          <w:sz w:val="18"/>
          <w:szCs w:val="18"/>
        </w:rPr>
      </w:pPr>
      <w:r w:rsidRPr="00733DEB">
        <w:rPr>
          <w:rFonts w:ascii="Arial" w:hAnsi="Arial" w:cs="Arial"/>
          <w:sz w:val="18"/>
          <w:szCs w:val="18"/>
        </w:rPr>
        <w:t>Sources: Annual Reports (Various)</w:t>
      </w:r>
    </w:p>
    <w:p w:rsidR="009947A6" w:rsidRPr="00FC6804" w:rsidRDefault="009947A6" w:rsidP="00F14E97">
      <w:pPr>
        <w:spacing w:after="0" w:line="240" w:lineRule="auto"/>
        <w:rPr>
          <w:rFonts w:ascii="Arial" w:hAnsi="Arial" w:cs="Arial"/>
          <w:sz w:val="20"/>
          <w:szCs w:val="20"/>
        </w:rPr>
      </w:pPr>
    </w:p>
    <w:p w:rsidR="00025CE6" w:rsidRPr="00FC6804" w:rsidRDefault="00025CE6" w:rsidP="00F14E97">
      <w:pPr>
        <w:spacing w:after="0" w:line="240" w:lineRule="auto"/>
        <w:rPr>
          <w:rFonts w:ascii="Arial" w:hAnsi="Arial" w:cs="Arial"/>
          <w:b/>
          <w:color w:val="1F4E79" w:themeColor="accent1" w:themeShade="80"/>
          <w:sz w:val="20"/>
          <w:szCs w:val="20"/>
        </w:rPr>
      </w:pPr>
      <w:r w:rsidRPr="00FC6804">
        <w:rPr>
          <w:rFonts w:ascii="Arial" w:hAnsi="Arial" w:cs="Arial"/>
          <w:b/>
          <w:color w:val="1F4E79" w:themeColor="accent1" w:themeShade="80"/>
          <w:sz w:val="20"/>
          <w:szCs w:val="20"/>
        </w:rPr>
        <w:t>Nature, level and focus of Prime</w:t>
      </w:r>
      <w:r w:rsidR="00386315" w:rsidRPr="00FC6804">
        <w:rPr>
          <w:rFonts w:ascii="Arial" w:hAnsi="Arial" w:cs="Arial"/>
          <w:b/>
          <w:color w:val="1F4E79" w:themeColor="accent1" w:themeShade="80"/>
          <w:sz w:val="20"/>
          <w:szCs w:val="20"/>
        </w:rPr>
        <w:t>S</w:t>
      </w:r>
      <w:r w:rsidRPr="00FC6804">
        <w:rPr>
          <w:rFonts w:ascii="Arial" w:hAnsi="Arial" w:cs="Arial"/>
          <w:b/>
          <w:color w:val="1F4E79" w:themeColor="accent1" w:themeShade="80"/>
          <w:sz w:val="20"/>
          <w:szCs w:val="20"/>
        </w:rPr>
        <w:t>afe regulatory activity</w:t>
      </w:r>
    </w:p>
    <w:p w:rsidR="00CE6427" w:rsidRPr="00FC6804" w:rsidRDefault="00CE6427" w:rsidP="00F14E97">
      <w:pPr>
        <w:spacing w:after="0" w:line="240" w:lineRule="auto"/>
        <w:rPr>
          <w:rFonts w:ascii="Arial" w:hAnsi="Arial" w:cs="Arial"/>
          <w:sz w:val="20"/>
          <w:szCs w:val="20"/>
        </w:rPr>
      </w:pPr>
    </w:p>
    <w:p w:rsidR="00025CE6" w:rsidRPr="00FC6804" w:rsidRDefault="00025CE6" w:rsidP="00F14E97">
      <w:pPr>
        <w:spacing w:after="0" w:line="240" w:lineRule="auto"/>
        <w:rPr>
          <w:rFonts w:ascii="Arial" w:hAnsi="Arial" w:cs="Arial"/>
          <w:sz w:val="20"/>
          <w:szCs w:val="20"/>
        </w:rPr>
      </w:pPr>
      <w:r w:rsidRPr="00FC6804">
        <w:rPr>
          <w:rFonts w:ascii="Arial" w:hAnsi="Arial" w:cs="Arial"/>
          <w:sz w:val="20"/>
          <w:szCs w:val="20"/>
        </w:rPr>
        <w:t xml:space="preserve">As shown in Table </w:t>
      </w:r>
      <w:r w:rsidR="006A7A0B">
        <w:rPr>
          <w:rFonts w:ascii="Arial" w:hAnsi="Arial" w:cs="Arial"/>
          <w:sz w:val="20"/>
          <w:szCs w:val="20"/>
        </w:rPr>
        <w:t>5</w:t>
      </w:r>
      <w:r w:rsidRPr="00FC6804">
        <w:rPr>
          <w:rFonts w:ascii="Arial" w:hAnsi="Arial" w:cs="Arial"/>
          <w:sz w:val="20"/>
          <w:szCs w:val="20"/>
        </w:rPr>
        <w:t>.1, Prime</w:t>
      </w:r>
      <w:r w:rsidR="00386315" w:rsidRPr="00FC6804">
        <w:rPr>
          <w:rFonts w:ascii="Arial" w:hAnsi="Arial" w:cs="Arial"/>
          <w:sz w:val="20"/>
          <w:szCs w:val="20"/>
        </w:rPr>
        <w:t>S</w:t>
      </w:r>
      <w:r w:rsidRPr="00FC6804">
        <w:rPr>
          <w:rFonts w:ascii="Arial" w:hAnsi="Arial" w:cs="Arial"/>
          <w:sz w:val="20"/>
          <w:szCs w:val="20"/>
        </w:rPr>
        <w:t xml:space="preserve">afe’s costs have been allocated between its three main areas </w:t>
      </w:r>
      <w:r w:rsidR="00B91D57">
        <w:rPr>
          <w:rFonts w:ascii="Arial" w:hAnsi="Arial" w:cs="Arial"/>
          <w:sz w:val="20"/>
          <w:szCs w:val="20"/>
        </w:rPr>
        <w:t xml:space="preserve">of </w:t>
      </w:r>
      <w:r w:rsidRPr="00FC6804">
        <w:rPr>
          <w:rFonts w:ascii="Arial" w:hAnsi="Arial" w:cs="Arial"/>
          <w:sz w:val="20"/>
          <w:szCs w:val="20"/>
        </w:rPr>
        <w:t>activity, respectively CEO/</w:t>
      </w:r>
      <w:r w:rsidR="00B91D57">
        <w:rPr>
          <w:rFonts w:ascii="Arial" w:hAnsi="Arial" w:cs="Arial"/>
          <w:sz w:val="20"/>
          <w:szCs w:val="20"/>
        </w:rPr>
        <w:t>a</w:t>
      </w:r>
      <w:r w:rsidRPr="00FC6804">
        <w:rPr>
          <w:rFonts w:ascii="Arial" w:hAnsi="Arial" w:cs="Arial"/>
          <w:sz w:val="20"/>
          <w:szCs w:val="20"/>
        </w:rPr>
        <w:t>dministration, compliance and enforcement</w:t>
      </w:r>
      <w:r w:rsidR="00B91D57">
        <w:rPr>
          <w:rFonts w:ascii="Arial" w:hAnsi="Arial" w:cs="Arial"/>
          <w:sz w:val="20"/>
          <w:szCs w:val="20"/>
        </w:rPr>
        <w:t>,</w:t>
      </w:r>
      <w:r w:rsidRPr="00FC6804">
        <w:rPr>
          <w:rFonts w:ascii="Arial" w:hAnsi="Arial" w:cs="Arial"/>
          <w:sz w:val="20"/>
          <w:szCs w:val="20"/>
        </w:rPr>
        <w:t xml:space="preserve"> and information </w:t>
      </w:r>
      <w:r w:rsidR="00B91D57">
        <w:rPr>
          <w:rFonts w:ascii="Arial" w:hAnsi="Arial" w:cs="Arial"/>
          <w:sz w:val="20"/>
          <w:szCs w:val="20"/>
        </w:rPr>
        <w:t>and support</w:t>
      </w:r>
      <w:r w:rsidRPr="00FC6804">
        <w:rPr>
          <w:rFonts w:ascii="Arial" w:hAnsi="Arial" w:cs="Arial"/>
          <w:sz w:val="20"/>
          <w:szCs w:val="20"/>
        </w:rPr>
        <w:t>.  The following briefly describes the main activities undertaken in each area.</w:t>
      </w:r>
    </w:p>
    <w:p w:rsidR="00025CE6" w:rsidRPr="00FC6804" w:rsidRDefault="00025CE6" w:rsidP="00F14E97">
      <w:pPr>
        <w:spacing w:after="0" w:line="240" w:lineRule="auto"/>
        <w:rPr>
          <w:rFonts w:ascii="Arial" w:hAnsi="Arial" w:cs="Arial"/>
          <w:sz w:val="20"/>
          <w:szCs w:val="20"/>
        </w:rPr>
      </w:pPr>
    </w:p>
    <w:p w:rsidR="00112312" w:rsidRPr="00FC6804" w:rsidRDefault="00112312" w:rsidP="00F14E97">
      <w:pPr>
        <w:spacing w:after="0" w:line="240" w:lineRule="auto"/>
        <w:rPr>
          <w:rFonts w:ascii="Arial" w:hAnsi="Arial" w:cs="Arial"/>
          <w:sz w:val="20"/>
          <w:szCs w:val="20"/>
        </w:rPr>
      </w:pPr>
    </w:p>
    <w:p w:rsidR="00112312" w:rsidRPr="00FC6804" w:rsidRDefault="00112312" w:rsidP="00F14E97">
      <w:pPr>
        <w:spacing w:after="0" w:line="240" w:lineRule="auto"/>
        <w:rPr>
          <w:rFonts w:ascii="Arial" w:hAnsi="Arial" w:cs="Arial"/>
          <w:sz w:val="20"/>
          <w:szCs w:val="20"/>
        </w:rPr>
      </w:pPr>
    </w:p>
    <w:p w:rsidR="00112312" w:rsidRPr="00FC6804" w:rsidRDefault="00112312" w:rsidP="00F14E97">
      <w:pPr>
        <w:spacing w:after="0" w:line="240" w:lineRule="auto"/>
        <w:rPr>
          <w:rFonts w:ascii="Arial" w:hAnsi="Arial" w:cs="Arial"/>
          <w:sz w:val="20"/>
          <w:szCs w:val="20"/>
        </w:rPr>
      </w:pPr>
    </w:p>
    <w:p w:rsidR="00112312" w:rsidRPr="00FC6804" w:rsidRDefault="00112312" w:rsidP="00F14E97">
      <w:pPr>
        <w:spacing w:after="0" w:line="240" w:lineRule="auto"/>
        <w:rPr>
          <w:rFonts w:ascii="Arial" w:hAnsi="Arial" w:cs="Arial"/>
          <w:sz w:val="20"/>
          <w:szCs w:val="20"/>
        </w:rPr>
      </w:pPr>
    </w:p>
    <w:p w:rsidR="00112312" w:rsidRPr="00FC6804" w:rsidRDefault="00112312" w:rsidP="00F14E97">
      <w:pPr>
        <w:spacing w:after="0" w:line="240" w:lineRule="auto"/>
        <w:rPr>
          <w:rFonts w:ascii="Arial" w:hAnsi="Arial" w:cs="Arial"/>
          <w:sz w:val="20"/>
          <w:szCs w:val="20"/>
        </w:rPr>
      </w:pPr>
    </w:p>
    <w:p w:rsidR="00112312" w:rsidRPr="00FC6804" w:rsidRDefault="00112312" w:rsidP="00F14E97">
      <w:pPr>
        <w:spacing w:after="0" w:line="240" w:lineRule="auto"/>
        <w:rPr>
          <w:rFonts w:ascii="Arial" w:hAnsi="Arial" w:cs="Arial"/>
          <w:sz w:val="20"/>
          <w:szCs w:val="20"/>
        </w:rPr>
      </w:pPr>
    </w:p>
    <w:p w:rsidR="00112312" w:rsidRPr="00FC6804" w:rsidRDefault="00112312" w:rsidP="00F14E97">
      <w:pPr>
        <w:spacing w:after="0" w:line="240" w:lineRule="auto"/>
        <w:rPr>
          <w:rFonts w:ascii="Arial" w:hAnsi="Arial" w:cs="Arial"/>
          <w:sz w:val="20"/>
          <w:szCs w:val="20"/>
        </w:rPr>
      </w:pPr>
    </w:p>
    <w:p w:rsidR="00112312" w:rsidRPr="00FC6804" w:rsidRDefault="00112312" w:rsidP="00F14E97">
      <w:pPr>
        <w:spacing w:after="0" w:line="240" w:lineRule="auto"/>
        <w:rPr>
          <w:rFonts w:ascii="Arial" w:hAnsi="Arial" w:cs="Arial"/>
          <w:sz w:val="20"/>
          <w:szCs w:val="20"/>
        </w:rPr>
      </w:pPr>
    </w:p>
    <w:p w:rsidR="00025CE6" w:rsidRPr="00FC6804" w:rsidRDefault="00025CE6" w:rsidP="00F14E97">
      <w:pPr>
        <w:spacing w:after="0" w:line="240" w:lineRule="auto"/>
        <w:rPr>
          <w:rFonts w:ascii="Arial" w:hAnsi="Arial" w:cs="Arial"/>
          <w:b/>
          <w:i/>
          <w:sz w:val="20"/>
          <w:szCs w:val="20"/>
        </w:rPr>
      </w:pPr>
      <w:r w:rsidRPr="00FC6804">
        <w:rPr>
          <w:rFonts w:ascii="Arial" w:hAnsi="Arial" w:cs="Arial"/>
          <w:b/>
          <w:i/>
          <w:sz w:val="20"/>
          <w:szCs w:val="20"/>
        </w:rPr>
        <w:t>CEO/Administration</w:t>
      </w:r>
    </w:p>
    <w:p w:rsidR="00386315" w:rsidRPr="00FC6804" w:rsidRDefault="00386315" w:rsidP="00F14E97">
      <w:pPr>
        <w:spacing w:after="0" w:line="240" w:lineRule="auto"/>
        <w:rPr>
          <w:rFonts w:ascii="Arial" w:hAnsi="Arial" w:cs="Arial"/>
          <w:b/>
          <w:sz w:val="20"/>
          <w:szCs w:val="20"/>
        </w:rPr>
      </w:pPr>
    </w:p>
    <w:p w:rsidR="00025CE6" w:rsidRPr="00FC6804" w:rsidRDefault="008B52A9" w:rsidP="00F14E97">
      <w:pPr>
        <w:spacing w:after="0" w:line="240" w:lineRule="auto"/>
        <w:rPr>
          <w:rFonts w:ascii="Arial" w:hAnsi="Arial" w:cs="Arial"/>
          <w:sz w:val="20"/>
          <w:szCs w:val="20"/>
        </w:rPr>
      </w:pPr>
      <w:r w:rsidRPr="00FC6804">
        <w:rPr>
          <w:rFonts w:ascii="Arial" w:hAnsi="Arial" w:cs="Arial"/>
          <w:sz w:val="20"/>
          <w:szCs w:val="20"/>
        </w:rPr>
        <w:t>The CEO/Administration function embrac</w:t>
      </w:r>
      <w:r w:rsidR="00386315" w:rsidRPr="00FC6804">
        <w:rPr>
          <w:rFonts w:ascii="Arial" w:hAnsi="Arial" w:cs="Arial"/>
          <w:sz w:val="20"/>
          <w:szCs w:val="20"/>
        </w:rPr>
        <w:t xml:space="preserve">es a wide range of activities. </w:t>
      </w:r>
      <w:r w:rsidRPr="00FC6804">
        <w:rPr>
          <w:rFonts w:ascii="Arial" w:hAnsi="Arial" w:cs="Arial"/>
          <w:sz w:val="20"/>
          <w:szCs w:val="20"/>
        </w:rPr>
        <w:t xml:space="preserve">Fundamentally, it involves setting </w:t>
      </w:r>
      <w:r w:rsidR="006D599E" w:rsidRPr="00FC6804">
        <w:rPr>
          <w:rFonts w:ascii="Arial" w:hAnsi="Arial" w:cs="Arial"/>
          <w:sz w:val="20"/>
          <w:szCs w:val="20"/>
        </w:rPr>
        <w:t>the policy direction of the organisation, developing and approving its work program and mainta</w:t>
      </w:r>
      <w:r w:rsidR="00386315" w:rsidRPr="00FC6804">
        <w:rPr>
          <w:rFonts w:ascii="Arial" w:hAnsi="Arial" w:cs="Arial"/>
          <w:sz w:val="20"/>
          <w:szCs w:val="20"/>
        </w:rPr>
        <w:t xml:space="preserve">ining supervision of outcomes. </w:t>
      </w:r>
      <w:r w:rsidR="008E605A" w:rsidRPr="00FC6804">
        <w:rPr>
          <w:rFonts w:ascii="Arial" w:hAnsi="Arial" w:cs="Arial"/>
          <w:sz w:val="20"/>
          <w:szCs w:val="20"/>
        </w:rPr>
        <w:t>As an example, Prime</w:t>
      </w:r>
      <w:r w:rsidR="00386315" w:rsidRPr="00FC6804">
        <w:rPr>
          <w:rFonts w:ascii="Arial" w:hAnsi="Arial" w:cs="Arial"/>
          <w:sz w:val="20"/>
          <w:szCs w:val="20"/>
        </w:rPr>
        <w:t>S</w:t>
      </w:r>
      <w:r w:rsidR="008E605A" w:rsidRPr="00FC6804">
        <w:rPr>
          <w:rFonts w:ascii="Arial" w:hAnsi="Arial" w:cs="Arial"/>
          <w:sz w:val="20"/>
          <w:szCs w:val="20"/>
        </w:rPr>
        <w:t xml:space="preserve">afe developed a new Risk Management Policy and guidelines during 2014-15.  </w:t>
      </w:r>
      <w:r w:rsidR="006D599E" w:rsidRPr="00FC6804">
        <w:rPr>
          <w:rFonts w:ascii="Arial" w:hAnsi="Arial" w:cs="Arial"/>
          <w:sz w:val="20"/>
          <w:szCs w:val="20"/>
        </w:rPr>
        <w:t xml:space="preserve">In addition, </w:t>
      </w:r>
      <w:r w:rsidR="008E605A" w:rsidRPr="00FC6804">
        <w:rPr>
          <w:rFonts w:ascii="Arial" w:hAnsi="Arial" w:cs="Arial"/>
          <w:sz w:val="20"/>
          <w:szCs w:val="20"/>
        </w:rPr>
        <w:t>this function</w:t>
      </w:r>
      <w:r w:rsidR="006D599E" w:rsidRPr="00FC6804">
        <w:rPr>
          <w:rFonts w:ascii="Arial" w:hAnsi="Arial" w:cs="Arial"/>
          <w:sz w:val="20"/>
          <w:szCs w:val="20"/>
        </w:rPr>
        <w:t xml:space="preserve"> includes a range of functions relating to Prime</w:t>
      </w:r>
      <w:r w:rsidR="007E1BD2" w:rsidRPr="00FC6804">
        <w:rPr>
          <w:rFonts w:ascii="Arial" w:hAnsi="Arial" w:cs="Arial"/>
          <w:sz w:val="20"/>
          <w:szCs w:val="20"/>
        </w:rPr>
        <w:t>S</w:t>
      </w:r>
      <w:r w:rsidR="006D599E" w:rsidRPr="00FC6804">
        <w:rPr>
          <w:rFonts w:ascii="Arial" w:hAnsi="Arial" w:cs="Arial"/>
          <w:sz w:val="20"/>
          <w:szCs w:val="20"/>
        </w:rPr>
        <w:t>afe’s regulatory responsibilities that fall outside the compliance and enforcement</w:t>
      </w:r>
      <w:r w:rsidR="00E07CE1">
        <w:rPr>
          <w:rFonts w:ascii="Arial" w:hAnsi="Arial" w:cs="Arial"/>
          <w:sz w:val="20"/>
          <w:szCs w:val="20"/>
        </w:rPr>
        <w:t>,</w:t>
      </w:r>
      <w:r w:rsidR="006D599E" w:rsidRPr="00FC6804">
        <w:rPr>
          <w:rFonts w:ascii="Arial" w:hAnsi="Arial" w:cs="Arial"/>
          <w:sz w:val="20"/>
          <w:szCs w:val="20"/>
        </w:rPr>
        <w:t xml:space="preserve"> and information </w:t>
      </w:r>
      <w:r w:rsidR="00E07CE1">
        <w:rPr>
          <w:rFonts w:ascii="Arial" w:hAnsi="Arial" w:cs="Arial"/>
          <w:sz w:val="20"/>
          <w:szCs w:val="20"/>
        </w:rPr>
        <w:t xml:space="preserve">and support areas. </w:t>
      </w:r>
      <w:r w:rsidR="006D599E" w:rsidRPr="00FC6804">
        <w:rPr>
          <w:rFonts w:ascii="Arial" w:hAnsi="Arial" w:cs="Arial"/>
          <w:sz w:val="20"/>
          <w:szCs w:val="20"/>
        </w:rPr>
        <w:t>For example, in 2014-15, Prime</w:t>
      </w:r>
      <w:r w:rsidR="00386315" w:rsidRPr="00FC6804">
        <w:rPr>
          <w:rFonts w:ascii="Arial" w:hAnsi="Arial" w:cs="Arial"/>
          <w:sz w:val="20"/>
          <w:szCs w:val="20"/>
        </w:rPr>
        <w:t>S</w:t>
      </w:r>
      <w:r w:rsidR="006D599E" w:rsidRPr="00FC6804">
        <w:rPr>
          <w:rFonts w:ascii="Arial" w:hAnsi="Arial" w:cs="Arial"/>
          <w:sz w:val="20"/>
          <w:szCs w:val="20"/>
        </w:rPr>
        <w:t xml:space="preserve">afe: </w:t>
      </w:r>
    </w:p>
    <w:p w:rsidR="00386315" w:rsidRPr="00FC6804" w:rsidRDefault="00386315" w:rsidP="00F14E97">
      <w:pPr>
        <w:spacing w:after="0" w:line="240" w:lineRule="auto"/>
        <w:rPr>
          <w:rFonts w:ascii="Arial" w:hAnsi="Arial" w:cs="Arial"/>
          <w:sz w:val="20"/>
          <w:szCs w:val="20"/>
        </w:rPr>
      </w:pPr>
    </w:p>
    <w:p w:rsidR="006D599E" w:rsidRPr="00FC6804" w:rsidRDefault="00E07CE1" w:rsidP="00F14E97">
      <w:pPr>
        <w:pStyle w:val="ListParagraph"/>
        <w:numPr>
          <w:ilvl w:val="0"/>
          <w:numId w:val="29"/>
        </w:numPr>
        <w:autoSpaceDE w:val="0"/>
        <w:autoSpaceDN w:val="0"/>
        <w:adjustRightInd w:val="0"/>
        <w:spacing w:after="0" w:line="240" w:lineRule="auto"/>
        <w:ind w:left="714" w:hanging="357"/>
        <w:contextualSpacing w:val="0"/>
        <w:rPr>
          <w:rFonts w:ascii="Arial" w:hAnsi="Arial" w:cs="Arial"/>
          <w:sz w:val="20"/>
          <w:szCs w:val="20"/>
        </w:rPr>
      </w:pPr>
      <w:r w:rsidRPr="00FC6804">
        <w:rPr>
          <w:rFonts w:ascii="Arial" w:hAnsi="Arial" w:cs="Arial"/>
          <w:sz w:val="20"/>
          <w:szCs w:val="20"/>
        </w:rPr>
        <w:t>Published</w:t>
      </w:r>
      <w:r w:rsidR="006D599E" w:rsidRPr="00FC6804">
        <w:rPr>
          <w:rFonts w:ascii="Arial" w:hAnsi="Arial" w:cs="Arial"/>
          <w:sz w:val="20"/>
          <w:szCs w:val="20"/>
        </w:rPr>
        <w:t xml:space="preserve"> advice and conducted industry forums </w:t>
      </w:r>
      <w:r>
        <w:rPr>
          <w:rFonts w:ascii="Arial" w:hAnsi="Arial" w:cs="Arial"/>
          <w:sz w:val="20"/>
          <w:szCs w:val="20"/>
        </w:rPr>
        <w:t>on</w:t>
      </w:r>
      <w:r w:rsidR="006D599E" w:rsidRPr="00FC6804">
        <w:rPr>
          <w:rFonts w:ascii="Arial" w:hAnsi="Arial" w:cs="Arial"/>
          <w:sz w:val="20"/>
          <w:szCs w:val="20"/>
        </w:rPr>
        <w:t xml:space="preserve"> the management of </w:t>
      </w:r>
      <w:r>
        <w:rPr>
          <w:rFonts w:ascii="Arial" w:hAnsi="Arial" w:cs="Arial"/>
          <w:sz w:val="20"/>
          <w:szCs w:val="20"/>
        </w:rPr>
        <w:t>l</w:t>
      </w:r>
      <w:r w:rsidR="006D599E" w:rsidRPr="00FC6804">
        <w:rPr>
          <w:rFonts w:ascii="Arial" w:hAnsi="Arial" w:cs="Arial"/>
          <w:sz w:val="20"/>
          <w:szCs w:val="20"/>
        </w:rPr>
        <w:t>isteria. This has enhanced consistency across the industry sectors and assisted businesses to strengthen their quality assurance programs to keep this serious risk to public health out of their facilities, reducing risks and enhancing consumer confidence</w:t>
      </w:r>
      <w:r w:rsidR="00867B1B" w:rsidRPr="00FC6804">
        <w:rPr>
          <w:rFonts w:ascii="Arial" w:hAnsi="Arial" w:cs="Arial"/>
          <w:sz w:val="20"/>
          <w:szCs w:val="20"/>
        </w:rPr>
        <w:t>; and</w:t>
      </w:r>
    </w:p>
    <w:p w:rsidR="00112312" w:rsidRPr="00FC6804" w:rsidRDefault="00112312" w:rsidP="00112312">
      <w:pPr>
        <w:pStyle w:val="ListParagraph"/>
        <w:autoSpaceDE w:val="0"/>
        <w:autoSpaceDN w:val="0"/>
        <w:adjustRightInd w:val="0"/>
        <w:spacing w:after="0" w:line="240" w:lineRule="auto"/>
        <w:ind w:left="714"/>
        <w:contextualSpacing w:val="0"/>
        <w:rPr>
          <w:rFonts w:ascii="Arial" w:hAnsi="Arial" w:cs="Arial"/>
          <w:sz w:val="20"/>
          <w:szCs w:val="20"/>
        </w:rPr>
      </w:pPr>
    </w:p>
    <w:p w:rsidR="00824A3B" w:rsidRPr="00FC6804" w:rsidRDefault="006D599E" w:rsidP="00F14E97">
      <w:pPr>
        <w:pStyle w:val="ListParagraph"/>
        <w:numPr>
          <w:ilvl w:val="0"/>
          <w:numId w:val="29"/>
        </w:numPr>
        <w:autoSpaceDE w:val="0"/>
        <w:autoSpaceDN w:val="0"/>
        <w:adjustRightInd w:val="0"/>
        <w:spacing w:after="0" w:line="240" w:lineRule="auto"/>
        <w:contextualSpacing w:val="0"/>
        <w:rPr>
          <w:rFonts w:ascii="Arial" w:hAnsi="Arial" w:cs="Arial"/>
          <w:sz w:val="20"/>
          <w:szCs w:val="20"/>
        </w:rPr>
      </w:pPr>
      <w:r w:rsidRPr="00FC6804">
        <w:rPr>
          <w:rFonts w:ascii="Arial" w:hAnsi="Arial" w:cs="Arial"/>
          <w:sz w:val="20"/>
          <w:szCs w:val="20"/>
        </w:rPr>
        <w:t>PrimeSafe also published a guide for the production of dry aged beef</w:t>
      </w:r>
      <w:r w:rsidR="00824A3B" w:rsidRPr="00FC6804">
        <w:rPr>
          <w:rFonts w:ascii="Arial" w:hAnsi="Arial" w:cs="Arial"/>
          <w:sz w:val="20"/>
          <w:szCs w:val="20"/>
        </w:rPr>
        <w:t xml:space="preserve">, in consultation from industry specialists, health authorities and food safety regulators across Australia.  This highlighted the </w:t>
      </w:r>
      <w:r w:rsidRPr="00FC6804">
        <w:rPr>
          <w:rFonts w:ascii="Arial" w:hAnsi="Arial" w:cs="Arial"/>
          <w:sz w:val="20"/>
          <w:szCs w:val="20"/>
        </w:rPr>
        <w:t>inherent food safety risks</w:t>
      </w:r>
      <w:r w:rsidR="00824A3B" w:rsidRPr="00FC6804">
        <w:rPr>
          <w:rFonts w:ascii="Arial" w:hAnsi="Arial" w:cs="Arial"/>
          <w:sz w:val="20"/>
          <w:szCs w:val="20"/>
        </w:rPr>
        <w:t xml:space="preserve"> of this method of production and provided information to assist </w:t>
      </w:r>
      <w:r w:rsidR="00E07CE1">
        <w:rPr>
          <w:rFonts w:ascii="Arial" w:hAnsi="Arial" w:cs="Arial"/>
          <w:sz w:val="20"/>
          <w:szCs w:val="20"/>
        </w:rPr>
        <w:t>processors</w:t>
      </w:r>
      <w:r w:rsidR="00824A3B" w:rsidRPr="00FC6804">
        <w:rPr>
          <w:rFonts w:ascii="Arial" w:hAnsi="Arial" w:cs="Arial"/>
          <w:sz w:val="20"/>
          <w:szCs w:val="20"/>
        </w:rPr>
        <w:t xml:space="preserve"> to achieve safe outcomes.</w:t>
      </w:r>
    </w:p>
    <w:p w:rsidR="00025CE6" w:rsidRPr="00FC6804" w:rsidRDefault="00025CE6" w:rsidP="00F14E97">
      <w:pPr>
        <w:spacing w:after="0" w:line="240" w:lineRule="auto"/>
        <w:rPr>
          <w:rFonts w:ascii="Arial" w:hAnsi="Arial" w:cs="Arial"/>
          <w:sz w:val="20"/>
          <w:szCs w:val="20"/>
        </w:rPr>
      </w:pPr>
    </w:p>
    <w:p w:rsidR="00025CE6" w:rsidRPr="00FC6804" w:rsidRDefault="00025CE6" w:rsidP="00F14E97">
      <w:pPr>
        <w:spacing w:after="0" w:line="240" w:lineRule="auto"/>
        <w:rPr>
          <w:rFonts w:ascii="Arial" w:hAnsi="Arial" w:cs="Arial"/>
          <w:b/>
          <w:i/>
          <w:sz w:val="20"/>
          <w:szCs w:val="20"/>
        </w:rPr>
      </w:pPr>
      <w:r w:rsidRPr="00FC6804">
        <w:rPr>
          <w:rFonts w:ascii="Arial" w:hAnsi="Arial" w:cs="Arial"/>
          <w:b/>
          <w:i/>
          <w:sz w:val="20"/>
          <w:szCs w:val="20"/>
        </w:rPr>
        <w:t>Compliance and enforcement</w:t>
      </w:r>
    </w:p>
    <w:p w:rsidR="00112312" w:rsidRPr="00FC6804" w:rsidRDefault="00112312" w:rsidP="00F14E97">
      <w:pPr>
        <w:spacing w:after="0" w:line="240" w:lineRule="auto"/>
        <w:rPr>
          <w:rFonts w:ascii="Arial" w:hAnsi="Arial" w:cs="Arial"/>
          <w:sz w:val="20"/>
          <w:szCs w:val="20"/>
        </w:rPr>
      </w:pPr>
    </w:p>
    <w:p w:rsidR="00025CE6" w:rsidRPr="00FC6804" w:rsidRDefault="00293F3A" w:rsidP="00F14E97">
      <w:pPr>
        <w:spacing w:after="0" w:line="240" w:lineRule="auto"/>
        <w:rPr>
          <w:rFonts w:ascii="Arial" w:hAnsi="Arial" w:cs="Arial"/>
          <w:sz w:val="20"/>
          <w:szCs w:val="20"/>
        </w:rPr>
      </w:pPr>
      <w:r w:rsidRPr="00FC6804">
        <w:rPr>
          <w:rFonts w:ascii="Arial" w:hAnsi="Arial" w:cs="Arial"/>
          <w:sz w:val="20"/>
          <w:szCs w:val="20"/>
        </w:rPr>
        <w:t>The major activity falling under this heading is that of ins</w:t>
      </w:r>
      <w:r w:rsidR="00112312" w:rsidRPr="00FC6804">
        <w:rPr>
          <w:rFonts w:ascii="Arial" w:hAnsi="Arial" w:cs="Arial"/>
          <w:sz w:val="20"/>
          <w:szCs w:val="20"/>
        </w:rPr>
        <w:t>pections of licensed premises. PrimeSafe</w:t>
      </w:r>
      <w:r w:rsidRPr="00FC6804">
        <w:rPr>
          <w:rFonts w:ascii="Arial" w:hAnsi="Arial" w:cs="Arial"/>
          <w:sz w:val="20"/>
          <w:szCs w:val="20"/>
        </w:rPr>
        <w:t xml:space="preserve"> carried out a total of 1,082 inspections during 2013-14. </w:t>
      </w:r>
      <w:r w:rsidR="00B25E5B" w:rsidRPr="00FC6804">
        <w:rPr>
          <w:rFonts w:ascii="Arial" w:hAnsi="Arial" w:cs="Arial"/>
          <w:sz w:val="20"/>
          <w:szCs w:val="20"/>
        </w:rPr>
        <w:t xml:space="preserve"> This is equal to approximately one</w:t>
      </w:r>
      <w:r w:rsidR="00E07CE1">
        <w:rPr>
          <w:rFonts w:ascii="Arial" w:hAnsi="Arial" w:cs="Arial"/>
          <w:sz w:val="20"/>
          <w:szCs w:val="20"/>
        </w:rPr>
        <w:t xml:space="preserve"> inspection per nine licensees. </w:t>
      </w:r>
      <w:r w:rsidRPr="00FC6804">
        <w:rPr>
          <w:rFonts w:ascii="Arial" w:hAnsi="Arial" w:cs="Arial"/>
          <w:sz w:val="20"/>
          <w:szCs w:val="20"/>
        </w:rPr>
        <w:t>Inspections are carried out in a number of different contexts and for differing purpo</w:t>
      </w:r>
      <w:r w:rsidR="00E07CE1">
        <w:rPr>
          <w:rFonts w:ascii="Arial" w:hAnsi="Arial" w:cs="Arial"/>
          <w:sz w:val="20"/>
          <w:szCs w:val="20"/>
        </w:rPr>
        <w:t xml:space="preserve">ses. </w:t>
      </w:r>
      <w:r w:rsidRPr="00FC6804">
        <w:rPr>
          <w:rFonts w:ascii="Arial" w:hAnsi="Arial" w:cs="Arial"/>
          <w:sz w:val="20"/>
          <w:szCs w:val="20"/>
        </w:rPr>
        <w:t xml:space="preserve">Table </w:t>
      </w:r>
      <w:r w:rsidR="006A7A0B">
        <w:rPr>
          <w:rFonts w:ascii="Arial" w:hAnsi="Arial" w:cs="Arial"/>
          <w:sz w:val="20"/>
          <w:szCs w:val="20"/>
        </w:rPr>
        <w:t>5</w:t>
      </w:r>
      <w:r w:rsidRPr="00FC6804">
        <w:rPr>
          <w:rFonts w:ascii="Arial" w:hAnsi="Arial" w:cs="Arial"/>
          <w:sz w:val="20"/>
          <w:szCs w:val="20"/>
        </w:rPr>
        <w:t xml:space="preserve">.3 provides a detailed breakdown of </w:t>
      </w:r>
      <w:r w:rsidR="007E1BD2" w:rsidRPr="00FC6804">
        <w:rPr>
          <w:rFonts w:ascii="Arial" w:hAnsi="Arial" w:cs="Arial"/>
          <w:sz w:val="20"/>
          <w:szCs w:val="20"/>
        </w:rPr>
        <w:t>PrimeSafe</w:t>
      </w:r>
      <w:r w:rsidRPr="00FC6804">
        <w:rPr>
          <w:rFonts w:ascii="Arial" w:hAnsi="Arial" w:cs="Arial"/>
          <w:sz w:val="20"/>
          <w:szCs w:val="20"/>
        </w:rPr>
        <w:t xml:space="preserve"> inspection activity for 2013-14.  </w:t>
      </w:r>
      <w:r w:rsidR="009C0CD9" w:rsidRPr="00FC6804">
        <w:rPr>
          <w:rFonts w:ascii="Arial" w:hAnsi="Arial" w:cs="Arial"/>
          <w:sz w:val="20"/>
          <w:szCs w:val="20"/>
        </w:rPr>
        <w:t>The four largest categories of inspection collectively account</w:t>
      </w:r>
      <w:r w:rsidR="00E07CE1">
        <w:rPr>
          <w:rFonts w:ascii="Arial" w:hAnsi="Arial" w:cs="Arial"/>
          <w:sz w:val="20"/>
          <w:szCs w:val="20"/>
        </w:rPr>
        <w:t xml:space="preserve"> for almost 80% of this total. </w:t>
      </w:r>
      <w:r w:rsidR="009C0CD9" w:rsidRPr="00FC6804">
        <w:rPr>
          <w:rFonts w:ascii="Arial" w:hAnsi="Arial" w:cs="Arial"/>
          <w:sz w:val="20"/>
          <w:szCs w:val="20"/>
        </w:rPr>
        <w:t xml:space="preserve">They are </w:t>
      </w:r>
      <w:r w:rsidRPr="00FC6804">
        <w:rPr>
          <w:rFonts w:ascii="Arial" w:hAnsi="Arial" w:cs="Arial"/>
          <w:sz w:val="20"/>
          <w:szCs w:val="20"/>
        </w:rPr>
        <w:t>as follows:</w:t>
      </w:r>
    </w:p>
    <w:p w:rsidR="00112312" w:rsidRPr="00FC6804" w:rsidRDefault="00112312" w:rsidP="00F14E97">
      <w:pPr>
        <w:spacing w:after="0" w:line="240" w:lineRule="auto"/>
        <w:rPr>
          <w:rFonts w:ascii="Arial" w:hAnsi="Arial" w:cs="Arial"/>
          <w:sz w:val="20"/>
          <w:szCs w:val="20"/>
        </w:rPr>
      </w:pPr>
    </w:p>
    <w:p w:rsidR="00293F3A" w:rsidRPr="00FC6804" w:rsidRDefault="00E07CE1" w:rsidP="00F14E97">
      <w:pPr>
        <w:pStyle w:val="ListParagraph"/>
        <w:numPr>
          <w:ilvl w:val="0"/>
          <w:numId w:val="27"/>
        </w:numPr>
        <w:spacing w:after="0" w:line="240" w:lineRule="auto"/>
        <w:contextualSpacing w:val="0"/>
        <w:rPr>
          <w:rFonts w:ascii="Arial" w:hAnsi="Arial" w:cs="Arial"/>
          <w:sz w:val="20"/>
          <w:szCs w:val="20"/>
        </w:rPr>
      </w:pPr>
      <w:r>
        <w:rPr>
          <w:rFonts w:ascii="Arial" w:hAnsi="Arial" w:cs="Arial"/>
          <w:sz w:val="20"/>
          <w:szCs w:val="20"/>
        </w:rPr>
        <w:t xml:space="preserve">Sulphur dioxide: </w:t>
      </w:r>
      <w:r w:rsidR="00293F3A" w:rsidRPr="00FC6804">
        <w:rPr>
          <w:rFonts w:ascii="Arial" w:hAnsi="Arial" w:cs="Arial"/>
          <w:sz w:val="20"/>
          <w:szCs w:val="20"/>
        </w:rPr>
        <w:t>424, or 39.2% of inspections were undertaken in retail butcher shops to check for evidence of the use of sulphur dioxide in meat other than sausage</w:t>
      </w:r>
      <w:r>
        <w:rPr>
          <w:rFonts w:ascii="Arial" w:hAnsi="Arial" w:cs="Arial"/>
          <w:sz w:val="20"/>
          <w:szCs w:val="20"/>
        </w:rPr>
        <w:t xml:space="preserve"> meat. </w:t>
      </w:r>
      <w:r w:rsidR="00293F3A" w:rsidRPr="00FC6804">
        <w:rPr>
          <w:rFonts w:ascii="Arial" w:hAnsi="Arial" w:cs="Arial"/>
          <w:sz w:val="20"/>
          <w:szCs w:val="20"/>
        </w:rPr>
        <w:t>S</w:t>
      </w:r>
      <w:r w:rsidR="00112312" w:rsidRPr="00FC6804">
        <w:rPr>
          <w:rFonts w:ascii="Arial" w:hAnsi="Arial" w:cs="Arial"/>
          <w:sz w:val="20"/>
          <w:szCs w:val="20"/>
        </w:rPr>
        <w:t>O</w:t>
      </w:r>
      <w:r w:rsidR="00293F3A" w:rsidRPr="00FC6804">
        <w:rPr>
          <w:rFonts w:ascii="Arial" w:hAnsi="Arial" w:cs="Arial"/>
          <w:sz w:val="20"/>
          <w:szCs w:val="20"/>
          <w:vertAlign w:val="subscript"/>
        </w:rPr>
        <w:t>2</w:t>
      </w:r>
      <w:r w:rsidR="00293F3A" w:rsidRPr="00FC6804">
        <w:rPr>
          <w:rFonts w:ascii="Arial" w:hAnsi="Arial" w:cs="Arial"/>
          <w:sz w:val="20"/>
          <w:szCs w:val="20"/>
        </w:rPr>
        <w:t xml:space="preserve"> is regarded as a contaminant in meet, with no allowable level being set in the </w:t>
      </w:r>
      <w:r>
        <w:rPr>
          <w:rFonts w:ascii="Arial" w:hAnsi="Arial" w:cs="Arial"/>
          <w:sz w:val="20"/>
          <w:szCs w:val="20"/>
        </w:rPr>
        <w:t xml:space="preserve">Australia New Zealand Food Standards Code. </w:t>
      </w:r>
      <w:r w:rsidR="00293F3A" w:rsidRPr="00FC6804">
        <w:rPr>
          <w:rFonts w:ascii="Arial" w:hAnsi="Arial" w:cs="Arial"/>
          <w:sz w:val="20"/>
          <w:szCs w:val="20"/>
        </w:rPr>
        <w:t>It is of concern to consumers both because a proportion of the population is sensitive to SO</w:t>
      </w:r>
      <w:r w:rsidR="00293F3A" w:rsidRPr="00FC6804">
        <w:rPr>
          <w:rFonts w:ascii="Arial" w:hAnsi="Arial" w:cs="Arial"/>
          <w:sz w:val="20"/>
          <w:szCs w:val="20"/>
          <w:vertAlign w:val="subscript"/>
        </w:rPr>
        <w:t>2</w:t>
      </w:r>
      <w:r w:rsidR="00293F3A" w:rsidRPr="00FC6804">
        <w:rPr>
          <w:rFonts w:ascii="Arial" w:hAnsi="Arial" w:cs="Arial"/>
          <w:sz w:val="20"/>
          <w:szCs w:val="20"/>
        </w:rPr>
        <w:t xml:space="preserve"> and manifests negative health consequences if exposed to it</w:t>
      </w:r>
      <w:r w:rsidR="004D251D" w:rsidRPr="00FC6804">
        <w:rPr>
          <w:rStyle w:val="FootnoteReference"/>
          <w:rFonts w:ascii="Arial" w:hAnsi="Arial" w:cs="Arial"/>
          <w:sz w:val="20"/>
          <w:szCs w:val="20"/>
        </w:rPr>
        <w:footnoteReference w:id="12"/>
      </w:r>
      <w:r w:rsidR="00293F3A" w:rsidRPr="00FC6804">
        <w:rPr>
          <w:rFonts w:ascii="Arial" w:hAnsi="Arial" w:cs="Arial"/>
          <w:sz w:val="20"/>
          <w:szCs w:val="20"/>
        </w:rPr>
        <w:t xml:space="preserve"> and because SO</w:t>
      </w:r>
      <w:r w:rsidR="00293F3A" w:rsidRPr="00FC6804">
        <w:rPr>
          <w:rFonts w:ascii="Arial" w:hAnsi="Arial" w:cs="Arial"/>
          <w:sz w:val="20"/>
          <w:szCs w:val="20"/>
          <w:vertAlign w:val="subscript"/>
        </w:rPr>
        <w:t>2</w:t>
      </w:r>
      <w:r w:rsidR="00293F3A" w:rsidRPr="00FC6804">
        <w:rPr>
          <w:rFonts w:ascii="Arial" w:hAnsi="Arial" w:cs="Arial"/>
          <w:sz w:val="20"/>
          <w:szCs w:val="20"/>
        </w:rPr>
        <w:t xml:space="preserve"> can be used to restore the appearance of freshness to meat, thus poten</w:t>
      </w:r>
      <w:r>
        <w:rPr>
          <w:rFonts w:ascii="Arial" w:hAnsi="Arial" w:cs="Arial"/>
          <w:sz w:val="20"/>
          <w:szCs w:val="20"/>
        </w:rPr>
        <w:t xml:space="preserve">tially deceiving the consumer. </w:t>
      </w:r>
      <w:r w:rsidR="00293F3A" w:rsidRPr="00FC6804">
        <w:rPr>
          <w:rFonts w:ascii="Arial" w:hAnsi="Arial" w:cs="Arial"/>
          <w:sz w:val="20"/>
          <w:szCs w:val="20"/>
        </w:rPr>
        <w:t>These inspections are conducted randomly</w:t>
      </w:r>
      <w:r w:rsidR="00B25E5B" w:rsidRPr="00FC6804">
        <w:rPr>
          <w:rFonts w:ascii="Arial" w:hAnsi="Arial" w:cs="Arial"/>
          <w:sz w:val="20"/>
          <w:szCs w:val="20"/>
        </w:rPr>
        <w:t xml:space="preserve">, with about 40% of licensed </w:t>
      </w:r>
      <w:r>
        <w:rPr>
          <w:rFonts w:ascii="Arial" w:hAnsi="Arial" w:cs="Arial"/>
          <w:sz w:val="20"/>
          <w:szCs w:val="20"/>
        </w:rPr>
        <w:t>retail butcher shops</w:t>
      </w:r>
      <w:r w:rsidR="00B25E5B" w:rsidRPr="00FC6804">
        <w:rPr>
          <w:rFonts w:ascii="Arial" w:hAnsi="Arial" w:cs="Arial"/>
          <w:sz w:val="20"/>
          <w:szCs w:val="20"/>
        </w:rPr>
        <w:t xml:space="preserve"> being inspected for SO</w:t>
      </w:r>
      <w:r w:rsidR="00B25E5B" w:rsidRPr="00FC6804">
        <w:rPr>
          <w:rFonts w:ascii="Arial" w:hAnsi="Arial" w:cs="Arial"/>
          <w:sz w:val="20"/>
          <w:szCs w:val="20"/>
          <w:vertAlign w:val="subscript"/>
        </w:rPr>
        <w:t>2</w:t>
      </w:r>
      <w:r>
        <w:rPr>
          <w:rFonts w:ascii="Arial" w:hAnsi="Arial" w:cs="Arial"/>
          <w:sz w:val="20"/>
          <w:szCs w:val="20"/>
        </w:rPr>
        <w:t xml:space="preserve"> annually. </w:t>
      </w:r>
      <w:r w:rsidR="00B25E5B" w:rsidRPr="00FC6804">
        <w:rPr>
          <w:rFonts w:ascii="Arial" w:hAnsi="Arial" w:cs="Arial"/>
          <w:sz w:val="20"/>
          <w:szCs w:val="20"/>
        </w:rPr>
        <w:t xml:space="preserve">Compliance levels are now high, with only </w:t>
      </w:r>
      <w:r>
        <w:rPr>
          <w:rFonts w:ascii="Arial" w:hAnsi="Arial" w:cs="Arial"/>
          <w:sz w:val="20"/>
          <w:szCs w:val="20"/>
        </w:rPr>
        <w:t>one</w:t>
      </w:r>
      <w:r w:rsidR="00B25E5B" w:rsidRPr="00FC6804">
        <w:rPr>
          <w:rFonts w:ascii="Arial" w:hAnsi="Arial" w:cs="Arial"/>
          <w:sz w:val="20"/>
          <w:szCs w:val="20"/>
        </w:rPr>
        <w:t xml:space="preserve"> use of SO</w:t>
      </w:r>
      <w:r w:rsidR="00B25E5B" w:rsidRPr="00FC6804">
        <w:rPr>
          <w:rFonts w:ascii="Arial" w:hAnsi="Arial" w:cs="Arial"/>
          <w:sz w:val="20"/>
          <w:szCs w:val="20"/>
          <w:vertAlign w:val="subscript"/>
        </w:rPr>
        <w:t>2</w:t>
      </w:r>
      <w:r w:rsidR="00B25E5B" w:rsidRPr="00FC6804">
        <w:rPr>
          <w:rFonts w:ascii="Arial" w:hAnsi="Arial" w:cs="Arial"/>
          <w:sz w:val="20"/>
          <w:szCs w:val="20"/>
        </w:rPr>
        <w:t xml:space="preserve"> being detected in 2014-15;</w:t>
      </w:r>
    </w:p>
    <w:p w:rsidR="00112312" w:rsidRPr="00FC6804" w:rsidRDefault="00112312" w:rsidP="00112312">
      <w:pPr>
        <w:pStyle w:val="ListParagraph"/>
        <w:spacing w:after="0" w:line="240" w:lineRule="auto"/>
        <w:contextualSpacing w:val="0"/>
        <w:rPr>
          <w:rFonts w:ascii="Arial" w:hAnsi="Arial" w:cs="Arial"/>
          <w:sz w:val="20"/>
          <w:szCs w:val="20"/>
        </w:rPr>
      </w:pPr>
    </w:p>
    <w:p w:rsidR="00B25E5B" w:rsidRPr="00FC6804" w:rsidRDefault="00E07CE1" w:rsidP="00F14E97">
      <w:pPr>
        <w:pStyle w:val="ListParagraph"/>
        <w:numPr>
          <w:ilvl w:val="0"/>
          <w:numId w:val="27"/>
        </w:numPr>
        <w:spacing w:after="0" w:line="240" w:lineRule="auto"/>
        <w:contextualSpacing w:val="0"/>
        <w:rPr>
          <w:rFonts w:ascii="Arial" w:hAnsi="Arial" w:cs="Arial"/>
          <w:sz w:val="20"/>
          <w:szCs w:val="20"/>
        </w:rPr>
      </w:pPr>
      <w:r>
        <w:rPr>
          <w:rFonts w:ascii="Arial" w:hAnsi="Arial" w:cs="Arial"/>
          <w:sz w:val="20"/>
          <w:szCs w:val="20"/>
        </w:rPr>
        <w:t xml:space="preserve">Pre-licensing: </w:t>
      </w:r>
      <w:r w:rsidR="00B25E5B" w:rsidRPr="00FC6804">
        <w:rPr>
          <w:rFonts w:ascii="Arial" w:hAnsi="Arial" w:cs="Arial"/>
          <w:sz w:val="20"/>
          <w:szCs w:val="20"/>
        </w:rPr>
        <w:t>This is the next largest category accounting for 172 insp</w:t>
      </w:r>
      <w:r>
        <w:rPr>
          <w:rFonts w:ascii="Arial" w:hAnsi="Arial" w:cs="Arial"/>
          <w:sz w:val="20"/>
          <w:szCs w:val="20"/>
        </w:rPr>
        <w:t xml:space="preserve">ections or 15.9% of the total. </w:t>
      </w:r>
      <w:r w:rsidR="00B25E5B" w:rsidRPr="00FC6804">
        <w:rPr>
          <w:rFonts w:ascii="Arial" w:hAnsi="Arial" w:cs="Arial"/>
          <w:sz w:val="20"/>
          <w:szCs w:val="20"/>
        </w:rPr>
        <w:t xml:space="preserve">As the name indicates, </w:t>
      </w:r>
      <w:r w:rsidR="007E1BD2" w:rsidRPr="00FC6804">
        <w:rPr>
          <w:rFonts w:ascii="Arial" w:hAnsi="Arial" w:cs="Arial"/>
          <w:sz w:val="20"/>
          <w:szCs w:val="20"/>
        </w:rPr>
        <w:t>PrimeSafe</w:t>
      </w:r>
      <w:r w:rsidR="00B25E5B" w:rsidRPr="00FC6804">
        <w:rPr>
          <w:rFonts w:ascii="Arial" w:hAnsi="Arial" w:cs="Arial"/>
          <w:sz w:val="20"/>
          <w:szCs w:val="20"/>
        </w:rPr>
        <w:t xml:space="preserve"> is required to inspect all new licensees before they can be li</w:t>
      </w:r>
      <w:r>
        <w:rPr>
          <w:rFonts w:ascii="Arial" w:hAnsi="Arial" w:cs="Arial"/>
          <w:sz w:val="20"/>
          <w:szCs w:val="20"/>
        </w:rPr>
        <w:t>censed and commence operations.</w:t>
      </w:r>
      <w:r w:rsidR="00B25E5B" w:rsidRPr="00FC6804">
        <w:rPr>
          <w:rFonts w:ascii="Arial" w:hAnsi="Arial" w:cs="Arial"/>
          <w:sz w:val="20"/>
          <w:szCs w:val="20"/>
        </w:rPr>
        <w:t xml:space="preserve"> The purpose of this inspection is to ensure that their </w:t>
      </w:r>
      <w:r w:rsidR="00F67E97">
        <w:rPr>
          <w:rFonts w:ascii="Arial" w:hAnsi="Arial" w:cs="Arial"/>
          <w:sz w:val="20"/>
          <w:szCs w:val="20"/>
        </w:rPr>
        <w:t>facility</w:t>
      </w:r>
      <w:r w:rsidR="00B25E5B" w:rsidRPr="00FC6804">
        <w:rPr>
          <w:rFonts w:ascii="Arial" w:hAnsi="Arial" w:cs="Arial"/>
          <w:sz w:val="20"/>
          <w:szCs w:val="20"/>
        </w:rPr>
        <w:t xml:space="preserve"> and processes are able </w:t>
      </w:r>
      <w:r w:rsidR="00F67E97">
        <w:rPr>
          <w:rFonts w:ascii="Arial" w:hAnsi="Arial" w:cs="Arial"/>
          <w:sz w:val="20"/>
          <w:szCs w:val="20"/>
        </w:rPr>
        <w:t xml:space="preserve">to </w:t>
      </w:r>
      <w:r w:rsidR="00B25E5B" w:rsidRPr="00FC6804">
        <w:rPr>
          <w:rFonts w:ascii="Arial" w:hAnsi="Arial" w:cs="Arial"/>
          <w:sz w:val="20"/>
          <w:szCs w:val="20"/>
        </w:rPr>
        <w:t xml:space="preserve">systematically </w:t>
      </w:r>
      <w:r w:rsidR="00F67E97">
        <w:rPr>
          <w:rFonts w:ascii="Arial" w:hAnsi="Arial" w:cs="Arial"/>
          <w:sz w:val="20"/>
          <w:szCs w:val="20"/>
        </w:rPr>
        <w:t>process</w:t>
      </w:r>
      <w:r w:rsidR="00B25E5B" w:rsidRPr="00FC6804">
        <w:rPr>
          <w:rFonts w:ascii="Arial" w:hAnsi="Arial" w:cs="Arial"/>
          <w:sz w:val="20"/>
          <w:szCs w:val="20"/>
        </w:rPr>
        <w:t xml:space="preserve"> meat (including poultry, seafood and game) that is safe for human consumption.</w:t>
      </w:r>
    </w:p>
    <w:p w:rsidR="00112312" w:rsidRPr="00FC6804" w:rsidRDefault="00112312" w:rsidP="00112312">
      <w:pPr>
        <w:spacing w:after="0" w:line="240" w:lineRule="auto"/>
        <w:rPr>
          <w:rFonts w:ascii="Arial" w:hAnsi="Arial" w:cs="Arial"/>
          <w:sz w:val="20"/>
          <w:szCs w:val="20"/>
        </w:rPr>
      </w:pPr>
    </w:p>
    <w:p w:rsidR="00B25E5B" w:rsidRPr="00FC6804" w:rsidRDefault="00F67E97" w:rsidP="00F14E97">
      <w:pPr>
        <w:pStyle w:val="ListParagraph"/>
        <w:numPr>
          <w:ilvl w:val="0"/>
          <w:numId w:val="27"/>
        </w:numPr>
        <w:spacing w:after="0" w:line="240" w:lineRule="auto"/>
        <w:contextualSpacing w:val="0"/>
        <w:rPr>
          <w:rFonts w:ascii="Arial" w:hAnsi="Arial" w:cs="Arial"/>
          <w:sz w:val="20"/>
          <w:szCs w:val="20"/>
        </w:rPr>
      </w:pPr>
      <w:r>
        <w:rPr>
          <w:rFonts w:ascii="Arial" w:hAnsi="Arial" w:cs="Arial"/>
          <w:sz w:val="20"/>
          <w:szCs w:val="20"/>
        </w:rPr>
        <w:t xml:space="preserve">Complaints: </w:t>
      </w:r>
      <w:r w:rsidR="00B25E5B" w:rsidRPr="00FC6804">
        <w:rPr>
          <w:rFonts w:ascii="Arial" w:hAnsi="Arial" w:cs="Arial"/>
          <w:sz w:val="20"/>
          <w:szCs w:val="20"/>
        </w:rPr>
        <w:t xml:space="preserve">The third largest category accounting for 144 </w:t>
      </w:r>
      <w:r w:rsidRPr="00FC6804">
        <w:rPr>
          <w:rFonts w:ascii="Arial" w:hAnsi="Arial" w:cs="Arial"/>
          <w:sz w:val="20"/>
          <w:szCs w:val="20"/>
        </w:rPr>
        <w:t>inspections</w:t>
      </w:r>
      <w:r w:rsidR="00B25E5B" w:rsidRPr="00FC6804">
        <w:rPr>
          <w:rFonts w:ascii="Arial" w:hAnsi="Arial" w:cs="Arial"/>
          <w:sz w:val="20"/>
          <w:szCs w:val="20"/>
        </w:rPr>
        <w:t xml:space="preserve"> or 13.3% of the total is </w:t>
      </w:r>
      <w:r w:rsidR="009C0CD9" w:rsidRPr="00FC6804">
        <w:rPr>
          <w:rFonts w:ascii="Arial" w:hAnsi="Arial" w:cs="Arial"/>
          <w:sz w:val="20"/>
          <w:szCs w:val="20"/>
        </w:rPr>
        <w:t xml:space="preserve">that of inspections carried out in response to consumer </w:t>
      </w:r>
      <w:r w:rsidR="00B25E5B" w:rsidRPr="00FC6804">
        <w:rPr>
          <w:rFonts w:ascii="Arial" w:hAnsi="Arial" w:cs="Arial"/>
          <w:sz w:val="20"/>
          <w:szCs w:val="20"/>
        </w:rPr>
        <w:t>complaints</w:t>
      </w:r>
      <w:r>
        <w:rPr>
          <w:rFonts w:ascii="Arial" w:hAnsi="Arial" w:cs="Arial"/>
          <w:sz w:val="20"/>
          <w:szCs w:val="20"/>
        </w:rPr>
        <w:t xml:space="preserve">. </w:t>
      </w:r>
      <w:r w:rsidR="009C0CD9" w:rsidRPr="00FC6804">
        <w:rPr>
          <w:rFonts w:ascii="Arial" w:hAnsi="Arial" w:cs="Arial"/>
          <w:sz w:val="20"/>
          <w:szCs w:val="20"/>
        </w:rPr>
        <w:t>100 of these inspe</w:t>
      </w:r>
      <w:r>
        <w:rPr>
          <w:rFonts w:ascii="Arial" w:hAnsi="Arial" w:cs="Arial"/>
          <w:sz w:val="20"/>
          <w:szCs w:val="20"/>
        </w:rPr>
        <w:t>ctions relate to retail butcher shops and seafood processing facilities</w:t>
      </w:r>
      <w:r w:rsidR="009C0CD9" w:rsidRPr="00FC6804">
        <w:rPr>
          <w:rFonts w:ascii="Arial" w:hAnsi="Arial" w:cs="Arial"/>
          <w:sz w:val="20"/>
          <w:szCs w:val="20"/>
        </w:rPr>
        <w:t>, reflecting the fact that these are the primary points of interaction between the industry and public.</w:t>
      </w:r>
    </w:p>
    <w:p w:rsidR="00112312" w:rsidRPr="00FC6804" w:rsidRDefault="00112312" w:rsidP="00112312">
      <w:pPr>
        <w:spacing w:after="0" w:line="240" w:lineRule="auto"/>
        <w:rPr>
          <w:rFonts w:ascii="Arial" w:hAnsi="Arial" w:cs="Arial"/>
          <w:sz w:val="20"/>
          <w:szCs w:val="20"/>
        </w:rPr>
      </w:pPr>
    </w:p>
    <w:p w:rsidR="009C0CD9" w:rsidRPr="00FC6804" w:rsidRDefault="00F67E97" w:rsidP="00F14E97">
      <w:pPr>
        <w:pStyle w:val="ListParagraph"/>
        <w:numPr>
          <w:ilvl w:val="0"/>
          <w:numId w:val="27"/>
        </w:numPr>
        <w:autoSpaceDE w:val="0"/>
        <w:autoSpaceDN w:val="0"/>
        <w:adjustRightInd w:val="0"/>
        <w:spacing w:after="0" w:line="240" w:lineRule="auto"/>
        <w:contextualSpacing w:val="0"/>
        <w:rPr>
          <w:rFonts w:ascii="Arial" w:hAnsi="Arial" w:cs="Arial"/>
          <w:sz w:val="20"/>
          <w:szCs w:val="20"/>
        </w:rPr>
      </w:pPr>
      <w:r>
        <w:rPr>
          <w:rFonts w:ascii="Arial" w:hAnsi="Arial" w:cs="Arial"/>
          <w:sz w:val="20"/>
          <w:szCs w:val="20"/>
        </w:rPr>
        <w:t xml:space="preserve">Animal welfare: 112 animal welfare inspections or </w:t>
      </w:r>
      <w:r w:rsidR="009C0CD9" w:rsidRPr="00FC6804">
        <w:rPr>
          <w:rFonts w:ascii="Arial" w:hAnsi="Arial" w:cs="Arial"/>
          <w:sz w:val="20"/>
          <w:szCs w:val="20"/>
        </w:rPr>
        <w:t xml:space="preserve">10.4% of </w:t>
      </w:r>
      <w:r>
        <w:rPr>
          <w:rFonts w:ascii="Arial" w:hAnsi="Arial" w:cs="Arial"/>
          <w:sz w:val="20"/>
          <w:szCs w:val="20"/>
        </w:rPr>
        <w:t xml:space="preserve">the total </w:t>
      </w:r>
      <w:r w:rsidR="009C0CD9" w:rsidRPr="00FC6804">
        <w:rPr>
          <w:rFonts w:ascii="Arial" w:hAnsi="Arial" w:cs="Arial"/>
          <w:sz w:val="20"/>
          <w:szCs w:val="20"/>
        </w:rPr>
        <w:t xml:space="preserve">are conducted annually.   </w:t>
      </w:r>
      <w:r w:rsidR="007E1BD2" w:rsidRPr="00FC6804">
        <w:rPr>
          <w:rFonts w:ascii="Arial" w:hAnsi="Arial" w:cs="Arial"/>
          <w:sz w:val="20"/>
          <w:szCs w:val="20"/>
        </w:rPr>
        <w:t>PrimeSafe</w:t>
      </w:r>
      <w:r w:rsidR="009C0CD9" w:rsidRPr="00FC6804">
        <w:rPr>
          <w:rFonts w:ascii="Arial" w:hAnsi="Arial" w:cs="Arial"/>
          <w:sz w:val="20"/>
          <w:szCs w:val="20"/>
        </w:rPr>
        <w:t xml:space="preserve"> conducts unannounced inspections of all licensed abattoirs, pet meat processing facilities handling live animals and poultr</w:t>
      </w:r>
      <w:r>
        <w:rPr>
          <w:rFonts w:ascii="Arial" w:hAnsi="Arial" w:cs="Arial"/>
          <w:sz w:val="20"/>
          <w:szCs w:val="20"/>
        </w:rPr>
        <w:t>y processing facilities on a bi</w:t>
      </w:r>
      <w:r w:rsidR="009C0CD9" w:rsidRPr="00FC6804">
        <w:rPr>
          <w:rFonts w:ascii="Arial" w:hAnsi="Arial" w:cs="Arial"/>
          <w:sz w:val="20"/>
          <w:szCs w:val="20"/>
        </w:rPr>
        <w:t>annual basis to ensure compliance with the Australian Standards for animal welfare.</w:t>
      </w:r>
    </w:p>
    <w:p w:rsidR="00DF55AF" w:rsidRPr="00FC6804" w:rsidRDefault="00DF55AF" w:rsidP="00DF55AF">
      <w:pPr>
        <w:pStyle w:val="ListParagraph"/>
        <w:autoSpaceDE w:val="0"/>
        <w:autoSpaceDN w:val="0"/>
        <w:adjustRightInd w:val="0"/>
        <w:spacing w:after="0" w:line="240" w:lineRule="auto"/>
        <w:contextualSpacing w:val="0"/>
        <w:rPr>
          <w:rFonts w:ascii="Arial" w:hAnsi="Arial" w:cs="Arial"/>
          <w:sz w:val="20"/>
          <w:szCs w:val="20"/>
        </w:rPr>
        <w:sectPr w:rsidR="00DF55AF" w:rsidRPr="00FC6804" w:rsidSect="0076363E">
          <w:pgSz w:w="11906" w:h="16838"/>
          <w:pgMar w:top="1440" w:right="1440" w:bottom="1440" w:left="1440" w:header="567" w:footer="567" w:gutter="0"/>
          <w:cols w:space="708"/>
          <w:docGrid w:linePitch="360"/>
        </w:sectPr>
      </w:pPr>
    </w:p>
    <w:p w:rsidR="00025CE6" w:rsidRPr="00FC6804" w:rsidRDefault="00293F3A" w:rsidP="00F14E97">
      <w:pPr>
        <w:spacing w:after="0" w:line="240" w:lineRule="auto"/>
        <w:rPr>
          <w:rFonts w:ascii="Arial" w:hAnsi="Arial" w:cs="Arial"/>
          <w:b/>
          <w:color w:val="1F4E79" w:themeColor="accent1" w:themeShade="80"/>
          <w:sz w:val="20"/>
          <w:szCs w:val="20"/>
        </w:rPr>
      </w:pPr>
      <w:r w:rsidRPr="00FC6804">
        <w:rPr>
          <w:rFonts w:ascii="Arial" w:hAnsi="Arial" w:cs="Arial"/>
          <w:b/>
          <w:color w:val="1F4E79" w:themeColor="accent1" w:themeShade="80"/>
          <w:sz w:val="20"/>
          <w:szCs w:val="20"/>
        </w:rPr>
        <w:t xml:space="preserve">Table </w:t>
      </w:r>
      <w:r w:rsidR="006A7A0B">
        <w:rPr>
          <w:rFonts w:ascii="Arial" w:hAnsi="Arial" w:cs="Arial"/>
          <w:b/>
          <w:color w:val="1F4E79" w:themeColor="accent1" w:themeShade="80"/>
          <w:sz w:val="20"/>
          <w:szCs w:val="20"/>
        </w:rPr>
        <w:t>5</w:t>
      </w:r>
      <w:r w:rsidRPr="00FC6804">
        <w:rPr>
          <w:rFonts w:ascii="Arial" w:hAnsi="Arial" w:cs="Arial"/>
          <w:b/>
          <w:color w:val="1F4E79" w:themeColor="accent1" w:themeShade="80"/>
          <w:sz w:val="20"/>
          <w:szCs w:val="20"/>
        </w:rPr>
        <w:t xml:space="preserve">.3: Breakdown of </w:t>
      </w:r>
      <w:r w:rsidR="00DF55AF" w:rsidRPr="00FC6804">
        <w:rPr>
          <w:rFonts w:ascii="Arial" w:hAnsi="Arial" w:cs="Arial"/>
          <w:b/>
          <w:color w:val="1F4E79" w:themeColor="accent1" w:themeShade="80"/>
          <w:sz w:val="20"/>
          <w:szCs w:val="20"/>
        </w:rPr>
        <w:t>PrimeSafe</w:t>
      </w:r>
      <w:r w:rsidRPr="00FC6804">
        <w:rPr>
          <w:rFonts w:ascii="Arial" w:hAnsi="Arial" w:cs="Arial"/>
          <w:b/>
          <w:color w:val="1F4E79" w:themeColor="accent1" w:themeShade="80"/>
          <w:sz w:val="20"/>
          <w:szCs w:val="20"/>
        </w:rPr>
        <w:t xml:space="preserve"> inspection</w:t>
      </w:r>
      <w:r w:rsidR="00DF55AF" w:rsidRPr="00FC6804">
        <w:rPr>
          <w:rFonts w:ascii="Arial" w:hAnsi="Arial" w:cs="Arial"/>
          <w:b/>
          <w:color w:val="1F4E79" w:themeColor="accent1" w:themeShade="80"/>
          <w:sz w:val="20"/>
          <w:szCs w:val="20"/>
        </w:rPr>
        <w:t xml:space="preserve"> activity (</w:t>
      </w:r>
      <w:r w:rsidRPr="00FC6804">
        <w:rPr>
          <w:rFonts w:ascii="Arial" w:hAnsi="Arial" w:cs="Arial"/>
          <w:b/>
          <w:color w:val="1F4E79" w:themeColor="accent1" w:themeShade="80"/>
          <w:sz w:val="20"/>
          <w:szCs w:val="20"/>
        </w:rPr>
        <w:t>2013-14</w:t>
      </w:r>
      <w:r w:rsidR="00DF55AF" w:rsidRPr="00FC6804">
        <w:rPr>
          <w:rFonts w:ascii="Arial" w:hAnsi="Arial" w:cs="Arial"/>
          <w:b/>
          <w:color w:val="1F4E79" w:themeColor="accent1" w:themeShade="80"/>
          <w:sz w:val="20"/>
          <w:szCs w:val="20"/>
        </w:rPr>
        <w:t>)</w:t>
      </w:r>
    </w:p>
    <w:p w:rsidR="00DF55AF" w:rsidRPr="00FC6804" w:rsidRDefault="00DF55AF" w:rsidP="00F14E97">
      <w:pPr>
        <w:spacing w:after="0" w:line="240" w:lineRule="auto"/>
        <w:rPr>
          <w:rFonts w:ascii="Arial" w:hAnsi="Arial" w:cs="Arial"/>
          <w:b/>
          <w:sz w:val="20"/>
          <w:szCs w:val="20"/>
          <w:u w:val="single"/>
        </w:rPr>
      </w:pPr>
    </w:p>
    <w:tbl>
      <w:tblPr>
        <w:tblW w:w="140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1135"/>
        <w:gridCol w:w="1134"/>
        <w:gridCol w:w="992"/>
        <w:gridCol w:w="992"/>
        <w:gridCol w:w="1268"/>
        <w:gridCol w:w="858"/>
        <w:gridCol w:w="993"/>
        <w:gridCol w:w="1144"/>
        <w:gridCol w:w="701"/>
        <w:gridCol w:w="759"/>
        <w:gridCol w:w="1397"/>
      </w:tblGrid>
      <w:tr w:rsidR="006E3FE3" w:rsidRPr="00FC6804" w:rsidTr="009E63BE">
        <w:trPr>
          <w:trHeight w:val="664"/>
        </w:trPr>
        <w:tc>
          <w:tcPr>
            <w:tcW w:w="2693" w:type="dxa"/>
            <w:shd w:val="clear" w:color="auto" w:fill="F2F2F2" w:themeFill="background1" w:themeFillShade="F2"/>
            <w:noWrap/>
            <w:hideMark/>
          </w:tcPr>
          <w:p w:rsidR="00D804CD" w:rsidRPr="006E3FE3" w:rsidRDefault="00D804CD" w:rsidP="006E3FE3">
            <w:pPr>
              <w:spacing w:before="60" w:after="60" w:line="240" w:lineRule="auto"/>
              <w:jc w:val="center"/>
              <w:rPr>
                <w:rFonts w:ascii="Arial" w:eastAsia="Times New Roman" w:hAnsi="Arial" w:cs="Arial"/>
                <w:b/>
                <w:bCs/>
                <w:color w:val="000000"/>
                <w:sz w:val="16"/>
                <w:szCs w:val="16"/>
                <w:lang w:eastAsia="en-AU"/>
              </w:rPr>
            </w:pPr>
            <w:r w:rsidRPr="006E3FE3">
              <w:rPr>
                <w:rFonts w:ascii="Arial" w:eastAsia="Times New Roman" w:hAnsi="Arial" w:cs="Arial"/>
                <w:b/>
                <w:bCs/>
                <w:color w:val="000000"/>
                <w:sz w:val="16"/>
                <w:szCs w:val="16"/>
                <w:lang w:eastAsia="en-AU"/>
              </w:rPr>
              <w:t>Inspection/Audits (2013/14)</w:t>
            </w:r>
          </w:p>
        </w:tc>
        <w:tc>
          <w:tcPr>
            <w:tcW w:w="1135" w:type="dxa"/>
            <w:shd w:val="clear" w:color="auto" w:fill="F2F2F2" w:themeFill="background1" w:themeFillShade="F2"/>
            <w:noWrap/>
            <w:hideMark/>
          </w:tcPr>
          <w:p w:rsidR="00D804CD" w:rsidRPr="006E3FE3" w:rsidRDefault="00D804CD" w:rsidP="006E3FE3">
            <w:pPr>
              <w:spacing w:before="60" w:after="60" w:line="240" w:lineRule="auto"/>
              <w:jc w:val="center"/>
              <w:rPr>
                <w:rFonts w:ascii="Arial" w:eastAsia="Times New Roman" w:hAnsi="Arial" w:cs="Arial"/>
                <w:b/>
                <w:bCs/>
                <w:color w:val="000000"/>
                <w:sz w:val="16"/>
                <w:szCs w:val="16"/>
                <w:lang w:eastAsia="en-AU"/>
              </w:rPr>
            </w:pPr>
            <w:r w:rsidRPr="006E3FE3">
              <w:rPr>
                <w:rFonts w:ascii="Arial" w:eastAsia="Times New Roman" w:hAnsi="Arial" w:cs="Arial"/>
                <w:b/>
                <w:bCs/>
                <w:color w:val="000000"/>
                <w:sz w:val="16"/>
                <w:szCs w:val="16"/>
                <w:lang w:eastAsia="en-AU"/>
              </w:rPr>
              <w:t>Pre-Licence</w:t>
            </w:r>
          </w:p>
        </w:tc>
        <w:tc>
          <w:tcPr>
            <w:tcW w:w="1134" w:type="dxa"/>
            <w:shd w:val="clear" w:color="auto" w:fill="F2F2F2" w:themeFill="background1" w:themeFillShade="F2"/>
            <w:noWrap/>
            <w:hideMark/>
          </w:tcPr>
          <w:p w:rsidR="00D804CD" w:rsidRPr="006E3FE3" w:rsidRDefault="00D804CD" w:rsidP="006E3FE3">
            <w:pPr>
              <w:spacing w:before="60" w:after="60" w:line="240" w:lineRule="auto"/>
              <w:jc w:val="center"/>
              <w:rPr>
                <w:rFonts w:ascii="Arial" w:eastAsia="Times New Roman" w:hAnsi="Arial" w:cs="Arial"/>
                <w:b/>
                <w:bCs/>
                <w:color w:val="000000"/>
                <w:sz w:val="16"/>
                <w:szCs w:val="16"/>
                <w:lang w:eastAsia="en-AU"/>
              </w:rPr>
            </w:pPr>
            <w:r w:rsidRPr="006E3FE3">
              <w:rPr>
                <w:rFonts w:ascii="Arial" w:eastAsia="Times New Roman" w:hAnsi="Arial" w:cs="Arial"/>
                <w:b/>
                <w:bCs/>
                <w:color w:val="000000"/>
                <w:sz w:val="16"/>
                <w:szCs w:val="16"/>
                <w:lang w:eastAsia="en-AU"/>
              </w:rPr>
              <w:t>Complaints</w:t>
            </w:r>
          </w:p>
        </w:tc>
        <w:tc>
          <w:tcPr>
            <w:tcW w:w="992" w:type="dxa"/>
            <w:shd w:val="clear" w:color="auto" w:fill="F2F2F2" w:themeFill="background1" w:themeFillShade="F2"/>
            <w:noWrap/>
            <w:hideMark/>
          </w:tcPr>
          <w:p w:rsidR="00D804CD" w:rsidRPr="006E3FE3" w:rsidRDefault="00D804CD" w:rsidP="006E3FE3">
            <w:pPr>
              <w:spacing w:before="60" w:after="60" w:line="240" w:lineRule="auto"/>
              <w:jc w:val="center"/>
              <w:rPr>
                <w:rFonts w:ascii="Arial" w:eastAsia="Times New Roman" w:hAnsi="Arial" w:cs="Arial"/>
                <w:b/>
                <w:bCs/>
                <w:color w:val="000000"/>
                <w:sz w:val="16"/>
                <w:szCs w:val="16"/>
                <w:lang w:eastAsia="en-AU"/>
              </w:rPr>
            </w:pPr>
            <w:r w:rsidRPr="006E3FE3">
              <w:rPr>
                <w:rFonts w:ascii="Arial" w:eastAsia="Times New Roman" w:hAnsi="Arial" w:cs="Arial"/>
                <w:b/>
                <w:bCs/>
                <w:color w:val="000000"/>
                <w:sz w:val="16"/>
                <w:szCs w:val="16"/>
                <w:lang w:eastAsia="en-AU"/>
              </w:rPr>
              <w:t>Critical CAR</w:t>
            </w:r>
          </w:p>
        </w:tc>
        <w:tc>
          <w:tcPr>
            <w:tcW w:w="992" w:type="dxa"/>
            <w:shd w:val="clear" w:color="auto" w:fill="F2F2F2" w:themeFill="background1" w:themeFillShade="F2"/>
            <w:hideMark/>
          </w:tcPr>
          <w:p w:rsidR="00D804CD" w:rsidRPr="006E3FE3" w:rsidRDefault="00D804CD" w:rsidP="006E3FE3">
            <w:pPr>
              <w:spacing w:before="60" w:after="60" w:line="240" w:lineRule="auto"/>
              <w:jc w:val="center"/>
              <w:rPr>
                <w:rFonts w:ascii="Arial" w:eastAsia="Times New Roman" w:hAnsi="Arial" w:cs="Arial"/>
                <w:b/>
                <w:bCs/>
                <w:color w:val="000000"/>
                <w:sz w:val="16"/>
                <w:szCs w:val="16"/>
                <w:lang w:eastAsia="en-AU"/>
              </w:rPr>
            </w:pPr>
            <w:r w:rsidRPr="006E3FE3">
              <w:rPr>
                <w:rFonts w:ascii="Arial" w:eastAsia="Times New Roman" w:hAnsi="Arial" w:cs="Arial"/>
                <w:b/>
                <w:bCs/>
                <w:color w:val="000000"/>
                <w:sz w:val="16"/>
                <w:szCs w:val="16"/>
                <w:lang w:eastAsia="en-AU"/>
              </w:rPr>
              <w:t>Animal Welfare</w:t>
            </w:r>
          </w:p>
        </w:tc>
        <w:tc>
          <w:tcPr>
            <w:tcW w:w="1268" w:type="dxa"/>
            <w:shd w:val="clear" w:color="auto" w:fill="F2F2F2" w:themeFill="background1" w:themeFillShade="F2"/>
            <w:hideMark/>
          </w:tcPr>
          <w:p w:rsidR="00D804CD" w:rsidRPr="006E3FE3" w:rsidRDefault="00D804CD" w:rsidP="006E3FE3">
            <w:pPr>
              <w:spacing w:before="60" w:after="60" w:line="240" w:lineRule="auto"/>
              <w:jc w:val="center"/>
              <w:rPr>
                <w:rFonts w:ascii="Arial" w:eastAsia="Times New Roman" w:hAnsi="Arial" w:cs="Arial"/>
                <w:b/>
                <w:bCs/>
                <w:color w:val="000000"/>
                <w:sz w:val="16"/>
                <w:szCs w:val="16"/>
                <w:lang w:eastAsia="en-AU"/>
              </w:rPr>
            </w:pPr>
            <w:r w:rsidRPr="006E3FE3">
              <w:rPr>
                <w:rFonts w:ascii="Arial" w:eastAsia="Times New Roman" w:hAnsi="Arial" w:cs="Arial"/>
                <w:b/>
                <w:bCs/>
                <w:color w:val="000000"/>
                <w:sz w:val="16"/>
                <w:szCs w:val="16"/>
                <w:lang w:eastAsia="en-AU"/>
              </w:rPr>
              <w:t>Licence Cancellation</w:t>
            </w:r>
          </w:p>
        </w:tc>
        <w:tc>
          <w:tcPr>
            <w:tcW w:w="858" w:type="dxa"/>
            <w:shd w:val="clear" w:color="auto" w:fill="F2F2F2" w:themeFill="background1" w:themeFillShade="F2"/>
            <w:noWrap/>
            <w:hideMark/>
          </w:tcPr>
          <w:p w:rsidR="00D804CD" w:rsidRPr="006E3FE3" w:rsidRDefault="00D804CD" w:rsidP="006E3FE3">
            <w:pPr>
              <w:spacing w:before="60" w:after="60" w:line="240" w:lineRule="auto"/>
              <w:jc w:val="center"/>
              <w:rPr>
                <w:rFonts w:ascii="Arial" w:eastAsia="Times New Roman" w:hAnsi="Arial" w:cs="Arial"/>
                <w:b/>
                <w:bCs/>
                <w:color w:val="000000"/>
                <w:sz w:val="16"/>
                <w:szCs w:val="16"/>
                <w:lang w:eastAsia="en-AU"/>
              </w:rPr>
            </w:pPr>
            <w:r w:rsidRPr="006E3FE3">
              <w:rPr>
                <w:rFonts w:ascii="Arial" w:eastAsia="Times New Roman" w:hAnsi="Arial" w:cs="Arial"/>
                <w:b/>
                <w:bCs/>
                <w:color w:val="000000"/>
                <w:sz w:val="16"/>
                <w:szCs w:val="16"/>
                <w:lang w:eastAsia="en-AU"/>
              </w:rPr>
              <w:t>SO2</w:t>
            </w:r>
          </w:p>
        </w:tc>
        <w:tc>
          <w:tcPr>
            <w:tcW w:w="993" w:type="dxa"/>
            <w:shd w:val="clear" w:color="auto" w:fill="F2F2F2" w:themeFill="background1" w:themeFillShade="F2"/>
            <w:noWrap/>
            <w:hideMark/>
          </w:tcPr>
          <w:p w:rsidR="00D804CD" w:rsidRPr="006E3FE3" w:rsidRDefault="00D804CD" w:rsidP="006E3FE3">
            <w:pPr>
              <w:spacing w:before="60" w:after="60" w:line="240" w:lineRule="auto"/>
              <w:jc w:val="center"/>
              <w:rPr>
                <w:rFonts w:ascii="Arial" w:eastAsia="Times New Roman" w:hAnsi="Arial" w:cs="Arial"/>
                <w:b/>
                <w:bCs/>
                <w:color w:val="000000"/>
                <w:sz w:val="16"/>
                <w:szCs w:val="16"/>
                <w:lang w:eastAsia="en-AU"/>
              </w:rPr>
            </w:pPr>
            <w:r w:rsidRPr="006E3FE3">
              <w:rPr>
                <w:rFonts w:ascii="Arial" w:eastAsia="Times New Roman" w:hAnsi="Arial" w:cs="Arial"/>
                <w:b/>
                <w:bCs/>
                <w:color w:val="000000"/>
                <w:sz w:val="16"/>
                <w:szCs w:val="16"/>
                <w:lang w:eastAsia="en-AU"/>
              </w:rPr>
              <w:t>Repeat CAR</w:t>
            </w:r>
          </w:p>
        </w:tc>
        <w:tc>
          <w:tcPr>
            <w:tcW w:w="1144" w:type="dxa"/>
            <w:shd w:val="clear" w:color="auto" w:fill="F2F2F2" w:themeFill="background1" w:themeFillShade="F2"/>
            <w:noWrap/>
            <w:hideMark/>
          </w:tcPr>
          <w:p w:rsidR="00D804CD" w:rsidRPr="006E3FE3" w:rsidRDefault="00D804CD" w:rsidP="006E3FE3">
            <w:pPr>
              <w:spacing w:before="60" w:after="60" w:line="240" w:lineRule="auto"/>
              <w:jc w:val="center"/>
              <w:rPr>
                <w:rFonts w:ascii="Arial" w:eastAsia="Times New Roman" w:hAnsi="Arial" w:cs="Arial"/>
                <w:b/>
                <w:bCs/>
                <w:color w:val="000000"/>
                <w:sz w:val="16"/>
                <w:szCs w:val="16"/>
                <w:lang w:eastAsia="en-AU"/>
              </w:rPr>
            </w:pPr>
            <w:r w:rsidRPr="006E3FE3">
              <w:rPr>
                <w:rFonts w:ascii="Arial" w:eastAsia="Times New Roman" w:hAnsi="Arial" w:cs="Arial"/>
                <w:b/>
                <w:bCs/>
                <w:color w:val="000000"/>
                <w:sz w:val="16"/>
                <w:szCs w:val="16"/>
                <w:lang w:eastAsia="en-AU"/>
              </w:rPr>
              <w:t>Audits</w:t>
            </w:r>
          </w:p>
        </w:tc>
        <w:tc>
          <w:tcPr>
            <w:tcW w:w="701" w:type="dxa"/>
            <w:shd w:val="clear" w:color="auto" w:fill="F2F2F2" w:themeFill="background1" w:themeFillShade="F2"/>
            <w:noWrap/>
            <w:hideMark/>
          </w:tcPr>
          <w:p w:rsidR="00D804CD" w:rsidRPr="006E3FE3" w:rsidRDefault="00D804CD" w:rsidP="006E3FE3">
            <w:pPr>
              <w:spacing w:before="60" w:after="60" w:line="240" w:lineRule="auto"/>
              <w:jc w:val="center"/>
              <w:rPr>
                <w:rFonts w:ascii="Arial" w:eastAsia="Times New Roman" w:hAnsi="Arial" w:cs="Arial"/>
                <w:b/>
                <w:bCs/>
                <w:color w:val="000000"/>
                <w:sz w:val="16"/>
                <w:szCs w:val="16"/>
                <w:lang w:eastAsia="en-AU"/>
              </w:rPr>
            </w:pPr>
            <w:r w:rsidRPr="006E3FE3">
              <w:rPr>
                <w:rFonts w:ascii="Arial" w:eastAsia="Times New Roman" w:hAnsi="Arial" w:cs="Arial"/>
                <w:b/>
                <w:bCs/>
                <w:color w:val="000000"/>
                <w:sz w:val="16"/>
                <w:szCs w:val="16"/>
                <w:lang w:eastAsia="en-AU"/>
              </w:rPr>
              <w:t>Tier 1</w:t>
            </w:r>
          </w:p>
        </w:tc>
        <w:tc>
          <w:tcPr>
            <w:tcW w:w="759" w:type="dxa"/>
            <w:shd w:val="clear" w:color="auto" w:fill="F2F2F2" w:themeFill="background1" w:themeFillShade="F2"/>
            <w:noWrap/>
            <w:hideMark/>
          </w:tcPr>
          <w:p w:rsidR="00D804CD" w:rsidRPr="006E3FE3" w:rsidRDefault="00D804CD" w:rsidP="006E3FE3">
            <w:pPr>
              <w:spacing w:before="60" w:after="60" w:line="240" w:lineRule="auto"/>
              <w:jc w:val="center"/>
              <w:rPr>
                <w:rFonts w:ascii="Arial" w:eastAsia="Times New Roman" w:hAnsi="Arial" w:cs="Arial"/>
                <w:b/>
                <w:bCs/>
                <w:color w:val="000000"/>
                <w:sz w:val="16"/>
                <w:szCs w:val="16"/>
                <w:lang w:eastAsia="en-AU"/>
              </w:rPr>
            </w:pPr>
            <w:r w:rsidRPr="006E3FE3">
              <w:rPr>
                <w:rFonts w:ascii="Arial" w:eastAsia="Times New Roman" w:hAnsi="Arial" w:cs="Arial"/>
                <w:b/>
                <w:bCs/>
                <w:color w:val="000000"/>
                <w:sz w:val="16"/>
                <w:szCs w:val="16"/>
                <w:lang w:eastAsia="en-AU"/>
              </w:rPr>
              <w:t>Total</w:t>
            </w:r>
          </w:p>
        </w:tc>
        <w:tc>
          <w:tcPr>
            <w:tcW w:w="1397" w:type="dxa"/>
            <w:shd w:val="clear" w:color="auto" w:fill="F2F2F2" w:themeFill="background1" w:themeFillShade="F2"/>
            <w:hideMark/>
          </w:tcPr>
          <w:p w:rsidR="006E3FE3" w:rsidRPr="006E3FE3" w:rsidRDefault="00D804CD" w:rsidP="006E3FE3">
            <w:pPr>
              <w:spacing w:before="60" w:after="60" w:line="240" w:lineRule="auto"/>
              <w:jc w:val="center"/>
              <w:rPr>
                <w:rFonts w:ascii="Arial" w:eastAsia="Times New Roman" w:hAnsi="Arial" w:cs="Arial"/>
                <w:b/>
                <w:bCs/>
                <w:color w:val="000000"/>
                <w:sz w:val="16"/>
                <w:szCs w:val="16"/>
                <w:lang w:eastAsia="en-AU"/>
              </w:rPr>
            </w:pPr>
            <w:r w:rsidRPr="006E3FE3">
              <w:rPr>
                <w:rFonts w:ascii="Arial" w:eastAsia="Times New Roman" w:hAnsi="Arial" w:cs="Arial"/>
                <w:b/>
                <w:bCs/>
                <w:color w:val="000000"/>
                <w:sz w:val="16"/>
                <w:szCs w:val="16"/>
                <w:lang w:eastAsia="en-AU"/>
              </w:rPr>
              <w:t>% of Inspections Conducted</w:t>
            </w:r>
          </w:p>
        </w:tc>
      </w:tr>
      <w:tr w:rsidR="00DD5E5B" w:rsidRPr="00FC6804" w:rsidTr="00DD5E5B">
        <w:trPr>
          <w:trHeight w:val="255"/>
        </w:trPr>
        <w:tc>
          <w:tcPr>
            <w:tcW w:w="2693" w:type="dxa"/>
            <w:shd w:val="clear" w:color="auto" w:fill="auto"/>
            <w:noWrap/>
            <w:vAlign w:val="bottom"/>
            <w:hideMark/>
          </w:tcPr>
          <w:p w:rsidR="00D804CD" w:rsidRPr="006E3FE3" w:rsidRDefault="00D804CD" w:rsidP="006E3FE3">
            <w:pPr>
              <w:spacing w:before="60" w:after="60" w:line="240" w:lineRule="auto"/>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Abattoir (Export)</w:t>
            </w:r>
          </w:p>
        </w:tc>
        <w:tc>
          <w:tcPr>
            <w:tcW w:w="1135"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113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126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85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993"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114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701"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759"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1397"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0.0%</w:t>
            </w:r>
          </w:p>
        </w:tc>
      </w:tr>
      <w:tr w:rsidR="00DD5E5B" w:rsidRPr="00FC6804" w:rsidTr="00DD5E5B">
        <w:trPr>
          <w:trHeight w:val="255"/>
        </w:trPr>
        <w:tc>
          <w:tcPr>
            <w:tcW w:w="2693" w:type="dxa"/>
            <w:shd w:val="clear" w:color="auto" w:fill="auto"/>
            <w:noWrap/>
            <w:vAlign w:val="bottom"/>
            <w:hideMark/>
          </w:tcPr>
          <w:p w:rsidR="00D804CD" w:rsidRPr="006E3FE3" w:rsidRDefault="00D804CD" w:rsidP="006E3FE3">
            <w:pPr>
              <w:spacing w:before="60" w:after="60" w:line="240" w:lineRule="auto"/>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Abattoir (Domestic)</w:t>
            </w:r>
          </w:p>
        </w:tc>
        <w:tc>
          <w:tcPr>
            <w:tcW w:w="1135"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w:t>
            </w:r>
          </w:p>
        </w:tc>
        <w:tc>
          <w:tcPr>
            <w:tcW w:w="113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4</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44</w:t>
            </w:r>
          </w:p>
        </w:tc>
        <w:tc>
          <w:tcPr>
            <w:tcW w:w="126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w:t>
            </w:r>
          </w:p>
        </w:tc>
        <w:tc>
          <w:tcPr>
            <w:tcW w:w="85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993"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2</w:t>
            </w:r>
          </w:p>
        </w:tc>
        <w:tc>
          <w:tcPr>
            <w:tcW w:w="114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701"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10</w:t>
            </w:r>
          </w:p>
        </w:tc>
        <w:tc>
          <w:tcPr>
            <w:tcW w:w="759"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63</w:t>
            </w:r>
          </w:p>
        </w:tc>
        <w:tc>
          <w:tcPr>
            <w:tcW w:w="1397"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5.8%</w:t>
            </w:r>
          </w:p>
        </w:tc>
      </w:tr>
      <w:tr w:rsidR="00DD5E5B" w:rsidRPr="00FC6804" w:rsidTr="00DD5E5B">
        <w:trPr>
          <w:trHeight w:val="255"/>
        </w:trPr>
        <w:tc>
          <w:tcPr>
            <w:tcW w:w="2693" w:type="dxa"/>
            <w:shd w:val="clear" w:color="auto" w:fill="auto"/>
            <w:noWrap/>
            <w:vAlign w:val="bottom"/>
            <w:hideMark/>
          </w:tcPr>
          <w:p w:rsidR="00D804CD" w:rsidRPr="006E3FE3" w:rsidRDefault="00D804CD" w:rsidP="006E3FE3">
            <w:pPr>
              <w:spacing w:before="60" w:after="60" w:line="240" w:lineRule="auto"/>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Poultry Processing</w:t>
            </w:r>
          </w:p>
        </w:tc>
        <w:tc>
          <w:tcPr>
            <w:tcW w:w="1135"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2</w:t>
            </w:r>
          </w:p>
        </w:tc>
        <w:tc>
          <w:tcPr>
            <w:tcW w:w="113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4</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42</w:t>
            </w:r>
          </w:p>
        </w:tc>
        <w:tc>
          <w:tcPr>
            <w:tcW w:w="126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2</w:t>
            </w:r>
          </w:p>
        </w:tc>
        <w:tc>
          <w:tcPr>
            <w:tcW w:w="85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993"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w:t>
            </w:r>
          </w:p>
        </w:tc>
        <w:tc>
          <w:tcPr>
            <w:tcW w:w="114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701"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759"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52</w:t>
            </w:r>
          </w:p>
        </w:tc>
        <w:tc>
          <w:tcPr>
            <w:tcW w:w="1397"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4.8%</w:t>
            </w:r>
          </w:p>
        </w:tc>
      </w:tr>
      <w:tr w:rsidR="00DD5E5B" w:rsidRPr="00FC6804" w:rsidTr="00DD5E5B">
        <w:trPr>
          <w:trHeight w:val="225"/>
        </w:trPr>
        <w:tc>
          <w:tcPr>
            <w:tcW w:w="2693" w:type="dxa"/>
            <w:shd w:val="clear" w:color="auto" w:fill="auto"/>
            <w:noWrap/>
            <w:vAlign w:val="bottom"/>
            <w:hideMark/>
          </w:tcPr>
          <w:p w:rsidR="00D804CD" w:rsidRPr="006E3FE3" w:rsidRDefault="00D804CD" w:rsidP="006E3FE3">
            <w:pPr>
              <w:spacing w:before="60" w:after="60" w:line="240" w:lineRule="auto"/>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Further Meat Processing</w:t>
            </w:r>
          </w:p>
        </w:tc>
        <w:tc>
          <w:tcPr>
            <w:tcW w:w="1135"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20</w:t>
            </w:r>
          </w:p>
        </w:tc>
        <w:tc>
          <w:tcPr>
            <w:tcW w:w="113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20</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6</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126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10</w:t>
            </w:r>
          </w:p>
        </w:tc>
        <w:tc>
          <w:tcPr>
            <w:tcW w:w="85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20</w:t>
            </w:r>
          </w:p>
        </w:tc>
        <w:tc>
          <w:tcPr>
            <w:tcW w:w="993"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12</w:t>
            </w:r>
          </w:p>
        </w:tc>
        <w:tc>
          <w:tcPr>
            <w:tcW w:w="114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701"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759"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88</w:t>
            </w:r>
          </w:p>
        </w:tc>
        <w:tc>
          <w:tcPr>
            <w:tcW w:w="1397"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8.1%</w:t>
            </w:r>
          </w:p>
        </w:tc>
      </w:tr>
      <w:tr w:rsidR="00DD5E5B" w:rsidRPr="00FC6804" w:rsidTr="00DD5E5B">
        <w:trPr>
          <w:trHeight w:val="255"/>
        </w:trPr>
        <w:tc>
          <w:tcPr>
            <w:tcW w:w="2693" w:type="dxa"/>
            <w:shd w:val="clear" w:color="auto" w:fill="auto"/>
            <w:noWrap/>
            <w:vAlign w:val="bottom"/>
            <w:hideMark/>
          </w:tcPr>
          <w:p w:rsidR="00D804CD" w:rsidRPr="006E3FE3" w:rsidRDefault="00D804CD" w:rsidP="006E3FE3">
            <w:pPr>
              <w:spacing w:before="60" w:after="60" w:line="240" w:lineRule="auto"/>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Retail Butcher Shop</w:t>
            </w:r>
          </w:p>
        </w:tc>
        <w:tc>
          <w:tcPr>
            <w:tcW w:w="1135"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120</w:t>
            </w:r>
          </w:p>
        </w:tc>
        <w:tc>
          <w:tcPr>
            <w:tcW w:w="113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80</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25</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126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26</w:t>
            </w:r>
          </w:p>
        </w:tc>
        <w:tc>
          <w:tcPr>
            <w:tcW w:w="85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400</w:t>
            </w:r>
          </w:p>
        </w:tc>
        <w:tc>
          <w:tcPr>
            <w:tcW w:w="993"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20</w:t>
            </w:r>
          </w:p>
        </w:tc>
        <w:tc>
          <w:tcPr>
            <w:tcW w:w="114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701"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759"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671</w:t>
            </w:r>
          </w:p>
        </w:tc>
        <w:tc>
          <w:tcPr>
            <w:tcW w:w="1397"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62.0%</w:t>
            </w:r>
          </w:p>
        </w:tc>
      </w:tr>
      <w:tr w:rsidR="00DD5E5B" w:rsidRPr="00FC6804" w:rsidTr="00DD5E5B">
        <w:trPr>
          <w:trHeight w:val="255"/>
        </w:trPr>
        <w:tc>
          <w:tcPr>
            <w:tcW w:w="2693" w:type="dxa"/>
            <w:shd w:val="clear" w:color="auto" w:fill="auto"/>
            <w:noWrap/>
            <w:vAlign w:val="bottom"/>
            <w:hideMark/>
          </w:tcPr>
          <w:p w:rsidR="00D804CD" w:rsidRPr="006E3FE3" w:rsidRDefault="00D804CD" w:rsidP="006E3FE3">
            <w:pPr>
              <w:spacing w:before="60" w:after="60" w:line="240" w:lineRule="auto"/>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Prime Tallow</w:t>
            </w:r>
          </w:p>
        </w:tc>
        <w:tc>
          <w:tcPr>
            <w:tcW w:w="1135"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113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126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85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993"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114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701"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759"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1397"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0.0%</w:t>
            </w:r>
          </w:p>
        </w:tc>
      </w:tr>
      <w:tr w:rsidR="00DD5E5B" w:rsidRPr="00FC6804" w:rsidTr="00DD5E5B">
        <w:trPr>
          <w:trHeight w:val="255"/>
        </w:trPr>
        <w:tc>
          <w:tcPr>
            <w:tcW w:w="2693" w:type="dxa"/>
            <w:shd w:val="clear" w:color="auto" w:fill="auto"/>
            <w:noWrap/>
            <w:vAlign w:val="bottom"/>
            <w:hideMark/>
          </w:tcPr>
          <w:p w:rsidR="00D804CD" w:rsidRPr="006E3FE3" w:rsidRDefault="00D804CD" w:rsidP="006E3FE3">
            <w:pPr>
              <w:spacing w:before="60" w:after="60" w:line="240" w:lineRule="auto"/>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Game Meat</w:t>
            </w:r>
          </w:p>
        </w:tc>
        <w:tc>
          <w:tcPr>
            <w:tcW w:w="1135"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113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126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85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993"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114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701"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759"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1397"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0.0%</w:t>
            </w:r>
          </w:p>
        </w:tc>
      </w:tr>
      <w:tr w:rsidR="00DD5E5B" w:rsidRPr="00FC6804" w:rsidTr="00DD5E5B">
        <w:trPr>
          <w:trHeight w:val="255"/>
        </w:trPr>
        <w:tc>
          <w:tcPr>
            <w:tcW w:w="2693" w:type="dxa"/>
            <w:shd w:val="clear" w:color="auto" w:fill="auto"/>
            <w:noWrap/>
            <w:vAlign w:val="bottom"/>
            <w:hideMark/>
          </w:tcPr>
          <w:p w:rsidR="00D804CD" w:rsidRPr="006E3FE3" w:rsidRDefault="00D804CD" w:rsidP="006E3FE3">
            <w:pPr>
              <w:spacing w:before="60" w:after="60" w:line="240" w:lineRule="auto"/>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Inedible Rendering</w:t>
            </w:r>
          </w:p>
        </w:tc>
        <w:tc>
          <w:tcPr>
            <w:tcW w:w="1135"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113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126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85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993"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114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701"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759"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1397"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0.0%</w:t>
            </w:r>
          </w:p>
        </w:tc>
      </w:tr>
      <w:tr w:rsidR="00DD5E5B" w:rsidRPr="00FC6804" w:rsidTr="00DD5E5B">
        <w:trPr>
          <w:trHeight w:val="255"/>
        </w:trPr>
        <w:tc>
          <w:tcPr>
            <w:tcW w:w="2693" w:type="dxa"/>
            <w:shd w:val="clear" w:color="auto" w:fill="auto"/>
            <w:noWrap/>
            <w:vAlign w:val="bottom"/>
            <w:hideMark/>
          </w:tcPr>
          <w:p w:rsidR="00D804CD" w:rsidRPr="006E3FE3" w:rsidRDefault="00D804CD" w:rsidP="006E3FE3">
            <w:pPr>
              <w:spacing w:before="60" w:after="60" w:line="240" w:lineRule="auto"/>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Pet Meat Processing</w:t>
            </w:r>
          </w:p>
        </w:tc>
        <w:tc>
          <w:tcPr>
            <w:tcW w:w="1135"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w:t>
            </w:r>
          </w:p>
        </w:tc>
        <w:tc>
          <w:tcPr>
            <w:tcW w:w="113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4</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26</w:t>
            </w:r>
          </w:p>
        </w:tc>
        <w:tc>
          <w:tcPr>
            <w:tcW w:w="126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w:t>
            </w:r>
          </w:p>
        </w:tc>
        <w:tc>
          <w:tcPr>
            <w:tcW w:w="85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993"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w:t>
            </w:r>
          </w:p>
        </w:tc>
        <w:tc>
          <w:tcPr>
            <w:tcW w:w="114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701"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759"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34</w:t>
            </w:r>
          </w:p>
        </w:tc>
        <w:tc>
          <w:tcPr>
            <w:tcW w:w="1397"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3.1%</w:t>
            </w:r>
          </w:p>
        </w:tc>
      </w:tr>
      <w:tr w:rsidR="00DD5E5B" w:rsidRPr="00FC6804" w:rsidTr="00DD5E5B">
        <w:trPr>
          <w:trHeight w:val="255"/>
        </w:trPr>
        <w:tc>
          <w:tcPr>
            <w:tcW w:w="2693" w:type="dxa"/>
            <w:shd w:val="clear" w:color="auto" w:fill="auto"/>
            <w:noWrap/>
            <w:vAlign w:val="bottom"/>
            <w:hideMark/>
          </w:tcPr>
          <w:p w:rsidR="00D804CD" w:rsidRPr="006E3FE3" w:rsidRDefault="00D804CD" w:rsidP="006E3FE3">
            <w:pPr>
              <w:spacing w:before="60" w:after="60" w:line="240" w:lineRule="auto"/>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Pet Food Establishment</w:t>
            </w:r>
          </w:p>
        </w:tc>
        <w:tc>
          <w:tcPr>
            <w:tcW w:w="1135"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6</w:t>
            </w:r>
          </w:p>
        </w:tc>
        <w:tc>
          <w:tcPr>
            <w:tcW w:w="113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2</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126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6</w:t>
            </w:r>
          </w:p>
        </w:tc>
        <w:tc>
          <w:tcPr>
            <w:tcW w:w="85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993"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4</w:t>
            </w:r>
          </w:p>
        </w:tc>
        <w:tc>
          <w:tcPr>
            <w:tcW w:w="114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701"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759"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19</w:t>
            </w:r>
          </w:p>
        </w:tc>
        <w:tc>
          <w:tcPr>
            <w:tcW w:w="1397"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1.8%</w:t>
            </w:r>
          </w:p>
        </w:tc>
      </w:tr>
      <w:tr w:rsidR="00DD5E5B" w:rsidRPr="00FC6804" w:rsidTr="00DD5E5B">
        <w:trPr>
          <w:trHeight w:val="255"/>
        </w:trPr>
        <w:tc>
          <w:tcPr>
            <w:tcW w:w="2693" w:type="dxa"/>
            <w:shd w:val="clear" w:color="auto" w:fill="auto"/>
            <w:noWrap/>
            <w:vAlign w:val="bottom"/>
            <w:hideMark/>
          </w:tcPr>
          <w:p w:rsidR="00D804CD" w:rsidRPr="00B47A22" w:rsidRDefault="00D804CD" w:rsidP="00B47A22">
            <w:pPr>
              <w:spacing w:after="0" w:line="240" w:lineRule="auto"/>
              <w:rPr>
                <w:rFonts w:ascii="Arial" w:eastAsia="Times New Roman" w:hAnsi="Arial" w:cs="Arial"/>
                <w:sz w:val="16"/>
                <w:szCs w:val="16"/>
                <w:lang w:eastAsia="en-AU"/>
              </w:rPr>
            </w:pPr>
          </w:p>
        </w:tc>
        <w:tc>
          <w:tcPr>
            <w:tcW w:w="1135"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113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126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85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993"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114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701"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759"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1397"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r>
      <w:tr w:rsidR="00DD5E5B" w:rsidRPr="00FC6804" w:rsidTr="00DD5E5B">
        <w:trPr>
          <w:trHeight w:val="255"/>
        </w:trPr>
        <w:tc>
          <w:tcPr>
            <w:tcW w:w="2693" w:type="dxa"/>
            <w:shd w:val="clear" w:color="auto" w:fill="auto"/>
            <w:noWrap/>
            <w:vAlign w:val="bottom"/>
            <w:hideMark/>
          </w:tcPr>
          <w:p w:rsidR="00D804CD" w:rsidRPr="006E3FE3" w:rsidRDefault="00D804CD" w:rsidP="006E3FE3">
            <w:pPr>
              <w:spacing w:before="60" w:after="60" w:line="240" w:lineRule="auto"/>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Meat Transport Vehicle (see note)</w:t>
            </w:r>
          </w:p>
        </w:tc>
        <w:tc>
          <w:tcPr>
            <w:tcW w:w="1135"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NA</w:t>
            </w:r>
          </w:p>
        </w:tc>
        <w:tc>
          <w:tcPr>
            <w:tcW w:w="113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r w:rsidRPr="006E3FE3">
              <w:rPr>
                <w:rFonts w:ascii="Arial" w:eastAsia="Times New Roman" w:hAnsi="Arial" w:cs="Arial"/>
                <w:color w:val="000000"/>
                <w:sz w:val="16"/>
                <w:szCs w:val="16"/>
                <w:lang w:eastAsia="en-AU"/>
              </w:rPr>
              <w:t>NA</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r w:rsidRPr="006E3FE3">
              <w:rPr>
                <w:rFonts w:ascii="Arial" w:eastAsia="Times New Roman" w:hAnsi="Arial" w:cs="Arial"/>
                <w:color w:val="000000"/>
                <w:sz w:val="16"/>
                <w:szCs w:val="16"/>
                <w:lang w:eastAsia="en-AU"/>
              </w:rPr>
              <w:t>NA</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r w:rsidRPr="006E3FE3">
              <w:rPr>
                <w:rFonts w:ascii="Arial" w:eastAsia="Times New Roman" w:hAnsi="Arial" w:cs="Arial"/>
                <w:color w:val="000000"/>
                <w:sz w:val="16"/>
                <w:szCs w:val="16"/>
                <w:lang w:eastAsia="en-AU"/>
              </w:rPr>
              <w:t>NA</w:t>
            </w:r>
          </w:p>
        </w:tc>
        <w:tc>
          <w:tcPr>
            <w:tcW w:w="126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r w:rsidRPr="006E3FE3">
              <w:rPr>
                <w:rFonts w:ascii="Arial" w:eastAsia="Times New Roman" w:hAnsi="Arial" w:cs="Arial"/>
                <w:color w:val="000000"/>
                <w:sz w:val="16"/>
                <w:szCs w:val="16"/>
                <w:lang w:eastAsia="en-AU"/>
              </w:rPr>
              <w:t>NA</w:t>
            </w:r>
          </w:p>
        </w:tc>
        <w:tc>
          <w:tcPr>
            <w:tcW w:w="85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r w:rsidRPr="006E3FE3">
              <w:rPr>
                <w:rFonts w:ascii="Arial" w:eastAsia="Times New Roman" w:hAnsi="Arial" w:cs="Arial"/>
                <w:color w:val="000000"/>
                <w:sz w:val="16"/>
                <w:szCs w:val="16"/>
                <w:lang w:eastAsia="en-AU"/>
              </w:rPr>
              <w:t>NA</w:t>
            </w:r>
          </w:p>
        </w:tc>
        <w:tc>
          <w:tcPr>
            <w:tcW w:w="993"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r w:rsidRPr="006E3FE3">
              <w:rPr>
                <w:rFonts w:ascii="Arial" w:eastAsia="Times New Roman" w:hAnsi="Arial" w:cs="Arial"/>
                <w:color w:val="000000"/>
                <w:sz w:val="16"/>
                <w:szCs w:val="16"/>
                <w:lang w:eastAsia="en-AU"/>
              </w:rPr>
              <w:t>NA</w:t>
            </w:r>
          </w:p>
        </w:tc>
        <w:tc>
          <w:tcPr>
            <w:tcW w:w="114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r w:rsidRPr="006E3FE3">
              <w:rPr>
                <w:rFonts w:ascii="Arial" w:eastAsia="Times New Roman" w:hAnsi="Arial" w:cs="Arial"/>
                <w:color w:val="000000"/>
                <w:sz w:val="16"/>
                <w:szCs w:val="16"/>
                <w:lang w:eastAsia="en-AU"/>
              </w:rPr>
              <w:t>NA</w:t>
            </w:r>
          </w:p>
        </w:tc>
        <w:tc>
          <w:tcPr>
            <w:tcW w:w="701"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r w:rsidRPr="006E3FE3">
              <w:rPr>
                <w:rFonts w:ascii="Arial" w:eastAsia="Times New Roman" w:hAnsi="Arial" w:cs="Arial"/>
                <w:color w:val="000000"/>
                <w:sz w:val="16"/>
                <w:szCs w:val="16"/>
                <w:lang w:eastAsia="en-AU"/>
              </w:rPr>
              <w:t>NA</w:t>
            </w:r>
          </w:p>
        </w:tc>
        <w:tc>
          <w:tcPr>
            <w:tcW w:w="759"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NA</w:t>
            </w:r>
          </w:p>
        </w:tc>
        <w:tc>
          <w:tcPr>
            <w:tcW w:w="1397"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NA</w:t>
            </w:r>
          </w:p>
        </w:tc>
      </w:tr>
      <w:tr w:rsidR="00DD5E5B" w:rsidRPr="00FC6804" w:rsidTr="00DD5E5B">
        <w:trPr>
          <w:trHeight w:val="255"/>
        </w:trPr>
        <w:tc>
          <w:tcPr>
            <w:tcW w:w="2693" w:type="dxa"/>
            <w:shd w:val="clear" w:color="auto" w:fill="auto"/>
            <w:noWrap/>
            <w:vAlign w:val="bottom"/>
            <w:hideMark/>
          </w:tcPr>
          <w:p w:rsidR="00D804CD" w:rsidRPr="006E3FE3" w:rsidRDefault="00D804CD" w:rsidP="006E3FE3">
            <w:pPr>
              <w:spacing w:before="60" w:after="60" w:line="240" w:lineRule="auto"/>
              <w:rPr>
                <w:rFonts w:ascii="Arial" w:eastAsia="Times New Roman" w:hAnsi="Arial" w:cs="Arial"/>
                <w:sz w:val="16"/>
                <w:szCs w:val="16"/>
                <w:lang w:eastAsia="en-AU"/>
              </w:rPr>
            </w:pPr>
          </w:p>
        </w:tc>
        <w:tc>
          <w:tcPr>
            <w:tcW w:w="1135"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113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126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85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993"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114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701"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759"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1397"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r>
      <w:tr w:rsidR="00DD5E5B" w:rsidRPr="00FC6804" w:rsidTr="00DD5E5B">
        <w:trPr>
          <w:trHeight w:val="255"/>
        </w:trPr>
        <w:tc>
          <w:tcPr>
            <w:tcW w:w="2693" w:type="dxa"/>
            <w:shd w:val="clear" w:color="auto" w:fill="auto"/>
            <w:noWrap/>
            <w:vAlign w:val="bottom"/>
            <w:hideMark/>
          </w:tcPr>
          <w:p w:rsidR="00D804CD" w:rsidRPr="006E3FE3" w:rsidRDefault="00D804CD" w:rsidP="006E3FE3">
            <w:pPr>
              <w:spacing w:before="60" w:after="60" w:line="240" w:lineRule="auto"/>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Seafood Wholesaler</w:t>
            </w:r>
          </w:p>
        </w:tc>
        <w:tc>
          <w:tcPr>
            <w:tcW w:w="1135"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4</w:t>
            </w:r>
          </w:p>
        </w:tc>
        <w:tc>
          <w:tcPr>
            <w:tcW w:w="113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4</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126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4</w:t>
            </w:r>
          </w:p>
        </w:tc>
        <w:tc>
          <w:tcPr>
            <w:tcW w:w="85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993"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w:t>
            </w:r>
          </w:p>
        </w:tc>
        <w:tc>
          <w:tcPr>
            <w:tcW w:w="114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701"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759"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14</w:t>
            </w:r>
          </w:p>
        </w:tc>
        <w:tc>
          <w:tcPr>
            <w:tcW w:w="1397"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1.3%</w:t>
            </w:r>
          </w:p>
        </w:tc>
      </w:tr>
      <w:tr w:rsidR="00DD5E5B" w:rsidRPr="00FC6804" w:rsidTr="00DD5E5B">
        <w:trPr>
          <w:trHeight w:val="255"/>
        </w:trPr>
        <w:tc>
          <w:tcPr>
            <w:tcW w:w="2693" w:type="dxa"/>
            <w:shd w:val="clear" w:color="auto" w:fill="auto"/>
            <w:noWrap/>
            <w:vAlign w:val="bottom"/>
            <w:hideMark/>
          </w:tcPr>
          <w:p w:rsidR="00D804CD" w:rsidRPr="006E3FE3" w:rsidRDefault="00D804CD" w:rsidP="006E3FE3">
            <w:pPr>
              <w:spacing w:before="60" w:after="60" w:line="240" w:lineRule="auto"/>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Seafood Processor</w:t>
            </w:r>
          </w:p>
        </w:tc>
        <w:tc>
          <w:tcPr>
            <w:tcW w:w="1135"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4</w:t>
            </w:r>
          </w:p>
        </w:tc>
        <w:tc>
          <w:tcPr>
            <w:tcW w:w="113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4</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126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4</w:t>
            </w:r>
          </w:p>
        </w:tc>
        <w:tc>
          <w:tcPr>
            <w:tcW w:w="85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993"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w:t>
            </w:r>
          </w:p>
        </w:tc>
        <w:tc>
          <w:tcPr>
            <w:tcW w:w="114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701"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759"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14</w:t>
            </w:r>
          </w:p>
        </w:tc>
        <w:tc>
          <w:tcPr>
            <w:tcW w:w="1397"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1.3%</w:t>
            </w:r>
          </w:p>
        </w:tc>
      </w:tr>
      <w:tr w:rsidR="00DD5E5B" w:rsidRPr="00FC6804" w:rsidTr="00DD5E5B">
        <w:trPr>
          <w:trHeight w:val="255"/>
        </w:trPr>
        <w:tc>
          <w:tcPr>
            <w:tcW w:w="2693" w:type="dxa"/>
            <w:shd w:val="clear" w:color="auto" w:fill="auto"/>
            <w:noWrap/>
            <w:vAlign w:val="bottom"/>
            <w:hideMark/>
          </w:tcPr>
          <w:p w:rsidR="00D804CD" w:rsidRPr="006E3FE3" w:rsidRDefault="00D804CD" w:rsidP="006E3FE3">
            <w:pPr>
              <w:spacing w:before="60" w:after="60" w:line="240" w:lineRule="auto"/>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Seafood Further Processor</w:t>
            </w:r>
          </w:p>
        </w:tc>
        <w:tc>
          <w:tcPr>
            <w:tcW w:w="1135"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2</w:t>
            </w:r>
          </w:p>
        </w:tc>
        <w:tc>
          <w:tcPr>
            <w:tcW w:w="113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2</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126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4</w:t>
            </w:r>
          </w:p>
        </w:tc>
        <w:tc>
          <w:tcPr>
            <w:tcW w:w="85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993"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w:t>
            </w:r>
          </w:p>
        </w:tc>
        <w:tc>
          <w:tcPr>
            <w:tcW w:w="114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701"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759"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10</w:t>
            </w:r>
          </w:p>
        </w:tc>
        <w:tc>
          <w:tcPr>
            <w:tcW w:w="1397"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0.9%</w:t>
            </w:r>
          </w:p>
        </w:tc>
      </w:tr>
      <w:tr w:rsidR="00DD5E5B" w:rsidRPr="00FC6804" w:rsidTr="00DD5E5B">
        <w:trPr>
          <w:trHeight w:val="255"/>
        </w:trPr>
        <w:tc>
          <w:tcPr>
            <w:tcW w:w="2693" w:type="dxa"/>
            <w:shd w:val="clear" w:color="auto" w:fill="auto"/>
            <w:noWrap/>
            <w:vAlign w:val="bottom"/>
            <w:hideMark/>
          </w:tcPr>
          <w:p w:rsidR="00D804CD" w:rsidRPr="006E3FE3" w:rsidRDefault="009C332D" w:rsidP="006E3FE3">
            <w:pPr>
              <w:spacing w:before="60" w:after="60" w:line="240" w:lineRule="auto"/>
              <w:rPr>
                <w:rFonts w:ascii="Arial" w:eastAsia="Times New Roman" w:hAnsi="Arial" w:cs="Arial"/>
                <w:color w:val="000000"/>
                <w:sz w:val="16"/>
                <w:szCs w:val="16"/>
                <w:lang w:eastAsia="en-AU"/>
              </w:rPr>
            </w:pPr>
            <w:r>
              <w:rPr>
                <w:rFonts w:ascii="Arial" w:eastAsia="Times New Roman" w:hAnsi="Arial" w:cs="Arial"/>
                <w:color w:val="000000"/>
                <w:sz w:val="16"/>
                <w:szCs w:val="16"/>
                <w:lang w:eastAsia="en-AU"/>
              </w:rPr>
              <w:t>Total</w:t>
            </w:r>
          </w:p>
        </w:tc>
        <w:tc>
          <w:tcPr>
            <w:tcW w:w="1135"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10</w:t>
            </w:r>
          </w:p>
        </w:tc>
        <w:tc>
          <w:tcPr>
            <w:tcW w:w="113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10</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3</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126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12</w:t>
            </w:r>
          </w:p>
        </w:tc>
        <w:tc>
          <w:tcPr>
            <w:tcW w:w="85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993"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3</w:t>
            </w:r>
          </w:p>
        </w:tc>
        <w:tc>
          <w:tcPr>
            <w:tcW w:w="114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701"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759"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38</w:t>
            </w:r>
          </w:p>
        </w:tc>
        <w:tc>
          <w:tcPr>
            <w:tcW w:w="1397"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3.5%</w:t>
            </w:r>
          </w:p>
        </w:tc>
      </w:tr>
      <w:tr w:rsidR="00DD5E5B" w:rsidRPr="00FC6804" w:rsidTr="00DD5E5B">
        <w:trPr>
          <w:trHeight w:val="255"/>
        </w:trPr>
        <w:tc>
          <w:tcPr>
            <w:tcW w:w="2693" w:type="dxa"/>
            <w:shd w:val="clear" w:color="auto" w:fill="auto"/>
            <w:noWrap/>
            <w:vAlign w:val="bottom"/>
            <w:hideMark/>
          </w:tcPr>
          <w:p w:rsidR="00D804CD" w:rsidRPr="006E3FE3" w:rsidRDefault="00D804CD" w:rsidP="006E3FE3">
            <w:pPr>
              <w:spacing w:before="60" w:after="60" w:line="240" w:lineRule="auto"/>
              <w:rPr>
                <w:rFonts w:ascii="Arial" w:eastAsia="Times New Roman" w:hAnsi="Arial" w:cs="Arial"/>
                <w:sz w:val="16"/>
                <w:szCs w:val="16"/>
                <w:lang w:eastAsia="en-AU"/>
              </w:rPr>
            </w:pPr>
          </w:p>
        </w:tc>
        <w:tc>
          <w:tcPr>
            <w:tcW w:w="1135"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113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126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85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993"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114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701"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759"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1397"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r>
      <w:tr w:rsidR="00DD5E5B" w:rsidRPr="00FC6804" w:rsidTr="00DD5E5B">
        <w:trPr>
          <w:trHeight w:val="255"/>
        </w:trPr>
        <w:tc>
          <w:tcPr>
            <w:tcW w:w="2693" w:type="dxa"/>
            <w:shd w:val="clear" w:color="auto" w:fill="auto"/>
            <w:noWrap/>
            <w:vAlign w:val="bottom"/>
            <w:hideMark/>
          </w:tcPr>
          <w:p w:rsidR="00D804CD" w:rsidRPr="006E3FE3" w:rsidRDefault="00D804CD" w:rsidP="006E3FE3">
            <w:pPr>
              <w:spacing w:before="60" w:after="60" w:line="240" w:lineRule="auto"/>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Seafood Retailer</w:t>
            </w:r>
          </w:p>
        </w:tc>
        <w:tc>
          <w:tcPr>
            <w:tcW w:w="1135"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4</w:t>
            </w:r>
          </w:p>
        </w:tc>
        <w:tc>
          <w:tcPr>
            <w:tcW w:w="113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20</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4</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126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4</w:t>
            </w:r>
          </w:p>
        </w:tc>
        <w:tc>
          <w:tcPr>
            <w:tcW w:w="85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4</w:t>
            </w:r>
          </w:p>
        </w:tc>
        <w:tc>
          <w:tcPr>
            <w:tcW w:w="993"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8</w:t>
            </w:r>
          </w:p>
        </w:tc>
        <w:tc>
          <w:tcPr>
            <w:tcW w:w="114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701"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759"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44</w:t>
            </w:r>
          </w:p>
        </w:tc>
        <w:tc>
          <w:tcPr>
            <w:tcW w:w="1397"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4.1%</w:t>
            </w:r>
          </w:p>
        </w:tc>
      </w:tr>
      <w:tr w:rsidR="00DD5E5B" w:rsidRPr="00FC6804" w:rsidTr="00DD5E5B">
        <w:trPr>
          <w:trHeight w:val="255"/>
        </w:trPr>
        <w:tc>
          <w:tcPr>
            <w:tcW w:w="2693" w:type="dxa"/>
            <w:shd w:val="clear" w:color="auto" w:fill="auto"/>
            <w:noWrap/>
            <w:vAlign w:val="bottom"/>
            <w:hideMark/>
          </w:tcPr>
          <w:p w:rsidR="00D804CD" w:rsidRPr="006E3FE3" w:rsidRDefault="00D804CD" w:rsidP="006E3FE3">
            <w:pPr>
              <w:spacing w:before="60" w:after="60" w:line="240" w:lineRule="auto"/>
              <w:rPr>
                <w:rFonts w:ascii="Arial" w:eastAsia="Times New Roman" w:hAnsi="Arial" w:cs="Arial"/>
                <w:sz w:val="16"/>
                <w:szCs w:val="16"/>
                <w:lang w:eastAsia="en-AU"/>
              </w:rPr>
            </w:pPr>
          </w:p>
        </w:tc>
        <w:tc>
          <w:tcPr>
            <w:tcW w:w="1135"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113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126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85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993"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114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701"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759"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1397"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r>
      <w:tr w:rsidR="00DD5E5B" w:rsidRPr="00FC6804" w:rsidTr="00DD5E5B">
        <w:trPr>
          <w:trHeight w:val="255"/>
        </w:trPr>
        <w:tc>
          <w:tcPr>
            <w:tcW w:w="2693" w:type="dxa"/>
            <w:shd w:val="clear" w:color="auto" w:fill="auto"/>
            <w:noWrap/>
            <w:vAlign w:val="bottom"/>
            <w:hideMark/>
          </w:tcPr>
          <w:p w:rsidR="00D804CD" w:rsidRPr="006E3FE3" w:rsidRDefault="00D804CD" w:rsidP="00C91AC3">
            <w:pPr>
              <w:spacing w:before="60" w:after="60" w:line="240" w:lineRule="auto"/>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 xml:space="preserve">Wildcatch </w:t>
            </w:r>
          </w:p>
        </w:tc>
        <w:tc>
          <w:tcPr>
            <w:tcW w:w="1135"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6</w:t>
            </w:r>
          </w:p>
        </w:tc>
        <w:tc>
          <w:tcPr>
            <w:tcW w:w="113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126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85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993"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114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45</w:t>
            </w:r>
          </w:p>
        </w:tc>
        <w:tc>
          <w:tcPr>
            <w:tcW w:w="701"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759"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51</w:t>
            </w:r>
          </w:p>
        </w:tc>
        <w:tc>
          <w:tcPr>
            <w:tcW w:w="1397"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4.7%</w:t>
            </w:r>
          </w:p>
        </w:tc>
      </w:tr>
      <w:tr w:rsidR="00DD5E5B" w:rsidRPr="00FC6804" w:rsidTr="00DD5E5B">
        <w:trPr>
          <w:trHeight w:val="255"/>
        </w:trPr>
        <w:tc>
          <w:tcPr>
            <w:tcW w:w="2693" w:type="dxa"/>
            <w:shd w:val="clear" w:color="auto" w:fill="auto"/>
            <w:noWrap/>
            <w:vAlign w:val="bottom"/>
            <w:hideMark/>
          </w:tcPr>
          <w:p w:rsidR="00D804CD" w:rsidRPr="006E3FE3" w:rsidRDefault="00D804CD" w:rsidP="006E3FE3">
            <w:pPr>
              <w:spacing w:before="60" w:after="60" w:line="240" w:lineRule="auto"/>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Aquaculture</w:t>
            </w:r>
          </w:p>
        </w:tc>
        <w:tc>
          <w:tcPr>
            <w:tcW w:w="1135"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2</w:t>
            </w:r>
          </w:p>
        </w:tc>
        <w:tc>
          <w:tcPr>
            <w:tcW w:w="113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126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85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993"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114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0</w:t>
            </w:r>
          </w:p>
        </w:tc>
        <w:tc>
          <w:tcPr>
            <w:tcW w:w="701"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20</w:t>
            </w:r>
          </w:p>
        </w:tc>
        <w:tc>
          <w:tcPr>
            <w:tcW w:w="759"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22</w:t>
            </w:r>
          </w:p>
        </w:tc>
        <w:tc>
          <w:tcPr>
            <w:tcW w:w="1397"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2.0%</w:t>
            </w:r>
          </w:p>
        </w:tc>
      </w:tr>
      <w:tr w:rsidR="00DD5E5B" w:rsidRPr="00FC6804" w:rsidTr="00DD5E5B">
        <w:trPr>
          <w:trHeight w:val="255"/>
        </w:trPr>
        <w:tc>
          <w:tcPr>
            <w:tcW w:w="2693" w:type="dxa"/>
            <w:shd w:val="clear" w:color="auto" w:fill="auto"/>
            <w:noWrap/>
            <w:vAlign w:val="bottom"/>
            <w:hideMark/>
          </w:tcPr>
          <w:p w:rsidR="00D804CD" w:rsidRPr="006E3FE3" w:rsidRDefault="00D804CD" w:rsidP="006E3FE3">
            <w:pPr>
              <w:spacing w:before="60" w:after="60" w:line="240" w:lineRule="auto"/>
              <w:rPr>
                <w:rFonts w:ascii="Arial" w:eastAsia="Times New Roman" w:hAnsi="Arial" w:cs="Arial"/>
                <w:sz w:val="16"/>
                <w:szCs w:val="16"/>
                <w:lang w:eastAsia="en-AU"/>
              </w:rPr>
            </w:pPr>
          </w:p>
        </w:tc>
        <w:tc>
          <w:tcPr>
            <w:tcW w:w="1135"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113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126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85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993"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114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701"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759"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c>
          <w:tcPr>
            <w:tcW w:w="1397"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sz w:val="16"/>
                <w:szCs w:val="16"/>
                <w:lang w:eastAsia="en-AU"/>
              </w:rPr>
            </w:pPr>
          </w:p>
        </w:tc>
      </w:tr>
      <w:tr w:rsidR="00DD5E5B" w:rsidRPr="00FC6804" w:rsidTr="00DD5E5B">
        <w:trPr>
          <w:trHeight w:val="255"/>
        </w:trPr>
        <w:tc>
          <w:tcPr>
            <w:tcW w:w="2693" w:type="dxa"/>
            <w:shd w:val="clear" w:color="auto" w:fill="auto"/>
            <w:noWrap/>
            <w:vAlign w:val="bottom"/>
            <w:hideMark/>
          </w:tcPr>
          <w:p w:rsidR="00D804CD" w:rsidRPr="006E3FE3" w:rsidRDefault="00D804CD" w:rsidP="006E3FE3">
            <w:pPr>
              <w:spacing w:before="60" w:after="60" w:line="240" w:lineRule="auto"/>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Total</w:t>
            </w:r>
          </w:p>
        </w:tc>
        <w:tc>
          <w:tcPr>
            <w:tcW w:w="1135"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172</w:t>
            </w:r>
          </w:p>
        </w:tc>
        <w:tc>
          <w:tcPr>
            <w:tcW w:w="113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144</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42</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112</w:t>
            </w:r>
          </w:p>
        </w:tc>
        <w:tc>
          <w:tcPr>
            <w:tcW w:w="126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62</w:t>
            </w:r>
          </w:p>
        </w:tc>
        <w:tc>
          <w:tcPr>
            <w:tcW w:w="85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424</w:t>
            </w:r>
          </w:p>
        </w:tc>
        <w:tc>
          <w:tcPr>
            <w:tcW w:w="993"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51</w:t>
            </w:r>
          </w:p>
        </w:tc>
        <w:tc>
          <w:tcPr>
            <w:tcW w:w="114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45</w:t>
            </w:r>
          </w:p>
        </w:tc>
        <w:tc>
          <w:tcPr>
            <w:tcW w:w="701"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30</w:t>
            </w:r>
          </w:p>
        </w:tc>
        <w:tc>
          <w:tcPr>
            <w:tcW w:w="759"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1082</w:t>
            </w:r>
          </w:p>
        </w:tc>
        <w:tc>
          <w:tcPr>
            <w:tcW w:w="1397"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100.0%</w:t>
            </w:r>
          </w:p>
        </w:tc>
      </w:tr>
      <w:tr w:rsidR="00DD5E5B" w:rsidRPr="00FC6804" w:rsidTr="00DD5E5B">
        <w:trPr>
          <w:trHeight w:val="255"/>
        </w:trPr>
        <w:tc>
          <w:tcPr>
            <w:tcW w:w="2693" w:type="dxa"/>
            <w:shd w:val="clear" w:color="auto" w:fill="auto"/>
            <w:noWrap/>
            <w:vAlign w:val="bottom"/>
            <w:hideMark/>
          </w:tcPr>
          <w:p w:rsidR="00D804CD" w:rsidRPr="006E3FE3" w:rsidRDefault="00D804CD" w:rsidP="006E3FE3">
            <w:pPr>
              <w:spacing w:before="60" w:after="60" w:line="240" w:lineRule="auto"/>
              <w:rPr>
                <w:rFonts w:ascii="Arial" w:eastAsia="Times New Roman" w:hAnsi="Arial" w:cs="Arial"/>
                <w:color w:val="000000"/>
                <w:sz w:val="16"/>
                <w:szCs w:val="16"/>
                <w:lang w:eastAsia="en-AU"/>
              </w:rPr>
            </w:pPr>
          </w:p>
        </w:tc>
        <w:tc>
          <w:tcPr>
            <w:tcW w:w="1135"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15.9%</w:t>
            </w:r>
          </w:p>
        </w:tc>
        <w:tc>
          <w:tcPr>
            <w:tcW w:w="113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13.3%</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3.9%</w:t>
            </w:r>
          </w:p>
        </w:tc>
        <w:tc>
          <w:tcPr>
            <w:tcW w:w="992"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10.4%</w:t>
            </w:r>
          </w:p>
        </w:tc>
        <w:tc>
          <w:tcPr>
            <w:tcW w:w="126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5.7%</w:t>
            </w:r>
          </w:p>
        </w:tc>
        <w:tc>
          <w:tcPr>
            <w:tcW w:w="858"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39.2%</w:t>
            </w:r>
          </w:p>
        </w:tc>
        <w:tc>
          <w:tcPr>
            <w:tcW w:w="993"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4.7%</w:t>
            </w:r>
          </w:p>
        </w:tc>
        <w:tc>
          <w:tcPr>
            <w:tcW w:w="1144"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4.2%</w:t>
            </w:r>
          </w:p>
        </w:tc>
        <w:tc>
          <w:tcPr>
            <w:tcW w:w="701"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2.8%</w:t>
            </w:r>
          </w:p>
        </w:tc>
        <w:tc>
          <w:tcPr>
            <w:tcW w:w="759"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r w:rsidRPr="006E3FE3">
              <w:rPr>
                <w:rFonts w:ascii="Arial" w:eastAsia="Times New Roman" w:hAnsi="Arial" w:cs="Arial"/>
                <w:color w:val="000000"/>
                <w:sz w:val="16"/>
                <w:szCs w:val="16"/>
                <w:lang w:eastAsia="en-AU"/>
              </w:rPr>
              <w:t>100.0%</w:t>
            </w:r>
          </w:p>
        </w:tc>
        <w:tc>
          <w:tcPr>
            <w:tcW w:w="1397" w:type="dxa"/>
            <w:shd w:val="clear" w:color="auto" w:fill="auto"/>
            <w:noWrap/>
            <w:vAlign w:val="bottom"/>
            <w:hideMark/>
          </w:tcPr>
          <w:p w:rsidR="00D804CD" w:rsidRPr="006E3FE3" w:rsidRDefault="00D804CD" w:rsidP="002B10DF">
            <w:pPr>
              <w:spacing w:before="60" w:after="60" w:line="240" w:lineRule="auto"/>
              <w:jc w:val="center"/>
              <w:rPr>
                <w:rFonts w:ascii="Arial" w:eastAsia="Times New Roman" w:hAnsi="Arial" w:cs="Arial"/>
                <w:color w:val="000000"/>
                <w:sz w:val="16"/>
                <w:szCs w:val="16"/>
                <w:lang w:eastAsia="en-AU"/>
              </w:rPr>
            </w:pPr>
          </w:p>
        </w:tc>
      </w:tr>
    </w:tbl>
    <w:p w:rsidR="00025CE6" w:rsidRPr="00FC6804" w:rsidRDefault="004D251D" w:rsidP="00112312">
      <w:pPr>
        <w:spacing w:after="0" w:line="240" w:lineRule="auto"/>
        <w:rPr>
          <w:rFonts w:ascii="Arial" w:hAnsi="Arial" w:cs="Arial"/>
          <w:sz w:val="20"/>
          <w:szCs w:val="20"/>
        </w:rPr>
      </w:pPr>
      <w:r w:rsidRPr="00FC6804">
        <w:rPr>
          <w:rFonts w:ascii="Arial" w:hAnsi="Arial" w:cs="Arial"/>
          <w:sz w:val="20"/>
          <w:szCs w:val="20"/>
        </w:rPr>
        <w:t xml:space="preserve">Source: </w:t>
      </w:r>
      <w:r w:rsidR="00245D1C" w:rsidRPr="00FC6804">
        <w:rPr>
          <w:rFonts w:ascii="Arial" w:hAnsi="Arial" w:cs="Arial"/>
          <w:sz w:val="20"/>
          <w:szCs w:val="20"/>
        </w:rPr>
        <w:t>PrimeSafe</w:t>
      </w:r>
    </w:p>
    <w:p w:rsidR="00112312" w:rsidRPr="00FC6804" w:rsidRDefault="00112312" w:rsidP="00112312">
      <w:pPr>
        <w:spacing w:after="0" w:line="240" w:lineRule="auto"/>
        <w:rPr>
          <w:rFonts w:ascii="Arial" w:hAnsi="Arial" w:cs="Arial"/>
          <w:sz w:val="20"/>
          <w:szCs w:val="20"/>
        </w:rPr>
      </w:pPr>
    </w:p>
    <w:p w:rsidR="00025CE6" w:rsidRPr="00FC6804" w:rsidRDefault="00657A2B" w:rsidP="00112312">
      <w:pPr>
        <w:spacing w:after="0" w:line="240" w:lineRule="auto"/>
        <w:rPr>
          <w:rFonts w:ascii="Arial" w:hAnsi="Arial" w:cs="Arial"/>
          <w:sz w:val="18"/>
          <w:szCs w:val="18"/>
        </w:rPr>
      </w:pPr>
      <w:r w:rsidRPr="00FC6804">
        <w:rPr>
          <w:rFonts w:ascii="Arial" w:hAnsi="Arial" w:cs="Arial"/>
          <w:sz w:val="18"/>
          <w:szCs w:val="18"/>
        </w:rPr>
        <w:t>Notes:</w:t>
      </w:r>
    </w:p>
    <w:p w:rsidR="00657A2B" w:rsidRPr="00FC6804" w:rsidRDefault="00657A2B" w:rsidP="00112312">
      <w:pPr>
        <w:pStyle w:val="ListParagraph"/>
        <w:numPr>
          <w:ilvl w:val="0"/>
          <w:numId w:val="34"/>
        </w:numPr>
        <w:spacing w:after="0" w:line="240" w:lineRule="auto"/>
        <w:contextualSpacing w:val="0"/>
        <w:rPr>
          <w:rFonts w:ascii="Arial" w:hAnsi="Arial" w:cs="Arial"/>
          <w:sz w:val="18"/>
          <w:szCs w:val="18"/>
        </w:rPr>
      </w:pPr>
      <w:r w:rsidRPr="00FC6804">
        <w:rPr>
          <w:rFonts w:ascii="Arial" w:hAnsi="Arial" w:cs="Arial"/>
          <w:sz w:val="18"/>
          <w:szCs w:val="18"/>
        </w:rPr>
        <w:t>Specific inspection data in relation to meat transp</w:t>
      </w:r>
      <w:r w:rsidR="007343BC">
        <w:rPr>
          <w:rFonts w:ascii="Arial" w:hAnsi="Arial" w:cs="Arial"/>
          <w:sz w:val="18"/>
          <w:szCs w:val="18"/>
        </w:rPr>
        <w:t xml:space="preserve">ort vehicles is not available. </w:t>
      </w:r>
      <w:r w:rsidR="00112312" w:rsidRPr="00FC6804">
        <w:rPr>
          <w:rFonts w:ascii="Arial" w:hAnsi="Arial" w:cs="Arial"/>
          <w:sz w:val="18"/>
          <w:szCs w:val="18"/>
        </w:rPr>
        <w:t>However,</w:t>
      </w:r>
      <w:r w:rsidRPr="00FC6804">
        <w:rPr>
          <w:rFonts w:ascii="Arial" w:hAnsi="Arial" w:cs="Arial"/>
          <w:sz w:val="18"/>
          <w:szCs w:val="18"/>
        </w:rPr>
        <w:t xml:space="preserve"> Prime</w:t>
      </w:r>
      <w:r w:rsidR="00112312" w:rsidRPr="00FC6804">
        <w:rPr>
          <w:rFonts w:ascii="Arial" w:hAnsi="Arial" w:cs="Arial"/>
          <w:sz w:val="18"/>
          <w:szCs w:val="18"/>
        </w:rPr>
        <w:t>S</w:t>
      </w:r>
      <w:r w:rsidRPr="00FC6804">
        <w:rPr>
          <w:rFonts w:ascii="Arial" w:hAnsi="Arial" w:cs="Arial"/>
          <w:sz w:val="18"/>
          <w:szCs w:val="18"/>
        </w:rPr>
        <w:t>afe’s most recent annual report indicates that 23 complaints were received in relation to meat transport vehicles i</w:t>
      </w:r>
      <w:r w:rsidR="007343BC">
        <w:rPr>
          <w:rFonts w:ascii="Arial" w:hAnsi="Arial" w:cs="Arial"/>
          <w:sz w:val="18"/>
          <w:szCs w:val="18"/>
        </w:rPr>
        <w:t xml:space="preserve">n each of 2013-14 and 2014-15. </w:t>
      </w:r>
      <w:r w:rsidRPr="00FC6804">
        <w:rPr>
          <w:rFonts w:ascii="Arial" w:hAnsi="Arial" w:cs="Arial"/>
          <w:sz w:val="18"/>
          <w:szCs w:val="18"/>
        </w:rPr>
        <w:t>Prime</w:t>
      </w:r>
      <w:r w:rsidR="00BF0380" w:rsidRPr="00FC6804">
        <w:rPr>
          <w:rFonts w:ascii="Arial" w:hAnsi="Arial" w:cs="Arial"/>
          <w:sz w:val="18"/>
          <w:szCs w:val="18"/>
        </w:rPr>
        <w:t>S</w:t>
      </w:r>
      <w:r w:rsidRPr="00FC6804">
        <w:rPr>
          <w:rFonts w:ascii="Arial" w:hAnsi="Arial" w:cs="Arial"/>
          <w:sz w:val="18"/>
          <w:szCs w:val="18"/>
        </w:rPr>
        <w:t>afe’s usual response to complaints is to undert</w:t>
      </w:r>
      <w:r w:rsidR="00BF0380" w:rsidRPr="00FC6804">
        <w:rPr>
          <w:rFonts w:ascii="Arial" w:hAnsi="Arial" w:cs="Arial"/>
          <w:sz w:val="18"/>
          <w:szCs w:val="18"/>
        </w:rPr>
        <w:t xml:space="preserve">ake an unannounced inspection. </w:t>
      </w:r>
      <w:r w:rsidRPr="00FC6804">
        <w:rPr>
          <w:rFonts w:ascii="Arial" w:hAnsi="Arial" w:cs="Arial"/>
          <w:sz w:val="18"/>
          <w:szCs w:val="18"/>
        </w:rPr>
        <w:t xml:space="preserve">Thus, inspections would </w:t>
      </w:r>
      <w:r w:rsidRPr="00DF2B12">
        <w:rPr>
          <w:rFonts w:ascii="Arial" w:hAnsi="Arial" w:cs="Arial"/>
          <w:sz w:val="18"/>
          <w:szCs w:val="18"/>
        </w:rPr>
        <w:t>have been unde</w:t>
      </w:r>
      <w:r w:rsidR="007343BC">
        <w:rPr>
          <w:rFonts w:ascii="Arial" w:hAnsi="Arial" w:cs="Arial"/>
          <w:sz w:val="18"/>
          <w:szCs w:val="18"/>
        </w:rPr>
        <w:t xml:space="preserve">rtaken in most of these cases. </w:t>
      </w:r>
      <w:r w:rsidRPr="00DF2B12">
        <w:rPr>
          <w:rFonts w:ascii="Arial" w:hAnsi="Arial" w:cs="Arial"/>
          <w:sz w:val="18"/>
          <w:szCs w:val="18"/>
        </w:rPr>
        <w:t>A total of 19 of these 46 complaints, or 41.3% were substantiated, thus requiring follow-up action to be taken (</w:t>
      </w:r>
      <w:r w:rsidR="00BF0380" w:rsidRPr="00DF2B12">
        <w:rPr>
          <w:rFonts w:ascii="Arial" w:hAnsi="Arial" w:cs="Arial"/>
          <w:sz w:val="18"/>
          <w:szCs w:val="18"/>
        </w:rPr>
        <w:t>PrimeSafe</w:t>
      </w:r>
      <w:r w:rsidRPr="00DF2B12">
        <w:rPr>
          <w:rFonts w:ascii="Arial" w:hAnsi="Arial" w:cs="Arial"/>
          <w:sz w:val="18"/>
          <w:szCs w:val="18"/>
        </w:rPr>
        <w:t xml:space="preserve"> </w:t>
      </w:r>
      <w:r w:rsidRPr="00DF2B12">
        <w:rPr>
          <w:rFonts w:ascii="Arial" w:hAnsi="Arial" w:cs="Arial"/>
          <w:i/>
          <w:sz w:val="18"/>
          <w:szCs w:val="18"/>
        </w:rPr>
        <w:t>Annual Report 2014-15</w:t>
      </w:r>
      <w:r w:rsidRPr="00DF2B12">
        <w:rPr>
          <w:rFonts w:ascii="Arial" w:hAnsi="Arial" w:cs="Arial"/>
          <w:sz w:val="18"/>
          <w:szCs w:val="18"/>
        </w:rPr>
        <w:t>, p 17).</w:t>
      </w:r>
    </w:p>
    <w:p w:rsidR="00657A2B" w:rsidRPr="00FC6804" w:rsidRDefault="00657A2B" w:rsidP="00112312">
      <w:pPr>
        <w:pStyle w:val="ListParagraph"/>
        <w:numPr>
          <w:ilvl w:val="0"/>
          <w:numId w:val="34"/>
        </w:numPr>
        <w:spacing w:after="0" w:line="240" w:lineRule="auto"/>
        <w:contextualSpacing w:val="0"/>
        <w:rPr>
          <w:rFonts w:ascii="Arial" w:hAnsi="Arial" w:cs="Arial"/>
          <w:sz w:val="18"/>
          <w:szCs w:val="18"/>
        </w:rPr>
      </w:pPr>
      <w:r w:rsidRPr="00FC6804">
        <w:rPr>
          <w:rFonts w:ascii="Arial" w:hAnsi="Arial" w:cs="Arial"/>
          <w:sz w:val="18"/>
          <w:szCs w:val="18"/>
        </w:rPr>
        <w:t xml:space="preserve">The number of complaints </w:t>
      </w:r>
      <w:r w:rsidR="009F0197" w:rsidRPr="00FC6804">
        <w:rPr>
          <w:rFonts w:ascii="Arial" w:hAnsi="Arial" w:cs="Arial"/>
          <w:sz w:val="18"/>
          <w:szCs w:val="18"/>
        </w:rPr>
        <w:t xml:space="preserve">in relation to meat transport vehicles </w:t>
      </w:r>
      <w:r w:rsidR="00AA0F82" w:rsidRPr="00FC6804">
        <w:rPr>
          <w:rFonts w:ascii="Arial" w:hAnsi="Arial" w:cs="Arial"/>
          <w:sz w:val="18"/>
          <w:szCs w:val="18"/>
        </w:rPr>
        <w:t xml:space="preserve">recorded in 2013-14 and 2014-15 represents a significant reduction in the numbers recorded in previous years, with </w:t>
      </w:r>
      <w:r w:rsidR="009F0197" w:rsidRPr="00FC6804">
        <w:rPr>
          <w:rFonts w:ascii="Arial" w:hAnsi="Arial" w:cs="Arial"/>
          <w:sz w:val="18"/>
          <w:szCs w:val="18"/>
        </w:rPr>
        <w:t>81 complaints having been made in 2012-13</w:t>
      </w:r>
      <w:r w:rsidR="00AA0F82" w:rsidRPr="00FC6804">
        <w:rPr>
          <w:rFonts w:ascii="Arial" w:hAnsi="Arial" w:cs="Arial"/>
          <w:sz w:val="18"/>
          <w:szCs w:val="18"/>
        </w:rPr>
        <w:t>, 73 in 2011-12</w:t>
      </w:r>
      <w:r w:rsidR="009F0197" w:rsidRPr="00FC6804">
        <w:rPr>
          <w:rFonts w:ascii="Arial" w:hAnsi="Arial" w:cs="Arial"/>
          <w:sz w:val="18"/>
          <w:szCs w:val="18"/>
        </w:rPr>
        <w:t xml:space="preserve"> and 52 in 2010-11</w:t>
      </w:r>
      <w:r w:rsidR="009F0197" w:rsidRPr="00FC6804">
        <w:rPr>
          <w:rStyle w:val="FootnoteReference"/>
          <w:rFonts w:ascii="Arial" w:hAnsi="Arial" w:cs="Arial"/>
          <w:sz w:val="18"/>
          <w:szCs w:val="18"/>
        </w:rPr>
        <w:footnoteReference w:id="13"/>
      </w:r>
      <w:r w:rsidR="009F0197" w:rsidRPr="00FC6804">
        <w:rPr>
          <w:rFonts w:ascii="Arial" w:hAnsi="Arial" w:cs="Arial"/>
          <w:sz w:val="18"/>
          <w:szCs w:val="18"/>
        </w:rPr>
        <w:t>.</w:t>
      </w:r>
    </w:p>
    <w:p w:rsidR="00657A2B" w:rsidRPr="00FC6804" w:rsidRDefault="00657A2B" w:rsidP="00112312">
      <w:pPr>
        <w:spacing w:after="0" w:line="240" w:lineRule="auto"/>
        <w:rPr>
          <w:rFonts w:ascii="Arial" w:hAnsi="Arial" w:cs="Arial"/>
          <w:sz w:val="20"/>
          <w:szCs w:val="20"/>
        </w:rPr>
      </w:pPr>
    </w:p>
    <w:p w:rsidR="004D251D" w:rsidRPr="00FC6804" w:rsidRDefault="004D251D" w:rsidP="00112312">
      <w:pPr>
        <w:spacing w:after="0" w:line="240" w:lineRule="auto"/>
        <w:rPr>
          <w:rFonts w:ascii="Arial" w:hAnsi="Arial" w:cs="Arial"/>
          <w:sz w:val="20"/>
          <w:szCs w:val="20"/>
        </w:rPr>
      </w:pPr>
      <w:r w:rsidRPr="00FC6804">
        <w:rPr>
          <w:rFonts w:ascii="Arial" w:hAnsi="Arial" w:cs="Arial"/>
          <w:sz w:val="20"/>
          <w:szCs w:val="20"/>
        </w:rPr>
        <w:t>Inspection activity is driven by statutory requirements (pre-licensing and animal welfare), by the need to be responsive to stakeholders and address issues of potential concern raised (</w:t>
      </w:r>
      <w:r w:rsidR="00657A2B" w:rsidRPr="00FC6804">
        <w:rPr>
          <w:rFonts w:ascii="Arial" w:hAnsi="Arial" w:cs="Arial"/>
          <w:sz w:val="20"/>
          <w:szCs w:val="20"/>
        </w:rPr>
        <w:t>complaints</w:t>
      </w:r>
      <w:r w:rsidR="00657A2B" w:rsidRPr="00FC6804">
        <w:rPr>
          <w:rStyle w:val="FootnoteReference"/>
          <w:rFonts w:ascii="Arial" w:hAnsi="Arial" w:cs="Arial"/>
          <w:sz w:val="20"/>
          <w:szCs w:val="20"/>
        </w:rPr>
        <w:footnoteReference w:id="14"/>
      </w:r>
      <w:r w:rsidRPr="00FC6804">
        <w:rPr>
          <w:rFonts w:ascii="Arial" w:hAnsi="Arial" w:cs="Arial"/>
          <w:sz w:val="20"/>
          <w:szCs w:val="20"/>
        </w:rPr>
        <w:t>) and by Prime</w:t>
      </w:r>
      <w:r w:rsidR="00BF0380" w:rsidRPr="00FC6804">
        <w:rPr>
          <w:rFonts w:ascii="Arial" w:hAnsi="Arial" w:cs="Arial"/>
          <w:sz w:val="20"/>
          <w:szCs w:val="20"/>
        </w:rPr>
        <w:t>S</w:t>
      </w:r>
      <w:r w:rsidRPr="00FC6804">
        <w:rPr>
          <w:rFonts w:ascii="Arial" w:hAnsi="Arial" w:cs="Arial"/>
          <w:sz w:val="20"/>
          <w:szCs w:val="20"/>
        </w:rPr>
        <w:t>afe’s own judgements as to key areas of risk (e.g. SO</w:t>
      </w:r>
      <w:r w:rsidRPr="00FC6804">
        <w:rPr>
          <w:rFonts w:ascii="Arial" w:hAnsi="Arial" w:cs="Arial"/>
          <w:sz w:val="20"/>
          <w:szCs w:val="20"/>
          <w:vertAlign w:val="subscript"/>
        </w:rPr>
        <w:t>2</w:t>
      </w:r>
      <w:r w:rsidRPr="00FC6804">
        <w:rPr>
          <w:rFonts w:ascii="Arial" w:hAnsi="Arial" w:cs="Arial"/>
          <w:sz w:val="20"/>
          <w:szCs w:val="20"/>
        </w:rPr>
        <w:t>).</w:t>
      </w:r>
    </w:p>
    <w:p w:rsidR="00245D1C" w:rsidRPr="00FC6804" w:rsidRDefault="00245D1C" w:rsidP="001174BA">
      <w:pPr>
        <w:rPr>
          <w:szCs w:val="18"/>
        </w:rPr>
        <w:sectPr w:rsidR="00245D1C" w:rsidRPr="00FC6804" w:rsidSect="00245D1C">
          <w:pgSz w:w="16838" w:h="11906" w:orient="landscape" w:code="9"/>
          <w:pgMar w:top="1440" w:right="1440" w:bottom="1440" w:left="1440" w:header="567" w:footer="567" w:gutter="0"/>
          <w:cols w:space="708"/>
          <w:docGrid w:linePitch="360"/>
        </w:sectPr>
      </w:pPr>
    </w:p>
    <w:p w:rsidR="00025CE6" w:rsidRPr="00FC6804" w:rsidRDefault="00025CE6" w:rsidP="007E1BD2">
      <w:pPr>
        <w:spacing w:after="0" w:line="240" w:lineRule="auto"/>
        <w:rPr>
          <w:rFonts w:ascii="Arial" w:hAnsi="Arial" w:cs="Arial"/>
          <w:b/>
          <w:i/>
          <w:sz w:val="20"/>
          <w:szCs w:val="20"/>
        </w:rPr>
      </w:pPr>
      <w:r w:rsidRPr="00FC6804">
        <w:rPr>
          <w:rFonts w:ascii="Arial" w:hAnsi="Arial" w:cs="Arial"/>
          <w:b/>
          <w:i/>
          <w:sz w:val="20"/>
          <w:szCs w:val="20"/>
        </w:rPr>
        <w:t xml:space="preserve">Information Provision </w:t>
      </w:r>
    </w:p>
    <w:p w:rsidR="007E1BD2" w:rsidRPr="00FC6804" w:rsidRDefault="007E1BD2" w:rsidP="007E1BD2">
      <w:pPr>
        <w:spacing w:after="0" w:line="240" w:lineRule="auto"/>
        <w:rPr>
          <w:rFonts w:ascii="Arial" w:hAnsi="Arial" w:cs="Arial"/>
          <w:sz w:val="20"/>
          <w:szCs w:val="20"/>
        </w:rPr>
      </w:pPr>
    </w:p>
    <w:p w:rsidR="00025CE6" w:rsidRPr="00FC6804" w:rsidRDefault="009C0CD9" w:rsidP="007E1BD2">
      <w:pPr>
        <w:spacing w:after="0" w:line="240" w:lineRule="auto"/>
        <w:rPr>
          <w:rFonts w:ascii="Arial" w:hAnsi="Arial" w:cs="Arial"/>
          <w:sz w:val="20"/>
          <w:szCs w:val="20"/>
        </w:rPr>
      </w:pPr>
      <w:r w:rsidRPr="00FC6804">
        <w:rPr>
          <w:rFonts w:ascii="Arial" w:hAnsi="Arial" w:cs="Arial"/>
          <w:sz w:val="20"/>
          <w:szCs w:val="20"/>
        </w:rPr>
        <w:t>Prime</w:t>
      </w:r>
      <w:r w:rsidR="007E1BD2" w:rsidRPr="00FC6804">
        <w:rPr>
          <w:rFonts w:ascii="Arial" w:hAnsi="Arial" w:cs="Arial"/>
          <w:sz w:val="20"/>
          <w:szCs w:val="20"/>
        </w:rPr>
        <w:t>S</w:t>
      </w:r>
      <w:r w:rsidR="00FA7EEA">
        <w:rPr>
          <w:rFonts w:ascii="Arial" w:hAnsi="Arial" w:cs="Arial"/>
          <w:sz w:val="20"/>
          <w:szCs w:val="20"/>
        </w:rPr>
        <w:t xml:space="preserve">afe </w:t>
      </w:r>
      <w:r w:rsidR="008B52A9" w:rsidRPr="00FC6804">
        <w:rPr>
          <w:rFonts w:ascii="Arial" w:hAnsi="Arial" w:cs="Arial"/>
          <w:sz w:val="20"/>
          <w:szCs w:val="20"/>
        </w:rPr>
        <w:t xml:space="preserve">provides a range of information and </w:t>
      </w:r>
      <w:r w:rsidR="00FA7EEA">
        <w:rPr>
          <w:rFonts w:ascii="Arial" w:hAnsi="Arial" w:cs="Arial"/>
          <w:sz w:val="20"/>
          <w:szCs w:val="20"/>
        </w:rPr>
        <w:t>support</w:t>
      </w:r>
      <w:r w:rsidR="008B52A9" w:rsidRPr="00FC6804">
        <w:rPr>
          <w:rFonts w:ascii="Arial" w:hAnsi="Arial" w:cs="Arial"/>
          <w:sz w:val="20"/>
          <w:szCs w:val="20"/>
        </w:rPr>
        <w:t xml:space="preserve"> in respo</w:t>
      </w:r>
      <w:r w:rsidR="007E1BD2" w:rsidRPr="00FC6804">
        <w:rPr>
          <w:rFonts w:ascii="Arial" w:hAnsi="Arial" w:cs="Arial"/>
          <w:sz w:val="20"/>
          <w:szCs w:val="20"/>
        </w:rPr>
        <w:t xml:space="preserve">nse to queries from licensees. </w:t>
      </w:r>
      <w:r w:rsidR="009F2BB3" w:rsidRPr="00FC6804">
        <w:rPr>
          <w:rFonts w:ascii="Arial" w:hAnsi="Arial" w:cs="Arial"/>
          <w:sz w:val="20"/>
          <w:szCs w:val="20"/>
        </w:rPr>
        <w:t xml:space="preserve">Data for July to </w:t>
      </w:r>
      <w:r w:rsidR="008B52A9" w:rsidRPr="00FC6804">
        <w:rPr>
          <w:rFonts w:ascii="Arial" w:hAnsi="Arial" w:cs="Arial"/>
          <w:sz w:val="20"/>
          <w:szCs w:val="20"/>
        </w:rPr>
        <w:t>October 2015 showed that around 50% of these queries dealt with licensing</w:t>
      </w:r>
      <w:r w:rsidR="00FA7EEA">
        <w:rPr>
          <w:rFonts w:ascii="Arial" w:hAnsi="Arial" w:cs="Arial"/>
          <w:sz w:val="20"/>
          <w:szCs w:val="20"/>
        </w:rPr>
        <w:t xml:space="preserve"> </w:t>
      </w:r>
      <w:r w:rsidR="008B52A9" w:rsidRPr="00FC6804">
        <w:rPr>
          <w:rFonts w:ascii="Arial" w:hAnsi="Arial" w:cs="Arial"/>
          <w:sz w:val="20"/>
          <w:szCs w:val="20"/>
        </w:rPr>
        <w:t>related matters, while the next most common queries related to high-risk processing (9.5%), animal welfare/slaughtering (6.6%) and construction and maint</w:t>
      </w:r>
      <w:r w:rsidR="009F2BB3" w:rsidRPr="00FC6804">
        <w:rPr>
          <w:rFonts w:ascii="Arial" w:hAnsi="Arial" w:cs="Arial"/>
          <w:sz w:val="20"/>
          <w:szCs w:val="20"/>
        </w:rPr>
        <w:t xml:space="preserve">enance related matters (5.2%). </w:t>
      </w:r>
      <w:r w:rsidR="008B52A9" w:rsidRPr="00FC6804">
        <w:rPr>
          <w:rFonts w:ascii="Arial" w:hAnsi="Arial" w:cs="Arial"/>
          <w:sz w:val="20"/>
          <w:szCs w:val="20"/>
        </w:rPr>
        <w:t xml:space="preserve">As </w:t>
      </w:r>
      <w:r w:rsidR="00FA7EEA">
        <w:rPr>
          <w:rFonts w:ascii="Arial" w:hAnsi="Arial" w:cs="Arial"/>
          <w:sz w:val="20"/>
          <w:szCs w:val="20"/>
        </w:rPr>
        <w:t xml:space="preserve">previously </w:t>
      </w:r>
      <w:r w:rsidR="008B52A9" w:rsidRPr="00FC6804">
        <w:rPr>
          <w:rFonts w:ascii="Arial" w:hAnsi="Arial" w:cs="Arial"/>
          <w:sz w:val="20"/>
          <w:szCs w:val="20"/>
        </w:rPr>
        <w:t>noted, a new fee is expected to be introduced from 2016-17 for responding to detailed and s</w:t>
      </w:r>
      <w:r w:rsidR="00FA7EEA">
        <w:rPr>
          <w:rFonts w:ascii="Arial" w:hAnsi="Arial" w:cs="Arial"/>
          <w:sz w:val="20"/>
          <w:szCs w:val="20"/>
        </w:rPr>
        <w:t xml:space="preserve">pecific pre-licensing queries. </w:t>
      </w:r>
      <w:r w:rsidR="008B52A9" w:rsidRPr="00FC6804">
        <w:rPr>
          <w:rFonts w:ascii="Arial" w:hAnsi="Arial" w:cs="Arial"/>
          <w:sz w:val="20"/>
          <w:szCs w:val="20"/>
        </w:rPr>
        <w:t xml:space="preserve">However, these existing categories of more general queries will continue to be funded from general licence fee revenue, thus ensuring there is no disincentive </w:t>
      </w:r>
      <w:r w:rsidR="00FA7EEA">
        <w:rPr>
          <w:rFonts w:ascii="Arial" w:hAnsi="Arial" w:cs="Arial"/>
          <w:sz w:val="20"/>
          <w:szCs w:val="20"/>
        </w:rPr>
        <w:t>for</w:t>
      </w:r>
      <w:r w:rsidR="008B52A9" w:rsidRPr="00FC6804">
        <w:rPr>
          <w:rFonts w:ascii="Arial" w:hAnsi="Arial" w:cs="Arial"/>
          <w:sz w:val="20"/>
          <w:szCs w:val="20"/>
        </w:rPr>
        <w:t xml:space="preserve"> licensees seeking expert advice from </w:t>
      </w:r>
      <w:r w:rsidR="007E1BD2" w:rsidRPr="00FC6804">
        <w:rPr>
          <w:rFonts w:ascii="Arial" w:hAnsi="Arial" w:cs="Arial"/>
          <w:sz w:val="20"/>
          <w:szCs w:val="20"/>
        </w:rPr>
        <w:t>PrimeSafe</w:t>
      </w:r>
      <w:r w:rsidR="008B52A9" w:rsidRPr="00FC6804">
        <w:rPr>
          <w:rFonts w:ascii="Arial" w:hAnsi="Arial" w:cs="Arial"/>
          <w:sz w:val="20"/>
          <w:szCs w:val="20"/>
        </w:rPr>
        <w:t xml:space="preserve"> and, in turn, facilitating a high level of compliance with regulatory requirements.</w:t>
      </w:r>
    </w:p>
    <w:p w:rsidR="00025CE6" w:rsidRPr="00FC6804" w:rsidRDefault="00025CE6" w:rsidP="007E1BD2">
      <w:pPr>
        <w:spacing w:after="0" w:line="240" w:lineRule="auto"/>
        <w:rPr>
          <w:rFonts w:ascii="Arial" w:hAnsi="Arial" w:cs="Arial"/>
          <w:sz w:val="20"/>
          <w:szCs w:val="20"/>
        </w:rPr>
      </w:pPr>
    </w:p>
    <w:p w:rsidR="00E876B6" w:rsidRPr="00FC6804" w:rsidRDefault="00B56AA5" w:rsidP="007E1BD2">
      <w:pPr>
        <w:pStyle w:val="Heading2"/>
        <w:numPr>
          <w:ilvl w:val="1"/>
          <w:numId w:val="2"/>
        </w:numPr>
        <w:rPr>
          <w:rFonts w:cs="Arial"/>
          <w:b/>
          <w:szCs w:val="20"/>
        </w:rPr>
      </w:pPr>
      <w:bookmarkStart w:id="9" w:name="_Toc443915344"/>
      <w:r w:rsidRPr="00FC6804">
        <w:rPr>
          <w:rFonts w:cs="Arial"/>
          <w:b/>
          <w:szCs w:val="20"/>
        </w:rPr>
        <w:t>Addressing c</w:t>
      </w:r>
      <w:r w:rsidR="00E876B6" w:rsidRPr="00FC6804">
        <w:rPr>
          <w:rFonts w:cs="Arial"/>
          <w:b/>
          <w:szCs w:val="20"/>
        </w:rPr>
        <w:t>ross-subsidies between licence categories</w:t>
      </w:r>
      <w:bookmarkEnd w:id="9"/>
    </w:p>
    <w:p w:rsidR="00E876B6" w:rsidRPr="00FC6804" w:rsidRDefault="00E876B6" w:rsidP="007E1BD2">
      <w:pPr>
        <w:spacing w:after="0" w:line="240" w:lineRule="auto"/>
        <w:rPr>
          <w:rFonts w:ascii="Arial" w:hAnsi="Arial" w:cs="Arial"/>
          <w:sz w:val="20"/>
          <w:szCs w:val="20"/>
        </w:rPr>
      </w:pPr>
    </w:p>
    <w:p w:rsidR="002B3960" w:rsidRPr="00FC6804" w:rsidRDefault="00FF03AA" w:rsidP="007E1BD2">
      <w:pPr>
        <w:spacing w:after="0" w:line="240" w:lineRule="auto"/>
        <w:rPr>
          <w:rFonts w:ascii="Arial" w:hAnsi="Arial" w:cs="Arial"/>
          <w:sz w:val="20"/>
          <w:szCs w:val="20"/>
        </w:rPr>
      </w:pPr>
      <w:r w:rsidRPr="00FC6804">
        <w:rPr>
          <w:rFonts w:ascii="Arial" w:hAnsi="Arial" w:cs="Arial"/>
          <w:sz w:val="20"/>
          <w:szCs w:val="20"/>
        </w:rPr>
        <w:t>PrimeSafe</w:t>
      </w:r>
      <w:r w:rsidR="002B3960" w:rsidRPr="00FC6804">
        <w:rPr>
          <w:rFonts w:ascii="Arial" w:hAnsi="Arial" w:cs="Arial"/>
          <w:sz w:val="20"/>
          <w:szCs w:val="20"/>
        </w:rPr>
        <w:t xml:space="preserve"> is, as noted above, empowered under the </w:t>
      </w:r>
      <w:r w:rsidR="002B3960" w:rsidRPr="00FC6804">
        <w:rPr>
          <w:rFonts w:ascii="Arial" w:hAnsi="Arial" w:cs="Arial"/>
          <w:i/>
          <w:sz w:val="20"/>
          <w:szCs w:val="20"/>
        </w:rPr>
        <w:t>Meat Industry Act 1993</w:t>
      </w:r>
      <w:r w:rsidR="002B3960" w:rsidRPr="00FC6804">
        <w:rPr>
          <w:rFonts w:ascii="Arial" w:hAnsi="Arial" w:cs="Arial"/>
          <w:sz w:val="20"/>
          <w:szCs w:val="20"/>
        </w:rPr>
        <w:t xml:space="preserve"> to set fees independently, with very limited powers of </w:t>
      </w:r>
      <w:r w:rsidR="00FA7EEA">
        <w:rPr>
          <w:rFonts w:ascii="Arial" w:hAnsi="Arial" w:cs="Arial"/>
          <w:sz w:val="20"/>
          <w:szCs w:val="20"/>
        </w:rPr>
        <w:t>M</w:t>
      </w:r>
      <w:r w:rsidR="002B3960" w:rsidRPr="00FC6804">
        <w:rPr>
          <w:rFonts w:ascii="Arial" w:hAnsi="Arial" w:cs="Arial"/>
          <w:sz w:val="20"/>
          <w:szCs w:val="20"/>
        </w:rPr>
        <w:t xml:space="preserve">inisterial direction being established. A consequence of this is that fee setting has historically been undertaken in a highly consultative context, with a clear emphasis being placed on ensuring that the fees </w:t>
      </w:r>
      <w:r w:rsidR="00451657" w:rsidRPr="00FC6804">
        <w:rPr>
          <w:rFonts w:ascii="Arial" w:hAnsi="Arial" w:cs="Arial"/>
          <w:sz w:val="20"/>
          <w:szCs w:val="20"/>
        </w:rPr>
        <w:t xml:space="preserve">are </w:t>
      </w:r>
      <w:r w:rsidR="002B3960" w:rsidRPr="00FC6804">
        <w:rPr>
          <w:rFonts w:ascii="Arial" w:hAnsi="Arial" w:cs="Arial"/>
          <w:sz w:val="20"/>
          <w:szCs w:val="20"/>
        </w:rPr>
        <w:t xml:space="preserve">set </w:t>
      </w:r>
      <w:r w:rsidR="001D2383" w:rsidRPr="00FC6804">
        <w:rPr>
          <w:rFonts w:ascii="Arial" w:hAnsi="Arial" w:cs="Arial"/>
          <w:sz w:val="20"/>
          <w:szCs w:val="20"/>
        </w:rPr>
        <w:t xml:space="preserve">at </w:t>
      </w:r>
      <w:r w:rsidR="00451657" w:rsidRPr="00FC6804">
        <w:rPr>
          <w:rFonts w:ascii="Arial" w:hAnsi="Arial" w:cs="Arial"/>
          <w:sz w:val="20"/>
          <w:szCs w:val="20"/>
        </w:rPr>
        <w:t xml:space="preserve">the </w:t>
      </w:r>
      <w:r w:rsidR="001D2383" w:rsidRPr="00FC6804">
        <w:rPr>
          <w:rFonts w:ascii="Arial" w:hAnsi="Arial" w:cs="Arial"/>
          <w:sz w:val="20"/>
          <w:szCs w:val="20"/>
        </w:rPr>
        <w:t xml:space="preserve">minimum </w:t>
      </w:r>
      <w:r w:rsidR="00451657" w:rsidRPr="00FC6804">
        <w:rPr>
          <w:rFonts w:ascii="Arial" w:hAnsi="Arial" w:cs="Arial"/>
          <w:sz w:val="20"/>
          <w:szCs w:val="20"/>
        </w:rPr>
        <w:t xml:space="preserve">levels feasible </w:t>
      </w:r>
      <w:r w:rsidR="001D2383" w:rsidRPr="00FC6804">
        <w:rPr>
          <w:rFonts w:ascii="Arial" w:hAnsi="Arial" w:cs="Arial"/>
          <w:sz w:val="20"/>
          <w:szCs w:val="20"/>
        </w:rPr>
        <w:t>and</w:t>
      </w:r>
      <w:r w:rsidR="00451657" w:rsidRPr="00FC6804">
        <w:rPr>
          <w:rFonts w:ascii="Arial" w:hAnsi="Arial" w:cs="Arial"/>
          <w:sz w:val="20"/>
          <w:szCs w:val="20"/>
        </w:rPr>
        <w:t xml:space="preserve"> that they are</w:t>
      </w:r>
      <w:r w:rsidR="002B3960" w:rsidRPr="00FC6804">
        <w:rPr>
          <w:rFonts w:ascii="Arial" w:hAnsi="Arial" w:cs="Arial"/>
          <w:sz w:val="20"/>
          <w:szCs w:val="20"/>
        </w:rPr>
        <w:t xml:space="preserve"> widely acceptable across the various regulated industry sectors.</w:t>
      </w:r>
    </w:p>
    <w:p w:rsidR="00FF03AA" w:rsidRPr="00FC6804" w:rsidRDefault="00FF03AA" w:rsidP="007E1BD2">
      <w:pPr>
        <w:pStyle w:val="NormalWeb"/>
        <w:spacing w:before="0" w:beforeAutospacing="0" w:after="0" w:afterAutospacing="0"/>
        <w:rPr>
          <w:rFonts w:ascii="Arial" w:hAnsi="Arial" w:cs="Arial"/>
          <w:sz w:val="20"/>
          <w:szCs w:val="20"/>
        </w:rPr>
      </w:pPr>
    </w:p>
    <w:p w:rsidR="001174BA" w:rsidRPr="00FC6804" w:rsidRDefault="001174BA" w:rsidP="007E1BD2">
      <w:pPr>
        <w:pStyle w:val="NormalWeb"/>
        <w:spacing w:before="0" w:beforeAutospacing="0" w:after="0" w:afterAutospacing="0"/>
        <w:rPr>
          <w:rFonts w:ascii="Arial" w:hAnsi="Arial" w:cs="Arial"/>
          <w:sz w:val="20"/>
          <w:szCs w:val="20"/>
        </w:rPr>
      </w:pPr>
      <w:r w:rsidRPr="00FC6804">
        <w:rPr>
          <w:rFonts w:ascii="Arial" w:hAnsi="Arial" w:cs="Arial"/>
          <w:sz w:val="20"/>
          <w:szCs w:val="20"/>
        </w:rPr>
        <w:t xml:space="preserve">While </w:t>
      </w:r>
      <w:r w:rsidR="002B3960" w:rsidRPr="00FC6804">
        <w:rPr>
          <w:rFonts w:ascii="Arial" w:hAnsi="Arial" w:cs="Arial"/>
          <w:sz w:val="20"/>
          <w:szCs w:val="20"/>
        </w:rPr>
        <w:t>fees have necessarily been set at levels consistent with the achievement of full cost recovery in the aggregate</w:t>
      </w:r>
      <w:r w:rsidRPr="00FC6804">
        <w:rPr>
          <w:rFonts w:ascii="Arial" w:hAnsi="Arial" w:cs="Arial"/>
          <w:sz w:val="20"/>
          <w:szCs w:val="20"/>
        </w:rPr>
        <w:t xml:space="preserve">, </w:t>
      </w:r>
      <w:r w:rsidR="002B3960" w:rsidRPr="00FC6804">
        <w:rPr>
          <w:rFonts w:ascii="Arial" w:hAnsi="Arial" w:cs="Arial"/>
          <w:sz w:val="20"/>
          <w:szCs w:val="20"/>
        </w:rPr>
        <w:t>individual fees have not simply been set with regard to this high level full cost recovery objective. Rather, significant consideration has also been given to notions of the ability to pay of the</w:t>
      </w:r>
      <w:r w:rsidR="001A2CED" w:rsidRPr="00FC6804">
        <w:rPr>
          <w:rFonts w:ascii="Arial" w:hAnsi="Arial" w:cs="Arial"/>
          <w:sz w:val="20"/>
          <w:szCs w:val="20"/>
        </w:rPr>
        <w:t xml:space="preserve"> various industry participants. </w:t>
      </w:r>
      <w:r w:rsidRPr="00FC6804">
        <w:rPr>
          <w:rFonts w:ascii="Arial" w:hAnsi="Arial" w:cs="Arial"/>
          <w:sz w:val="20"/>
          <w:szCs w:val="20"/>
        </w:rPr>
        <w:t xml:space="preserve">In practice, this has meant that regulated entities that operate on a larger scale have paid significantly higher fees than smaller businesses, notwithstanding that the costs of regulating them </w:t>
      </w:r>
      <w:r w:rsidR="00451657" w:rsidRPr="00FC6804">
        <w:rPr>
          <w:rFonts w:ascii="Arial" w:hAnsi="Arial" w:cs="Arial"/>
          <w:sz w:val="20"/>
          <w:szCs w:val="20"/>
        </w:rPr>
        <w:t>may</w:t>
      </w:r>
      <w:r w:rsidRPr="00FC6804">
        <w:rPr>
          <w:rFonts w:ascii="Arial" w:hAnsi="Arial" w:cs="Arial"/>
          <w:sz w:val="20"/>
          <w:szCs w:val="20"/>
        </w:rPr>
        <w:t xml:space="preserve"> not, in all cases, </w:t>
      </w:r>
      <w:r w:rsidR="00451657" w:rsidRPr="00FC6804">
        <w:rPr>
          <w:rFonts w:ascii="Arial" w:hAnsi="Arial" w:cs="Arial"/>
          <w:sz w:val="20"/>
          <w:szCs w:val="20"/>
        </w:rPr>
        <w:t xml:space="preserve">be </w:t>
      </w:r>
      <w:r w:rsidR="001A2CED" w:rsidRPr="00FC6804">
        <w:rPr>
          <w:rFonts w:ascii="Arial" w:hAnsi="Arial" w:cs="Arial"/>
          <w:sz w:val="20"/>
          <w:szCs w:val="20"/>
        </w:rPr>
        <w:t xml:space="preserve">substantially higher. </w:t>
      </w:r>
      <w:r w:rsidRPr="00FC6804">
        <w:rPr>
          <w:rFonts w:ascii="Arial" w:hAnsi="Arial" w:cs="Arial"/>
          <w:sz w:val="20"/>
          <w:szCs w:val="20"/>
        </w:rPr>
        <w:t xml:space="preserve">This </w:t>
      </w:r>
      <w:r w:rsidR="002B3960" w:rsidRPr="00FC6804">
        <w:rPr>
          <w:rFonts w:ascii="Arial" w:hAnsi="Arial" w:cs="Arial"/>
          <w:sz w:val="20"/>
          <w:szCs w:val="20"/>
        </w:rPr>
        <w:t xml:space="preserve">weighting of ability to pay considerations </w:t>
      </w:r>
      <w:r w:rsidRPr="00FC6804">
        <w:rPr>
          <w:rFonts w:ascii="Arial" w:hAnsi="Arial" w:cs="Arial"/>
          <w:sz w:val="20"/>
          <w:szCs w:val="20"/>
        </w:rPr>
        <w:t>is visible in two ways:</w:t>
      </w:r>
      <w:r w:rsidRPr="00FC6804">
        <w:rPr>
          <w:rFonts w:ascii="Arial" w:hAnsi="Arial" w:cs="Arial"/>
          <w:sz w:val="20"/>
          <w:szCs w:val="20"/>
        </w:rPr>
        <w:br/>
      </w:r>
    </w:p>
    <w:p w:rsidR="00F723E9" w:rsidRPr="00FC6804" w:rsidRDefault="00F723E9" w:rsidP="007E1BD2">
      <w:pPr>
        <w:pStyle w:val="ListParagraph"/>
        <w:numPr>
          <w:ilvl w:val="0"/>
          <w:numId w:val="8"/>
        </w:numPr>
        <w:spacing w:after="0" w:line="240" w:lineRule="auto"/>
        <w:contextualSpacing w:val="0"/>
        <w:rPr>
          <w:rFonts w:ascii="Arial" w:hAnsi="Arial" w:cs="Arial"/>
          <w:sz w:val="20"/>
          <w:szCs w:val="20"/>
        </w:rPr>
      </w:pPr>
      <w:r w:rsidRPr="00FC6804">
        <w:rPr>
          <w:rFonts w:ascii="Arial" w:hAnsi="Arial" w:cs="Arial"/>
          <w:sz w:val="20"/>
          <w:szCs w:val="20"/>
        </w:rPr>
        <w:t>Li</w:t>
      </w:r>
      <w:r w:rsidR="00FA7EEA">
        <w:rPr>
          <w:rFonts w:ascii="Arial" w:hAnsi="Arial" w:cs="Arial"/>
          <w:sz w:val="20"/>
          <w:szCs w:val="20"/>
        </w:rPr>
        <w:t xml:space="preserve">cence categories in which small </w:t>
      </w:r>
      <w:r w:rsidRPr="00FC6804">
        <w:rPr>
          <w:rFonts w:ascii="Arial" w:hAnsi="Arial" w:cs="Arial"/>
          <w:sz w:val="20"/>
          <w:szCs w:val="20"/>
        </w:rPr>
        <w:t xml:space="preserve">scale </w:t>
      </w:r>
      <w:r w:rsidR="00FA7EEA">
        <w:rPr>
          <w:rFonts w:ascii="Arial" w:hAnsi="Arial" w:cs="Arial"/>
          <w:sz w:val="20"/>
          <w:szCs w:val="20"/>
        </w:rPr>
        <w:t>processors</w:t>
      </w:r>
      <w:r w:rsidRPr="00FC6804">
        <w:rPr>
          <w:rFonts w:ascii="Arial" w:hAnsi="Arial" w:cs="Arial"/>
          <w:sz w:val="20"/>
          <w:szCs w:val="20"/>
        </w:rPr>
        <w:t xml:space="preserve"> predominate have generally had low fees set (e.g. retail butcher shops, meat inspectors, meat transport vehicles</w:t>
      </w:r>
      <w:r w:rsidR="00C872C0" w:rsidRPr="00FC6804">
        <w:rPr>
          <w:rFonts w:ascii="Arial" w:hAnsi="Arial" w:cs="Arial"/>
          <w:sz w:val="20"/>
          <w:szCs w:val="20"/>
        </w:rPr>
        <w:t>)</w:t>
      </w:r>
      <w:r w:rsidRPr="00FC6804">
        <w:rPr>
          <w:rFonts w:ascii="Arial" w:hAnsi="Arial" w:cs="Arial"/>
          <w:sz w:val="20"/>
          <w:szCs w:val="20"/>
        </w:rPr>
        <w:t>; and</w:t>
      </w:r>
    </w:p>
    <w:p w:rsidR="00FF03AA" w:rsidRPr="00FC6804" w:rsidRDefault="00FF03AA" w:rsidP="00FF03AA">
      <w:pPr>
        <w:pStyle w:val="ListParagraph"/>
        <w:spacing w:after="0" w:line="240" w:lineRule="auto"/>
        <w:contextualSpacing w:val="0"/>
        <w:rPr>
          <w:rFonts w:ascii="Arial" w:hAnsi="Arial" w:cs="Arial"/>
          <w:sz w:val="20"/>
          <w:szCs w:val="20"/>
        </w:rPr>
      </w:pPr>
    </w:p>
    <w:p w:rsidR="002B3960" w:rsidRPr="00FC6804" w:rsidRDefault="00F723E9" w:rsidP="007E1BD2">
      <w:pPr>
        <w:pStyle w:val="ListParagraph"/>
        <w:numPr>
          <w:ilvl w:val="0"/>
          <w:numId w:val="8"/>
        </w:numPr>
        <w:spacing w:after="0" w:line="240" w:lineRule="auto"/>
        <w:contextualSpacing w:val="0"/>
        <w:rPr>
          <w:rFonts w:ascii="Arial" w:hAnsi="Arial" w:cs="Arial"/>
          <w:sz w:val="20"/>
          <w:szCs w:val="20"/>
        </w:rPr>
      </w:pPr>
      <w:r w:rsidRPr="00FC6804">
        <w:rPr>
          <w:rFonts w:ascii="Arial" w:hAnsi="Arial" w:cs="Arial"/>
          <w:sz w:val="20"/>
          <w:szCs w:val="20"/>
        </w:rPr>
        <w:t>In licence categories i</w:t>
      </w:r>
      <w:r w:rsidR="00FA7EEA">
        <w:rPr>
          <w:rFonts w:ascii="Arial" w:hAnsi="Arial" w:cs="Arial"/>
          <w:sz w:val="20"/>
          <w:szCs w:val="20"/>
        </w:rPr>
        <w:t xml:space="preserve">n which small, medium and large </w:t>
      </w:r>
      <w:r w:rsidRPr="00FC6804">
        <w:rPr>
          <w:rFonts w:ascii="Arial" w:hAnsi="Arial" w:cs="Arial"/>
          <w:sz w:val="20"/>
          <w:szCs w:val="20"/>
        </w:rPr>
        <w:t xml:space="preserve">scale </w:t>
      </w:r>
      <w:r w:rsidR="00FA7EEA">
        <w:rPr>
          <w:rFonts w:ascii="Arial" w:hAnsi="Arial" w:cs="Arial"/>
          <w:sz w:val="20"/>
          <w:szCs w:val="20"/>
        </w:rPr>
        <w:t>processors</w:t>
      </w:r>
      <w:r w:rsidRPr="00FC6804">
        <w:rPr>
          <w:rFonts w:ascii="Arial" w:hAnsi="Arial" w:cs="Arial"/>
          <w:sz w:val="20"/>
          <w:szCs w:val="20"/>
        </w:rPr>
        <w:t xml:space="preserve"> co-exist (e.g. abattoirs and poultry </w:t>
      </w:r>
      <w:r w:rsidR="00FA7EEA">
        <w:rPr>
          <w:rFonts w:ascii="Arial" w:hAnsi="Arial" w:cs="Arial"/>
          <w:sz w:val="20"/>
          <w:szCs w:val="20"/>
        </w:rPr>
        <w:t>processing facilities</w:t>
      </w:r>
      <w:r w:rsidRPr="00FC6804">
        <w:rPr>
          <w:rFonts w:ascii="Arial" w:hAnsi="Arial" w:cs="Arial"/>
          <w:sz w:val="20"/>
          <w:szCs w:val="20"/>
        </w:rPr>
        <w:t>), st</w:t>
      </w:r>
      <w:r w:rsidR="002B3960" w:rsidRPr="00FC6804">
        <w:rPr>
          <w:rFonts w:ascii="Arial" w:hAnsi="Arial" w:cs="Arial"/>
          <w:sz w:val="20"/>
          <w:szCs w:val="20"/>
        </w:rPr>
        <w:t xml:space="preserve">ratified fee structures, which levy progressively larger fees on </w:t>
      </w:r>
      <w:r w:rsidR="00FA7EEA">
        <w:rPr>
          <w:rFonts w:ascii="Arial" w:hAnsi="Arial" w:cs="Arial"/>
          <w:sz w:val="20"/>
          <w:szCs w:val="20"/>
        </w:rPr>
        <w:t>processors</w:t>
      </w:r>
      <w:r w:rsidR="002B3960" w:rsidRPr="00FC6804">
        <w:rPr>
          <w:rFonts w:ascii="Arial" w:hAnsi="Arial" w:cs="Arial"/>
          <w:sz w:val="20"/>
          <w:szCs w:val="20"/>
        </w:rPr>
        <w:t xml:space="preserve"> who operate at a larger scale</w:t>
      </w:r>
      <w:r w:rsidRPr="00FC6804">
        <w:rPr>
          <w:rFonts w:ascii="Arial" w:hAnsi="Arial" w:cs="Arial"/>
          <w:sz w:val="20"/>
          <w:szCs w:val="20"/>
        </w:rPr>
        <w:t>, have been adopted</w:t>
      </w:r>
      <w:r w:rsidR="002B3960" w:rsidRPr="00FC6804">
        <w:rPr>
          <w:rFonts w:ascii="Arial" w:hAnsi="Arial" w:cs="Arial"/>
          <w:sz w:val="20"/>
          <w:szCs w:val="20"/>
        </w:rPr>
        <w:t>.</w:t>
      </w:r>
    </w:p>
    <w:p w:rsidR="00FF03AA" w:rsidRPr="00FC6804" w:rsidRDefault="00FF03AA" w:rsidP="007E1BD2">
      <w:pPr>
        <w:pStyle w:val="NormalWeb"/>
        <w:spacing w:before="0" w:beforeAutospacing="0" w:after="0" w:afterAutospacing="0"/>
        <w:rPr>
          <w:rFonts w:ascii="Arial" w:hAnsi="Arial" w:cs="Arial"/>
          <w:sz w:val="20"/>
          <w:szCs w:val="20"/>
        </w:rPr>
      </w:pPr>
    </w:p>
    <w:p w:rsidR="00451657" w:rsidRPr="00FC6804" w:rsidRDefault="00F723E9" w:rsidP="007E1BD2">
      <w:pPr>
        <w:pStyle w:val="NormalWeb"/>
        <w:spacing w:before="0" w:beforeAutospacing="0" w:after="0" w:afterAutospacing="0"/>
        <w:rPr>
          <w:rFonts w:ascii="Arial" w:hAnsi="Arial" w:cs="Arial"/>
          <w:sz w:val="20"/>
          <w:szCs w:val="20"/>
        </w:rPr>
      </w:pPr>
      <w:r w:rsidRPr="00FC6804">
        <w:rPr>
          <w:rFonts w:ascii="Arial" w:hAnsi="Arial" w:cs="Arial"/>
          <w:sz w:val="20"/>
          <w:szCs w:val="20"/>
        </w:rPr>
        <w:t>As a</w:t>
      </w:r>
      <w:r w:rsidR="002B3960" w:rsidRPr="00FC6804">
        <w:rPr>
          <w:rFonts w:ascii="Arial" w:hAnsi="Arial" w:cs="Arial"/>
          <w:sz w:val="20"/>
          <w:szCs w:val="20"/>
        </w:rPr>
        <w:t xml:space="preserve"> result of this approach</w:t>
      </w:r>
      <w:r w:rsidRPr="00FC6804">
        <w:rPr>
          <w:rFonts w:ascii="Arial" w:hAnsi="Arial" w:cs="Arial"/>
          <w:sz w:val="20"/>
          <w:szCs w:val="20"/>
        </w:rPr>
        <w:t>,</w:t>
      </w:r>
      <w:r w:rsidR="002B3960" w:rsidRPr="00FC6804">
        <w:rPr>
          <w:rFonts w:ascii="Arial" w:hAnsi="Arial" w:cs="Arial"/>
          <w:sz w:val="20"/>
          <w:szCs w:val="20"/>
        </w:rPr>
        <w:t xml:space="preserve"> </w:t>
      </w:r>
      <w:r w:rsidR="00451657" w:rsidRPr="00FC6804">
        <w:rPr>
          <w:rFonts w:ascii="Arial" w:hAnsi="Arial" w:cs="Arial"/>
          <w:sz w:val="20"/>
          <w:szCs w:val="20"/>
        </w:rPr>
        <w:t>operators with licence types</w:t>
      </w:r>
      <w:r w:rsidR="002B3960" w:rsidRPr="00FC6804">
        <w:rPr>
          <w:rFonts w:ascii="Arial" w:hAnsi="Arial" w:cs="Arial"/>
          <w:sz w:val="20"/>
          <w:szCs w:val="20"/>
        </w:rPr>
        <w:t xml:space="preserve"> in which larger scale entities predominate have collectively paid fees that significantly exceed the regulatory costs that they impose, while those </w:t>
      </w:r>
      <w:r w:rsidR="00451657" w:rsidRPr="00FC6804">
        <w:rPr>
          <w:rFonts w:ascii="Arial" w:hAnsi="Arial" w:cs="Arial"/>
          <w:sz w:val="20"/>
          <w:szCs w:val="20"/>
        </w:rPr>
        <w:t xml:space="preserve">whose licence type is </w:t>
      </w:r>
      <w:r w:rsidR="002B3960" w:rsidRPr="00FC6804">
        <w:rPr>
          <w:rFonts w:ascii="Arial" w:hAnsi="Arial" w:cs="Arial"/>
          <w:sz w:val="20"/>
          <w:szCs w:val="20"/>
        </w:rPr>
        <w:t>dominated by</w:t>
      </w:r>
      <w:r w:rsidRPr="00FC6804">
        <w:rPr>
          <w:rFonts w:ascii="Arial" w:hAnsi="Arial" w:cs="Arial"/>
          <w:sz w:val="20"/>
          <w:szCs w:val="20"/>
        </w:rPr>
        <w:t xml:space="preserve"> smaller scale businesses </w:t>
      </w:r>
      <w:r w:rsidR="002B3960" w:rsidRPr="00FC6804">
        <w:rPr>
          <w:rFonts w:ascii="Arial" w:hAnsi="Arial" w:cs="Arial"/>
          <w:sz w:val="20"/>
          <w:szCs w:val="20"/>
        </w:rPr>
        <w:t>have collectively paid fees that fall</w:t>
      </w:r>
      <w:r w:rsidR="006D5391" w:rsidRPr="00FC6804">
        <w:rPr>
          <w:rFonts w:ascii="Arial" w:hAnsi="Arial" w:cs="Arial"/>
          <w:sz w:val="20"/>
          <w:szCs w:val="20"/>
        </w:rPr>
        <w:t xml:space="preserve"> short of full cost recovery.  </w:t>
      </w:r>
    </w:p>
    <w:p w:rsidR="00992C0F" w:rsidRPr="00FC6804" w:rsidRDefault="00992C0F" w:rsidP="007E1BD2">
      <w:pPr>
        <w:pStyle w:val="NormalWeb"/>
        <w:spacing w:before="0" w:beforeAutospacing="0" w:after="0" w:afterAutospacing="0"/>
        <w:rPr>
          <w:rFonts w:ascii="Arial" w:hAnsi="Arial" w:cs="Arial"/>
          <w:sz w:val="20"/>
          <w:szCs w:val="20"/>
        </w:rPr>
      </w:pPr>
    </w:p>
    <w:p w:rsidR="00936D3A" w:rsidRPr="00FC6804" w:rsidRDefault="006D5391" w:rsidP="007E1BD2">
      <w:pPr>
        <w:spacing w:after="0" w:line="240" w:lineRule="auto"/>
        <w:rPr>
          <w:rFonts w:ascii="Arial" w:hAnsi="Arial" w:cs="Arial"/>
          <w:sz w:val="20"/>
          <w:szCs w:val="20"/>
        </w:rPr>
      </w:pPr>
      <w:r w:rsidRPr="00FC6804">
        <w:rPr>
          <w:rFonts w:ascii="Arial" w:hAnsi="Arial" w:cs="Arial"/>
          <w:sz w:val="20"/>
          <w:szCs w:val="20"/>
        </w:rPr>
        <w:t>The extent of this problem of a mismatch between regulatory costs and licence fees is dem</w:t>
      </w:r>
      <w:r w:rsidR="00FA7EEA">
        <w:rPr>
          <w:rFonts w:ascii="Arial" w:hAnsi="Arial" w:cs="Arial"/>
          <w:sz w:val="20"/>
          <w:szCs w:val="20"/>
        </w:rPr>
        <w:t xml:space="preserve">onstrated in Table </w:t>
      </w:r>
      <w:r w:rsidR="00037A89">
        <w:rPr>
          <w:rFonts w:ascii="Arial" w:hAnsi="Arial" w:cs="Arial"/>
          <w:sz w:val="20"/>
          <w:szCs w:val="20"/>
        </w:rPr>
        <w:t>5</w:t>
      </w:r>
      <w:r w:rsidR="00FA7EEA">
        <w:rPr>
          <w:rFonts w:ascii="Arial" w:hAnsi="Arial" w:cs="Arial"/>
          <w:sz w:val="20"/>
          <w:szCs w:val="20"/>
        </w:rPr>
        <w:t>.3</w:t>
      </w:r>
      <w:r w:rsidR="001A2CED" w:rsidRPr="00FC6804">
        <w:rPr>
          <w:rFonts w:ascii="Arial" w:hAnsi="Arial" w:cs="Arial"/>
          <w:sz w:val="20"/>
          <w:szCs w:val="20"/>
        </w:rPr>
        <w:t xml:space="preserve">. </w:t>
      </w:r>
      <w:r w:rsidRPr="00FC6804">
        <w:rPr>
          <w:rFonts w:ascii="Arial" w:hAnsi="Arial" w:cs="Arial"/>
          <w:sz w:val="20"/>
          <w:szCs w:val="20"/>
        </w:rPr>
        <w:t xml:space="preserve">The table includes estimates of the average regulatory cost per licensee incurred by </w:t>
      </w:r>
      <w:r w:rsidR="00FF03AA" w:rsidRPr="00FC6804">
        <w:rPr>
          <w:rFonts w:ascii="Arial" w:hAnsi="Arial" w:cs="Arial"/>
          <w:sz w:val="20"/>
          <w:szCs w:val="20"/>
        </w:rPr>
        <w:t>PrimeSafe</w:t>
      </w:r>
      <w:r w:rsidRPr="00FC6804">
        <w:rPr>
          <w:rFonts w:ascii="Arial" w:hAnsi="Arial" w:cs="Arial"/>
          <w:sz w:val="20"/>
          <w:szCs w:val="20"/>
        </w:rPr>
        <w:t xml:space="preserve"> for each category</w:t>
      </w:r>
      <w:r w:rsidR="001A2CED" w:rsidRPr="00FC6804">
        <w:rPr>
          <w:rFonts w:ascii="Arial" w:hAnsi="Arial" w:cs="Arial"/>
          <w:sz w:val="20"/>
          <w:szCs w:val="20"/>
        </w:rPr>
        <w:t xml:space="preserve"> of licen</w:t>
      </w:r>
      <w:r w:rsidR="00FA7EEA">
        <w:rPr>
          <w:rFonts w:ascii="Arial" w:hAnsi="Arial" w:cs="Arial"/>
          <w:sz w:val="20"/>
          <w:szCs w:val="20"/>
        </w:rPr>
        <w:t>c</w:t>
      </w:r>
      <w:r w:rsidR="001A2CED" w:rsidRPr="00FC6804">
        <w:rPr>
          <w:rFonts w:ascii="Arial" w:hAnsi="Arial" w:cs="Arial"/>
          <w:sz w:val="20"/>
          <w:szCs w:val="20"/>
        </w:rPr>
        <w:t xml:space="preserve">e. </w:t>
      </w:r>
      <w:r w:rsidRPr="00FC6804">
        <w:rPr>
          <w:rFonts w:ascii="Arial" w:hAnsi="Arial" w:cs="Arial"/>
          <w:sz w:val="20"/>
          <w:szCs w:val="20"/>
        </w:rPr>
        <w:t>To calculate this average cost figure, t</w:t>
      </w:r>
      <w:r w:rsidR="00936D3A" w:rsidRPr="00FC6804">
        <w:rPr>
          <w:rFonts w:ascii="Arial" w:hAnsi="Arial" w:cs="Arial"/>
          <w:sz w:val="20"/>
          <w:szCs w:val="20"/>
        </w:rPr>
        <w:t>he total cost figure presented above, of $2.5 million</w:t>
      </w:r>
      <w:r w:rsidRPr="00FC6804">
        <w:rPr>
          <w:rStyle w:val="FootnoteReference"/>
          <w:rFonts w:ascii="Arial" w:hAnsi="Arial" w:cs="Arial"/>
          <w:sz w:val="20"/>
          <w:szCs w:val="20"/>
        </w:rPr>
        <w:footnoteReference w:id="15"/>
      </w:r>
      <w:r w:rsidR="00936D3A" w:rsidRPr="00FC6804">
        <w:rPr>
          <w:rFonts w:ascii="Arial" w:hAnsi="Arial" w:cs="Arial"/>
          <w:sz w:val="20"/>
          <w:szCs w:val="20"/>
        </w:rPr>
        <w:t>, has been broken down according by licence</w:t>
      </w:r>
      <w:r w:rsidR="00FA7EEA">
        <w:rPr>
          <w:rFonts w:ascii="Arial" w:hAnsi="Arial" w:cs="Arial"/>
          <w:sz w:val="20"/>
          <w:szCs w:val="20"/>
        </w:rPr>
        <w:t xml:space="preserve"> type</w:t>
      </w:r>
      <w:r w:rsidR="00936D3A" w:rsidRPr="00FC6804">
        <w:rPr>
          <w:rFonts w:ascii="Arial" w:hAnsi="Arial" w:cs="Arial"/>
          <w:sz w:val="20"/>
          <w:szCs w:val="20"/>
        </w:rPr>
        <w:t>. In undertaking this breakdown, the following methodology has been adopted:</w:t>
      </w:r>
    </w:p>
    <w:p w:rsidR="00FF03AA" w:rsidRPr="00FC6804" w:rsidRDefault="00FF03AA" w:rsidP="007E1BD2">
      <w:pPr>
        <w:spacing w:after="0" w:line="240" w:lineRule="auto"/>
        <w:rPr>
          <w:rFonts w:ascii="Arial" w:hAnsi="Arial" w:cs="Arial"/>
          <w:sz w:val="20"/>
          <w:szCs w:val="20"/>
        </w:rPr>
      </w:pPr>
    </w:p>
    <w:p w:rsidR="00936D3A" w:rsidRPr="00FC6804" w:rsidRDefault="00936D3A" w:rsidP="007E1BD2">
      <w:pPr>
        <w:pStyle w:val="ListParagraph"/>
        <w:numPr>
          <w:ilvl w:val="0"/>
          <w:numId w:val="7"/>
        </w:numPr>
        <w:spacing w:after="0" w:line="240" w:lineRule="auto"/>
        <w:contextualSpacing w:val="0"/>
        <w:rPr>
          <w:rFonts w:ascii="Arial" w:hAnsi="Arial" w:cs="Arial"/>
          <w:sz w:val="20"/>
          <w:szCs w:val="20"/>
        </w:rPr>
      </w:pPr>
      <w:r w:rsidRPr="00FC6804">
        <w:rPr>
          <w:rFonts w:ascii="Arial" w:hAnsi="Arial" w:cs="Arial"/>
          <w:sz w:val="20"/>
          <w:szCs w:val="20"/>
        </w:rPr>
        <w:t>CEO/administration costs are divided by the total number of licensees to obtain a single average cost per licensee;</w:t>
      </w:r>
    </w:p>
    <w:p w:rsidR="00FF03AA" w:rsidRPr="00FC6804" w:rsidRDefault="00FF03AA" w:rsidP="00FF03AA">
      <w:pPr>
        <w:pStyle w:val="ListParagraph"/>
        <w:spacing w:after="0" w:line="240" w:lineRule="auto"/>
        <w:contextualSpacing w:val="0"/>
        <w:rPr>
          <w:rFonts w:ascii="Arial" w:hAnsi="Arial" w:cs="Arial"/>
          <w:sz w:val="20"/>
          <w:szCs w:val="20"/>
        </w:rPr>
      </w:pPr>
    </w:p>
    <w:p w:rsidR="00936D3A" w:rsidRPr="00FC6804" w:rsidRDefault="00FA7EEA" w:rsidP="007E1BD2">
      <w:pPr>
        <w:pStyle w:val="ListParagraph"/>
        <w:numPr>
          <w:ilvl w:val="0"/>
          <w:numId w:val="7"/>
        </w:numPr>
        <w:spacing w:after="0" w:line="240" w:lineRule="auto"/>
        <w:contextualSpacing w:val="0"/>
        <w:rPr>
          <w:rFonts w:ascii="Arial" w:hAnsi="Arial" w:cs="Arial"/>
          <w:sz w:val="20"/>
          <w:szCs w:val="20"/>
        </w:rPr>
      </w:pPr>
      <w:r w:rsidRPr="00FC6804">
        <w:rPr>
          <w:rFonts w:ascii="Arial" w:hAnsi="Arial" w:cs="Arial"/>
          <w:sz w:val="20"/>
          <w:szCs w:val="20"/>
        </w:rPr>
        <w:t>The</w:t>
      </w:r>
      <w:r w:rsidR="00936D3A" w:rsidRPr="00FC6804">
        <w:rPr>
          <w:rFonts w:ascii="Arial" w:hAnsi="Arial" w:cs="Arial"/>
          <w:sz w:val="20"/>
          <w:szCs w:val="20"/>
        </w:rPr>
        <w:t xml:space="preserve"> compliance and enforcement cost has been divided by the total number of inspections conducted to obtain </w:t>
      </w:r>
      <w:r w:rsidR="001A2CED" w:rsidRPr="00FC6804">
        <w:rPr>
          <w:rFonts w:ascii="Arial" w:hAnsi="Arial" w:cs="Arial"/>
          <w:sz w:val="20"/>
          <w:szCs w:val="20"/>
        </w:rPr>
        <w:t xml:space="preserve">an average cost per inspection. </w:t>
      </w:r>
      <w:r w:rsidR="00936D3A" w:rsidRPr="00FC6804">
        <w:rPr>
          <w:rFonts w:ascii="Arial" w:hAnsi="Arial" w:cs="Arial"/>
          <w:sz w:val="20"/>
          <w:szCs w:val="20"/>
        </w:rPr>
        <w:t>The number of inspections conducted within each licence type is then multiplied by this average cost to obtain the total compliance and enforcement cost for each licence type; and</w:t>
      </w:r>
    </w:p>
    <w:p w:rsidR="00FF03AA" w:rsidRPr="00FC6804" w:rsidRDefault="00FF03AA" w:rsidP="00FF03AA">
      <w:pPr>
        <w:pStyle w:val="ListParagraph"/>
        <w:rPr>
          <w:rFonts w:ascii="Arial" w:hAnsi="Arial" w:cs="Arial"/>
          <w:sz w:val="20"/>
          <w:szCs w:val="20"/>
        </w:rPr>
      </w:pPr>
    </w:p>
    <w:p w:rsidR="00FF03AA" w:rsidRPr="00FC6804" w:rsidRDefault="00FF03AA" w:rsidP="00FF03AA">
      <w:pPr>
        <w:pStyle w:val="ListParagraph"/>
        <w:spacing w:after="0" w:line="240" w:lineRule="auto"/>
        <w:contextualSpacing w:val="0"/>
        <w:rPr>
          <w:rFonts w:ascii="Arial" w:hAnsi="Arial" w:cs="Arial"/>
          <w:sz w:val="20"/>
          <w:szCs w:val="20"/>
        </w:rPr>
      </w:pPr>
    </w:p>
    <w:p w:rsidR="00936D3A" w:rsidRPr="00FC6804" w:rsidRDefault="00FA7EEA" w:rsidP="007E1BD2">
      <w:pPr>
        <w:pStyle w:val="ListParagraph"/>
        <w:numPr>
          <w:ilvl w:val="0"/>
          <w:numId w:val="7"/>
        </w:numPr>
        <w:spacing w:after="0" w:line="240" w:lineRule="auto"/>
        <w:contextualSpacing w:val="0"/>
        <w:rPr>
          <w:rFonts w:ascii="Arial" w:hAnsi="Arial" w:cs="Arial"/>
          <w:sz w:val="20"/>
          <w:szCs w:val="20"/>
        </w:rPr>
      </w:pPr>
      <w:r w:rsidRPr="00FC6804">
        <w:rPr>
          <w:rFonts w:ascii="Arial" w:hAnsi="Arial" w:cs="Arial"/>
          <w:sz w:val="20"/>
          <w:szCs w:val="20"/>
        </w:rPr>
        <w:t>The</w:t>
      </w:r>
      <w:r w:rsidR="00936D3A" w:rsidRPr="00FC6804">
        <w:rPr>
          <w:rFonts w:ascii="Arial" w:hAnsi="Arial" w:cs="Arial"/>
          <w:sz w:val="20"/>
          <w:szCs w:val="20"/>
        </w:rPr>
        <w:t xml:space="preserve"> cost of information </w:t>
      </w:r>
      <w:r>
        <w:rPr>
          <w:rFonts w:ascii="Arial" w:hAnsi="Arial" w:cs="Arial"/>
          <w:sz w:val="20"/>
          <w:szCs w:val="20"/>
        </w:rPr>
        <w:t>and support</w:t>
      </w:r>
      <w:r w:rsidR="00936D3A" w:rsidRPr="00FC6804">
        <w:rPr>
          <w:rFonts w:ascii="Arial" w:hAnsi="Arial" w:cs="Arial"/>
          <w:sz w:val="20"/>
          <w:szCs w:val="20"/>
        </w:rPr>
        <w:t xml:space="preserve"> is divided by the number of queries received to obtain an ave</w:t>
      </w:r>
      <w:r w:rsidR="001A2CED" w:rsidRPr="00FC6804">
        <w:rPr>
          <w:rFonts w:ascii="Arial" w:hAnsi="Arial" w:cs="Arial"/>
          <w:sz w:val="20"/>
          <w:szCs w:val="20"/>
        </w:rPr>
        <w:t xml:space="preserve">rage cost per query. </w:t>
      </w:r>
      <w:r w:rsidR="00936D3A" w:rsidRPr="00FC6804">
        <w:rPr>
          <w:rFonts w:ascii="Arial" w:hAnsi="Arial" w:cs="Arial"/>
          <w:sz w:val="20"/>
          <w:szCs w:val="20"/>
        </w:rPr>
        <w:t xml:space="preserve">This is multiplied by the number of queries received in respect of each licence type to obtain the total information </w:t>
      </w:r>
      <w:r>
        <w:rPr>
          <w:rFonts w:ascii="Arial" w:hAnsi="Arial" w:cs="Arial"/>
          <w:sz w:val="20"/>
          <w:szCs w:val="20"/>
        </w:rPr>
        <w:t>and support</w:t>
      </w:r>
      <w:r w:rsidR="00936D3A" w:rsidRPr="00FC6804">
        <w:rPr>
          <w:rFonts w:ascii="Arial" w:hAnsi="Arial" w:cs="Arial"/>
          <w:sz w:val="20"/>
          <w:szCs w:val="20"/>
        </w:rPr>
        <w:t xml:space="preserve"> cost for that licence type.</w:t>
      </w:r>
    </w:p>
    <w:p w:rsidR="00FF03AA" w:rsidRPr="00FC6804" w:rsidRDefault="00FF03AA" w:rsidP="007E1BD2">
      <w:pPr>
        <w:spacing w:after="0" w:line="240" w:lineRule="auto"/>
        <w:rPr>
          <w:rFonts w:ascii="Arial" w:hAnsi="Arial" w:cs="Arial"/>
          <w:sz w:val="20"/>
          <w:szCs w:val="20"/>
        </w:rPr>
      </w:pPr>
    </w:p>
    <w:p w:rsidR="00E507F0" w:rsidRPr="00FC6804" w:rsidRDefault="004D251D" w:rsidP="007E1BD2">
      <w:pPr>
        <w:spacing w:after="0" w:line="240" w:lineRule="auto"/>
        <w:rPr>
          <w:rFonts w:ascii="Arial" w:hAnsi="Arial" w:cs="Arial"/>
          <w:sz w:val="20"/>
          <w:szCs w:val="20"/>
        </w:rPr>
      </w:pPr>
      <w:r w:rsidRPr="00FC6804">
        <w:rPr>
          <w:rFonts w:ascii="Arial" w:hAnsi="Arial" w:cs="Arial"/>
          <w:sz w:val="20"/>
          <w:szCs w:val="20"/>
        </w:rPr>
        <w:t xml:space="preserve">The above represents the best available methodology given the nature and extent of the management information currently available to </w:t>
      </w:r>
      <w:r w:rsidR="001A2CED" w:rsidRPr="00FC6804">
        <w:rPr>
          <w:rFonts w:ascii="Arial" w:hAnsi="Arial" w:cs="Arial"/>
          <w:sz w:val="20"/>
          <w:szCs w:val="20"/>
        </w:rPr>
        <w:t xml:space="preserve">PrimeSafe. </w:t>
      </w:r>
      <w:r w:rsidRPr="00FC6804">
        <w:rPr>
          <w:rFonts w:ascii="Arial" w:hAnsi="Arial" w:cs="Arial"/>
          <w:sz w:val="20"/>
          <w:szCs w:val="20"/>
        </w:rPr>
        <w:t xml:space="preserve">However, </w:t>
      </w:r>
      <w:r w:rsidR="00295006" w:rsidRPr="00FC6804">
        <w:rPr>
          <w:rFonts w:ascii="Arial" w:hAnsi="Arial" w:cs="Arial"/>
          <w:sz w:val="20"/>
          <w:szCs w:val="20"/>
        </w:rPr>
        <w:t xml:space="preserve">the results it yields are necessarily </w:t>
      </w:r>
      <w:r w:rsidR="00E507F0" w:rsidRPr="00FC6804">
        <w:rPr>
          <w:rFonts w:ascii="Arial" w:hAnsi="Arial" w:cs="Arial"/>
          <w:sz w:val="20"/>
          <w:szCs w:val="20"/>
        </w:rPr>
        <w:t>imprecise</w:t>
      </w:r>
      <w:r w:rsidR="00295006" w:rsidRPr="00FC6804">
        <w:rPr>
          <w:rFonts w:ascii="Arial" w:hAnsi="Arial" w:cs="Arial"/>
          <w:sz w:val="20"/>
          <w:szCs w:val="20"/>
        </w:rPr>
        <w:t xml:space="preserve">.  In particular, it is clear that the cost of individual inspections varies widely, with some taking substantially longer to complete </w:t>
      </w:r>
      <w:r w:rsidR="001A2CED" w:rsidRPr="00FC6804">
        <w:rPr>
          <w:rFonts w:ascii="Arial" w:hAnsi="Arial" w:cs="Arial"/>
          <w:sz w:val="20"/>
          <w:szCs w:val="20"/>
        </w:rPr>
        <w:t xml:space="preserve">than others. </w:t>
      </w:r>
      <w:r w:rsidR="00295006" w:rsidRPr="00FC6804">
        <w:rPr>
          <w:rFonts w:ascii="Arial" w:hAnsi="Arial" w:cs="Arial"/>
          <w:sz w:val="20"/>
          <w:szCs w:val="20"/>
        </w:rPr>
        <w:t xml:space="preserve">In licence categories dominated by larger premises (e.g. abattoirs, poultry </w:t>
      </w:r>
      <w:r w:rsidR="00FA7EEA">
        <w:rPr>
          <w:rFonts w:ascii="Arial" w:hAnsi="Arial" w:cs="Arial"/>
          <w:sz w:val="20"/>
          <w:szCs w:val="20"/>
        </w:rPr>
        <w:t>processing facilities</w:t>
      </w:r>
      <w:r w:rsidR="00295006" w:rsidRPr="00FC6804">
        <w:rPr>
          <w:rFonts w:ascii="Arial" w:hAnsi="Arial" w:cs="Arial"/>
          <w:sz w:val="20"/>
          <w:szCs w:val="20"/>
        </w:rPr>
        <w:t xml:space="preserve">), the average cost of an inspection is likely to be significantly greater than in those dominated by smaller </w:t>
      </w:r>
      <w:r w:rsidR="00FA7EEA">
        <w:rPr>
          <w:rFonts w:ascii="Arial" w:hAnsi="Arial" w:cs="Arial"/>
          <w:sz w:val="20"/>
          <w:szCs w:val="20"/>
        </w:rPr>
        <w:t>processors</w:t>
      </w:r>
      <w:r w:rsidR="00295006" w:rsidRPr="00FC6804">
        <w:rPr>
          <w:rFonts w:ascii="Arial" w:hAnsi="Arial" w:cs="Arial"/>
          <w:sz w:val="20"/>
          <w:szCs w:val="20"/>
        </w:rPr>
        <w:t xml:space="preserve"> (e.g. retail butch</w:t>
      </w:r>
      <w:r w:rsidR="00BB7551" w:rsidRPr="00FC6804">
        <w:rPr>
          <w:rFonts w:ascii="Arial" w:hAnsi="Arial" w:cs="Arial"/>
          <w:sz w:val="20"/>
          <w:szCs w:val="20"/>
        </w:rPr>
        <w:t>er</w:t>
      </w:r>
      <w:r w:rsidR="00FA7EEA">
        <w:rPr>
          <w:rFonts w:ascii="Arial" w:hAnsi="Arial" w:cs="Arial"/>
          <w:sz w:val="20"/>
          <w:szCs w:val="20"/>
        </w:rPr>
        <w:t xml:space="preserve"> </w:t>
      </w:r>
      <w:r w:rsidR="00BB7551" w:rsidRPr="00FC6804">
        <w:rPr>
          <w:rFonts w:ascii="Arial" w:hAnsi="Arial" w:cs="Arial"/>
          <w:sz w:val="20"/>
          <w:szCs w:val="20"/>
        </w:rPr>
        <w:t>s</w:t>
      </w:r>
      <w:r w:rsidR="00FA7EEA">
        <w:rPr>
          <w:rFonts w:ascii="Arial" w:hAnsi="Arial" w:cs="Arial"/>
          <w:sz w:val="20"/>
          <w:szCs w:val="20"/>
        </w:rPr>
        <w:t>hops</w:t>
      </w:r>
      <w:r w:rsidR="00BB7551" w:rsidRPr="00FC6804">
        <w:rPr>
          <w:rFonts w:ascii="Arial" w:hAnsi="Arial" w:cs="Arial"/>
          <w:sz w:val="20"/>
          <w:szCs w:val="20"/>
        </w:rPr>
        <w:t>, seafood retai</w:t>
      </w:r>
      <w:r w:rsidR="001A2CED" w:rsidRPr="00FC6804">
        <w:rPr>
          <w:rFonts w:ascii="Arial" w:hAnsi="Arial" w:cs="Arial"/>
          <w:sz w:val="20"/>
          <w:szCs w:val="20"/>
        </w:rPr>
        <w:t xml:space="preserve">lers). </w:t>
      </w:r>
      <w:r w:rsidR="00E507F0" w:rsidRPr="00FC6804">
        <w:rPr>
          <w:rFonts w:ascii="Arial" w:hAnsi="Arial" w:cs="Arial"/>
          <w:sz w:val="20"/>
          <w:szCs w:val="20"/>
        </w:rPr>
        <w:t xml:space="preserve">A similar observation can be made in relation to the actual costs of addressing different </w:t>
      </w:r>
      <w:r w:rsidR="001A2CED" w:rsidRPr="00FC6804">
        <w:rPr>
          <w:rFonts w:ascii="Arial" w:hAnsi="Arial" w:cs="Arial"/>
          <w:sz w:val="20"/>
          <w:szCs w:val="20"/>
        </w:rPr>
        <w:t xml:space="preserve">types of information requests. </w:t>
      </w:r>
      <w:r w:rsidR="00E507F0" w:rsidRPr="00FC6804">
        <w:rPr>
          <w:rFonts w:ascii="Arial" w:hAnsi="Arial" w:cs="Arial"/>
          <w:sz w:val="20"/>
          <w:szCs w:val="20"/>
        </w:rPr>
        <w:t>Most importantly, because it is not currently possible to provide a breakdown of the activities conducted under the largest cost category (CEO/Administration), these costs have been distributed</w:t>
      </w:r>
      <w:r w:rsidR="001A2CED" w:rsidRPr="00FC6804">
        <w:rPr>
          <w:rFonts w:ascii="Arial" w:hAnsi="Arial" w:cs="Arial"/>
          <w:sz w:val="20"/>
          <w:szCs w:val="20"/>
        </w:rPr>
        <w:t xml:space="preserve"> equally across all licensees. </w:t>
      </w:r>
      <w:r w:rsidR="0005227D" w:rsidRPr="00FC6804">
        <w:rPr>
          <w:rFonts w:ascii="Arial" w:hAnsi="Arial" w:cs="Arial"/>
          <w:sz w:val="20"/>
          <w:szCs w:val="20"/>
        </w:rPr>
        <w:t>A more detailed disaggregation of these costs could potentially provide the basis for them to be allocated differently across licence categories.</w:t>
      </w:r>
    </w:p>
    <w:p w:rsidR="001A2CED" w:rsidRPr="00FC6804" w:rsidRDefault="001A2CED" w:rsidP="007E1BD2">
      <w:pPr>
        <w:spacing w:after="0" w:line="240" w:lineRule="auto"/>
        <w:rPr>
          <w:rFonts w:ascii="Arial" w:hAnsi="Arial" w:cs="Arial"/>
          <w:sz w:val="20"/>
          <w:szCs w:val="20"/>
        </w:rPr>
      </w:pPr>
    </w:p>
    <w:p w:rsidR="004D251D" w:rsidRPr="00FC6804" w:rsidRDefault="00E507F0" w:rsidP="007E1BD2">
      <w:pPr>
        <w:spacing w:after="0" w:line="240" w:lineRule="auto"/>
        <w:rPr>
          <w:rFonts w:ascii="Arial" w:hAnsi="Arial" w:cs="Arial"/>
          <w:sz w:val="20"/>
          <w:szCs w:val="20"/>
        </w:rPr>
      </w:pPr>
      <w:r w:rsidRPr="00FC6804">
        <w:rPr>
          <w:rFonts w:ascii="Arial" w:hAnsi="Arial" w:cs="Arial"/>
          <w:sz w:val="20"/>
          <w:szCs w:val="20"/>
        </w:rPr>
        <w:t xml:space="preserve">Given these factors, the extent of some of the cross-subsidies identified below is necessarily uncertain.  </w:t>
      </w:r>
      <w:r w:rsidR="001A2CED" w:rsidRPr="00FC6804">
        <w:rPr>
          <w:rFonts w:ascii="Arial" w:hAnsi="Arial" w:cs="Arial"/>
          <w:sz w:val="20"/>
          <w:szCs w:val="20"/>
        </w:rPr>
        <w:t>PrimeSafe</w:t>
      </w:r>
      <w:r w:rsidR="00BB7551" w:rsidRPr="00FC6804">
        <w:rPr>
          <w:rFonts w:ascii="Arial" w:hAnsi="Arial" w:cs="Arial"/>
          <w:sz w:val="20"/>
          <w:szCs w:val="20"/>
        </w:rPr>
        <w:t xml:space="preserve"> is working to improve the availability of more detailed and accurate information to better inform future fee</w:t>
      </w:r>
      <w:r w:rsidR="00FA7EEA">
        <w:rPr>
          <w:rFonts w:ascii="Arial" w:hAnsi="Arial" w:cs="Arial"/>
          <w:sz w:val="20"/>
          <w:szCs w:val="20"/>
        </w:rPr>
        <w:t xml:space="preserve"> </w:t>
      </w:r>
      <w:r w:rsidR="00BB7551" w:rsidRPr="00FC6804">
        <w:rPr>
          <w:rFonts w:ascii="Arial" w:hAnsi="Arial" w:cs="Arial"/>
          <w:sz w:val="20"/>
          <w:szCs w:val="20"/>
        </w:rPr>
        <w:t>setting, however, the current fee changes are necessarily based on the best currently available data.</w:t>
      </w:r>
    </w:p>
    <w:p w:rsidR="001A2CED" w:rsidRPr="00FC6804" w:rsidRDefault="001A2CED" w:rsidP="007E1BD2">
      <w:pPr>
        <w:spacing w:after="0" w:line="240" w:lineRule="auto"/>
        <w:rPr>
          <w:rFonts w:ascii="Arial" w:hAnsi="Arial" w:cs="Arial"/>
          <w:sz w:val="20"/>
          <w:szCs w:val="20"/>
        </w:rPr>
      </w:pPr>
    </w:p>
    <w:p w:rsidR="00936D3A" w:rsidRPr="00FC6804" w:rsidRDefault="00804420" w:rsidP="007E1BD2">
      <w:pPr>
        <w:spacing w:after="0" w:line="240" w:lineRule="auto"/>
        <w:rPr>
          <w:rFonts w:ascii="Arial" w:hAnsi="Arial" w:cs="Arial"/>
          <w:sz w:val="20"/>
          <w:szCs w:val="20"/>
        </w:rPr>
      </w:pPr>
      <w:r w:rsidRPr="00FC6804">
        <w:rPr>
          <w:rFonts w:ascii="Arial" w:hAnsi="Arial" w:cs="Arial"/>
          <w:sz w:val="20"/>
          <w:szCs w:val="20"/>
        </w:rPr>
        <w:t xml:space="preserve">Table </w:t>
      </w:r>
      <w:r w:rsidR="00037A89">
        <w:rPr>
          <w:rFonts w:ascii="Arial" w:hAnsi="Arial" w:cs="Arial"/>
          <w:sz w:val="20"/>
          <w:szCs w:val="20"/>
        </w:rPr>
        <w:t>5</w:t>
      </w:r>
      <w:r w:rsidRPr="00FC6804">
        <w:rPr>
          <w:rFonts w:ascii="Arial" w:hAnsi="Arial" w:cs="Arial"/>
          <w:sz w:val="20"/>
          <w:szCs w:val="20"/>
        </w:rPr>
        <w:t>.</w:t>
      </w:r>
      <w:r w:rsidR="00C11A36" w:rsidRPr="00FC6804">
        <w:rPr>
          <w:rFonts w:ascii="Arial" w:hAnsi="Arial" w:cs="Arial"/>
          <w:sz w:val="20"/>
          <w:szCs w:val="20"/>
        </w:rPr>
        <w:t>3</w:t>
      </w:r>
      <w:r w:rsidR="00936D3A" w:rsidRPr="00FC6804">
        <w:rPr>
          <w:rFonts w:ascii="Arial" w:hAnsi="Arial" w:cs="Arial"/>
          <w:sz w:val="20"/>
          <w:szCs w:val="20"/>
        </w:rPr>
        <w:t xml:space="preserve"> summarises th</w:t>
      </w:r>
      <w:r w:rsidR="006D5391" w:rsidRPr="00FC6804">
        <w:rPr>
          <w:rFonts w:ascii="Arial" w:hAnsi="Arial" w:cs="Arial"/>
          <w:sz w:val="20"/>
          <w:szCs w:val="20"/>
        </w:rPr>
        <w:t xml:space="preserve">e results of these calculations and provides a comparison of current </w:t>
      </w:r>
      <w:r w:rsidR="001A2CED" w:rsidRPr="00FC6804">
        <w:rPr>
          <w:rFonts w:ascii="Arial" w:hAnsi="Arial" w:cs="Arial"/>
          <w:sz w:val="20"/>
          <w:szCs w:val="20"/>
        </w:rPr>
        <w:t>PrimeSafe</w:t>
      </w:r>
      <w:r w:rsidR="006D5391" w:rsidRPr="00FC6804">
        <w:rPr>
          <w:rFonts w:ascii="Arial" w:hAnsi="Arial" w:cs="Arial"/>
          <w:sz w:val="20"/>
          <w:szCs w:val="20"/>
        </w:rPr>
        <w:t xml:space="preserve"> fees and average</w:t>
      </w:r>
      <w:r w:rsidR="001A2CED" w:rsidRPr="00FC6804">
        <w:rPr>
          <w:rFonts w:ascii="Arial" w:hAnsi="Arial" w:cs="Arial"/>
          <w:sz w:val="20"/>
          <w:szCs w:val="20"/>
        </w:rPr>
        <w:t xml:space="preserve"> regulatory costs per licence. </w:t>
      </w:r>
      <w:r w:rsidR="006D5391" w:rsidRPr="00FC6804">
        <w:rPr>
          <w:rFonts w:ascii="Arial" w:hAnsi="Arial" w:cs="Arial"/>
          <w:sz w:val="20"/>
          <w:szCs w:val="20"/>
        </w:rPr>
        <w:t>Note that, where a wide range of fees is indicated in the “current fee” column, this relates to licence types in which fees are set according to the output levels of the licensee.</w:t>
      </w:r>
      <w:r w:rsidR="004C722C" w:rsidRPr="00FC6804">
        <w:rPr>
          <w:rFonts w:ascii="Arial" w:hAnsi="Arial" w:cs="Arial"/>
          <w:sz w:val="20"/>
          <w:szCs w:val="20"/>
        </w:rPr>
        <w:t xml:space="preserve">  In each case the average fee paid by licensees in that category in 2014-15 is noted.</w:t>
      </w:r>
    </w:p>
    <w:p w:rsidR="00936D3A" w:rsidRPr="00FC6804" w:rsidRDefault="00936D3A" w:rsidP="007E1BD2">
      <w:pPr>
        <w:spacing w:after="0" w:line="240" w:lineRule="auto"/>
        <w:rPr>
          <w:rFonts w:ascii="Arial" w:hAnsi="Arial" w:cs="Arial"/>
          <w:sz w:val="20"/>
          <w:szCs w:val="20"/>
        </w:rPr>
      </w:pPr>
    </w:p>
    <w:p w:rsidR="001A2CED" w:rsidRPr="00FC6804" w:rsidRDefault="001A2CED" w:rsidP="007E1BD2">
      <w:pPr>
        <w:spacing w:after="0" w:line="240" w:lineRule="auto"/>
        <w:rPr>
          <w:rFonts w:ascii="Arial" w:hAnsi="Arial" w:cs="Arial"/>
          <w:sz w:val="20"/>
          <w:szCs w:val="20"/>
        </w:rPr>
      </w:pPr>
    </w:p>
    <w:p w:rsidR="001A2CED" w:rsidRPr="00FC6804" w:rsidRDefault="001A2CED" w:rsidP="007E1BD2">
      <w:pPr>
        <w:spacing w:after="0" w:line="240" w:lineRule="auto"/>
        <w:rPr>
          <w:rFonts w:ascii="Arial" w:hAnsi="Arial" w:cs="Arial"/>
          <w:sz w:val="20"/>
          <w:szCs w:val="20"/>
        </w:rPr>
      </w:pPr>
    </w:p>
    <w:p w:rsidR="001A2CED" w:rsidRPr="00FC6804" w:rsidRDefault="001A2CED" w:rsidP="007E1BD2">
      <w:pPr>
        <w:spacing w:after="0" w:line="240" w:lineRule="auto"/>
        <w:rPr>
          <w:rFonts w:ascii="Arial" w:hAnsi="Arial" w:cs="Arial"/>
          <w:sz w:val="20"/>
          <w:szCs w:val="20"/>
        </w:rPr>
      </w:pPr>
    </w:p>
    <w:p w:rsidR="001A2CED" w:rsidRPr="00FC6804" w:rsidRDefault="001A2CED" w:rsidP="007E1BD2">
      <w:pPr>
        <w:spacing w:after="0" w:line="240" w:lineRule="auto"/>
        <w:rPr>
          <w:rFonts w:ascii="Arial" w:hAnsi="Arial" w:cs="Arial"/>
          <w:sz w:val="20"/>
          <w:szCs w:val="20"/>
        </w:rPr>
      </w:pPr>
    </w:p>
    <w:p w:rsidR="001A2CED" w:rsidRPr="00FC6804" w:rsidRDefault="001A2CED" w:rsidP="007E1BD2">
      <w:pPr>
        <w:spacing w:after="0" w:line="240" w:lineRule="auto"/>
        <w:rPr>
          <w:rFonts w:ascii="Arial" w:hAnsi="Arial" w:cs="Arial"/>
          <w:sz w:val="20"/>
          <w:szCs w:val="20"/>
        </w:rPr>
      </w:pPr>
    </w:p>
    <w:p w:rsidR="001A2CED" w:rsidRPr="00FC6804" w:rsidRDefault="001A2CED" w:rsidP="007E1BD2">
      <w:pPr>
        <w:spacing w:after="0" w:line="240" w:lineRule="auto"/>
        <w:rPr>
          <w:rFonts w:ascii="Arial" w:hAnsi="Arial" w:cs="Arial"/>
          <w:sz w:val="20"/>
          <w:szCs w:val="20"/>
        </w:rPr>
      </w:pPr>
    </w:p>
    <w:p w:rsidR="001A2CED" w:rsidRPr="00FC6804" w:rsidRDefault="001A2CED" w:rsidP="007E1BD2">
      <w:pPr>
        <w:spacing w:after="0" w:line="240" w:lineRule="auto"/>
        <w:rPr>
          <w:rFonts w:ascii="Arial" w:hAnsi="Arial" w:cs="Arial"/>
          <w:sz w:val="20"/>
          <w:szCs w:val="20"/>
        </w:rPr>
      </w:pPr>
    </w:p>
    <w:p w:rsidR="001A2CED" w:rsidRPr="00FC6804" w:rsidRDefault="001A2CED" w:rsidP="007E1BD2">
      <w:pPr>
        <w:spacing w:after="0" w:line="240" w:lineRule="auto"/>
        <w:rPr>
          <w:rFonts w:ascii="Arial" w:hAnsi="Arial" w:cs="Arial"/>
          <w:sz w:val="20"/>
          <w:szCs w:val="20"/>
        </w:rPr>
      </w:pPr>
    </w:p>
    <w:p w:rsidR="001A2CED" w:rsidRPr="00FC6804" w:rsidRDefault="001A2CED" w:rsidP="007E1BD2">
      <w:pPr>
        <w:spacing w:after="0" w:line="240" w:lineRule="auto"/>
        <w:rPr>
          <w:rFonts w:ascii="Arial" w:hAnsi="Arial" w:cs="Arial"/>
          <w:sz w:val="20"/>
          <w:szCs w:val="20"/>
        </w:rPr>
      </w:pPr>
    </w:p>
    <w:p w:rsidR="001A2CED" w:rsidRPr="00FC6804" w:rsidRDefault="001A2CED" w:rsidP="007E1BD2">
      <w:pPr>
        <w:spacing w:after="0" w:line="240" w:lineRule="auto"/>
        <w:rPr>
          <w:rFonts w:ascii="Arial" w:hAnsi="Arial" w:cs="Arial"/>
          <w:sz w:val="20"/>
          <w:szCs w:val="20"/>
        </w:rPr>
      </w:pPr>
    </w:p>
    <w:p w:rsidR="001A2CED" w:rsidRPr="00FC6804" w:rsidRDefault="001A2CED" w:rsidP="007E1BD2">
      <w:pPr>
        <w:spacing w:after="0" w:line="240" w:lineRule="auto"/>
        <w:rPr>
          <w:rFonts w:ascii="Arial" w:hAnsi="Arial" w:cs="Arial"/>
          <w:sz w:val="20"/>
          <w:szCs w:val="20"/>
        </w:rPr>
      </w:pPr>
    </w:p>
    <w:p w:rsidR="001A2CED" w:rsidRPr="00FC6804" w:rsidRDefault="001A2CED" w:rsidP="007E1BD2">
      <w:pPr>
        <w:spacing w:after="0" w:line="240" w:lineRule="auto"/>
        <w:rPr>
          <w:rFonts w:ascii="Arial" w:hAnsi="Arial" w:cs="Arial"/>
          <w:sz w:val="20"/>
          <w:szCs w:val="20"/>
        </w:rPr>
      </w:pPr>
    </w:p>
    <w:p w:rsidR="001A2CED" w:rsidRPr="00FC6804" w:rsidRDefault="001A2CED" w:rsidP="007E1BD2">
      <w:pPr>
        <w:spacing w:after="0" w:line="240" w:lineRule="auto"/>
        <w:rPr>
          <w:rFonts w:ascii="Arial" w:hAnsi="Arial" w:cs="Arial"/>
          <w:sz w:val="20"/>
          <w:szCs w:val="20"/>
        </w:rPr>
      </w:pPr>
    </w:p>
    <w:p w:rsidR="001A2CED" w:rsidRPr="00FC6804" w:rsidRDefault="001A2CED" w:rsidP="007E1BD2">
      <w:pPr>
        <w:spacing w:after="0" w:line="240" w:lineRule="auto"/>
        <w:rPr>
          <w:rFonts w:ascii="Arial" w:hAnsi="Arial" w:cs="Arial"/>
          <w:sz w:val="20"/>
          <w:szCs w:val="20"/>
        </w:rPr>
      </w:pPr>
    </w:p>
    <w:p w:rsidR="001A2CED" w:rsidRPr="00FC6804" w:rsidRDefault="001A2CED" w:rsidP="007E1BD2">
      <w:pPr>
        <w:spacing w:after="0" w:line="240" w:lineRule="auto"/>
        <w:rPr>
          <w:rFonts w:ascii="Arial" w:hAnsi="Arial" w:cs="Arial"/>
          <w:sz w:val="20"/>
          <w:szCs w:val="20"/>
        </w:rPr>
      </w:pPr>
    </w:p>
    <w:p w:rsidR="001A2CED" w:rsidRPr="00FC6804" w:rsidRDefault="001A2CED" w:rsidP="007E1BD2">
      <w:pPr>
        <w:spacing w:after="0" w:line="240" w:lineRule="auto"/>
        <w:rPr>
          <w:rFonts w:ascii="Arial" w:hAnsi="Arial" w:cs="Arial"/>
          <w:sz w:val="20"/>
          <w:szCs w:val="20"/>
        </w:rPr>
      </w:pPr>
    </w:p>
    <w:p w:rsidR="001A2CED" w:rsidRPr="00FC6804" w:rsidRDefault="001A2CED" w:rsidP="007E1BD2">
      <w:pPr>
        <w:spacing w:after="0" w:line="240" w:lineRule="auto"/>
        <w:rPr>
          <w:rFonts w:ascii="Arial" w:hAnsi="Arial" w:cs="Arial"/>
          <w:sz w:val="20"/>
          <w:szCs w:val="20"/>
        </w:rPr>
      </w:pPr>
    </w:p>
    <w:p w:rsidR="001A2CED" w:rsidRPr="00FC6804" w:rsidRDefault="001A2CED" w:rsidP="007E1BD2">
      <w:pPr>
        <w:spacing w:after="0" w:line="240" w:lineRule="auto"/>
        <w:rPr>
          <w:rFonts w:ascii="Arial" w:hAnsi="Arial" w:cs="Arial"/>
          <w:sz w:val="20"/>
          <w:szCs w:val="20"/>
        </w:rPr>
      </w:pPr>
    </w:p>
    <w:p w:rsidR="001A2CED" w:rsidRPr="00FC6804" w:rsidRDefault="001A2CED" w:rsidP="007E1BD2">
      <w:pPr>
        <w:spacing w:after="0" w:line="240" w:lineRule="auto"/>
        <w:rPr>
          <w:rFonts w:ascii="Arial" w:hAnsi="Arial" w:cs="Arial"/>
          <w:sz w:val="20"/>
          <w:szCs w:val="20"/>
        </w:rPr>
      </w:pPr>
    </w:p>
    <w:p w:rsidR="001A2CED" w:rsidRPr="00FC6804" w:rsidRDefault="001A2CED" w:rsidP="007E1BD2">
      <w:pPr>
        <w:spacing w:after="0" w:line="240" w:lineRule="auto"/>
        <w:rPr>
          <w:rFonts w:ascii="Arial" w:hAnsi="Arial" w:cs="Arial"/>
          <w:sz w:val="20"/>
          <w:szCs w:val="20"/>
        </w:rPr>
      </w:pPr>
    </w:p>
    <w:p w:rsidR="001A2CED" w:rsidRPr="00FC6804" w:rsidRDefault="001A2CED" w:rsidP="007E1BD2">
      <w:pPr>
        <w:spacing w:after="0" w:line="240" w:lineRule="auto"/>
        <w:rPr>
          <w:rFonts w:ascii="Arial" w:hAnsi="Arial" w:cs="Arial"/>
          <w:sz w:val="20"/>
          <w:szCs w:val="20"/>
        </w:rPr>
      </w:pPr>
    </w:p>
    <w:p w:rsidR="001A2CED" w:rsidRPr="00FC6804" w:rsidRDefault="001A2CED" w:rsidP="007E1BD2">
      <w:pPr>
        <w:spacing w:after="0" w:line="240" w:lineRule="auto"/>
        <w:rPr>
          <w:rFonts w:ascii="Arial" w:hAnsi="Arial" w:cs="Arial"/>
          <w:sz w:val="20"/>
          <w:szCs w:val="20"/>
        </w:rPr>
      </w:pPr>
    </w:p>
    <w:p w:rsidR="001A2CED" w:rsidRPr="00FC6804" w:rsidRDefault="001A2CED" w:rsidP="007E1BD2">
      <w:pPr>
        <w:spacing w:after="0" w:line="240" w:lineRule="auto"/>
        <w:rPr>
          <w:rFonts w:ascii="Arial" w:hAnsi="Arial" w:cs="Arial"/>
          <w:sz w:val="20"/>
          <w:szCs w:val="20"/>
        </w:rPr>
      </w:pPr>
    </w:p>
    <w:p w:rsidR="001A2CED" w:rsidRPr="00FC6804" w:rsidRDefault="001A2CED" w:rsidP="007E1BD2">
      <w:pPr>
        <w:spacing w:after="0" w:line="240" w:lineRule="auto"/>
        <w:rPr>
          <w:rFonts w:ascii="Arial" w:hAnsi="Arial" w:cs="Arial"/>
          <w:sz w:val="20"/>
          <w:szCs w:val="20"/>
        </w:rPr>
      </w:pPr>
    </w:p>
    <w:p w:rsidR="001A2CED" w:rsidRPr="00FC6804" w:rsidRDefault="001A2CED" w:rsidP="007E1BD2">
      <w:pPr>
        <w:spacing w:after="0" w:line="240" w:lineRule="auto"/>
        <w:rPr>
          <w:rFonts w:ascii="Arial" w:hAnsi="Arial" w:cs="Arial"/>
          <w:sz w:val="20"/>
          <w:szCs w:val="20"/>
        </w:rPr>
      </w:pPr>
    </w:p>
    <w:p w:rsidR="001A2CED" w:rsidRPr="00FC6804" w:rsidRDefault="001A2CED" w:rsidP="007E1BD2">
      <w:pPr>
        <w:spacing w:after="0" w:line="240" w:lineRule="auto"/>
        <w:rPr>
          <w:rFonts w:ascii="Arial" w:hAnsi="Arial" w:cs="Arial"/>
          <w:sz w:val="20"/>
          <w:szCs w:val="20"/>
        </w:rPr>
      </w:pPr>
    </w:p>
    <w:p w:rsidR="001A2CED" w:rsidRPr="00FC6804" w:rsidRDefault="001A2CED" w:rsidP="007E1BD2">
      <w:pPr>
        <w:spacing w:after="0" w:line="240" w:lineRule="auto"/>
        <w:rPr>
          <w:rFonts w:ascii="Arial" w:hAnsi="Arial" w:cs="Arial"/>
          <w:sz w:val="20"/>
          <w:szCs w:val="20"/>
        </w:rPr>
      </w:pPr>
    </w:p>
    <w:p w:rsidR="001A2CED" w:rsidRPr="00FC6804" w:rsidRDefault="001A2CED" w:rsidP="007E1BD2">
      <w:pPr>
        <w:spacing w:after="0" w:line="240" w:lineRule="auto"/>
        <w:rPr>
          <w:rFonts w:ascii="Arial" w:hAnsi="Arial" w:cs="Arial"/>
          <w:sz w:val="20"/>
          <w:szCs w:val="20"/>
        </w:rPr>
      </w:pPr>
    </w:p>
    <w:p w:rsidR="001A2CED" w:rsidRPr="00FC6804" w:rsidRDefault="001A2CED" w:rsidP="007E1BD2">
      <w:pPr>
        <w:spacing w:after="0" w:line="240" w:lineRule="auto"/>
        <w:rPr>
          <w:rFonts w:ascii="Arial" w:hAnsi="Arial" w:cs="Arial"/>
          <w:sz w:val="20"/>
          <w:szCs w:val="20"/>
        </w:rPr>
      </w:pPr>
    </w:p>
    <w:p w:rsidR="001A2CED" w:rsidRPr="00FC6804" w:rsidRDefault="001A2CED" w:rsidP="007E1BD2">
      <w:pPr>
        <w:spacing w:after="0" w:line="240" w:lineRule="auto"/>
        <w:rPr>
          <w:rFonts w:ascii="Arial" w:hAnsi="Arial" w:cs="Arial"/>
          <w:sz w:val="20"/>
          <w:szCs w:val="20"/>
        </w:rPr>
      </w:pPr>
    </w:p>
    <w:p w:rsidR="001A2CED" w:rsidRPr="00FC6804" w:rsidRDefault="001A2CED" w:rsidP="007E1BD2">
      <w:pPr>
        <w:spacing w:after="0" w:line="240" w:lineRule="auto"/>
        <w:rPr>
          <w:rFonts w:ascii="Arial" w:hAnsi="Arial" w:cs="Arial"/>
          <w:sz w:val="20"/>
          <w:szCs w:val="20"/>
        </w:rPr>
      </w:pPr>
    </w:p>
    <w:p w:rsidR="00C65BF0" w:rsidRPr="00FC6804" w:rsidRDefault="00C65BF0" w:rsidP="007E1BD2">
      <w:pPr>
        <w:spacing w:after="0" w:line="240" w:lineRule="auto"/>
        <w:rPr>
          <w:rFonts w:ascii="Arial" w:hAnsi="Arial" w:cs="Arial"/>
          <w:sz w:val="20"/>
          <w:szCs w:val="20"/>
        </w:rPr>
        <w:sectPr w:rsidR="00C65BF0" w:rsidRPr="00FC6804" w:rsidSect="00245D1C">
          <w:pgSz w:w="11906" w:h="16838" w:code="9"/>
          <w:pgMar w:top="1440" w:right="1440" w:bottom="1440" w:left="1440" w:header="567" w:footer="567" w:gutter="0"/>
          <w:cols w:space="708"/>
          <w:docGrid w:linePitch="360"/>
        </w:sectPr>
      </w:pPr>
    </w:p>
    <w:p w:rsidR="00936D3A" w:rsidRPr="00FC6804" w:rsidRDefault="00936D3A" w:rsidP="007E1BD2">
      <w:pPr>
        <w:spacing w:after="0" w:line="240" w:lineRule="auto"/>
        <w:rPr>
          <w:rFonts w:ascii="Arial" w:hAnsi="Arial" w:cs="Arial"/>
          <w:b/>
          <w:color w:val="1F4E79" w:themeColor="accent1" w:themeShade="80"/>
          <w:sz w:val="20"/>
          <w:szCs w:val="20"/>
        </w:rPr>
      </w:pPr>
      <w:r w:rsidRPr="00FC6804">
        <w:rPr>
          <w:rFonts w:ascii="Arial" w:hAnsi="Arial" w:cs="Arial"/>
          <w:b/>
          <w:color w:val="1F4E79" w:themeColor="accent1" w:themeShade="80"/>
          <w:sz w:val="20"/>
          <w:szCs w:val="20"/>
        </w:rPr>
        <w:t xml:space="preserve">Table </w:t>
      </w:r>
      <w:r w:rsidR="00037A89">
        <w:rPr>
          <w:rFonts w:ascii="Arial" w:hAnsi="Arial" w:cs="Arial"/>
          <w:b/>
          <w:color w:val="1F4E79" w:themeColor="accent1" w:themeShade="80"/>
          <w:sz w:val="20"/>
          <w:szCs w:val="20"/>
        </w:rPr>
        <w:t>5</w:t>
      </w:r>
      <w:r w:rsidR="00804420" w:rsidRPr="00FC6804">
        <w:rPr>
          <w:rFonts w:ascii="Arial" w:hAnsi="Arial" w:cs="Arial"/>
          <w:b/>
          <w:color w:val="1F4E79" w:themeColor="accent1" w:themeShade="80"/>
          <w:sz w:val="20"/>
          <w:szCs w:val="20"/>
        </w:rPr>
        <w:t>.</w:t>
      </w:r>
      <w:r w:rsidR="00C11A36" w:rsidRPr="00FC6804">
        <w:rPr>
          <w:rFonts w:ascii="Arial" w:hAnsi="Arial" w:cs="Arial"/>
          <w:b/>
          <w:color w:val="1F4E79" w:themeColor="accent1" w:themeShade="80"/>
          <w:sz w:val="20"/>
          <w:szCs w:val="20"/>
        </w:rPr>
        <w:t>3</w:t>
      </w:r>
      <w:r w:rsidRPr="00FC6804">
        <w:rPr>
          <w:rFonts w:ascii="Arial" w:hAnsi="Arial" w:cs="Arial"/>
          <w:b/>
          <w:color w:val="1F4E79" w:themeColor="accent1" w:themeShade="80"/>
          <w:sz w:val="20"/>
          <w:szCs w:val="20"/>
        </w:rPr>
        <w:t>: Costs by licence type and average cost per licensee</w:t>
      </w:r>
    </w:p>
    <w:p w:rsidR="001A2CED" w:rsidRPr="00FC6804" w:rsidRDefault="001A2CED" w:rsidP="00C65BF0">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2660"/>
        <w:gridCol w:w="2835"/>
        <w:gridCol w:w="2835"/>
        <w:gridCol w:w="2835"/>
        <w:gridCol w:w="2835"/>
      </w:tblGrid>
      <w:tr w:rsidR="00804420" w:rsidRPr="00FC6804" w:rsidTr="009E63BE">
        <w:tc>
          <w:tcPr>
            <w:tcW w:w="2660" w:type="dxa"/>
            <w:shd w:val="clear" w:color="auto" w:fill="F2F2F2" w:themeFill="background1" w:themeFillShade="F2"/>
          </w:tcPr>
          <w:p w:rsidR="00804420" w:rsidRPr="00FC6804" w:rsidRDefault="00804420" w:rsidP="00C65BF0">
            <w:pPr>
              <w:spacing w:before="60" w:after="60"/>
              <w:jc w:val="center"/>
              <w:rPr>
                <w:rFonts w:ascii="Arial" w:hAnsi="Arial" w:cs="Arial"/>
                <w:b/>
                <w:sz w:val="20"/>
                <w:szCs w:val="20"/>
              </w:rPr>
            </w:pPr>
            <w:r w:rsidRPr="00FC6804">
              <w:rPr>
                <w:rFonts w:ascii="Arial" w:hAnsi="Arial" w:cs="Arial"/>
                <w:b/>
                <w:sz w:val="20"/>
                <w:szCs w:val="20"/>
              </w:rPr>
              <w:t xml:space="preserve">Licence </w:t>
            </w:r>
            <w:r w:rsidR="00C65BF0" w:rsidRPr="00FC6804">
              <w:rPr>
                <w:rFonts w:ascii="Arial" w:hAnsi="Arial" w:cs="Arial"/>
                <w:b/>
                <w:sz w:val="20"/>
                <w:szCs w:val="20"/>
              </w:rPr>
              <w:t>T</w:t>
            </w:r>
            <w:r w:rsidRPr="00FC6804">
              <w:rPr>
                <w:rFonts w:ascii="Arial" w:hAnsi="Arial" w:cs="Arial"/>
                <w:b/>
                <w:sz w:val="20"/>
                <w:szCs w:val="20"/>
              </w:rPr>
              <w:t>ype</w:t>
            </w:r>
          </w:p>
        </w:tc>
        <w:tc>
          <w:tcPr>
            <w:tcW w:w="2835" w:type="dxa"/>
            <w:shd w:val="clear" w:color="auto" w:fill="F2F2F2" w:themeFill="background1" w:themeFillShade="F2"/>
          </w:tcPr>
          <w:p w:rsidR="00C65BF0" w:rsidRPr="00FC6804" w:rsidRDefault="00804420" w:rsidP="00C65BF0">
            <w:pPr>
              <w:spacing w:before="60" w:after="60"/>
              <w:jc w:val="center"/>
              <w:rPr>
                <w:rFonts w:ascii="Arial" w:hAnsi="Arial" w:cs="Arial"/>
                <w:b/>
                <w:sz w:val="20"/>
                <w:szCs w:val="20"/>
              </w:rPr>
            </w:pPr>
            <w:r w:rsidRPr="00FC6804">
              <w:rPr>
                <w:rFonts w:ascii="Arial" w:hAnsi="Arial" w:cs="Arial"/>
                <w:b/>
                <w:sz w:val="20"/>
                <w:szCs w:val="20"/>
              </w:rPr>
              <w:t xml:space="preserve">Total </w:t>
            </w:r>
            <w:r w:rsidR="00C65BF0" w:rsidRPr="00FC6804">
              <w:rPr>
                <w:rFonts w:ascii="Arial" w:hAnsi="Arial" w:cs="Arial"/>
                <w:b/>
                <w:sz w:val="20"/>
                <w:szCs w:val="20"/>
              </w:rPr>
              <w:t>Cost (</w:t>
            </w:r>
            <w:r w:rsidRPr="00FC6804">
              <w:rPr>
                <w:rFonts w:ascii="Arial" w:hAnsi="Arial" w:cs="Arial"/>
                <w:b/>
                <w:sz w:val="20"/>
                <w:szCs w:val="20"/>
              </w:rPr>
              <w:t>est. 2016-17)</w:t>
            </w:r>
          </w:p>
          <w:p w:rsidR="00C65BF0" w:rsidRPr="00FC6804" w:rsidRDefault="00C65BF0" w:rsidP="00C65BF0">
            <w:pPr>
              <w:spacing w:before="60" w:after="60"/>
              <w:jc w:val="center"/>
              <w:rPr>
                <w:rFonts w:ascii="Arial" w:hAnsi="Arial" w:cs="Arial"/>
                <w:b/>
                <w:sz w:val="20"/>
                <w:szCs w:val="20"/>
              </w:rPr>
            </w:pPr>
            <w:r w:rsidRPr="00FC6804">
              <w:rPr>
                <w:rFonts w:ascii="Arial" w:hAnsi="Arial" w:cs="Arial"/>
                <w:b/>
                <w:sz w:val="20"/>
                <w:szCs w:val="20"/>
              </w:rPr>
              <w:t>$</w:t>
            </w:r>
          </w:p>
        </w:tc>
        <w:tc>
          <w:tcPr>
            <w:tcW w:w="2835" w:type="dxa"/>
            <w:shd w:val="clear" w:color="auto" w:fill="F2F2F2" w:themeFill="background1" w:themeFillShade="F2"/>
          </w:tcPr>
          <w:p w:rsidR="00804420" w:rsidRPr="00FC6804" w:rsidRDefault="00C65BF0" w:rsidP="00C65BF0">
            <w:pPr>
              <w:spacing w:before="60" w:after="60"/>
              <w:jc w:val="center"/>
              <w:rPr>
                <w:rFonts w:ascii="Arial" w:hAnsi="Arial" w:cs="Arial"/>
                <w:b/>
                <w:sz w:val="20"/>
                <w:szCs w:val="20"/>
              </w:rPr>
            </w:pPr>
            <w:r w:rsidRPr="00FC6804">
              <w:rPr>
                <w:rFonts w:ascii="Arial" w:hAnsi="Arial" w:cs="Arial"/>
                <w:b/>
                <w:sz w:val="20"/>
                <w:szCs w:val="20"/>
              </w:rPr>
              <w:t xml:space="preserve">Number </w:t>
            </w:r>
            <w:r w:rsidR="00804420" w:rsidRPr="00FC6804">
              <w:rPr>
                <w:rFonts w:ascii="Arial" w:hAnsi="Arial" w:cs="Arial"/>
                <w:b/>
                <w:sz w:val="20"/>
                <w:szCs w:val="20"/>
              </w:rPr>
              <w:t xml:space="preserve">of </w:t>
            </w:r>
            <w:r w:rsidRPr="00FC6804">
              <w:rPr>
                <w:rFonts w:ascii="Arial" w:hAnsi="Arial" w:cs="Arial"/>
                <w:b/>
                <w:sz w:val="20"/>
                <w:szCs w:val="20"/>
              </w:rPr>
              <w:t>L</w:t>
            </w:r>
            <w:r w:rsidR="00804420" w:rsidRPr="00FC6804">
              <w:rPr>
                <w:rFonts w:ascii="Arial" w:hAnsi="Arial" w:cs="Arial"/>
                <w:b/>
                <w:sz w:val="20"/>
                <w:szCs w:val="20"/>
              </w:rPr>
              <w:t>icences</w:t>
            </w:r>
          </w:p>
        </w:tc>
        <w:tc>
          <w:tcPr>
            <w:tcW w:w="2835" w:type="dxa"/>
            <w:shd w:val="clear" w:color="auto" w:fill="F2F2F2" w:themeFill="background1" w:themeFillShade="F2"/>
          </w:tcPr>
          <w:p w:rsidR="00804420" w:rsidRPr="00FC6804" w:rsidRDefault="00804420" w:rsidP="00C65BF0">
            <w:pPr>
              <w:spacing w:before="60" w:after="60"/>
              <w:jc w:val="center"/>
              <w:rPr>
                <w:rFonts w:ascii="Arial" w:hAnsi="Arial" w:cs="Arial"/>
                <w:b/>
                <w:sz w:val="20"/>
                <w:szCs w:val="20"/>
              </w:rPr>
            </w:pPr>
            <w:r w:rsidRPr="00FC6804">
              <w:rPr>
                <w:rFonts w:ascii="Arial" w:hAnsi="Arial" w:cs="Arial"/>
                <w:b/>
                <w:sz w:val="20"/>
                <w:szCs w:val="20"/>
              </w:rPr>
              <w:t>Cost per licensee</w:t>
            </w:r>
            <w:r w:rsidR="00C65BF0" w:rsidRPr="00FC6804">
              <w:rPr>
                <w:rFonts w:ascii="Arial" w:hAnsi="Arial" w:cs="Arial"/>
                <w:b/>
                <w:sz w:val="20"/>
                <w:szCs w:val="20"/>
              </w:rPr>
              <w:t xml:space="preserve"> (2016-17)</w:t>
            </w:r>
          </w:p>
          <w:p w:rsidR="00C65BF0" w:rsidRPr="00FC6804" w:rsidRDefault="00C65BF0" w:rsidP="00C65BF0">
            <w:pPr>
              <w:spacing w:before="60" w:after="60"/>
              <w:jc w:val="center"/>
              <w:rPr>
                <w:rFonts w:ascii="Arial" w:hAnsi="Arial" w:cs="Arial"/>
                <w:b/>
                <w:sz w:val="20"/>
                <w:szCs w:val="20"/>
              </w:rPr>
            </w:pPr>
            <w:r w:rsidRPr="00FC6804">
              <w:rPr>
                <w:rFonts w:ascii="Arial" w:hAnsi="Arial" w:cs="Arial"/>
                <w:b/>
                <w:sz w:val="20"/>
                <w:szCs w:val="20"/>
              </w:rPr>
              <w:t>$</w:t>
            </w:r>
          </w:p>
        </w:tc>
        <w:tc>
          <w:tcPr>
            <w:tcW w:w="2835" w:type="dxa"/>
            <w:shd w:val="clear" w:color="auto" w:fill="F2F2F2" w:themeFill="background1" w:themeFillShade="F2"/>
          </w:tcPr>
          <w:p w:rsidR="00804420" w:rsidRDefault="00804420" w:rsidP="00C65BF0">
            <w:pPr>
              <w:spacing w:before="60" w:after="60"/>
              <w:jc w:val="center"/>
              <w:rPr>
                <w:rFonts w:ascii="Arial" w:hAnsi="Arial" w:cs="Arial"/>
                <w:b/>
                <w:sz w:val="20"/>
                <w:szCs w:val="20"/>
              </w:rPr>
            </w:pPr>
            <w:r w:rsidRPr="00FC6804">
              <w:rPr>
                <w:rFonts w:ascii="Arial" w:hAnsi="Arial" w:cs="Arial"/>
                <w:b/>
                <w:sz w:val="20"/>
                <w:szCs w:val="20"/>
              </w:rPr>
              <w:t xml:space="preserve">Current </w:t>
            </w:r>
            <w:r w:rsidR="00C65BF0" w:rsidRPr="00FC6804">
              <w:rPr>
                <w:rFonts w:ascii="Arial" w:hAnsi="Arial" w:cs="Arial"/>
                <w:b/>
                <w:sz w:val="20"/>
                <w:szCs w:val="20"/>
              </w:rPr>
              <w:t>F</w:t>
            </w:r>
            <w:r w:rsidRPr="00FC6804">
              <w:rPr>
                <w:rFonts w:ascii="Arial" w:hAnsi="Arial" w:cs="Arial"/>
                <w:b/>
                <w:sz w:val="20"/>
                <w:szCs w:val="20"/>
              </w:rPr>
              <w:t>ee</w:t>
            </w:r>
            <w:r w:rsidR="001C73F1" w:rsidRPr="00FC6804">
              <w:rPr>
                <w:rStyle w:val="FootnoteReference"/>
                <w:rFonts w:ascii="Arial" w:hAnsi="Arial" w:cs="Arial"/>
                <w:b/>
                <w:sz w:val="20"/>
                <w:szCs w:val="20"/>
              </w:rPr>
              <w:footnoteReference w:id="16"/>
            </w:r>
          </w:p>
          <w:p w:rsidR="00911633" w:rsidRPr="00FC6804" w:rsidRDefault="00911633" w:rsidP="00C65BF0">
            <w:pPr>
              <w:spacing w:before="60" w:after="60"/>
              <w:jc w:val="center"/>
              <w:rPr>
                <w:rFonts w:ascii="Arial" w:hAnsi="Arial" w:cs="Arial"/>
                <w:b/>
                <w:sz w:val="20"/>
                <w:szCs w:val="20"/>
              </w:rPr>
            </w:pPr>
            <w:r>
              <w:rPr>
                <w:rFonts w:ascii="Arial" w:hAnsi="Arial" w:cs="Arial"/>
                <w:b/>
                <w:sz w:val="20"/>
                <w:szCs w:val="20"/>
              </w:rPr>
              <w:t>$</w:t>
            </w:r>
          </w:p>
        </w:tc>
      </w:tr>
      <w:tr w:rsidR="00B56AA5" w:rsidRPr="00FC6804" w:rsidTr="00C65BF0">
        <w:tc>
          <w:tcPr>
            <w:tcW w:w="14000" w:type="dxa"/>
            <w:gridSpan w:val="5"/>
            <w:shd w:val="clear" w:color="auto" w:fill="D9D9D9" w:themeFill="background1" w:themeFillShade="D9"/>
          </w:tcPr>
          <w:p w:rsidR="00B56AA5" w:rsidRPr="00FC6804" w:rsidRDefault="00B56AA5" w:rsidP="00C65BF0">
            <w:pPr>
              <w:spacing w:before="60" w:after="60"/>
              <w:rPr>
                <w:rFonts w:ascii="Arial" w:hAnsi="Arial" w:cs="Arial"/>
                <w:b/>
                <w:i/>
                <w:sz w:val="20"/>
                <w:szCs w:val="20"/>
              </w:rPr>
            </w:pPr>
            <w:r w:rsidRPr="00FC6804">
              <w:rPr>
                <w:rFonts w:ascii="Arial" w:hAnsi="Arial" w:cs="Arial"/>
                <w:b/>
                <w:i/>
                <w:sz w:val="20"/>
                <w:szCs w:val="20"/>
              </w:rPr>
              <w:t>Meat industry</w:t>
            </w:r>
          </w:p>
        </w:tc>
      </w:tr>
      <w:tr w:rsidR="00804420" w:rsidRPr="00FC6804" w:rsidTr="00C65BF0">
        <w:tc>
          <w:tcPr>
            <w:tcW w:w="2660" w:type="dxa"/>
          </w:tcPr>
          <w:p w:rsidR="00804420" w:rsidRPr="00FC6804" w:rsidRDefault="00804420" w:rsidP="00C65BF0">
            <w:pPr>
              <w:spacing w:before="60" w:after="60"/>
              <w:rPr>
                <w:rFonts w:ascii="Arial" w:hAnsi="Arial" w:cs="Arial"/>
                <w:sz w:val="20"/>
                <w:szCs w:val="20"/>
              </w:rPr>
            </w:pPr>
            <w:r w:rsidRPr="00FC6804">
              <w:rPr>
                <w:rFonts w:ascii="Arial" w:hAnsi="Arial" w:cs="Arial"/>
                <w:sz w:val="20"/>
                <w:szCs w:val="20"/>
              </w:rPr>
              <w:t>Abattoir (export)</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14,105</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21</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671.65</w:t>
            </w:r>
          </w:p>
        </w:tc>
        <w:tc>
          <w:tcPr>
            <w:tcW w:w="2835" w:type="dxa"/>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1,356 - 1,566</w:t>
            </w:r>
            <w:r w:rsidR="006D5391" w:rsidRPr="00FC6804">
              <w:rPr>
                <w:rFonts w:ascii="Arial" w:hAnsi="Arial" w:cs="Arial"/>
                <w:sz w:val="20"/>
                <w:szCs w:val="20"/>
              </w:rPr>
              <w:t xml:space="preserve"> </w:t>
            </w:r>
            <w:r w:rsidR="006D5391" w:rsidRPr="00FC6804">
              <w:rPr>
                <w:rFonts w:ascii="Arial" w:hAnsi="Arial" w:cs="Arial"/>
                <w:i/>
                <w:sz w:val="20"/>
                <w:szCs w:val="20"/>
              </w:rPr>
              <w:t>(Ave 1,335)</w:t>
            </w:r>
          </w:p>
        </w:tc>
      </w:tr>
      <w:tr w:rsidR="00804420" w:rsidRPr="00FC6804" w:rsidTr="00C65BF0">
        <w:tc>
          <w:tcPr>
            <w:tcW w:w="2660" w:type="dxa"/>
          </w:tcPr>
          <w:p w:rsidR="00804420" w:rsidRPr="00FC6804" w:rsidRDefault="00804420" w:rsidP="00C65BF0">
            <w:pPr>
              <w:spacing w:before="60" w:after="60"/>
              <w:rPr>
                <w:rFonts w:ascii="Arial" w:hAnsi="Arial" w:cs="Arial"/>
                <w:sz w:val="20"/>
                <w:szCs w:val="20"/>
              </w:rPr>
            </w:pPr>
            <w:r w:rsidRPr="00FC6804">
              <w:rPr>
                <w:rFonts w:ascii="Arial" w:hAnsi="Arial" w:cs="Arial"/>
                <w:sz w:val="20"/>
                <w:szCs w:val="20"/>
              </w:rPr>
              <w:t>Abattoir (domestic)</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70,190</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19</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3,694.22</w:t>
            </w:r>
          </w:p>
        </w:tc>
        <w:tc>
          <w:tcPr>
            <w:tcW w:w="2835" w:type="dxa"/>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1,356 - 8,107</w:t>
            </w:r>
            <w:r w:rsidR="006D5391" w:rsidRPr="00FC6804">
              <w:rPr>
                <w:rFonts w:ascii="Arial" w:hAnsi="Arial" w:cs="Arial"/>
                <w:sz w:val="20"/>
                <w:szCs w:val="20"/>
              </w:rPr>
              <w:t xml:space="preserve"> </w:t>
            </w:r>
            <w:r w:rsidR="006D5391" w:rsidRPr="00FC6804">
              <w:rPr>
                <w:rFonts w:ascii="Arial" w:hAnsi="Arial" w:cs="Arial"/>
                <w:i/>
                <w:sz w:val="20"/>
                <w:szCs w:val="20"/>
              </w:rPr>
              <w:t>(Ave 5,728)</w:t>
            </w:r>
          </w:p>
        </w:tc>
      </w:tr>
      <w:tr w:rsidR="00804420" w:rsidRPr="00FC6804" w:rsidTr="00C65BF0">
        <w:tc>
          <w:tcPr>
            <w:tcW w:w="2660" w:type="dxa"/>
            <w:vAlign w:val="bottom"/>
          </w:tcPr>
          <w:p w:rsidR="00804420" w:rsidRPr="00FC6804" w:rsidRDefault="00804420" w:rsidP="00C65BF0">
            <w:pPr>
              <w:spacing w:before="60" w:after="60"/>
              <w:rPr>
                <w:rFonts w:ascii="Arial" w:hAnsi="Arial" w:cs="Arial"/>
                <w:color w:val="000000"/>
                <w:sz w:val="20"/>
                <w:szCs w:val="20"/>
              </w:rPr>
            </w:pPr>
            <w:r w:rsidRPr="00FC6804">
              <w:rPr>
                <w:rFonts w:ascii="Arial" w:hAnsi="Arial" w:cs="Arial"/>
                <w:color w:val="000000"/>
                <w:sz w:val="20"/>
                <w:szCs w:val="20"/>
              </w:rPr>
              <w:t>Poultry Processing</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61,506</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21</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2,928.87</w:t>
            </w:r>
          </w:p>
        </w:tc>
        <w:tc>
          <w:tcPr>
            <w:tcW w:w="2835" w:type="dxa"/>
          </w:tcPr>
          <w:p w:rsidR="006D5391"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377 - 11,118</w:t>
            </w:r>
            <w:r w:rsidR="00C65BF0" w:rsidRPr="00FC6804">
              <w:rPr>
                <w:rFonts w:ascii="Arial" w:hAnsi="Arial" w:cs="Arial"/>
                <w:sz w:val="20"/>
                <w:szCs w:val="20"/>
              </w:rPr>
              <w:t xml:space="preserve"> </w:t>
            </w:r>
            <w:r w:rsidR="006D5391" w:rsidRPr="00FC6804">
              <w:rPr>
                <w:rFonts w:ascii="Arial" w:hAnsi="Arial" w:cs="Arial"/>
                <w:sz w:val="20"/>
                <w:szCs w:val="20"/>
              </w:rPr>
              <w:t>(Ave 4,104)</w:t>
            </w:r>
          </w:p>
        </w:tc>
      </w:tr>
      <w:tr w:rsidR="00804420" w:rsidRPr="00FC6804" w:rsidTr="00C65BF0">
        <w:tc>
          <w:tcPr>
            <w:tcW w:w="2660" w:type="dxa"/>
            <w:vAlign w:val="bottom"/>
          </w:tcPr>
          <w:p w:rsidR="00804420" w:rsidRPr="00FC6804" w:rsidRDefault="00804420" w:rsidP="00C65BF0">
            <w:pPr>
              <w:spacing w:before="60" w:after="60"/>
              <w:rPr>
                <w:rFonts w:ascii="Arial" w:hAnsi="Arial" w:cs="Arial"/>
                <w:color w:val="000000"/>
                <w:sz w:val="20"/>
                <w:szCs w:val="20"/>
              </w:rPr>
            </w:pPr>
            <w:r w:rsidRPr="00FC6804">
              <w:rPr>
                <w:rFonts w:ascii="Arial" w:hAnsi="Arial" w:cs="Arial"/>
                <w:color w:val="000000"/>
                <w:sz w:val="20"/>
                <w:szCs w:val="20"/>
              </w:rPr>
              <w:t>Further Meat Processing</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199,272</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353</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564.51</w:t>
            </w:r>
          </w:p>
        </w:tc>
        <w:tc>
          <w:tcPr>
            <w:tcW w:w="2835" w:type="dxa"/>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624</w:t>
            </w:r>
            <w:r w:rsidR="00C65BF0" w:rsidRPr="00FC6804">
              <w:rPr>
                <w:rFonts w:ascii="Arial" w:hAnsi="Arial" w:cs="Arial"/>
                <w:sz w:val="20"/>
                <w:szCs w:val="20"/>
              </w:rPr>
              <w:t xml:space="preserve"> </w:t>
            </w:r>
            <w:r w:rsidRPr="00FC6804">
              <w:rPr>
                <w:rFonts w:ascii="Arial" w:hAnsi="Arial" w:cs="Arial"/>
                <w:sz w:val="20"/>
                <w:szCs w:val="20"/>
              </w:rPr>
              <w:t>-</w:t>
            </w:r>
            <w:r w:rsidR="00C65BF0" w:rsidRPr="00FC6804">
              <w:rPr>
                <w:rFonts w:ascii="Arial" w:hAnsi="Arial" w:cs="Arial"/>
                <w:sz w:val="20"/>
                <w:szCs w:val="20"/>
              </w:rPr>
              <w:t xml:space="preserve"> </w:t>
            </w:r>
            <w:r w:rsidRPr="00FC6804">
              <w:rPr>
                <w:rFonts w:ascii="Arial" w:hAnsi="Arial" w:cs="Arial"/>
                <w:sz w:val="20"/>
                <w:szCs w:val="20"/>
              </w:rPr>
              <w:t>2,175</w:t>
            </w:r>
            <w:r w:rsidR="006D5391" w:rsidRPr="00FC6804">
              <w:rPr>
                <w:rFonts w:ascii="Arial" w:hAnsi="Arial" w:cs="Arial"/>
                <w:sz w:val="20"/>
                <w:szCs w:val="20"/>
              </w:rPr>
              <w:t xml:space="preserve"> </w:t>
            </w:r>
            <w:r w:rsidR="006D5391" w:rsidRPr="00FC6804">
              <w:rPr>
                <w:rFonts w:ascii="Arial" w:hAnsi="Arial" w:cs="Arial"/>
                <w:i/>
                <w:sz w:val="20"/>
                <w:szCs w:val="20"/>
              </w:rPr>
              <w:t>(Ave 911)</w:t>
            </w:r>
          </w:p>
        </w:tc>
      </w:tr>
      <w:tr w:rsidR="00804420" w:rsidRPr="00FC6804" w:rsidTr="00C65BF0">
        <w:tc>
          <w:tcPr>
            <w:tcW w:w="2660" w:type="dxa"/>
            <w:vAlign w:val="bottom"/>
          </w:tcPr>
          <w:p w:rsidR="00804420" w:rsidRPr="00FC6804" w:rsidRDefault="00804420" w:rsidP="00C65BF0">
            <w:pPr>
              <w:spacing w:before="60" w:after="60"/>
              <w:rPr>
                <w:rFonts w:ascii="Arial" w:hAnsi="Arial" w:cs="Arial"/>
                <w:color w:val="000000"/>
                <w:sz w:val="20"/>
                <w:szCs w:val="20"/>
              </w:rPr>
            </w:pPr>
            <w:r w:rsidRPr="00FC6804">
              <w:rPr>
                <w:rFonts w:ascii="Arial" w:hAnsi="Arial" w:cs="Arial"/>
                <w:color w:val="000000"/>
                <w:sz w:val="20"/>
                <w:szCs w:val="20"/>
              </w:rPr>
              <w:t>Retail Butcher Shop</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962,514</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957</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1,005.76</w:t>
            </w:r>
          </w:p>
        </w:tc>
        <w:tc>
          <w:tcPr>
            <w:tcW w:w="2835" w:type="dxa"/>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266</w:t>
            </w:r>
          </w:p>
        </w:tc>
      </w:tr>
      <w:tr w:rsidR="00804420" w:rsidRPr="00FC6804" w:rsidTr="00C65BF0">
        <w:tc>
          <w:tcPr>
            <w:tcW w:w="2660" w:type="dxa"/>
            <w:vAlign w:val="bottom"/>
          </w:tcPr>
          <w:p w:rsidR="00804420" w:rsidRPr="00FC6804" w:rsidRDefault="00804420" w:rsidP="00C65BF0">
            <w:pPr>
              <w:spacing w:before="60" w:after="60"/>
              <w:rPr>
                <w:rFonts w:ascii="Arial" w:hAnsi="Arial" w:cs="Arial"/>
                <w:color w:val="000000"/>
                <w:sz w:val="20"/>
                <w:szCs w:val="20"/>
              </w:rPr>
            </w:pPr>
            <w:r w:rsidRPr="00FC6804">
              <w:rPr>
                <w:rFonts w:ascii="Arial" w:hAnsi="Arial" w:cs="Arial"/>
                <w:color w:val="000000"/>
                <w:sz w:val="20"/>
                <w:szCs w:val="20"/>
              </w:rPr>
              <w:t>Prime Tallow</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668</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3</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222.55</w:t>
            </w:r>
          </w:p>
        </w:tc>
        <w:tc>
          <w:tcPr>
            <w:tcW w:w="2835" w:type="dxa"/>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3,053</w:t>
            </w:r>
          </w:p>
        </w:tc>
      </w:tr>
      <w:tr w:rsidR="00804420" w:rsidRPr="00FC6804" w:rsidTr="00C65BF0">
        <w:tc>
          <w:tcPr>
            <w:tcW w:w="2660" w:type="dxa"/>
            <w:vAlign w:val="bottom"/>
          </w:tcPr>
          <w:p w:rsidR="00804420" w:rsidRPr="00FC6804" w:rsidRDefault="00804420" w:rsidP="00C65BF0">
            <w:pPr>
              <w:spacing w:before="60" w:after="60"/>
              <w:rPr>
                <w:rFonts w:ascii="Arial" w:hAnsi="Arial" w:cs="Arial"/>
                <w:color w:val="000000"/>
                <w:sz w:val="20"/>
                <w:szCs w:val="20"/>
              </w:rPr>
            </w:pPr>
            <w:r w:rsidRPr="00FC6804">
              <w:rPr>
                <w:rFonts w:ascii="Arial" w:hAnsi="Arial" w:cs="Arial"/>
                <w:color w:val="000000"/>
                <w:sz w:val="20"/>
                <w:szCs w:val="20"/>
              </w:rPr>
              <w:t>Game Meat</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157</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1</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157.17</w:t>
            </w:r>
          </w:p>
        </w:tc>
        <w:tc>
          <w:tcPr>
            <w:tcW w:w="2835" w:type="dxa"/>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821</w:t>
            </w:r>
          </w:p>
        </w:tc>
      </w:tr>
      <w:tr w:rsidR="00804420" w:rsidRPr="00FC6804" w:rsidTr="00C65BF0">
        <w:tc>
          <w:tcPr>
            <w:tcW w:w="2660" w:type="dxa"/>
            <w:vAlign w:val="bottom"/>
          </w:tcPr>
          <w:p w:rsidR="00804420" w:rsidRPr="00FC6804" w:rsidRDefault="00804420" w:rsidP="00C65BF0">
            <w:pPr>
              <w:spacing w:before="60" w:after="60"/>
              <w:rPr>
                <w:rFonts w:ascii="Arial" w:hAnsi="Arial" w:cs="Arial"/>
                <w:color w:val="000000"/>
                <w:sz w:val="20"/>
                <w:szCs w:val="20"/>
              </w:rPr>
            </w:pPr>
            <w:r w:rsidRPr="00FC6804">
              <w:rPr>
                <w:rFonts w:ascii="Arial" w:hAnsi="Arial" w:cs="Arial"/>
                <w:color w:val="000000"/>
                <w:sz w:val="20"/>
                <w:szCs w:val="20"/>
              </w:rPr>
              <w:t>Inedible Rendering</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2,003</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9</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222.55</w:t>
            </w:r>
          </w:p>
        </w:tc>
        <w:tc>
          <w:tcPr>
            <w:tcW w:w="2835" w:type="dxa"/>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2,287</w:t>
            </w:r>
          </w:p>
        </w:tc>
      </w:tr>
      <w:tr w:rsidR="00804420" w:rsidRPr="00FC6804" w:rsidTr="00C65BF0">
        <w:tc>
          <w:tcPr>
            <w:tcW w:w="2660" w:type="dxa"/>
            <w:vAlign w:val="bottom"/>
          </w:tcPr>
          <w:p w:rsidR="00804420" w:rsidRPr="00FC6804" w:rsidRDefault="00804420" w:rsidP="00C65BF0">
            <w:pPr>
              <w:spacing w:before="60" w:after="60"/>
              <w:rPr>
                <w:rFonts w:ascii="Arial" w:hAnsi="Arial" w:cs="Arial"/>
                <w:color w:val="000000"/>
                <w:sz w:val="20"/>
                <w:szCs w:val="20"/>
              </w:rPr>
            </w:pPr>
            <w:r w:rsidRPr="00FC6804">
              <w:rPr>
                <w:rFonts w:ascii="Arial" w:hAnsi="Arial" w:cs="Arial"/>
                <w:color w:val="000000"/>
                <w:sz w:val="20"/>
                <w:szCs w:val="20"/>
              </w:rPr>
              <w:t>Pet Meat Processing</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37,901</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14</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2,707.23</w:t>
            </w:r>
          </w:p>
        </w:tc>
        <w:tc>
          <w:tcPr>
            <w:tcW w:w="2835" w:type="dxa"/>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2,175</w:t>
            </w:r>
          </w:p>
        </w:tc>
      </w:tr>
      <w:tr w:rsidR="00804420" w:rsidRPr="00FC6804" w:rsidTr="00C65BF0">
        <w:tc>
          <w:tcPr>
            <w:tcW w:w="2660" w:type="dxa"/>
            <w:vAlign w:val="bottom"/>
          </w:tcPr>
          <w:p w:rsidR="00804420" w:rsidRPr="00FC6804" w:rsidRDefault="00804420" w:rsidP="00C65BF0">
            <w:pPr>
              <w:spacing w:before="60" w:after="60"/>
              <w:rPr>
                <w:rFonts w:ascii="Arial" w:hAnsi="Arial" w:cs="Arial"/>
                <w:color w:val="000000"/>
                <w:sz w:val="20"/>
                <w:szCs w:val="20"/>
              </w:rPr>
            </w:pPr>
            <w:r w:rsidRPr="00FC6804">
              <w:rPr>
                <w:rFonts w:ascii="Arial" w:hAnsi="Arial" w:cs="Arial"/>
                <w:color w:val="000000"/>
                <w:sz w:val="20"/>
                <w:szCs w:val="20"/>
              </w:rPr>
              <w:t>Pet Food Establishment</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44,951</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56</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802.70</w:t>
            </w:r>
          </w:p>
        </w:tc>
        <w:tc>
          <w:tcPr>
            <w:tcW w:w="2835" w:type="dxa"/>
          </w:tcPr>
          <w:p w:rsidR="00804420" w:rsidRPr="00FC6804" w:rsidRDefault="00C65BF0" w:rsidP="00C65BF0">
            <w:pPr>
              <w:spacing w:before="60" w:after="60"/>
              <w:jc w:val="center"/>
              <w:rPr>
                <w:rFonts w:ascii="Arial" w:hAnsi="Arial" w:cs="Arial"/>
                <w:sz w:val="20"/>
                <w:szCs w:val="20"/>
              </w:rPr>
            </w:pPr>
            <w:r w:rsidRPr="00FC6804">
              <w:rPr>
                <w:rFonts w:ascii="Arial" w:hAnsi="Arial" w:cs="Arial"/>
                <w:sz w:val="20"/>
                <w:szCs w:val="20"/>
              </w:rPr>
              <w:t xml:space="preserve">266 - </w:t>
            </w:r>
            <w:r w:rsidR="00804420" w:rsidRPr="00FC6804">
              <w:rPr>
                <w:rFonts w:ascii="Arial" w:hAnsi="Arial" w:cs="Arial"/>
                <w:sz w:val="20"/>
                <w:szCs w:val="20"/>
              </w:rPr>
              <w:t>1,814</w:t>
            </w:r>
            <w:r w:rsidR="006D5391" w:rsidRPr="00FC6804">
              <w:rPr>
                <w:rFonts w:ascii="Arial" w:hAnsi="Arial" w:cs="Arial"/>
                <w:sz w:val="20"/>
                <w:szCs w:val="20"/>
              </w:rPr>
              <w:t xml:space="preserve"> </w:t>
            </w:r>
            <w:r w:rsidR="006D5391" w:rsidRPr="00FC6804">
              <w:rPr>
                <w:rFonts w:ascii="Arial" w:hAnsi="Arial" w:cs="Arial"/>
                <w:i/>
                <w:sz w:val="20"/>
                <w:szCs w:val="20"/>
              </w:rPr>
              <w:t>(Ave 742)</w:t>
            </w:r>
          </w:p>
        </w:tc>
      </w:tr>
      <w:tr w:rsidR="00B56AA5" w:rsidRPr="00FC6804" w:rsidTr="00C65BF0">
        <w:tc>
          <w:tcPr>
            <w:tcW w:w="2660" w:type="dxa"/>
            <w:vAlign w:val="bottom"/>
          </w:tcPr>
          <w:p w:rsidR="00B56AA5" w:rsidRPr="00FC6804" w:rsidRDefault="00B56AA5" w:rsidP="00C65BF0">
            <w:pPr>
              <w:spacing w:before="60" w:after="60"/>
              <w:rPr>
                <w:rFonts w:ascii="Arial" w:hAnsi="Arial" w:cs="Arial"/>
                <w:color w:val="000000"/>
                <w:sz w:val="20"/>
                <w:szCs w:val="20"/>
              </w:rPr>
            </w:pPr>
            <w:r w:rsidRPr="00FC6804">
              <w:rPr>
                <w:rFonts w:ascii="Arial" w:hAnsi="Arial" w:cs="Arial"/>
                <w:color w:val="000000"/>
                <w:sz w:val="20"/>
                <w:szCs w:val="20"/>
              </w:rPr>
              <w:t>Meat Inspectors</w:t>
            </w:r>
          </w:p>
        </w:tc>
        <w:tc>
          <w:tcPr>
            <w:tcW w:w="2835" w:type="dxa"/>
          </w:tcPr>
          <w:p w:rsidR="00B56AA5" w:rsidRPr="00FC6804" w:rsidRDefault="00B56AA5" w:rsidP="00C65BF0">
            <w:pPr>
              <w:spacing w:before="60" w:after="60"/>
              <w:jc w:val="center"/>
              <w:rPr>
                <w:rFonts w:ascii="Arial" w:hAnsi="Arial" w:cs="Arial"/>
                <w:sz w:val="20"/>
                <w:szCs w:val="20"/>
              </w:rPr>
            </w:pPr>
            <w:r w:rsidRPr="00FC6804">
              <w:rPr>
                <w:rFonts w:ascii="Arial" w:hAnsi="Arial" w:cs="Arial"/>
                <w:sz w:val="20"/>
                <w:szCs w:val="20"/>
              </w:rPr>
              <w:t>27,504</w:t>
            </w:r>
          </w:p>
        </w:tc>
        <w:tc>
          <w:tcPr>
            <w:tcW w:w="2835" w:type="dxa"/>
            <w:vAlign w:val="bottom"/>
          </w:tcPr>
          <w:p w:rsidR="00B56AA5" w:rsidRPr="00FC6804" w:rsidRDefault="00B56AA5" w:rsidP="00C65BF0">
            <w:pPr>
              <w:spacing w:before="60" w:after="60"/>
              <w:jc w:val="center"/>
              <w:rPr>
                <w:rFonts w:ascii="Arial" w:hAnsi="Arial" w:cs="Arial"/>
                <w:sz w:val="20"/>
                <w:szCs w:val="20"/>
              </w:rPr>
            </w:pPr>
            <w:r w:rsidRPr="00FC6804">
              <w:rPr>
                <w:rFonts w:ascii="Arial" w:hAnsi="Arial" w:cs="Arial"/>
                <w:sz w:val="20"/>
                <w:szCs w:val="20"/>
              </w:rPr>
              <w:t>175</w:t>
            </w:r>
          </w:p>
        </w:tc>
        <w:tc>
          <w:tcPr>
            <w:tcW w:w="2835" w:type="dxa"/>
          </w:tcPr>
          <w:p w:rsidR="00B56AA5" w:rsidRPr="00FC6804" w:rsidRDefault="00B56AA5" w:rsidP="00C65BF0">
            <w:pPr>
              <w:spacing w:before="60" w:after="60"/>
              <w:jc w:val="center"/>
              <w:rPr>
                <w:rFonts w:ascii="Arial" w:hAnsi="Arial" w:cs="Arial"/>
                <w:sz w:val="20"/>
                <w:szCs w:val="20"/>
              </w:rPr>
            </w:pPr>
            <w:r w:rsidRPr="00FC6804">
              <w:rPr>
                <w:rFonts w:ascii="Arial" w:hAnsi="Arial" w:cs="Arial"/>
                <w:sz w:val="20"/>
                <w:szCs w:val="20"/>
              </w:rPr>
              <w:t>157.17</w:t>
            </w:r>
          </w:p>
        </w:tc>
        <w:tc>
          <w:tcPr>
            <w:tcW w:w="2835" w:type="dxa"/>
          </w:tcPr>
          <w:p w:rsidR="00B56AA5" w:rsidRPr="00FC6804" w:rsidRDefault="00B56AA5" w:rsidP="00C65BF0">
            <w:pPr>
              <w:spacing w:before="60" w:after="60"/>
              <w:jc w:val="center"/>
              <w:rPr>
                <w:rFonts w:ascii="Arial" w:hAnsi="Arial" w:cs="Arial"/>
                <w:sz w:val="20"/>
                <w:szCs w:val="20"/>
              </w:rPr>
            </w:pPr>
            <w:r w:rsidRPr="00FC6804">
              <w:rPr>
                <w:rFonts w:ascii="Arial" w:hAnsi="Arial" w:cs="Arial"/>
                <w:sz w:val="20"/>
                <w:szCs w:val="20"/>
              </w:rPr>
              <w:t>10</w:t>
            </w:r>
          </w:p>
        </w:tc>
      </w:tr>
      <w:tr w:rsidR="00B56AA5" w:rsidRPr="00FC6804" w:rsidTr="00C65BF0">
        <w:tc>
          <w:tcPr>
            <w:tcW w:w="2660" w:type="dxa"/>
            <w:vAlign w:val="bottom"/>
          </w:tcPr>
          <w:p w:rsidR="00B56AA5" w:rsidRPr="00FC6804" w:rsidRDefault="00B56AA5" w:rsidP="00C65BF0">
            <w:pPr>
              <w:spacing w:before="60" w:after="60"/>
              <w:rPr>
                <w:rFonts w:ascii="Arial" w:hAnsi="Arial" w:cs="Arial"/>
                <w:color w:val="000000"/>
                <w:sz w:val="20"/>
                <w:szCs w:val="20"/>
              </w:rPr>
            </w:pPr>
            <w:r w:rsidRPr="00FC6804">
              <w:rPr>
                <w:rFonts w:ascii="Arial" w:hAnsi="Arial" w:cs="Arial"/>
                <w:color w:val="000000"/>
                <w:sz w:val="20"/>
                <w:szCs w:val="20"/>
              </w:rPr>
              <w:t>Meat Transport Vehicle</w:t>
            </w:r>
          </w:p>
        </w:tc>
        <w:tc>
          <w:tcPr>
            <w:tcW w:w="2835" w:type="dxa"/>
            <w:vAlign w:val="bottom"/>
          </w:tcPr>
          <w:p w:rsidR="00B56AA5" w:rsidRPr="00FC6804" w:rsidRDefault="00B56AA5" w:rsidP="00C65BF0">
            <w:pPr>
              <w:spacing w:before="60" w:after="60"/>
              <w:jc w:val="center"/>
              <w:rPr>
                <w:rFonts w:ascii="Arial" w:hAnsi="Arial" w:cs="Arial"/>
                <w:sz w:val="20"/>
                <w:szCs w:val="20"/>
              </w:rPr>
            </w:pPr>
            <w:r w:rsidRPr="00FC6804">
              <w:rPr>
                <w:rFonts w:ascii="Arial" w:hAnsi="Arial" w:cs="Arial"/>
                <w:sz w:val="20"/>
                <w:szCs w:val="20"/>
              </w:rPr>
              <w:t>775,619</w:t>
            </w:r>
          </w:p>
        </w:tc>
        <w:tc>
          <w:tcPr>
            <w:tcW w:w="2835" w:type="dxa"/>
            <w:vAlign w:val="bottom"/>
          </w:tcPr>
          <w:p w:rsidR="00B56AA5" w:rsidRPr="00FC6804" w:rsidRDefault="00B56AA5" w:rsidP="00C65BF0">
            <w:pPr>
              <w:spacing w:before="60" w:after="60"/>
              <w:jc w:val="center"/>
              <w:rPr>
                <w:rFonts w:ascii="Arial" w:hAnsi="Arial" w:cs="Arial"/>
                <w:sz w:val="20"/>
                <w:szCs w:val="20"/>
              </w:rPr>
            </w:pPr>
            <w:r w:rsidRPr="00FC6804">
              <w:rPr>
                <w:rFonts w:ascii="Arial" w:hAnsi="Arial" w:cs="Arial"/>
                <w:sz w:val="20"/>
                <w:szCs w:val="20"/>
              </w:rPr>
              <w:t>4,935</w:t>
            </w:r>
          </w:p>
        </w:tc>
        <w:tc>
          <w:tcPr>
            <w:tcW w:w="2835" w:type="dxa"/>
            <w:vAlign w:val="bottom"/>
          </w:tcPr>
          <w:p w:rsidR="00B56AA5" w:rsidRPr="00FC6804" w:rsidRDefault="00B56AA5" w:rsidP="00C65BF0">
            <w:pPr>
              <w:spacing w:before="60" w:after="60"/>
              <w:jc w:val="center"/>
              <w:rPr>
                <w:rFonts w:ascii="Arial" w:hAnsi="Arial" w:cs="Arial"/>
                <w:sz w:val="20"/>
                <w:szCs w:val="20"/>
              </w:rPr>
            </w:pPr>
            <w:r w:rsidRPr="00FC6804">
              <w:rPr>
                <w:rFonts w:ascii="Arial" w:hAnsi="Arial" w:cs="Arial"/>
                <w:sz w:val="20"/>
                <w:szCs w:val="20"/>
              </w:rPr>
              <w:t>157.17</w:t>
            </w:r>
          </w:p>
        </w:tc>
        <w:tc>
          <w:tcPr>
            <w:tcW w:w="2835" w:type="dxa"/>
            <w:vAlign w:val="bottom"/>
          </w:tcPr>
          <w:p w:rsidR="00B56AA5" w:rsidRPr="00FC6804" w:rsidRDefault="00B56AA5" w:rsidP="00C65BF0">
            <w:pPr>
              <w:spacing w:before="60" w:after="60"/>
              <w:jc w:val="center"/>
              <w:rPr>
                <w:rFonts w:ascii="Arial" w:hAnsi="Arial" w:cs="Arial"/>
                <w:sz w:val="20"/>
                <w:szCs w:val="20"/>
              </w:rPr>
            </w:pPr>
            <w:r w:rsidRPr="00FC6804">
              <w:rPr>
                <w:rFonts w:ascii="Arial" w:hAnsi="Arial" w:cs="Arial"/>
                <w:sz w:val="20"/>
                <w:szCs w:val="20"/>
              </w:rPr>
              <w:t>114</w:t>
            </w:r>
          </w:p>
        </w:tc>
      </w:tr>
      <w:tr w:rsidR="00B56AA5" w:rsidRPr="00FC6804" w:rsidTr="00C65BF0">
        <w:tc>
          <w:tcPr>
            <w:tcW w:w="14000" w:type="dxa"/>
            <w:gridSpan w:val="5"/>
            <w:shd w:val="clear" w:color="auto" w:fill="D9D9D9" w:themeFill="background1" w:themeFillShade="D9"/>
            <w:vAlign w:val="bottom"/>
          </w:tcPr>
          <w:p w:rsidR="00B56AA5" w:rsidRPr="00FC6804" w:rsidRDefault="00B56AA5" w:rsidP="00C65BF0">
            <w:pPr>
              <w:spacing w:before="60" w:after="60"/>
              <w:rPr>
                <w:rFonts w:ascii="Arial" w:hAnsi="Arial" w:cs="Arial"/>
                <w:b/>
                <w:i/>
                <w:sz w:val="20"/>
                <w:szCs w:val="20"/>
              </w:rPr>
            </w:pPr>
            <w:r w:rsidRPr="00FC6804">
              <w:rPr>
                <w:rFonts w:ascii="Arial" w:hAnsi="Arial" w:cs="Arial"/>
                <w:b/>
                <w:i/>
                <w:sz w:val="20"/>
                <w:szCs w:val="20"/>
              </w:rPr>
              <w:t>Seafood industry</w:t>
            </w:r>
          </w:p>
        </w:tc>
      </w:tr>
      <w:tr w:rsidR="00804420" w:rsidRPr="00FC6804" w:rsidTr="00C65BF0">
        <w:tc>
          <w:tcPr>
            <w:tcW w:w="2660" w:type="dxa"/>
            <w:vAlign w:val="bottom"/>
          </w:tcPr>
          <w:p w:rsidR="00804420" w:rsidRPr="00FC6804" w:rsidRDefault="00804420" w:rsidP="00C65BF0">
            <w:pPr>
              <w:spacing w:before="60" w:after="60"/>
              <w:rPr>
                <w:rFonts w:ascii="Arial" w:hAnsi="Arial" w:cs="Arial"/>
                <w:color w:val="000000"/>
                <w:sz w:val="20"/>
                <w:szCs w:val="20"/>
              </w:rPr>
            </w:pPr>
            <w:r w:rsidRPr="00FC6804">
              <w:rPr>
                <w:rFonts w:ascii="Arial" w:hAnsi="Arial" w:cs="Arial"/>
                <w:color w:val="000000"/>
                <w:sz w:val="20"/>
                <w:szCs w:val="20"/>
              </w:rPr>
              <w:t>Seafood Processing</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84,554</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148</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571.31</w:t>
            </w:r>
          </w:p>
        </w:tc>
        <w:tc>
          <w:tcPr>
            <w:tcW w:w="2835" w:type="dxa"/>
          </w:tcPr>
          <w:p w:rsidR="00804420" w:rsidRPr="00FC6804" w:rsidRDefault="00C65BF0" w:rsidP="00C65BF0">
            <w:pPr>
              <w:spacing w:before="60" w:after="60"/>
              <w:jc w:val="center"/>
              <w:rPr>
                <w:rFonts w:ascii="Arial" w:hAnsi="Arial" w:cs="Arial"/>
                <w:sz w:val="20"/>
                <w:szCs w:val="20"/>
              </w:rPr>
            </w:pPr>
            <w:r w:rsidRPr="00FC6804">
              <w:rPr>
                <w:rFonts w:ascii="Arial" w:hAnsi="Arial" w:cs="Arial"/>
                <w:sz w:val="20"/>
                <w:szCs w:val="20"/>
              </w:rPr>
              <w:t xml:space="preserve">820 - </w:t>
            </w:r>
            <w:r w:rsidR="00804420" w:rsidRPr="00FC6804">
              <w:rPr>
                <w:rFonts w:ascii="Arial" w:hAnsi="Arial" w:cs="Arial"/>
                <w:sz w:val="20"/>
                <w:szCs w:val="20"/>
              </w:rPr>
              <w:t>8,109</w:t>
            </w:r>
            <w:r w:rsidR="006D5391" w:rsidRPr="00FC6804">
              <w:rPr>
                <w:rFonts w:ascii="Arial" w:hAnsi="Arial" w:cs="Arial"/>
                <w:sz w:val="20"/>
                <w:szCs w:val="20"/>
              </w:rPr>
              <w:t xml:space="preserve"> </w:t>
            </w:r>
            <w:r w:rsidR="006D5391" w:rsidRPr="00FC6804">
              <w:rPr>
                <w:rFonts w:ascii="Arial" w:hAnsi="Arial" w:cs="Arial"/>
                <w:i/>
                <w:sz w:val="20"/>
                <w:szCs w:val="20"/>
              </w:rPr>
              <w:t>(Ave 1,889)</w:t>
            </w:r>
          </w:p>
        </w:tc>
      </w:tr>
      <w:tr w:rsidR="00804420" w:rsidRPr="00FC6804" w:rsidTr="00C65BF0">
        <w:tc>
          <w:tcPr>
            <w:tcW w:w="2660" w:type="dxa"/>
            <w:vAlign w:val="bottom"/>
          </w:tcPr>
          <w:p w:rsidR="00804420" w:rsidRPr="00FC6804" w:rsidRDefault="00804420" w:rsidP="00C65BF0">
            <w:pPr>
              <w:spacing w:before="60" w:after="60"/>
              <w:rPr>
                <w:rFonts w:ascii="Arial" w:hAnsi="Arial" w:cs="Arial"/>
                <w:color w:val="000000"/>
                <w:sz w:val="20"/>
                <w:szCs w:val="20"/>
              </w:rPr>
            </w:pPr>
            <w:r w:rsidRPr="00FC6804">
              <w:rPr>
                <w:rFonts w:ascii="Arial" w:hAnsi="Arial" w:cs="Arial"/>
                <w:color w:val="000000"/>
                <w:sz w:val="20"/>
                <w:szCs w:val="20"/>
              </w:rPr>
              <w:t>Seafood Retailer</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116,365</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208</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559.45</w:t>
            </w:r>
          </w:p>
        </w:tc>
        <w:tc>
          <w:tcPr>
            <w:tcW w:w="2835" w:type="dxa"/>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615</w:t>
            </w:r>
          </w:p>
        </w:tc>
      </w:tr>
      <w:tr w:rsidR="00804420" w:rsidRPr="00FC6804" w:rsidTr="00C65BF0">
        <w:tc>
          <w:tcPr>
            <w:tcW w:w="2660" w:type="dxa"/>
            <w:vAlign w:val="bottom"/>
          </w:tcPr>
          <w:p w:rsidR="00804420" w:rsidRPr="00FC6804" w:rsidRDefault="00804420" w:rsidP="00C65BF0">
            <w:pPr>
              <w:spacing w:before="60" w:after="60"/>
              <w:rPr>
                <w:rFonts w:ascii="Arial" w:hAnsi="Arial" w:cs="Arial"/>
                <w:color w:val="000000"/>
                <w:sz w:val="20"/>
                <w:szCs w:val="20"/>
              </w:rPr>
            </w:pPr>
            <w:r w:rsidRPr="00FC6804">
              <w:rPr>
                <w:rFonts w:ascii="Arial" w:hAnsi="Arial" w:cs="Arial"/>
                <w:color w:val="000000"/>
                <w:sz w:val="20"/>
                <w:szCs w:val="20"/>
              </w:rPr>
              <w:t>Wildcatch</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85,303</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217</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393.10</w:t>
            </w:r>
          </w:p>
        </w:tc>
        <w:tc>
          <w:tcPr>
            <w:tcW w:w="2835" w:type="dxa"/>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555</w:t>
            </w:r>
          </w:p>
        </w:tc>
      </w:tr>
      <w:tr w:rsidR="00804420" w:rsidRPr="00FC6804" w:rsidTr="00C65BF0">
        <w:tc>
          <w:tcPr>
            <w:tcW w:w="2660" w:type="dxa"/>
            <w:vAlign w:val="bottom"/>
          </w:tcPr>
          <w:p w:rsidR="00804420" w:rsidRPr="00FC6804" w:rsidRDefault="00804420" w:rsidP="00C65BF0">
            <w:pPr>
              <w:spacing w:before="60" w:after="60"/>
              <w:rPr>
                <w:rFonts w:ascii="Arial" w:hAnsi="Arial" w:cs="Arial"/>
                <w:color w:val="000000"/>
                <w:sz w:val="20"/>
                <w:szCs w:val="20"/>
              </w:rPr>
            </w:pPr>
            <w:r w:rsidRPr="00FC6804">
              <w:rPr>
                <w:rFonts w:ascii="Arial" w:hAnsi="Arial" w:cs="Arial"/>
                <w:color w:val="000000"/>
                <w:sz w:val="20"/>
                <w:szCs w:val="20"/>
              </w:rPr>
              <w:t>Aquaculture</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23.041</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19</w:t>
            </w:r>
          </w:p>
        </w:tc>
        <w:tc>
          <w:tcPr>
            <w:tcW w:w="2835" w:type="dxa"/>
            <w:vAlign w:val="bottom"/>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1,212.67</w:t>
            </w:r>
          </w:p>
        </w:tc>
        <w:tc>
          <w:tcPr>
            <w:tcW w:w="2835" w:type="dxa"/>
          </w:tcPr>
          <w:p w:rsidR="00804420" w:rsidRPr="00FC6804" w:rsidRDefault="00804420" w:rsidP="00C65BF0">
            <w:pPr>
              <w:spacing w:before="60" w:after="60"/>
              <w:jc w:val="center"/>
              <w:rPr>
                <w:rFonts w:ascii="Arial" w:hAnsi="Arial" w:cs="Arial"/>
                <w:sz w:val="20"/>
                <w:szCs w:val="20"/>
              </w:rPr>
            </w:pPr>
            <w:r w:rsidRPr="00FC6804">
              <w:rPr>
                <w:rFonts w:ascii="Arial" w:hAnsi="Arial" w:cs="Arial"/>
                <w:sz w:val="20"/>
                <w:szCs w:val="20"/>
              </w:rPr>
              <w:t>465</w:t>
            </w:r>
          </w:p>
        </w:tc>
      </w:tr>
      <w:tr w:rsidR="00804420" w:rsidRPr="00FC6804" w:rsidTr="00C65BF0">
        <w:tc>
          <w:tcPr>
            <w:tcW w:w="2660" w:type="dxa"/>
            <w:vAlign w:val="bottom"/>
          </w:tcPr>
          <w:p w:rsidR="00804420" w:rsidRPr="00FC6804" w:rsidRDefault="00804420" w:rsidP="00C65BF0">
            <w:pPr>
              <w:spacing w:before="60" w:after="60"/>
              <w:rPr>
                <w:rFonts w:ascii="Arial" w:hAnsi="Arial" w:cs="Arial"/>
                <w:b/>
                <w:color w:val="000000"/>
                <w:sz w:val="20"/>
                <w:szCs w:val="20"/>
              </w:rPr>
            </w:pPr>
            <w:r w:rsidRPr="00FC6804">
              <w:rPr>
                <w:rFonts w:ascii="Arial" w:hAnsi="Arial" w:cs="Arial"/>
                <w:b/>
                <w:color w:val="000000"/>
                <w:sz w:val="20"/>
                <w:szCs w:val="20"/>
              </w:rPr>
              <w:t>Total</w:t>
            </w:r>
          </w:p>
        </w:tc>
        <w:tc>
          <w:tcPr>
            <w:tcW w:w="2835" w:type="dxa"/>
          </w:tcPr>
          <w:p w:rsidR="00804420" w:rsidRPr="00FC6804" w:rsidRDefault="00804420" w:rsidP="00C65BF0">
            <w:pPr>
              <w:spacing w:before="60" w:after="60"/>
              <w:jc w:val="center"/>
              <w:rPr>
                <w:rFonts w:ascii="Arial" w:hAnsi="Arial" w:cs="Arial"/>
                <w:b/>
                <w:sz w:val="20"/>
                <w:szCs w:val="20"/>
              </w:rPr>
            </w:pPr>
            <w:r w:rsidRPr="00FC6804">
              <w:rPr>
                <w:rFonts w:ascii="Arial" w:hAnsi="Arial" w:cs="Arial"/>
                <w:b/>
                <w:sz w:val="20"/>
                <w:szCs w:val="20"/>
              </w:rPr>
              <w:t>2,505,654</w:t>
            </w:r>
          </w:p>
        </w:tc>
        <w:tc>
          <w:tcPr>
            <w:tcW w:w="2835" w:type="dxa"/>
            <w:vAlign w:val="bottom"/>
          </w:tcPr>
          <w:p w:rsidR="00804420" w:rsidRPr="00FC6804" w:rsidRDefault="00804420" w:rsidP="00C65BF0">
            <w:pPr>
              <w:spacing w:before="60" w:after="60"/>
              <w:jc w:val="center"/>
              <w:rPr>
                <w:rFonts w:ascii="Arial" w:hAnsi="Arial" w:cs="Arial"/>
                <w:b/>
                <w:sz w:val="20"/>
                <w:szCs w:val="20"/>
              </w:rPr>
            </w:pPr>
            <w:r w:rsidRPr="00FC6804">
              <w:rPr>
                <w:rFonts w:ascii="Arial" w:hAnsi="Arial" w:cs="Arial"/>
                <w:b/>
                <w:sz w:val="20"/>
                <w:szCs w:val="20"/>
              </w:rPr>
              <w:t>7,156</w:t>
            </w:r>
          </w:p>
        </w:tc>
        <w:tc>
          <w:tcPr>
            <w:tcW w:w="2835" w:type="dxa"/>
          </w:tcPr>
          <w:p w:rsidR="00804420" w:rsidRPr="00FC6804" w:rsidRDefault="00804420" w:rsidP="00C65BF0">
            <w:pPr>
              <w:spacing w:before="60" w:after="60"/>
              <w:jc w:val="center"/>
              <w:rPr>
                <w:rFonts w:ascii="Arial" w:hAnsi="Arial" w:cs="Arial"/>
                <w:b/>
                <w:sz w:val="20"/>
                <w:szCs w:val="20"/>
              </w:rPr>
            </w:pPr>
            <w:r w:rsidRPr="00FC6804">
              <w:rPr>
                <w:rFonts w:ascii="Arial" w:hAnsi="Arial" w:cs="Arial"/>
                <w:b/>
                <w:sz w:val="20"/>
                <w:szCs w:val="20"/>
              </w:rPr>
              <w:t>350.15</w:t>
            </w:r>
          </w:p>
        </w:tc>
        <w:tc>
          <w:tcPr>
            <w:tcW w:w="2835" w:type="dxa"/>
          </w:tcPr>
          <w:p w:rsidR="00804420" w:rsidRPr="00FC6804" w:rsidRDefault="00804420" w:rsidP="00C65BF0">
            <w:pPr>
              <w:spacing w:before="60" w:after="60"/>
              <w:jc w:val="center"/>
              <w:rPr>
                <w:rFonts w:ascii="Arial" w:hAnsi="Arial" w:cs="Arial"/>
                <w:b/>
                <w:sz w:val="20"/>
                <w:szCs w:val="20"/>
              </w:rPr>
            </w:pPr>
          </w:p>
        </w:tc>
      </w:tr>
    </w:tbl>
    <w:p w:rsidR="00C65BF0" w:rsidRPr="00FC6804" w:rsidRDefault="00C65BF0" w:rsidP="00936D3A">
      <w:pPr>
        <w:sectPr w:rsidR="00C65BF0" w:rsidRPr="00FC6804" w:rsidSect="00C65BF0">
          <w:pgSz w:w="16838" w:h="11906" w:orient="landscape" w:code="9"/>
          <w:pgMar w:top="1440" w:right="1440" w:bottom="1440" w:left="1440" w:header="567" w:footer="567" w:gutter="0"/>
          <w:cols w:space="708"/>
          <w:docGrid w:linePitch="360"/>
        </w:sectPr>
      </w:pPr>
    </w:p>
    <w:p w:rsidR="00C92BEE" w:rsidRPr="00FC6804" w:rsidRDefault="0005227D" w:rsidP="009A19C1">
      <w:pPr>
        <w:spacing w:after="0" w:line="240" w:lineRule="auto"/>
        <w:rPr>
          <w:rFonts w:ascii="Arial" w:hAnsi="Arial" w:cs="Arial"/>
          <w:sz w:val="20"/>
          <w:szCs w:val="20"/>
        </w:rPr>
      </w:pPr>
      <w:r w:rsidRPr="00FC6804">
        <w:rPr>
          <w:rFonts w:ascii="Arial" w:hAnsi="Arial" w:cs="Arial"/>
          <w:sz w:val="20"/>
          <w:szCs w:val="20"/>
        </w:rPr>
        <w:t xml:space="preserve">Notwithstanding the limitations of the available cost data, as noted above, </w:t>
      </w:r>
      <w:r w:rsidR="00E876B6" w:rsidRPr="00FC6804">
        <w:rPr>
          <w:rFonts w:ascii="Arial" w:hAnsi="Arial" w:cs="Arial"/>
          <w:sz w:val="20"/>
          <w:szCs w:val="20"/>
        </w:rPr>
        <w:t xml:space="preserve">Table </w:t>
      </w:r>
      <w:r w:rsidR="00037A89">
        <w:rPr>
          <w:rFonts w:ascii="Arial" w:hAnsi="Arial" w:cs="Arial"/>
          <w:sz w:val="20"/>
          <w:szCs w:val="20"/>
        </w:rPr>
        <w:t>5</w:t>
      </w:r>
      <w:r w:rsidR="00E876B6" w:rsidRPr="00FC6804">
        <w:rPr>
          <w:rFonts w:ascii="Arial" w:hAnsi="Arial" w:cs="Arial"/>
          <w:sz w:val="20"/>
          <w:szCs w:val="20"/>
        </w:rPr>
        <w:t>.</w:t>
      </w:r>
      <w:r w:rsidR="00C11A36" w:rsidRPr="00FC6804">
        <w:rPr>
          <w:rFonts w:ascii="Arial" w:hAnsi="Arial" w:cs="Arial"/>
          <w:sz w:val="20"/>
          <w:szCs w:val="20"/>
        </w:rPr>
        <w:t xml:space="preserve">3 </w:t>
      </w:r>
      <w:r w:rsidR="00E876B6" w:rsidRPr="00FC6804">
        <w:rPr>
          <w:rFonts w:ascii="Arial" w:hAnsi="Arial" w:cs="Arial"/>
          <w:sz w:val="20"/>
          <w:szCs w:val="20"/>
        </w:rPr>
        <w:t>indicates that there are significant differences in cost recovery leve</w:t>
      </w:r>
      <w:r w:rsidR="009A19C1" w:rsidRPr="00FC6804">
        <w:rPr>
          <w:rFonts w:ascii="Arial" w:hAnsi="Arial" w:cs="Arial"/>
          <w:sz w:val="20"/>
          <w:szCs w:val="20"/>
        </w:rPr>
        <w:t xml:space="preserve">ls between licence categories. </w:t>
      </w:r>
      <w:r w:rsidR="006D5391" w:rsidRPr="00FC6804">
        <w:rPr>
          <w:rFonts w:ascii="Arial" w:hAnsi="Arial" w:cs="Arial"/>
          <w:sz w:val="20"/>
          <w:szCs w:val="20"/>
        </w:rPr>
        <w:t>Prime</w:t>
      </w:r>
      <w:r w:rsidR="009A19C1" w:rsidRPr="00FC6804">
        <w:rPr>
          <w:rFonts w:ascii="Arial" w:hAnsi="Arial" w:cs="Arial"/>
          <w:sz w:val="20"/>
          <w:szCs w:val="20"/>
        </w:rPr>
        <w:t>S</w:t>
      </w:r>
      <w:r w:rsidR="006D5391" w:rsidRPr="00FC6804">
        <w:rPr>
          <w:rFonts w:ascii="Arial" w:hAnsi="Arial" w:cs="Arial"/>
          <w:sz w:val="20"/>
          <w:szCs w:val="20"/>
        </w:rPr>
        <w:t>afe’s Board has determined that, in future fee</w:t>
      </w:r>
      <w:r w:rsidR="006378CF">
        <w:rPr>
          <w:rFonts w:ascii="Arial" w:hAnsi="Arial" w:cs="Arial"/>
          <w:sz w:val="20"/>
          <w:szCs w:val="20"/>
        </w:rPr>
        <w:t xml:space="preserve"> </w:t>
      </w:r>
      <w:r w:rsidR="006D5391" w:rsidRPr="00FC6804">
        <w:rPr>
          <w:rFonts w:ascii="Arial" w:hAnsi="Arial" w:cs="Arial"/>
          <w:sz w:val="20"/>
          <w:szCs w:val="20"/>
        </w:rPr>
        <w:t>setting, full cost recovery principles should be given greater weight at the level of individual</w:t>
      </w:r>
      <w:r w:rsidR="006378CF">
        <w:rPr>
          <w:rFonts w:ascii="Arial" w:hAnsi="Arial" w:cs="Arial"/>
          <w:sz w:val="20"/>
          <w:szCs w:val="20"/>
        </w:rPr>
        <w:t>ly</w:t>
      </w:r>
      <w:r w:rsidR="006D5391" w:rsidRPr="00FC6804">
        <w:rPr>
          <w:rFonts w:ascii="Arial" w:hAnsi="Arial" w:cs="Arial"/>
          <w:sz w:val="20"/>
          <w:szCs w:val="20"/>
        </w:rPr>
        <w:t xml:space="preserve"> regul</w:t>
      </w:r>
      <w:r w:rsidR="009A19C1" w:rsidRPr="00FC6804">
        <w:rPr>
          <w:rFonts w:ascii="Arial" w:hAnsi="Arial" w:cs="Arial"/>
          <w:sz w:val="20"/>
          <w:szCs w:val="20"/>
        </w:rPr>
        <w:t xml:space="preserve">ated entities and sub-sectors. </w:t>
      </w:r>
      <w:r w:rsidR="006D5391" w:rsidRPr="00FC6804">
        <w:rPr>
          <w:rFonts w:ascii="Arial" w:hAnsi="Arial" w:cs="Arial"/>
          <w:sz w:val="20"/>
          <w:szCs w:val="20"/>
        </w:rPr>
        <w:t xml:space="preserve">This implies that the extent of the cross subsidies arising out of the adoption of the ability to pay principle should be reduced over time, consistent with the Victorian </w:t>
      </w:r>
      <w:r w:rsidR="009A19C1" w:rsidRPr="00FC6804">
        <w:rPr>
          <w:rFonts w:ascii="Arial" w:hAnsi="Arial" w:cs="Arial"/>
          <w:sz w:val="20"/>
          <w:szCs w:val="20"/>
        </w:rPr>
        <w:t>Government’s</w:t>
      </w:r>
      <w:r w:rsidR="006D5391" w:rsidRPr="00FC6804">
        <w:rPr>
          <w:rFonts w:ascii="Arial" w:hAnsi="Arial" w:cs="Arial"/>
          <w:sz w:val="20"/>
          <w:szCs w:val="20"/>
        </w:rPr>
        <w:t xml:space="preserve"> Cost Recovery Guidelines</w:t>
      </w:r>
      <w:r w:rsidR="006D5391" w:rsidRPr="00FC6804">
        <w:rPr>
          <w:rStyle w:val="FootnoteReference"/>
          <w:rFonts w:ascii="Arial" w:hAnsi="Arial" w:cs="Arial"/>
          <w:sz w:val="20"/>
          <w:szCs w:val="20"/>
        </w:rPr>
        <w:footnoteReference w:id="17"/>
      </w:r>
      <w:r w:rsidR="006D5391" w:rsidRPr="00FC6804">
        <w:rPr>
          <w:rFonts w:ascii="Arial" w:hAnsi="Arial" w:cs="Arial"/>
          <w:sz w:val="20"/>
          <w:szCs w:val="20"/>
        </w:rPr>
        <w:t xml:space="preserve">. </w:t>
      </w:r>
      <w:r w:rsidR="00E876B6" w:rsidRPr="00FC6804">
        <w:rPr>
          <w:rFonts w:ascii="Arial" w:hAnsi="Arial" w:cs="Arial"/>
          <w:sz w:val="20"/>
          <w:szCs w:val="20"/>
        </w:rPr>
        <w:t xml:space="preserve">  </w:t>
      </w:r>
    </w:p>
    <w:p w:rsidR="009A19C1" w:rsidRPr="00FC6804" w:rsidRDefault="009A19C1" w:rsidP="009A19C1">
      <w:pPr>
        <w:spacing w:after="0" w:line="240" w:lineRule="auto"/>
        <w:rPr>
          <w:rFonts w:ascii="Arial" w:hAnsi="Arial" w:cs="Arial"/>
          <w:sz w:val="20"/>
          <w:szCs w:val="20"/>
        </w:rPr>
      </w:pPr>
    </w:p>
    <w:p w:rsidR="00C92BEE" w:rsidRPr="00FC6804" w:rsidRDefault="00C92BEE" w:rsidP="009A19C1">
      <w:pPr>
        <w:spacing w:after="0" w:line="240" w:lineRule="auto"/>
        <w:rPr>
          <w:rFonts w:ascii="Arial" w:hAnsi="Arial" w:cs="Arial"/>
          <w:sz w:val="20"/>
          <w:szCs w:val="20"/>
        </w:rPr>
      </w:pPr>
      <w:r w:rsidRPr="00FC6804">
        <w:rPr>
          <w:rFonts w:ascii="Arial" w:hAnsi="Arial" w:cs="Arial"/>
          <w:sz w:val="20"/>
          <w:szCs w:val="20"/>
        </w:rPr>
        <w:t xml:space="preserve">While there is a clear need to move to better align fees and costs within and between licence categories, there are also significant arguments in favour of making these changes </w:t>
      </w:r>
      <w:r w:rsidR="006D5391" w:rsidRPr="00FC6804">
        <w:rPr>
          <w:rFonts w:ascii="Arial" w:hAnsi="Arial" w:cs="Arial"/>
          <w:sz w:val="20"/>
          <w:szCs w:val="20"/>
        </w:rPr>
        <w:t>progressively</w:t>
      </w:r>
      <w:r w:rsidRPr="00FC6804">
        <w:rPr>
          <w:rFonts w:ascii="Arial" w:hAnsi="Arial" w:cs="Arial"/>
          <w:sz w:val="20"/>
          <w:szCs w:val="20"/>
        </w:rPr>
        <w:t>.  Firstly, consideration must continue to be given to competing considerations that have been weighed to date, notably that of whether further moves to align fees and costs between and within licence categories appears to be giving rise to conc</w:t>
      </w:r>
      <w:r w:rsidR="009A19C1" w:rsidRPr="00FC6804">
        <w:rPr>
          <w:rFonts w:ascii="Arial" w:hAnsi="Arial" w:cs="Arial"/>
          <w:sz w:val="20"/>
          <w:szCs w:val="20"/>
        </w:rPr>
        <w:t xml:space="preserve">erns regarding ability to pay. </w:t>
      </w:r>
      <w:r w:rsidRPr="00FC6804">
        <w:rPr>
          <w:rFonts w:ascii="Arial" w:hAnsi="Arial" w:cs="Arial"/>
          <w:sz w:val="20"/>
          <w:szCs w:val="20"/>
        </w:rPr>
        <w:t>Of note in this context is the inter-dependencies that exist between bus</w:t>
      </w:r>
      <w:r w:rsidR="009A19C1" w:rsidRPr="00FC6804">
        <w:rPr>
          <w:rFonts w:ascii="Arial" w:hAnsi="Arial" w:cs="Arial"/>
          <w:sz w:val="20"/>
          <w:szCs w:val="20"/>
        </w:rPr>
        <w:t xml:space="preserve">inesses in licence categories. </w:t>
      </w:r>
      <w:r w:rsidRPr="00FC6804">
        <w:rPr>
          <w:rFonts w:ascii="Arial" w:hAnsi="Arial" w:cs="Arial"/>
          <w:sz w:val="20"/>
          <w:szCs w:val="20"/>
        </w:rPr>
        <w:t>For example, larger abattoirs and meat processors have historically been willing to pay relatively higher fees that, in effect, cross-subsidise retail butcher</w:t>
      </w:r>
      <w:r w:rsidR="006A7A0B">
        <w:rPr>
          <w:rFonts w:ascii="Arial" w:hAnsi="Arial" w:cs="Arial"/>
          <w:sz w:val="20"/>
          <w:szCs w:val="20"/>
        </w:rPr>
        <w:t xml:space="preserve"> </w:t>
      </w:r>
      <w:r w:rsidRPr="00FC6804">
        <w:rPr>
          <w:rFonts w:ascii="Arial" w:hAnsi="Arial" w:cs="Arial"/>
          <w:sz w:val="20"/>
          <w:szCs w:val="20"/>
        </w:rPr>
        <w:t>s</w:t>
      </w:r>
      <w:r w:rsidR="006A7A0B">
        <w:rPr>
          <w:rFonts w:ascii="Arial" w:hAnsi="Arial" w:cs="Arial"/>
          <w:sz w:val="20"/>
          <w:szCs w:val="20"/>
        </w:rPr>
        <w:t>hops</w:t>
      </w:r>
      <w:r w:rsidRPr="00FC6804">
        <w:rPr>
          <w:rFonts w:ascii="Arial" w:hAnsi="Arial" w:cs="Arial"/>
          <w:sz w:val="20"/>
          <w:szCs w:val="20"/>
        </w:rPr>
        <w:t xml:space="preserve"> in large part because of concern that any reduction in </w:t>
      </w:r>
      <w:r w:rsidR="006A7A0B">
        <w:rPr>
          <w:rFonts w:ascii="Arial" w:hAnsi="Arial" w:cs="Arial"/>
          <w:sz w:val="20"/>
          <w:szCs w:val="20"/>
        </w:rPr>
        <w:t xml:space="preserve">retail </w:t>
      </w:r>
      <w:r w:rsidRPr="00FC6804">
        <w:rPr>
          <w:rFonts w:ascii="Arial" w:hAnsi="Arial" w:cs="Arial"/>
          <w:sz w:val="20"/>
          <w:szCs w:val="20"/>
        </w:rPr>
        <w:t>butcher shop numbers due to the imposition of significantly higher fees could have negative impacts on their own businesses</w:t>
      </w:r>
      <w:r w:rsidR="006D5391" w:rsidRPr="00FC6804">
        <w:rPr>
          <w:rFonts w:ascii="Arial" w:hAnsi="Arial" w:cs="Arial"/>
          <w:sz w:val="20"/>
          <w:szCs w:val="20"/>
        </w:rPr>
        <w:t>.</w:t>
      </w:r>
    </w:p>
    <w:p w:rsidR="009A19C1" w:rsidRPr="00FC6804" w:rsidRDefault="009A19C1" w:rsidP="009A19C1">
      <w:pPr>
        <w:spacing w:after="0" w:line="240" w:lineRule="auto"/>
        <w:rPr>
          <w:rFonts w:ascii="Arial" w:hAnsi="Arial" w:cs="Arial"/>
          <w:sz w:val="20"/>
          <w:szCs w:val="20"/>
        </w:rPr>
      </w:pPr>
    </w:p>
    <w:p w:rsidR="00C92BEE" w:rsidRPr="00FC6804" w:rsidRDefault="00C92BEE" w:rsidP="009A19C1">
      <w:pPr>
        <w:spacing w:after="0" w:line="240" w:lineRule="auto"/>
        <w:rPr>
          <w:rFonts w:ascii="Arial" w:hAnsi="Arial" w:cs="Arial"/>
          <w:sz w:val="20"/>
          <w:szCs w:val="20"/>
        </w:rPr>
      </w:pPr>
      <w:r w:rsidRPr="00FC6804">
        <w:rPr>
          <w:rFonts w:ascii="Arial" w:hAnsi="Arial" w:cs="Arial"/>
          <w:sz w:val="20"/>
          <w:szCs w:val="20"/>
        </w:rPr>
        <w:t>Secondly, there is a need to continue to improve and refine Prime</w:t>
      </w:r>
      <w:r w:rsidR="009A19C1" w:rsidRPr="00FC6804">
        <w:rPr>
          <w:rFonts w:ascii="Arial" w:hAnsi="Arial" w:cs="Arial"/>
          <w:sz w:val="20"/>
          <w:szCs w:val="20"/>
        </w:rPr>
        <w:t>S</w:t>
      </w:r>
      <w:r w:rsidR="006A7A0B">
        <w:rPr>
          <w:rFonts w:ascii="Arial" w:hAnsi="Arial" w:cs="Arial"/>
          <w:sz w:val="20"/>
          <w:szCs w:val="20"/>
        </w:rPr>
        <w:t xml:space="preserve">afe’s modelling of its costs, </w:t>
      </w:r>
      <w:r w:rsidRPr="00FC6804">
        <w:rPr>
          <w:rFonts w:ascii="Arial" w:hAnsi="Arial" w:cs="Arial"/>
          <w:sz w:val="20"/>
          <w:szCs w:val="20"/>
        </w:rPr>
        <w:t>and in particular, the allocation of costs between and withi</w:t>
      </w:r>
      <w:r w:rsidR="009A19C1" w:rsidRPr="00FC6804">
        <w:rPr>
          <w:rFonts w:ascii="Arial" w:hAnsi="Arial" w:cs="Arial"/>
          <w:sz w:val="20"/>
          <w:szCs w:val="20"/>
        </w:rPr>
        <w:t xml:space="preserve">n different licence categories. </w:t>
      </w:r>
      <w:r w:rsidRPr="00FC6804">
        <w:rPr>
          <w:rFonts w:ascii="Arial" w:hAnsi="Arial" w:cs="Arial"/>
          <w:sz w:val="20"/>
          <w:szCs w:val="20"/>
        </w:rPr>
        <w:t xml:space="preserve">This is likely </w:t>
      </w:r>
      <w:r w:rsidR="0065401D" w:rsidRPr="00FC6804">
        <w:rPr>
          <w:rFonts w:ascii="Arial" w:hAnsi="Arial" w:cs="Arial"/>
          <w:sz w:val="20"/>
          <w:szCs w:val="20"/>
        </w:rPr>
        <w:t xml:space="preserve">to include developing improved modelling of inspection activity, which distinguishes between different types of inspections that require significantly different time inputs to complete and developing a more disaggregated allocation of the CEO/Administration costs – which collectively comprise the majority of total </w:t>
      </w:r>
      <w:r w:rsidR="009A19C1" w:rsidRPr="00FC6804">
        <w:rPr>
          <w:rFonts w:ascii="Arial" w:hAnsi="Arial" w:cs="Arial"/>
          <w:sz w:val="20"/>
          <w:szCs w:val="20"/>
        </w:rPr>
        <w:t>PrimeSafe</w:t>
      </w:r>
      <w:r w:rsidR="0065401D" w:rsidRPr="00FC6804">
        <w:rPr>
          <w:rFonts w:ascii="Arial" w:hAnsi="Arial" w:cs="Arial"/>
          <w:sz w:val="20"/>
          <w:szCs w:val="20"/>
        </w:rPr>
        <w:t xml:space="preserve"> costs – across the licence categories.</w:t>
      </w:r>
    </w:p>
    <w:p w:rsidR="009A19C1" w:rsidRPr="00FC6804" w:rsidRDefault="009A19C1" w:rsidP="009A19C1">
      <w:pPr>
        <w:spacing w:after="0" w:line="240" w:lineRule="auto"/>
        <w:rPr>
          <w:rFonts w:ascii="Arial" w:hAnsi="Arial" w:cs="Arial"/>
          <w:sz w:val="20"/>
          <w:szCs w:val="20"/>
        </w:rPr>
      </w:pPr>
    </w:p>
    <w:p w:rsidR="006D5391" w:rsidRPr="00FC6804" w:rsidRDefault="00C92BEE" w:rsidP="009A19C1">
      <w:pPr>
        <w:spacing w:after="0" w:line="240" w:lineRule="auto"/>
        <w:rPr>
          <w:rFonts w:ascii="Arial" w:hAnsi="Arial" w:cs="Arial"/>
          <w:sz w:val="20"/>
          <w:szCs w:val="20"/>
        </w:rPr>
      </w:pPr>
      <w:r w:rsidRPr="00FC6804">
        <w:rPr>
          <w:rFonts w:ascii="Arial" w:hAnsi="Arial" w:cs="Arial"/>
          <w:sz w:val="20"/>
          <w:szCs w:val="20"/>
        </w:rPr>
        <w:t>Thirdly</w:t>
      </w:r>
      <w:r w:rsidR="0065401D" w:rsidRPr="00FC6804">
        <w:rPr>
          <w:rFonts w:ascii="Arial" w:hAnsi="Arial" w:cs="Arial"/>
          <w:sz w:val="20"/>
          <w:szCs w:val="20"/>
        </w:rPr>
        <w:t xml:space="preserve">, in line with regulatory best practice and as reflected in the previous Ministerial Statement of Expectations, </w:t>
      </w:r>
      <w:r w:rsidR="009A19C1" w:rsidRPr="00FC6804">
        <w:rPr>
          <w:rFonts w:ascii="Arial" w:hAnsi="Arial" w:cs="Arial"/>
          <w:sz w:val="20"/>
          <w:szCs w:val="20"/>
        </w:rPr>
        <w:t>PrimeSafe</w:t>
      </w:r>
      <w:r w:rsidR="0065401D" w:rsidRPr="00FC6804">
        <w:rPr>
          <w:rFonts w:ascii="Arial" w:hAnsi="Arial" w:cs="Arial"/>
          <w:sz w:val="20"/>
          <w:szCs w:val="20"/>
        </w:rPr>
        <w:t xml:space="preserve"> is progressively moving toward a more </w:t>
      </w:r>
      <w:r w:rsidR="00587659" w:rsidRPr="00FC6804">
        <w:rPr>
          <w:rFonts w:ascii="Arial" w:hAnsi="Arial" w:cs="Arial"/>
          <w:sz w:val="20"/>
          <w:szCs w:val="20"/>
        </w:rPr>
        <w:t>risk</w:t>
      </w:r>
      <w:r w:rsidR="006A7A0B">
        <w:rPr>
          <w:rFonts w:ascii="Arial" w:hAnsi="Arial" w:cs="Arial"/>
          <w:sz w:val="20"/>
          <w:szCs w:val="20"/>
        </w:rPr>
        <w:t>-</w:t>
      </w:r>
      <w:r w:rsidR="00587659" w:rsidRPr="00FC6804">
        <w:rPr>
          <w:rFonts w:ascii="Arial" w:hAnsi="Arial" w:cs="Arial"/>
          <w:sz w:val="20"/>
          <w:szCs w:val="20"/>
        </w:rPr>
        <w:t xml:space="preserve">based </w:t>
      </w:r>
      <w:r w:rsidR="0065401D" w:rsidRPr="00FC6804">
        <w:rPr>
          <w:rFonts w:ascii="Arial" w:hAnsi="Arial" w:cs="Arial"/>
          <w:sz w:val="20"/>
          <w:szCs w:val="20"/>
        </w:rPr>
        <w:t>approach to carrying out its regulatory functions</w:t>
      </w:r>
      <w:r w:rsidR="00C11A36" w:rsidRPr="00FC6804">
        <w:rPr>
          <w:rStyle w:val="FootnoteReference"/>
          <w:rFonts w:ascii="Arial" w:hAnsi="Arial" w:cs="Arial"/>
          <w:sz w:val="20"/>
          <w:szCs w:val="20"/>
        </w:rPr>
        <w:footnoteReference w:id="18"/>
      </w:r>
      <w:r w:rsidR="00587659" w:rsidRPr="00FC6804">
        <w:rPr>
          <w:rFonts w:ascii="Arial" w:hAnsi="Arial" w:cs="Arial"/>
          <w:sz w:val="20"/>
          <w:szCs w:val="20"/>
        </w:rPr>
        <w:t>.</w:t>
      </w:r>
      <w:r w:rsidR="009A19C1" w:rsidRPr="00FC6804">
        <w:rPr>
          <w:rFonts w:ascii="Arial" w:hAnsi="Arial" w:cs="Arial"/>
          <w:sz w:val="20"/>
          <w:szCs w:val="20"/>
        </w:rPr>
        <w:t xml:space="preserve"> </w:t>
      </w:r>
      <w:r w:rsidR="0065401D" w:rsidRPr="00FC6804">
        <w:rPr>
          <w:rFonts w:ascii="Arial" w:hAnsi="Arial" w:cs="Arial"/>
          <w:sz w:val="20"/>
          <w:szCs w:val="20"/>
        </w:rPr>
        <w:t xml:space="preserve">Changes in practice resulting from this </w:t>
      </w:r>
      <w:r w:rsidR="00C11A36" w:rsidRPr="00FC6804">
        <w:rPr>
          <w:rFonts w:ascii="Arial" w:hAnsi="Arial" w:cs="Arial"/>
          <w:sz w:val="20"/>
          <w:szCs w:val="20"/>
        </w:rPr>
        <w:t>will necessarily lead to changes in the allocation of resources between licence typ</w:t>
      </w:r>
      <w:r w:rsidR="006A7A0B">
        <w:rPr>
          <w:rFonts w:ascii="Arial" w:hAnsi="Arial" w:cs="Arial"/>
          <w:sz w:val="20"/>
          <w:szCs w:val="20"/>
        </w:rPr>
        <w:t>es and</w:t>
      </w:r>
      <w:r w:rsidR="00C11A36" w:rsidRPr="00FC6804">
        <w:rPr>
          <w:rFonts w:ascii="Arial" w:hAnsi="Arial" w:cs="Arial"/>
          <w:sz w:val="20"/>
          <w:szCs w:val="20"/>
        </w:rPr>
        <w:t xml:space="preserve"> therefore, to cost allocation.  </w:t>
      </w:r>
    </w:p>
    <w:p w:rsidR="00936D3A" w:rsidRPr="00FC6804" w:rsidRDefault="00936D3A" w:rsidP="009A19C1">
      <w:pPr>
        <w:spacing w:after="0" w:line="240" w:lineRule="auto"/>
        <w:rPr>
          <w:rFonts w:ascii="Arial" w:hAnsi="Arial" w:cs="Arial"/>
          <w:sz w:val="20"/>
          <w:szCs w:val="20"/>
        </w:rPr>
      </w:pPr>
    </w:p>
    <w:p w:rsidR="002B3960" w:rsidRPr="00FC6804" w:rsidRDefault="00B56AA5" w:rsidP="009A19C1">
      <w:pPr>
        <w:pStyle w:val="Heading2"/>
        <w:numPr>
          <w:ilvl w:val="1"/>
          <w:numId w:val="2"/>
        </w:numPr>
        <w:rPr>
          <w:rFonts w:cs="Arial"/>
          <w:b/>
          <w:szCs w:val="20"/>
        </w:rPr>
      </w:pPr>
      <w:bookmarkStart w:id="10" w:name="_Toc443915345"/>
      <w:r w:rsidRPr="00FC6804">
        <w:rPr>
          <w:rFonts w:cs="Arial"/>
          <w:b/>
          <w:szCs w:val="20"/>
        </w:rPr>
        <w:t>Streamlining o</w:t>
      </w:r>
      <w:r w:rsidR="004E348B" w:rsidRPr="00FC6804">
        <w:rPr>
          <w:rFonts w:cs="Arial"/>
          <w:b/>
          <w:szCs w:val="20"/>
        </w:rPr>
        <w:t>utput-based fee categories</w:t>
      </w:r>
      <w:bookmarkEnd w:id="10"/>
    </w:p>
    <w:p w:rsidR="002B3960" w:rsidRPr="00FC6804" w:rsidRDefault="002B3960" w:rsidP="009A19C1">
      <w:pPr>
        <w:spacing w:after="0" w:line="240" w:lineRule="auto"/>
        <w:rPr>
          <w:rFonts w:ascii="Arial" w:hAnsi="Arial" w:cs="Arial"/>
          <w:sz w:val="20"/>
          <w:szCs w:val="20"/>
        </w:rPr>
      </w:pPr>
    </w:p>
    <w:p w:rsidR="00C872C0" w:rsidRPr="00FC6804" w:rsidRDefault="001508B7" w:rsidP="009A19C1">
      <w:pPr>
        <w:spacing w:after="0" w:line="240" w:lineRule="auto"/>
        <w:rPr>
          <w:rFonts w:ascii="Arial" w:hAnsi="Arial" w:cs="Arial"/>
          <w:sz w:val="20"/>
          <w:szCs w:val="20"/>
        </w:rPr>
      </w:pPr>
      <w:r w:rsidRPr="00FC6804">
        <w:rPr>
          <w:rFonts w:ascii="Arial" w:hAnsi="Arial" w:cs="Arial"/>
          <w:sz w:val="20"/>
          <w:szCs w:val="20"/>
        </w:rPr>
        <w:t xml:space="preserve">A second issue </w:t>
      </w:r>
      <w:r w:rsidR="004E348B" w:rsidRPr="00FC6804">
        <w:rPr>
          <w:rFonts w:ascii="Arial" w:hAnsi="Arial" w:cs="Arial"/>
          <w:sz w:val="20"/>
          <w:szCs w:val="20"/>
        </w:rPr>
        <w:t xml:space="preserve">of concern in relation to the current fee structure is </w:t>
      </w:r>
      <w:r w:rsidRPr="00FC6804">
        <w:rPr>
          <w:rFonts w:ascii="Arial" w:hAnsi="Arial" w:cs="Arial"/>
          <w:sz w:val="20"/>
          <w:szCs w:val="20"/>
        </w:rPr>
        <w:t xml:space="preserve">that the stratification of abattoirs, further meat processing facilities and poultry </w:t>
      </w:r>
      <w:r w:rsidR="006A7A0B">
        <w:rPr>
          <w:rFonts w:ascii="Arial" w:hAnsi="Arial" w:cs="Arial"/>
          <w:sz w:val="20"/>
          <w:szCs w:val="20"/>
        </w:rPr>
        <w:t>processing facilities</w:t>
      </w:r>
      <w:r w:rsidRPr="00FC6804">
        <w:rPr>
          <w:rFonts w:ascii="Arial" w:hAnsi="Arial" w:cs="Arial"/>
          <w:sz w:val="20"/>
          <w:szCs w:val="20"/>
        </w:rPr>
        <w:t xml:space="preserve"> into six or seven different output-level categories can increasingly be seen as unduly complex and difficult to justify, given the fact that most of the regulated businesses in each sector fall within only </w:t>
      </w:r>
      <w:r w:rsidR="00557ED5" w:rsidRPr="00FC6804">
        <w:rPr>
          <w:rFonts w:ascii="Arial" w:hAnsi="Arial" w:cs="Arial"/>
          <w:sz w:val="20"/>
          <w:szCs w:val="20"/>
        </w:rPr>
        <w:t>a few of</w:t>
      </w:r>
      <w:r w:rsidRPr="00FC6804">
        <w:rPr>
          <w:rFonts w:ascii="Arial" w:hAnsi="Arial" w:cs="Arial"/>
          <w:sz w:val="20"/>
          <w:szCs w:val="20"/>
        </w:rPr>
        <w:t xml:space="preserve"> these output level categories. Th</w:t>
      </w:r>
      <w:r w:rsidR="004E348B" w:rsidRPr="00FC6804">
        <w:rPr>
          <w:rFonts w:ascii="Arial" w:hAnsi="Arial" w:cs="Arial"/>
          <w:sz w:val="20"/>
          <w:szCs w:val="20"/>
        </w:rPr>
        <w:t xml:space="preserve">is is demonstrated in Tables </w:t>
      </w:r>
      <w:r w:rsidR="00037A89">
        <w:rPr>
          <w:rFonts w:ascii="Arial" w:hAnsi="Arial" w:cs="Arial"/>
          <w:sz w:val="20"/>
          <w:szCs w:val="20"/>
        </w:rPr>
        <w:t>5</w:t>
      </w:r>
      <w:r w:rsidR="004E348B" w:rsidRPr="00FC6804">
        <w:rPr>
          <w:rFonts w:ascii="Arial" w:hAnsi="Arial" w:cs="Arial"/>
          <w:sz w:val="20"/>
          <w:szCs w:val="20"/>
        </w:rPr>
        <w:t>.</w:t>
      </w:r>
      <w:r w:rsidR="006A7A0B">
        <w:rPr>
          <w:rFonts w:ascii="Arial" w:hAnsi="Arial" w:cs="Arial"/>
          <w:sz w:val="20"/>
          <w:szCs w:val="20"/>
        </w:rPr>
        <w:t>4</w:t>
      </w:r>
      <w:r w:rsidR="004E348B" w:rsidRPr="00FC6804">
        <w:rPr>
          <w:rFonts w:ascii="Arial" w:hAnsi="Arial" w:cs="Arial"/>
          <w:sz w:val="20"/>
          <w:szCs w:val="20"/>
        </w:rPr>
        <w:t xml:space="preserve"> to </w:t>
      </w:r>
      <w:r w:rsidR="00037A89">
        <w:rPr>
          <w:rFonts w:ascii="Arial" w:hAnsi="Arial" w:cs="Arial"/>
          <w:sz w:val="20"/>
          <w:szCs w:val="20"/>
        </w:rPr>
        <w:t>5</w:t>
      </w:r>
      <w:r w:rsidR="004E348B" w:rsidRPr="00FC6804">
        <w:rPr>
          <w:rFonts w:ascii="Arial" w:hAnsi="Arial" w:cs="Arial"/>
          <w:sz w:val="20"/>
          <w:szCs w:val="20"/>
        </w:rPr>
        <w:t>.</w:t>
      </w:r>
      <w:r w:rsidR="00037A89">
        <w:rPr>
          <w:rFonts w:ascii="Arial" w:hAnsi="Arial" w:cs="Arial"/>
          <w:sz w:val="20"/>
          <w:szCs w:val="20"/>
        </w:rPr>
        <w:t>6</w:t>
      </w:r>
      <w:r w:rsidR="004E348B" w:rsidRPr="00FC6804">
        <w:rPr>
          <w:rFonts w:ascii="Arial" w:hAnsi="Arial" w:cs="Arial"/>
          <w:sz w:val="20"/>
          <w:szCs w:val="20"/>
        </w:rPr>
        <w:t>, below, which highlight th</w:t>
      </w:r>
      <w:r w:rsidRPr="00FC6804">
        <w:rPr>
          <w:rFonts w:ascii="Arial" w:hAnsi="Arial" w:cs="Arial"/>
          <w:sz w:val="20"/>
          <w:szCs w:val="20"/>
        </w:rPr>
        <w:t>e number of businesses in each output level category.</w:t>
      </w:r>
      <w:r w:rsidR="008A5C48">
        <w:rPr>
          <w:rFonts w:ascii="Arial" w:hAnsi="Arial" w:cs="Arial"/>
          <w:sz w:val="20"/>
          <w:szCs w:val="20"/>
        </w:rPr>
        <w:t xml:space="preserve"> </w:t>
      </w:r>
      <w:r w:rsidR="00C872C0" w:rsidRPr="00FC6804">
        <w:rPr>
          <w:rFonts w:ascii="Arial" w:hAnsi="Arial" w:cs="Arial"/>
          <w:sz w:val="20"/>
          <w:szCs w:val="20"/>
        </w:rPr>
        <w:t xml:space="preserve">Table </w:t>
      </w:r>
      <w:r w:rsidR="00037A89">
        <w:rPr>
          <w:rFonts w:ascii="Arial" w:hAnsi="Arial" w:cs="Arial"/>
          <w:sz w:val="20"/>
          <w:szCs w:val="20"/>
        </w:rPr>
        <w:t>5</w:t>
      </w:r>
      <w:r w:rsidR="00C872C0" w:rsidRPr="00FC6804">
        <w:rPr>
          <w:rFonts w:ascii="Arial" w:hAnsi="Arial" w:cs="Arial"/>
          <w:sz w:val="20"/>
          <w:szCs w:val="20"/>
        </w:rPr>
        <w:t>.</w:t>
      </w:r>
      <w:r w:rsidR="008A5C48">
        <w:rPr>
          <w:rFonts w:ascii="Arial" w:hAnsi="Arial" w:cs="Arial"/>
          <w:sz w:val="20"/>
          <w:szCs w:val="20"/>
        </w:rPr>
        <w:t>4</w:t>
      </w:r>
      <w:r w:rsidR="00C872C0" w:rsidRPr="00FC6804">
        <w:rPr>
          <w:rFonts w:ascii="Arial" w:hAnsi="Arial" w:cs="Arial"/>
          <w:sz w:val="20"/>
          <w:szCs w:val="20"/>
        </w:rPr>
        <w:t xml:space="preserve"> shows that the current output-based fee categories for domestic abattoirs split 19 licensed businesses into six different fee categories</w:t>
      </w:r>
      <w:r w:rsidR="008A5C48">
        <w:rPr>
          <w:rFonts w:ascii="Arial" w:hAnsi="Arial" w:cs="Arial"/>
          <w:sz w:val="20"/>
          <w:szCs w:val="20"/>
        </w:rPr>
        <w:t xml:space="preserve">. </w:t>
      </w:r>
      <w:r w:rsidR="000F12BE" w:rsidRPr="00FC6804">
        <w:rPr>
          <w:rFonts w:ascii="Arial" w:hAnsi="Arial" w:cs="Arial"/>
          <w:sz w:val="20"/>
          <w:szCs w:val="20"/>
        </w:rPr>
        <w:t>T</w:t>
      </w:r>
      <w:r w:rsidR="00C872C0" w:rsidRPr="00FC6804">
        <w:rPr>
          <w:rFonts w:ascii="Arial" w:hAnsi="Arial" w:cs="Arial"/>
          <w:sz w:val="20"/>
          <w:szCs w:val="20"/>
        </w:rPr>
        <w:t xml:space="preserve">able </w:t>
      </w:r>
      <w:r w:rsidR="00037A89">
        <w:rPr>
          <w:rFonts w:ascii="Arial" w:hAnsi="Arial" w:cs="Arial"/>
          <w:sz w:val="20"/>
          <w:szCs w:val="20"/>
        </w:rPr>
        <w:t>5</w:t>
      </w:r>
      <w:r w:rsidR="00C872C0" w:rsidRPr="00FC6804">
        <w:rPr>
          <w:rFonts w:ascii="Arial" w:hAnsi="Arial" w:cs="Arial"/>
          <w:sz w:val="20"/>
          <w:szCs w:val="20"/>
        </w:rPr>
        <w:t>.</w:t>
      </w:r>
      <w:r w:rsidR="008A5C48">
        <w:rPr>
          <w:rFonts w:ascii="Arial" w:hAnsi="Arial" w:cs="Arial"/>
          <w:sz w:val="20"/>
          <w:szCs w:val="20"/>
        </w:rPr>
        <w:t>6</w:t>
      </w:r>
      <w:r w:rsidR="00C872C0" w:rsidRPr="00FC6804">
        <w:rPr>
          <w:rFonts w:ascii="Arial" w:hAnsi="Arial" w:cs="Arial"/>
          <w:sz w:val="20"/>
          <w:szCs w:val="20"/>
        </w:rPr>
        <w:t xml:space="preserve"> similarly shows that 19 poultry processing </w:t>
      </w:r>
      <w:r w:rsidR="008A5C48">
        <w:rPr>
          <w:rFonts w:ascii="Arial" w:hAnsi="Arial" w:cs="Arial"/>
          <w:sz w:val="20"/>
          <w:szCs w:val="20"/>
        </w:rPr>
        <w:t>facilities</w:t>
      </w:r>
      <w:r w:rsidR="00C872C0" w:rsidRPr="00FC6804">
        <w:rPr>
          <w:rFonts w:ascii="Arial" w:hAnsi="Arial" w:cs="Arial"/>
          <w:sz w:val="20"/>
          <w:szCs w:val="20"/>
        </w:rPr>
        <w:t xml:space="preserve"> are distributed across a total of seve</w:t>
      </w:r>
      <w:r w:rsidR="008A5C48">
        <w:rPr>
          <w:rFonts w:ascii="Arial" w:hAnsi="Arial" w:cs="Arial"/>
          <w:sz w:val="20"/>
          <w:szCs w:val="20"/>
        </w:rPr>
        <w:t xml:space="preserve">n different output categories. </w:t>
      </w:r>
      <w:r w:rsidR="00C872C0" w:rsidRPr="00FC6804">
        <w:rPr>
          <w:rFonts w:ascii="Arial" w:hAnsi="Arial" w:cs="Arial"/>
          <w:sz w:val="20"/>
          <w:szCs w:val="20"/>
        </w:rPr>
        <w:t>This structure is considered to be unduly complex and is likely to yield unnecessary</w:t>
      </w:r>
      <w:r w:rsidR="008A5C48">
        <w:rPr>
          <w:rFonts w:ascii="Arial" w:hAnsi="Arial" w:cs="Arial"/>
          <w:sz w:val="20"/>
          <w:szCs w:val="20"/>
        </w:rPr>
        <w:t xml:space="preserve"> administrative</w:t>
      </w:r>
      <w:r w:rsidR="00C872C0" w:rsidRPr="00FC6804">
        <w:rPr>
          <w:rFonts w:ascii="Arial" w:hAnsi="Arial" w:cs="Arial"/>
          <w:sz w:val="20"/>
          <w:szCs w:val="20"/>
        </w:rPr>
        <w:t xml:space="preserve"> costs in implementing the licence fee regime.</w:t>
      </w:r>
    </w:p>
    <w:p w:rsidR="009A19C1" w:rsidRPr="00FC6804" w:rsidRDefault="009A19C1" w:rsidP="009A19C1">
      <w:pPr>
        <w:spacing w:after="0" w:line="240" w:lineRule="auto"/>
        <w:rPr>
          <w:rFonts w:ascii="Arial" w:hAnsi="Arial" w:cs="Arial"/>
          <w:sz w:val="20"/>
          <w:szCs w:val="20"/>
        </w:rPr>
      </w:pPr>
    </w:p>
    <w:p w:rsidR="001508B7" w:rsidRPr="00FC6804" w:rsidRDefault="004E348B" w:rsidP="009A19C1">
      <w:pPr>
        <w:spacing w:after="0" w:line="240" w:lineRule="auto"/>
        <w:rPr>
          <w:rFonts w:ascii="Arial" w:hAnsi="Arial" w:cs="Arial"/>
          <w:sz w:val="20"/>
          <w:szCs w:val="20"/>
        </w:rPr>
      </w:pPr>
      <w:r w:rsidRPr="00FC6804">
        <w:rPr>
          <w:rFonts w:ascii="Arial" w:hAnsi="Arial" w:cs="Arial"/>
          <w:sz w:val="20"/>
          <w:szCs w:val="20"/>
        </w:rPr>
        <w:t xml:space="preserve">In respect of domestic abattoirs, </w:t>
      </w:r>
      <w:r w:rsidR="000F12BE" w:rsidRPr="00FC6804">
        <w:rPr>
          <w:rFonts w:ascii="Arial" w:hAnsi="Arial" w:cs="Arial"/>
          <w:sz w:val="20"/>
          <w:szCs w:val="20"/>
        </w:rPr>
        <w:t>T</w:t>
      </w:r>
      <w:r w:rsidR="001508B7" w:rsidRPr="00FC6804">
        <w:rPr>
          <w:rFonts w:ascii="Arial" w:hAnsi="Arial" w:cs="Arial"/>
          <w:sz w:val="20"/>
          <w:szCs w:val="20"/>
        </w:rPr>
        <w:t xml:space="preserve">able </w:t>
      </w:r>
      <w:r w:rsidR="00037A89">
        <w:rPr>
          <w:rFonts w:ascii="Arial" w:hAnsi="Arial" w:cs="Arial"/>
          <w:sz w:val="20"/>
          <w:szCs w:val="20"/>
        </w:rPr>
        <w:t>5</w:t>
      </w:r>
      <w:r w:rsidR="001508B7" w:rsidRPr="00FC6804">
        <w:rPr>
          <w:rFonts w:ascii="Arial" w:hAnsi="Arial" w:cs="Arial"/>
          <w:sz w:val="20"/>
          <w:szCs w:val="20"/>
        </w:rPr>
        <w:t>.</w:t>
      </w:r>
      <w:r w:rsidR="00C11A36" w:rsidRPr="00FC6804">
        <w:rPr>
          <w:rFonts w:ascii="Arial" w:hAnsi="Arial" w:cs="Arial"/>
          <w:sz w:val="20"/>
          <w:szCs w:val="20"/>
        </w:rPr>
        <w:t xml:space="preserve">4 </w:t>
      </w:r>
      <w:r w:rsidR="001508B7" w:rsidRPr="00FC6804">
        <w:rPr>
          <w:rFonts w:ascii="Arial" w:hAnsi="Arial" w:cs="Arial"/>
          <w:sz w:val="20"/>
          <w:szCs w:val="20"/>
        </w:rPr>
        <w:t>shows that</w:t>
      </w:r>
      <w:r w:rsidRPr="00FC6804">
        <w:rPr>
          <w:rFonts w:ascii="Arial" w:hAnsi="Arial" w:cs="Arial"/>
          <w:sz w:val="20"/>
          <w:szCs w:val="20"/>
        </w:rPr>
        <w:t xml:space="preserve"> one of the existing categories has no licensed businesses within it, while another h</w:t>
      </w:r>
      <w:r w:rsidR="000F12BE" w:rsidRPr="00FC6804">
        <w:rPr>
          <w:rFonts w:ascii="Arial" w:hAnsi="Arial" w:cs="Arial"/>
          <w:sz w:val="20"/>
          <w:szCs w:val="20"/>
        </w:rPr>
        <w:t xml:space="preserve">as only one licensed business. </w:t>
      </w:r>
      <w:r w:rsidRPr="00FC6804">
        <w:rPr>
          <w:rFonts w:ascii="Arial" w:hAnsi="Arial" w:cs="Arial"/>
          <w:sz w:val="20"/>
          <w:szCs w:val="20"/>
        </w:rPr>
        <w:t xml:space="preserve">The remaining four categories contain four or five businesses each.   </w:t>
      </w:r>
      <w:r w:rsidR="001508B7" w:rsidRPr="00FC6804">
        <w:rPr>
          <w:rFonts w:ascii="Arial" w:hAnsi="Arial" w:cs="Arial"/>
          <w:sz w:val="20"/>
          <w:szCs w:val="20"/>
        </w:rPr>
        <w:t xml:space="preserve"> </w:t>
      </w:r>
    </w:p>
    <w:p w:rsidR="001508B7" w:rsidRPr="00FC6804" w:rsidRDefault="001508B7" w:rsidP="009A19C1">
      <w:pPr>
        <w:spacing w:after="0" w:line="240" w:lineRule="auto"/>
        <w:rPr>
          <w:rFonts w:ascii="Arial" w:hAnsi="Arial" w:cs="Arial"/>
          <w:sz w:val="20"/>
          <w:szCs w:val="20"/>
        </w:rPr>
      </w:pPr>
    </w:p>
    <w:p w:rsidR="009A19C1" w:rsidRPr="00FC6804" w:rsidRDefault="009A19C1" w:rsidP="009A19C1">
      <w:pPr>
        <w:spacing w:after="0" w:line="240" w:lineRule="auto"/>
        <w:rPr>
          <w:rFonts w:ascii="Arial" w:hAnsi="Arial" w:cs="Arial"/>
          <w:sz w:val="20"/>
          <w:szCs w:val="20"/>
        </w:rPr>
      </w:pPr>
    </w:p>
    <w:p w:rsidR="009A19C1" w:rsidRPr="00FC6804" w:rsidRDefault="009A19C1" w:rsidP="009A19C1">
      <w:pPr>
        <w:spacing w:after="0" w:line="240" w:lineRule="auto"/>
        <w:rPr>
          <w:rFonts w:ascii="Arial" w:hAnsi="Arial" w:cs="Arial"/>
          <w:sz w:val="20"/>
          <w:szCs w:val="20"/>
        </w:rPr>
      </w:pPr>
    </w:p>
    <w:p w:rsidR="009A19C1" w:rsidRPr="00FC6804" w:rsidRDefault="009A19C1" w:rsidP="009A19C1">
      <w:pPr>
        <w:spacing w:after="0" w:line="240" w:lineRule="auto"/>
        <w:rPr>
          <w:rFonts w:ascii="Arial" w:hAnsi="Arial" w:cs="Arial"/>
          <w:sz w:val="20"/>
          <w:szCs w:val="20"/>
        </w:rPr>
      </w:pPr>
    </w:p>
    <w:p w:rsidR="009A19C1" w:rsidRPr="00FC6804" w:rsidRDefault="009A19C1" w:rsidP="009A19C1">
      <w:pPr>
        <w:spacing w:after="0" w:line="240" w:lineRule="auto"/>
        <w:rPr>
          <w:rFonts w:ascii="Arial" w:hAnsi="Arial" w:cs="Arial"/>
          <w:sz w:val="20"/>
          <w:szCs w:val="20"/>
        </w:rPr>
      </w:pPr>
    </w:p>
    <w:p w:rsidR="009A19C1" w:rsidRPr="00FC6804" w:rsidRDefault="009A19C1" w:rsidP="009A19C1">
      <w:pPr>
        <w:spacing w:after="0" w:line="240" w:lineRule="auto"/>
        <w:rPr>
          <w:rFonts w:ascii="Arial" w:hAnsi="Arial" w:cs="Arial"/>
          <w:sz w:val="20"/>
          <w:szCs w:val="20"/>
        </w:rPr>
      </w:pPr>
    </w:p>
    <w:p w:rsidR="009A19C1" w:rsidRPr="00FC6804" w:rsidRDefault="009A19C1" w:rsidP="009A19C1">
      <w:pPr>
        <w:spacing w:after="0" w:line="240" w:lineRule="auto"/>
        <w:rPr>
          <w:rFonts w:ascii="Arial" w:hAnsi="Arial" w:cs="Arial"/>
          <w:sz w:val="20"/>
          <w:szCs w:val="20"/>
        </w:rPr>
      </w:pPr>
    </w:p>
    <w:p w:rsidR="009A19C1" w:rsidRPr="00FC6804" w:rsidRDefault="009A19C1" w:rsidP="009A19C1">
      <w:pPr>
        <w:spacing w:after="0" w:line="240" w:lineRule="auto"/>
        <w:rPr>
          <w:rFonts w:ascii="Arial" w:hAnsi="Arial" w:cs="Arial"/>
          <w:sz w:val="20"/>
          <w:szCs w:val="20"/>
        </w:rPr>
      </w:pPr>
    </w:p>
    <w:p w:rsidR="009A19C1" w:rsidRPr="00FC6804" w:rsidRDefault="009A19C1" w:rsidP="009A19C1">
      <w:pPr>
        <w:spacing w:after="0" w:line="240" w:lineRule="auto"/>
        <w:rPr>
          <w:rFonts w:ascii="Arial" w:hAnsi="Arial" w:cs="Arial"/>
          <w:sz w:val="20"/>
          <w:szCs w:val="20"/>
        </w:rPr>
      </w:pPr>
    </w:p>
    <w:p w:rsidR="001508B7" w:rsidRPr="00FC6804" w:rsidRDefault="001508B7" w:rsidP="009A19C1">
      <w:pPr>
        <w:spacing w:after="0" w:line="240" w:lineRule="auto"/>
        <w:rPr>
          <w:rFonts w:ascii="Arial" w:hAnsi="Arial" w:cs="Arial"/>
          <w:b/>
          <w:color w:val="1F4E79" w:themeColor="accent1" w:themeShade="80"/>
          <w:sz w:val="20"/>
          <w:szCs w:val="20"/>
        </w:rPr>
      </w:pPr>
      <w:r w:rsidRPr="00FC6804">
        <w:rPr>
          <w:rFonts w:ascii="Arial" w:hAnsi="Arial" w:cs="Arial"/>
          <w:b/>
          <w:color w:val="1F4E79" w:themeColor="accent1" w:themeShade="80"/>
          <w:sz w:val="20"/>
          <w:szCs w:val="20"/>
        </w:rPr>
        <w:t xml:space="preserve">Table </w:t>
      </w:r>
      <w:r w:rsidR="001136ED">
        <w:rPr>
          <w:rFonts w:ascii="Arial" w:hAnsi="Arial" w:cs="Arial"/>
          <w:b/>
          <w:color w:val="1F4E79" w:themeColor="accent1" w:themeShade="80"/>
          <w:sz w:val="20"/>
          <w:szCs w:val="20"/>
        </w:rPr>
        <w:t>5</w:t>
      </w:r>
      <w:r w:rsidRPr="00FC6804">
        <w:rPr>
          <w:rFonts w:ascii="Arial" w:hAnsi="Arial" w:cs="Arial"/>
          <w:b/>
          <w:color w:val="1F4E79" w:themeColor="accent1" w:themeShade="80"/>
          <w:sz w:val="20"/>
          <w:szCs w:val="20"/>
        </w:rPr>
        <w:t>.</w:t>
      </w:r>
      <w:r w:rsidR="00C11A36" w:rsidRPr="00FC6804">
        <w:rPr>
          <w:rFonts w:ascii="Arial" w:hAnsi="Arial" w:cs="Arial"/>
          <w:b/>
          <w:color w:val="1F4E79" w:themeColor="accent1" w:themeShade="80"/>
          <w:sz w:val="20"/>
          <w:szCs w:val="20"/>
        </w:rPr>
        <w:t>4</w:t>
      </w:r>
      <w:r w:rsidRPr="00FC6804">
        <w:rPr>
          <w:rFonts w:ascii="Arial" w:hAnsi="Arial" w:cs="Arial"/>
          <w:b/>
          <w:color w:val="1F4E79" w:themeColor="accent1" w:themeShade="80"/>
          <w:sz w:val="20"/>
          <w:szCs w:val="20"/>
        </w:rPr>
        <w:t>: Distribution of busin</w:t>
      </w:r>
      <w:r w:rsidR="003D2439" w:rsidRPr="00FC6804">
        <w:rPr>
          <w:rFonts w:ascii="Arial" w:hAnsi="Arial" w:cs="Arial"/>
          <w:b/>
          <w:color w:val="1F4E79" w:themeColor="accent1" w:themeShade="80"/>
          <w:sz w:val="20"/>
          <w:szCs w:val="20"/>
        </w:rPr>
        <w:t xml:space="preserve">esses by output-level category – </w:t>
      </w:r>
      <w:r w:rsidR="004E348B" w:rsidRPr="00FC6804">
        <w:rPr>
          <w:rFonts w:ascii="Arial" w:hAnsi="Arial" w:cs="Arial"/>
          <w:b/>
          <w:color w:val="1F4E79" w:themeColor="accent1" w:themeShade="80"/>
          <w:sz w:val="20"/>
          <w:szCs w:val="20"/>
        </w:rPr>
        <w:t>Domestic a</w:t>
      </w:r>
      <w:r w:rsidRPr="00FC6804">
        <w:rPr>
          <w:rFonts w:ascii="Arial" w:hAnsi="Arial" w:cs="Arial"/>
          <w:b/>
          <w:color w:val="1F4E79" w:themeColor="accent1" w:themeShade="80"/>
          <w:sz w:val="20"/>
          <w:szCs w:val="20"/>
        </w:rPr>
        <w:t>battoirs</w:t>
      </w:r>
    </w:p>
    <w:p w:rsidR="000F12BE" w:rsidRPr="00FC6804" w:rsidRDefault="000F12BE" w:rsidP="009A19C1">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3510"/>
        <w:gridCol w:w="2866"/>
        <w:gridCol w:w="2866"/>
      </w:tblGrid>
      <w:tr w:rsidR="003D2439" w:rsidRPr="00FC6804" w:rsidTr="009E63BE">
        <w:tc>
          <w:tcPr>
            <w:tcW w:w="3510" w:type="dxa"/>
            <w:shd w:val="clear" w:color="auto" w:fill="F2F2F2" w:themeFill="background1" w:themeFillShade="F2"/>
          </w:tcPr>
          <w:p w:rsidR="003D2439" w:rsidRPr="00FC6804" w:rsidRDefault="001136ED" w:rsidP="003D2439">
            <w:pPr>
              <w:spacing w:before="60" w:after="60"/>
              <w:jc w:val="center"/>
              <w:rPr>
                <w:rFonts w:ascii="Arial" w:hAnsi="Arial" w:cs="Arial"/>
                <w:b/>
                <w:sz w:val="20"/>
                <w:szCs w:val="20"/>
                <w:u w:val="single"/>
              </w:rPr>
            </w:pPr>
            <w:r>
              <w:rPr>
                <w:rFonts w:ascii="Arial" w:hAnsi="Arial" w:cs="Arial"/>
                <w:b/>
                <w:sz w:val="20"/>
                <w:szCs w:val="20"/>
              </w:rPr>
              <w:t>Throughput</w:t>
            </w:r>
            <w:r w:rsidR="003D2439" w:rsidRPr="00FC6804">
              <w:rPr>
                <w:rFonts w:ascii="Arial" w:hAnsi="Arial" w:cs="Arial"/>
                <w:b/>
                <w:sz w:val="20"/>
                <w:szCs w:val="20"/>
              </w:rPr>
              <w:t xml:space="preserve"> Category</w:t>
            </w:r>
          </w:p>
        </w:tc>
        <w:tc>
          <w:tcPr>
            <w:tcW w:w="2866" w:type="dxa"/>
            <w:shd w:val="clear" w:color="auto" w:fill="F2F2F2" w:themeFill="background1" w:themeFillShade="F2"/>
          </w:tcPr>
          <w:p w:rsidR="003D2439" w:rsidRPr="00FC6804" w:rsidRDefault="003D2439" w:rsidP="003D2439">
            <w:pPr>
              <w:spacing w:before="60" w:after="60"/>
              <w:jc w:val="center"/>
              <w:rPr>
                <w:rFonts w:ascii="Arial" w:hAnsi="Arial" w:cs="Arial"/>
                <w:b/>
                <w:sz w:val="20"/>
                <w:szCs w:val="20"/>
                <w:u w:val="single"/>
              </w:rPr>
            </w:pPr>
            <w:r w:rsidRPr="00FC6804">
              <w:rPr>
                <w:rFonts w:ascii="Arial" w:hAnsi="Arial" w:cs="Arial"/>
                <w:b/>
                <w:sz w:val="20"/>
                <w:szCs w:val="20"/>
              </w:rPr>
              <w:t>Number of Businesses</w:t>
            </w:r>
          </w:p>
        </w:tc>
        <w:tc>
          <w:tcPr>
            <w:tcW w:w="2866" w:type="dxa"/>
            <w:shd w:val="clear" w:color="auto" w:fill="F2F2F2" w:themeFill="background1" w:themeFillShade="F2"/>
          </w:tcPr>
          <w:p w:rsidR="003D2439" w:rsidRPr="00FC6804" w:rsidRDefault="003D2439" w:rsidP="009E63BE">
            <w:pPr>
              <w:spacing w:before="60" w:after="60"/>
              <w:jc w:val="center"/>
              <w:rPr>
                <w:rFonts w:ascii="Arial" w:hAnsi="Arial" w:cs="Arial"/>
                <w:b/>
                <w:sz w:val="20"/>
                <w:szCs w:val="20"/>
                <w:u w:val="single"/>
              </w:rPr>
            </w:pPr>
            <w:r w:rsidRPr="00FC6804">
              <w:rPr>
                <w:rFonts w:ascii="Arial" w:hAnsi="Arial" w:cs="Arial"/>
                <w:b/>
                <w:sz w:val="20"/>
                <w:szCs w:val="20"/>
              </w:rPr>
              <w:t xml:space="preserve">% of </w:t>
            </w:r>
            <w:r w:rsidR="009E63BE">
              <w:rPr>
                <w:rFonts w:ascii="Arial" w:hAnsi="Arial" w:cs="Arial"/>
                <w:b/>
                <w:sz w:val="20"/>
                <w:szCs w:val="20"/>
              </w:rPr>
              <w:t>T</w:t>
            </w:r>
            <w:r w:rsidRPr="00FC6804">
              <w:rPr>
                <w:rFonts w:ascii="Arial" w:hAnsi="Arial" w:cs="Arial"/>
                <w:b/>
                <w:sz w:val="20"/>
                <w:szCs w:val="20"/>
              </w:rPr>
              <w:t>otal</w:t>
            </w:r>
          </w:p>
        </w:tc>
      </w:tr>
      <w:tr w:rsidR="003D2439" w:rsidRPr="00FC6804" w:rsidTr="003D2439">
        <w:tc>
          <w:tcPr>
            <w:tcW w:w="3510" w:type="dxa"/>
            <w:vAlign w:val="bottom"/>
          </w:tcPr>
          <w:p w:rsidR="003D2439" w:rsidRPr="00FC6804" w:rsidRDefault="003D2439" w:rsidP="003D2439">
            <w:pPr>
              <w:spacing w:before="60" w:after="60"/>
              <w:rPr>
                <w:rFonts w:ascii="Arial" w:hAnsi="Arial" w:cs="Arial"/>
                <w:b/>
                <w:sz w:val="20"/>
                <w:szCs w:val="20"/>
                <w:u w:val="single"/>
              </w:rPr>
            </w:pPr>
            <w:r w:rsidRPr="00FC6804">
              <w:rPr>
                <w:rFonts w:ascii="Arial" w:hAnsi="Arial" w:cs="Arial"/>
                <w:color w:val="000000"/>
                <w:sz w:val="20"/>
                <w:szCs w:val="20"/>
              </w:rPr>
              <w:t>Up to 8,000 units</w:t>
            </w:r>
          </w:p>
        </w:tc>
        <w:tc>
          <w:tcPr>
            <w:tcW w:w="2866" w:type="dxa"/>
          </w:tcPr>
          <w:p w:rsidR="003D2439" w:rsidRPr="00FC6804" w:rsidRDefault="003D2439" w:rsidP="003D2439">
            <w:pPr>
              <w:spacing w:before="60" w:after="60"/>
              <w:jc w:val="center"/>
              <w:rPr>
                <w:rFonts w:ascii="Arial" w:hAnsi="Arial" w:cs="Arial"/>
                <w:b/>
                <w:sz w:val="20"/>
                <w:szCs w:val="20"/>
                <w:u w:val="single"/>
              </w:rPr>
            </w:pPr>
            <w:r w:rsidRPr="00FC6804">
              <w:rPr>
                <w:rFonts w:ascii="Arial" w:hAnsi="Arial" w:cs="Arial"/>
                <w:sz w:val="20"/>
                <w:szCs w:val="20"/>
              </w:rPr>
              <w:t>4</w:t>
            </w:r>
          </w:p>
        </w:tc>
        <w:tc>
          <w:tcPr>
            <w:tcW w:w="2866" w:type="dxa"/>
            <w:vAlign w:val="center"/>
          </w:tcPr>
          <w:p w:rsidR="003D2439" w:rsidRPr="00FC6804" w:rsidRDefault="003D2439" w:rsidP="003D2439">
            <w:pPr>
              <w:spacing w:before="60" w:after="60"/>
              <w:jc w:val="center"/>
              <w:rPr>
                <w:rFonts w:ascii="Arial" w:hAnsi="Arial" w:cs="Arial"/>
                <w:b/>
                <w:sz w:val="20"/>
                <w:szCs w:val="20"/>
                <w:u w:val="single"/>
              </w:rPr>
            </w:pPr>
            <w:r w:rsidRPr="00FC6804">
              <w:rPr>
                <w:rFonts w:ascii="Arial" w:hAnsi="Arial" w:cs="Arial"/>
                <w:color w:val="000000"/>
                <w:sz w:val="20"/>
                <w:szCs w:val="20"/>
              </w:rPr>
              <w:t>10.0%</w:t>
            </w:r>
          </w:p>
        </w:tc>
      </w:tr>
      <w:tr w:rsidR="003D2439" w:rsidRPr="00FC6804" w:rsidTr="003D2439">
        <w:tc>
          <w:tcPr>
            <w:tcW w:w="3510" w:type="dxa"/>
            <w:vAlign w:val="bottom"/>
          </w:tcPr>
          <w:p w:rsidR="003D2439" w:rsidRPr="00FC6804" w:rsidRDefault="003D2439" w:rsidP="003D2439">
            <w:pPr>
              <w:spacing w:before="60" w:after="60"/>
              <w:rPr>
                <w:rFonts w:ascii="Arial" w:hAnsi="Arial" w:cs="Arial"/>
                <w:b/>
                <w:sz w:val="20"/>
                <w:szCs w:val="20"/>
                <w:u w:val="single"/>
              </w:rPr>
            </w:pPr>
            <w:r w:rsidRPr="00FC6804">
              <w:rPr>
                <w:rFonts w:ascii="Arial" w:hAnsi="Arial" w:cs="Arial"/>
                <w:color w:val="000000"/>
                <w:sz w:val="20"/>
                <w:szCs w:val="20"/>
              </w:rPr>
              <w:t>8,001 to 15,000 units</w:t>
            </w:r>
          </w:p>
        </w:tc>
        <w:tc>
          <w:tcPr>
            <w:tcW w:w="2866" w:type="dxa"/>
          </w:tcPr>
          <w:p w:rsidR="003D2439" w:rsidRPr="00FC6804" w:rsidRDefault="003D2439" w:rsidP="003D2439">
            <w:pPr>
              <w:spacing w:before="60" w:after="60"/>
              <w:jc w:val="center"/>
              <w:rPr>
                <w:rFonts w:ascii="Arial" w:hAnsi="Arial" w:cs="Arial"/>
                <w:b/>
                <w:sz w:val="20"/>
                <w:szCs w:val="20"/>
                <w:u w:val="single"/>
              </w:rPr>
            </w:pPr>
            <w:r w:rsidRPr="00FC6804">
              <w:rPr>
                <w:rFonts w:ascii="Arial" w:hAnsi="Arial" w:cs="Arial"/>
                <w:sz w:val="20"/>
                <w:szCs w:val="20"/>
              </w:rPr>
              <w:t>0</w:t>
            </w:r>
          </w:p>
        </w:tc>
        <w:tc>
          <w:tcPr>
            <w:tcW w:w="2866" w:type="dxa"/>
            <w:vAlign w:val="center"/>
          </w:tcPr>
          <w:p w:rsidR="003D2439" w:rsidRPr="00FC6804" w:rsidRDefault="003D2439" w:rsidP="003D2439">
            <w:pPr>
              <w:spacing w:before="60" w:after="60"/>
              <w:jc w:val="center"/>
              <w:rPr>
                <w:rFonts w:ascii="Arial" w:hAnsi="Arial" w:cs="Arial"/>
                <w:b/>
                <w:sz w:val="20"/>
                <w:szCs w:val="20"/>
                <w:u w:val="single"/>
              </w:rPr>
            </w:pPr>
            <w:r w:rsidRPr="00FC6804">
              <w:rPr>
                <w:rFonts w:ascii="Arial" w:hAnsi="Arial" w:cs="Arial"/>
                <w:color w:val="000000"/>
                <w:sz w:val="20"/>
                <w:szCs w:val="20"/>
              </w:rPr>
              <w:t>0.0%</w:t>
            </w:r>
          </w:p>
        </w:tc>
      </w:tr>
      <w:tr w:rsidR="003D2439" w:rsidRPr="00FC6804" w:rsidTr="003D2439">
        <w:tc>
          <w:tcPr>
            <w:tcW w:w="3510" w:type="dxa"/>
            <w:vAlign w:val="bottom"/>
          </w:tcPr>
          <w:p w:rsidR="003D2439" w:rsidRPr="00FC6804" w:rsidRDefault="003D2439" w:rsidP="003D2439">
            <w:pPr>
              <w:spacing w:before="60" w:after="60"/>
              <w:rPr>
                <w:rFonts w:ascii="Arial" w:hAnsi="Arial" w:cs="Arial"/>
                <w:b/>
                <w:sz w:val="20"/>
                <w:szCs w:val="20"/>
                <w:u w:val="single"/>
              </w:rPr>
            </w:pPr>
            <w:r w:rsidRPr="00FC6804">
              <w:rPr>
                <w:rFonts w:ascii="Arial" w:hAnsi="Arial" w:cs="Arial"/>
                <w:color w:val="000000"/>
                <w:sz w:val="20"/>
                <w:szCs w:val="20"/>
              </w:rPr>
              <w:t>15,001 to 100,000 units</w:t>
            </w:r>
          </w:p>
        </w:tc>
        <w:tc>
          <w:tcPr>
            <w:tcW w:w="2866" w:type="dxa"/>
          </w:tcPr>
          <w:p w:rsidR="003D2439" w:rsidRPr="00FC6804" w:rsidRDefault="003D2439" w:rsidP="003D2439">
            <w:pPr>
              <w:spacing w:before="60" w:after="60"/>
              <w:jc w:val="center"/>
              <w:rPr>
                <w:rFonts w:ascii="Arial" w:hAnsi="Arial" w:cs="Arial"/>
                <w:b/>
                <w:sz w:val="20"/>
                <w:szCs w:val="20"/>
                <w:u w:val="single"/>
              </w:rPr>
            </w:pPr>
            <w:r w:rsidRPr="00FC6804">
              <w:rPr>
                <w:rFonts w:ascii="Arial" w:hAnsi="Arial" w:cs="Arial"/>
                <w:sz w:val="20"/>
                <w:szCs w:val="20"/>
              </w:rPr>
              <w:t>5</w:t>
            </w:r>
          </w:p>
        </w:tc>
        <w:tc>
          <w:tcPr>
            <w:tcW w:w="2866" w:type="dxa"/>
            <w:vAlign w:val="center"/>
          </w:tcPr>
          <w:p w:rsidR="003D2439" w:rsidRPr="00FC6804" w:rsidRDefault="003D2439" w:rsidP="003D2439">
            <w:pPr>
              <w:spacing w:before="60" w:after="60"/>
              <w:jc w:val="center"/>
              <w:rPr>
                <w:rFonts w:ascii="Arial" w:hAnsi="Arial" w:cs="Arial"/>
                <w:b/>
                <w:sz w:val="20"/>
                <w:szCs w:val="20"/>
                <w:u w:val="single"/>
              </w:rPr>
            </w:pPr>
            <w:r w:rsidRPr="00FC6804">
              <w:rPr>
                <w:rFonts w:ascii="Arial" w:hAnsi="Arial" w:cs="Arial"/>
                <w:color w:val="000000"/>
                <w:sz w:val="20"/>
                <w:szCs w:val="20"/>
              </w:rPr>
              <w:t>12.5%</w:t>
            </w:r>
          </w:p>
        </w:tc>
      </w:tr>
      <w:tr w:rsidR="003D2439" w:rsidRPr="00FC6804" w:rsidTr="003D2439">
        <w:tc>
          <w:tcPr>
            <w:tcW w:w="3510" w:type="dxa"/>
            <w:vAlign w:val="bottom"/>
          </w:tcPr>
          <w:p w:rsidR="003D2439" w:rsidRPr="00FC6804" w:rsidRDefault="003D2439" w:rsidP="003D2439">
            <w:pPr>
              <w:spacing w:before="60" w:after="60"/>
              <w:rPr>
                <w:rFonts w:ascii="Arial" w:hAnsi="Arial" w:cs="Arial"/>
                <w:b/>
                <w:sz w:val="20"/>
                <w:szCs w:val="20"/>
                <w:u w:val="single"/>
              </w:rPr>
            </w:pPr>
            <w:r w:rsidRPr="00FC6804">
              <w:rPr>
                <w:rFonts w:ascii="Arial" w:hAnsi="Arial" w:cs="Arial"/>
                <w:color w:val="000000"/>
                <w:sz w:val="20"/>
                <w:szCs w:val="20"/>
              </w:rPr>
              <w:t>100,001 to 200,000 units</w:t>
            </w:r>
          </w:p>
        </w:tc>
        <w:tc>
          <w:tcPr>
            <w:tcW w:w="2866" w:type="dxa"/>
          </w:tcPr>
          <w:p w:rsidR="003D2439" w:rsidRPr="00FC6804" w:rsidRDefault="003D2439" w:rsidP="003D2439">
            <w:pPr>
              <w:spacing w:before="60" w:after="60"/>
              <w:jc w:val="center"/>
              <w:rPr>
                <w:rFonts w:ascii="Arial" w:hAnsi="Arial" w:cs="Arial"/>
                <w:b/>
                <w:sz w:val="20"/>
                <w:szCs w:val="20"/>
                <w:u w:val="single"/>
              </w:rPr>
            </w:pPr>
            <w:r w:rsidRPr="00FC6804">
              <w:rPr>
                <w:rFonts w:ascii="Arial" w:hAnsi="Arial" w:cs="Arial"/>
                <w:sz w:val="20"/>
                <w:szCs w:val="20"/>
              </w:rPr>
              <w:t>1</w:t>
            </w:r>
          </w:p>
        </w:tc>
        <w:tc>
          <w:tcPr>
            <w:tcW w:w="2866" w:type="dxa"/>
            <w:vAlign w:val="center"/>
          </w:tcPr>
          <w:p w:rsidR="003D2439" w:rsidRPr="00FC6804" w:rsidRDefault="003D2439" w:rsidP="003D2439">
            <w:pPr>
              <w:spacing w:before="60" w:after="60"/>
              <w:jc w:val="center"/>
              <w:rPr>
                <w:rFonts w:ascii="Arial" w:hAnsi="Arial" w:cs="Arial"/>
                <w:b/>
                <w:sz w:val="20"/>
                <w:szCs w:val="20"/>
                <w:u w:val="single"/>
              </w:rPr>
            </w:pPr>
            <w:r w:rsidRPr="00FC6804">
              <w:rPr>
                <w:rFonts w:ascii="Arial" w:hAnsi="Arial" w:cs="Arial"/>
                <w:color w:val="000000"/>
                <w:sz w:val="20"/>
                <w:szCs w:val="20"/>
              </w:rPr>
              <w:t>2.5%</w:t>
            </w:r>
          </w:p>
        </w:tc>
      </w:tr>
      <w:tr w:rsidR="003D2439" w:rsidRPr="00FC6804" w:rsidTr="003D2439">
        <w:tc>
          <w:tcPr>
            <w:tcW w:w="3510" w:type="dxa"/>
            <w:vAlign w:val="bottom"/>
          </w:tcPr>
          <w:p w:rsidR="003D2439" w:rsidRPr="00FC6804" w:rsidRDefault="003D2439" w:rsidP="003D2439">
            <w:pPr>
              <w:spacing w:before="60" w:after="60"/>
              <w:rPr>
                <w:rFonts w:ascii="Arial" w:hAnsi="Arial" w:cs="Arial"/>
                <w:b/>
                <w:sz w:val="20"/>
                <w:szCs w:val="20"/>
                <w:u w:val="single"/>
              </w:rPr>
            </w:pPr>
            <w:r w:rsidRPr="00FC6804">
              <w:rPr>
                <w:rFonts w:ascii="Arial" w:hAnsi="Arial" w:cs="Arial"/>
                <w:color w:val="000000"/>
                <w:sz w:val="20"/>
                <w:szCs w:val="20"/>
              </w:rPr>
              <w:t>200,001 to 400,000 units</w:t>
            </w:r>
          </w:p>
        </w:tc>
        <w:tc>
          <w:tcPr>
            <w:tcW w:w="2866" w:type="dxa"/>
          </w:tcPr>
          <w:p w:rsidR="003D2439" w:rsidRPr="00FC6804" w:rsidRDefault="003D2439" w:rsidP="003D2439">
            <w:pPr>
              <w:spacing w:before="60" w:after="60"/>
              <w:jc w:val="center"/>
              <w:rPr>
                <w:rFonts w:ascii="Arial" w:hAnsi="Arial" w:cs="Arial"/>
                <w:b/>
                <w:sz w:val="20"/>
                <w:szCs w:val="20"/>
                <w:u w:val="single"/>
              </w:rPr>
            </w:pPr>
            <w:r w:rsidRPr="00FC6804">
              <w:rPr>
                <w:rFonts w:ascii="Arial" w:hAnsi="Arial" w:cs="Arial"/>
                <w:sz w:val="20"/>
                <w:szCs w:val="20"/>
              </w:rPr>
              <w:t>4</w:t>
            </w:r>
          </w:p>
        </w:tc>
        <w:tc>
          <w:tcPr>
            <w:tcW w:w="2866" w:type="dxa"/>
            <w:vAlign w:val="center"/>
          </w:tcPr>
          <w:p w:rsidR="003D2439" w:rsidRPr="00FC6804" w:rsidRDefault="003D2439" w:rsidP="003D2439">
            <w:pPr>
              <w:spacing w:before="60" w:after="60"/>
              <w:jc w:val="center"/>
              <w:rPr>
                <w:rFonts w:ascii="Arial" w:hAnsi="Arial" w:cs="Arial"/>
                <w:b/>
                <w:sz w:val="20"/>
                <w:szCs w:val="20"/>
                <w:u w:val="single"/>
              </w:rPr>
            </w:pPr>
            <w:r w:rsidRPr="00FC6804">
              <w:rPr>
                <w:rFonts w:ascii="Arial" w:hAnsi="Arial" w:cs="Arial"/>
                <w:color w:val="000000"/>
                <w:sz w:val="20"/>
                <w:szCs w:val="20"/>
              </w:rPr>
              <w:t>10.0%</w:t>
            </w:r>
          </w:p>
        </w:tc>
      </w:tr>
      <w:tr w:rsidR="003D2439" w:rsidRPr="00FC6804" w:rsidTr="003D2439">
        <w:tc>
          <w:tcPr>
            <w:tcW w:w="3510" w:type="dxa"/>
            <w:vAlign w:val="bottom"/>
          </w:tcPr>
          <w:p w:rsidR="003D2439" w:rsidRPr="00FC6804" w:rsidRDefault="003D2439" w:rsidP="003D2439">
            <w:pPr>
              <w:spacing w:before="60" w:after="60"/>
              <w:rPr>
                <w:rFonts w:ascii="Arial" w:hAnsi="Arial" w:cs="Arial"/>
                <w:b/>
                <w:sz w:val="20"/>
                <w:szCs w:val="20"/>
                <w:u w:val="single"/>
              </w:rPr>
            </w:pPr>
            <w:r w:rsidRPr="00FC6804">
              <w:rPr>
                <w:rFonts w:ascii="Arial" w:hAnsi="Arial" w:cs="Arial"/>
                <w:color w:val="000000"/>
                <w:sz w:val="20"/>
                <w:szCs w:val="20"/>
              </w:rPr>
              <w:t>Over 400,001 units</w:t>
            </w:r>
          </w:p>
        </w:tc>
        <w:tc>
          <w:tcPr>
            <w:tcW w:w="2866" w:type="dxa"/>
          </w:tcPr>
          <w:p w:rsidR="003D2439" w:rsidRPr="00FC6804" w:rsidRDefault="003D2439" w:rsidP="003D2439">
            <w:pPr>
              <w:spacing w:before="60" w:after="60"/>
              <w:jc w:val="center"/>
              <w:rPr>
                <w:rFonts w:ascii="Arial" w:hAnsi="Arial" w:cs="Arial"/>
                <w:b/>
                <w:sz w:val="20"/>
                <w:szCs w:val="20"/>
                <w:u w:val="single"/>
              </w:rPr>
            </w:pPr>
            <w:r w:rsidRPr="00FC6804">
              <w:rPr>
                <w:rFonts w:ascii="Arial" w:hAnsi="Arial" w:cs="Arial"/>
                <w:sz w:val="20"/>
                <w:szCs w:val="20"/>
              </w:rPr>
              <w:t>5</w:t>
            </w:r>
          </w:p>
        </w:tc>
        <w:tc>
          <w:tcPr>
            <w:tcW w:w="2866" w:type="dxa"/>
            <w:vAlign w:val="center"/>
          </w:tcPr>
          <w:p w:rsidR="003D2439" w:rsidRPr="00FC6804" w:rsidRDefault="003D2439" w:rsidP="003D2439">
            <w:pPr>
              <w:spacing w:before="60" w:after="60"/>
              <w:jc w:val="center"/>
              <w:rPr>
                <w:rFonts w:ascii="Arial" w:hAnsi="Arial" w:cs="Arial"/>
                <w:b/>
                <w:sz w:val="20"/>
                <w:szCs w:val="20"/>
                <w:u w:val="single"/>
              </w:rPr>
            </w:pPr>
            <w:r w:rsidRPr="00FC6804">
              <w:rPr>
                <w:rFonts w:ascii="Arial" w:hAnsi="Arial" w:cs="Arial"/>
                <w:color w:val="000000"/>
                <w:sz w:val="20"/>
                <w:szCs w:val="20"/>
              </w:rPr>
              <w:t>12.5%</w:t>
            </w:r>
          </w:p>
        </w:tc>
      </w:tr>
      <w:tr w:rsidR="003D2439" w:rsidRPr="00FC6804" w:rsidTr="003D2439">
        <w:tc>
          <w:tcPr>
            <w:tcW w:w="3510" w:type="dxa"/>
            <w:vAlign w:val="bottom"/>
          </w:tcPr>
          <w:p w:rsidR="003D2439" w:rsidRPr="00FC6804" w:rsidRDefault="003D2439" w:rsidP="003D2439">
            <w:pPr>
              <w:spacing w:before="60" w:after="60"/>
              <w:rPr>
                <w:rFonts w:ascii="Arial" w:hAnsi="Arial" w:cs="Arial"/>
                <w:color w:val="000000"/>
                <w:sz w:val="20"/>
                <w:szCs w:val="20"/>
              </w:rPr>
            </w:pPr>
            <w:r w:rsidRPr="00FC6804">
              <w:rPr>
                <w:rFonts w:ascii="Arial" w:hAnsi="Arial" w:cs="Arial"/>
                <w:color w:val="000000"/>
                <w:sz w:val="20"/>
                <w:szCs w:val="20"/>
              </w:rPr>
              <w:t>Department of Agriculture (export)</w:t>
            </w:r>
          </w:p>
        </w:tc>
        <w:tc>
          <w:tcPr>
            <w:tcW w:w="2866" w:type="dxa"/>
          </w:tcPr>
          <w:p w:rsidR="003D2439" w:rsidRPr="00FC6804" w:rsidRDefault="003D2439" w:rsidP="003D2439">
            <w:pPr>
              <w:spacing w:before="60" w:after="60"/>
              <w:jc w:val="center"/>
              <w:rPr>
                <w:rFonts w:ascii="Arial" w:hAnsi="Arial" w:cs="Arial"/>
                <w:sz w:val="20"/>
                <w:szCs w:val="20"/>
              </w:rPr>
            </w:pPr>
            <w:r w:rsidRPr="00FC6804">
              <w:rPr>
                <w:rFonts w:ascii="Arial" w:hAnsi="Arial" w:cs="Arial"/>
                <w:sz w:val="20"/>
                <w:szCs w:val="20"/>
              </w:rPr>
              <w:t>21</w:t>
            </w:r>
          </w:p>
        </w:tc>
        <w:tc>
          <w:tcPr>
            <w:tcW w:w="2866" w:type="dxa"/>
            <w:vAlign w:val="center"/>
          </w:tcPr>
          <w:p w:rsidR="003D2439" w:rsidRPr="00FC6804" w:rsidRDefault="003D2439" w:rsidP="003D2439">
            <w:pPr>
              <w:spacing w:before="60" w:after="60"/>
              <w:jc w:val="center"/>
              <w:rPr>
                <w:rFonts w:ascii="Arial" w:hAnsi="Arial" w:cs="Arial"/>
                <w:color w:val="000000"/>
                <w:sz w:val="20"/>
                <w:szCs w:val="20"/>
              </w:rPr>
            </w:pPr>
            <w:r w:rsidRPr="00FC6804">
              <w:rPr>
                <w:rFonts w:ascii="Arial" w:hAnsi="Arial" w:cs="Arial"/>
                <w:color w:val="000000"/>
                <w:sz w:val="20"/>
                <w:szCs w:val="20"/>
              </w:rPr>
              <w:t>52.5%</w:t>
            </w:r>
          </w:p>
        </w:tc>
      </w:tr>
      <w:tr w:rsidR="003D2439" w:rsidRPr="00FC6804" w:rsidTr="003D2439">
        <w:tc>
          <w:tcPr>
            <w:tcW w:w="3510" w:type="dxa"/>
            <w:vAlign w:val="bottom"/>
          </w:tcPr>
          <w:p w:rsidR="003D2439" w:rsidRPr="00FC6804" w:rsidRDefault="003D2439" w:rsidP="003D2439">
            <w:pPr>
              <w:spacing w:before="60" w:after="60"/>
              <w:rPr>
                <w:rFonts w:ascii="Arial" w:hAnsi="Arial" w:cs="Arial"/>
                <w:color w:val="000000"/>
                <w:sz w:val="20"/>
                <w:szCs w:val="20"/>
              </w:rPr>
            </w:pPr>
            <w:r w:rsidRPr="00FC6804">
              <w:rPr>
                <w:rFonts w:ascii="Arial" w:hAnsi="Arial" w:cs="Arial"/>
                <w:b/>
                <w:color w:val="000000"/>
                <w:sz w:val="20"/>
                <w:szCs w:val="20"/>
              </w:rPr>
              <w:t>Total</w:t>
            </w:r>
          </w:p>
        </w:tc>
        <w:tc>
          <w:tcPr>
            <w:tcW w:w="2866" w:type="dxa"/>
          </w:tcPr>
          <w:p w:rsidR="003D2439" w:rsidRPr="00FC6804" w:rsidRDefault="003D2439" w:rsidP="003D2439">
            <w:pPr>
              <w:spacing w:before="60" w:after="60"/>
              <w:jc w:val="center"/>
              <w:rPr>
                <w:rFonts w:ascii="Arial" w:hAnsi="Arial" w:cs="Arial"/>
                <w:sz w:val="20"/>
                <w:szCs w:val="20"/>
              </w:rPr>
            </w:pPr>
            <w:r w:rsidRPr="00FC6804">
              <w:rPr>
                <w:rFonts w:ascii="Arial" w:hAnsi="Arial" w:cs="Arial"/>
                <w:b/>
                <w:sz w:val="20"/>
                <w:szCs w:val="20"/>
              </w:rPr>
              <w:t>40</w:t>
            </w:r>
          </w:p>
        </w:tc>
        <w:tc>
          <w:tcPr>
            <w:tcW w:w="2866" w:type="dxa"/>
            <w:vAlign w:val="center"/>
          </w:tcPr>
          <w:p w:rsidR="003D2439" w:rsidRPr="00FC6804" w:rsidRDefault="003D2439" w:rsidP="003D2439">
            <w:pPr>
              <w:spacing w:before="60" w:after="60"/>
              <w:jc w:val="center"/>
              <w:rPr>
                <w:rFonts w:ascii="Arial" w:hAnsi="Arial" w:cs="Arial"/>
                <w:color w:val="000000"/>
                <w:sz w:val="20"/>
                <w:szCs w:val="20"/>
              </w:rPr>
            </w:pPr>
            <w:r w:rsidRPr="00FC6804">
              <w:rPr>
                <w:rFonts w:ascii="Arial" w:hAnsi="Arial" w:cs="Arial"/>
                <w:b/>
                <w:color w:val="000000"/>
                <w:sz w:val="20"/>
                <w:szCs w:val="20"/>
              </w:rPr>
              <w:t>100.0%</w:t>
            </w:r>
          </w:p>
        </w:tc>
      </w:tr>
    </w:tbl>
    <w:p w:rsidR="001508B7" w:rsidRPr="00FC6804" w:rsidRDefault="001508B7" w:rsidP="003D2439">
      <w:pPr>
        <w:spacing w:after="0" w:line="240" w:lineRule="auto"/>
        <w:rPr>
          <w:rFonts w:ascii="Arial" w:hAnsi="Arial" w:cs="Arial"/>
          <w:sz w:val="20"/>
          <w:szCs w:val="20"/>
        </w:rPr>
      </w:pPr>
    </w:p>
    <w:p w:rsidR="001508B7" w:rsidRPr="00FC6804" w:rsidRDefault="004E348B" w:rsidP="003D2439">
      <w:pPr>
        <w:spacing w:after="0" w:line="240" w:lineRule="auto"/>
        <w:rPr>
          <w:rFonts w:ascii="Arial" w:hAnsi="Arial" w:cs="Arial"/>
          <w:sz w:val="20"/>
          <w:szCs w:val="20"/>
        </w:rPr>
      </w:pPr>
      <w:r w:rsidRPr="00FC6804">
        <w:rPr>
          <w:rFonts w:ascii="Arial" w:hAnsi="Arial" w:cs="Arial"/>
          <w:sz w:val="20"/>
          <w:szCs w:val="20"/>
        </w:rPr>
        <w:t>T</w:t>
      </w:r>
      <w:r w:rsidR="001508B7" w:rsidRPr="00FC6804">
        <w:rPr>
          <w:rFonts w:ascii="Arial" w:hAnsi="Arial" w:cs="Arial"/>
          <w:sz w:val="20"/>
          <w:szCs w:val="20"/>
        </w:rPr>
        <w:t xml:space="preserve">able </w:t>
      </w:r>
      <w:r w:rsidR="001136ED">
        <w:rPr>
          <w:rFonts w:ascii="Arial" w:hAnsi="Arial" w:cs="Arial"/>
          <w:sz w:val="20"/>
          <w:szCs w:val="20"/>
        </w:rPr>
        <w:t>5</w:t>
      </w:r>
      <w:r w:rsidR="001508B7" w:rsidRPr="00FC6804">
        <w:rPr>
          <w:rFonts w:ascii="Arial" w:hAnsi="Arial" w:cs="Arial"/>
          <w:sz w:val="20"/>
          <w:szCs w:val="20"/>
        </w:rPr>
        <w:t>.</w:t>
      </w:r>
      <w:r w:rsidR="00C11A36" w:rsidRPr="00FC6804">
        <w:rPr>
          <w:rFonts w:ascii="Arial" w:hAnsi="Arial" w:cs="Arial"/>
          <w:sz w:val="20"/>
          <w:szCs w:val="20"/>
        </w:rPr>
        <w:t xml:space="preserve">5 </w:t>
      </w:r>
      <w:r w:rsidR="001508B7" w:rsidRPr="00FC6804">
        <w:rPr>
          <w:rFonts w:ascii="Arial" w:hAnsi="Arial" w:cs="Arial"/>
          <w:sz w:val="20"/>
          <w:szCs w:val="20"/>
        </w:rPr>
        <w:t xml:space="preserve">shows that small businesses predominate in the </w:t>
      </w:r>
      <w:r w:rsidR="00727A8E" w:rsidRPr="00FC6804">
        <w:rPr>
          <w:rFonts w:ascii="Arial" w:hAnsi="Arial" w:cs="Arial"/>
          <w:sz w:val="20"/>
          <w:szCs w:val="20"/>
        </w:rPr>
        <w:t xml:space="preserve">further meat processing sector. </w:t>
      </w:r>
      <w:r w:rsidR="001508B7" w:rsidRPr="00FC6804">
        <w:rPr>
          <w:rFonts w:ascii="Arial" w:hAnsi="Arial" w:cs="Arial"/>
          <w:sz w:val="20"/>
          <w:szCs w:val="20"/>
        </w:rPr>
        <w:t>Almost half of all regulated business</w:t>
      </w:r>
      <w:r w:rsidR="00C872C0" w:rsidRPr="00FC6804">
        <w:rPr>
          <w:rFonts w:ascii="Arial" w:hAnsi="Arial" w:cs="Arial"/>
          <w:sz w:val="20"/>
          <w:szCs w:val="20"/>
        </w:rPr>
        <w:t>es</w:t>
      </w:r>
      <w:r w:rsidR="001508B7" w:rsidRPr="00FC6804">
        <w:rPr>
          <w:rFonts w:ascii="Arial" w:hAnsi="Arial" w:cs="Arial"/>
          <w:sz w:val="20"/>
          <w:szCs w:val="20"/>
        </w:rPr>
        <w:t xml:space="preserve"> </w:t>
      </w:r>
      <w:r w:rsidR="00C872C0" w:rsidRPr="00FC6804">
        <w:rPr>
          <w:rFonts w:ascii="Arial" w:hAnsi="Arial" w:cs="Arial"/>
          <w:sz w:val="20"/>
          <w:szCs w:val="20"/>
        </w:rPr>
        <w:t xml:space="preserve">in this sector </w:t>
      </w:r>
      <w:r w:rsidR="001508B7" w:rsidRPr="00FC6804">
        <w:rPr>
          <w:rFonts w:ascii="Arial" w:hAnsi="Arial" w:cs="Arial"/>
          <w:sz w:val="20"/>
          <w:szCs w:val="20"/>
        </w:rPr>
        <w:t xml:space="preserve">fall into the lowest </w:t>
      </w:r>
      <w:r w:rsidR="001136ED">
        <w:rPr>
          <w:rFonts w:ascii="Arial" w:hAnsi="Arial" w:cs="Arial"/>
          <w:sz w:val="20"/>
          <w:szCs w:val="20"/>
        </w:rPr>
        <w:t>throughput</w:t>
      </w:r>
      <w:r w:rsidR="001508B7" w:rsidRPr="00FC6804">
        <w:rPr>
          <w:rFonts w:ascii="Arial" w:hAnsi="Arial" w:cs="Arial"/>
          <w:sz w:val="20"/>
          <w:szCs w:val="20"/>
        </w:rPr>
        <w:t xml:space="preserve"> category, while more than three quarters of the sector falls into the lowest thre</w:t>
      </w:r>
      <w:r w:rsidR="001136ED">
        <w:rPr>
          <w:rFonts w:ascii="Arial" w:hAnsi="Arial" w:cs="Arial"/>
          <w:sz w:val="20"/>
          <w:szCs w:val="20"/>
        </w:rPr>
        <w:t xml:space="preserve">e of the six output categories </w:t>
      </w:r>
      <w:r w:rsidR="001508B7" w:rsidRPr="00FC6804">
        <w:rPr>
          <w:rFonts w:ascii="Arial" w:hAnsi="Arial" w:cs="Arial"/>
          <w:sz w:val="20"/>
          <w:szCs w:val="20"/>
        </w:rPr>
        <w:t>currently adopted.</w:t>
      </w:r>
      <w:r w:rsidR="00727A8E" w:rsidRPr="00FC6804">
        <w:rPr>
          <w:rFonts w:ascii="Arial" w:hAnsi="Arial" w:cs="Arial"/>
          <w:sz w:val="20"/>
          <w:szCs w:val="20"/>
        </w:rPr>
        <w:t xml:space="preserve"> </w:t>
      </w:r>
      <w:r w:rsidR="001508B7" w:rsidRPr="00FC6804">
        <w:rPr>
          <w:rFonts w:ascii="Arial" w:hAnsi="Arial" w:cs="Arial"/>
          <w:sz w:val="20"/>
          <w:szCs w:val="20"/>
        </w:rPr>
        <w:t>Notably, this sector is essentially domestically oriented, with less than 10% of businesses being exporters, and thus subject to Department of Agriculture oversight, compared with more than 50% of abattoirs.</w:t>
      </w:r>
    </w:p>
    <w:p w:rsidR="003D2439" w:rsidRPr="00FC6804" w:rsidRDefault="003D2439" w:rsidP="003D2439">
      <w:pPr>
        <w:spacing w:after="0" w:line="240" w:lineRule="auto"/>
        <w:rPr>
          <w:rFonts w:ascii="Arial" w:hAnsi="Arial" w:cs="Arial"/>
          <w:b/>
          <w:sz w:val="20"/>
          <w:szCs w:val="20"/>
          <w:u w:val="single"/>
        </w:rPr>
      </w:pPr>
    </w:p>
    <w:p w:rsidR="001508B7" w:rsidRPr="00FC6804" w:rsidRDefault="001508B7" w:rsidP="003D2439">
      <w:pPr>
        <w:spacing w:after="0" w:line="240" w:lineRule="auto"/>
        <w:rPr>
          <w:rFonts w:ascii="Arial" w:hAnsi="Arial" w:cs="Arial"/>
          <w:b/>
          <w:color w:val="1F4E79" w:themeColor="accent1" w:themeShade="80"/>
          <w:sz w:val="20"/>
          <w:szCs w:val="20"/>
        </w:rPr>
      </w:pPr>
      <w:r w:rsidRPr="00FC6804">
        <w:rPr>
          <w:rFonts w:ascii="Arial" w:hAnsi="Arial" w:cs="Arial"/>
          <w:b/>
          <w:color w:val="1F4E79" w:themeColor="accent1" w:themeShade="80"/>
          <w:sz w:val="20"/>
          <w:szCs w:val="20"/>
        </w:rPr>
        <w:t xml:space="preserve">Table </w:t>
      </w:r>
      <w:r w:rsidR="001136ED">
        <w:rPr>
          <w:rFonts w:ascii="Arial" w:hAnsi="Arial" w:cs="Arial"/>
          <w:b/>
          <w:color w:val="1F4E79" w:themeColor="accent1" w:themeShade="80"/>
          <w:sz w:val="20"/>
          <w:szCs w:val="20"/>
        </w:rPr>
        <w:t>5</w:t>
      </w:r>
      <w:r w:rsidRPr="00FC6804">
        <w:rPr>
          <w:rFonts w:ascii="Arial" w:hAnsi="Arial" w:cs="Arial"/>
          <w:b/>
          <w:color w:val="1F4E79" w:themeColor="accent1" w:themeShade="80"/>
          <w:sz w:val="20"/>
          <w:szCs w:val="20"/>
        </w:rPr>
        <w:t>.</w:t>
      </w:r>
      <w:r w:rsidR="00C11A36" w:rsidRPr="00FC6804">
        <w:rPr>
          <w:rFonts w:ascii="Arial" w:hAnsi="Arial" w:cs="Arial"/>
          <w:b/>
          <w:color w:val="1F4E79" w:themeColor="accent1" w:themeShade="80"/>
          <w:sz w:val="20"/>
          <w:szCs w:val="20"/>
        </w:rPr>
        <w:t>5</w:t>
      </w:r>
      <w:r w:rsidRPr="00FC6804">
        <w:rPr>
          <w:rFonts w:ascii="Arial" w:hAnsi="Arial" w:cs="Arial"/>
          <w:b/>
          <w:color w:val="1F4E79" w:themeColor="accent1" w:themeShade="80"/>
          <w:sz w:val="20"/>
          <w:szCs w:val="20"/>
        </w:rPr>
        <w:t>: Distribution of busin</w:t>
      </w:r>
      <w:r w:rsidR="007D49A5" w:rsidRPr="00FC6804">
        <w:rPr>
          <w:rFonts w:ascii="Arial" w:hAnsi="Arial" w:cs="Arial"/>
          <w:b/>
          <w:color w:val="1F4E79" w:themeColor="accent1" w:themeShade="80"/>
          <w:sz w:val="20"/>
          <w:szCs w:val="20"/>
        </w:rPr>
        <w:t>esses by output-level category – Further meat processing facilities</w:t>
      </w:r>
    </w:p>
    <w:p w:rsidR="003D2439" w:rsidRPr="00FC6804" w:rsidRDefault="003D2439" w:rsidP="003D2439">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3510"/>
        <w:gridCol w:w="2835"/>
        <w:gridCol w:w="2897"/>
      </w:tblGrid>
      <w:tr w:rsidR="007D49A5" w:rsidRPr="00FC6804" w:rsidTr="009E63BE">
        <w:tc>
          <w:tcPr>
            <w:tcW w:w="3510" w:type="dxa"/>
            <w:shd w:val="clear" w:color="auto" w:fill="F2F2F2" w:themeFill="background1" w:themeFillShade="F2"/>
          </w:tcPr>
          <w:p w:rsidR="007D49A5" w:rsidRPr="00FC6804" w:rsidRDefault="001136ED" w:rsidP="001136ED">
            <w:pPr>
              <w:spacing w:before="60" w:after="60"/>
              <w:jc w:val="center"/>
              <w:rPr>
                <w:rFonts w:ascii="Arial" w:hAnsi="Arial" w:cs="Arial"/>
                <w:b/>
                <w:sz w:val="20"/>
                <w:szCs w:val="20"/>
                <w:u w:val="single"/>
              </w:rPr>
            </w:pPr>
            <w:r>
              <w:rPr>
                <w:rFonts w:ascii="Arial" w:hAnsi="Arial" w:cs="Arial"/>
                <w:b/>
                <w:sz w:val="20"/>
                <w:szCs w:val="20"/>
              </w:rPr>
              <w:t>Throughput</w:t>
            </w:r>
            <w:r w:rsidR="007D49A5" w:rsidRPr="00FC6804">
              <w:rPr>
                <w:rFonts w:ascii="Arial" w:hAnsi="Arial" w:cs="Arial"/>
                <w:b/>
                <w:sz w:val="20"/>
                <w:szCs w:val="20"/>
              </w:rPr>
              <w:t xml:space="preserve"> </w:t>
            </w:r>
            <w:r>
              <w:rPr>
                <w:rFonts w:ascii="Arial" w:hAnsi="Arial" w:cs="Arial"/>
                <w:b/>
                <w:sz w:val="20"/>
                <w:szCs w:val="20"/>
              </w:rPr>
              <w:t>C</w:t>
            </w:r>
            <w:r w:rsidR="007D49A5" w:rsidRPr="00FC6804">
              <w:rPr>
                <w:rFonts w:ascii="Arial" w:hAnsi="Arial" w:cs="Arial"/>
                <w:b/>
                <w:sz w:val="20"/>
                <w:szCs w:val="20"/>
              </w:rPr>
              <w:t>ategory</w:t>
            </w:r>
          </w:p>
        </w:tc>
        <w:tc>
          <w:tcPr>
            <w:tcW w:w="2835" w:type="dxa"/>
            <w:shd w:val="clear" w:color="auto" w:fill="F2F2F2" w:themeFill="background1" w:themeFillShade="F2"/>
          </w:tcPr>
          <w:p w:rsidR="007D49A5" w:rsidRPr="00FC6804" w:rsidRDefault="007D49A5" w:rsidP="001136ED">
            <w:pPr>
              <w:spacing w:before="60" w:after="60"/>
              <w:jc w:val="center"/>
              <w:rPr>
                <w:rFonts w:ascii="Arial" w:hAnsi="Arial" w:cs="Arial"/>
                <w:b/>
                <w:sz w:val="20"/>
                <w:szCs w:val="20"/>
                <w:u w:val="single"/>
              </w:rPr>
            </w:pPr>
            <w:r w:rsidRPr="00FC6804">
              <w:rPr>
                <w:rFonts w:ascii="Arial" w:hAnsi="Arial" w:cs="Arial"/>
                <w:b/>
                <w:sz w:val="20"/>
                <w:szCs w:val="20"/>
              </w:rPr>
              <w:t xml:space="preserve">Number of </w:t>
            </w:r>
            <w:r w:rsidR="001136ED">
              <w:rPr>
                <w:rFonts w:ascii="Arial" w:hAnsi="Arial" w:cs="Arial"/>
                <w:b/>
                <w:sz w:val="20"/>
                <w:szCs w:val="20"/>
              </w:rPr>
              <w:t>B</w:t>
            </w:r>
            <w:r w:rsidRPr="00FC6804">
              <w:rPr>
                <w:rFonts w:ascii="Arial" w:hAnsi="Arial" w:cs="Arial"/>
                <w:b/>
                <w:sz w:val="20"/>
                <w:szCs w:val="20"/>
              </w:rPr>
              <w:t>usinesses</w:t>
            </w:r>
          </w:p>
        </w:tc>
        <w:tc>
          <w:tcPr>
            <w:tcW w:w="2897" w:type="dxa"/>
            <w:shd w:val="clear" w:color="auto" w:fill="F2F2F2" w:themeFill="background1" w:themeFillShade="F2"/>
          </w:tcPr>
          <w:p w:rsidR="007D49A5" w:rsidRPr="00FC6804" w:rsidRDefault="007D49A5" w:rsidP="009E63BE">
            <w:pPr>
              <w:spacing w:before="60" w:after="60"/>
              <w:jc w:val="center"/>
              <w:rPr>
                <w:rFonts w:ascii="Arial" w:hAnsi="Arial" w:cs="Arial"/>
                <w:b/>
                <w:sz w:val="20"/>
                <w:szCs w:val="20"/>
                <w:u w:val="single"/>
              </w:rPr>
            </w:pPr>
            <w:r w:rsidRPr="00FC6804">
              <w:rPr>
                <w:rFonts w:ascii="Arial" w:hAnsi="Arial" w:cs="Arial"/>
                <w:b/>
                <w:sz w:val="20"/>
                <w:szCs w:val="20"/>
              </w:rPr>
              <w:t xml:space="preserve">% of </w:t>
            </w:r>
            <w:r w:rsidR="009E63BE">
              <w:rPr>
                <w:rFonts w:ascii="Arial" w:hAnsi="Arial" w:cs="Arial"/>
                <w:b/>
                <w:sz w:val="20"/>
                <w:szCs w:val="20"/>
              </w:rPr>
              <w:t>T</w:t>
            </w:r>
            <w:r w:rsidRPr="00FC6804">
              <w:rPr>
                <w:rFonts w:ascii="Arial" w:hAnsi="Arial" w:cs="Arial"/>
                <w:b/>
                <w:sz w:val="20"/>
                <w:szCs w:val="20"/>
              </w:rPr>
              <w:t>otal</w:t>
            </w:r>
          </w:p>
        </w:tc>
      </w:tr>
      <w:tr w:rsidR="007D49A5" w:rsidRPr="00FC6804" w:rsidTr="009D3DA8">
        <w:tc>
          <w:tcPr>
            <w:tcW w:w="3510" w:type="dxa"/>
            <w:vAlign w:val="bottom"/>
          </w:tcPr>
          <w:p w:rsidR="007D49A5" w:rsidRPr="00FC6804" w:rsidRDefault="007D49A5" w:rsidP="009D3DA8">
            <w:pPr>
              <w:spacing w:before="60" w:after="60"/>
              <w:rPr>
                <w:rFonts w:ascii="Arial" w:hAnsi="Arial" w:cs="Arial"/>
                <w:b/>
                <w:sz w:val="20"/>
                <w:szCs w:val="20"/>
                <w:u w:val="single"/>
              </w:rPr>
            </w:pPr>
            <w:r w:rsidRPr="00FC6804">
              <w:rPr>
                <w:rFonts w:ascii="Arial" w:hAnsi="Arial" w:cs="Arial"/>
                <w:color w:val="000000"/>
                <w:sz w:val="20"/>
                <w:szCs w:val="20"/>
              </w:rPr>
              <w:t>Up to 250 tonnes</w:t>
            </w:r>
          </w:p>
        </w:tc>
        <w:tc>
          <w:tcPr>
            <w:tcW w:w="2835" w:type="dxa"/>
          </w:tcPr>
          <w:p w:rsidR="007D49A5" w:rsidRPr="00FC6804" w:rsidRDefault="007D49A5" w:rsidP="009D3DA8">
            <w:pPr>
              <w:spacing w:before="60" w:after="60"/>
              <w:jc w:val="center"/>
              <w:rPr>
                <w:rFonts w:ascii="Arial" w:hAnsi="Arial" w:cs="Arial"/>
                <w:b/>
                <w:sz w:val="20"/>
                <w:szCs w:val="20"/>
                <w:u w:val="single"/>
              </w:rPr>
            </w:pPr>
            <w:r w:rsidRPr="00FC6804">
              <w:rPr>
                <w:rFonts w:ascii="Arial" w:hAnsi="Arial" w:cs="Arial"/>
                <w:sz w:val="20"/>
                <w:szCs w:val="20"/>
              </w:rPr>
              <w:t>172</w:t>
            </w:r>
          </w:p>
        </w:tc>
        <w:tc>
          <w:tcPr>
            <w:tcW w:w="2897" w:type="dxa"/>
            <w:vAlign w:val="center"/>
          </w:tcPr>
          <w:p w:rsidR="007D49A5" w:rsidRPr="00FC6804" w:rsidRDefault="007D49A5" w:rsidP="009D3DA8">
            <w:pPr>
              <w:spacing w:before="60" w:after="60"/>
              <w:jc w:val="center"/>
              <w:rPr>
                <w:rFonts w:ascii="Arial" w:hAnsi="Arial" w:cs="Arial"/>
                <w:b/>
                <w:sz w:val="20"/>
                <w:szCs w:val="20"/>
                <w:u w:val="single"/>
              </w:rPr>
            </w:pPr>
            <w:r w:rsidRPr="00FC6804">
              <w:rPr>
                <w:rFonts w:ascii="Arial" w:hAnsi="Arial" w:cs="Arial"/>
                <w:color w:val="000000"/>
                <w:sz w:val="20"/>
                <w:szCs w:val="20"/>
              </w:rPr>
              <w:t>49.3%</w:t>
            </w:r>
          </w:p>
        </w:tc>
      </w:tr>
      <w:tr w:rsidR="007D49A5" w:rsidRPr="00FC6804" w:rsidTr="009D3DA8">
        <w:tc>
          <w:tcPr>
            <w:tcW w:w="3510" w:type="dxa"/>
            <w:vAlign w:val="bottom"/>
          </w:tcPr>
          <w:p w:rsidR="007D49A5" w:rsidRPr="00FC6804" w:rsidRDefault="007D49A5" w:rsidP="009D3DA8">
            <w:pPr>
              <w:spacing w:before="60" w:after="60"/>
              <w:rPr>
                <w:rFonts w:ascii="Arial" w:hAnsi="Arial" w:cs="Arial"/>
                <w:b/>
                <w:sz w:val="20"/>
                <w:szCs w:val="20"/>
                <w:u w:val="single"/>
              </w:rPr>
            </w:pPr>
            <w:r w:rsidRPr="00FC6804">
              <w:rPr>
                <w:rFonts w:ascii="Arial" w:hAnsi="Arial" w:cs="Arial"/>
                <w:color w:val="000000"/>
                <w:sz w:val="20"/>
                <w:szCs w:val="20"/>
              </w:rPr>
              <w:t>251 to 500 tonnes</w:t>
            </w:r>
          </w:p>
        </w:tc>
        <w:tc>
          <w:tcPr>
            <w:tcW w:w="2835" w:type="dxa"/>
          </w:tcPr>
          <w:p w:rsidR="007D49A5" w:rsidRPr="00FC6804" w:rsidRDefault="007D49A5" w:rsidP="009D3DA8">
            <w:pPr>
              <w:spacing w:before="60" w:after="60"/>
              <w:jc w:val="center"/>
              <w:rPr>
                <w:rFonts w:ascii="Arial" w:hAnsi="Arial" w:cs="Arial"/>
                <w:b/>
                <w:sz w:val="20"/>
                <w:szCs w:val="20"/>
                <w:u w:val="single"/>
              </w:rPr>
            </w:pPr>
            <w:r w:rsidRPr="00FC6804">
              <w:rPr>
                <w:rFonts w:ascii="Arial" w:hAnsi="Arial" w:cs="Arial"/>
                <w:sz w:val="20"/>
                <w:szCs w:val="20"/>
              </w:rPr>
              <w:t>57</w:t>
            </w:r>
          </w:p>
        </w:tc>
        <w:tc>
          <w:tcPr>
            <w:tcW w:w="2897" w:type="dxa"/>
            <w:vAlign w:val="center"/>
          </w:tcPr>
          <w:p w:rsidR="007D49A5" w:rsidRPr="00FC6804" w:rsidRDefault="007D49A5" w:rsidP="009D3DA8">
            <w:pPr>
              <w:spacing w:before="60" w:after="60"/>
              <w:jc w:val="center"/>
              <w:rPr>
                <w:rFonts w:ascii="Arial" w:hAnsi="Arial" w:cs="Arial"/>
                <w:b/>
                <w:sz w:val="20"/>
                <w:szCs w:val="20"/>
                <w:u w:val="single"/>
              </w:rPr>
            </w:pPr>
            <w:r w:rsidRPr="00FC6804">
              <w:rPr>
                <w:rFonts w:ascii="Arial" w:hAnsi="Arial" w:cs="Arial"/>
                <w:color w:val="000000"/>
                <w:sz w:val="20"/>
                <w:szCs w:val="20"/>
              </w:rPr>
              <w:t>16.3%</w:t>
            </w:r>
          </w:p>
        </w:tc>
      </w:tr>
      <w:tr w:rsidR="007D49A5" w:rsidRPr="00FC6804" w:rsidTr="009D3DA8">
        <w:tc>
          <w:tcPr>
            <w:tcW w:w="3510" w:type="dxa"/>
            <w:vAlign w:val="bottom"/>
          </w:tcPr>
          <w:p w:rsidR="007D49A5" w:rsidRPr="00FC6804" w:rsidRDefault="007D49A5" w:rsidP="009D3DA8">
            <w:pPr>
              <w:spacing w:before="60" w:after="60"/>
              <w:rPr>
                <w:rFonts w:ascii="Arial" w:hAnsi="Arial" w:cs="Arial"/>
                <w:color w:val="000000"/>
                <w:sz w:val="20"/>
                <w:szCs w:val="20"/>
              </w:rPr>
            </w:pPr>
            <w:r w:rsidRPr="00FC6804">
              <w:rPr>
                <w:rFonts w:ascii="Arial" w:hAnsi="Arial" w:cs="Arial"/>
                <w:color w:val="000000"/>
                <w:sz w:val="20"/>
                <w:szCs w:val="20"/>
              </w:rPr>
              <w:t>501 to 1,500 tonnes</w:t>
            </w:r>
          </w:p>
        </w:tc>
        <w:tc>
          <w:tcPr>
            <w:tcW w:w="2835" w:type="dxa"/>
          </w:tcPr>
          <w:p w:rsidR="007D49A5" w:rsidRPr="00FC6804" w:rsidRDefault="007D49A5" w:rsidP="009D3DA8">
            <w:pPr>
              <w:spacing w:before="60" w:after="60"/>
              <w:jc w:val="center"/>
              <w:rPr>
                <w:rFonts w:ascii="Arial" w:hAnsi="Arial" w:cs="Arial"/>
                <w:sz w:val="20"/>
                <w:szCs w:val="20"/>
              </w:rPr>
            </w:pPr>
            <w:r w:rsidRPr="00FC6804">
              <w:rPr>
                <w:rFonts w:ascii="Arial" w:hAnsi="Arial" w:cs="Arial"/>
                <w:sz w:val="20"/>
                <w:szCs w:val="20"/>
              </w:rPr>
              <w:t>38</w:t>
            </w:r>
          </w:p>
        </w:tc>
        <w:tc>
          <w:tcPr>
            <w:tcW w:w="2897" w:type="dxa"/>
            <w:vAlign w:val="center"/>
          </w:tcPr>
          <w:p w:rsidR="007D49A5" w:rsidRPr="00FC6804" w:rsidRDefault="007D49A5" w:rsidP="009D3DA8">
            <w:pPr>
              <w:spacing w:before="60" w:after="60"/>
              <w:jc w:val="center"/>
              <w:rPr>
                <w:rFonts w:ascii="Arial" w:hAnsi="Arial" w:cs="Arial"/>
                <w:color w:val="000000"/>
                <w:sz w:val="20"/>
                <w:szCs w:val="20"/>
              </w:rPr>
            </w:pPr>
            <w:r w:rsidRPr="00FC6804">
              <w:rPr>
                <w:rFonts w:ascii="Arial" w:hAnsi="Arial" w:cs="Arial"/>
                <w:color w:val="000000"/>
                <w:sz w:val="20"/>
                <w:szCs w:val="20"/>
              </w:rPr>
              <w:t>10.9%</w:t>
            </w:r>
          </w:p>
        </w:tc>
      </w:tr>
      <w:tr w:rsidR="007D49A5" w:rsidRPr="00FC6804" w:rsidTr="009D3DA8">
        <w:tc>
          <w:tcPr>
            <w:tcW w:w="3510" w:type="dxa"/>
            <w:vAlign w:val="bottom"/>
          </w:tcPr>
          <w:p w:rsidR="007D49A5" w:rsidRPr="00FC6804" w:rsidRDefault="007D49A5" w:rsidP="009D3DA8">
            <w:pPr>
              <w:spacing w:before="60" w:after="60"/>
              <w:rPr>
                <w:rFonts w:ascii="Arial" w:hAnsi="Arial" w:cs="Arial"/>
                <w:color w:val="000000"/>
                <w:sz w:val="20"/>
                <w:szCs w:val="20"/>
              </w:rPr>
            </w:pPr>
            <w:r w:rsidRPr="00FC6804">
              <w:rPr>
                <w:rFonts w:ascii="Arial" w:hAnsi="Arial" w:cs="Arial"/>
                <w:color w:val="000000"/>
                <w:sz w:val="20"/>
                <w:szCs w:val="20"/>
              </w:rPr>
              <w:t>1,501 to 2,500 tonnes</w:t>
            </w:r>
          </w:p>
        </w:tc>
        <w:tc>
          <w:tcPr>
            <w:tcW w:w="2835" w:type="dxa"/>
          </w:tcPr>
          <w:p w:rsidR="007D49A5" w:rsidRPr="00FC6804" w:rsidRDefault="007D49A5" w:rsidP="009D3DA8">
            <w:pPr>
              <w:spacing w:before="60" w:after="60"/>
              <w:jc w:val="center"/>
              <w:rPr>
                <w:rFonts w:ascii="Arial" w:hAnsi="Arial" w:cs="Arial"/>
                <w:sz w:val="20"/>
                <w:szCs w:val="20"/>
              </w:rPr>
            </w:pPr>
            <w:r w:rsidRPr="00FC6804">
              <w:rPr>
                <w:rFonts w:ascii="Arial" w:hAnsi="Arial" w:cs="Arial"/>
                <w:sz w:val="20"/>
                <w:szCs w:val="20"/>
              </w:rPr>
              <w:t>13</w:t>
            </w:r>
          </w:p>
        </w:tc>
        <w:tc>
          <w:tcPr>
            <w:tcW w:w="2897" w:type="dxa"/>
            <w:vAlign w:val="center"/>
          </w:tcPr>
          <w:p w:rsidR="007D49A5" w:rsidRPr="00FC6804" w:rsidRDefault="007D49A5" w:rsidP="009D3DA8">
            <w:pPr>
              <w:spacing w:before="60" w:after="60"/>
              <w:jc w:val="center"/>
              <w:rPr>
                <w:rFonts w:ascii="Arial" w:hAnsi="Arial" w:cs="Arial"/>
                <w:color w:val="000000"/>
                <w:sz w:val="20"/>
                <w:szCs w:val="20"/>
              </w:rPr>
            </w:pPr>
            <w:r w:rsidRPr="00FC6804">
              <w:rPr>
                <w:rFonts w:ascii="Arial" w:hAnsi="Arial" w:cs="Arial"/>
                <w:color w:val="000000"/>
                <w:sz w:val="20"/>
                <w:szCs w:val="20"/>
              </w:rPr>
              <w:t>3.7%</w:t>
            </w:r>
          </w:p>
        </w:tc>
      </w:tr>
      <w:tr w:rsidR="007D49A5" w:rsidRPr="00FC6804" w:rsidTr="009D3DA8">
        <w:tc>
          <w:tcPr>
            <w:tcW w:w="3510" w:type="dxa"/>
            <w:vAlign w:val="bottom"/>
          </w:tcPr>
          <w:p w:rsidR="007D49A5" w:rsidRPr="00FC6804" w:rsidRDefault="007D49A5" w:rsidP="009D3DA8">
            <w:pPr>
              <w:spacing w:before="60" w:after="60"/>
              <w:rPr>
                <w:rFonts w:ascii="Arial" w:hAnsi="Arial" w:cs="Arial"/>
                <w:color w:val="000000"/>
                <w:sz w:val="20"/>
                <w:szCs w:val="20"/>
              </w:rPr>
            </w:pPr>
            <w:r w:rsidRPr="00FC6804">
              <w:rPr>
                <w:rFonts w:ascii="Arial" w:hAnsi="Arial" w:cs="Arial"/>
                <w:color w:val="000000"/>
                <w:sz w:val="20"/>
                <w:szCs w:val="20"/>
              </w:rPr>
              <w:t>2,501 to 5,000 tonnes</w:t>
            </w:r>
          </w:p>
        </w:tc>
        <w:tc>
          <w:tcPr>
            <w:tcW w:w="2835" w:type="dxa"/>
          </w:tcPr>
          <w:p w:rsidR="007D49A5" w:rsidRPr="00FC6804" w:rsidRDefault="007D49A5" w:rsidP="009D3DA8">
            <w:pPr>
              <w:spacing w:before="60" w:after="60"/>
              <w:jc w:val="center"/>
              <w:rPr>
                <w:rFonts w:ascii="Arial" w:hAnsi="Arial" w:cs="Arial"/>
                <w:sz w:val="20"/>
                <w:szCs w:val="20"/>
              </w:rPr>
            </w:pPr>
            <w:r w:rsidRPr="00FC6804">
              <w:rPr>
                <w:rFonts w:ascii="Arial" w:hAnsi="Arial" w:cs="Arial"/>
                <w:sz w:val="20"/>
                <w:szCs w:val="20"/>
              </w:rPr>
              <w:t>16</w:t>
            </w:r>
          </w:p>
        </w:tc>
        <w:tc>
          <w:tcPr>
            <w:tcW w:w="2897" w:type="dxa"/>
            <w:vAlign w:val="center"/>
          </w:tcPr>
          <w:p w:rsidR="007D49A5" w:rsidRPr="00FC6804" w:rsidRDefault="007D49A5" w:rsidP="009D3DA8">
            <w:pPr>
              <w:spacing w:before="60" w:after="60"/>
              <w:jc w:val="center"/>
              <w:rPr>
                <w:rFonts w:ascii="Arial" w:hAnsi="Arial" w:cs="Arial"/>
                <w:color w:val="000000"/>
                <w:sz w:val="20"/>
                <w:szCs w:val="20"/>
              </w:rPr>
            </w:pPr>
            <w:r w:rsidRPr="00FC6804">
              <w:rPr>
                <w:rFonts w:ascii="Arial" w:hAnsi="Arial" w:cs="Arial"/>
                <w:color w:val="000000"/>
                <w:sz w:val="20"/>
                <w:szCs w:val="20"/>
              </w:rPr>
              <w:t>4.6%</w:t>
            </w:r>
          </w:p>
        </w:tc>
      </w:tr>
      <w:tr w:rsidR="007D49A5" w:rsidRPr="00FC6804" w:rsidTr="009D3DA8">
        <w:tc>
          <w:tcPr>
            <w:tcW w:w="3510" w:type="dxa"/>
            <w:vAlign w:val="bottom"/>
          </w:tcPr>
          <w:p w:rsidR="007D49A5" w:rsidRPr="00FC6804" w:rsidRDefault="007D49A5" w:rsidP="009D3DA8">
            <w:pPr>
              <w:spacing w:before="60" w:after="60"/>
              <w:rPr>
                <w:rFonts w:ascii="Arial" w:hAnsi="Arial" w:cs="Arial"/>
                <w:color w:val="000000"/>
                <w:sz w:val="20"/>
                <w:szCs w:val="20"/>
              </w:rPr>
            </w:pPr>
            <w:r w:rsidRPr="00FC6804">
              <w:rPr>
                <w:rFonts w:ascii="Arial" w:hAnsi="Arial" w:cs="Arial"/>
                <w:color w:val="000000"/>
                <w:sz w:val="20"/>
                <w:szCs w:val="20"/>
              </w:rPr>
              <w:t>Over 5,000 tonnes</w:t>
            </w:r>
          </w:p>
        </w:tc>
        <w:tc>
          <w:tcPr>
            <w:tcW w:w="2835" w:type="dxa"/>
          </w:tcPr>
          <w:p w:rsidR="007D49A5" w:rsidRPr="00FC6804" w:rsidRDefault="007D49A5" w:rsidP="009D3DA8">
            <w:pPr>
              <w:spacing w:before="60" w:after="60"/>
              <w:jc w:val="center"/>
              <w:rPr>
                <w:rFonts w:ascii="Arial" w:hAnsi="Arial" w:cs="Arial"/>
                <w:sz w:val="20"/>
                <w:szCs w:val="20"/>
              </w:rPr>
            </w:pPr>
            <w:r w:rsidRPr="00FC6804">
              <w:rPr>
                <w:rFonts w:ascii="Arial" w:hAnsi="Arial" w:cs="Arial"/>
                <w:sz w:val="20"/>
                <w:szCs w:val="20"/>
              </w:rPr>
              <w:t>20</w:t>
            </w:r>
          </w:p>
        </w:tc>
        <w:tc>
          <w:tcPr>
            <w:tcW w:w="2897" w:type="dxa"/>
            <w:vAlign w:val="center"/>
          </w:tcPr>
          <w:p w:rsidR="007D49A5" w:rsidRPr="00FC6804" w:rsidRDefault="007D49A5" w:rsidP="009D3DA8">
            <w:pPr>
              <w:spacing w:before="60" w:after="60"/>
              <w:jc w:val="center"/>
              <w:rPr>
                <w:rFonts w:ascii="Arial" w:hAnsi="Arial" w:cs="Arial"/>
                <w:color w:val="000000"/>
                <w:sz w:val="20"/>
                <w:szCs w:val="20"/>
              </w:rPr>
            </w:pPr>
            <w:r w:rsidRPr="00FC6804">
              <w:rPr>
                <w:rFonts w:ascii="Arial" w:hAnsi="Arial" w:cs="Arial"/>
                <w:color w:val="000000"/>
                <w:sz w:val="20"/>
                <w:szCs w:val="20"/>
              </w:rPr>
              <w:t>5.7%</w:t>
            </w:r>
          </w:p>
        </w:tc>
      </w:tr>
      <w:tr w:rsidR="007D49A5" w:rsidRPr="00FC6804" w:rsidTr="009D3DA8">
        <w:tc>
          <w:tcPr>
            <w:tcW w:w="3510" w:type="dxa"/>
            <w:vAlign w:val="bottom"/>
          </w:tcPr>
          <w:p w:rsidR="007D49A5" w:rsidRPr="00FC6804" w:rsidRDefault="007D49A5" w:rsidP="009D3DA8">
            <w:pPr>
              <w:spacing w:before="60" w:after="60"/>
              <w:rPr>
                <w:rFonts w:ascii="Arial" w:hAnsi="Arial" w:cs="Arial"/>
                <w:color w:val="000000"/>
                <w:sz w:val="20"/>
                <w:szCs w:val="20"/>
              </w:rPr>
            </w:pPr>
            <w:r w:rsidRPr="00FC6804">
              <w:rPr>
                <w:rFonts w:ascii="Arial" w:hAnsi="Arial" w:cs="Arial"/>
                <w:color w:val="000000"/>
                <w:sz w:val="20"/>
                <w:szCs w:val="20"/>
              </w:rPr>
              <w:t>Department of Agriculture (export)</w:t>
            </w:r>
          </w:p>
        </w:tc>
        <w:tc>
          <w:tcPr>
            <w:tcW w:w="2835" w:type="dxa"/>
          </w:tcPr>
          <w:p w:rsidR="007D49A5" w:rsidRPr="00FC6804" w:rsidRDefault="007D49A5" w:rsidP="009D3DA8">
            <w:pPr>
              <w:spacing w:before="60" w:after="60"/>
              <w:jc w:val="center"/>
              <w:rPr>
                <w:rFonts w:ascii="Arial" w:hAnsi="Arial" w:cs="Arial"/>
                <w:sz w:val="20"/>
                <w:szCs w:val="20"/>
              </w:rPr>
            </w:pPr>
            <w:r w:rsidRPr="00FC6804">
              <w:rPr>
                <w:rFonts w:ascii="Arial" w:hAnsi="Arial" w:cs="Arial"/>
                <w:sz w:val="20"/>
                <w:szCs w:val="20"/>
              </w:rPr>
              <w:t>33</w:t>
            </w:r>
          </w:p>
        </w:tc>
        <w:tc>
          <w:tcPr>
            <w:tcW w:w="2897" w:type="dxa"/>
            <w:vAlign w:val="center"/>
          </w:tcPr>
          <w:p w:rsidR="007D49A5" w:rsidRPr="00FC6804" w:rsidRDefault="007D49A5" w:rsidP="009D3DA8">
            <w:pPr>
              <w:spacing w:before="60" w:after="60"/>
              <w:jc w:val="center"/>
              <w:rPr>
                <w:rFonts w:ascii="Arial" w:hAnsi="Arial" w:cs="Arial"/>
                <w:color w:val="000000"/>
                <w:sz w:val="20"/>
                <w:szCs w:val="20"/>
              </w:rPr>
            </w:pPr>
            <w:r w:rsidRPr="00FC6804">
              <w:rPr>
                <w:rFonts w:ascii="Arial" w:hAnsi="Arial" w:cs="Arial"/>
                <w:color w:val="000000"/>
                <w:sz w:val="20"/>
                <w:szCs w:val="20"/>
              </w:rPr>
              <w:t>9.5%</w:t>
            </w:r>
          </w:p>
        </w:tc>
      </w:tr>
      <w:tr w:rsidR="007D49A5" w:rsidRPr="00FC6804" w:rsidTr="009D3DA8">
        <w:tc>
          <w:tcPr>
            <w:tcW w:w="3510" w:type="dxa"/>
            <w:vAlign w:val="bottom"/>
          </w:tcPr>
          <w:p w:rsidR="007D49A5" w:rsidRPr="00FC6804" w:rsidRDefault="007D49A5" w:rsidP="009D3DA8">
            <w:pPr>
              <w:spacing w:before="60" w:after="60"/>
              <w:rPr>
                <w:rFonts w:ascii="Arial" w:hAnsi="Arial" w:cs="Arial"/>
                <w:color w:val="000000"/>
                <w:sz w:val="20"/>
                <w:szCs w:val="20"/>
              </w:rPr>
            </w:pPr>
            <w:r w:rsidRPr="00FC6804">
              <w:rPr>
                <w:rFonts w:ascii="Arial" w:hAnsi="Arial" w:cs="Arial"/>
                <w:b/>
                <w:color w:val="000000"/>
                <w:sz w:val="20"/>
                <w:szCs w:val="20"/>
              </w:rPr>
              <w:t>Total</w:t>
            </w:r>
          </w:p>
        </w:tc>
        <w:tc>
          <w:tcPr>
            <w:tcW w:w="2835" w:type="dxa"/>
          </w:tcPr>
          <w:p w:rsidR="007D49A5" w:rsidRPr="00FC6804" w:rsidRDefault="007D49A5" w:rsidP="009D3DA8">
            <w:pPr>
              <w:spacing w:before="60" w:after="60"/>
              <w:jc w:val="center"/>
              <w:rPr>
                <w:rFonts w:ascii="Arial" w:hAnsi="Arial" w:cs="Arial"/>
                <w:sz w:val="20"/>
                <w:szCs w:val="20"/>
              </w:rPr>
            </w:pPr>
            <w:r w:rsidRPr="00FC6804">
              <w:rPr>
                <w:rFonts w:ascii="Arial" w:hAnsi="Arial" w:cs="Arial"/>
                <w:b/>
                <w:sz w:val="20"/>
                <w:szCs w:val="20"/>
              </w:rPr>
              <w:t>349</w:t>
            </w:r>
          </w:p>
        </w:tc>
        <w:tc>
          <w:tcPr>
            <w:tcW w:w="2897" w:type="dxa"/>
            <w:vAlign w:val="center"/>
          </w:tcPr>
          <w:p w:rsidR="007D49A5" w:rsidRPr="00FC6804" w:rsidRDefault="007D49A5" w:rsidP="009D3DA8">
            <w:pPr>
              <w:spacing w:before="60" w:after="60"/>
              <w:jc w:val="center"/>
              <w:rPr>
                <w:rFonts w:ascii="Arial" w:hAnsi="Arial" w:cs="Arial"/>
                <w:color w:val="000000"/>
                <w:sz w:val="20"/>
                <w:szCs w:val="20"/>
              </w:rPr>
            </w:pPr>
            <w:r w:rsidRPr="00FC6804">
              <w:rPr>
                <w:rFonts w:ascii="Arial" w:hAnsi="Arial" w:cs="Arial"/>
                <w:b/>
                <w:color w:val="000000"/>
                <w:sz w:val="20"/>
                <w:szCs w:val="20"/>
              </w:rPr>
              <w:t>100.0%</w:t>
            </w:r>
          </w:p>
        </w:tc>
      </w:tr>
    </w:tbl>
    <w:p w:rsidR="009D3DA8" w:rsidRPr="00FC6804" w:rsidRDefault="009D3DA8" w:rsidP="003D2439">
      <w:pPr>
        <w:spacing w:after="0" w:line="240" w:lineRule="auto"/>
        <w:rPr>
          <w:rFonts w:ascii="Arial" w:hAnsi="Arial" w:cs="Arial"/>
          <w:sz w:val="20"/>
          <w:szCs w:val="20"/>
        </w:rPr>
      </w:pPr>
    </w:p>
    <w:p w:rsidR="001508B7" w:rsidRPr="00FC6804" w:rsidRDefault="001508B7" w:rsidP="003D2439">
      <w:pPr>
        <w:spacing w:after="0" w:line="240" w:lineRule="auto"/>
        <w:rPr>
          <w:rFonts w:ascii="Arial" w:hAnsi="Arial" w:cs="Arial"/>
          <w:sz w:val="20"/>
          <w:szCs w:val="20"/>
        </w:rPr>
      </w:pPr>
      <w:r w:rsidRPr="00FC6804">
        <w:rPr>
          <w:rFonts w:ascii="Arial" w:hAnsi="Arial" w:cs="Arial"/>
          <w:sz w:val="20"/>
          <w:szCs w:val="20"/>
        </w:rPr>
        <w:t xml:space="preserve">Table </w:t>
      </w:r>
      <w:r w:rsidR="001136ED">
        <w:rPr>
          <w:rFonts w:ascii="Arial" w:hAnsi="Arial" w:cs="Arial"/>
          <w:sz w:val="20"/>
          <w:szCs w:val="20"/>
        </w:rPr>
        <w:t>5</w:t>
      </w:r>
      <w:r w:rsidRPr="00FC6804">
        <w:rPr>
          <w:rFonts w:ascii="Arial" w:hAnsi="Arial" w:cs="Arial"/>
          <w:sz w:val="20"/>
          <w:szCs w:val="20"/>
        </w:rPr>
        <w:t>.</w:t>
      </w:r>
      <w:r w:rsidR="00C11A36" w:rsidRPr="00FC6804">
        <w:rPr>
          <w:rFonts w:ascii="Arial" w:hAnsi="Arial" w:cs="Arial"/>
          <w:sz w:val="20"/>
          <w:szCs w:val="20"/>
        </w:rPr>
        <w:t xml:space="preserve">6 </w:t>
      </w:r>
      <w:r w:rsidRPr="00FC6804">
        <w:rPr>
          <w:rFonts w:ascii="Arial" w:hAnsi="Arial" w:cs="Arial"/>
          <w:sz w:val="20"/>
          <w:szCs w:val="20"/>
        </w:rPr>
        <w:t>shows that the poultry processing sector is split between small producers and large producers, with 31.6% of businesses processing less than 50,</w:t>
      </w:r>
      <w:r w:rsidR="00557ED5" w:rsidRPr="00FC6804">
        <w:rPr>
          <w:rFonts w:ascii="Arial" w:hAnsi="Arial" w:cs="Arial"/>
          <w:sz w:val="20"/>
          <w:szCs w:val="20"/>
        </w:rPr>
        <w:t>000 units, while the remaining 68</w:t>
      </w:r>
      <w:r w:rsidRPr="00FC6804">
        <w:rPr>
          <w:rFonts w:ascii="Arial" w:hAnsi="Arial" w:cs="Arial"/>
          <w:sz w:val="20"/>
          <w:szCs w:val="20"/>
        </w:rPr>
        <w:t xml:space="preserve">.4% of businesses each </w:t>
      </w:r>
      <w:r w:rsidR="00727A8E" w:rsidRPr="00FC6804">
        <w:rPr>
          <w:rFonts w:ascii="Arial" w:hAnsi="Arial" w:cs="Arial"/>
          <w:sz w:val="20"/>
          <w:szCs w:val="20"/>
        </w:rPr>
        <w:t xml:space="preserve">process at least 250,000 units. </w:t>
      </w:r>
      <w:r w:rsidRPr="00FC6804">
        <w:rPr>
          <w:rFonts w:ascii="Arial" w:hAnsi="Arial" w:cs="Arial"/>
          <w:sz w:val="20"/>
          <w:szCs w:val="20"/>
        </w:rPr>
        <w:t xml:space="preserve">Two of the current </w:t>
      </w:r>
      <w:r w:rsidR="001136ED">
        <w:rPr>
          <w:rFonts w:ascii="Arial" w:hAnsi="Arial" w:cs="Arial"/>
          <w:sz w:val="20"/>
          <w:szCs w:val="20"/>
        </w:rPr>
        <w:t>throughput</w:t>
      </w:r>
      <w:r w:rsidRPr="00FC6804">
        <w:rPr>
          <w:rFonts w:ascii="Arial" w:hAnsi="Arial" w:cs="Arial"/>
          <w:sz w:val="20"/>
          <w:szCs w:val="20"/>
        </w:rPr>
        <w:t xml:space="preserve"> categories have no regulated businesses </w:t>
      </w:r>
      <w:r w:rsidR="00557ED5" w:rsidRPr="00FC6804">
        <w:rPr>
          <w:rFonts w:ascii="Arial" w:hAnsi="Arial" w:cs="Arial"/>
          <w:sz w:val="20"/>
          <w:szCs w:val="20"/>
        </w:rPr>
        <w:t>lying</w:t>
      </w:r>
      <w:r w:rsidRPr="00FC6804">
        <w:rPr>
          <w:rFonts w:ascii="Arial" w:hAnsi="Arial" w:cs="Arial"/>
          <w:sz w:val="20"/>
          <w:szCs w:val="20"/>
        </w:rPr>
        <w:t xml:space="preserve"> within them, while a third category contains only two businesses.</w:t>
      </w:r>
    </w:p>
    <w:p w:rsidR="00936D3A" w:rsidRPr="00FC6804" w:rsidRDefault="00936D3A" w:rsidP="003D2439">
      <w:pPr>
        <w:spacing w:after="0" w:line="240" w:lineRule="auto"/>
        <w:rPr>
          <w:rFonts w:ascii="Arial" w:hAnsi="Arial" w:cs="Arial"/>
          <w:sz w:val="20"/>
          <w:szCs w:val="20"/>
        </w:rPr>
      </w:pPr>
    </w:p>
    <w:p w:rsidR="00727A8E" w:rsidRPr="00FC6804" w:rsidRDefault="00727A8E" w:rsidP="003D2439">
      <w:pPr>
        <w:spacing w:after="0" w:line="240" w:lineRule="auto"/>
        <w:rPr>
          <w:rFonts w:ascii="Arial" w:hAnsi="Arial" w:cs="Arial"/>
          <w:sz w:val="20"/>
          <w:szCs w:val="20"/>
        </w:rPr>
      </w:pPr>
    </w:p>
    <w:p w:rsidR="00727A8E" w:rsidRPr="00FC6804" w:rsidRDefault="00727A8E" w:rsidP="003D2439">
      <w:pPr>
        <w:spacing w:after="0" w:line="240" w:lineRule="auto"/>
        <w:rPr>
          <w:rFonts w:ascii="Arial" w:hAnsi="Arial" w:cs="Arial"/>
          <w:sz w:val="20"/>
          <w:szCs w:val="20"/>
        </w:rPr>
      </w:pPr>
    </w:p>
    <w:p w:rsidR="00727A8E" w:rsidRPr="00FC6804" w:rsidRDefault="00727A8E" w:rsidP="003D2439">
      <w:pPr>
        <w:spacing w:after="0" w:line="240" w:lineRule="auto"/>
        <w:rPr>
          <w:rFonts w:ascii="Arial" w:hAnsi="Arial" w:cs="Arial"/>
          <w:sz w:val="20"/>
          <w:szCs w:val="20"/>
        </w:rPr>
      </w:pPr>
    </w:p>
    <w:p w:rsidR="00727A8E" w:rsidRPr="00FC6804" w:rsidRDefault="00727A8E" w:rsidP="003D2439">
      <w:pPr>
        <w:spacing w:after="0" w:line="240" w:lineRule="auto"/>
        <w:rPr>
          <w:rFonts w:ascii="Arial" w:hAnsi="Arial" w:cs="Arial"/>
          <w:sz w:val="20"/>
          <w:szCs w:val="20"/>
        </w:rPr>
      </w:pPr>
    </w:p>
    <w:p w:rsidR="00727A8E" w:rsidRPr="00FC6804" w:rsidRDefault="00727A8E" w:rsidP="003D2439">
      <w:pPr>
        <w:spacing w:after="0" w:line="240" w:lineRule="auto"/>
        <w:rPr>
          <w:rFonts w:ascii="Arial" w:hAnsi="Arial" w:cs="Arial"/>
          <w:sz w:val="20"/>
          <w:szCs w:val="20"/>
        </w:rPr>
      </w:pPr>
    </w:p>
    <w:p w:rsidR="00727A8E" w:rsidRPr="00FC6804" w:rsidRDefault="00727A8E" w:rsidP="003D2439">
      <w:pPr>
        <w:spacing w:after="0" w:line="240" w:lineRule="auto"/>
        <w:rPr>
          <w:rFonts w:ascii="Arial" w:hAnsi="Arial" w:cs="Arial"/>
          <w:sz w:val="20"/>
          <w:szCs w:val="20"/>
        </w:rPr>
      </w:pPr>
    </w:p>
    <w:p w:rsidR="00727A8E" w:rsidRPr="00FC6804" w:rsidRDefault="00727A8E" w:rsidP="003D2439">
      <w:pPr>
        <w:spacing w:after="0" w:line="240" w:lineRule="auto"/>
        <w:rPr>
          <w:rFonts w:ascii="Arial" w:hAnsi="Arial" w:cs="Arial"/>
          <w:sz w:val="20"/>
          <w:szCs w:val="20"/>
        </w:rPr>
      </w:pPr>
    </w:p>
    <w:p w:rsidR="00727A8E" w:rsidRPr="00FC6804" w:rsidRDefault="00727A8E" w:rsidP="003D2439">
      <w:pPr>
        <w:spacing w:after="0" w:line="240" w:lineRule="auto"/>
        <w:rPr>
          <w:rFonts w:ascii="Arial" w:hAnsi="Arial" w:cs="Arial"/>
          <w:sz w:val="20"/>
          <w:szCs w:val="20"/>
        </w:rPr>
      </w:pPr>
    </w:p>
    <w:p w:rsidR="00727A8E" w:rsidRPr="00FC6804" w:rsidRDefault="00727A8E" w:rsidP="003D2439">
      <w:pPr>
        <w:spacing w:after="0" w:line="240" w:lineRule="auto"/>
        <w:rPr>
          <w:rFonts w:ascii="Arial" w:hAnsi="Arial" w:cs="Arial"/>
          <w:sz w:val="20"/>
          <w:szCs w:val="20"/>
        </w:rPr>
      </w:pPr>
    </w:p>
    <w:p w:rsidR="00727A8E" w:rsidRPr="00FC6804" w:rsidRDefault="00727A8E" w:rsidP="003D2439">
      <w:pPr>
        <w:spacing w:after="0" w:line="240" w:lineRule="auto"/>
        <w:rPr>
          <w:rFonts w:ascii="Arial" w:hAnsi="Arial" w:cs="Arial"/>
          <w:sz w:val="20"/>
          <w:szCs w:val="20"/>
        </w:rPr>
      </w:pPr>
    </w:p>
    <w:p w:rsidR="00727A8E" w:rsidRPr="00FC6804" w:rsidRDefault="00727A8E" w:rsidP="003D2439">
      <w:pPr>
        <w:spacing w:after="0" w:line="240" w:lineRule="auto"/>
        <w:rPr>
          <w:rFonts w:ascii="Arial" w:hAnsi="Arial" w:cs="Arial"/>
          <w:sz w:val="20"/>
          <w:szCs w:val="20"/>
        </w:rPr>
      </w:pPr>
    </w:p>
    <w:p w:rsidR="00727A8E" w:rsidRPr="00FC6804" w:rsidRDefault="00727A8E" w:rsidP="003D2439">
      <w:pPr>
        <w:spacing w:after="0" w:line="240" w:lineRule="auto"/>
        <w:rPr>
          <w:rFonts w:ascii="Arial" w:hAnsi="Arial" w:cs="Arial"/>
          <w:sz w:val="20"/>
          <w:szCs w:val="20"/>
        </w:rPr>
      </w:pPr>
    </w:p>
    <w:p w:rsidR="00936D3A" w:rsidRPr="00FC6804" w:rsidRDefault="00936D3A" w:rsidP="003D2439">
      <w:pPr>
        <w:spacing w:after="0" w:line="240" w:lineRule="auto"/>
        <w:rPr>
          <w:rFonts w:ascii="Arial" w:hAnsi="Arial" w:cs="Arial"/>
          <w:b/>
          <w:sz w:val="20"/>
          <w:szCs w:val="20"/>
        </w:rPr>
      </w:pPr>
      <w:r w:rsidRPr="00FC6804">
        <w:rPr>
          <w:rFonts w:ascii="Arial" w:hAnsi="Arial" w:cs="Arial"/>
          <w:b/>
          <w:color w:val="1F4E79" w:themeColor="accent1" w:themeShade="80"/>
          <w:sz w:val="20"/>
          <w:szCs w:val="20"/>
        </w:rPr>
        <w:t xml:space="preserve">Table </w:t>
      </w:r>
      <w:r w:rsidR="001136ED">
        <w:rPr>
          <w:rFonts w:ascii="Arial" w:hAnsi="Arial" w:cs="Arial"/>
          <w:b/>
          <w:color w:val="1F4E79" w:themeColor="accent1" w:themeShade="80"/>
          <w:sz w:val="20"/>
          <w:szCs w:val="20"/>
        </w:rPr>
        <w:t>5</w:t>
      </w:r>
      <w:r w:rsidRPr="00FC6804">
        <w:rPr>
          <w:rFonts w:ascii="Arial" w:hAnsi="Arial" w:cs="Arial"/>
          <w:b/>
          <w:color w:val="1F4E79" w:themeColor="accent1" w:themeShade="80"/>
          <w:sz w:val="20"/>
          <w:szCs w:val="20"/>
        </w:rPr>
        <w:t>.</w:t>
      </w:r>
      <w:r w:rsidR="00C11A36" w:rsidRPr="00FC6804">
        <w:rPr>
          <w:rFonts w:ascii="Arial" w:hAnsi="Arial" w:cs="Arial"/>
          <w:b/>
          <w:color w:val="1F4E79" w:themeColor="accent1" w:themeShade="80"/>
          <w:sz w:val="20"/>
          <w:szCs w:val="20"/>
        </w:rPr>
        <w:t>6</w:t>
      </w:r>
      <w:r w:rsidRPr="00FC6804">
        <w:rPr>
          <w:rFonts w:ascii="Arial" w:hAnsi="Arial" w:cs="Arial"/>
          <w:b/>
          <w:color w:val="1F4E79" w:themeColor="accent1" w:themeShade="80"/>
          <w:sz w:val="20"/>
          <w:szCs w:val="20"/>
        </w:rPr>
        <w:t>: Distribution of businesses by output-le</w:t>
      </w:r>
      <w:r w:rsidR="008431F4" w:rsidRPr="00FC6804">
        <w:rPr>
          <w:rFonts w:ascii="Arial" w:hAnsi="Arial" w:cs="Arial"/>
          <w:b/>
          <w:color w:val="1F4E79" w:themeColor="accent1" w:themeShade="80"/>
          <w:sz w:val="20"/>
          <w:szCs w:val="20"/>
        </w:rPr>
        <w:t>vel category: Poultry processing facilities</w:t>
      </w:r>
    </w:p>
    <w:p w:rsidR="00727A8E" w:rsidRPr="00FC6804" w:rsidRDefault="00727A8E" w:rsidP="003D2439">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3080"/>
        <w:gridCol w:w="3081"/>
        <w:gridCol w:w="3081"/>
      </w:tblGrid>
      <w:tr w:rsidR="009F2BB3" w:rsidRPr="00FC6804" w:rsidTr="009E63BE">
        <w:tc>
          <w:tcPr>
            <w:tcW w:w="3080" w:type="dxa"/>
            <w:shd w:val="clear" w:color="auto" w:fill="F2F2F2" w:themeFill="background1" w:themeFillShade="F2"/>
          </w:tcPr>
          <w:p w:rsidR="009F2BB3" w:rsidRPr="00FC6804" w:rsidRDefault="001136ED" w:rsidP="00EE188E">
            <w:pPr>
              <w:spacing w:before="60" w:after="60"/>
              <w:jc w:val="center"/>
              <w:rPr>
                <w:rFonts w:ascii="Arial" w:hAnsi="Arial" w:cs="Arial"/>
                <w:b/>
                <w:sz w:val="20"/>
                <w:szCs w:val="20"/>
                <w:u w:val="single"/>
              </w:rPr>
            </w:pPr>
            <w:r>
              <w:rPr>
                <w:rFonts w:ascii="Arial" w:hAnsi="Arial" w:cs="Arial"/>
                <w:b/>
                <w:sz w:val="20"/>
                <w:szCs w:val="20"/>
              </w:rPr>
              <w:t>Throughput</w:t>
            </w:r>
            <w:r w:rsidR="009F2BB3" w:rsidRPr="00FC6804">
              <w:rPr>
                <w:rFonts w:ascii="Arial" w:hAnsi="Arial" w:cs="Arial"/>
                <w:b/>
                <w:sz w:val="20"/>
                <w:szCs w:val="20"/>
              </w:rPr>
              <w:t xml:space="preserve"> </w:t>
            </w:r>
            <w:r w:rsidR="00EE188E" w:rsidRPr="00FC6804">
              <w:rPr>
                <w:rFonts w:ascii="Arial" w:hAnsi="Arial" w:cs="Arial"/>
                <w:b/>
                <w:sz w:val="20"/>
                <w:szCs w:val="20"/>
              </w:rPr>
              <w:t>C</w:t>
            </w:r>
            <w:r w:rsidR="009F2BB3" w:rsidRPr="00FC6804">
              <w:rPr>
                <w:rFonts w:ascii="Arial" w:hAnsi="Arial" w:cs="Arial"/>
                <w:b/>
                <w:sz w:val="20"/>
                <w:szCs w:val="20"/>
              </w:rPr>
              <w:t>ategory</w:t>
            </w:r>
          </w:p>
        </w:tc>
        <w:tc>
          <w:tcPr>
            <w:tcW w:w="3081" w:type="dxa"/>
            <w:shd w:val="clear" w:color="auto" w:fill="F2F2F2" w:themeFill="background1" w:themeFillShade="F2"/>
          </w:tcPr>
          <w:p w:rsidR="009F2BB3" w:rsidRPr="00FC6804" w:rsidRDefault="009F2BB3" w:rsidP="00EE188E">
            <w:pPr>
              <w:spacing w:before="60" w:after="60"/>
              <w:jc w:val="center"/>
              <w:rPr>
                <w:rFonts w:ascii="Arial" w:hAnsi="Arial" w:cs="Arial"/>
                <w:b/>
                <w:sz w:val="20"/>
                <w:szCs w:val="20"/>
                <w:u w:val="single"/>
              </w:rPr>
            </w:pPr>
            <w:r w:rsidRPr="00FC6804">
              <w:rPr>
                <w:rFonts w:ascii="Arial" w:hAnsi="Arial" w:cs="Arial"/>
                <w:b/>
                <w:sz w:val="20"/>
                <w:szCs w:val="20"/>
              </w:rPr>
              <w:t xml:space="preserve">Number of </w:t>
            </w:r>
            <w:r w:rsidR="00EE188E" w:rsidRPr="00FC6804">
              <w:rPr>
                <w:rFonts w:ascii="Arial" w:hAnsi="Arial" w:cs="Arial"/>
                <w:b/>
                <w:sz w:val="20"/>
                <w:szCs w:val="20"/>
              </w:rPr>
              <w:t>B</w:t>
            </w:r>
            <w:r w:rsidRPr="00FC6804">
              <w:rPr>
                <w:rFonts w:ascii="Arial" w:hAnsi="Arial" w:cs="Arial"/>
                <w:b/>
                <w:sz w:val="20"/>
                <w:szCs w:val="20"/>
              </w:rPr>
              <w:t>usinesses</w:t>
            </w:r>
          </w:p>
        </w:tc>
        <w:tc>
          <w:tcPr>
            <w:tcW w:w="3081" w:type="dxa"/>
            <w:shd w:val="clear" w:color="auto" w:fill="F2F2F2" w:themeFill="background1" w:themeFillShade="F2"/>
          </w:tcPr>
          <w:p w:rsidR="009F2BB3" w:rsidRPr="00FC6804" w:rsidRDefault="009F2BB3" w:rsidP="009E63BE">
            <w:pPr>
              <w:spacing w:before="60" w:after="60"/>
              <w:jc w:val="center"/>
              <w:rPr>
                <w:rFonts w:ascii="Arial" w:hAnsi="Arial" w:cs="Arial"/>
                <w:b/>
                <w:sz w:val="20"/>
                <w:szCs w:val="20"/>
                <w:u w:val="single"/>
              </w:rPr>
            </w:pPr>
            <w:r w:rsidRPr="00FC6804">
              <w:rPr>
                <w:rFonts w:ascii="Arial" w:hAnsi="Arial" w:cs="Arial"/>
                <w:b/>
                <w:sz w:val="20"/>
                <w:szCs w:val="20"/>
              </w:rPr>
              <w:t xml:space="preserve">% of </w:t>
            </w:r>
            <w:r w:rsidR="009E63BE">
              <w:rPr>
                <w:rFonts w:ascii="Arial" w:hAnsi="Arial" w:cs="Arial"/>
                <w:b/>
                <w:sz w:val="20"/>
                <w:szCs w:val="20"/>
              </w:rPr>
              <w:t>T</w:t>
            </w:r>
            <w:r w:rsidRPr="00FC6804">
              <w:rPr>
                <w:rFonts w:ascii="Arial" w:hAnsi="Arial" w:cs="Arial"/>
                <w:b/>
                <w:sz w:val="20"/>
                <w:szCs w:val="20"/>
              </w:rPr>
              <w:t>otal</w:t>
            </w:r>
          </w:p>
        </w:tc>
      </w:tr>
      <w:tr w:rsidR="009F2BB3" w:rsidRPr="00FC6804" w:rsidTr="00DE466A">
        <w:tc>
          <w:tcPr>
            <w:tcW w:w="3080" w:type="dxa"/>
            <w:vAlign w:val="bottom"/>
          </w:tcPr>
          <w:p w:rsidR="009F2BB3" w:rsidRPr="00FC6804" w:rsidRDefault="009F2BB3" w:rsidP="009F2BB3">
            <w:pPr>
              <w:spacing w:before="60" w:after="60"/>
              <w:rPr>
                <w:rFonts w:ascii="Arial" w:hAnsi="Arial" w:cs="Arial"/>
                <w:b/>
                <w:sz w:val="20"/>
                <w:szCs w:val="20"/>
                <w:u w:val="single"/>
              </w:rPr>
            </w:pPr>
            <w:r w:rsidRPr="00FC6804">
              <w:rPr>
                <w:rFonts w:ascii="Arial" w:hAnsi="Arial" w:cs="Arial"/>
                <w:color w:val="000000"/>
                <w:sz w:val="20"/>
                <w:szCs w:val="20"/>
              </w:rPr>
              <w:t>Up to 2,500 units</w:t>
            </w:r>
          </w:p>
        </w:tc>
        <w:tc>
          <w:tcPr>
            <w:tcW w:w="3081" w:type="dxa"/>
          </w:tcPr>
          <w:p w:rsidR="009F2BB3" w:rsidRPr="00FC6804" w:rsidRDefault="009F2BB3" w:rsidP="009F2BB3">
            <w:pPr>
              <w:spacing w:before="60" w:after="60"/>
              <w:jc w:val="center"/>
              <w:rPr>
                <w:rFonts w:ascii="Arial" w:hAnsi="Arial" w:cs="Arial"/>
                <w:b/>
                <w:sz w:val="20"/>
                <w:szCs w:val="20"/>
                <w:u w:val="single"/>
              </w:rPr>
            </w:pPr>
            <w:r w:rsidRPr="00FC6804">
              <w:rPr>
                <w:rFonts w:ascii="Arial" w:hAnsi="Arial" w:cs="Arial"/>
                <w:sz w:val="20"/>
                <w:szCs w:val="20"/>
              </w:rPr>
              <w:t>0</w:t>
            </w:r>
          </w:p>
        </w:tc>
        <w:tc>
          <w:tcPr>
            <w:tcW w:w="3081" w:type="dxa"/>
          </w:tcPr>
          <w:p w:rsidR="009F2BB3" w:rsidRPr="00FC6804" w:rsidRDefault="009F2BB3" w:rsidP="009F2BB3">
            <w:pPr>
              <w:spacing w:before="60" w:after="60"/>
              <w:jc w:val="center"/>
              <w:rPr>
                <w:rFonts w:ascii="Arial" w:hAnsi="Arial" w:cs="Arial"/>
                <w:b/>
                <w:sz w:val="20"/>
                <w:szCs w:val="20"/>
                <w:u w:val="single"/>
              </w:rPr>
            </w:pPr>
            <w:r w:rsidRPr="00FC6804">
              <w:rPr>
                <w:rFonts w:ascii="Arial" w:hAnsi="Arial" w:cs="Arial"/>
                <w:sz w:val="20"/>
                <w:szCs w:val="20"/>
              </w:rPr>
              <w:t>0</w:t>
            </w:r>
            <w:r w:rsidR="008C552B">
              <w:rPr>
                <w:rFonts w:ascii="Arial" w:hAnsi="Arial" w:cs="Arial"/>
                <w:sz w:val="20"/>
                <w:szCs w:val="20"/>
              </w:rPr>
              <w:t>%</w:t>
            </w:r>
          </w:p>
        </w:tc>
      </w:tr>
      <w:tr w:rsidR="009F2BB3" w:rsidRPr="00FC6804" w:rsidTr="00DE466A">
        <w:tc>
          <w:tcPr>
            <w:tcW w:w="3080" w:type="dxa"/>
            <w:vAlign w:val="bottom"/>
          </w:tcPr>
          <w:p w:rsidR="009F2BB3" w:rsidRPr="00FC6804" w:rsidRDefault="009F2BB3" w:rsidP="009F2BB3">
            <w:pPr>
              <w:spacing w:before="60" w:after="60"/>
              <w:rPr>
                <w:rFonts w:ascii="Arial" w:hAnsi="Arial" w:cs="Arial"/>
                <w:b/>
                <w:sz w:val="20"/>
                <w:szCs w:val="20"/>
                <w:u w:val="single"/>
              </w:rPr>
            </w:pPr>
            <w:r w:rsidRPr="00FC6804">
              <w:rPr>
                <w:rFonts w:ascii="Arial" w:hAnsi="Arial" w:cs="Arial"/>
                <w:color w:val="000000"/>
                <w:sz w:val="20"/>
                <w:szCs w:val="20"/>
              </w:rPr>
              <w:t>2,501 to 50,000 units</w:t>
            </w:r>
          </w:p>
        </w:tc>
        <w:tc>
          <w:tcPr>
            <w:tcW w:w="3081" w:type="dxa"/>
          </w:tcPr>
          <w:p w:rsidR="009F2BB3" w:rsidRPr="00FC6804" w:rsidRDefault="009F2BB3" w:rsidP="009F2BB3">
            <w:pPr>
              <w:spacing w:before="60" w:after="60"/>
              <w:jc w:val="center"/>
              <w:rPr>
                <w:rFonts w:ascii="Arial" w:hAnsi="Arial" w:cs="Arial"/>
                <w:b/>
                <w:sz w:val="20"/>
                <w:szCs w:val="20"/>
                <w:u w:val="single"/>
              </w:rPr>
            </w:pPr>
            <w:r w:rsidRPr="00FC6804">
              <w:rPr>
                <w:rFonts w:ascii="Arial" w:hAnsi="Arial" w:cs="Arial"/>
                <w:sz w:val="20"/>
                <w:szCs w:val="20"/>
              </w:rPr>
              <w:t>6</w:t>
            </w:r>
          </w:p>
        </w:tc>
        <w:tc>
          <w:tcPr>
            <w:tcW w:w="3081" w:type="dxa"/>
            <w:vAlign w:val="center"/>
          </w:tcPr>
          <w:p w:rsidR="009F2BB3" w:rsidRPr="00FC6804" w:rsidRDefault="009F2BB3" w:rsidP="009F2BB3">
            <w:pPr>
              <w:spacing w:before="60" w:after="60"/>
              <w:jc w:val="center"/>
              <w:rPr>
                <w:rFonts w:ascii="Arial" w:hAnsi="Arial" w:cs="Arial"/>
                <w:b/>
                <w:sz w:val="20"/>
                <w:szCs w:val="20"/>
                <w:u w:val="single"/>
              </w:rPr>
            </w:pPr>
            <w:r w:rsidRPr="00FC6804">
              <w:rPr>
                <w:rFonts w:ascii="Arial" w:hAnsi="Arial" w:cs="Arial"/>
                <w:color w:val="000000"/>
                <w:sz w:val="20"/>
                <w:szCs w:val="20"/>
              </w:rPr>
              <w:t>31.6%</w:t>
            </w:r>
          </w:p>
        </w:tc>
      </w:tr>
      <w:tr w:rsidR="009F2BB3" w:rsidRPr="00FC6804" w:rsidTr="00DE466A">
        <w:tc>
          <w:tcPr>
            <w:tcW w:w="3080" w:type="dxa"/>
            <w:vAlign w:val="bottom"/>
          </w:tcPr>
          <w:p w:rsidR="009F2BB3" w:rsidRPr="00FC6804" w:rsidRDefault="009F2BB3" w:rsidP="009F2BB3">
            <w:pPr>
              <w:spacing w:before="60" w:after="60"/>
              <w:rPr>
                <w:rFonts w:ascii="Arial" w:hAnsi="Arial" w:cs="Arial"/>
                <w:b/>
                <w:sz w:val="20"/>
                <w:szCs w:val="20"/>
                <w:u w:val="single"/>
              </w:rPr>
            </w:pPr>
            <w:r w:rsidRPr="00FC6804">
              <w:rPr>
                <w:rFonts w:ascii="Arial" w:hAnsi="Arial" w:cs="Arial"/>
                <w:color w:val="000000"/>
                <w:sz w:val="20"/>
                <w:szCs w:val="20"/>
              </w:rPr>
              <w:t>50,001 to 250,000 units</w:t>
            </w:r>
          </w:p>
        </w:tc>
        <w:tc>
          <w:tcPr>
            <w:tcW w:w="3081" w:type="dxa"/>
          </w:tcPr>
          <w:p w:rsidR="009F2BB3" w:rsidRPr="00FC6804" w:rsidRDefault="009F2BB3" w:rsidP="009F2BB3">
            <w:pPr>
              <w:spacing w:before="60" w:after="60"/>
              <w:jc w:val="center"/>
              <w:rPr>
                <w:rFonts w:ascii="Arial" w:hAnsi="Arial" w:cs="Arial"/>
                <w:b/>
                <w:sz w:val="20"/>
                <w:szCs w:val="20"/>
                <w:u w:val="single"/>
              </w:rPr>
            </w:pPr>
            <w:r w:rsidRPr="00FC6804">
              <w:rPr>
                <w:rFonts w:ascii="Arial" w:hAnsi="Arial" w:cs="Arial"/>
                <w:sz w:val="20"/>
                <w:szCs w:val="20"/>
              </w:rPr>
              <w:t>0</w:t>
            </w:r>
          </w:p>
        </w:tc>
        <w:tc>
          <w:tcPr>
            <w:tcW w:w="3081" w:type="dxa"/>
            <w:vAlign w:val="center"/>
          </w:tcPr>
          <w:p w:rsidR="009F2BB3" w:rsidRPr="00FC6804" w:rsidRDefault="009F2BB3" w:rsidP="009F2BB3">
            <w:pPr>
              <w:spacing w:before="60" w:after="60"/>
              <w:jc w:val="center"/>
              <w:rPr>
                <w:rFonts w:ascii="Arial" w:hAnsi="Arial" w:cs="Arial"/>
                <w:b/>
                <w:sz w:val="20"/>
                <w:szCs w:val="20"/>
                <w:u w:val="single"/>
              </w:rPr>
            </w:pPr>
            <w:r w:rsidRPr="00FC6804">
              <w:rPr>
                <w:rFonts w:ascii="Arial" w:hAnsi="Arial" w:cs="Arial"/>
                <w:color w:val="000000"/>
                <w:sz w:val="20"/>
                <w:szCs w:val="20"/>
              </w:rPr>
              <w:t>0</w:t>
            </w:r>
            <w:r w:rsidR="008C552B">
              <w:rPr>
                <w:rFonts w:ascii="Arial" w:hAnsi="Arial" w:cs="Arial"/>
                <w:color w:val="000000"/>
                <w:sz w:val="20"/>
                <w:szCs w:val="20"/>
              </w:rPr>
              <w:t>%</w:t>
            </w:r>
          </w:p>
        </w:tc>
      </w:tr>
      <w:tr w:rsidR="009F2BB3" w:rsidRPr="00FC6804" w:rsidTr="00DE466A">
        <w:tc>
          <w:tcPr>
            <w:tcW w:w="3080" w:type="dxa"/>
            <w:vAlign w:val="bottom"/>
          </w:tcPr>
          <w:p w:rsidR="009F2BB3" w:rsidRPr="00FC6804" w:rsidRDefault="009F2BB3" w:rsidP="009F2BB3">
            <w:pPr>
              <w:spacing w:before="60" w:after="60"/>
              <w:rPr>
                <w:rFonts w:ascii="Arial" w:hAnsi="Arial" w:cs="Arial"/>
                <w:color w:val="000000"/>
                <w:sz w:val="20"/>
                <w:szCs w:val="20"/>
              </w:rPr>
            </w:pPr>
            <w:r w:rsidRPr="00FC6804">
              <w:rPr>
                <w:rFonts w:ascii="Arial" w:hAnsi="Arial" w:cs="Arial"/>
                <w:color w:val="000000"/>
                <w:sz w:val="20"/>
                <w:szCs w:val="20"/>
              </w:rPr>
              <w:t>250,001 to 1,000,000 units</w:t>
            </w:r>
          </w:p>
        </w:tc>
        <w:tc>
          <w:tcPr>
            <w:tcW w:w="3081" w:type="dxa"/>
          </w:tcPr>
          <w:p w:rsidR="009F2BB3" w:rsidRPr="00FC6804" w:rsidRDefault="009F2BB3" w:rsidP="009F2BB3">
            <w:pPr>
              <w:spacing w:before="60" w:after="60"/>
              <w:jc w:val="center"/>
              <w:rPr>
                <w:rFonts w:ascii="Arial" w:hAnsi="Arial" w:cs="Arial"/>
                <w:sz w:val="20"/>
                <w:szCs w:val="20"/>
              </w:rPr>
            </w:pPr>
            <w:r w:rsidRPr="00FC6804">
              <w:rPr>
                <w:rFonts w:ascii="Arial" w:hAnsi="Arial" w:cs="Arial"/>
                <w:sz w:val="20"/>
                <w:szCs w:val="20"/>
              </w:rPr>
              <w:t>3</w:t>
            </w:r>
          </w:p>
        </w:tc>
        <w:tc>
          <w:tcPr>
            <w:tcW w:w="3081" w:type="dxa"/>
            <w:vAlign w:val="center"/>
          </w:tcPr>
          <w:p w:rsidR="009F2BB3" w:rsidRPr="00FC6804" w:rsidRDefault="009F2BB3" w:rsidP="009F2BB3">
            <w:pPr>
              <w:spacing w:before="60" w:after="60"/>
              <w:jc w:val="center"/>
              <w:rPr>
                <w:rFonts w:ascii="Arial" w:hAnsi="Arial" w:cs="Arial"/>
                <w:color w:val="000000"/>
                <w:sz w:val="20"/>
                <w:szCs w:val="20"/>
              </w:rPr>
            </w:pPr>
            <w:r w:rsidRPr="00FC6804">
              <w:rPr>
                <w:rFonts w:ascii="Arial" w:hAnsi="Arial" w:cs="Arial"/>
                <w:color w:val="000000"/>
                <w:sz w:val="20"/>
                <w:szCs w:val="20"/>
              </w:rPr>
              <w:t>15.8%</w:t>
            </w:r>
          </w:p>
        </w:tc>
      </w:tr>
      <w:tr w:rsidR="009F2BB3" w:rsidRPr="00FC6804" w:rsidTr="00DE466A">
        <w:tc>
          <w:tcPr>
            <w:tcW w:w="3080" w:type="dxa"/>
            <w:vAlign w:val="bottom"/>
          </w:tcPr>
          <w:p w:rsidR="009F2BB3" w:rsidRPr="00FC6804" w:rsidRDefault="009F2BB3" w:rsidP="009F2BB3">
            <w:pPr>
              <w:spacing w:before="60" w:after="60"/>
              <w:rPr>
                <w:rFonts w:ascii="Arial" w:hAnsi="Arial" w:cs="Arial"/>
                <w:color w:val="000000"/>
                <w:sz w:val="20"/>
                <w:szCs w:val="20"/>
              </w:rPr>
            </w:pPr>
            <w:r w:rsidRPr="00FC6804">
              <w:rPr>
                <w:rFonts w:ascii="Arial" w:hAnsi="Arial" w:cs="Arial"/>
                <w:color w:val="000000"/>
                <w:sz w:val="20"/>
                <w:szCs w:val="20"/>
              </w:rPr>
              <w:t>1,000,001 to 2,500,000 units</w:t>
            </w:r>
          </w:p>
        </w:tc>
        <w:tc>
          <w:tcPr>
            <w:tcW w:w="3081" w:type="dxa"/>
          </w:tcPr>
          <w:p w:rsidR="009F2BB3" w:rsidRPr="00FC6804" w:rsidRDefault="009F2BB3" w:rsidP="009F2BB3">
            <w:pPr>
              <w:spacing w:before="60" w:after="60"/>
              <w:jc w:val="center"/>
              <w:rPr>
                <w:rFonts w:ascii="Arial" w:hAnsi="Arial" w:cs="Arial"/>
                <w:sz w:val="20"/>
                <w:szCs w:val="20"/>
              </w:rPr>
            </w:pPr>
            <w:r w:rsidRPr="00FC6804">
              <w:rPr>
                <w:rFonts w:ascii="Arial" w:hAnsi="Arial" w:cs="Arial"/>
                <w:sz w:val="20"/>
                <w:szCs w:val="20"/>
              </w:rPr>
              <w:t>2</w:t>
            </w:r>
          </w:p>
        </w:tc>
        <w:tc>
          <w:tcPr>
            <w:tcW w:w="3081" w:type="dxa"/>
            <w:vAlign w:val="center"/>
          </w:tcPr>
          <w:p w:rsidR="009F2BB3" w:rsidRPr="00FC6804" w:rsidRDefault="009F2BB3" w:rsidP="009F2BB3">
            <w:pPr>
              <w:spacing w:before="60" w:after="60"/>
              <w:jc w:val="center"/>
              <w:rPr>
                <w:rFonts w:ascii="Arial" w:hAnsi="Arial" w:cs="Arial"/>
                <w:color w:val="000000"/>
                <w:sz w:val="20"/>
                <w:szCs w:val="20"/>
              </w:rPr>
            </w:pPr>
            <w:r w:rsidRPr="00FC6804">
              <w:rPr>
                <w:rFonts w:ascii="Arial" w:hAnsi="Arial" w:cs="Arial"/>
                <w:color w:val="000000"/>
                <w:sz w:val="20"/>
                <w:szCs w:val="20"/>
              </w:rPr>
              <w:t>10.5%</w:t>
            </w:r>
          </w:p>
        </w:tc>
      </w:tr>
      <w:tr w:rsidR="009F2BB3" w:rsidRPr="00FC6804" w:rsidTr="00DE466A">
        <w:tc>
          <w:tcPr>
            <w:tcW w:w="3080" w:type="dxa"/>
            <w:vAlign w:val="bottom"/>
          </w:tcPr>
          <w:p w:rsidR="009F2BB3" w:rsidRPr="00FC6804" w:rsidRDefault="009F2BB3" w:rsidP="009F2BB3">
            <w:pPr>
              <w:spacing w:before="60" w:after="60"/>
              <w:rPr>
                <w:rFonts w:ascii="Arial" w:hAnsi="Arial" w:cs="Arial"/>
                <w:color w:val="000000"/>
                <w:sz w:val="20"/>
                <w:szCs w:val="20"/>
              </w:rPr>
            </w:pPr>
            <w:r w:rsidRPr="00FC6804">
              <w:rPr>
                <w:rFonts w:ascii="Arial" w:hAnsi="Arial" w:cs="Arial"/>
                <w:color w:val="000000"/>
                <w:sz w:val="20"/>
                <w:szCs w:val="20"/>
              </w:rPr>
              <w:t>2,500,001 to 5,000,000 units</w:t>
            </w:r>
          </w:p>
        </w:tc>
        <w:tc>
          <w:tcPr>
            <w:tcW w:w="3081" w:type="dxa"/>
          </w:tcPr>
          <w:p w:rsidR="009F2BB3" w:rsidRPr="00FC6804" w:rsidRDefault="009F2BB3" w:rsidP="009F2BB3">
            <w:pPr>
              <w:spacing w:before="60" w:after="60"/>
              <w:jc w:val="center"/>
              <w:rPr>
                <w:rFonts w:ascii="Arial" w:hAnsi="Arial" w:cs="Arial"/>
                <w:sz w:val="20"/>
                <w:szCs w:val="20"/>
              </w:rPr>
            </w:pPr>
            <w:r w:rsidRPr="00FC6804">
              <w:rPr>
                <w:rFonts w:ascii="Arial" w:hAnsi="Arial" w:cs="Arial"/>
                <w:sz w:val="20"/>
                <w:szCs w:val="20"/>
              </w:rPr>
              <w:t>3</w:t>
            </w:r>
          </w:p>
        </w:tc>
        <w:tc>
          <w:tcPr>
            <w:tcW w:w="3081" w:type="dxa"/>
            <w:vAlign w:val="center"/>
          </w:tcPr>
          <w:p w:rsidR="009F2BB3" w:rsidRPr="00FC6804" w:rsidRDefault="009F2BB3" w:rsidP="009F2BB3">
            <w:pPr>
              <w:spacing w:before="60" w:after="60"/>
              <w:jc w:val="center"/>
              <w:rPr>
                <w:rFonts w:ascii="Arial" w:hAnsi="Arial" w:cs="Arial"/>
                <w:color w:val="000000"/>
                <w:sz w:val="20"/>
                <w:szCs w:val="20"/>
              </w:rPr>
            </w:pPr>
            <w:r w:rsidRPr="00FC6804">
              <w:rPr>
                <w:rFonts w:ascii="Arial" w:hAnsi="Arial" w:cs="Arial"/>
                <w:color w:val="000000"/>
                <w:sz w:val="20"/>
                <w:szCs w:val="20"/>
              </w:rPr>
              <w:t>15.8%</w:t>
            </w:r>
          </w:p>
        </w:tc>
      </w:tr>
      <w:tr w:rsidR="009F2BB3" w:rsidRPr="00FC6804" w:rsidTr="00DE466A">
        <w:tc>
          <w:tcPr>
            <w:tcW w:w="3080" w:type="dxa"/>
            <w:vAlign w:val="bottom"/>
          </w:tcPr>
          <w:p w:rsidR="009F2BB3" w:rsidRPr="00FC6804" w:rsidRDefault="009F2BB3" w:rsidP="009F2BB3">
            <w:pPr>
              <w:spacing w:before="60" w:after="60"/>
              <w:rPr>
                <w:rFonts w:ascii="Arial" w:hAnsi="Arial" w:cs="Arial"/>
                <w:color w:val="000000"/>
                <w:sz w:val="20"/>
                <w:szCs w:val="20"/>
              </w:rPr>
            </w:pPr>
            <w:r w:rsidRPr="00FC6804">
              <w:rPr>
                <w:rFonts w:ascii="Arial" w:hAnsi="Arial" w:cs="Arial"/>
                <w:color w:val="000000"/>
                <w:sz w:val="20"/>
                <w:szCs w:val="20"/>
              </w:rPr>
              <w:t>Over 5,000,000 units</w:t>
            </w:r>
          </w:p>
        </w:tc>
        <w:tc>
          <w:tcPr>
            <w:tcW w:w="3081" w:type="dxa"/>
          </w:tcPr>
          <w:p w:rsidR="009F2BB3" w:rsidRPr="00FC6804" w:rsidRDefault="009F2BB3" w:rsidP="009F2BB3">
            <w:pPr>
              <w:spacing w:before="60" w:after="60"/>
              <w:jc w:val="center"/>
              <w:rPr>
                <w:rFonts w:ascii="Arial" w:hAnsi="Arial" w:cs="Arial"/>
                <w:sz w:val="20"/>
                <w:szCs w:val="20"/>
              </w:rPr>
            </w:pPr>
            <w:r w:rsidRPr="00FC6804">
              <w:rPr>
                <w:rFonts w:ascii="Arial" w:hAnsi="Arial" w:cs="Arial"/>
                <w:sz w:val="20"/>
                <w:szCs w:val="20"/>
              </w:rPr>
              <w:t>5</w:t>
            </w:r>
          </w:p>
        </w:tc>
        <w:tc>
          <w:tcPr>
            <w:tcW w:w="3081" w:type="dxa"/>
            <w:vAlign w:val="center"/>
          </w:tcPr>
          <w:p w:rsidR="009F2BB3" w:rsidRPr="00FC6804" w:rsidRDefault="009F2BB3" w:rsidP="009F2BB3">
            <w:pPr>
              <w:spacing w:before="60" w:after="60"/>
              <w:jc w:val="center"/>
              <w:rPr>
                <w:rFonts w:ascii="Arial" w:hAnsi="Arial" w:cs="Arial"/>
                <w:color w:val="000000"/>
                <w:sz w:val="20"/>
                <w:szCs w:val="20"/>
              </w:rPr>
            </w:pPr>
            <w:r w:rsidRPr="00FC6804">
              <w:rPr>
                <w:rFonts w:ascii="Arial" w:hAnsi="Arial" w:cs="Arial"/>
                <w:color w:val="000000"/>
                <w:sz w:val="20"/>
                <w:szCs w:val="20"/>
              </w:rPr>
              <w:t>26.3%</w:t>
            </w:r>
          </w:p>
        </w:tc>
      </w:tr>
      <w:tr w:rsidR="009F2BB3" w:rsidRPr="00FC6804" w:rsidTr="00DE466A">
        <w:tc>
          <w:tcPr>
            <w:tcW w:w="3080" w:type="dxa"/>
            <w:vAlign w:val="bottom"/>
          </w:tcPr>
          <w:p w:rsidR="009F2BB3" w:rsidRPr="00FC6804" w:rsidRDefault="009F2BB3" w:rsidP="009F2BB3">
            <w:pPr>
              <w:spacing w:before="60" w:after="60"/>
              <w:rPr>
                <w:rFonts w:ascii="Arial" w:hAnsi="Arial" w:cs="Arial"/>
                <w:color w:val="000000"/>
                <w:sz w:val="20"/>
                <w:szCs w:val="20"/>
              </w:rPr>
            </w:pPr>
            <w:r w:rsidRPr="00FC6804">
              <w:rPr>
                <w:rFonts w:ascii="Arial" w:hAnsi="Arial" w:cs="Arial"/>
                <w:b/>
                <w:color w:val="000000"/>
                <w:sz w:val="20"/>
                <w:szCs w:val="20"/>
              </w:rPr>
              <w:t>Total</w:t>
            </w:r>
          </w:p>
        </w:tc>
        <w:tc>
          <w:tcPr>
            <w:tcW w:w="3081" w:type="dxa"/>
          </w:tcPr>
          <w:p w:rsidR="009F2BB3" w:rsidRPr="00FC6804" w:rsidRDefault="009F2BB3" w:rsidP="009F2BB3">
            <w:pPr>
              <w:spacing w:before="60" w:after="60"/>
              <w:jc w:val="center"/>
              <w:rPr>
                <w:rFonts w:ascii="Arial" w:hAnsi="Arial" w:cs="Arial"/>
                <w:sz w:val="20"/>
                <w:szCs w:val="20"/>
              </w:rPr>
            </w:pPr>
            <w:r w:rsidRPr="00FC6804">
              <w:rPr>
                <w:rFonts w:ascii="Arial" w:hAnsi="Arial" w:cs="Arial"/>
                <w:b/>
                <w:sz w:val="20"/>
                <w:szCs w:val="20"/>
              </w:rPr>
              <w:t>19</w:t>
            </w:r>
          </w:p>
        </w:tc>
        <w:tc>
          <w:tcPr>
            <w:tcW w:w="3081" w:type="dxa"/>
          </w:tcPr>
          <w:p w:rsidR="009F2BB3" w:rsidRPr="00FC6804" w:rsidRDefault="009F2BB3" w:rsidP="009F2BB3">
            <w:pPr>
              <w:spacing w:before="60" w:after="60"/>
              <w:jc w:val="center"/>
              <w:rPr>
                <w:rFonts w:ascii="Arial" w:hAnsi="Arial" w:cs="Arial"/>
                <w:color w:val="000000"/>
                <w:sz w:val="20"/>
                <w:szCs w:val="20"/>
              </w:rPr>
            </w:pPr>
            <w:r w:rsidRPr="00FC6804">
              <w:rPr>
                <w:rFonts w:ascii="Arial" w:hAnsi="Arial" w:cs="Arial"/>
                <w:b/>
                <w:sz w:val="20"/>
                <w:szCs w:val="20"/>
              </w:rPr>
              <w:t>100.0%</w:t>
            </w:r>
          </w:p>
        </w:tc>
      </w:tr>
    </w:tbl>
    <w:p w:rsidR="00C11A36" w:rsidRPr="00FC6804" w:rsidRDefault="00C11A36">
      <w:r w:rsidRPr="00FC6804">
        <w:rPr>
          <w:rFonts w:ascii="Arial" w:hAnsi="Arial" w:cs="Arial"/>
          <w:sz w:val="20"/>
          <w:szCs w:val="20"/>
        </w:rPr>
        <w:br w:type="page"/>
      </w:r>
    </w:p>
    <w:p w:rsidR="001508B7" w:rsidRPr="00FC6804" w:rsidRDefault="00054C02" w:rsidP="0026792B">
      <w:pPr>
        <w:pStyle w:val="Heading1"/>
      </w:pPr>
      <w:bookmarkStart w:id="11" w:name="_Toc443915346"/>
      <w:r w:rsidRPr="00FC6804">
        <w:t>Objectives of the proposed fees order</w:t>
      </w:r>
      <w:bookmarkEnd w:id="11"/>
    </w:p>
    <w:p w:rsidR="00054C02" w:rsidRPr="00FC6804" w:rsidRDefault="00054C02" w:rsidP="00EE188E">
      <w:pPr>
        <w:spacing w:after="0" w:line="240" w:lineRule="auto"/>
        <w:rPr>
          <w:rFonts w:ascii="Arial" w:hAnsi="Arial" w:cs="Arial"/>
          <w:sz w:val="20"/>
          <w:szCs w:val="20"/>
        </w:rPr>
      </w:pPr>
    </w:p>
    <w:p w:rsidR="00054C02" w:rsidRPr="00FC6804" w:rsidRDefault="00054C02" w:rsidP="00EE188E">
      <w:pPr>
        <w:spacing w:after="0" w:line="240" w:lineRule="auto"/>
        <w:rPr>
          <w:rFonts w:ascii="Arial" w:hAnsi="Arial" w:cs="Arial"/>
          <w:sz w:val="20"/>
          <w:szCs w:val="20"/>
        </w:rPr>
      </w:pPr>
      <w:r w:rsidRPr="00FC6804">
        <w:rPr>
          <w:rFonts w:ascii="Arial" w:hAnsi="Arial" w:cs="Arial"/>
          <w:sz w:val="20"/>
          <w:szCs w:val="20"/>
        </w:rPr>
        <w:t>Given the above discussion o</w:t>
      </w:r>
      <w:r w:rsidR="007A51BB">
        <w:rPr>
          <w:rFonts w:ascii="Arial" w:hAnsi="Arial" w:cs="Arial"/>
          <w:sz w:val="20"/>
          <w:szCs w:val="20"/>
        </w:rPr>
        <w:t>n</w:t>
      </w:r>
      <w:r w:rsidRPr="00FC6804">
        <w:rPr>
          <w:rFonts w:ascii="Arial" w:hAnsi="Arial" w:cs="Arial"/>
          <w:sz w:val="20"/>
          <w:szCs w:val="20"/>
        </w:rPr>
        <w:t xml:space="preserve"> the nature and extent of the problem being addressed, the objectives of the proposed fees order are to:</w:t>
      </w:r>
    </w:p>
    <w:p w:rsidR="00EE188E" w:rsidRPr="00FC6804" w:rsidRDefault="00EE188E" w:rsidP="00EE188E">
      <w:pPr>
        <w:spacing w:after="0" w:line="240" w:lineRule="auto"/>
        <w:rPr>
          <w:rFonts w:ascii="Arial" w:hAnsi="Arial" w:cs="Arial"/>
          <w:sz w:val="20"/>
          <w:szCs w:val="20"/>
        </w:rPr>
      </w:pPr>
    </w:p>
    <w:p w:rsidR="00E95D05" w:rsidRPr="00FC6804" w:rsidRDefault="00054C02" w:rsidP="00EE188E">
      <w:pPr>
        <w:pStyle w:val="ListParagraph"/>
        <w:numPr>
          <w:ilvl w:val="0"/>
          <w:numId w:val="9"/>
        </w:numPr>
        <w:spacing w:after="0" w:line="240" w:lineRule="auto"/>
        <w:contextualSpacing w:val="0"/>
        <w:rPr>
          <w:rFonts w:ascii="Arial" w:hAnsi="Arial" w:cs="Arial"/>
          <w:sz w:val="20"/>
          <w:szCs w:val="20"/>
        </w:rPr>
      </w:pPr>
      <w:r w:rsidRPr="00FC6804">
        <w:rPr>
          <w:rFonts w:ascii="Arial" w:hAnsi="Arial" w:cs="Arial"/>
          <w:sz w:val="20"/>
          <w:szCs w:val="20"/>
        </w:rPr>
        <w:t xml:space="preserve">Ensure that </w:t>
      </w:r>
      <w:r w:rsidR="009B04B8" w:rsidRPr="00FC6804">
        <w:rPr>
          <w:rFonts w:ascii="Arial" w:hAnsi="Arial" w:cs="Arial"/>
          <w:sz w:val="20"/>
          <w:szCs w:val="20"/>
        </w:rPr>
        <w:t>PrimeSafe</w:t>
      </w:r>
      <w:r w:rsidRPr="00FC6804">
        <w:rPr>
          <w:rFonts w:ascii="Arial" w:hAnsi="Arial" w:cs="Arial"/>
          <w:sz w:val="20"/>
          <w:szCs w:val="20"/>
        </w:rPr>
        <w:t xml:space="preserve"> will have the resources to meet </w:t>
      </w:r>
      <w:r w:rsidR="00E95D05" w:rsidRPr="00FC6804">
        <w:rPr>
          <w:rFonts w:ascii="Arial" w:hAnsi="Arial" w:cs="Arial"/>
          <w:sz w:val="20"/>
          <w:szCs w:val="20"/>
        </w:rPr>
        <w:t xml:space="preserve">the efficient costs of acquitting </w:t>
      </w:r>
      <w:r w:rsidRPr="00FC6804">
        <w:rPr>
          <w:rFonts w:ascii="Arial" w:hAnsi="Arial" w:cs="Arial"/>
          <w:sz w:val="20"/>
          <w:szCs w:val="20"/>
        </w:rPr>
        <w:t>its regulatory obligations for 2016-17 and beyond</w:t>
      </w:r>
      <w:r w:rsidR="00E95D05" w:rsidRPr="00FC6804">
        <w:rPr>
          <w:rFonts w:ascii="Arial" w:hAnsi="Arial" w:cs="Arial"/>
          <w:sz w:val="20"/>
          <w:szCs w:val="20"/>
        </w:rPr>
        <w:t>, while ensuring that:</w:t>
      </w:r>
    </w:p>
    <w:p w:rsidR="00A4284F" w:rsidRPr="00FC6804" w:rsidRDefault="00E95D05" w:rsidP="00A4284F">
      <w:pPr>
        <w:pStyle w:val="ListParagraph"/>
        <w:numPr>
          <w:ilvl w:val="1"/>
          <w:numId w:val="9"/>
        </w:numPr>
        <w:spacing w:after="0" w:line="240" w:lineRule="auto"/>
        <w:ind w:left="1071" w:hanging="357"/>
        <w:contextualSpacing w:val="0"/>
        <w:rPr>
          <w:rFonts w:ascii="Arial" w:hAnsi="Arial" w:cs="Arial"/>
          <w:sz w:val="20"/>
          <w:szCs w:val="20"/>
        </w:rPr>
      </w:pPr>
      <w:r w:rsidRPr="00FC6804">
        <w:rPr>
          <w:rFonts w:ascii="Arial" w:hAnsi="Arial" w:cs="Arial"/>
          <w:sz w:val="20"/>
          <w:szCs w:val="20"/>
        </w:rPr>
        <w:t>fees remain affordable for licensed entities</w:t>
      </w:r>
      <w:r w:rsidR="00054C02" w:rsidRPr="00FC6804">
        <w:rPr>
          <w:rFonts w:ascii="Arial" w:hAnsi="Arial" w:cs="Arial"/>
          <w:sz w:val="20"/>
          <w:szCs w:val="20"/>
        </w:rPr>
        <w:t xml:space="preserve">; </w:t>
      </w:r>
      <w:r w:rsidRPr="00FC6804">
        <w:rPr>
          <w:rFonts w:ascii="Arial" w:hAnsi="Arial" w:cs="Arial"/>
          <w:sz w:val="20"/>
          <w:szCs w:val="20"/>
        </w:rPr>
        <w:t>and</w:t>
      </w:r>
    </w:p>
    <w:p w:rsidR="00054C02" w:rsidRPr="00FC6804" w:rsidRDefault="00E95D05" w:rsidP="00A4284F">
      <w:pPr>
        <w:pStyle w:val="ListParagraph"/>
        <w:numPr>
          <w:ilvl w:val="1"/>
          <w:numId w:val="9"/>
        </w:numPr>
        <w:spacing w:after="0" w:line="240" w:lineRule="auto"/>
        <w:ind w:left="1071" w:hanging="357"/>
        <w:contextualSpacing w:val="0"/>
        <w:rPr>
          <w:rFonts w:ascii="Arial" w:hAnsi="Arial" w:cs="Arial"/>
          <w:sz w:val="20"/>
          <w:szCs w:val="20"/>
        </w:rPr>
      </w:pPr>
      <w:r w:rsidRPr="00FC6804">
        <w:rPr>
          <w:rFonts w:ascii="Arial" w:hAnsi="Arial" w:cs="Arial"/>
          <w:sz w:val="20"/>
          <w:szCs w:val="20"/>
        </w:rPr>
        <w:t xml:space="preserve">public confidence in the safety of meat, seafood and poultry and the maintenance of animal welfare standards are maintained; </w:t>
      </w:r>
      <w:r w:rsidR="00054C02" w:rsidRPr="00FC6804">
        <w:rPr>
          <w:rFonts w:ascii="Arial" w:hAnsi="Arial" w:cs="Arial"/>
          <w:sz w:val="20"/>
          <w:szCs w:val="20"/>
        </w:rPr>
        <w:t>and</w:t>
      </w:r>
    </w:p>
    <w:p w:rsidR="00EE188E" w:rsidRPr="00FC6804" w:rsidRDefault="00EE188E" w:rsidP="00EE188E">
      <w:pPr>
        <w:pStyle w:val="ListParagraph"/>
        <w:spacing w:after="0" w:line="240" w:lineRule="auto"/>
        <w:ind w:left="1440"/>
        <w:contextualSpacing w:val="0"/>
        <w:rPr>
          <w:rFonts w:ascii="Arial" w:hAnsi="Arial" w:cs="Arial"/>
          <w:sz w:val="20"/>
          <w:szCs w:val="20"/>
        </w:rPr>
      </w:pPr>
    </w:p>
    <w:p w:rsidR="00054C02" w:rsidRPr="00FC6804" w:rsidRDefault="00054C02" w:rsidP="00EE188E">
      <w:pPr>
        <w:pStyle w:val="ListParagraph"/>
        <w:numPr>
          <w:ilvl w:val="0"/>
          <w:numId w:val="9"/>
        </w:numPr>
        <w:spacing w:after="0" w:line="240" w:lineRule="auto"/>
        <w:contextualSpacing w:val="0"/>
        <w:rPr>
          <w:rFonts w:ascii="Arial" w:hAnsi="Arial" w:cs="Arial"/>
          <w:sz w:val="20"/>
          <w:szCs w:val="20"/>
        </w:rPr>
      </w:pPr>
      <w:r w:rsidRPr="00FC6804">
        <w:rPr>
          <w:rFonts w:ascii="Arial" w:hAnsi="Arial" w:cs="Arial"/>
          <w:sz w:val="20"/>
          <w:szCs w:val="20"/>
        </w:rPr>
        <w:t>Improve equity between regulated entities by achieving a better alignment between regulatory costs and fees paid across different licence categories.</w:t>
      </w:r>
    </w:p>
    <w:p w:rsidR="00054C02" w:rsidRPr="00FC6804" w:rsidRDefault="00054C02">
      <w:pPr>
        <w:rPr>
          <w:rFonts w:asciiTheme="majorHAnsi" w:eastAsiaTheme="majorEastAsia" w:hAnsiTheme="majorHAnsi" w:cstheme="majorBidi"/>
          <w:color w:val="2E74B5" w:themeColor="accent1" w:themeShade="BF"/>
          <w:sz w:val="32"/>
          <w:szCs w:val="32"/>
        </w:rPr>
      </w:pPr>
      <w:r w:rsidRPr="00FC6804">
        <w:br w:type="page"/>
      </w:r>
    </w:p>
    <w:p w:rsidR="002974C0" w:rsidRPr="00FC6804" w:rsidRDefault="00E95D05" w:rsidP="0026792B">
      <w:pPr>
        <w:pStyle w:val="Heading1"/>
      </w:pPr>
      <w:bookmarkStart w:id="12" w:name="_Toc443915347"/>
      <w:r w:rsidRPr="00FC6804">
        <w:t>Overv</w:t>
      </w:r>
      <w:r w:rsidR="002974C0" w:rsidRPr="00FC6804">
        <w:t>iew of feasible options</w:t>
      </w:r>
      <w:bookmarkEnd w:id="12"/>
    </w:p>
    <w:p w:rsidR="002974C0" w:rsidRPr="00FC6804" w:rsidRDefault="002974C0" w:rsidP="009B04B8">
      <w:pPr>
        <w:spacing w:after="0" w:line="240" w:lineRule="auto"/>
        <w:rPr>
          <w:rFonts w:ascii="Arial" w:hAnsi="Arial" w:cs="Arial"/>
          <w:sz w:val="20"/>
          <w:szCs w:val="20"/>
        </w:rPr>
      </w:pPr>
    </w:p>
    <w:p w:rsidR="000A5AFB" w:rsidRPr="00FC6804" w:rsidRDefault="009B04B8" w:rsidP="009B04B8">
      <w:pPr>
        <w:spacing w:after="0" w:line="240" w:lineRule="auto"/>
        <w:rPr>
          <w:rFonts w:ascii="Arial" w:hAnsi="Arial" w:cs="Arial"/>
          <w:sz w:val="20"/>
          <w:szCs w:val="20"/>
        </w:rPr>
      </w:pPr>
      <w:r w:rsidRPr="00FC6804">
        <w:rPr>
          <w:rFonts w:ascii="Arial" w:hAnsi="Arial" w:cs="Arial"/>
          <w:sz w:val="20"/>
          <w:szCs w:val="20"/>
        </w:rPr>
        <w:t>Regulatory Impact Statements (</w:t>
      </w:r>
      <w:r w:rsidR="000A5AFB" w:rsidRPr="00FC6804">
        <w:rPr>
          <w:rFonts w:ascii="Arial" w:hAnsi="Arial" w:cs="Arial"/>
          <w:sz w:val="20"/>
          <w:szCs w:val="20"/>
        </w:rPr>
        <w:t>RIS</w:t>
      </w:r>
      <w:r w:rsidRPr="00FC6804">
        <w:rPr>
          <w:rFonts w:ascii="Arial" w:hAnsi="Arial" w:cs="Arial"/>
          <w:sz w:val="20"/>
          <w:szCs w:val="20"/>
        </w:rPr>
        <w:t>)</w:t>
      </w:r>
      <w:r w:rsidR="000A5AFB" w:rsidRPr="00FC6804">
        <w:rPr>
          <w:rFonts w:ascii="Arial" w:hAnsi="Arial" w:cs="Arial"/>
          <w:sz w:val="20"/>
          <w:szCs w:val="20"/>
        </w:rPr>
        <w:t xml:space="preserve"> are required to identify and assess all feasible options that would achieve the underlying regulatory objective. In accordance with this requirement, four specific options are set out and analy</w:t>
      </w:r>
      <w:r w:rsidRPr="00FC6804">
        <w:rPr>
          <w:rFonts w:ascii="Arial" w:hAnsi="Arial" w:cs="Arial"/>
          <w:sz w:val="20"/>
          <w:szCs w:val="20"/>
        </w:rPr>
        <w:t xml:space="preserve">sed in the following sections. </w:t>
      </w:r>
      <w:r w:rsidR="000A5AFB" w:rsidRPr="00FC6804">
        <w:rPr>
          <w:rFonts w:ascii="Arial" w:hAnsi="Arial" w:cs="Arial"/>
          <w:sz w:val="20"/>
          <w:szCs w:val="20"/>
        </w:rPr>
        <w:t>However, it should be noted that a number of other potential options have been identified but found on initial analysis not to cross t</w:t>
      </w:r>
      <w:r w:rsidRPr="00FC6804">
        <w:rPr>
          <w:rFonts w:ascii="Arial" w:hAnsi="Arial" w:cs="Arial"/>
          <w:sz w:val="20"/>
          <w:szCs w:val="20"/>
        </w:rPr>
        <w:t xml:space="preserve">he threshold of “feasibility”. </w:t>
      </w:r>
      <w:r w:rsidR="000A5AFB" w:rsidRPr="00FC6804">
        <w:rPr>
          <w:rFonts w:ascii="Arial" w:hAnsi="Arial" w:cs="Arial"/>
          <w:sz w:val="20"/>
          <w:szCs w:val="20"/>
        </w:rPr>
        <w:t>These are discussed briefly below.</w:t>
      </w:r>
    </w:p>
    <w:p w:rsidR="009B04B8" w:rsidRPr="00FC6804" w:rsidRDefault="009B04B8" w:rsidP="009B04B8">
      <w:pPr>
        <w:spacing w:after="0" w:line="240" w:lineRule="auto"/>
        <w:rPr>
          <w:rFonts w:ascii="Arial" w:hAnsi="Arial" w:cs="Arial"/>
          <w:b/>
          <w:sz w:val="20"/>
          <w:szCs w:val="20"/>
        </w:rPr>
      </w:pPr>
    </w:p>
    <w:p w:rsidR="000A5AFB" w:rsidRPr="00FC6804" w:rsidRDefault="00AF186F" w:rsidP="009B04B8">
      <w:pPr>
        <w:spacing w:after="0" w:line="240" w:lineRule="auto"/>
        <w:rPr>
          <w:rFonts w:ascii="Arial" w:hAnsi="Arial" w:cs="Arial"/>
          <w:b/>
          <w:color w:val="1F4E79" w:themeColor="accent1" w:themeShade="80"/>
          <w:sz w:val="20"/>
          <w:szCs w:val="20"/>
        </w:rPr>
      </w:pPr>
      <w:r w:rsidRPr="00FC6804">
        <w:rPr>
          <w:rFonts w:ascii="Arial" w:hAnsi="Arial" w:cs="Arial"/>
          <w:b/>
          <w:color w:val="1F4E79" w:themeColor="accent1" w:themeShade="80"/>
          <w:sz w:val="20"/>
          <w:szCs w:val="20"/>
        </w:rPr>
        <w:t>Differentiating fees based on risk</w:t>
      </w:r>
    </w:p>
    <w:p w:rsidR="009B04B8" w:rsidRPr="00FC6804" w:rsidRDefault="009B04B8" w:rsidP="009B04B8">
      <w:pPr>
        <w:spacing w:after="0" w:line="240" w:lineRule="auto"/>
        <w:rPr>
          <w:rFonts w:ascii="Arial" w:hAnsi="Arial" w:cs="Arial"/>
          <w:sz w:val="20"/>
          <w:szCs w:val="20"/>
        </w:rPr>
      </w:pPr>
    </w:p>
    <w:p w:rsidR="00AF186F" w:rsidRPr="00FC6804" w:rsidRDefault="00AF186F" w:rsidP="009B04B8">
      <w:pPr>
        <w:spacing w:after="0" w:line="240" w:lineRule="auto"/>
        <w:rPr>
          <w:rFonts w:ascii="Arial" w:hAnsi="Arial" w:cs="Arial"/>
          <w:sz w:val="20"/>
          <w:szCs w:val="20"/>
        </w:rPr>
      </w:pPr>
      <w:r w:rsidRPr="00FC6804">
        <w:rPr>
          <w:rFonts w:ascii="Arial" w:hAnsi="Arial" w:cs="Arial"/>
          <w:sz w:val="20"/>
          <w:szCs w:val="20"/>
        </w:rPr>
        <w:t xml:space="preserve">As noted above, </w:t>
      </w:r>
      <w:r w:rsidR="009B04B8" w:rsidRPr="00FC6804">
        <w:rPr>
          <w:rFonts w:ascii="Arial" w:hAnsi="Arial" w:cs="Arial"/>
          <w:sz w:val="20"/>
          <w:szCs w:val="20"/>
        </w:rPr>
        <w:t>PrimeSafe</w:t>
      </w:r>
      <w:r w:rsidRPr="00FC6804">
        <w:rPr>
          <w:rFonts w:ascii="Arial" w:hAnsi="Arial" w:cs="Arial"/>
          <w:sz w:val="20"/>
          <w:szCs w:val="20"/>
        </w:rPr>
        <w:t xml:space="preserve"> is progressively adopting more ris</w:t>
      </w:r>
      <w:r w:rsidR="009B04B8" w:rsidRPr="00FC6804">
        <w:rPr>
          <w:rFonts w:ascii="Arial" w:hAnsi="Arial" w:cs="Arial"/>
          <w:sz w:val="20"/>
          <w:szCs w:val="20"/>
        </w:rPr>
        <w:t xml:space="preserve">k-based management strategies. </w:t>
      </w:r>
      <w:r w:rsidRPr="00FC6804">
        <w:rPr>
          <w:rFonts w:ascii="Arial" w:hAnsi="Arial" w:cs="Arial"/>
          <w:sz w:val="20"/>
          <w:szCs w:val="20"/>
        </w:rPr>
        <w:t xml:space="preserve">One potential option in this regard would be to charge varying fees within certain licence categories, based on past performance (i.e. in terms of inspection outcomes, complaints upheld, </w:t>
      </w:r>
      <w:r w:rsidR="009B04B8" w:rsidRPr="00FC6804">
        <w:rPr>
          <w:rFonts w:ascii="Arial" w:hAnsi="Arial" w:cs="Arial"/>
          <w:sz w:val="20"/>
          <w:szCs w:val="20"/>
        </w:rPr>
        <w:t xml:space="preserve">etc.). </w:t>
      </w:r>
      <w:r w:rsidRPr="00FC6804">
        <w:rPr>
          <w:rFonts w:ascii="Arial" w:hAnsi="Arial" w:cs="Arial"/>
          <w:sz w:val="20"/>
          <w:szCs w:val="20"/>
        </w:rPr>
        <w:t>This would potentially yield efficiency gains, as it would mean that those licensees that required a greater commitment of Prime</w:t>
      </w:r>
      <w:r w:rsidR="009B04B8" w:rsidRPr="00FC6804">
        <w:rPr>
          <w:rFonts w:ascii="Arial" w:hAnsi="Arial" w:cs="Arial"/>
          <w:sz w:val="20"/>
          <w:szCs w:val="20"/>
        </w:rPr>
        <w:t>S</w:t>
      </w:r>
      <w:r w:rsidRPr="00FC6804">
        <w:rPr>
          <w:rFonts w:ascii="Arial" w:hAnsi="Arial" w:cs="Arial"/>
          <w:sz w:val="20"/>
          <w:szCs w:val="20"/>
        </w:rPr>
        <w:t>afe’s supervisory resources would make a lar</w:t>
      </w:r>
      <w:r w:rsidR="009B04B8" w:rsidRPr="00FC6804">
        <w:rPr>
          <w:rFonts w:ascii="Arial" w:hAnsi="Arial" w:cs="Arial"/>
          <w:sz w:val="20"/>
          <w:szCs w:val="20"/>
        </w:rPr>
        <w:t xml:space="preserve">ger contribution to its costs. </w:t>
      </w:r>
      <w:r w:rsidRPr="00FC6804">
        <w:rPr>
          <w:rFonts w:ascii="Arial" w:hAnsi="Arial" w:cs="Arial"/>
          <w:sz w:val="20"/>
          <w:szCs w:val="20"/>
        </w:rPr>
        <w:t>It would also provide incentives for improved performance, since licensees demonstrating poor performance would face higher costs.</w:t>
      </w:r>
    </w:p>
    <w:p w:rsidR="009B04B8" w:rsidRPr="00FC6804" w:rsidRDefault="009B04B8" w:rsidP="009B04B8">
      <w:pPr>
        <w:spacing w:after="0" w:line="240" w:lineRule="auto"/>
        <w:rPr>
          <w:rFonts w:ascii="Arial" w:hAnsi="Arial" w:cs="Arial"/>
          <w:sz w:val="20"/>
          <w:szCs w:val="20"/>
        </w:rPr>
      </w:pPr>
    </w:p>
    <w:p w:rsidR="00AF186F" w:rsidRPr="00FC6804" w:rsidRDefault="00AF186F" w:rsidP="009B04B8">
      <w:pPr>
        <w:spacing w:after="0" w:line="240" w:lineRule="auto"/>
        <w:rPr>
          <w:rFonts w:ascii="Arial" w:hAnsi="Arial" w:cs="Arial"/>
          <w:sz w:val="20"/>
          <w:szCs w:val="20"/>
        </w:rPr>
      </w:pPr>
      <w:r w:rsidRPr="00FC6804">
        <w:rPr>
          <w:rFonts w:ascii="Arial" w:hAnsi="Arial" w:cs="Arial"/>
          <w:sz w:val="20"/>
          <w:szCs w:val="20"/>
        </w:rPr>
        <w:t>However, this option is considered infe</w:t>
      </w:r>
      <w:r w:rsidR="009B04B8" w:rsidRPr="00FC6804">
        <w:rPr>
          <w:rFonts w:ascii="Arial" w:hAnsi="Arial" w:cs="Arial"/>
          <w:sz w:val="20"/>
          <w:szCs w:val="20"/>
        </w:rPr>
        <w:t xml:space="preserve">asible on a number of grounds. </w:t>
      </w:r>
      <w:r w:rsidRPr="00FC6804">
        <w:rPr>
          <w:rFonts w:ascii="Arial" w:hAnsi="Arial" w:cs="Arial"/>
          <w:sz w:val="20"/>
          <w:szCs w:val="20"/>
        </w:rPr>
        <w:t xml:space="preserve">First, </w:t>
      </w:r>
      <w:r w:rsidR="00F16C30" w:rsidRPr="00FC6804">
        <w:rPr>
          <w:rFonts w:ascii="Arial" w:hAnsi="Arial" w:cs="Arial"/>
          <w:sz w:val="20"/>
          <w:szCs w:val="20"/>
        </w:rPr>
        <w:t>it would be likely to yield an unduly complex fee structure, with consequent administrative difficulties and costs and a potential lack of transparency, or clarity, surrounding fee levels</w:t>
      </w:r>
      <w:r w:rsidR="009B04B8" w:rsidRPr="00FC6804">
        <w:rPr>
          <w:rFonts w:ascii="Arial" w:hAnsi="Arial" w:cs="Arial"/>
          <w:sz w:val="20"/>
          <w:szCs w:val="20"/>
        </w:rPr>
        <w:t xml:space="preserve">. </w:t>
      </w:r>
      <w:r w:rsidR="00F16C30" w:rsidRPr="00FC6804">
        <w:rPr>
          <w:rFonts w:ascii="Arial" w:hAnsi="Arial" w:cs="Arial"/>
          <w:sz w:val="20"/>
          <w:szCs w:val="20"/>
        </w:rPr>
        <w:t>Second, current practice is that non-compliance detected in inspections results in a process of third party audits undertaken immediately after remedial action is taken an</w:t>
      </w:r>
      <w:r w:rsidR="001A070F">
        <w:rPr>
          <w:rFonts w:ascii="Arial" w:hAnsi="Arial" w:cs="Arial"/>
          <w:sz w:val="20"/>
          <w:szCs w:val="20"/>
        </w:rPr>
        <w:t xml:space="preserve">d over a set follow </w:t>
      </w:r>
      <w:r w:rsidR="009B04B8" w:rsidRPr="00FC6804">
        <w:rPr>
          <w:rFonts w:ascii="Arial" w:hAnsi="Arial" w:cs="Arial"/>
          <w:sz w:val="20"/>
          <w:szCs w:val="20"/>
        </w:rPr>
        <w:t xml:space="preserve">up period. </w:t>
      </w:r>
      <w:r w:rsidR="00F16C30" w:rsidRPr="00FC6804">
        <w:rPr>
          <w:rFonts w:ascii="Arial" w:hAnsi="Arial" w:cs="Arial"/>
          <w:sz w:val="20"/>
          <w:szCs w:val="20"/>
        </w:rPr>
        <w:t>As these audits are undertaken at the licensee’s cost by a third party</w:t>
      </w:r>
      <w:r w:rsidR="001A070F">
        <w:rPr>
          <w:rFonts w:ascii="Arial" w:hAnsi="Arial" w:cs="Arial"/>
          <w:sz w:val="20"/>
          <w:szCs w:val="20"/>
        </w:rPr>
        <w:t xml:space="preserve"> auditor</w:t>
      </w:r>
      <w:r w:rsidR="00F16C30" w:rsidRPr="00FC6804">
        <w:rPr>
          <w:rFonts w:ascii="Arial" w:hAnsi="Arial" w:cs="Arial"/>
          <w:sz w:val="20"/>
          <w:szCs w:val="20"/>
        </w:rPr>
        <w:t xml:space="preserve">, there is no additional cost to </w:t>
      </w:r>
      <w:r w:rsidR="009B04B8" w:rsidRPr="00FC6804">
        <w:rPr>
          <w:rFonts w:ascii="Arial" w:hAnsi="Arial" w:cs="Arial"/>
          <w:sz w:val="20"/>
          <w:szCs w:val="20"/>
        </w:rPr>
        <w:t>PrimeSafe</w:t>
      </w:r>
      <w:r w:rsidR="00F16C30" w:rsidRPr="00FC6804">
        <w:rPr>
          <w:rFonts w:ascii="Arial" w:hAnsi="Arial" w:cs="Arial"/>
          <w:sz w:val="20"/>
          <w:szCs w:val="20"/>
        </w:rPr>
        <w:t xml:space="preserve"> associated with these activities, while charging an additional fee could be seen as constituting a form of taxation or, at the least, of “double jeopardy”, given that the licensee is already required t</w:t>
      </w:r>
      <w:r w:rsidR="001A070F">
        <w:rPr>
          <w:rFonts w:ascii="Arial" w:hAnsi="Arial" w:cs="Arial"/>
          <w:sz w:val="20"/>
          <w:szCs w:val="20"/>
        </w:rPr>
        <w:t xml:space="preserve">o pay for the program of follow </w:t>
      </w:r>
      <w:r w:rsidR="00F16C30" w:rsidRPr="00FC6804">
        <w:rPr>
          <w:rFonts w:ascii="Arial" w:hAnsi="Arial" w:cs="Arial"/>
          <w:sz w:val="20"/>
          <w:szCs w:val="20"/>
        </w:rPr>
        <w:t>up audits.</w:t>
      </w:r>
    </w:p>
    <w:p w:rsidR="009B04B8" w:rsidRPr="00FC6804" w:rsidRDefault="009B04B8" w:rsidP="009B04B8">
      <w:pPr>
        <w:spacing w:after="0" w:line="240" w:lineRule="auto"/>
        <w:rPr>
          <w:rFonts w:ascii="Arial" w:hAnsi="Arial" w:cs="Arial"/>
          <w:b/>
          <w:sz w:val="20"/>
          <w:szCs w:val="20"/>
        </w:rPr>
      </w:pPr>
    </w:p>
    <w:p w:rsidR="00F16C30" w:rsidRPr="00FC6804" w:rsidRDefault="00F16C30" w:rsidP="009B04B8">
      <w:pPr>
        <w:spacing w:after="0" w:line="240" w:lineRule="auto"/>
        <w:rPr>
          <w:rFonts w:ascii="Arial" w:hAnsi="Arial" w:cs="Arial"/>
          <w:b/>
          <w:color w:val="1F4E79" w:themeColor="accent1" w:themeShade="80"/>
          <w:sz w:val="20"/>
          <w:szCs w:val="20"/>
        </w:rPr>
      </w:pPr>
      <w:r w:rsidRPr="00FC6804">
        <w:rPr>
          <w:rFonts w:ascii="Arial" w:hAnsi="Arial" w:cs="Arial"/>
          <w:b/>
          <w:color w:val="1F4E79" w:themeColor="accent1" w:themeShade="80"/>
          <w:sz w:val="20"/>
          <w:szCs w:val="20"/>
        </w:rPr>
        <w:t xml:space="preserve">Charging fees for </w:t>
      </w:r>
      <w:r w:rsidR="009B04B8" w:rsidRPr="00FC6804">
        <w:rPr>
          <w:rFonts w:ascii="Arial" w:hAnsi="Arial" w:cs="Arial"/>
          <w:b/>
          <w:color w:val="1F4E79" w:themeColor="accent1" w:themeShade="80"/>
          <w:sz w:val="20"/>
          <w:szCs w:val="20"/>
        </w:rPr>
        <w:t>inspections</w:t>
      </w:r>
    </w:p>
    <w:p w:rsidR="009B04B8" w:rsidRPr="00FC6804" w:rsidRDefault="009B04B8" w:rsidP="009B04B8">
      <w:pPr>
        <w:spacing w:after="0" w:line="240" w:lineRule="auto"/>
        <w:rPr>
          <w:rFonts w:ascii="Arial" w:hAnsi="Arial" w:cs="Arial"/>
          <w:sz w:val="20"/>
          <w:szCs w:val="20"/>
        </w:rPr>
      </w:pPr>
    </w:p>
    <w:p w:rsidR="00F16C30" w:rsidRPr="00FC6804" w:rsidRDefault="00F16C30" w:rsidP="009B04B8">
      <w:pPr>
        <w:spacing w:after="0" w:line="240" w:lineRule="auto"/>
        <w:rPr>
          <w:rFonts w:ascii="Arial" w:hAnsi="Arial" w:cs="Arial"/>
          <w:sz w:val="20"/>
          <w:szCs w:val="20"/>
        </w:rPr>
      </w:pPr>
      <w:r w:rsidRPr="00FC6804">
        <w:rPr>
          <w:rFonts w:ascii="Arial" w:hAnsi="Arial" w:cs="Arial"/>
          <w:sz w:val="20"/>
          <w:szCs w:val="20"/>
        </w:rPr>
        <w:t>A variant of the above option would involve charging fees for any follow</w:t>
      </w:r>
      <w:r w:rsidR="00DC1041">
        <w:rPr>
          <w:rFonts w:ascii="Arial" w:hAnsi="Arial" w:cs="Arial"/>
          <w:sz w:val="20"/>
          <w:szCs w:val="20"/>
        </w:rPr>
        <w:t xml:space="preserve"> </w:t>
      </w:r>
      <w:r w:rsidRPr="00FC6804">
        <w:rPr>
          <w:rFonts w:ascii="Arial" w:hAnsi="Arial" w:cs="Arial"/>
          <w:sz w:val="20"/>
          <w:szCs w:val="20"/>
        </w:rPr>
        <w:t>up inspections required to be conducted as a result of significant instances of non-compliance being d</w:t>
      </w:r>
      <w:r w:rsidR="009B04B8" w:rsidRPr="00FC6804">
        <w:rPr>
          <w:rFonts w:ascii="Arial" w:hAnsi="Arial" w:cs="Arial"/>
          <w:sz w:val="20"/>
          <w:szCs w:val="20"/>
        </w:rPr>
        <w:t xml:space="preserve">etected. </w:t>
      </w:r>
      <w:r w:rsidRPr="00FC6804">
        <w:rPr>
          <w:rFonts w:ascii="Arial" w:hAnsi="Arial" w:cs="Arial"/>
          <w:sz w:val="20"/>
          <w:szCs w:val="20"/>
        </w:rPr>
        <w:t xml:space="preserve">However, this option must also be considered to be infeasible, on the same basis as elucidated above: that is; current practice is that </w:t>
      </w:r>
      <w:r w:rsidR="009B04B8" w:rsidRPr="00FC6804">
        <w:rPr>
          <w:rFonts w:ascii="Arial" w:hAnsi="Arial" w:cs="Arial"/>
          <w:sz w:val="20"/>
          <w:szCs w:val="20"/>
        </w:rPr>
        <w:t>PrimeSafe</w:t>
      </w:r>
      <w:r w:rsidRPr="00FC6804">
        <w:rPr>
          <w:rFonts w:ascii="Arial" w:hAnsi="Arial" w:cs="Arial"/>
          <w:sz w:val="20"/>
          <w:szCs w:val="20"/>
        </w:rPr>
        <w:t xml:space="preserve"> does not, in most cases, undertake follow</w:t>
      </w:r>
      <w:r w:rsidR="00DC1041">
        <w:rPr>
          <w:rFonts w:ascii="Arial" w:hAnsi="Arial" w:cs="Arial"/>
          <w:sz w:val="20"/>
          <w:szCs w:val="20"/>
        </w:rPr>
        <w:t xml:space="preserve"> </w:t>
      </w:r>
      <w:r w:rsidRPr="00FC6804">
        <w:rPr>
          <w:rFonts w:ascii="Arial" w:hAnsi="Arial" w:cs="Arial"/>
          <w:sz w:val="20"/>
          <w:szCs w:val="20"/>
        </w:rPr>
        <w:t>up inspections, rather requiring that third party auditing</w:t>
      </w:r>
      <w:r w:rsidR="009B04B8" w:rsidRPr="00FC6804">
        <w:rPr>
          <w:rFonts w:ascii="Arial" w:hAnsi="Arial" w:cs="Arial"/>
          <w:sz w:val="20"/>
          <w:szCs w:val="20"/>
        </w:rPr>
        <w:t xml:space="preserve"> be undertaken. </w:t>
      </w:r>
      <w:r w:rsidRPr="00FC6804">
        <w:rPr>
          <w:rFonts w:ascii="Arial" w:hAnsi="Arial" w:cs="Arial"/>
          <w:sz w:val="20"/>
          <w:szCs w:val="20"/>
        </w:rPr>
        <w:t>Given this, there is no basis in differential costs for such an approach to be taken.</w:t>
      </w:r>
    </w:p>
    <w:p w:rsidR="009B04B8" w:rsidRPr="00FC6804" w:rsidRDefault="009B04B8" w:rsidP="009B04B8">
      <w:pPr>
        <w:spacing w:after="0" w:line="240" w:lineRule="auto"/>
        <w:rPr>
          <w:rFonts w:ascii="Arial" w:hAnsi="Arial" w:cs="Arial"/>
          <w:b/>
          <w:sz w:val="20"/>
          <w:szCs w:val="20"/>
        </w:rPr>
      </w:pPr>
    </w:p>
    <w:p w:rsidR="000A5AFB" w:rsidRPr="00FC6804" w:rsidRDefault="00F16C30" w:rsidP="009B04B8">
      <w:pPr>
        <w:spacing w:after="0" w:line="240" w:lineRule="auto"/>
        <w:rPr>
          <w:rFonts w:ascii="Arial" w:hAnsi="Arial" w:cs="Arial"/>
          <w:b/>
          <w:color w:val="1F4E79" w:themeColor="accent1" w:themeShade="80"/>
          <w:sz w:val="20"/>
          <w:szCs w:val="20"/>
        </w:rPr>
      </w:pPr>
      <w:r w:rsidRPr="00FC6804">
        <w:rPr>
          <w:rFonts w:ascii="Arial" w:hAnsi="Arial" w:cs="Arial"/>
          <w:b/>
          <w:color w:val="1F4E79" w:themeColor="accent1" w:themeShade="80"/>
          <w:sz w:val="20"/>
          <w:szCs w:val="20"/>
        </w:rPr>
        <w:t>Flat rate fee for provision of pre-licensing advice</w:t>
      </w:r>
    </w:p>
    <w:p w:rsidR="009B04B8" w:rsidRPr="00FC6804" w:rsidRDefault="009B04B8" w:rsidP="009B04B8">
      <w:pPr>
        <w:spacing w:after="0" w:line="240" w:lineRule="auto"/>
        <w:rPr>
          <w:rFonts w:ascii="Arial" w:hAnsi="Arial" w:cs="Arial"/>
          <w:sz w:val="20"/>
          <w:szCs w:val="20"/>
        </w:rPr>
      </w:pPr>
    </w:p>
    <w:p w:rsidR="00F16C30" w:rsidRPr="00FC6804" w:rsidRDefault="00F16C30" w:rsidP="009B04B8">
      <w:pPr>
        <w:spacing w:after="0" w:line="240" w:lineRule="auto"/>
        <w:rPr>
          <w:rFonts w:ascii="Arial" w:hAnsi="Arial" w:cs="Arial"/>
          <w:sz w:val="20"/>
          <w:szCs w:val="20"/>
        </w:rPr>
      </w:pPr>
      <w:r w:rsidRPr="00FC6804">
        <w:rPr>
          <w:rFonts w:ascii="Arial" w:hAnsi="Arial" w:cs="Arial"/>
          <w:sz w:val="20"/>
          <w:szCs w:val="20"/>
        </w:rPr>
        <w:t xml:space="preserve">As discussed above, </w:t>
      </w:r>
      <w:r w:rsidR="009B04B8" w:rsidRPr="00FC6804">
        <w:rPr>
          <w:rFonts w:ascii="Arial" w:hAnsi="Arial" w:cs="Arial"/>
          <w:sz w:val="20"/>
          <w:szCs w:val="20"/>
        </w:rPr>
        <w:t>PrimeSafe</w:t>
      </w:r>
      <w:r w:rsidRPr="00FC6804">
        <w:rPr>
          <w:rFonts w:ascii="Arial" w:hAnsi="Arial" w:cs="Arial"/>
          <w:sz w:val="20"/>
          <w:szCs w:val="20"/>
        </w:rPr>
        <w:t xml:space="preserve"> intends to provide significant advice to </w:t>
      </w:r>
      <w:r w:rsidR="00DC1041">
        <w:rPr>
          <w:rFonts w:ascii="Arial" w:hAnsi="Arial" w:cs="Arial"/>
          <w:sz w:val="20"/>
          <w:szCs w:val="20"/>
        </w:rPr>
        <w:t>prospective</w:t>
      </w:r>
      <w:r w:rsidRPr="00FC6804">
        <w:rPr>
          <w:rFonts w:ascii="Arial" w:hAnsi="Arial" w:cs="Arial"/>
          <w:sz w:val="20"/>
          <w:szCs w:val="20"/>
        </w:rPr>
        <w:t xml:space="preserve"> licensees and to charge an hourly rate for the provisio</w:t>
      </w:r>
      <w:r w:rsidR="009B04B8" w:rsidRPr="00FC6804">
        <w:rPr>
          <w:rFonts w:ascii="Arial" w:hAnsi="Arial" w:cs="Arial"/>
          <w:sz w:val="20"/>
          <w:szCs w:val="20"/>
        </w:rPr>
        <w:t>n of business</w:t>
      </w:r>
      <w:r w:rsidR="00DC1041">
        <w:rPr>
          <w:rFonts w:ascii="Arial" w:hAnsi="Arial" w:cs="Arial"/>
          <w:sz w:val="20"/>
          <w:szCs w:val="20"/>
        </w:rPr>
        <w:t xml:space="preserve"> </w:t>
      </w:r>
      <w:r w:rsidR="009B04B8" w:rsidRPr="00FC6804">
        <w:rPr>
          <w:rFonts w:ascii="Arial" w:hAnsi="Arial" w:cs="Arial"/>
          <w:sz w:val="20"/>
          <w:szCs w:val="20"/>
        </w:rPr>
        <w:t xml:space="preserve">specific advice. </w:t>
      </w:r>
      <w:r w:rsidR="00E97624" w:rsidRPr="00FC6804">
        <w:rPr>
          <w:rFonts w:ascii="Arial" w:hAnsi="Arial" w:cs="Arial"/>
          <w:sz w:val="20"/>
          <w:szCs w:val="20"/>
        </w:rPr>
        <w:t>P</w:t>
      </w:r>
      <w:r w:rsidRPr="00FC6804">
        <w:rPr>
          <w:rFonts w:ascii="Arial" w:hAnsi="Arial" w:cs="Arial"/>
          <w:sz w:val="20"/>
          <w:szCs w:val="20"/>
        </w:rPr>
        <w:t>ossible alternative approach</w:t>
      </w:r>
      <w:r w:rsidR="00E97624" w:rsidRPr="00FC6804">
        <w:rPr>
          <w:rFonts w:ascii="Arial" w:hAnsi="Arial" w:cs="Arial"/>
          <w:sz w:val="20"/>
          <w:szCs w:val="20"/>
        </w:rPr>
        <w:t>es</w:t>
      </w:r>
      <w:r w:rsidRPr="00FC6804">
        <w:rPr>
          <w:rFonts w:ascii="Arial" w:hAnsi="Arial" w:cs="Arial"/>
          <w:sz w:val="20"/>
          <w:szCs w:val="20"/>
        </w:rPr>
        <w:t xml:space="preserve"> to recovering the costs of this new (or substantially expanded) activity would be to </w:t>
      </w:r>
      <w:r w:rsidR="00E97624" w:rsidRPr="00FC6804">
        <w:rPr>
          <w:rFonts w:ascii="Arial" w:hAnsi="Arial" w:cs="Arial"/>
          <w:sz w:val="20"/>
          <w:szCs w:val="20"/>
        </w:rPr>
        <w:t>charge a flat fee for advice provision</w:t>
      </w:r>
      <w:r w:rsidR="009B04B8" w:rsidRPr="00FC6804">
        <w:rPr>
          <w:rFonts w:ascii="Arial" w:hAnsi="Arial" w:cs="Arial"/>
          <w:sz w:val="20"/>
          <w:szCs w:val="20"/>
        </w:rPr>
        <w:t xml:space="preserve">. </w:t>
      </w:r>
      <w:r w:rsidR="00E97624" w:rsidRPr="00FC6804">
        <w:rPr>
          <w:rFonts w:ascii="Arial" w:hAnsi="Arial" w:cs="Arial"/>
          <w:sz w:val="20"/>
          <w:szCs w:val="20"/>
        </w:rPr>
        <w:t xml:space="preserve">A flat fee would have the benefit of simplicity in fee administration and would potentially be more affordable to smaller </w:t>
      </w:r>
      <w:r w:rsidR="009A6560" w:rsidRPr="00FC6804">
        <w:rPr>
          <w:rFonts w:ascii="Arial" w:hAnsi="Arial" w:cs="Arial"/>
          <w:sz w:val="20"/>
          <w:szCs w:val="20"/>
        </w:rPr>
        <w:t xml:space="preserve">entities who may require more </w:t>
      </w:r>
      <w:r w:rsidR="009B04B8" w:rsidRPr="00FC6804">
        <w:rPr>
          <w:rFonts w:ascii="Arial" w:hAnsi="Arial" w:cs="Arial"/>
          <w:sz w:val="20"/>
          <w:szCs w:val="20"/>
        </w:rPr>
        <w:t xml:space="preserve">substantial amounts of advice. </w:t>
      </w:r>
      <w:r w:rsidR="009A6560" w:rsidRPr="00FC6804">
        <w:rPr>
          <w:rFonts w:ascii="Arial" w:hAnsi="Arial" w:cs="Arial"/>
          <w:sz w:val="20"/>
          <w:szCs w:val="20"/>
        </w:rPr>
        <w:t>However, given that the extent of the advice to be provided is expected to vary widely, this approach was considered to b</w:t>
      </w:r>
      <w:r w:rsidR="009B04B8" w:rsidRPr="00FC6804">
        <w:rPr>
          <w:rFonts w:ascii="Arial" w:hAnsi="Arial" w:cs="Arial"/>
          <w:sz w:val="20"/>
          <w:szCs w:val="20"/>
        </w:rPr>
        <w:t xml:space="preserve">e inequitable and inefficient. </w:t>
      </w:r>
      <w:r w:rsidR="009A6560" w:rsidRPr="00FC6804">
        <w:rPr>
          <w:rFonts w:ascii="Arial" w:hAnsi="Arial" w:cs="Arial"/>
          <w:sz w:val="20"/>
          <w:szCs w:val="20"/>
        </w:rPr>
        <w:t xml:space="preserve">That is, in a context in which </w:t>
      </w:r>
      <w:r w:rsidR="009B04B8" w:rsidRPr="00FC6804">
        <w:rPr>
          <w:rFonts w:ascii="Arial" w:hAnsi="Arial" w:cs="Arial"/>
          <w:sz w:val="20"/>
          <w:szCs w:val="20"/>
        </w:rPr>
        <w:t>PrimeSafe</w:t>
      </w:r>
      <w:r w:rsidR="009A6560" w:rsidRPr="00FC6804">
        <w:rPr>
          <w:rFonts w:ascii="Arial" w:hAnsi="Arial" w:cs="Arial"/>
          <w:sz w:val="20"/>
          <w:szCs w:val="20"/>
        </w:rPr>
        <w:t xml:space="preserve"> is moving progressively to better match fees and costs for individual licensees and groups of licensees, this option would be inconsistent with the underlying logic of the broader fee structure.</w:t>
      </w:r>
    </w:p>
    <w:p w:rsidR="009B04B8" w:rsidRDefault="009B04B8" w:rsidP="009B04B8">
      <w:pPr>
        <w:spacing w:after="0" w:line="240" w:lineRule="auto"/>
        <w:rPr>
          <w:rFonts w:ascii="Arial" w:hAnsi="Arial" w:cs="Arial"/>
          <w:b/>
          <w:sz w:val="20"/>
          <w:szCs w:val="20"/>
        </w:rPr>
      </w:pPr>
    </w:p>
    <w:p w:rsidR="00DC1041" w:rsidRDefault="00DC1041" w:rsidP="009B04B8">
      <w:pPr>
        <w:spacing w:after="0" w:line="240" w:lineRule="auto"/>
        <w:rPr>
          <w:rFonts w:ascii="Arial" w:hAnsi="Arial" w:cs="Arial"/>
          <w:b/>
          <w:sz w:val="20"/>
          <w:szCs w:val="20"/>
        </w:rPr>
      </w:pPr>
    </w:p>
    <w:p w:rsidR="00DC1041" w:rsidRDefault="00DC1041" w:rsidP="009B04B8">
      <w:pPr>
        <w:spacing w:after="0" w:line="240" w:lineRule="auto"/>
        <w:rPr>
          <w:rFonts w:ascii="Arial" w:hAnsi="Arial" w:cs="Arial"/>
          <w:b/>
          <w:sz w:val="20"/>
          <w:szCs w:val="20"/>
        </w:rPr>
      </w:pPr>
    </w:p>
    <w:p w:rsidR="00DC1041" w:rsidRDefault="00DC1041" w:rsidP="009B04B8">
      <w:pPr>
        <w:spacing w:after="0" w:line="240" w:lineRule="auto"/>
        <w:rPr>
          <w:rFonts w:ascii="Arial" w:hAnsi="Arial" w:cs="Arial"/>
          <w:b/>
          <w:sz w:val="20"/>
          <w:szCs w:val="20"/>
        </w:rPr>
      </w:pPr>
    </w:p>
    <w:p w:rsidR="00DC1041" w:rsidRDefault="00DC1041" w:rsidP="009B04B8">
      <w:pPr>
        <w:spacing w:after="0" w:line="240" w:lineRule="auto"/>
        <w:rPr>
          <w:rFonts w:ascii="Arial" w:hAnsi="Arial" w:cs="Arial"/>
          <w:b/>
          <w:sz w:val="20"/>
          <w:szCs w:val="20"/>
        </w:rPr>
      </w:pPr>
    </w:p>
    <w:p w:rsidR="00DC1041" w:rsidRDefault="00DC1041" w:rsidP="009B04B8">
      <w:pPr>
        <w:spacing w:after="0" w:line="240" w:lineRule="auto"/>
        <w:rPr>
          <w:rFonts w:ascii="Arial" w:hAnsi="Arial" w:cs="Arial"/>
          <w:b/>
          <w:sz w:val="20"/>
          <w:szCs w:val="20"/>
        </w:rPr>
      </w:pPr>
    </w:p>
    <w:p w:rsidR="00DC1041" w:rsidRDefault="00DC1041" w:rsidP="009B04B8">
      <w:pPr>
        <w:spacing w:after="0" w:line="240" w:lineRule="auto"/>
        <w:rPr>
          <w:rFonts w:ascii="Arial" w:hAnsi="Arial" w:cs="Arial"/>
          <w:b/>
          <w:sz w:val="20"/>
          <w:szCs w:val="20"/>
        </w:rPr>
      </w:pPr>
    </w:p>
    <w:p w:rsidR="00DC1041" w:rsidRDefault="00DC1041" w:rsidP="009B04B8">
      <w:pPr>
        <w:spacing w:after="0" w:line="240" w:lineRule="auto"/>
        <w:rPr>
          <w:rFonts w:ascii="Arial" w:hAnsi="Arial" w:cs="Arial"/>
          <w:b/>
          <w:sz w:val="20"/>
          <w:szCs w:val="20"/>
        </w:rPr>
      </w:pPr>
    </w:p>
    <w:p w:rsidR="00DC1041" w:rsidRDefault="00DC1041" w:rsidP="009B04B8">
      <w:pPr>
        <w:spacing w:after="0" w:line="240" w:lineRule="auto"/>
        <w:rPr>
          <w:rFonts w:ascii="Arial" w:hAnsi="Arial" w:cs="Arial"/>
          <w:b/>
          <w:sz w:val="20"/>
          <w:szCs w:val="20"/>
        </w:rPr>
      </w:pPr>
    </w:p>
    <w:p w:rsidR="00DC1041" w:rsidRPr="00FC6804" w:rsidRDefault="00DC1041" w:rsidP="009B04B8">
      <w:pPr>
        <w:spacing w:after="0" w:line="240" w:lineRule="auto"/>
        <w:rPr>
          <w:rFonts w:ascii="Arial" w:hAnsi="Arial" w:cs="Arial"/>
          <w:b/>
          <w:sz w:val="20"/>
          <w:szCs w:val="20"/>
        </w:rPr>
      </w:pPr>
    </w:p>
    <w:p w:rsidR="009A6560" w:rsidRPr="00FC6804" w:rsidRDefault="009A6560" w:rsidP="009B04B8">
      <w:pPr>
        <w:spacing w:after="0" w:line="240" w:lineRule="auto"/>
        <w:rPr>
          <w:rFonts w:ascii="Arial" w:hAnsi="Arial" w:cs="Arial"/>
          <w:b/>
          <w:color w:val="1F4E79" w:themeColor="accent1" w:themeShade="80"/>
          <w:sz w:val="20"/>
          <w:szCs w:val="20"/>
        </w:rPr>
      </w:pPr>
      <w:r w:rsidRPr="00FC6804">
        <w:rPr>
          <w:rFonts w:ascii="Arial" w:hAnsi="Arial" w:cs="Arial"/>
          <w:b/>
          <w:color w:val="1F4E79" w:themeColor="accent1" w:themeShade="80"/>
          <w:sz w:val="20"/>
          <w:szCs w:val="20"/>
        </w:rPr>
        <w:t>Fees for pre-licensing advice that differentiate ac</w:t>
      </w:r>
      <w:r w:rsidR="009B04B8" w:rsidRPr="00FC6804">
        <w:rPr>
          <w:rFonts w:ascii="Arial" w:hAnsi="Arial" w:cs="Arial"/>
          <w:b/>
          <w:color w:val="1F4E79" w:themeColor="accent1" w:themeShade="80"/>
          <w:sz w:val="20"/>
          <w:szCs w:val="20"/>
        </w:rPr>
        <w:t>cording to licence categories</w:t>
      </w:r>
    </w:p>
    <w:p w:rsidR="009B04B8" w:rsidRPr="00FC6804" w:rsidRDefault="009B04B8" w:rsidP="009B04B8">
      <w:pPr>
        <w:spacing w:after="0" w:line="240" w:lineRule="auto"/>
        <w:rPr>
          <w:rFonts w:ascii="Arial" w:hAnsi="Arial" w:cs="Arial"/>
          <w:sz w:val="20"/>
          <w:szCs w:val="20"/>
        </w:rPr>
      </w:pPr>
    </w:p>
    <w:p w:rsidR="009A6560" w:rsidRPr="00FC6804" w:rsidRDefault="009A6560" w:rsidP="009B04B8">
      <w:pPr>
        <w:spacing w:after="0" w:line="240" w:lineRule="auto"/>
        <w:rPr>
          <w:rFonts w:ascii="Arial" w:hAnsi="Arial" w:cs="Arial"/>
          <w:sz w:val="20"/>
          <w:szCs w:val="20"/>
        </w:rPr>
      </w:pPr>
      <w:r w:rsidRPr="00FC6804">
        <w:rPr>
          <w:rFonts w:ascii="Arial" w:hAnsi="Arial" w:cs="Arial"/>
          <w:sz w:val="20"/>
          <w:szCs w:val="20"/>
        </w:rPr>
        <w:t xml:space="preserve">An alternative to this option which would partly address this concern is the establishment of a series of flat fees, so there was a single fee for each type of intending licensee (e.g. a fee for </w:t>
      </w:r>
      <w:r w:rsidR="00DC1041">
        <w:rPr>
          <w:rFonts w:ascii="Arial" w:hAnsi="Arial" w:cs="Arial"/>
          <w:sz w:val="20"/>
          <w:szCs w:val="20"/>
        </w:rPr>
        <w:t>prospective</w:t>
      </w:r>
      <w:r w:rsidRPr="00FC6804">
        <w:rPr>
          <w:rFonts w:ascii="Arial" w:hAnsi="Arial" w:cs="Arial"/>
          <w:sz w:val="20"/>
          <w:szCs w:val="20"/>
        </w:rPr>
        <w:t xml:space="preserve"> abattoirs, and one</w:t>
      </w:r>
      <w:r w:rsidR="009B04B8" w:rsidRPr="00FC6804">
        <w:rPr>
          <w:rFonts w:ascii="Arial" w:hAnsi="Arial" w:cs="Arial"/>
          <w:sz w:val="20"/>
          <w:szCs w:val="20"/>
        </w:rPr>
        <w:t xml:space="preserve"> for </w:t>
      </w:r>
      <w:r w:rsidR="00DC1041">
        <w:rPr>
          <w:rFonts w:ascii="Arial" w:hAnsi="Arial" w:cs="Arial"/>
          <w:sz w:val="20"/>
          <w:szCs w:val="20"/>
        </w:rPr>
        <w:t>prospective</w:t>
      </w:r>
      <w:r w:rsidR="00DC1041" w:rsidRPr="00FC6804">
        <w:rPr>
          <w:rFonts w:ascii="Arial" w:hAnsi="Arial" w:cs="Arial"/>
          <w:sz w:val="20"/>
          <w:szCs w:val="20"/>
        </w:rPr>
        <w:t xml:space="preserve"> </w:t>
      </w:r>
      <w:r w:rsidR="00DC1041">
        <w:rPr>
          <w:rFonts w:ascii="Arial" w:hAnsi="Arial" w:cs="Arial"/>
          <w:sz w:val="20"/>
          <w:szCs w:val="20"/>
        </w:rPr>
        <w:t xml:space="preserve">retail </w:t>
      </w:r>
      <w:r w:rsidR="009B04B8" w:rsidRPr="00FC6804">
        <w:rPr>
          <w:rFonts w:ascii="Arial" w:hAnsi="Arial" w:cs="Arial"/>
          <w:sz w:val="20"/>
          <w:szCs w:val="20"/>
        </w:rPr>
        <w:t xml:space="preserve">butcher shops). </w:t>
      </w:r>
      <w:r w:rsidRPr="00FC6804">
        <w:rPr>
          <w:rFonts w:ascii="Arial" w:hAnsi="Arial" w:cs="Arial"/>
          <w:sz w:val="20"/>
          <w:szCs w:val="20"/>
        </w:rPr>
        <w:t>This would partly address the above concern regarding the need to ensure that fee</w:t>
      </w:r>
      <w:r w:rsidR="00DC1041">
        <w:rPr>
          <w:rFonts w:ascii="Arial" w:hAnsi="Arial" w:cs="Arial"/>
          <w:sz w:val="20"/>
          <w:szCs w:val="20"/>
        </w:rPr>
        <w:t xml:space="preserve">s and costs were well </w:t>
      </w:r>
      <w:r w:rsidR="009B04B8" w:rsidRPr="00FC6804">
        <w:rPr>
          <w:rFonts w:ascii="Arial" w:hAnsi="Arial" w:cs="Arial"/>
          <w:sz w:val="20"/>
          <w:szCs w:val="20"/>
        </w:rPr>
        <w:t xml:space="preserve">aligned. </w:t>
      </w:r>
      <w:r w:rsidRPr="00FC6804">
        <w:rPr>
          <w:rFonts w:ascii="Arial" w:hAnsi="Arial" w:cs="Arial"/>
          <w:sz w:val="20"/>
          <w:szCs w:val="20"/>
        </w:rPr>
        <w:t xml:space="preserve">However, </w:t>
      </w:r>
      <w:r w:rsidR="009B04B8" w:rsidRPr="00FC6804">
        <w:rPr>
          <w:rFonts w:ascii="Arial" w:hAnsi="Arial" w:cs="Arial"/>
          <w:sz w:val="20"/>
          <w:szCs w:val="20"/>
        </w:rPr>
        <w:t>PrimeSafe</w:t>
      </w:r>
      <w:r w:rsidRPr="00FC6804">
        <w:rPr>
          <w:rFonts w:ascii="Arial" w:hAnsi="Arial" w:cs="Arial"/>
          <w:sz w:val="20"/>
          <w:szCs w:val="20"/>
        </w:rPr>
        <w:t xml:space="preserve"> believes that, even within licence categories, the extent of advice provided is likely to vary significantly.</w:t>
      </w:r>
    </w:p>
    <w:p w:rsidR="009A6560" w:rsidRPr="00FC6804" w:rsidRDefault="009A6560" w:rsidP="009B04B8">
      <w:pPr>
        <w:spacing w:after="0" w:line="240" w:lineRule="auto"/>
        <w:rPr>
          <w:rFonts w:ascii="Arial" w:hAnsi="Arial" w:cs="Arial"/>
          <w:sz w:val="20"/>
          <w:szCs w:val="20"/>
        </w:rPr>
      </w:pPr>
      <w:r w:rsidRPr="00FC6804">
        <w:rPr>
          <w:rFonts w:ascii="Arial" w:hAnsi="Arial" w:cs="Arial"/>
          <w:sz w:val="20"/>
          <w:szCs w:val="20"/>
        </w:rPr>
        <w:t>Moreover, provision of these services is, as discussed elsewhere, essentially a response to a gap in a p</w:t>
      </w:r>
      <w:r w:rsidR="00DC1041">
        <w:rPr>
          <w:rFonts w:ascii="Arial" w:hAnsi="Arial" w:cs="Arial"/>
          <w:sz w:val="20"/>
          <w:szCs w:val="20"/>
        </w:rPr>
        <w:t xml:space="preserve">otentially contestable market. </w:t>
      </w:r>
      <w:r w:rsidRPr="00FC6804">
        <w:rPr>
          <w:rFonts w:ascii="Arial" w:hAnsi="Arial" w:cs="Arial"/>
          <w:sz w:val="20"/>
          <w:szCs w:val="20"/>
        </w:rPr>
        <w:t>Hence, it is necessary to ensure that the fee structure adopted does not violate comp</w:t>
      </w:r>
      <w:r w:rsidR="00DC1041">
        <w:rPr>
          <w:rFonts w:ascii="Arial" w:hAnsi="Arial" w:cs="Arial"/>
          <w:sz w:val="20"/>
          <w:szCs w:val="20"/>
        </w:rPr>
        <w:t xml:space="preserve">etitive neutrality principles. </w:t>
      </w:r>
      <w:r w:rsidRPr="00FC6804">
        <w:rPr>
          <w:rFonts w:ascii="Arial" w:hAnsi="Arial" w:cs="Arial"/>
          <w:sz w:val="20"/>
          <w:szCs w:val="20"/>
        </w:rPr>
        <w:t>While an appropriately set hourly fee clearly meets this test, a flat fee would not appear to do so.</w:t>
      </w:r>
    </w:p>
    <w:p w:rsidR="009B04B8" w:rsidRPr="00FC6804" w:rsidRDefault="009B04B8" w:rsidP="009B04B8">
      <w:pPr>
        <w:spacing w:after="0" w:line="240" w:lineRule="auto"/>
        <w:rPr>
          <w:rFonts w:ascii="Arial" w:hAnsi="Arial" w:cs="Arial"/>
          <w:b/>
          <w:sz w:val="20"/>
          <w:szCs w:val="20"/>
        </w:rPr>
      </w:pPr>
    </w:p>
    <w:p w:rsidR="009A6560" w:rsidRPr="00FC6804" w:rsidRDefault="009A6560" w:rsidP="009B04B8">
      <w:pPr>
        <w:spacing w:after="0" w:line="240" w:lineRule="auto"/>
        <w:rPr>
          <w:rFonts w:ascii="Arial" w:hAnsi="Arial" w:cs="Arial"/>
          <w:b/>
          <w:color w:val="1F4E79" w:themeColor="accent1" w:themeShade="80"/>
          <w:sz w:val="20"/>
          <w:szCs w:val="20"/>
        </w:rPr>
      </w:pPr>
      <w:r w:rsidRPr="00FC6804">
        <w:rPr>
          <w:rFonts w:ascii="Arial" w:hAnsi="Arial" w:cs="Arial"/>
          <w:b/>
          <w:color w:val="1F4E79" w:themeColor="accent1" w:themeShade="80"/>
          <w:sz w:val="20"/>
          <w:szCs w:val="20"/>
        </w:rPr>
        <w:t>Feasible options</w:t>
      </w:r>
    </w:p>
    <w:p w:rsidR="009B04B8" w:rsidRPr="00FC6804" w:rsidRDefault="009B04B8" w:rsidP="009B04B8">
      <w:pPr>
        <w:spacing w:after="0" w:line="240" w:lineRule="auto"/>
        <w:rPr>
          <w:rFonts w:ascii="Arial" w:hAnsi="Arial" w:cs="Arial"/>
          <w:sz w:val="20"/>
          <w:szCs w:val="20"/>
        </w:rPr>
      </w:pPr>
    </w:p>
    <w:p w:rsidR="009A6560" w:rsidRPr="00FC6804" w:rsidRDefault="009A6560" w:rsidP="009B04B8">
      <w:pPr>
        <w:spacing w:after="0" w:line="240" w:lineRule="auto"/>
        <w:rPr>
          <w:rFonts w:ascii="Arial" w:hAnsi="Arial" w:cs="Arial"/>
          <w:sz w:val="20"/>
          <w:szCs w:val="20"/>
        </w:rPr>
      </w:pPr>
      <w:r w:rsidRPr="00FC6804">
        <w:rPr>
          <w:rFonts w:ascii="Arial" w:hAnsi="Arial" w:cs="Arial"/>
          <w:sz w:val="20"/>
          <w:szCs w:val="20"/>
        </w:rPr>
        <w:t>Given the above, four feasible options are identified and analysed below.  These are:</w:t>
      </w:r>
    </w:p>
    <w:p w:rsidR="009B04B8" w:rsidRPr="00FC6804" w:rsidRDefault="009B04B8" w:rsidP="009B04B8">
      <w:pPr>
        <w:spacing w:after="0" w:line="240" w:lineRule="auto"/>
        <w:rPr>
          <w:rFonts w:ascii="Arial" w:hAnsi="Arial" w:cs="Arial"/>
          <w:sz w:val="20"/>
          <w:szCs w:val="20"/>
        </w:rPr>
      </w:pPr>
    </w:p>
    <w:p w:rsidR="009A6560" w:rsidRPr="00FC6804" w:rsidRDefault="009A6560" w:rsidP="009B04B8">
      <w:pPr>
        <w:pStyle w:val="ListParagraph"/>
        <w:numPr>
          <w:ilvl w:val="0"/>
          <w:numId w:val="31"/>
        </w:numPr>
        <w:spacing w:after="0" w:line="240" w:lineRule="auto"/>
        <w:contextualSpacing w:val="0"/>
        <w:rPr>
          <w:rFonts w:ascii="Arial" w:hAnsi="Arial" w:cs="Arial"/>
          <w:sz w:val="20"/>
          <w:szCs w:val="20"/>
        </w:rPr>
      </w:pPr>
      <w:r w:rsidRPr="00FC6804">
        <w:rPr>
          <w:rFonts w:ascii="Arial" w:hAnsi="Arial" w:cs="Arial"/>
          <w:sz w:val="20"/>
          <w:szCs w:val="20"/>
        </w:rPr>
        <w:t>Adoption of single, percentage increase to all existing fees to fund the required provision of additional services;</w:t>
      </w:r>
    </w:p>
    <w:p w:rsidR="009B04B8" w:rsidRPr="00FC6804" w:rsidRDefault="009B04B8" w:rsidP="009B04B8">
      <w:pPr>
        <w:pStyle w:val="ListParagraph"/>
        <w:spacing w:after="0" w:line="240" w:lineRule="auto"/>
        <w:contextualSpacing w:val="0"/>
        <w:rPr>
          <w:rFonts w:ascii="Arial" w:hAnsi="Arial" w:cs="Arial"/>
          <w:sz w:val="20"/>
          <w:szCs w:val="20"/>
        </w:rPr>
      </w:pPr>
    </w:p>
    <w:p w:rsidR="009A6560" w:rsidRPr="00FC6804" w:rsidRDefault="009A6560" w:rsidP="009B04B8">
      <w:pPr>
        <w:pStyle w:val="ListParagraph"/>
        <w:numPr>
          <w:ilvl w:val="0"/>
          <w:numId w:val="31"/>
        </w:numPr>
        <w:spacing w:after="0" w:line="240" w:lineRule="auto"/>
        <w:contextualSpacing w:val="0"/>
        <w:rPr>
          <w:rFonts w:ascii="Arial" w:hAnsi="Arial" w:cs="Arial"/>
          <w:sz w:val="20"/>
          <w:szCs w:val="20"/>
        </w:rPr>
      </w:pPr>
      <w:r w:rsidRPr="00FC6804">
        <w:rPr>
          <w:rFonts w:ascii="Arial" w:hAnsi="Arial" w:cs="Arial"/>
          <w:sz w:val="20"/>
          <w:szCs w:val="20"/>
        </w:rPr>
        <w:t>Adoption of limited amendments to the existing fee schedule to partly address divergences between revenue and cost in differing licence categories;</w:t>
      </w:r>
    </w:p>
    <w:p w:rsidR="009B04B8" w:rsidRPr="00FC6804" w:rsidRDefault="009B04B8" w:rsidP="009B04B8">
      <w:pPr>
        <w:spacing w:after="0" w:line="240" w:lineRule="auto"/>
        <w:rPr>
          <w:rFonts w:ascii="Arial" w:hAnsi="Arial" w:cs="Arial"/>
          <w:sz w:val="20"/>
          <w:szCs w:val="20"/>
        </w:rPr>
      </w:pPr>
    </w:p>
    <w:p w:rsidR="009A6560" w:rsidRPr="00FC6804" w:rsidRDefault="009A6560" w:rsidP="009B04B8">
      <w:pPr>
        <w:pStyle w:val="ListParagraph"/>
        <w:numPr>
          <w:ilvl w:val="0"/>
          <w:numId w:val="31"/>
        </w:numPr>
        <w:spacing w:after="0" w:line="240" w:lineRule="auto"/>
        <w:contextualSpacing w:val="0"/>
        <w:rPr>
          <w:rFonts w:ascii="Arial" w:hAnsi="Arial" w:cs="Arial"/>
          <w:sz w:val="20"/>
          <w:szCs w:val="20"/>
        </w:rPr>
      </w:pPr>
      <w:r w:rsidRPr="00FC6804">
        <w:rPr>
          <w:rFonts w:ascii="Arial" w:hAnsi="Arial" w:cs="Arial"/>
          <w:sz w:val="20"/>
          <w:szCs w:val="20"/>
        </w:rPr>
        <w:t xml:space="preserve">Adoption of a larger fee reform that fully equalises fees and costs for each licence category; </w:t>
      </w:r>
      <w:r w:rsidR="00DC1041">
        <w:rPr>
          <w:rFonts w:ascii="Arial" w:hAnsi="Arial" w:cs="Arial"/>
          <w:sz w:val="20"/>
          <w:szCs w:val="20"/>
        </w:rPr>
        <w:t>or</w:t>
      </w:r>
    </w:p>
    <w:p w:rsidR="009B04B8" w:rsidRPr="00FC6804" w:rsidRDefault="009B04B8" w:rsidP="009B04B8">
      <w:pPr>
        <w:spacing w:after="0" w:line="240" w:lineRule="auto"/>
        <w:rPr>
          <w:rFonts w:ascii="Arial" w:hAnsi="Arial" w:cs="Arial"/>
          <w:sz w:val="20"/>
          <w:szCs w:val="20"/>
        </w:rPr>
      </w:pPr>
    </w:p>
    <w:p w:rsidR="009A6560" w:rsidRPr="00FC6804" w:rsidRDefault="009A6560" w:rsidP="009B04B8">
      <w:pPr>
        <w:pStyle w:val="ListParagraph"/>
        <w:numPr>
          <w:ilvl w:val="0"/>
          <w:numId w:val="31"/>
        </w:numPr>
        <w:spacing w:after="0" w:line="240" w:lineRule="auto"/>
        <w:contextualSpacing w:val="0"/>
        <w:rPr>
          <w:rFonts w:ascii="Arial" w:hAnsi="Arial" w:cs="Arial"/>
          <w:sz w:val="20"/>
          <w:szCs w:val="20"/>
        </w:rPr>
      </w:pPr>
      <w:r w:rsidRPr="00FC6804">
        <w:rPr>
          <w:rFonts w:ascii="Arial" w:hAnsi="Arial" w:cs="Arial"/>
          <w:sz w:val="20"/>
          <w:szCs w:val="20"/>
        </w:rPr>
        <w:t xml:space="preserve">Adoption of a fee structure that equalises fees and costs for each licence category, but is supported by a move to more risk </w:t>
      </w:r>
      <w:r w:rsidR="009B04B8" w:rsidRPr="00FC6804">
        <w:rPr>
          <w:rFonts w:ascii="Arial" w:hAnsi="Arial" w:cs="Arial"/>
          <w:sz w:val="20"/>
          <w:szCs w:val="20"/>
        </w:rPr>
        <w:t>based</w:t>
      </w:r>
      <w:r w:rsidRPr="00FC6804">
        <w:rPr>
          <w:rFonts w:ascii="Arial" w:hAnsi="Arial" w:cs="Arial"/>
          <w:sz w:val="20"/>
          <w:szCs w:val="20"/>
        </w:rPr>
        <w:t xml:space="preserve"> approaches to regulatory surveillance. </w:t>
      </w:r>
    </w:p>
    <w:p w:rsidR="009B04B8" w:rsidRPr="00FC6804" w:rsidRDefault="009B04B8" w:rsidP="009B04B8">
      <w:pPr>
        <w:spacing w:after="0" w:line="240" w:lineRule="auto"/>
        <w:rPr>
          <w:rFonts w:ascii="Arial" w:hAnsi="Arial" w:cs="Arial"/>
          <w:sz w:val="20"/>
          <w:szCs w:val="20"/>
        </w:rPr>
      </w:pPr>
    </w:p>
    <w:p w:rsidR="009A6560" w:rsidRPr="00FC6804" w:rsidRDefault="009A6560" w:rsidP="009B04B8">
      <w:pPr>
        <w:spacing w:after="0" w:line="240" w:lineRule="auto"/>
        <w:rPr>
          <w:rFonts w:ascii="Arial" w:hAnsi="Arial" w:cs="Arial"/>
          <w:sz w:val="20"/>
          <w:szCs w:val="20"/>
        </w:rPr>
      </w:pPr>
      <w:r w:rsidRPr="00FC6804">
        <w:rPr>
          <w:rFonts w:ascii="Arial" w:hAnsi="Arial" w:cs="Arial"/>
          <w:sz w:val="20"/>
          <w:szCs w:val="20"/>
        </w:rPr>
        <w:t xml:space="preserve">These options are then compared explicitly in Section </w:t>
      </w:r>
      <w:r w:rsidR="00DC1041">
        <w:rPr>
          <w:rFonts w:ascii="Arial" w:hAnsi="Arial" w:cs="Arial"/>
          <w:sz w:val="20"/>
          <w:szCs w:val="20"/>
        </w:rPr>
        <w:t>11</w:t>
      </w:r>
      <w:r w:rsidRPr="00FC6804">
        <w:rPr>
          <w:rFonts w:ascii="Arial" w:hAnsi="Arial" w:cs="Arial"/>
          <w:sz w:val="20"/>
          <w:szCs w:val="20"/>
        </w:rPr>
        <w:t xml:space="preserve"> and the rationale for choosing the preferred option is identified.</w:t>
      </w:r>
    </w:p>
    <w:p w:rsidR="00E95D05" w:rsidRPr="00FC6804" w:rsidRDefault="00E95D05" w:rsidP="009B04B8">
      <w:pPr>
        <w:spacing w:after="0" w:line="240" w:lineRule="auto"/>
        <w:rPr>
          <w:rFonts w:ascii="Arial" w:hAnsi="Arial" w:cs="Arial"/>
          <w:sz w:val="20"/>
          <w:szCs w:val="20"/>
        </w:rPr>
      </w:pPr>
      <w:r w:rsidRPr="00FC6804">
        <w:rPr>
          <w:rFonts w:ascii="Arial" w:hAnsi="Arial" w:cs="Arial"/>
          <w:sz w:val="20"/>
          <w:szCs w:val="20"/>
        </w:rPr>
        <w:br w:type="page"/>
      </w:r>
    </w:p>
    <w:p w:rsidR="00256763" w:rsidRPr="00FC6804" w:rsidRDefault="00256763" w:rsidP="0026792B">
      <w:pPr>
        <w:pStyle w:val="Heading1"/>
      </w:pPr>
      <w:bookmarkStart w:id="13" w:name="_Toc443915348"/>
      <w:r w:rsidRPr="00FC6804">
        <w:t>Option 1: A flat percentage increase in all fees</w:t>
      </w:r>
      <w:bookmarkEnd w:id="13"/>
    </w:p>
    <w:p w:rsidR="00256763" w:rsidRPr="00FC6804" w:rsidRDefault="00256763" w:rsidP="00023807">
      <w:pPr>
        <w:spacing w:after="0" w:line="240" w:lineRule="auto"/>
        <w:rPr>
          <w:rFonts w:ascii="Arial" w:hAnsi="Arial" w:cs="Arial"/>
          <w:sz w:val="20"/>
          <w:szCs w:val="20"/>
        </w:rPr>
      </w:pPr>
    </w:p>
    <w:p w:rsidR="00256763" w:rsidRPr="00FC6804" w:rsidRDefault="00256763" w:rsidP="00023807">
      <w:pPr>
        <w:pStyle w:val="Heading2"/>
        <w:numPr>
          <w:ilvl w:val="1"/>
          <w:numId w:val="2"/>
        </w:numPr>
        <w:rPr>
          <w:rFonts w:cs="Arial"/>
          <w:b/>
          <w:szCs w:val="20"/>
        </w:rPr>
      </w:pPr>
      <w:bookmarkStart w:id="14" w:name="_Toc443915349"/>
      <w:r w:rsidRPr="00FC6804">
        <w:rPr>
          <w:rFonts w:cs="Arial"/>
          <w:b/>
          <w:szCs w:val="20"/>
        </w:rPr>
        <w:t>Description of the option</w:t>
      </w:r>
      <w:bookmarkEnd w:id="14"/>
    </w:p>
    <w:p w:rsidR="00256763" w:rsidRPr="00FC6804" w:rsidRDefault="00256763" w:rsidP="00023807">
      <w:pPr>
        <w:spacing w:after="0" w:line="240" w:lineRule="auto"/>
        <w:rPr>
          <w:rFonts w:ascii="Arial" w:hAnsi="Arial" w:cs="Arial"/>
          <w:sz w:val="20"/>
          <w:szCs w:val="20"/>
        </w:rPr>
      </w:pPr>
    </w:p>
    <w:p w:rsidR="008D1118" w:rsidRPr="00FC6804" w:rsidRDefault="00256763" w:rsidP="00023807">
      <w:pPr>
        <w:spacing w:after="0" w:line="240" w:lineRule="auto"/>
        <w:rPr>
          <w:rFonts w:ascii="Arial" w:hAnsi="Arial" w:cs="Arial"/>
          <w:sz w:val="20"/>
          <w:szCs w:val="20"/>
        </w:rPr>
      </w:pPr>
      <w:r w:rsidRPr="00FC6804">
        <w:rPr>
          <w:rFonts w:ascii="Arial" w:hAnsi="Arial" w:cs="Arial"/>
          <w:sz w:val="20"/>
          <w:szCs w:val="20"/>
        </w:rPr>
        <w:t xml:space="preserve">This option would entail the application of a flat percentage increase to all existing fees, </w:t>
      </w:r>
      <w:r w:rsidR="00976835" w:rsidRPr="00FC6804">
        <w:rPr>
          <w:rFonts w:ascii="Arial" w:hAnsi="Arial" w:cs="Arial"/>
          <w:sz w:val="20"/>
          <w:szCs w:val="20"/>
        </w:rPr>
        <w:t>together with the adoption of a new fee for pre-licen</w:t>
      </w:r>
      <w:r w:rsidR="006C1AF5" w:rsidRPr="00FC6804">
        <w:rPr>
          <w:rFonts w:ascii="Arial" w:hAnsi="Arial" w:cs="Arial"/>
          <w:sz w:val="20"/>
          <w:szCs w:val="20"/>
        </w:rPr>
        <w:t>sing advice, of $250 per hour</w:t>
      </w:r>
      <w:r w:rsidR="00DC1041">
        <w:rPr>
          <w:rFonts w:ascii="Arial" w:hAnsi="Arial" w:cs="Arial"/>
          <w:sz w:val="20"/>
          <w:szCs w:val="20"/>
        </w:rPr>
        <w:t xml:space="preserve"> (ex GST)</w:t>
      </w:r>
      <w:r w:rsidR="006C1AF5" w:rsidRPr="00FC6804">
        <w:rPr>
          <w:rFonts w:ascii="Arial" w:hAnsi="Arial" w:cs="Arial"/>
          <w:sz w:val="20"/>
          <w:szCs w:val="20"/>
        </w:rPr>
        <w:t xml:space="preserve">. </w:t>
      </w:r>
      <w:r w:rsidR="00976835" w:rsidRPr="00FC6804">
        <w:rPr>
          <w:rFonts w:ascii="Arial" w:hAnsi="Arial" w:cs="Arial"/>
          <w:sz w:val="20"/>
          <w:szCs w:val="20"/>
        </w:rPr>
        <w:t xml:space="preserve">These changes would be </w:t>
      </w:r>
      <w:r w:rsidRPr="00FC6804">
        <w:rPr>
          <w:rFonts w:ascii="Arial" w:hAnsi="Arial" w:cs="Arial"/>
          <w:sz w:val="20"/>
          <w:szCs w:val="20"/>
        </w:rPr>
        <w:t>sufficient to ensure that adequate revenue to meet Prime</w:t>
      </w:r>
      <w:r w:rsidR="00023807" w:rsidRPr="00FC6804">
        <w:rPr>
          <w:rFonts w:ascii="Arial" w:hAnsi="Arial" w:cs="Arial"/>
          <w:sz w:val="20"/>
          <w:szCs w:val="20"/>
        </w:rPr>
        <w:t>S</w:t>
      </w:r>
      <w:r w:rsidRPr="00FC6804">
        <w:rPr>
          <w:rFonts w:ascii="Arial" w:hAnsi="Arial" w:cs="Arial"/>
          <w:sz w:val="20"/>
          <w:szCs w:val="20"/>
        </w:rPr>
        <w:t>afe’s</w:t>
      </w:r>
      <w:r w:rsidR="006C1AF5" w:rsidRPr="00FC6804">
        <w:rPr>
          <w:rFonts w:ascii="Arial" w:hAnsi="Arial" w:cs="Arial"/>
          <w:sz w:val="20"/>
          <w:szCs w:val="20"/>
        </w:rPr>
        <w:t xml:space="preserve"> budget in 2016-17 and beyond. </w:t>
      </w:r>
      <w:r w:rsidR="006A1967" w:rsidRPr="00FC6804">
        <w:rPr>
          <w:rFonts w:ascii="Arial" w:hAnsi="Arial" w:cs="Arial"/>
          <w:sz w:val="20"/>
          <w:szCs w:val="20"/>
        </w:rPr>
        <w:t xml:space="preserve">No changes would be made to the existing throughput categories underpinning the fees structures applicable to </w:t>
      </w:r>
      <w:r w:rsidR="006C1AF5" w:rsidRPr="00FC6804">
        <w:rPr>
          <w:rFonts w:ascii="Arial" w:hAnsi="Arial" w:cs="Arial"/>
          <w:sz w:val="20"/>
          <w:szCs w:val="20"/>
        </w:rPr>
        <w:t>a</w:t>
      </w:r>
      <w:r w:rsidR="006A1967" w:rsidRPr="00FC6804">
        <w:rPr>
          <w:rFonts w:ascii="Arial" w:hAnsi="Arial" w:cs="Arial"/>
          <w:sz w:val="20"/>
          <w:szCs w:val="20"/>
        </w:rPr>
        <w:t xml:space="preserve">battoirs, poultry processing </w:t>
      </w:r>
      <w:r w:rsidR="00AF7DBE">
        <w:rPr>
          <w:rFonts w:ascii="Arial" w:hAnsi="Arial" w:cs="Arial"/>
          <w:sz w:val="20"/>
          <w:szCs w:val="20"/>
        </w:rPr>
        <w:t xml:space="preserve">facilities </w:t>
      </w:r>
      <w:r w:rsidR="006A1967" w:rsidRPr="00FC6804">
        <w:rPr>
          <w:rFonts w:ascii="Arial" w:hAnsi="Arial" w:cs="Arial"/>
          <w:sz w:val="20"/>
          <w:szCs w:val="20"/>
        </w:rPr>
        <w:t>or furth</w:t>
      </w:r>
      <w:r w:rsidR="006C1AF5" w:rsidRPr="00FC6804">
        <w:rPr>
          <w:rFonts w:ascii="Arial" w:hAnsi="Arial" w:cs="Arial"/>
          <w:sz w:val="20"/>
          <w:szCs w:val="20"/>
        </w:rPr>
        <w:t xml:space="preserve">er meat processing facilities. </w:t>
      </w:r>
      <w:r w:rsidRPr="00FC6804">
        <w:rPr>
          <w:rFonts w:ascii="Arial" w:hAnsi="Arial" w:cs="Arial"/>
          <w:sz w:val="20"/>
          <w:szCs w:val="20"/>
        </w:rPr>
        <w:t xml:space="preserve">As noted </w:t>
      </w:r>
      <w:r w:rsidR="00AF7DBE">
        <w:rPr>
          <w:rFonts w:ascii="Arial" w:hAnsi="Arial" w:cs="Arial"/>
          <w:sz w:val="20"/>
          <w:szCs w:val="20"/>
        </w:rPr>
        <w:t>previously</w:t>
      </w:r>
      <w:r w:rsidRPr="00FC6804">
        <w:rPr>
          <w:rFonts w:ascii="Arial" w:hAnsi="Arial" w:cs="Arial"/>
          <w:sz w:val="20"/>
          <w:szCs w:val="20"/>
        </w:rPr>
        <w:t>, the budget will increase from $2.0 milli</w:t>
      </w:r>
      <w:r w:rsidR="00AF7DBE">
        <w:rPr>
          <w:rFonts w:ascii="Arial" w:hAnsi="Arial" w:cs="Arial"/>
          <w:sz w:val="20"/>
          <w:szCs w:val="20"/>
        </w:rPr>
        <w:t xml:space="preserve">on to $2.5 million in 2016-17. </w:t>
      </w:r>
      <w:r w:rsidRPr="00FC6804">
        <w:rPr>
          <w:rFonts w:ascii="Arial" w:hAnsi="Arial" w:cs="Arial"/>
          <w:sz w:val="20"/>
          <w:szCs w:val="20"/>
        </w:rPr>
        <w:t xml:space="preserve">This implies that a 25% </w:t>
      </w:r>
      <w:r w:rsidR="006C1AF5" w:rsidRPr="00FC6804">
        <w:rPr>
          <w:rFonts w:ascii="Arial" w:hAnsi="Arial" w:cs="Arial"/>
          <w:sz w:val="20"/>
          <w:szCs w:val="20"/>
        </w:rPr>
        <w:t xml:space="preserve">increase </w:t>
      </w:r>
      <w:r w:rsidR="00AF7DBE">
        <w:rPr>
          <w:rFonts w:ascii="Arial" w:hAnsi="Arial" w:cs="Arial"/>
          <w:sz w:val="20"/>
          <w:szCs w:val="20"/>
        </w:rPr>
        <w:t xml:space="preserve">across all licence categories </w:t>
      </w:r>
      <w:r w:rsidR="006C1AF5" w:rsidRPr="00FC6804">
        <w:rPr>
          <w:rFonts w:ascii="Arial" w:hAnsi="Arial" w:cs="Arial"/>
          <w:sz w:val="20"/>
          <w:szCs w:val="20"/>
        </w:rPr>
        <w:t xml:space="preserve">would be required. </w:t>
      </w:r>
      <w:r w:rsidRPr="00FC6804">
        <w:rPr>
          <w:rFonts w:ascii="Arial" w:hAnsi="Arial" w:cs="Arial"/>
          <w:sz w:val="20"/>
          <w:szCs w:val="20"/>
        </w:rPr>
        <w:t xml:space="preserve">Table </w:t>
      </w:r>
      <w:r w:rsidR="00E30FAF" w:rsidRPr="00FC6804">
        <w:rPr>
          <w:rFonts w:ascii="Arial" w:hAnsi="Arial" w:cs="Arial"/>
          <w:sz w:val="20"/>
          <w:szCs w:val="20"/>
        </w:rPr>
        <w:t>8</w:t>
      </w:r>
      <w:r w:rsidRPr="00FC6804">
        <w:rPr>
          <w:rFonts w:ascii="Arial" w:hAnsi="Arial" w:cs="Arial"/>
          <w:sz w:val="20"/>
          <w:szCs w:val="20"/>
        </w:rPr>
        <w:t>.1 below sets out the implications of this option for individual fees</w:t>
      </w:r>
      <w:r w:rsidR="00AF7DBE">
        <w:rPr>
          <w:rFonts w:ascii="Arial" w:hAnsi="Arial" w:cs="Arial"/>
          <w:sz w:val="20"/>
          <w:szCs w:val="20"/>
        </w:rPr>
        <w:t>.</w:t>
      </w:r>
    </w:p>
    <w:p w:rsidR="00342235" w:rsidRPr="00FC6804" w:rsidRDefault="00342235" w:rsidP="00023807">
      <w:pPr>
        <w:spacing w:after="0" w:line="240" w:lineRule="auto"/>
        <w:rPr>
          <w:rFonts w:ascii="Arial" w:hAnsi="Arial" w:cs="Arial"/>
          <w:sz w:val="20"/>
          <w:szCs w:val="20"/>
        </w:rPr>
      </w:pPr>
    </w:p>
    <w:p w:rsidR="008D1118" w:rsidRDefault="006A1967" w:rsidP="00023807">
      <w:pPr>
        <w:spacing w:after="0" w:line="240" w:lineRule="auto"/>
        <w:rPr>
          <w:rFonts w:ascii="Arial" w:hAnsi="Arial" w:cs="Arial"/>
          <w:b/>
          <w:color w:val="1F4E79" w:themeColor="accent1" w:themeShade="80"/>
          <w:sz w:val="20"/>
          <w:szCs w:val="20"/>
        </w:rPr>
      </w:pPr>
      <w:r w:rsidRPr="00FC6804">
        <w:rPr>
          <w:rFonts w:ascii="Arial" w:hAnsi="Arial" w:cs="Arial"/>
          <w:b/>
          <w:color w:val="1F4E79" w:themeColor="accent1" w:themeShade="80"/>
          <w:sz w:val="20"/>
          <w:szCs w:val="20"/>
        </w:rPr>
        <w:t xml:space="preserve">Table </w:t>
      </w:r>
      <w:r w:rsidR="00E30FAF" w:rsidRPr="00FC6804">
        <w:rPr>
          <w:rFonts w:ascii="Arial" w:hAnsi="Arial" w:cs="Arial"/>
          <w:b/>
          <w:color w:val="1F4E79" w:themeColor="accent1" w:themeShade="80"/>
          <w:sz w:val="20"/>
          <w:szCs w:val="20"/>
        </w:rPr>
        <w:t>8</w:t>
      </w:r>
      <w:r w:rsidRPr="00FC6804">
        <w:rPr>
          <w:rFonts w:ascii="Arial" w:hAnsi="Arial" w:cs="Arial"/>
          <w:b/>
          <w:color w:val="1F4E79" w:themeColor="accent1" w:themeShade="80"/>
          <w:sz w:val="20"/>
          <w:szCs w:val="20"/>
        </w:rPr>
        <w:t>.1: Proposed fees – Option 1</w:t>
      </w:r>
    </w:p>
    <w:p w:rsidR="00DC1041" w:rsidRPr="00FC6804" w:rsidRDefault="00DC1041" w:rsidP="00023807">
      <w:pPr>
        <w:spacing w:after="0" w:line="240" w:lineRule="auto"/>
        <w:rPr>
          <w:rFonts w:ascii="Arial" w:hAnsi="Arial" w:cs="Arial"/>
          <w:b/>
          <w:color w:val="1F4E79" w:themeColor="accent1" w:themeShade="80"/>
          <w:sz w:val="20"/>
          <w:szCs w:val="20"/>
        </w:rPr>
      </w:pPr>
    </w:p>
    <w:tbl>
      <w:tblPr>
        <w:tblStyle w:val="TableGrid"/>
        <w:tblW w:w="0" w:type="auto"/>
        <w:tblLook w:val="04A0" w:firstRow="1" w:lastRow="0" w:firstColumn="1" w:lastColumn="0" w:noHBand="0" w:noVBand="1"/>
      </w:tblPr>
      <w:tblGrid>
        <w:gridCol w:w="2802"/>
        <w:gridCol w:w="3118"/>
        <w:gridCol w:w="1701"/>
        <w:gridCol w:w="1621"/>
      </w:tblGrid>
      <w:tr w:rsidR="00DC1041" w:rsidTr="009E63BE">
        <w:tc>
          <w:tcPr>
            <w:tcW w:w="2802" w:type="dxa"/>
            <w:shd w:val="clear" w:color="auto" w:fill="F2F2F2" w:themeFill="background1" w:themeFillShade="F2"/>
          </w:tcPr>
          <w:p w:rsidR="00DC1041" w:rsidRPr="00DC1041" w:rsidRDefault="00DC1041" w:rsidP="00DC1041">
            <w:pPr>
              <w:spacing w:before="60" w:after="60"/>
              <w:jc w:val="center"/>
              <w:rPr>
                <w:rFonts w:ascii="Arial" w:hAnsi="Arial" w:cs="Arial"/>
                <w:b/>
                <w:sz w:val="20"/>
                <w:szCs w:val="20"/>
              </w:rPr>
            </w:pPr>
            <w:r w:rsidRPr="00DC1041">
              <w:rPr>
                <w:rFonts w:ascii="Arial" w:hAnsi="Arial" w:cs="Arial"/>
                <w:b/>
                <w:sz w:val="20"/>
                <w:szCs w:val="20"/>
              </w:rPr>
              <w:t>Licence Category</w:t>
            </w:r>
          </w:p>
        </w:tc>
        <w:tc>
          <w:tcPr>
            <w:tcW w:w="3118" w:type="dxa"/>
            <w:shd w:val="clear" w:color="auto" w:fill="F2F2F2" w:themeFill="background1" w:themeFillShade="F2"/>
          </w:tcPr>
          <w:p w:rsidR="00DC1041" w:rsidRPr="00DC1041" w:rsidRDefault="00DC1041" w:rsidP="00DC1041">
            <w:pPr>
              <w:spacing w:before="60" w:after="60"/>
              <w:jc w:val="center"/>
              <w:rPr>
                <w:rFonts w:ascii="Arial" w:hAnsi="Arial" w:cs="Arial"/>
                <w:b/>
                <w:sz w:val="20"/>
                <w:szCs w:val="20"/>
              </w:rPr>
            </w:pPr>
            <w:r w:rsidRPr="00DC1041">
              <w:rPr>
                <w:rFonts w:ascii="Arial" w:hAnsi="Arial" w:cs="Arial"/>
                <w:b/>
                <w:sz w:val="20"/>
                <w:szCs w:val="20"/>
              </w:rPr>
              <w:t>Throughput</w:t>
            </w:r>
          </w:p>
        </w:tc>
        <w:tc>
          <w:tcPr>
            <w:tcW w:w="1701" w:type="dxa"/>
            <w:shd w:val="clear" w:color="auto" w:fill="F2F2F2" w:themeFill="background1" w:themeFillShade="F2"/>
          </w:tcPr>
          <w:p w:rsidR="00DC1041" w:rsidRDefault="00DC1041" w:rsidP="00DC1041">
            <w:pPr>
              <w:spacing w:before="60" w:after="60"/>
              <w:jc w:val="center"/>
              <w:rPr>
                <w:rFonts w:ascii="Arial" w:hAnsi="Arial" w:cs="Arial"/>
                <w:b/>
                <w:sz w:val="20"/>
                <w:szCs w:val="20"/>
              </w:rPr>
            </w:pPr>
            <w:r w:rsidRPr="00DC1041">
              <w:rPr>
                <w:rFonts w:ascii="Arial" w:hAnsi="Arial" w:cs="Arial"/>
                <w:b/>
                <w:sz w:val="20"/>
                <w:szCs w:val="20"/>
              </w:rPr>
              <w:t>Current Fee</w:t>
            </w:r>
          </w:p>
          <w:p w:rsidR="00DC1041" w:rsidRPr="00DC1041" w:rsidRDefault="00DC1041" w:rsidP="00DC1041">
            <w:pPr>
              <w:spacing w:before="60" w:after="60"/>
              <w:jc w:val="center"/>
              <w:rPr>
                <w:rFonts w:ascii="Arial" w:hAnsi="Arial" w:cs="Arial"/>
                <w:b/>
                <w:sz w:val="20"/>
                <w:szCs w:val="20"/>
              </w:rPr>
            </w:pPr>
            <w:r>
              <w:rPr>
                <w:rFonts w:ascii="Arial" w:hAnsi="Arial" w:cs="Arial"/>
                <w:b/>
                <w:sz w:val="20"/>
                <w:szCs w:val="20"/>
              </w:rPr>
              <w:t>$</w:t>
            </w:r>
          </w:p>
        </w:tc>
        <w:tc>
          <w:tcPr>
            <w:tcW w:w="1621" w:type="dxa"/>
            <w:shd w:val="clear" w:color="auto" w:fill="F2F2F2" w:themeFill="background1" w:themeFillShade="F2"/>
          </w:tcPr>
          <w:p w:rsidR="00DC1041" w:rsidRDefault="00DC1041" w:rsidP="00DC1041">
            <w:pPr>
              <w:spacing w:before="60" w:after="60"/>
              <w:jc w:val="center"/>
              <w:rPr>
                <w:rFonts w:ascii="Arial" w:hAnsi="Arial" w:cs="Arial"/>
                <w:b/>
                <w:sz w:val="20"/>
                <w:szCs w:val="20"/>
              </w:rPr>
            </w:pPr>
            <w:r w:rsidRPr="00DC1041">
              <w:rPr>
                <w:rFonts w:ascii="Arial" w:hAnsi="Arial" w:cs="Arial"/>
                <w:b/>
                <w:sz w:val="20"/>
                <w:szCs w:val="20"/>
              </w:rPr>
              <w:t>Proposed Fee</w:t>
            </w:r>
          </w:p>
          <w:p w:rsidR="00DC1041" w:rsidRPr="00DC1041" w:rsidRDefault="00DC1041" w:rsidP="00DC1041">
            <w:pPr>
              <w:spacing w:before="60" w:after="60"/>
              <w:jc w:val="center"/>
              <w:rPr>
                <w:rFonts w:ascii="Arial" w:hAnsi="Arial" w:cs="Arial"/>
                <w:b/>
                <w:sz w:val="20"/>
                <w:szCs w:val="20"/>
              </w:rPr>
            </w:pPr>
            <w:r>
              <w:rPr>
                <w:rFonts w:ascii="Arial" w:hAnsi="Arial" w:cs="Arial"/>
                <w:b/>
                <w:sz w:val="20"/>
                <w:szCs w:val="20"/>
              </w:rPr>
              <w:t>$</w:t>
            </w:r>
          </w:p>
        </w:tc>
      </w:tr>
      <w:tr w:rsidR="00DC1041" w:rsidTr="00DC1041">
        <w:tc>
          <w:tcPr>
            <w:tcW w:w="2802" w:type="dxa"/>
          </w:tcPr>
          <w:p w:rsidR="00DC1041" w:rsidRPr="00DC1041" w:rsidRDefault="00DC1041" w:rsidP="00DC1041">
            <w:pPr>
              <w:spacing w:before="60" w:after="60"/>
              <w:rPr>
                <w:rFonts w:ascii="Arial" w:hAnsi="Arial" w:cs="Arial"/>
                <w:sz w:val="20"/>
                <w:szCs w:val="20"/>
              </w:rPr>
            </w:pPr>
            <w:r w:rsidRPr="00DC1041">
              <w:rPr>
                <w:rFonts w:ascii="Arial" w:hAnsi="Arial" w:cs="Arial"/>
                <w:sz w:val="20"/>
                <w:szCs w:val="20"/>
              </w:rPr>
              <w:t>Abattoir</w:t>
            </w:r>
            <w:r w:rsidR="000738F7">
              <w:rPr>
                <w:rFonts w:ascii="Arial" w:hAnsi="Arial" w:cs="Arial"/>
                <w:sz w:val="20"/>
                <w:szCs w:val="20"/>
              </w:rPr>
              <w:t xml:space="preserve"> </w:t>
            </w:r>
            <w:r w:rsidR="008C552B">
              <w:rPr>
                <w:rFonts w:ascii="Arial" w:hAnsi="Arial" w:cs="Arial"/>
                <w:sz w:val="20"/>
                <w:szCs w:val="20"/>
              </w:rPr>
              <w:t>*</w:t>
            </w:r>
          </w:p>
        </w:tc>
        <w:tc>
          <w:tcPr>
            <w:tcW w:w="3118" w:type="dxa"/>
            <w:vAlign w:val="bottom"/>
          </w:tcPr>
          <w:p w:rsidR="00DC1041" w:rsidRPr="00FC6804" w:rsidRDefault="00DC1041" w:rsidP="00DC1041">
            <w:pPr>
              <w:spacing w:before="60" w:after="60"/>
              <w:rPr>
                <w:rFonts w:ascii="Arial" w:eastAsia="Times New Roman" w:hAnsi="Arial" w:cs="Arial"/>
                <w:sz w:val="20"/>
                <w:szCs w:val="20"/>
                <w:lang w:eastAsia="en-AU"/>
              </w:rPr>
            </w:pPr>
            <w:r w:rsidRPr="00FC6804">
              <w:rPr>
                <w:rFonts w:ascii="Arial" w:eastAsia="Times New Roman" w:hAnsi="Arial" w:cs="Arial"/>
                <w:sz w:val="20"/>
                <w:szCs w:val="20"/>
                <w:lang w:eastAsia="en-AU"/>
              </w:rPr>
              <w:t>Up to 8,000 units</w:t>
            </w:r>
          </w:p>
        </w:tc>
        <w:tc>
          <w:tcPr>
            <w:tcW w:w="1701" w:type="dxa"/>
            <w:vAlign w:val="bottom"/>
          </w:tcPr>
          <w:p w:rsidR="00DC1041" w:rsidRPr="00FC6804" w:rsidRDefault="00DC1041" w:rsidP="00DC1041">
            <w:pPr>
              <w:spacing w:before="60" w:after="60"/>
              <w:jc w:val="center"/>
              <w:rPr>
                <w:rFonts w:ascii="Arial" w:eastAsia="Times New Roman" w:hAnsi="Arial" w:cs="Arial"/>
                <w:sz w:val="20"/>
                <w:szCs w:val="20"/>
                <w:lang w:eastAsia="en-AU"/>
              </w:rPr>
            </w:pPr>
            <w:r w:rsidRPr="00FC6804">
              <w:rPr>
                <w:rFonts w:ascii="Arial" w:eastAsia="Times New Roman" w:hAnsi="Arial" w:cs="Arial"/>
                <w:sz w:val="20"/>
                <w:szCs w:val="20"/>
                <w:lang w:eastAsia="en-AU"/>
              </w:rPr>
              <w:t>1,356</w:t>
            </w:r>
          </w:p>
        </w:tc>
        <w:tc>
          <w:tcPr>
            <w:tcW w:w="1621" w:type="dxa"/>
            <w:vAlign w:val="bottom"/>
          </w:tcPr>
          <w:p w:rsidR="00DC1041" w:rsidRPr="00FC6804" w:rsidRDefault="00DC1041" w:rsidP="00DC1041">
            <w:pPr>
              <w:spacing w:before="60" w:after="60"/>
              <w:jc w:val="center"/>
              <w:rPr>
                <w:rFonts w:ascii="Arial" w:eastAsia="Times New Roman" w:hAnsi="Arial" w:cs="Arial"/>
                <w:sz w:val="20"/>
                <w:szCs w:val="20"/>
                <w:lang w:eastAsia="en-AU"/>
              </w:rPr>
            </w:pPr>
            <w:r w:rsidRPr="00FC6804">
              <w:rPr>
                <w:rFonts w:ascii="Arial" w:hAnsi="Arial" w:cs="Arial"/>
                <w:color w:val="000000"/>
                <w:sz w:val="20"/>
                <w:szCs w:val="20"/>
              </w:rPr>
              <w:t>1,695</w:t>
            </w:r>
          </w:p>
        </w:tc>
      </w:tr>
      <w:tr w:rsidR="00DC1041" w:rsidTr="00DC1041">
        <w:tc>
          <w:tcPr>
            <w:tcW w:w="2802" w:type="dxa"/>
          </w:tcPr>
          <w:p w:rsidR="00DC1041" w:rsidRPr="00DC1041" w:rsidRDefault="00DC1041" w:rsidP="00DC1041">
            <w:pPr>
              <w:spacing w:before="60" w:after="60"/>
              <w:rPr>
                <w:rFonts w:ascii="Arial" w:hAnsi="Arial" w:cs="Arial"/>
                <w:sz w:val="20"/>
                <w:szCs w:val="20"/>
              </w:rPr>
            </w:pPr>
          </w:p>
        </w:tc>
        <w:tc>
          <w:tcPr>
            <w:tcW w:w="3118" w:type="dxa"/>
            <w:vAlign w:val="bottom"/>
          </w:tcPr>
          <w:p w:rsidR="00DC1041" w:rsidRPr="00FC6804" w:rsidRDefault="00DC1041" w:rsidP="00DC1041">
            <w:pPr>
              <w:spacing w:before="60" w:after="60"/>
              <w:rPr>
                <w:rFonts w:ascii="Arial" w:eastAsia="Times New Roman" w:hAnsi="Arial" w:cs="Arial"/>
                <w:sz w:val="20"/>
                <w:szCs w:val="20"/>
                <w:lang w:eastAsia="en-AU"/>
              </w:rPr>
            </w:pPr>
            <w:r w:rsidRPr="00FC6804">
              <w:rPr>
                <w:rFonts w:ascii="Arial" w:eastAsia="Times New Roman" w:hAnsi="Arial" w:cs="Arial"/>
                <w:sz w:val="20"/>
                <w:szCs w:val="20"/>
                <w:lang w:eastAsia="en-AU"/>
              </w:rPr>
              <w:t>8,001 to 15,000 units</w:t>
            </w:r>
          </w:p>
        </w:tc>
        <w:tc>
          <w:tcPr>
            <w:tcW w:w="1701" w:type="dxa"/>
            <w:vAlign w:val="bottom"/>
          </w:tcPr>
          <w:p w:rsidR="00DC1041" w:rsidRPr="00FC6804" w:rsidRDefault="00DC1041" w:rsidP="00DC1041">
            <w:pPr>
              <w:spacing w:before="60" w:after="60"/>
              <w:jc w:val="center"/>
              <w:rPr>
                <w:rFonts w:ascii="Arial" w:eastAsia="Times New Roman" w:hAnsi="Arial" w:cs="Arial"/>
                <w:sz w:val="20"/>
                <w:szCs w:val="20"/>
                <w:lang w:eastAsia="en-AU"/>
              </w:rPr>
            </w:pPr>
            <w:r w:rsidRPr="00FC6804">
              <w:rPr>
                <w:rFonts w:ascii="Arial" w:eastAsia="Times New Roman" w:hAnsi="Arial" w:cs="Arial"/>
                <w:sz w:val="20"/>
                <w:szCs w:val="20"/>
                <w:lang w:eastAsia="en-AU"/>
              </w:rPr>
              <w:t>1,814</w:t>
            </w:r>
          </w:p>
        </w:tc>
        <w:tc>
          <w:tcPr>
            <w:tcW w:w="1621" w:type="dxa"/>
            <w:vAlign w:val="bottom"/>
          </w:tcPr>
          <w:p w:rsidR="00DC1041" w:rsidRPr="00FC6804" w:rsidRDefault="00DC1041" w:rsidP="00DC1041">
            <w:pPr>
              <w:spacing w:before="60" w:after="60"/>
              <w:jc w:val="center"/>
              <w:rPr>
                <w:rFonts w:ascii="Arial" w:eastAsia="Times New Roman" w:hAnsi="Arial" w:cs="Arial"/>
                <w:sz w:val="20"/>
                <w:szCs w:val="20"/>
                <w:lang w:eastAsia="en-AU"/>
              </w:rPr>
            </w:pPr>
            <w:r w:rsidRPr="00FC6804">
              <w:rPr>
                <w:rFonts w:ascii="Arial" w:hAnsi="Arial" w:cs="Arial"/>
                <w:color w:val="000000"/>
                <w:sz w:val="20"/>
                <w:szCs w:val="20"/>
              </w:rPr>
              <w:t>2,268</w:t>
            </w:r>
          </w:p>
        </w:tc>
      </w:tr>
      <w:tr w:rsidR="00DC1041" w:rsidTr="00DC1041">
        <w:tc>
          <w:tcPr>
            <w:tcW w:w="2802" w:type="dxa"/>
          </w:tcPr>
          <w:p w:rsidR="00DC1041" w:rsidRPr="00DC1041" w:rsidRDefault="00DC1041" w:rsidP="00DC1041">
            <w:pPr>
              <w:spacing w:before="60" w:after="60"/>
              <w:rPr>
                <w:rFonts w:ascii="Arial" w:hAnsi="Arial" w:cs="Arial"/>
                <w:sz w:val="20"/>
                <w:szCs w:val="20"/>
              </w:rPr>
            </w:pPr>
          </w:p>
        </w:tc>
        <w:tc>
          <w:tcPr>
            <w:tcW w:w="3118" w:type="dxa"/>
            <w:vAlign w:val="bottom"/>
          </w:tcPr>
          <w:p w:rsidR="00DC1041" w:rsidRPr="00FC6804" w:rsidRDefault="00DC1041" w:rsidP="00DC1041">
            <w:pPr>
              <w:spacing w:before="60" w:after="60"/>
              <w:rPr>
                <w:rFonts w:ascii="Arial" w:eastAsia="Times New Roman" w:hAnsi="Arial" w:cs="Arial"/>
                <w:sz w:val="20"/>
                <w:szCs w:val="20"/>
                <w:lang w:eastAsia="en-AU"/>
              </w:rPr>
            </w:pPr>
            <w:r w:rsidRPr="00FC6804">
              <w:rPr>
                <w:rFonts w:ascii="Arial" w:eastAsia="Times New Roman" w:hAnsi="Arial" w:cs="Arial"/>
                <w:sz w:val="20"/>
                <w:szCs w:val="20"/>
                <w:lang w:eastAsia="en-AU"/>
              </w:rPr>
              <w:t>15,001 to 100,000 units</w:t>
            </w:r>
          </w:p>
        </w:tc>
        <w:tc>
          <w:tcPr>
            <w:tcW w:w="1701" w:type="dxa"/>
            <w:vAlign w:val="bottom"/>
          </w:tcPr>
          <w:p w:rsidR="00DC1041" w:rsidRPr="00FC6804" w:rsidRDefault="00DC1041" w:rsidP="00DC1041">
            <w:pPr>
              <w:spacing w:before="60" w:after="60"/>
              <w:jc w:val="center"/>
              <w:rPr>
                <w:rFonts w:ascii="Arial" w:eastAsia="Times New Roman" w:hAnsi="Arial" w:cs="Arial"/>
                <w:sz w:val="20"/>
                <w:szCs w:val="20"/>
                <w:lang w:eastAsia="en-AU"/>
              </w:rPr>
            </w:pPr>
            <w:r w:rsidRPr="00FC6804">
              <w:rPr>
                <w:rFonts w:ascii="Arial" w:eastAsia="Times New Roman" w:hAnsi="Arial" w:cs="Arial"/>
                <w:sz w:val="20"/>
                <w:szCs w:val="20"/>
                <w:lang w:eastAsia="en-AU"/>
              </w:rPr>
              <w:t>3,241</w:t>
            </w:r>
          </w:p>
        </w:tc>
        <w:tc>
          <w:tcPr>
            <w:tcW w:w="1621" w:type="dxa"/>
            <w:vAlign w:val="bottom"/>
          </w:tcPr>
          <w:p w:rsidR="00DC1041" w:rsidRPr="00FC6804" w:rsidRDefault="00DC1041" w:rsidP="00DC1041">
            <w:pPr>
              <w:spacing w:before="60" w:after="60"/>
              <w:jc w:val="center"/>
              <w:rPr>
                <w:rFonts w:ascii="Arial" w:eastAsia="Times New Roman" w:hAnsi="Arial" w:cs="Arial"/>
                <w:sz w:val="20"/>
                <w:szCs w:val="20"/>
                <w:lang w:eastAsia="en-AU"/>
              </w:rPr>
            </w:pPr>
            <w:r w:rsidRPr="00FC6804">
              <w:rPr>
                <w:rFonts w:ascii="Arial" w:hAnsi="Arial" w:cs="Arial"/>
                <w:color w:val="000000"/>
                <w:sz w:val="20"/>
                <w:szCs w:val="20"/>
              </w:rPr>
              <w:t>4,051</w:t>
            </w:r>
          </w:p>
        </w:tc>
      </w:tr>
      <w:tr w:rsidR="00DC1041" w:rsidTr="00DC1041">
        <w:tc>
          <w:tcPr>
            <w:tcW w:w="2802" w:type="dxa"/>
          </w:tcPr>
          <w:p w:rsidR="00DC1041" w:rsidRPr="00DC1041" w:rsidRDefault="00DC1041" w:rsidP="00DC1041">
            <w:pPr>
              <w:spacing w:before="60" w:after="60"/>
              <w:rPr>
                <w:rFonts w:ascii="Arial" w:hAnsi="Arial" w:cs="Arial"/>
                <w:sz w:val="20"/>
                <w:szCs w:val="20"/>
              </w:rPr>
            </w:pPr>
          </w:p>
        </w:tc>
        <w:tc>
          <w:tcPr>
            <w:tcW w:w="3118" w:type="dxa"/>
            <w:vAlign w:val="bottom"/>
          </w:tcPr>
          <w:p w:rsidR="00DC1041" w:rsidRPr="00FC6804" w:rsidRDefault="00DC1041" w:rsidP="00DC1041">
            <w:pPr>
              <w:spacing w:before="60" w:after="60"/>
              <w:rPr>
                <w:rFonts w:ascii="Arial" w:eastAsia="Times New Roman" w:hAnsi="Arial" w:cs="Arial"/>
                <w:sz w:val="20"/>
                <w:szCs w:val="20"/>
                <w:lang w:eastAsia="en-AU"/>
              </w:rPr>
            </w:pPr>
            <w:r w:rsidRPr="00FC6804">
              <w:rPr>
                <w:rFonts w:ascii="Arial" w:eastAsia="Times New Roman" w:hAnsi="Arial" w:cs="Arial"/>
                <w:sz w:val="20"/>
                <w:szCs w:val="20"/>
                <w:lang w:eastAsia="en-AU"/>
              </w:rPr>
              <w:t>100,001 to 200,000 units</w:t>
            </w:r>
          </w:p>
        </w:tc>
        <w:tc>
          <w:tcPr>
            <w:tcW w:w="1701" w:type="dxa"/>
            <w:vAlign w:val="bottom"/>
          </w:tcPr>
          <w:p w:rsidR="00DC1041" w:rsidRPr="00FC6804" w:rsidRDefault="00DC1041" w:rsidP="00DC1041">
            <w:pPr>
              <w:spacing w:before="60" w:after="60"/>
              <w:jc w:val="center"/>
              <w:rPr>
                <w:rFonts w:ascii="Arial" w:eastAsia="Times New Roman" w:hAnsi="Arial" w:cs="Arial"/>
                <w:sz w:val="20"/>
                <w:szCs w:val="20"/>
                <w:lang w:eastAsia="en-AU"/>
              </w:rPr>
            </w:pPr>
            <w:r w:rsidRPr="00FC6804">
              <w:rPr>
                <w:rFonts w:ascii="Arial" w:eastAsia="Times New Roman" w:hAnsi="Arial" w:cs="Arial"/>
                <w:sz w:val="20"/>
                <w:szCs w:val="20"/>
                <w:lang w:eastAsia="en-AU"/>
              </w:rPr>
              <w:t>4,866</w:t>
            </w:r>
          </w:p>
        </w:tc>
        <w:tc>
          <w:tcPr>
            <w:tcW w:w="1621" w:type="dxa"/>
            <w:vAlign w:val="bottom"/>
          </w:tcPr>
          <w:p w:rsidR="00DC1041" w:rsidRPr="00FC6804" w:rsidRDefault="00DC1041" w:rsidP="00DC1041">
            <w:pPr>
              <w:spacing w:before="60" w:after="60"/>
              <w:jc w:val="center"/>
              <w:rPr>
                <w:rFonts w:ascii="Arial" w:eastAsia="Times New Roman" w:hAnsi="Arial" w:cs="Arial"/>
                <w:sz w:val="20"/>
                <w:szCs w:val="20"/>
                <w:lang w:eastAsia="en-AU"/>
              </w:rPr>
            </w:pPr>
            <w:r w:rsidRPr="00FC6804">
              <w:rPr>
                <w:rFonts w:ascii="Arial" w:hAnsi="Arial" w:cs="Arial"/>
                <w:color w:val="000000"/>
                <w:sz w:val="20"/>
                <w:szCs w:val="20"/>
              </w:rPr>
              <w:t>6,083</w:t>
            </w:r>
          </w:p>
        </w:tc>
      </w:tr>
      <w:tr w:rsidR="00DC1041" w:rsidTr="00DC1041">
        <w:tc>
          <w:tcPr>
            <w:tcW w:w="2802" w:type="dxa"/>
          </w:tcPr>
          <w:p w:rsidR="00DC1041" w:rsidRPr="00DC1041" w:rsidRDefault="00DC1041" w:rsidP="00DC1041">
            <w:pPr>
              <w:spacing w:before="60" w:after="60"/>
              <w:rPr>
                <w:rFonts w:ascii="Arial" w:hAnsi="Arial" w:cs="Arial"/>
                <w:sz w:val="20"/>
                <w:szCs w:val="20"/>
              </w:rPr>
            </w:pPr>
          </w:p>
        </w:tc>
        <w:tc>
          <w:tcPr>
            <w:tcW w:w="3118" w:type="dxa"/>
            <w:vAlign w:val="bottom"/>
          </w:tcPr>
          <w:p w:rsidR="00DC1041" w:rsidRPr="00FC6804" w:rsidRDefault="00DC1041" w:rsidP="00DC1041">
            <w:pPr>
              <w:spacing w:before="60" w:after="60"/>
              <w:rPr>
                <w:rFonts w:ascii="Arial" w:eastAsia="Times New Roman" w:hAnsi="Arial" w:cs="Arial"/>
                <w:sz w:val="20"/>
                <w:szCs w:val="20"/>
                <w:lang w:eastAsia="en-AU"/>
              </w:rPr>
            </w:pPr>
            <w:r w:rsidRPr="00FC6804">
              <w:rPr>
                <w:rFonts w:ascii="Arial" w:eastAsia="Times New Roman" w:hAnsi="Arial" w:cs="Arial"/>
                <w:sz w:val="20"/>
                <w:szCs w:val="20"/>
                <w:lang w:eastAsia="en-AU"/>
              </w:rPr>
              <w:t>200,001 to 400,000 units</w:t>
            </w:r>
          </w:p>
        </w:tc>
        <w:tc>
          <w:tcPr>
            <w:tcW w:w="1701" w:type="dxa"/>
            <w:vAlign w:val="bottom"/>
          </w:tcPr>
          <w:p w:rsidR="00DC1041" w:rsidRPr="00FC6804" w:rsidRDefault="00DC1041" w:rsidP="00DC1041">
            <w:pPr>
              <w:spacing w:before="60" w:after="60"/>
              <w:jc w:val="center"/>
              <w:rPr>
                <w:rFonts w:ascii="Arial" w:eastAsia="Times New Roman" w:hAnsi="Arial" w:cs="Arial"/>
                <w:sz w:val="20"/>
                <w:szCs w:val="20"/>
                <w:lang w:eastAsia="en-AU"/>
              </w:rPr>
            </w:pPr>
            <w:r w:rsidRPr="00FC6804">
              <w:rPr>
                <w:rFonts w:ascii="Arial" w:eastAsia="Times New Roman" w:hAnsi="Arial" w:cs="Arial"/>
                <w:sz w:val="20"/>
                <w:szCs w:val="20"/>
                <w:lang w:eastAsia="en-AU"/>
              </w:rPr>
              <w:t>6,486</w:t>
            </w:r>
          </w:p>
        </w:tc>
        <w:tc>
          <w:tcPr>
            <w:tcW w:w="1621" w:type="dxa"/>
            <w:vAlign w:val="bottom"/>
          </w:tcPr>
          <w:p w:rsidR="00DC1041" w:rsidRPr="00FC6804" w:rsidRDefault="00DC1041" w:rsidP="00DC1041">
            <w:pPr>
              <w:spacing w:before="60" w:after="60"/>
              <w:jc w:val="center"/>
              <w:rPr>
                <w:rFonts w:ascii="Arial" w:eastAsia="Times New Roman" w:hAnsi="Arial" w:cs="Arial"/>
                <w:sz w:val="20"/>
                <w:szCs w:val="20"/>
                <w:lang w:eastAsia="en-AU"/>
              </w:rPr>
            </w:pPr>
            <w:r w:rsidRPr="00FC6804">
              <w:rPr>
                <w:rFonts w:ascii="Arial" w:hAnsi="Arial" w:cs="Arial"/>
                <w:color w:val="000000"/>
                <w:sz w:val="20"/>
                <w:szCs w:val="20"/>
              </w:rPr>
              <w:t>8,108</w:t>
            </w:r>
          </w:p>
        </w:tc>
      </w:tr>
      <w:tr w:rsidR="00DC1041" w:rsidTr="00DC1041">
        <w:tc>
          <w:tcPr>
            <w:tcW w:w="2802" w:type="dxa"/>
          </w:tcPr>
          <w:p w:rsidR="00DC1041" w:rsidRPr="00DC1041" w:rsidRDefault="00DC1041" w:rsidP="00DC1041">
            <w:pPr>
              <w:spacing w:before="60" w:after="60"/>
              <w:rPr>
                <w:rFonts w:ascii="Arial" w:hAnsi="Arial" w:cs="Arial"/>
                <w:sz w:val="20"/>
                <w:szCs w:val="20"/>
              </w:rPr>
            </w:pPr>
          </w:p>
        </w:tc>
        <w:tc>
          <w:tcPr>
            <w:tcW w:w="3118" w:type="dxa"/>
            <w:vAlign w:val="bottom"/>
          </w:tcPr>
          <w:p w:rsidR="00DC1041" w:rsidRPr="00FC6804" w:rsidRDefault="00DC1041" w:rsidP="00DC1041">
            <w:pPr>
              <w:spacing w:before="60" w:after="60"/>
              <w:rPr>
                <w:rFonts w:ascii="Arial" w:eastAsia="Times New Roman" w:hAnsi="Arial" w:cs="Arial"/>
                <w:sz w:val="20"/>
                <w:szCs w:val="20"/>
                <w:lang w:eastAsia="en-AU"/>
              </w:rPr>
            </w:pPr>
            <w:r w:rsidRPr="00FC6804">
              <w:rPr>
                <w:rFonts w:ascii="Arial" w:eastAsia="Times New Roman" w:hAnsi="Arial" w:cs="Arial"/>
                <w:sz w:val="20"/>
                <w:szCs w:val="20"/>
                <w:lang w:eastAsia="en-AU"/>
              </w:rPr>
              <w:t>Over 400,001 units</w:t>
            </w:r>
          </w:p>
        </w:tc>
        <w:tc>
          <w:tcPr>
            <w:tcW w:w="1701" w:type="dxa"/>
            <w:vAlign w:val="bottom"/>
          </w:tcPr>
          <w:p w:rsidR="00DC1041" w:rsidRPr="00FC6804" w:rsidRDefault="00DC1041" w:rsidP="00DC1041">
            <w:pPr>
              <w:spacing w:before="60" w:after="60"/>
              <w:jc w:val="center"/>
              <w:rPr>
                <w:rFonts w:ascii="Arial" w:eastAsia="Times New Roman" w:hAnsi="Arial" w:cs="Arial"/>
                <w:sz w:val="20"/>
                <w:szCs w:val="20"/>
                <w:lang w:eastAsia="en-AU"/>
              </w:rPr>
            </w:pPr>
            <w:r w:rsidRPr="00FC6804">
              <w:rPr>
                <w:rFonts w:ascii="Arial" w:eastAsia="Times New Roman" w:hAnsi="Arial" w:cs="Arial"/>
                <w:sz w:val="20"/>
                <w:szCs w:val="20"/>
                <w:lang w:eastAsia="en-AU"/>
              </w:rPr>
              <w:t>8,107</w:t>
            </w:r>
          </w:p>
        </w:tc>
        <w:tc>
          <w:tcPr>
            <w:tcW w:w="1621" w:type="dxa"/>
            <w:vAlign w:val="bottom"/>
          </w:tcPr>
          <w:p w:rsidR="00DC1041" w:rsidRPr="00FC6804" w:rsidRDefault="00DC1041" w:rsidP="00DC1041">
            <w:pPr>
              <w:spacing w:before="60" w:after="60"/>
              <w:jc w:val="center"/>
              <w:rPr>
                <w:rFonts w:ascii="Arial" w:eastAsia="Times New Roman" w:hAnsi="Arial" w:cs="Arial"/>
                <w:sz w:val="20"/>
                <w:szCs w:val="20"/>
                <w:lang w:eastAsia="en-AU"/>
              </w:rPr>
            </w:pPr>
            <w:r w:rsidRPr="00FC6804">
              <w:rPr>
                <w:rFonts w:ascii="Arial" w:hAnsi="Arial" w:cs="Arial"/>
                <w:color w:val="000000"/>
                <w:sz w:val="20"/>
                <w:szCs w:val="20"/>
              </w:rPr>
              <w:t>10,134</w:t>
            </w:r>
          </w:p>
        </w:tc>
      </w:tr>
    </w:tbl>
    <w:p w:rsidR="008C552B" w:rsidRDefault="008C552B" w:rsidP="00023807">
      <w:pPr>
        <w:spacing w:after="0" w:line="240" w:lineRule="auto"/>
        <w:rPr>
          <w:rFonts w:ascii="Arial" w:hAnsi="Arial" w:cs="Arial"/>
          <w:sz w:val="20"/>
          <w:szCs w:val="20"/>
        </w:rPr>
      </w:pPr>
    </w:p>
    <w:p w:rsidR="005846CF" w:rsidRDefault="005846CF" w:rsidP="005846CF">
      <w:pPr>
        <w:spacing w:after="0" w:line="240" w:lineRule="auto"/>
        <w:rPr>
          <w:rFonts w:ascii="Arial" w:hAnsi="Arial" w:cs="Arial"/>
          <w:sz w:val="18"/>
          <w:szCs w:val="18"/>
        </w:rPr>
      </w:pPr>
      <w:r>
        <w:rPr>
          <w:rFonts w:ascii="Arial" w:hAnsi="Arial" w:cs="Arial"/>
          <w:sz w:val="18"/>
          <w:szCs w:val="18"/>
        </w:rPr>
        <w:t xml:space="preserve">* </w:t>
      </w:r>
      <w:r w:rsidR="008C552B" w:rsidRPr="008C552B">
        <w:rPr>
          <w:rFonts w:ascii="Arial" w:hAnsi="Arial" w:cs="Arial"/>
          <w:sz w:val="18"/>
          <w:szCs w:val="18"/>
        </w:rPr>
        <w:t>Note:</w:t>
      </w:r>
    </w:p>
    <w:p w:rsidR="008C552B" w:rsidRPr="005846CF" w:rsidRDefault="008C552B" w:rsidP="005846CF">
      <w:pPr>
        <w:pStyle w:val="ListParagraph"/>
        <w:numPr>
          <w:ilvl w:val="0"/>
          <w:numId w:val="41"/>
        </w:numPr>
        <w:spacing w:after="0" w:line="240" w:lineRule="auto"/>
        <w:rPr>
          <w:rFonts w:ascii="Arial" w:hAnsi="Arial" w:cs="Arial"/>
          <w:sz w:val="18"/>
          <w:szCs w:val="18"/>
        </w:rPr>
      </w:pPr>
      <w:r w:rsidRPr="005846CF">
        <w:rPr>
          <w:rFonts w:ascii="Arial" w:hAnsi="Arial" w:cs="Arial"/>
          <w:sz w:val="18"/>
          <w:szCs w:val="18"/>
        </w:rPr>
        <w:t>Facilities supervised by the Department of Agriculture (DA) where DA accepts responsibility for all product placed on the domestic market will pay in accordance with the above fee schedule up to a maximum of $1,958.</w:t>
      </w:r>
    </w:p>
    <w:p w:rsidR="008C552B" w:rsidRDefault="008C552B" w:rsidP="00023807">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2802"/>
        <w:gridCol w:w="3118"/>
        <w:gridCol w:w="1701"/>
        <w:gridCol w:w="1621"/>
      </w:tblGrid>
      <w:tr w:rsidR="00F148AD" w:rsidRPr="00DC1041" w:rsidTr="009E63BE">
        <w:tc>
          <w:tcPr>
            <w:tcW w:w="2802" w:type="dxa"/>
            <w:shd w:val="clear" w:color="auto" w:fill="F2F2F2" w:themeFill="background1" w:themeFillShade="F2"/>
          </w:tcPr>
          <w:p w:rsidR="00F148AD" w:rsidRPr="00DC1041" w:rsidRDefault="00F148AD" w:rsidP="00FA2C75">
            <w:pPr>
              <w:spacing w:before="60" w:after="60"/>
              <w:jc w:val="center"/>
              <w:rPr>
                <w:rFonts w:ascii="Arial" w:hAnsi="Arial" w:cs="Arial"/>
                <w:b/>
                <w:sz w:val="20"/>
                <w:szCs w:val="20"/>
              </w:rPr>
            </w:pPr>
            <w:r w:rsidRPr="00DC1041">
              <w:rPr>
                <w:rFonts w:ascii="Arial" w:hAnsi="Arial" w:cs="Arial"/>
                <w:b/>
                <w:sz w:val="20"/>
                <w:szCs w:val="20"/>
              </w:rPr>
              <w:t>Licence Category</w:t>
            </w:r>
          </w:p>
        </w:tc>
        <w:tc>
          <w:tcPr>
            <w:tcW w:w="3118" w:type="dxa"/>
            <w:shd w:val="clear" w:color="auto" w:fill="F2F2F2" w:themeFill="background1" w:themeFillShade="F2"/>
          </w:tcPr>
          <w:p w:rsidR="00F148AD" w:rsidRPr="00DC1041" w:rsidRDefault="00F148AD" w:rsidP="00FA2C75">
            <w:pPr>
              <w:spacing w:before="60" w:after="60"/>
              <w:jc w:val="center"/>
              <w:rPr>
                <w:rFonts w:ascii="Arial" w:hAnsi="Arial" w:cs="Arial"/>
                <w:b/>
                <w:sz w:val="20"/>
                <w:szCs w:val="20"/>
              </w:rPr>
            </w:pPr>
            <w:r w:rsidRPr="00DC1041">
              <w:rPr>
                <w:rFonts w:ascii="Arial" w:hAnsi="Arial" w:cs="Arial"/>
                <w:b/>
                <w:sz w:val="20"/>
                <w:szCs w:val="20"/>
              </w:rPr>
              <w:t>Throughput</w:t>
            </w:r>
          </w:p>
        </w:tc>
        <w:tc>
          <w:tcPr>
            <w:tcW w:w="1701" w:type="dxa"/>
            <w:shd w:val="clear" w:color="auto" w:fill="F2F2F2" w:themeFill="background1" w:themeFillShade="F2"/>
          </w:tcPr>
          <w:p w:rsidR="00F148AD" w:rsidRDefault="00F148AD" w:rsidP="00FA2C75">
            <w:pPr>
              <w:spacing w:before="60" w:after="60"/>
              <w:jc w:val="center"/>
              <w:rPr>
                <w:rFonts w:ascii="Arial" w:hAnsi="Arial" w:cs="Arial"/>
                <w:b/>
                <w:sz w:val="20"/>
                <w:szCs w:val="20"/>
              </w:rPr>
            </w:pPr>
            <w:r w:rsidRPr="00DC1041">
              <w:rPr>
                <w:rFonts w:ascii="Arial" w:hAnsi="Arial" w:cs="Arial"/>
                <w:b/>
                <w:sz w:val="20"/>
                <w:szCs w:val="20"/>
              </w:rPr>
              <w:t>Current Fee</w:t>
            </w:r>
          </w:p>
          <w:p w:rsidR="00F148AD" w:rsidRPr="00DC1041" w:rsidRDefault="00F148AD" w:rsidP="00FA2C75">
            <w:pPr>
              <w:spacing w:before="60" w:after="60"/>
              <w:jc w:val="center"/>
              <w:rPr>
                <w:rFonts w:ascii="Arial" w:hAnsi="Arial" w:cs="Arial"/>
                <w:b/>
                <w:sz w:val="20"/>
                <w:szCs w:val="20"/>
              </w:rPr>
            </w:pPr>
            <w:r>
              <w:rPr>
                <w:rFonts w:ascii="Arial" w:hAnsi="Arial" w:cs="Arial"/>
                <w:b/>
                <w:sz w:val="20"/>
                <w:szCs w:val="20"/>
              </w:rPr>
              <w:t>$</w:t>
            </w:r>
          </w:p>
        </w:tc>
        <w:tc>
          <w:tcPr>
            <w:tcW w:w="1621" w:type="dxa"/>
            <w:shd w:val="clear" w:color="auto" w:fill="F2F2F2" w:themeFill="background1" w:themeFillShade="F2"/>
          </w:tcPr>
          <w:p w:rsidR="00F148AD" w:rsidRDefault="00F148AD" w:rsidP="00FA2C75">
            <w:pPr>
              <w:spacing w:before="60" w:after="60"/>
              <w:jc w:val="center"/>
              <w:rPr>
                <w:rFonts w:ascii="Arial" w:hAnsi="Arial" w:cs="Arial"/>
                <w:b/>
                <w:sz w:val="20"/>
                <w:szCs w:val="20"/>
              </w:rPr>
            </w:pPr>
            <w:r w:rsidRPr="00DC1041">
              <w:rPr>
                <w:rFonts w:ascii="Arial" w:hAnsi="Arial" w:cs="Arial"/>
                <w:b/>
                <w:sz w:val="20"/>
                <w:szCs w:val="20"/>
              </w:rPr>
              <w:t>Proposed Fee</w:t>
            </w:r>
          </w:p>
          <w:p w:rsidR="00F148AD" w:rsidRPr="00DC1041" w:rsidRDefault="00F148AD" w:rsidP="00FA2C75">
            <w:pPr>
              <w:spacing w:before="60" w:after="60"/>
              <w:jc w:val="center"/>
              <w:rPr>
                <w:rFonts w:ascii="Arial" w:hAnsi="Arial" w:cs="Arial"/>
                <w:b/>
                <w:sz w:val="20"/>
                <w:szCs w:val="20"/>
              </w:rPr>
            </w:pPr>
            <w:r>
              <w:rPr>
                <w:rFonts w:ascii="Arial" w:hAnsi="Arial" w:cs="Arial"/>
                <w:b/>
                <w:sz w:val="20"/>
                <w:szCs w:val="20"/>
              </w:rPr>
              <w:t>$</w:t>
            </w:r>
          </w:p>
        </w:tc>
      </w:tr>
      <w:tr w:rsidR="00F148AD" w:rsidRPr="00FC6804" w:rsidTr="00FA2C75">
        <w:tc>
          <w:tcPr>
            <w:tcW w:w="2802" w:type="dxa"/>
          </w:tcPr>
          <w:p w:rsidR="00F148AD" w:rsidRPr="00DC1041" w:rsidRDefault="00F148AD" w:rsidP="00F148AD">
            <w:pPr>
              <w:spacing w:before="60" w:after="60"/>
              <w:rPr>
                <w:rFonts w:ascii="Arial" w:hAnsi="Arial" w:cs="Arial"/>
                <w:sz w:val="20"/>
                <w:szCs w:val="20"/>
              </w:rPr>
            </w:pPr>
            <w:r>
              <w:rPr>
                <w:rFonts w:ascii="Arial" w:hAnsi="Arial" w:cs="Arial"/>
                <w:sz w:val="20"/>
                <w:szCs w:val="20"/>
              </w:rPr>
              <w:t>Poultry Processing Facility</w:t>
            </w:r>
          </w:p>
        </w:tc>
        <w:tc>
          <w:tcPr>
            <w:tcW w:w="3118" w:type="dxa"/>
            <w:vAlign w:val="bottom"/>
          </w:tcPr>
          <w:p w:rsidR="00F148AD" w:rsidRPr="00FC6804" w:rsidRDefault="00F148AD" w:rsidP="00F148AD">
            <w:pPr>
              <w:rPr>
                <w:rFonts w:ascii="Arial" w:eastAsia="Times New Roman" w:hAnsi="Arial" w:cs="Arial"/>
                <w:sz w:val="20"/>
                <w:szCs w:val="20"/>
                <w:lang w:eastAsia="en-AU"/>
              </w:rPr>
            </w:pPr>
            <w:r w:rsidRPr="00FC6804">
              <w:rPr>
                <w:rFonts w:ascii="Arial" w:eastAsia="Times New Roman" w:hAnsi="Arial" w:cs="Arial"/>
                <w:sz w:val="20"/>
                <w:szCs w:val="20"/>
                <w:lang w:eastAsia="en-AU"/>
              </w:rPr>
              <w:t>Up to 2,500 units</w:t>
            </w:r>
          </w:p>
        </w:tc>
        <w:tc>
          <w:tcPr>
            <w:tcW w:w="1701" w:type="dxa"/>
            <w:vAlign w:val="bottom"/>
          </w:tcPr>
          <w:p w:rsidR="00F148AD" w:rsidRPr="00FC6804" w:rsidRDefault="00F148AD" w:rsidP="00F148AD">
            <w:pPr>
              <w:jc w:val="center"/>
              <w:rPr>
                <w:rFonts w:ascii="Arial" w:eastAsia="Times New Roman" w:hAnsi="Arial" w:cs="Arial"/>
                <w:sz w:val="20"/>
                <w:szCs w:val="20"/>
                <w:lang w:eastAsia="en-AU"/>
              </w:rPr>
            </w:pPr>
            <w:r w:rsidRPr="00FC6804">
              <w:rPr>
                <w:rFonts w:ascii="Arial" w:eastAsia="Times New Roman" w:hAnsi="Arial" w:cs="Arial"/>
                <w:sz w:val="20"/>
                <w:szCs w:val="20"/>
                <w:lang w:eastAsia="en-AU"/>
              </w:rPr>
              <w:t>377</w:t>
            </w:r>
          </w:p>
        </w:tc>
        <w:tc>
          <w:tcPr>
            <w:tcW w:w="1621" w:type="dxa"/>
            <w:vAlign w:val="bottom"/>
          </w:tcPr>
          <w:p w:rsidR="00F148AD" w:rsidRPr="00FC6804" w:rsidRDefault="00F148AD" w:rsidP="00F148AD">
            <w:pPr>
              <w:jc w:val="center"/>
              <w:rPr>
                <w:rFonts w:ascii="Arial" w:eastAsia="Times New Roman" w:hAnsi="Arial" w:cs="Arial"/>
                <w:sz w:val="20"/>
                <w:szCs w:val="20"/>
                <w:lang w:eastAsia="en-AU"/>
              </w:rPr>
            </w:pPr>
            <w:r w:rsidRPr="00FC6804">
              <w:rPr>
                <w:rFonts w:ascii="Arial" w:hAnsi="Arial" w:cs="Arial"/>
                <w:color w:val="000000"/>
                <w:sz w:val="20"/>
                <w:szCs w:val="20"/>
              </w:rPr>
              <w:t>471</w:t>
            </w:r>
          </w:p>
        </w:tc>
      </w:tr>
      <w:tr w:rsidR="00F148AD" w:rsidRPr="00FC6804" w:rsidTr="00FA2C75">
        <w:tc>
          <w:tcPr>
            <w:tcW w:w="2802" w:type="dxa"/>
          </w:tcPr>
          <w:p w:rsidR="00F148AD" w:rsidRPr="00DC1041" w:rsidRDefault="00F148AD" w:rsidP="00F148AD">
            <w:pPr>
              <w:spacing w:before="60" w:after="60"/>
              <w:rPr>
                <w:rFonts w:ascii="Arial" w:hAnsi="Arial" w:cs="Arial"/>
                <w:sz w:val="20"/>
                <w:szCs w:val="20"/>
              </w:rPr>
            </w:pPr>
          </w:p>
        </w:tc>
        <w:tc>
          <w:tcPr>
            <w:tcW w:w="3118" w:type="dxa"/>
            <w:vAlign w:val="bottom"/>
          </w:tcPr>
          <w:p w:rsidR="00F148AD" w:rsidRPr="00FC6804" w:rsidRDefault="00F148AD" w:rsidP="00F148AD">
            <w:pPr>
              <w:rPr>
                <w:rFonts w:ascii="Arial" w:eastAsia="Times New Roman" w:hAnsi="Arial" w:cs="Arial"/>
                <w:sz w:val="20"/>
                <w:szCs w:val="20"/>
                <w:lang w:eastAsia="en-AU"/>
              </w:rPr>
            </w:pPr>
            <w:r w:rsidRPr="00FC6804">
              <w:rPr>
                <w:rFonts w:ascii="Arial" w:eastAsia="Times New Roman" w:hAnsi="Arial" w:cs="Arial"/>
                <w:sz w:val="20"/>
                <w:szCs w:val="20"/>
                <w:lang w:eastAsia="en-AU"/>
              </w:rPr>
              <w:t>2,501 to 50,000 units</w:t>
            </w:r>
          </w:p>
        </w:tc>
        <w:tc>
          <w:tcPr>
            <w:tcW w:w="1701" w:type="dxa"/>
            <w:vAlign w:val="bottom"/>
          </w:tcPr>
          <w:p w:rsidR="00F148AD" w:rsidRPr="00FC6804" w:rsidRDefault="00F148AD" w:rsidP="00F148AD">
            <w:pPr>
              <w:jc w:val="center"/>
              <w:rPr>
                <w:rFonts w:ascii="Arial" w:eastAsia="Times New Roman" w:hAnsi="Arial" w:cs="Arial"/>
                <w:sz w:val="20"/>
                <w:szCs w:val="20"/>
                <w:lang w:eastAsia="en-AU"/>
              </w:rPr>
            </w:pPr>
            <w:r w:rsidRPr="00FC6804">
              <w:rPr>
                <w:rFonts w:ascii="Arial" w:eastAsia="Times New Roman" w:hAnsi="Arial" w:cs="Arial"/>
                <w:sz w:val="20"/>
                <w:szCs w:val="20"/>
                <w:lang w:eastAsia="en-AU"/>
              </w:rPr>
              <w:t>820</w:t>
            </w:r>
          </w:p>
        </w:tc>
        <w:tc>
          <w:tcPr>
            <w:tcW w:w="1621" w:type="dxa"/>
            <w:vAlign w:val="bottom"/>
          </w:tcPr>
          <w:p w:rsidR="00F148AD" w:rsidRPr="00FC6804" w:rsidRDefault="00F148AD" w:rsidP="00F148AD">
            <w:pPr>
              <w:jc w:val="center"/>
              <w:rPr>
                <w:rFonts w:ascii="Arial" w:eastAsia="Times New Roman" w:hAnsi="Arial" w:cs="Arial"/>
                <w:sz w:val="20"/>
                <w:szCs w:val="20"/>
                <w:lang w:eastAsia="en-AU"/>
              </w:rPr>
            </w:pPr>
            <w:r w:rsidRPr="00FC6804">
              <w:rPr>
                <w:rFonts w:ascii="Arial" w:hAnsi="Arial" w:cs="Arial"/>
                <w:color w:val="000000"/>
                <w:sz w:val="20"/>
                <w:szCs w:val="20"/>
              </w:rPr>
              <w:t>1,025</w:t>
            </w:r>
          </w:p>
        </w:tc>
      </w:tr>
      <w:tr w:rsidR="00F148AD" w:rsidRPr="00FC6804" w:rsidTr="00FA2C75">
        <w:tc>
          <w:tcPr>
            <w:tcW w:w="2802" w:type="dxa"/>
          </w:tcPr>
          <w:p w:rsidR="00F148AD" w:rsidRPr="00DC1041" w:rsidRDefault="00F148AD" w:rsidP="00F148AD">
            <w:pPr>
              <w:spacing w:before="60" w:after="60"/>
              <w:rPr>
                <w:rFonts w:ascii="Arial" w:hAnsi="Arial" w:cs="Arial"/>
                <w:sz w:val="20"/>
                <w:szCs w:val="20"/>
              </w:rPr>
            </w:pPr>
          </w:p>
        </w:tc>
        <w:tc>
          <w:tcPr>
            <w:tcW w:w="3118" w:type="dxa"/>
            <w:vAlign w:val="bottom"/>
          </w:tcPr>
          <w:p w:rsidR="00F148AD" w:rsidRPr="00FC6804" w:rsidRDefault="00F148AD" w:rsidP="00F148AD">
            <w:pPr>
              <w:rPr>
                <w:rFonts w:ascii="Arial" w:eastAsia="Times New Roman" w:hAnsi="Arial" w:cs="Arial"/>
                <w:sz w:val="20"/>
                <w:szCs w:val="20"/>
                <w:lang w:eastAsia="en-AU"/>
              </w:rPr>
            </w:pPr>
            <w:r w:rsidRPr="00FC6804">
              <w:rPr>
                <w:rFonts w:ascii="Arial" w:eastAsia="Times New Roman" w:hAnsi="Arial" w:cs="Arial"/>
                <w:sz w:val="20"/>
                <w:szCs w:val="20"/>
                <w:lang w:eastAsia="en-AU"/>
              </w:rPr>
              <w:t>50,001 to 250,000 units</w:t>
            </w:r>
          </w:p>
        </w:tc>
        <w:tc>
          <w:tcPr>
            <w:tcW w:w="1701" w:type="dxa"/>
            <w:vAlign w:val="bottom"/>
          </w:tcPr>
          <w:p w:rsidR="00F148AD" w:rsidRPr="00FC6804" w:rsidRDefault="00F148AD" w:rsidP="00F148AD">
            <w:pPr>
              <w:jc w:val="center"/>
              <w:rPr>
                <w:rFonts w:ascii="Arial" w:eastAsia="Times New Roman" w:hAnsi="Arial" w:cs="Arial"/>
                <w:sz w:val="20"/>
                <w:szCs w:val="20"/>
                <w:lang w:eastAsia="en-AU"/>
              </w:rPr>
            </w:pPr>
            <w:r w:rsidRPr="00FC6804">
              <w:rPr>
                <w:rFonts w:ascii="Arial" w:eastAsia="Times New Roman" w:hAnsi="Arial" w:cs="Arial"/>
                <w:sz w:val="20"/>
                <w:szCs w:val="20"/>
                <w:lang w:eastAsia="en-AU"/>
              </w:rPr>
              <w:t>1,719</w:t>
            </w:r>
          </w:p>
        </w:tc>
        <w:tc>
          <w:tcPr>
            <w:tcW w:w="1621" w:type="dxa"/>
            <w:vAlign w:val="bottom"/>
          </w:tcPr>
          <w:p w:rsidR="00F148AD" w:rsidRPr="00FC6804" w:rsidRDefault="00F148AD" w:rsidP="00F148AD">
            <w:pPr>
              <w:jc w:val="center"/>
              <w:rPr>
                <w:rFonts w:ascii="Arial" w:eastAsia="Times New Roman" w:hAnsi="Arial" w:cs="Arial"/>
                <w:sz w:val="20"/>
                <w:szCs w:val="20"/>
                <w:lang w:eastAsia="en-AU"/>
              </w:rPr>
            </w:pPr>
            <w:r w:rsidRPr="00FC6804">
              <w:rPr>
                <w:rFonts w:ascii="Arial" w:hAnsi="Arial" w:cs="Arial"/>
                <w:color w:val="000000"/>
                <w:sz w:val="20"/>
                <w:szCs w:val="20"/>
              </w:rPr>
              <w:t>2,149</w:t>
            </w:r>
          </w:p>
        </w:tc>
      </w:tr>
      <w:tr w:rsidR="00F148AD" w:rsidRPr="00FC6804" w:rsidTr="00FA2C75">
        <w:tc>
          <w:tcPr>
            <w:tcW w:w="2802" w:type="dxa"/>
          </w:tcPr>
          <w:p w:rsidR="00F148AD" w:rsidRPr="00DC1041" w:rsidRDefault="00F148AD" w:rsidP="00F148AD">
            <w:pPr>
              <w:spacing w:before="60" w:after="60"/>
              <w:rPr>
                <w:rFonts w:ascii="Arial" w:hAnsi="Arial" w:cs="Arial"/>
                <w:sz w:val="20"/>
                <w:szCs w:val="20"/>
              </w:rPr>
            </w:pPr>
          </w:p>
        </w:tc>
        <w:tc>
          <w:tcPr>
            <w:tcW w:w="3118" w:type="dxa"/>
            <w:vAlign w:val="bottom"/>
          </w:tcPr>
          <w:p w:rsidR="00F148AD" w:rsidRPr="00FC6804" w:rsidRDefault="00F148AD" w:rsidP="00F148AD">
            <w:pPr>
              <w:rPr>
                <w:rFonts w:ascii="Arial" w:eastAsia="Times New Roman" w:hAnsi="Arial" w:cs="Arial"/>
                <w:sz w:val="20"/>
                <w:szCs w:val="20"/>
                <w:lang w:eastAsia="en-AU"/>
              </w:rPr>
            </w:pPr>
            <w:r w:rsidRPr="00FC6804">
              <w:rPr>
                <w:rFonts w:ascii="Arial" w:eastAsia="Times New Roman" w:hAnsi="Arial" w:cs="Arial"/>
                <w:sz w:val="20"/>
                <w:szCs w:val="20"/>
                <w:lang w:eastAsia="en-AU"/>
              </w:rPr>
              <w:t>250,001 to 1,000,000 units</w:t>
            </w:r>
          </w:p>
        </w:tc>
        <w:tc>
          <w:tcPr>
            <w:tcW w:w="1701" w:type="dxa"/>
            <w:vAlign w:val="bottom"/>
          </w:tcPr>
          <w:p w:rsidR="00F148AD" w:rsidRPr="00FC6804" w:rsidRDefault="00F148AD" w:rsidP="00F148AD">
            <w:pPr>
              <w:jc w:val="center"/>
              <w:rPr>
                <w:rFonts w:ascii="Arial" w:eastAsia="Times New Roman" w:hAnsi="Arial" w:cs="Arial"/>
                <w:sz w:val="20"/>
                <w:szCs w:val="20"/>
                <w:lang w:eastAsia="en-AU"/>
              </w:rPr>
            </w:pPr>
            <w:r w:rsidRPr="00FC6804">
              <w:rPr>
                <w:rFonts w:ascii="Arial" w:eastAsia="Times New Roman" w:hAnsi="Arial" w:cs="Arial"/>
                <w:sz w:val="20"/>
                <w:szCs w:val="20"/>
                <w:lang w:eastAsia="en-AU"/>
              </w:rPr>
              <w:t>2,348</w:t>
            </w:r>
          </w:p>
        </w:tc>
        <w:tc>
          <w:tcPr>
            <w:tcW w:w="1621" w:type="dxa"/>
            <w:vAlign w:val="bottom"/>
          </w:tcPr>
          <w:p w:rsidR="00F148AD" w:rsidRPr="00FC6804" w:rsidRDefault="00F148AD" w:rsidP="00F148AD">
            <w:pPr>
              <w:jc w:val="center"/>
              <w:rPr>
                <w:rFonts w:ascii="Arial" w:eastAsia="Times New Roman" w:hAnsi="Arial" w:cs="Arial"/>
                <w:sz w:val="20"/>
                <w:szCs w:val="20"/>
                <w:lang w:eastAsia="en-AU"/>
              </w:rPr>
            </w:pPr>
            <w:r w:rsidRPr="00FC6804">
              <w:rPr>
                <w:rFonts w:ascii="Arial" w:hAnsi="Arial" w:cs="Arial"/>
                <w:color w:val="000000"/>
                <w:sz w:val="20"/>
                <w:szCs w:val="20"/>
              </w:rPr>
              <w:t>2,935</w:t>
            </w:r>
          </w:p>
        </w:tc>
      </w:tr>
      <w:tr w:rsidR="00F148AD" w:rsidRPr="00FC6804" w:rsidTr="00FA2C75">
        <w:tc>
          <w:tcPr>
            <w:tcW w:w="2802" w:type="dxa"/>
          </w:tcPr>
          <w:p w:rsidR="00F148AD" w:rsidRPr="00DC1041" w:rsidRDefault="00F148AD" w:rsidP="00F148AD">
            <w:pPr>
              <w:spacing w:before="60" w:after="60"/>
              <w:rPr>
                <w:rFonts w:ascii="Arial" w:hAnsi="Arial" w:cs="Arial"/>
                <w:sz w:val="20"/>
                <w:szCs w:val="20"/>
              </w:rPr>
            </w:pPr>
          </w:p>
        </w:tc>
        <w:tc>
          <w:tcPr>
            <w:tcW w:w="3118" w:type="dxa"/>
            <w:vAlign w:val="bottom"/>
          </w:tcPr>
          <w:p w:rsidR="00F148AD" w:rsidRPr="00FC6804" w:rsidRDefault="00F148AD" w:rsidP="00F148AD">
            <w:pPr>
              <w:rPr>
                <w:rFonts w:ascii="Arial" w:eastAsia="Times New Roman" w:hAnsi="Arial" w:cs="Arial"/>
                <w:sz w:val="20"/>
                <w:szCs w:val="20"/>
                <w:lang w:eastAsia="en-AU"/>
              </w:rPr>
            </w:pPr>
            <w:r w:rsidRPr="00FC6804">
              <w:rPr>
                <w:rFonts w:ascii="Arial" w:eastAsia="Times New Roman" w:hAnsi="Arial" w:cs="Arial"/>
                <w:sz w:val="20"/>
                <w:szCs w:val="20"/>
                <w:lang w:eastAsia="en-AU"/>
              </w:rPr>
              <w:t>1,000,001 to 2,500,000 units</w:t>
            </w:r>
          </w:p>
        </w:tc>
        <w:tc>
          <w:tcPr>
            <w:tcW w:w="1701" w:type="dxa"/>
            <w:vAlign w:val="bottom"/>
          </w:tcPr>
          <w:p w:rsidR="00F148AD" w:rsidRPr="00FC6804" w:rsidRDefault="00F148AD" w:rsidP="00F148AD">
            <w:pPr>
              <w:jc w:val="center"/>
              <w:rPr>
                <w:rFonts w:ascii="Arial" w:eastAsia="Times New Roman" w:hAnsi="Arial" w:cs="Arial"/>
                <w:sz w:val="20"/>
                <w:szCs w:val="20"/>
                <w:lang w:eastAsia="en-AU"/>
              </w:rPr>
            </w:pPr>
            <w:r w:rsidRPr="00FC6804">
              <w:rPr>
                <w:rFonts w:ascii="Arial" w:eastAsia="Times New Roman" w:hAnsi="Arial" w:cs="Arial"/>
                <w:sz w:val="20"/>
                <w:szCs w:val="20"/>
                <w:lang w:eastAsia="en-AU"/>
              </w:rPr>
              <w:t>3,598</w:t>
            </w:r>
          </w:p>
        </w:tc>
        <w:tc>
          <w:tcPr>
            <w:tcW w:w="1621" w:type="dxa"/>
            <w:vAlign w:val="bottom"/>
          </w:tcPr>
          <w:p w:rsidR="00F148AD" w:rsidRPr="00FC6804" w:rsidRDefault="00F148AD" w:rsidP="00F148AD">
            <w:pPr>
              <w:jc w:val="center"/>
              <w:rPr>
                <w:rFonts w:ascii="Arial" w:eastAsia="Times New Roman" w:hAnsi="Arial" w:cs="Arial"/>
                <w:sz w:val="20"/>
                <w:szCs w:val="20"/>
                <w:lang w:eastAsia="en-AU"/>
              </w:rPr>
            </w:pPr>
            <w:r w:rsidRPr="00FC6804">
              <w:rPr>
                <w:rFonts w:ascii="Arial" w:hAnsi="Arial" w:cs="Arial"/>
                <w:color w:val="000000"/>
                <w:sz w:val="20"/>
                <w:szCs w:val="20"/>
              </w:rPr>
              <w:t>4,498</w:t>
            </w:r>
          </w:p>
        </w:tc>
      </w:tr>
      <w:tr w:rsidR="00F148AD" w:rsidRPr="00FC6804" w:rsidTr="00FA2C75">
        <w:tc>
          <w:tcPr>
            <w:tcW w:w="2802" w:type="dxa"/>
          </w:tcPr>
          <w:p w:rsidR="00F148AD" w:rsidRPr="00DC1041" w:rsidRDefault="00F148AD" w:rsidP="00F148AD">
            <w:pPr>
              <w:spacing w:before="60" w:after="60"/>
              <w:rPr>
                <w:rFonts w:ascii="Arial" w:hAnsi="Arial" w:cs="Arial"/>
                <w:sz w:val="20"/>
                <w:szCs w:val="20"/>
              </w:rPr>
            </w:pPr>
          </w:p>
        </w:tc>
        <w:tc>
          <w:tcPr>
            <w:tcW w:w="3118" w:type="dxa"/>
            <w:vAlign w:val="bottom"/>
          </w:tcPr>
          <w:p w:rsidR="00F148AD" w:rsidRPr="00FC6804" w:rsidRDefault="00F148AD" w:rsidP="00F148AD">
            <w:pPr>
              <w:rPr>
                <w:rFonts w:ascii="Arial" w:eastAsia="Times New Roman" w:hAnsi="Arial" w:cs="Arial"/>
                <w:sz w:val="20"/>
                <w:szCs w:val="20"/>
                <w:lang w:eastAsia="en-AU"/>
              </w:rPr>
            </w:pPr>
            <w:r w:rsidRPr="00FC6804">
              <w:rPr>
                <w:rFonts w:ascii="Arial" w:eastAsia="Times New Roman" w:hAnsi="Arial" w:cs="Arial"/>
                <w:sz w:val="20"/>
                <w:szCs w:val="20"/>
                <w:lang w:eastAsia="en-AU"/>
              </w:rPr>
              <w:t>2,500,001 to 5,000,000 units</w:t>
            </w:r>
          </w:p>
        </w:tc>
        <w:tc>
          <w:tcPr>
            <w:tcW w:w="1701" w:type="dxa"/>
            <w:vAlign w:val="bottom"/>
          </w:tcPr>
          <w:p w:rsidR="00F148AD" w:rsidRPr="00FC6804" w:rsidRDefault="00F148AD" w:rsidP="00F148AD">
            <w:pPr>
              <w:jc w:val="center"/>
              <w:rPr>
                <w:rFonts w:ascii="Arial" w:eastAsia="Times New Roman" w:hAnsi="Arial" w:cs="Arial"/>
                <w:sz w:val="20"/>
                <w:szCs w:val="20"/>
                <w:lang w:eastAsia="en-AU"/>
              </w:rPr>
            </w:pPr>
            <w:r w:rsidRPr="00FC6804">
              <w:rPr>
                <w:rFonts w:ascii="Arial" w:eastAsia="Times New Roman" w:hAnsi="Arial" w:cs="Arial"/>
                <w:sz w:val="20"/>
                <w:szCs w:val="20"/>
                <w:lang w:eastAsia="en-AU"/>
              </w:rPr>
              <w:t>6,173</w:t>
            </w:r>
          </w:p>
        </w:tc>
        <w:tc>
          <w:tcPr>
            <w:tcW w:w="1621" w:type="dxa"/>
            <w:vAlign w:val="bottom"/>
          </w:tcPr>
          <w:p w:rsidR="00F148AD" w:rsidRPr="00FC6804" w:rsidRDefault="00F148AD" w:rsidP="00F148AD">
            <w:pPr>
              <w:jc w:val="center"/>
              <w:rPr>
                <w:rFonts w:ascii="Arial" w:eastAsia="Times New Roman" w:hAnsi="Arial" w:cs="Arial"/>
                <w:sz w:val="20"/>
                <w:szCs w:val="20"/>
                <w:lang w:eastAsia="en-AU"/>
              </w:rPr>
            </w:pPr>
            <w:r w:rsidRPr="00FC6804">
              <w:rPr>
                <w:rFonts w:ascii="Arial" w:hAnsi="Arial" w:cs="Arial"/>
                <w:color w:val="000000"/>
                <w:sz w:val="20"/>
                <w:szCs w:val="20"/>
              </w:rPr>
              <w:t>7,716</w:t>
            </w:r>
          </w:p>
        </w:tc>
      </w:tr>
      <w:tr w:rsidR="00F148AD" w:rsidRPr="00FC6804" w:rsidTr="00FA2C75">
        <w:tc>
          <w:tcPr>
            <w:tcW w:w="2802" w:type="dxa"/>
          </w:tcPr>
          <w:p w:rsidR="00F148AD" w:rsidRPr="00DC1041" w:rsidRDefault="00F148AD" w:rsidP="00F148AD">
            <w:pPr>
              <w:spacing w:before="60" w:after="60"/>
              <w:rPr>
                <w:rFonts w:ascii="Arial" w:hAnsi="Arial" w:cs="Arial"/>
                <w:sz w:val="20"/>
                <w:szCs w:val="20"/>
              </w:rPr>
            </w:pPr>
          </w:p>
        </w:tc>
        <w:tc>
          <w:tcPr>
            <w:tcW w:w="3118" w:type="dxa"/>
            <w:vAlign w:val="bottom"/>
          </w:tcPr>
          <w:p w:rsidR="00F148AD" w:rsidRPr="00FC6804" w:rsidRDefault="00F148AD" w:rsidP="00F148AD">
            <w:pPr>
              <w:rPr>
                <w:rFonts w:ascii="Arial" w:eastAsia="Times New Roman" w:hAnsi="Arial" w:cs="Arial"/>
                <w:sz w:val="20"/>
                <w:szCs w:val="20"/>
                <w:lang w:eastAsia="en-AU"/>
              </w:rPr>
            </w:pPr>
            <w:r w:rsidRPr="00FC6804">
              <w:rPr>
                <w:rFonts w:ascii="Arial" w:eastAsia="Times New Roman" w:hAnsi="Arial" w:cs="Arial"/>
                <w:sz w:val="20"/>
                <w:szCs w:val="20"/>
                <w:lang w:eastAsia="en-AU"/>
              </w:rPr>
              <w:t>Over 5,000,000 units</w:t>
            </w:r>
          </w:p>
        </w:tc>
        <w:tc>
          <w:tcPr>
            <w:tcW w:w="1701" w:type="dxa"/>
            <w:vAlign w:val="bottom"/>
          </w:tcPr>
          <w:p w:rsidR="00F148AD" w:rsidRPr="00FC6804" w:rsidRDefault="00F148AD" w:rsidP="00F148AD">
            <w:pPr>
              <w:jc w:val="center"/>
              <w:rPr>
                <w:rFonts w:ascii="Arial" w:eastAsia="Times New Roman" w:hAnsi="Arial" w:cs="Arial"/>
                <w:sz w:val="20"/>
                <w:szCs w:val="20"/>
                <w:lang w:eastAsia="en-AU"/>
              </w:rPr>
            </w:pPr>
            <w:r w:rsidRPr="00FC6804">
              <w:rPr>
                <w:rFonts w:ascii="Arial" w:eastAsia="Times New Roman" w:hAnsi="Arial" w:cs="Arial"/>
                <w:sz w:val="20"/>
                <w:szCs w:val="20"/>
                <w:lang w:eastAsia="en-AU"/>
              </w:rPr>
              <w:t>11,118</w:t>
            </w:r>
          </w:p>
        </w:tc>
        <w:tc>
          <w:tcPr>
            <w:tcW w:w="1621" w:type="dxa"/>
            <w:vAlign w:val="bottom"/>
          </w:tcPr>
          <w:p w:rsidR="00F148AD" w:rsidRPr="00FC6804" w:rsidRDefault="00F148AD" w:rsidP="00F148AD">
            <w:pPr>
              <w:jc w:val="center"/>
              <w:rPr>
                <w:rFonts w:ascii="Arial" w:eastAsia="Times New Roman" w:hAnsi="Arial" w:cs="Arial"/>
                <w:sz w:val="20"/>
                <w:szCs w:val="20"/>
                <w:lang w:eastAsia="en-AU"/>
              </w:rPr>
            </w:pPr>
            <w:r w:rsidRPr="00FC6804">
              <w:rPr>
                <w:rFonts w:ascii="Arial" w:hAnsi="Arial" w:cs="Arial"/>
                <w:color w:val="000000"/>
                <w:sz w:val="20"/>
                <w:szCs w:val="20"/>
              </w:rPr>
              <w:t>13,898</w:t>
            </w:r>
          </w:p>
        </w:tc>
      </w:tr>
    </w:tbl>
    <w:p w:rsidR="00632838" w:rsidRDefault="00632838" w:rsidP="00023807">
      <w:pPr>
        <w:spacing w:after="0" w:line="240" w:lineRule="auto"/>
        <w:rPr>
          <w:rFonts w:ascii="Arial" w:hAnsi="Arial" w:cs="Arial"/>
          <w:b/>
          <w:sz w:val="20"/>
          <w:szCs w:val="20"/>
          <w:u w:val="single"/>
        </w:rPr>
      </w:pPr>
    </w:p>
    <w:p w:rsidR="00F148AD" w:rsidRDefault="00F148AD" w:rsidP="00023807">
      <w:pPr>
        <w:spacing w:after="0" w:line="240" w:lineRule="auto"/>
        <w:rPr>
          <w:rFonts w:ascii="Arial" w:hAnsi="Arial" w:cs="Arial"/>
          <w:b/>
          <w:sz w:val="20"/>
          <w:szCs w:val="20"/>
          <w:u w:val="single"/>
        </w:rPr>
      </w:pPr>
    </w:p>
    <w:p w:rsidR="00F148AD" w:rsidRDefault="00F148AD" w:rsidP="00023807">
      <w:pPr>
        <w:spacing w:after="0" w:line="240" w:lineRule="auto"/>
        <w:rPr>
          <w:rFonts w:ascii="Arial" w:hAnsi="Arial" w:cs="Arial"/>
          <w:b/>
          <w:sz w:val="20"/>
          <w:szCs w:val="20"/>
          <w:u w:val="single"/>
        </w:rPr>
      </w:pPr>
    </w:p>
    <w:p w:rsidR="00F148AD" w:rsidRDefault="00F148AD" w:rsidP="00023807">
      <w:pPr>
        <w:spacing w:after="0" w:line="240" w:lineRule="auto"/>
        <w:rPr>
          <w:rFonts w:ascii="Arial" w:hAnsi="Arial" w:cs="Arial"/>
          <w:b/>
          <w:sz w:val="20"/>
          <w:szCs w:val="20"/>
          <w:u w:val="single"/>
        </w:rPr>
      </w:pPr>
    </w:p>
    <w:p w:rsidR="00F148AD" w:rsidRDefault="00F148AD" w:rsidP="00023807">
      <w:pPr>
        <w:spacing w:after="0" w:line="240" w:lineRule="auto"/>
        <w:rPr>
          <w:rFonts w:ascii="Arial" w:hAnsi="Arial" w:cs="Arial"/>
          <w:b/>
          <w:sz w:val="20"/>
          <w:szCs w:val="20"/>
          <w:u w:val="single"/>
        </w:rPr>
      </w:pPr>
    </w:p>
    <w:p w:rsidR="00F148AD" w:rsidRDefault="00F148AD" w:rsidP="00023807">
      <w:pPr>
        <w:spacing w:after="0" w:line="240" w:lineRule="auto"/>
        <w:rPr>
          <w:rFonts w:ascii="Arial" w:hAnsi="Arial" w:cs="Arial"/>
          <w:b/>
          <w:sz w:val="20"/>
          <w:szCs w:val="20"/>
          <w:u w:val="single"/>
        </w:rPr>
      </w:pPr>
    </w:p>
    <w:p w:rsidR="00F148AD" w:rsidRDefault="00F148AD" w:rsidP="00023807">
      <w:pPr>
        <w:spacing w:after="0" w:line="240" w:lineRule="auto"/>
        <w:rPr>
          <w:rFonts w:ascii="Arial" w:hAnsi="Arial" w:cs="Arial"/>
          <w:b/>
          <w:sz w:val="20"/>
          <w:szCs w:val="20"/>
          <w:u w:val="single"/>
        </w:rPr>
      </w:pPr>
    </w:p>
    <w:p w:rsidR="00F148AD" w:rsidRDefault="00F148AD" w:rsidP="00023807">
      <w:pPr>
        <w:spacing w:after="0" w:line="240" w:lineRule="auto"/>
        <w:rPr>
          <w:rFonts w:ascii="Arial" w:hAnsi="Arial" w:cs="Arial"/>
          <w:b/>
          <w:sz w:val="20"/>
          <w:szCs w:val="20"/>
          <w:u w:val="single"/>
        </w:rPr>
      </w:pPr>
    </w:p>
    <w:p w:rsidR="00F148AD" w:rsidRDefault="00F148AD" w:rsidP="00023807">
      <w:pPr>
        <w:spacing w:after="0" w:line="240" w:lineRule="auto"/>
        <w:rPr>
          <w:rFonts w:ascii="Arial" w:hAnsi="Arial" w:cs="Arial"/>
          <w:b/>
          <w:sz w:val="20"/>
          <w:szCs w:val="20"/>
          <w:u w:val="single"/>
        </w:rPr>
      </w:pPr>
    </w:p>
    <w:p w:rsidR="00F148AD" w:rsidRDefault="00F148AD" w:rsidP="00023807">
      <w:pPr>
        <w:spacing w:after="0" w:line="240" w:lineRule="auto"/>
        <w:rPr>
          <w:rFonts w:ascii="Arial" w:hAnsi="Arial" w:cs="Arial"/>
          <w:b/>
          <w:sz w:val="20"/>
          <w:szCs w:val="20"/>
          <w:u w:val="single"/>
        </w:rPr>
      </w:pPr>
    </w:p>
    <w:p w:rsidR="00F148AD" w:rsidRDefault="00F148AD" w:rsidP="00023807">
      <w:pPr>
        <w:spacing w:after="0" w:line="240" w:lineRule="auto"/>
        <w:rPr>
          <w:rFonts w:ascii="Arial" w:hAnsi="Arial" w:cs="Arial"/>
          <w:b/>
          <w:sz w:val="20"/>
          <w:szCs w:val="20"/>
          <w:u w:val="single"/>
        </w:rPr>
      </w:pPr>
    </w:p>
    <w:tbl>
      <w:tblPr>
        <w:tblStyle w:val="TableGrid"/>
        <w:tblW w:w="0" w:type="auto"/>
        <w:jc w:val="center"/>
        <w:tblLook w:val="04A0" w:firstRow="1" w:lastRow="0" w:firstColumn="1" w:lastColumn="0" w:noHBand="0" w:noVBand="1"/>
      </w:tblPr>
      <w:tblGrid>
        <w:gridCol w:w="2943"/>
        <w:gridCol w:w="2977"/>
        <w:gridCol w:w="1701"/>
        <w:gridCol w:w="1621"/>
      </w:tblGrid>
      <w:tr w:rsidR="00F148AD" w:rsidRPr="00DC1041" w:rsidTr="009E63BE">
        <w:trPr>
          <w:jc w:val="center"/>
        </w:trPr>
        <w:tc>
          <w:tcPr>
            <w:tcW w:w="2943" w:type="dxa"/>
            <w:shd w:val="clear" w:color="auto" w:fill="F2F2F2" w:themeFill="background1" w:themeFillShade="F2"/>
          </w:tcPr>
          <w:p w:rsidR="00F148AD" w:rsidRPr="00DC1041" w:rsidRDefault="00F148AD" w:rsidP="00FA2C75">
            <w:pPr>
              <w:spacing w:before="60" w:after="60"/>
              <w:jc w:val="center"/>
              <w:rPr>
                <w:rFonts w:ascii="Arial" w:hAnsi="Arial" w:cs="Arial"/>
                <w:b/>
                <w:sz w:val="20"/>
                <w:szCs w:val="20"/>
              </w:rPr>
            </w:pPr>
            <w:r w:rsidRPr="00DC1041">
              <w:rPr>
                <w:rFonts w:ascii="Arial" w:hAnsi="Arial" w:cs="Arial"/>
                <w:b/>
                <w:sz w:val="20"/>
                <w:szCs w:val="20"/>
              </w:rPr>
              <w:t>Licence Category</w:t>
            </w:r>
          </w:p>
        </w:tc>
        <w:tc>
          <w:tcPr>
            <w:tcW w:w="2977" w:type="dxa"/>
            <w:shd w:val="clear" w:color="auto" w:fill="F2F2F2" w:themeFill="background1" w:themeFillShade="F2"/>
          </w:tcPr>
          <w:p w:rsidR="00F148AD" w:rsidRPr="00DC1041" w:rsidRDefault="00F148AD" w:rsidP="00FA2C75">
            <w:pPr>
              <w:spacing w:before="60" w:after="60"/>
              <w:jc w:val="center"/>
              <w:rPr>
                <w:rFonts w:ascii="Arial" w:hAnsi="Arial" w:cs="Arial"/>
                <w:b/>
                <w:sz w:val="20"/>
                <w:szCs w:val="20"/>
              </w:rPr>
            </w:pPr>
            <w:r w:rsidRPr="00DC1041">
              <w:rPr>
                <w:rFonts w:ascii="Arial" w:hAnsi="Arial" w:cs="Arial"/>
                <w:b/>
                <w:sz w:val="20"/>
                <w:szCs w:val="20"/>
              </w:rPr>
              <w:t>Throughput</w:t>
            </w:r>
          </w:p>
        </w:tc>
        <w:tc>
          <w:tcPr>
            <w:tcW w:w="1701" w:type="dxa"/>
            <w:shd w:val="clear" w:color="auto" w:fill="F2F2F2" w:themeFill="background1" w:themeFillShade="F2"/>
          </w:tcPr>
          <w:p w:rsidR="00F148AD" w:rsidRDefault="00F148AD" w:rsidP="00FA2C75">
            <w:pPr>
              <w:spacing w:before="60" w:after="60"/>
              <w:jc w:val="center"/>
              <w:rPr>
                <w:rFonts w:ascii="Arial" w:hAnsi="Arial" w:cs="Arial"/>
                <w:b/>
                <w:sz w:val="20"/>
                <w:szCs w:val="20"/>
              </w:rPr>
            </w:pPr>
            <w:r w:rsidRPr="00DC1041">
              <w:rPr>
                <w:rFonts w:ascii="Arial" w:hAnsi="Arial" w:cs="Arial"/>
                <w:b/>
                <w:sz w:val="20"/>
                <w:szCs w:val="20"/>
              </w:rPr>
              <w:t>Current Fee</w:t>
            </w:r>
          </w:p>
          <w:p w:rsidR="00F148AD" w:rsidRPr="00DC1041" w:rsidRDefault="00F148AD" w:rsidP="00FA2C75">
            <w:pPr>
              <w:spacing w:before="60" w:after="60"/>
              <w:jc w:val="center"/>
              <w:rPr>
                <w:rFonts w:ascii="Arial" w:hAnsi="Arial" w:cs="Arial"/>
                <w:b/>
                <w:sz w:val="20"/>
                <w:szCs w:val="20"/>
              </w:rPr>
            </w:pPr>
            <w:r>
              <w:rPr>
                <w:rFonts w:ascii="Arial" w:hAnsi="Arial" w:cs="Arial"/>
                <w:b/>
                <w:sz w:val="20"/>
                <w:szCs w:val="20"/>
              </w:rPr>
              <w:t>$</w:t>
            </w:r>
          </w:p>
        </w:tc>
        <w:tc>
          <w:tcPr>
            <w:tcW w:w="1621" w:type="dxa"/>
            <w:shd w:val="clear" w:color="auto" w:fill="F2F2F2" w:themeFill="background1" w:themeFillShade="F2"/>
          </w:tcPr>
          <w:p w:rsidR="00F148AD" w:rsidRDefault="00F148AD" w:rsidP="00FA2C75">
            <w:pPr>
              <w:spacing w:before="60" w:after="60"/>
              <w:jc w:val="center"/>
              <w:rPr>
                <w:rFonts w:ascii="Arial" w:hAnsi="Arial" w:cs="Arial"/>
                <w:b/>
                <w:sz w:val="20"/>
                <w:szCs w:val="20"/>
              </w:rPr>
            </w:pPr>
            <w:r w:rsidRPr="00DC1041">
              <w:rPr>
                <w:rFonts w:ascii="Arial" w:hAnsi="Arial" w:cs="Arial"/>
                <w:b/>
                <w:sz w:val="20"/>
                <w:szCs w:val="20"/>
              </w:rPr>
              <w:t>Proposed Fee</w:t>
            </w:r>
          </w:p>
          <w:p w:rsidR="00F148AD" w:rsidRPr="00DC1041" w:rsidRDefault="00F148AD" w:rsidP="00FA2C75">
            <w:pPr>
              <w:spacing w:before="60" w:after="60"/>
              <w:jc w:val="center"/>
              <w:rPr>
                <w:rFonts w:ascii="Arial" w:hAnsi="Arial" w:cs="Arial"/>
                <w:b/>
                <w:sz w:val="20"/>
                <w:szCs w:val="20"/>
              </w:rPr>
            </w:pPr>
            <w:r>
              <w:rPr>
                <w:rFonts w:ascii="Arial" w:hAnsi="Arial" w:cs="Arial"/>
                <w:b/>
                <w:sz w:val="20"/>
                <w:szCs w:val="20"/>
              </w:rPr>
              <w:t>$</w:t>
            </w:r>
          </w:p>
        </w:tc>
      </w:tr>
      <w:tr w:rsidR="00F148AD" w:rsidRPr="00FC6804" w:rsidTr="001D5C15">
        <w:trPr>
          <w:jc w:val="center"/>
        </w:trPr>
        <w:tc>
          <w:tcPr>
            <w:tcW w:w="2943" w:type="dxa"/>
          </w:tcPr>
          <w:p w:rsidR="00F148AD" w:rsidRPr="00DC1041" w:rsidRDefault="00F148AD" w:rsidP="002F3443">
            <w:pPr>
              <w:spacing w:before="60" w:after="60"/>
              <w:rPr>
                <w:rFonts w:ascii="Arial" w:hAnsi="Arial" w:cs="Arial"/>
                <w:sz w:val="20"/>
                <w:szCs w:val="20"/>
              </w:rPr>
            </w:pPr>
            <w:r>
              <w:rPr>
                <w:rFonts w:ascii="Arial" w:hAnsi="Arial" w:cs="Arial"/>
                <w:sz w:val="20"/>
                <w:szCs w:val="20"/>
              </w:rPr>
              <w:t xml:space="preserve">Further Meat Processing </w:t>
            </w:r>
            <w:r w:rsidR="000738F7">
              <w:rPr>
                <w:rFonts w:ascii="Arial" w:hAnsi="Arial" w:cs="Arial"/>
                <w:sz w:val="20"/>
                <w:szCs w:val="20"/>
              </w:rPr>
              <w:t>*</w:t>
            </w:r>
          </w:p>
        </w:tc>
        <w:tc>
          <w:tcPr>
            <w:tcW w:w="2977" w:type="dxa"/>
            <w:vAlign w:val="center"/>
          </w:tcPr>
          <w:p w:rsidR="00F148AD" w:rsidRPr="00FC6804" w:rsidRDefault="00F148AD" w:rsidP="00F148AD">
            <w:pPr>
              <w:rPr>
                <w:rFonts w:ascii="Arial" w:eastAsia="Times New Roman" w:hAnsi="Arial" w:cs="Arial"/>
                <w:sz w:val="20"/>
                <w:szCs w:val="20"/>
                <w:lang w:eastAsia="en-AU"/>
              </w:rPr>
            </w:pPr>
            <w:r w:rsidRPr="00FC6804">
              <w:rPr>
                <w:rFonts w:ascii="Arial" w:eastAsia="Times New Roman" w:hAnsi="Arial" w:cs="Arial"/>
                <w:sz w:val="20"/>
                <w:szCs w:val="20"/>
                <w:lang w:eastAsia="en-AU"/>
              </w:rPr>
              <w:t>Up to 250 tonnes</w:t>
            </w:r>
          </w:p>
        </w:tc>
        <w:tc>
          <w:tcPr>
            <w:tcW w:w="1701" w:type="dxa"/>
            <w:vAlign w:val="center"/>
          </w:tcPr>
          <w:p w:rsidR="00F148AD" w:rsidRPr="00FC6804" w:rsidRDefault="00F148AD" w:rsidP="00F148AD">
            <w:pPr>
              <w:jc w:val="center"/>
              <w:rPr>
                <w:rFonts w:ascii="Arial" w:eastAsia="Times New Roman" w:hAnsi="Arial" w:cs="Arial"/>
                <w:sz w:val="20"/>
                <w:szCs w:val="20"/>
                <w:lang w:eastAsia="en-AU"/>
              </w:rPr>
            </w:pPr>
            <w:r w:rsidRPr="00FC6804">
              <w:rPr>
                <w:rFonts w:ascii="Arial" w:eastAsia="Times New Roman" w:hAnsi="Arial" w:cs="Arial"/>
                <w:sz w:val="20"/>
                <w:szCs w:val="20"/>
                <w:lang w:eastAsia="en-AU"/>
              </w:rPr>
              <w:t>624</w:t>
            </w:r>
          </w:p>
        </w:tc>
        <w:tc>
          <w:tcPr>
            <w:tcW w:w="1621" w:type="dxa"/>
            <w:vAlign w:val="center"/>
          </w:tcPr>
          <w:p w:rsidR="00F148AD" w:rsidRPr="00FC6804" w:rsidRDefault="00F148AD" w:rsidP="00F148AD">
            <w:pPr>
              <w:jc w:val="center"/>
              <w:rPr>
                <w:rFonts w:ascii="Arial" w:eastAsia="Times New Roman" w:hAnsi="Arial" w:cs="Arial"/>
                <w:sz w:val="20"/>
                <w:szCs w:val="20"/>
                <w:lang w:eastAsia="en-AU"/>
              </w:rPr>
            </w:pPr>
            <w:r w:rsidRPr="00FC6804">
              <w:rPr>
                <w:rFonts w:ascii="Arial" w:hAnsi="Arial" w:cs="Arial"/>
                <w:color w:val="000000"/>
                <w:sz w:val="20"/>
                <w:szCs w:val="20"/>
              </w:rPr>
              <w:t>780</w:t>
            </w:r>
          </w:p>
        </w:tc>
      </w:tr>
      <w:tr w:rsidR="00F148AD" w:rsidRPr="00FC6804" w:rsidTr="001D5C15">
        <w:trPr>
          <w:jc w:val="center"/>
        </w:trPr>
        <w:tc>
          <w:tcPr>
            <w:tcW w:w="2943" w:type="dxa"/>
          </w:tcPr>
          <w:p w:rsidR="00F148AD" w:rsidRPr="00DC1041" w:rsidRDefault="00F148AD" w:rsidP="00F148AD">
            <w:pPr>
              <w:spacing w:before="60" w:after="60"/>
              <w:rPr>
                <w:rFonts w:ascii="Arial" w:hAnsi="Arial" w:cs="Arial"/>
                <w:sz w:val="20"/>
                <w:szCs w:val="20"/>
              </w:rPr>
            </w:pPr>
          </w:p>
        </w:tc>
        <w:tc>
          <w:tcPr>
            <w:tcW w:w="2977" w:type="dxa"/>
            <w:vAlign w:val="bottom"/>
          </w:tcPr>
          <w:p w:rsidR="00F148AD" w:rsidRPr="00FC6804" w:rsidRDefault="00F148AD" w:rsidP="00F148AD">
            <w:pPr>
              <w:spacing w:before="60" w:after="60"/>
              <w:rPr>
                <w:rFonts w:ascii="Arial" w:eastAsia="Times New Roman" w:hAnsi="Arial" w:cs="Arial"/>
                <w:sz w:val="20"/>
                <w:szCs w:val="20"/>
                <w:lang w:eastAsia="en-AU"/>
              </w:rPr>
            </w:pPr>
            <w:r w:rsidRPr="00FC6804">
              <w:rPr>
                <w:rFonts w:ascii="Arial" w:eastAsia="Times New Roman" w:hAnsi="Arial" w:cs="Arial"/>
                <w:sz w:val="20"/>
                <w:szCs w:val="20"/>
                <w:lang w:eastAsia="en-AU"/>
              </w:rPr>
              <w:t>251 to 500 tonnes</w:t>
            </w:r>
          </w:p>
        </w:tc>
        <w:tc>
          <w:tcPr>
            <w:tcW w:w="1701" w:type="dxa"/>
            <w:vAlign w:val="bottom"/>
          </w:tcPr>
          <w:p w:rsidR="00F148AD" w:rsidRPr="00FC6804" w:rsidRDefault="00F148AD" w:rsidP="00F148AD">
            <w:pPr>
              <w:spacing w:before="60" w:after="60"/>
              <w:jc w:val="center"/>
              <w:rPr>
                <w:rFonts w:ascii="Arial" w:eastAsia="Times New Roman" w:hAnsi="Arial" w:cs="Arial"/>
                <w:sz w:val="20"/>
                <w:szCs w:val="20"/>
                <w:lang w:eastAsia="en-AU"/>
              </w:rPr>
            </w:pPr>
            <w:r w:rsidRPr="00FC6804">
              <w:rPr>
                <w:rFonts w:ascii="Arial" w:eastAsia="Times New Roman" w:hAnsi="Arial" w:cs="Arial"/>
                <w:sz w:val="20"/>
                <w:szCs w:val="20"/>
                <w:lang w:eastAsia="en-AU"/>
              </w:rPr>
              <w:t>722</w:t>
            </w:r>
          </w:p>
        </w:tc>
        <w:tc>
          <w:tcPr>
            <w:tcW w:w="1621" w:type="dxa"/>
            <w:vAlign w:val="bottom"/>
          </w:tcPr>
          <w:p w:rsidR="00F148AD" w:rsidRPr="00FC6804" w:rsidRDefault="00F148AD" w:rsidP="00F148AD">
            <w:pPr>
              <w:spacing w:before="60" w:after="60"/>
              <w:jc w:val="center"/>
              <w:rPr>
                <w:rFonts w:ascii="Arial" w:eastAsia="Times New Roman" w:hAnsi="Arial" w:cs="Arial"/>
                <w:sz w:val="20"/>
                <w:szCs w:val="20"/>
                <w:lang w:eastAsia="en-AU"/>
              </w:rPr>
            </w:pPr>
            <w:r w:rsidRPr="00FC6804">
              <w:rPr>
                <w:rFonts w:ascii="Arial" w:hAnsi="Arial" w:cs="Arial"/>
                <w:color w:val="000000"/>
                <w:sz w:val="20"/>
                <w:szCs w:val="20"/>
              </w:rPr>
              <w:t>903</w:t>
            </w:r>
          </w:p>
        </w:tc>
      </w:tr>
      <w:tr w:rsidR="00F148AD" w:rsidRPr="00FC6804" w:rsidTr="001D5C15">
        <w:trPr>
          <w:jc w:val="center"/>
        </w:trPr>
        <w:tc>
          <w:tcPr>
            <w:tcW w:w="2943" w:type="dxa"/>
          </w:tcPr>
          <w:p w:rsidR="00F148AD" w:rsidRPr="00DC1041" w:rsidRDefault="00F148AD" w:rsidP="00F148AD">
            <w:pPr>
              <w:spacing w:before="60" w:after="60"/>
              <w:rPr>
                <w:rFonts w:ascii="Arial" w:hAnsi="Arial" w:cs="Arial"/>
                <w:sz w:val="20"/>
                <w:szCs w:val="20"/>
              </w:rPr>
            </w:pPr>
          </w:p>
        </w:tc>
        <w:tc>
          <w:tcPr>
            <w:tcW w:w="2977" w:type="dxa"/>
            <w:vAlign w:val="bottom"/>
          </w:tcPr>
          <w:p w:rsidR="00F148AD" w:rsidRPr="00FC6804" w:rsidRDefault="00F148AD" w:rsidP="00F148AD">
            <w:pPr>
              <w:spacing w:before="60" w:after="60"/>
              <w:rPr>
                <w:rFonts w:ascii="Arial" w:eastAsia="Times New Roman" w:hAnsi="Arial" w:cs="Arial"/>
                <w:sz w:val="20"/>
                <w:szCs w:val="20"/>
                <w:lang w:eastAsia="en-AU"/>
              </w:rPr>
            </w:pPr>
            <w:r w:rsidRPr="00FC6804">
              <w:rPr>
                <w:rFonts w:ascii="Arial" w:eastAsia="Times New Roman" w:hAnsi="Arial" w:cs="Arial"/>
                <w:sz w:val="20"/>
                <w:szCs w:val="20"/>
                <w:lang w:eastAsia="en-AU"/>
              </w:rPr>
              <w:t>501 to 1,500 tonnes</w:t>
            </w:r>
          </w:p>
        </w:tc>
        <w:tc>
          <w:tcPr>
            <w:tcW w:w="1701" w:type="dxa"/>
            <w:vAlign w:val="bottom"/>
          </w:tcPr>
          <w:p w:rsidR="00F148AD" w:rsidRPr="00FC6804" w:rsidRDefault="00F148AD" w:rsidP="00F148AD">
            <w:pPr>
              <w:spacing w:before="60" w:after="60"/>
              <w:jc w:val="center"/>
              <w:rPr>
                <w:rFonts w:ascii="Arial" w:eastAsia="Times New Roman" w:hAnsi="Arial" w:cs="Arial"/>
                <w:sz w:val="20"/>
                <w:szCs w:val="20"/>
                <w:lang w:eastAsia="en-AU"/>
              </w:rPr>
            </w:pPr>
            <w:r w:rsidRPr="00FC6804">
              <w:rPr>
                <w:rFonts w:ascii="Arial" w:eastAsia="Times New Roman" w:hAnsi="Arial" w:cs="Arial"/>
                <w:sz w:val="20"/>
                <w:szCs w:val="20"/>
                <w:lang w:eastAsia="en-AU"/>
              </w:rPr>
              <w:t>1,085</w:t>
            </w:r>
          </w:p>
        </w:tc>
        <w:tc>
          <w:tcPr>
            <w:tcW w:w="1621" w:type="dxa"/>
            <w:vAlign w:val="bottom"/>
          </w:tcPr>
          <w:p w:rsidR="00F148AD" w:rsidRPr="00FC6804" w:rsidRDefault="00F148AD" w:rsidP="00F148AD">
            <w:pPr>
              <w:spacing w:before="60" w:after="60"/>
              <w:jc w:val="center"/>
              <w:rPr>
                <w:rFonts w:ascii="Arial" w:eastAsia="Times New Roman" w:hAnsi="Arial" w:cs="Arial"/>
                <w:sz w:val="20"/>
                <w:szCs w:val="20"/>
                <w:lang w:eastAsia="en-AU"/>
              </w:rPr>
            </w:pPr>
            <w:r w:rsidRPr="00FC6804">
              <w:rPr>
                <w:rFonts w:ascii="Arial" w:hAnsi="Arial" w:cs="Arial"/>
                <w:color w:val="000000"/>
                <w:sz w:val="20"/>
                <w:szCs w:val="20"/>
              </w:rPr>
              <w:t>1,356</w:t>
            </w:r>
          </w:p>
        </w:tc>
      </w:tr>
      <w:tr w:rsidR="00F148AD" w:rsidRPr="00FC6804" w:rsidTr="001D5C15">
        <w:trPr>
          <w:jc w:val="center"/>
        </w:trPr>
        <w:tc>
          <w:tcPr>
            <w:tcW w:w="2943" w:type="dxa"/>
          </w:tcPr>
          <w:p w:rsidR="00F148AD" w:rsidRPr="00DC1041" w:rsidRDefault="00F148AD" w:rsidP="00F148AD">
            <w:pPr>
              <w:spacing w:before="60" w:after="60"/>
              <w:rPr>
                <w:rFonts w:ascii="Arial" w:hAnsi="Arial" w:cs="Arial"/>
                <w:sz w:val="20"/>
                <w:szCs w:val="20"/>
              </w:rPr>
            </w:pPr>
          </w:p>
        </w:tc>
        <w:tc>
          <w:tcPr>
            <w:tcW w:w="2977" w:type="dxa"/>
            <w:vAlign w:val="bottom"/>
          </w:tcPr>
          <w:p w:rsidR="00F148AD" w:rsidRPr="00FC6804" w:rsidRDefault="00F148AD" w:rsidP="00F148AD">
            <w:pPr>
              <w:spacing w:before="60" w:after="60"/>
              <w:rPr>
                <w:rFonts w:ascii="Arial" w:eastAsia="Times New Roman" w:hAnsi="Arial" w:cs="Arial"/>
                <w:sz w:val="20"/>
                <w:szCs w:val="20"/>
                <w:lang w:eastAsia="en-AU"/>
              </w:rPr>
            </w:pPr>
            <w:r w:rsidRPr="00FC6804">
              <w:rPr>
                <w:rFonts w:ascii="Arial" w:eastAsia="Times New Roman" w:hAnsi="Arial" w:cs="Arial"/>
                <w:sz w:val="20"/>
                <w:szCs w:val="20"/>
                <w:lang w:eastAsia="en-AU"/>
              </w:rPr>
              <w:t>1,501 to 2,500 tonnes</w:t>
            </w:r>
          </w:p>
        </w:tc>
        <w:tc>
          <w:tcPr>
            <w:tcW w:w="1701" w:type="dxa"/>
            <w:vAlign w:val="bottom"/>
          </w:tcPr>
          <w:p w:rsidR="00F148AD" w:rsidRPr="00FC6804" w:rsidRDefault="00F148AD" w:rsidP="00F148AD">
            <w:pPr>
              <w:spacing w:before="60" w:after="60"/>
              <w:jc w:val="center"/>
              <w:rPr>
                <w:rFonts w:ascii="Arial" w:eastAsia="Times New Roman" w:hAnsi="Arial" w:cs="Arial"/>
                <w:sz w:val="20"/>
                <w:szCs w:val="20"/>
                <w:lang w:eastAsia="en-AU"/>
              </w:rPr>
            </w:pPr>
            <w:r w:rsidRPr="00FC6804">
              <w:rPr>
                <w:rFonts w:ascii="Arial" w:eastAsia="Times New Roman" w:hAnsi="Arial" w:cs="Arial"/>
                <w:sz w:val="20"/>
                <w:szCs w:val="20"/>
                <w:lang w:eastAsia="en-AU"/>
              </w:rPr>
              <w:t>1,448</w:t>
            </w:r>
          </w:p>
        </w:tc>
        <w:tc>
          <w:tcPr>
            <w:tcW w:w="1621" w:type="dxa"/>
            <w:vAlign w:val="bottom"/>
          </w:tcPr>
          <w:p w:rsidR="00F148AD" w:rsidRPr="00FC6804" w:rsidRDefault="00F148AD" w:rsidP="00F148AD">
            <w:pPr>
              <w:spacing w:before="60" w:after="60"/>
              <w:jc w:val="center"/>
              <w:rPr>
                <w:rFonts w:ascii="Arial" w:eastAsia="Times New Roman" w:hAnsi="Arial" w:cs="Arial"/>
                <w:sz w:val="20"/>
                <w:szCs w:val="20"/>
                <w:lang w:eastAsia="en-AU"/>
              </w:rPr>
            </w:pPr>
            <w:r w:rsidRPr="00FC6804">
              <w:rPr>
                <w:rFonts w:ascii="Arial" w:hAnsi="Arial" w:cs="Arial"/>
                <w:color w:val="000000"/>
                <w:sz w:val="20"/>
                <w:szCs w:val="20"/>
              </w:rPr>
              <w:t>1,810</w:t>
            </w:r>
          </w:p>
        </w:tc>
      </w:tr>
      <w:tr w:rsidR="00F148AD" w:rsidRPr="00FC6804" w:rsidTr="001D5C15">
        <w:trPr>
          <w:jc w:val="center"/>
        </w:trPr>
        <w:tc>
          <w:tcPr>
            <w:tcW w:w="2943" w:type="dxa"/>
          </w:tcPr>
          <w:p w:rsidR="00F148AD" w:rsidRPr="00DC1041" w:rsidRDefault="00F148AD" w:rsidP="00F148AD">
            <w:pPr>
              <w:spacing w:before="60" w:after="60"/>
              <w:rPr>
                <w:rFonts w:ascii="Arial" w:hAnsi="Arial" w:cs="Arial"/>
                <w:sz w:val="20"/>
                <w:szCs w:val="20"/>
              </w:rPr>
            </w:pPr>
          </w:p>
        </w:tc>
        <w:tc>
          <w:tcPr>
            <w:tcW w:w="2977" w:type="dxa"/>
            <w:vAlign w:val="bottom"/>
          </w:tcPr>
          <w:p w:rsidR="00F148AD" w:rsidRPr="00FC6804" w:rsidRDefault="00F148AD" w:rsidP="00F148AD">
            <w:pPr>
              <w:spacing w:before="60" w:after="60"/>
              <w:rPr>
                <w:rFonts w:ascii="Arial" w:eastAsia="Times New Roman" w:hAnsi="Arial" w:cs="Arial"/>
                <w:sz w:val="20"/>
                <w:szCs w:val="20"/>
                <w:lang w:eastAsia="en-AU"/>
              </w:rPr>
            </w:pPr>
            <w:r w:rsidRPr="00FC6804">
              <w:rPr>
                <w:rFonts w:ascii="Arial" w:eastAsia="Times New Roman" w:hAnsi="Arial" w:cs="Arial"/>
                <w:sz w:val="20"/>
                <w:szCs w:val="20"/>
                <w:lang w:eastAsia="en-AU"/>
              </w:rPr>
              <w:t>2,501 to 5,000 tonnes</w:t>
            </w:r>
          </w:p>
        </w:tc>
        <w:tc>
          <w:tcPr>
            <w:tcW w:w="1701" w:type="dxa"/>
            <w:vAlign w:val="bottom"/>
          </w:tcPr>
          <w:p w:rsidR="00F148AD" w:rsidRPr="00FC6804" w:rsidRDefault="00F148AD" w:rsidP="00F148AD">
            <w:pPr>
              <w:spacing w:before="60" w:after="60"/>
              <w:jc w:val="center"/>
              <w:rPr>
                <w:rFonts w:ascii="Arial" w:eastAsia="Times New Roman" w:hAnsi="Arial" w:cs="Arial"/>
                <w:sz w:val="20"/>
                <w:szCs w:val="20"/>
                <w:lang w:eastAsia="en-AU"/>
              </w:rPr>
            </w:pPr>
            <w:r w:rsidRPr="00FC6804">
              <w:rPr>
                <w:rFonts w:ascii="Arial" w:eastAsia="Times New Roman" w:hAnsi="Arial" w:cs="Arial"/>
                <w:sz w:val="20"/>
                <w:szCs w:val="20"/>
                <w:lang w:eastAsia="en-AU"/>
              </w:rPr>
              <w:t>1,814</w:t>
            </w:r>
          </w:p>
        </w:tc>
        <w:tc>
          <w:tcPr>
            <w:tcW w:w="1621" w:type="dxa"/>
            <w:vAlign w:val="bottom"/>
          </w:tcPr>
          <w:p w:rsidR="00F148AD" w:rsidRPr="00FC6804" w:rsidRDefault="00F148AD" w:rsidP="00F148AD">
            <w:pPr>
              <w:spacing w:before="60" w:after="60"/>
              <w:jc w:val="center"/>
              <w:rPr>
                <w:rFonts w:ascii="Arial" w:eastAsia="Times New Roman" w:hAnsi="Arial" w:cs="Arial"/>
                <w:sz w:val="20"/>
                <w:szCs w:val="20"/>
                <w:lang w:eastAsia="en-AU"/>
              </w:rPr>
            </w:pPr>
            <w:r w:rsidRPr="00FC6804">
              <w:rPr>
                <w:rFonts w:ascii="Arial" w:hAnsi="Arial" w:cs="Arial"/>
                <w:color w:val="000000"/>
                <w:sz w:val="20"/>
                <w:szCs w:val="20"/>
              </w:rPr>
              <w:t>2,268</w:t>
            </w:r>
          </w:p>
        </w:tc>
      </w:tr>
      <w:tr w:rsidR="00F148AD" w:rsidRPr="00FC6804" w:rsidTr="001D5C15">
        <w:trPr>
          <w:jc w:val="center"/>
        </w:trPr>
        <w:tc>
          <w:tcPr>
            <w:tcW w:w="2943" w:type="dxa"/>
          </w:tcPr>
          <w:p w:rsidR="00F148AD" w:rsidRPr="00DC1041" w:rsidRDefault="00F148AD" w:rsidP="00F148AD">
            <w:pPr>
              <w:spacing w:before="60" w:after="60"/>
              <w:rPr>
                <w:rFonts w:ascii="Arial" w:hAnsi="Arial" w:cs="Arial"/>
                <w:sz w:val="20"/>
                <w:szCs w:val="20"/>
              </w:rPr>
            </w:pPr>
          </w:p>
        </w:tc>
        <w:tc>
          <w:tcPr>
            <w:tcW w:w="2977" w:type="dxa"/>
            <w:vAlign w:val="bottom"/>
          </w:tcPr>
          <w:p w:rsidR="00F148AD" w:rsidRPr="00FC6804" w:rsidRDefault="00F148AD" w:rsidP="00F148AD">
            <w:pPr>
              <w:spacing w:before="60" w:after="60"/>
              <w:rPr>
                <w:rFonts w:ascii="Arial" w:eastAsia="Times New Roman" w:hAnsi="Arial" w:cs="Arial"/>
                <w:sz w:val="20"/>
                <w:szCs w:val="20"/>
                <w:lang w:eastAsia="en-AU"/>
              </w:rPr>
            </w:pPr>
            <w:r w:rsidRPr="00FC6804">
              <w:rPr>
                <w:rFonts w:ascii="Arial" w:eastAsia="Times New Roman" w:hAnsi="Arial" w:cs="Arial"/>
                <w:sz w:val="20"/>
                <w:szCs w:val="20"/>
                <w:lang w:eastAsia="en-AU"/>
              </w:rPr>
              <w:t>Over 5,000 tonnes</w:t>
            </w:r>
          </w:p>
        </w:tc>
        <w:tc>
          <w:tcPr>
            <w:tcW w:w="1701" w:type="dxa"/>
            <w:vAlign w:val="bottom"/>
          </w:tcPr>
          <w:p w:rsidR="00F148AD" w:rsidRPr="00FC6804" w:rsidRDefault="00F148AD" w:rsidP="00F148AD">
            <w:pPr>
              <w:spacing w:before="60" w:after="60"/>
              <w:jc w:val="center"/>
              <w:rPr>
                <w:rFonts w:ascii="Arial" w:eastAsia="Times New Roman" w:hAnsi="Arial" w:cs="Arial"/>
                <w:sz w:val="20"/>
                <w:szCs w:val="20"/>
                <w:lang w:eastAsia="en-AU"/>
              </w:rPr>
            </w:pPr>
            <w:r w:rsidRPr="00FC6804">
              <w:rPr>
                <w:rFonts w:ascii="Arial" w:eastAsia="Times New Roman" w:hAnsi="Arial" w:cs="Arial"/>
                <w:sz w:val="20"/>
                <w:szCs w:val="20"/>
                <w:lang w:eastAsia="en-AU"/>
              </w:rPr>
              <w:t>2,175</w:t>
            </w:r>
          </w:p>
        </w:tc>
        <w:tc>
          <w:tcPr>
            <w:tcW w:w="1621" w:type="dxa"/>
            <w:vAlign w:val="bottom"/>
          </w:tcPr>
          <w:p w:rsidR="00F148AD" w:rsidRPr="00FC6804" w:rsidRDefault="00F148AD" w:rsidP="00F148AD">
            <w:pPr>
              <w:spacing w:before="60" w:after="60"/>
              <w:jc w:val="center"/>
              <w:rPr>
                <w:rFonts w:ascii="Arial" w:eastAsia="Times New Roman" w:hAnsi="Arial" w:cs="Arial"/>
                <w:sz w:val="20"/>
                <w:szCs w:val="20"/>
                <w:lang w:eastAsia="en-AU"/>
              </w:rPr>
            </w:pPr>
            <w:r w:rsidRPr="00FC6804">
              <w:rPr>
                <w:rFonts w:ascii="Arial" w:hAnsi="Arial" w:cs="Arial"/>
                <w:color w:val="000000"/>
                <w:sz w:val="20"/>
                <w:szCs w:val="20"/>
              </w:rPr>
              <w:t>2,719</w:t>
            </w:r>
          </w:p>
        </w:tc>
      </w:tr>
    </w:tbl>
    <w:p w:rsidR="00F148AD" w:rsidRDefault="00F148AD" w:rsidP="00023807">
      <w:pPr>
        <w:spacing w:after="0" w:line="240" w:lineRule="auto"/>
        <w:rPr>
          <w:rFonts w:ascii="Arial" w:hAnsi="Arial" w:cs="Arial"/>
          <w:b/>
          <w:sz w:val="20"/>
          <w:szCs w:val="20"/>
          <w:u w:val="single"/>
        </w:rPr>
      </w:pPr>
    </w:p>
    <w:p w:rsidR="00595602" w:rsidRDefault="00595602" w:rsidP="00595602">
      <w:pPr>
        <w:spacing w:after="0" w:line="240" w:lineRule="auto"/>
        <w:rPr>
          <w:rFonts w:ascii="Arial" w:hAnsi="Arial" w:cs="Arial"/>
          <w:sz w:val="18"/>
          <w:szCs w:val="18"/>
        </w:rPr>
      </w:pPr>
      <w:r>
        <w:rPr>
          <w:rFonts w:ascii="Arial" w:hAnsi="Arial" w:cs="Arial"/>
          <w:sz w:val="18"/>
          <w:szCs w:val="18"/>
        </w:rPr>
        <w:t xml:space="preserve">* </w:t>
      </w:r>
      <w:r w:rsidRPr="008C552B">
        <w:rPr>
          <w:rFonts w:ascii="Arial" w:hAnsi="Arial" w:cs="Arial"/>
          <w:sz w:val="18"/>
          <w:szCs w:val="18"/>
        </w:rPr>
        <w:t>Note:</w:t>
      </w:r>
    </w:p>
    <w:p w:rsidR="00595602" w:rsidRPr="005846CF" w:rsidRDefault="00595602" w:rsidP="00595602">
      <w:pPr>
        <w:pStyle w:val="ListParagraph"/>
        <w:numPr>
          <w:ilvl w:val="0"/>
          <w:numId w:val="41"/>
        </w:numPr>
        <w:spacing w:after="0" w:line="240" w:lineRule="auto"/>
        <w:rPr>
          <w:rFonts w:ascii="Arial" w:hAnsi="Arial" w:cs="Arial"/>
          <w:sz w:val="18"/>
          <w:szCs w:val="18"/>
        </w:rPr>
      </w:pPr>
      <w:r w:rsidRPr="005846CF">
        <w:rPr>
          <w:rFonts w:ascii="Arial" w:hAnsi="Arial" w:cs="Arial"/>
          <w:sz w:val="18"/>
          <w:szCs w:val="18"/>
        </w:rPr>
        <w:t>Facilities supervised by the Department of Agriculture (DA) where DA accepts responsibility for all product placed on the domestic market will pay in accordance with the above fee schedule up to a maximum of $1,958.</w:t>
      </w:r>
    </w:p>
    <w:p w:rsidR="00595602" w:rsidRDefault="00595602" w:rsidP="00023807">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2943"/>
        <w:gridCol w:w="2977"/>
        <w:gridCol w:w="1701"/>
        <w:gridCol w:w="1621"/>
      </w:tblGrid>
      <w:tr w:rsidR="00F148AD" w:rsidRPr="00DC1041" w:rsidTr="009E63BE">
        <w:tc>
          <w:tcPr>
            <w:tcW w:w="2943" w:type="dxa"/>
            <w:shd w:val="clear" w:color="auto" w:fill="F2F2F2" w:themeFill="background1" w:themeFillShade="F2"/>
          </w:tcPr>
          <w:p w:rsidR="00F148AD" w:rsidRPr="00DC1041" w:rsidRDefault="00F148AD" w:rsidP="00FA2C75">
            <w:pPr>
              <w:spacing w:before="60" w:after="60"/>
              <w:jc w:val="center"/>
              <w:rPr>
                <w:rFonts w:ascii="Arial" w:hAnsi="Arial" w:cs="Arial"/>
                <w:b/>
                <w:sz w:val="20"/>
                <w:szCs w:val="20"/>
              </w:rPr>
            </w:pPr>
            <w:r w:rsidRPr="00DC1041">
              <w:rPr>
                <w:rFonts w:ascii="Arial" w:hAnsi="Arial" w:cs="Arial"/>
                <w:b/>
                <w:sz w:val="20"/>
                <w:szCs w:val="20"/>
              </w:rPr>
              <w:t>Licence Category</w:t>
            </w:r>
          </w:p>
        </w:tc>
        <w:tc>
          <w:tcPr>
            <w:tcW w:w="2977" w:type="dxa"/>
            <w:shd w:val="clear" w:color="auto" w:fill="F2F2F2" w:themeFill="background1" w:themeFillShade="F2"/>
          </w:tcPr>
          <w:p w:rsidR="00F148AD" w:rsidRPr="00DC1041" w:rsidRDefault="00F148AD" w:rsidP="00FA2C75">
            <w:pPr>
              <w:spacing w:before="60" w:after="60"/>
              <w:jc w:val="center"/>
              <w:rPr>
                <w:rFonts w:ascii="Arial" w:hAnsi="Arial" w:cs="Arial"/>
                <w:b/>
                <w:sz w:val="20"/>
                <w:szCs w:val="20"/>
              </w:rPr>
            </w:pPr>
            <w:r w:rsidRPr="00DC1041">
              <w:rPr>
                <w:rFonts w:ascii="Arial" w:hAnsi="Arial" w:cs="Arial"/>
                <w:b/>
                <w:sz w:val="20"/>
                <w:szCs w:val="20"/>
              </w:rPr>
              <w:t>Throughput</w:t>
            </w:r>
          </w:p>
        </w:tc>
        <w:tc>
          <w:tcPr>
            <w:tcW w:w="1701" w:type="dxa"/>
            <w:shd w:val="clear" w:color="auto" w:fill="F2F2F2" w:themeFill="background1" w:themeFillShade="F2"/>
          </w:tcPr>
          <w:p w:rsidR="00F148AD" w:rsidRDefault="00F148AD" w:rsidP="00FA2C75">
            <w:pPr>
              <w:spacing w:before="60" w:after="60"/>
              <w:jc w:val="center"/>
              <w:rPr>
                <w:rFonts w:ascii="Arial" w:hAnsi="Arial" w:cs="Arial"/>
                <w:b/>
                <w:sz w:val="20"/>
                <w:szCs w:val="20"/>
              </w:rPr>
            </w:pPr>
            <w:r w:rsidRPr="00DC1041">
              <w:rPr>
                <w:rFonts w:ascii="Arial" w:hAnsi="Arial" w:cs="Arial"/>
                <w:b/>
                <w:sz w:val="20"/>
                <w:szCs w:val="20"/>
              </w:rPr>
              <w:t>Current Fee</w:t>
            </w:r>
          </w:p>
          <w:p w:rsidR="00F148AD" w:rsidRPr="00DC1041" w:rsidRDefault="00F148AD" w:rsidP="00FA2C75">
            <w:pPr>
              <w:spacing w:before="60" w:after="60"/>
              <w:jc w:val="center"/>
              <w:rPr>
                <w:rFonts w:ascii="Arial" w:hAnsi="Arial" w:cs="Arial"/>
                <w:b/>
                <w:sz w:val="20"/>
                <w:szCs w:val="20"/>
              </w:rPr>
            </w:pPr>
            <w:r>
              <w:rPr>
                <w:rFonts w:ascii="Arial" w:hAnsi="Arial" w:cs="Arial"/>
                <w:b/>
                <w:sz w:val="20"/>
                <w:szCs w:val="20"/>
              </w:rPr>
              <w:t>$</w:t>
            </w:r>
          </w:p>
        </w:tc>
        <w:tc>
          <w:tcPr>
            <w:tcW w:w="1621" w:type="dxa"/>
            <w:shd w:val="clear" w:color="auto" w:fill="F2F2F2" w:themeFill="background1" w:themeFillShade="F2"/>
          </w:tcPr>
          <w:p w:rsidR="00F148AD" w:rsidRDefault="00F148AD" w:rsidP="00FA2C75">
            <w:pPr>
              <w:spacing w:before="60" w:after="60"/>
              <w:jc w:val="center"/>
              <w:rPr>
                <w:rFonts w:ascii="Arial" w:hAnsi="Arial" w:cs="Arial"/>
                <w:b/>
                <w:sz w:val="20"/>
                <w:szCs w:val="20"/>
              </w:rPr>
            </w:pPr>
            <w:r w:rsidRPr="00DC1041">
              <w:rPr>
                <w:rFonts w:ascii="Arial" w:hAnsi="Arial" w:cs="Arial"/>
                <w:b/>
                <w:sz w:val="20"/>
                <w:szCs w:val="20"/>
              </w:rPr>
              <w:t>Proposed Fee</w:t>
            </w:r>
          </w:p>
          <w:p w:rsidR="00F148AD" w:rsidRPr="00DC1041" w:rsidRDefault="00F148AD" w:rsidP="00FA2C75">
            <w:pPr>
              <w:spacing w:before="60" w:after="60"/>
              <w:jc w:val="center"/>
              <w:rPr>
                <w:rFonts w:ascii="Arial" w:hAnsi="Arial" w:cs="Arial"/>
                <w:b/>
                <w:sz w:val="20"/>
                <w:szCs w:val="20"/>
              </w:rPr>
            </w:pPr>
            <w:r>
              <w:rPr>
                <w:rFonts w:ascii="Arial" w:hAnsi="Arial" w:cs="Arial"/>
                <w:b/>
                <w:sz w:val="20"/>
                <w:szCs w:val="20"/>
              </w:rPr>
              <w:t>$</w:t>
            </w:r>
          </w:p>
        </w:tc>
      </w:tr>
      <w:tr w:rsidR="00F148AD" w:rsidRPr="00FC6804" w:rsidTr="001D5C15">
        <w:tc>
          <w:tcPr>
            <w:tcW w:w="2943" w:type="dxa"/>
          </w:tcPr>
          <w:p w:rsidR="00F148AD" w:rsidRPr="00DC1041" w:rsidRDefault="00F148AD" w:rsidP="00F148AD">
            <w:pPr>
              <w:spacing w:before="60" w:after="60"/>
              <w:rPr>
                <w:rFonts w:ascii="Arial" w:hAnsi="Arial" w:cs="Arial"/>
                <w:sz w:val="20"/>
                <w:szCs w:val="20"/>
              </w:rPr>
            </w:pPr>
            <w:r>
              <w:rPr>
                <w:rFonts w:ascii="Arial" w:hAnsi="Arial" w:cs="Arial"/>
                <w:sz w:val="20"/>
                <w:szCs w:val="20"/>
              </w:rPr>
              <w:t>Retail Butcher Shop</w:t>
            </w:r>
          </w:p>
        </w:tc>
        <w:tc>
          <w:tcPr>
            <w:tcW w:w="2977" w:type="dxa"/>
            <w:vAlign w:val="bottom"/>
          </w:tcPr>
          <w:p w:rsidR="00F148AD" w:rsidRPr="00FC6804" w:rsidRDefault="00F148AD" w:rsidP="00F148AD">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Not applicable</w:t>
            </w:r>
          </w:p>
        </w:tc>
        <w:tc>
          <w:tcPr>
            <w:tcW w:w="1701" w:type="dxa"/>
            <w:vAlign w:val="bottom"/>
          </w:tcPr>
          <w:p w:rsidR="00F148AD" w:rsidRPr="00FC6804" w:rsidRDefault="00F148AD" w:rsidP="00F148AD">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266</w:t>
            </w:r>
          </w:p>
        </w:tc>
        <w:tc>
          <w:tcPr>
            <w:tcW w:w="1621" w:type="dxa"/>
            <w:vAlign w:val="bottom"/>
          </w:tcPr>
          <w:p w:rsidR="00F148AD" w:rsidRPr="00FC6804" w:rsidRDefault="00F148AD" w:rsidP="00F148AD">
            <w:pPr>
              <w:spacing w:before="60" w:after="60"/>
              <w:jc w:val="center"/>
              <w:rPr>
                <w:rFonts w:ascii="Arial" w:eastAsia="Times New Roman" w:hAnsi="Arial" w:cs="Arial"/>
                <w:sz w:val="20"/>
                <w:szCs w:val="20"/>
                <w:lang w:eastAsia="en-AU"/>
              </w:rPr>
            </w:pPr>
            <w:r>
              <w:rPr>
                <w:rFonts w:ascii="Arial" w:hAnsi="Arial" w:cs="Arial"/>
                <w:color w:val="000000"/>
                <w:sz w:val="20"/>
                <w:szCs w:val="20"/>
              </w:rPr>
              <w:t>333</w:t>
            </w:r>
          </w:p>
        </w:tc>
      </w:tr>
    </w:tbl>
    <w:p w:rsidR="00F148AD" w:rsidRDefault="00F148AD" w:rsidP="00023807">
      <w:pPr>
        <w:spacing w:after="0" w:line="240" w:lineRule="auto"/>
        <w:rPr>
          <w:rFonts w:ascii="Arial" w:hAnsi="Arial" w:cs="Arial"/>
          <w:b/>
          <w:sz w:val="20"/>
          <w:szCs w:val="20"/>
          <w:u w:val="single"/>
        </w:rPr>
      </w:pPr>
    </w:p>
    <w:p w:rsidR="009E63BE" w:rsidRDefault="009E63BE" w:rsidP="00023807">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2943"/>
        <w:gridCol w:w="2977"/>
        <w:gridCol w:w="1701"/>
        <w:gridCol w:w="1621"/>
      </w:tblGrid>
      <w:tr w:rsidR="00F148AD" w:rsidRPr="00DC1041" w:rsidTr="009E63BE">
        <w:tc>
          <w:tcPr>
            <w:tcW w:w="2943" w:type="dxa"/>
            <w:shd w:val="clear" w:color="auto" w:fill="F2F2F2" w:themeFill="background1" w:themeFillShade="F2"/>
          </w:tcPr>
          <w:p w:rsidR="00F148AD" w:rsidRPr="00DC1041" w:rsidRDefault="00F148AD" w:rsidP="00FA2C75">
            <w:pPr>
              <w:spacing w:before="60" w:after="60"/>
              <w:jc w:val="center"/>
              <w:rPr>
                <w:rFonts w:ascii="Arial" w:hAnsi="Arial" w:cs="Arial"/>
                <w:b/>
                <w:sz w:val="20"/>
                <w:szCs w:val="20"/>
              </w:rPr>
            </w:pPr>
            <w:r w:rsidRPr="00DC1041">
              <w:rPr>
                <w:rFonts w:ascii="Arial" w:hAnsi="Arial" w:cs="Arial"/>
                <w:b/>
                <w:sz w:val="20"/>
                <w:szCs w:val="20"/>
              </w:rPr>
              <w:t>Licence Category</w:t>
            </w:r>
          </w:p>
        </w:tc>
        <w:tc>
          <w:tcPr>
            <w:tcW w:w="2977" w:type="dxa"/>
            <w:shd w:val="clear" w:color="auto" w:fill="F2F2F2" w:themeFill="background1" w:themeFillShade="F2"/>
          </w:tcPr>
          <w:p w:rsidR="00F148AD" w:rsidRPr="00DC1041" w:rsidRDefault="00F148AD" w:rsidP="00FA2C75">
            <w:pPr>
              <w:spacing w:before="60" w:after="60"/>
              <w:jc w:val="center"/>
              <w:rPr>
                <w:rFonts w:ascii="Arial" w:hAnsi="Arial" w:cs="Arial"/>
                <w:b/>
                <w:sz w:val="20"/>
                <w:szCs w:val="20"/>
              </w:rPr>
            </w:pPr>
            <w:r w:rsidRPr="00DC1041">
              <w:rPr>
                <w:rFonts w:ascii="Arial" w:hAnsi="Arial" w:cs="Arial"/>
                <w:b/>
                <w:sz w:val="20"/>
                <w:szCs w:val="20"/>
              </w:rPr>
              <w:t>Throughput</w:t>
            </w:r>
          </w:p>
        </w:tc>
        <w:tc>
          <w:tcPr>
            <w:tcW w:w="1701" w:type="dxa"/>
            <w:shd w:val="clear" w:color="auto" w:fill="F2F2F2" w:themeFill="background1" w:themeFillShade="F2"/>
          </w:tcPr>
          <w:p w:rsidR="00F148AD" w:rsidRDefault="00F148AD" w:rsidP="00FA2C75">
            <w:pPr>
              <w:spacing w:before="60" w:after="60"/>
              <w:jc w:val="center"/>
              <w:rPr>
                <w:rFonts w:ascii="Arial" w:hAnsi="Arial" w:cs="Arial"/>
                <w:b/>
                <w:sz w:val="20"/>
                <w:szCs w:val="20"/>
              </w:rPr>
            </w:pPr>
            <w:r w:rsidRPr="00DC1041">
              <w:rPr>
                <w:rFonts w:ascii="Arial" w:hAnsi="Arial" w:cs="Arial"/>
                <w:b/>
                <w:sz w:val="20"/>
                <w:szCs w:val="20"/>
              </w:rPr>
              <w:t>Current Fee</w:t>
            </w:r>
          </w:p>
          <w:p w:rsidR="00F148AD" w:rsidRPr="00DC1041" w:rsidRDefault="00F148AD" w:rsidP="00FA2C75">
            <w:pPr>
              <w:spacing w:before="60" w:after="60"/>
              <w:jc w:val="center"/>
              <w:rPr>
                <w:rFonts w:ascii="Arial" w:hAnsi="Arial" w:cs="Arial"/>
                <w:b/>
                <w:sz w:val="20"/>
                <w:szCs w:val="20"/>
              </w:rPr>
            </w:pPr>
            <w:r>
              <w:rPr>
                <w:rFonts w:ascii="Arial" w:hAnsi="Arial" w:cs="Arial"/>
                <w:b/>
                <w:sz w:val="20"/>
                <w:szCs w:val="20"/>
              </w:rPr>
              <w:t>$</w:t>
            </w:r>
          </w:p>
        </w:tc>
        <w:tc>
          <w:tcPr>
            <w:tcW w:w="1621" w:type="dxa"/>
            <w:shd w:val="clear" w:color="auto" w:fill="F2F2F2" w:themeFill="background1" w:themeFillShade="F2"/>
          </w:tcPr>
          <w:p w:rsidR="00F148AD" w:rsidRDefault="00F148AD" w:rsidP="00FA2C75">
            <w:pPr>
              <w:spacing w:before="60" w:after="60"/>
              <w:jc w:val="center"/>
              <w:rPr>
                <w:rFonts w:ascii="Arial" w:hAnsi="Arial" w:cs="Arial"/>
                <w:b/>
                <w:sz w:val="20"/>
                <w:szCs w:val="20"/>
              </w:rPr>
            </w:pPr>
            <w:r w:rsidRPr="00DC1041">
              <w:rPr>
                <w:rFonts w:ascii="Arial" w:hAnsi="Arial" w:cs="Arial"/>
                <w:b/>
                <w:sz w:val="20"/>
                <w:szCs w:val="20"/>
              </w:rPr>
              <w:t>Proposed Fee</w:t>
            </w:r>
          </w:p>
          <w:p w:rsidR="00F148AD" w:rsidRPr="00DC1041" w:rsidRDefault="00F148AD" w:rsidP="00FA2C75">
            <w:pPr>
              <w:spacing w:before="60" w:after="60"/>
              <w:jc w:val="center"/>
              <w:rPr>
                <w:rFonts w:ascii="Arial" w:hAnsi="Arial" w:cs="Arial"/>
                <w:b/>
                <w:sz w:val="20"/>
                <w:szCs w:val="20"/>
              </w:rPr>
            </w:pPr>
            <w:r>
              <w:rPr>
                <w:rFonts w:ascii="Arial" w:hAnsi="Arial" w:cs="Arial"/>
                <w:b/>
                <w:sz w:val="20"/>
                <w:szCs w:val="20"/>
              </w:rPr>
              <w:t>$</w:t>
            </w:r>
          </w:p>
        </w:tc>
      </w:tr>
      <w:tr w:rsidR="00F148AD" w:rsidRPr="00FC6804" w:rsidTr="001D5C15">
        <w:tc>
          <w:tcPr>
            <w:tcW w:w="2943" w:type="dxa"/>
          </w:tcPr>
          <w:p w:rsidR="00F148AD" w:rsidRPr="00DC1041" w:rsidRDefault="00F148AD" w:rsidP="00FA2C75">
            <w:pPr>
              <w:spacing w:before="60" w:after="60"/>
              <w:rPr>
                <w:rFonts w:ascii="Arial" w:hAnsi="Arial" w:cs="Arial"/>
                <w:sz w:val="20"/>
                <w:szCs w:val="20"/>
              </w:rPr>
            </w:pPr>
            <w:r>
              <w:rPr>
                <w:rFonts w:ascii="Arial" w:hAnsi="Arial" w:cs="Arial"/>
                <w:sz w:val="20"/>
                <w:szCs w:val="20"/>
              </w:rPr>
              <w:t>Pet Food Establishment</w:t>
            </w:r>
          </w:p>
        </w:tc>
        <w:tc>
          <w:tcPr>
            <w:tcW w:w="2977" w:type="dxa"/>
            <w:vAlign w:val="bottom"/>
          </w:tcPr>
          <w:p w:rsidR="00F148AD" w:rsidRPr="00FC6804" w:rsidRDefault="00F148AD" w:rsidP="00FA2C75">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Up to 50 tonnes</w:t>
            </w:r>
          </w:p>
        </w:tc>
        <w:tc>
          <w:tcPr>
            <w:tcW w:w="1701" w:type="dxa"/>
            <w:vAlign w:val="bottom"/>
          </w:tcPr>
          <w:p w:rsidR="00F148AD" w:rsidRPr="00FC6804" w:rsidRDefault="00F148AD" w:rsidP="00FA2C75">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266</w:t>
            </w:r>
          </w:p>
        </w:tc>
        <w:tc>
          <w:tcPr>
            <w:tcW w:w="1621" w:type="dxa"/>
            <w:vAlign w:val="bottom"/>
          </w:tcPr>
          <w:p w:rsidR="00F148AD" w:rsidRPr="00FC6804" w:rsidRDefault="00F148AD" w:rsidP="00FA2C75">
            <w:pPr>
              <w:spacing w:before="60" w:after="60"/>
              <w:jc w:val="center"/>
              <w:rPr>
                <w:rFonts w:ascii="Arial" w:eastAsia="Times New Roman" w:hAnsi="Arial" w:cs="Arial"/>
                <w:sz w:val="20"/>
                <w:szCs w:val="20"/>
                <w:lang w:eastAsia="en-AU"/>
              </w:rPr>
            </w:pPr>
            <w:r>
              <w:rPr>
                <w:rFonts w:ascii="Arial" w:hAnsi="Arial" w:cs="Arial"/>
                <w:color w:val="000000"/>
                <w:sz w:val="20"/>
                <w:szCs w:val="20"/>
              </w:rPr>
              <w:t>333</w:t>
            </w:r>
          </w:p>
        </w:tc>
      </w:tr>
      <w:tr w:rsidR="00F148AD" w:rsidRPr="00FC6804" w:rsidTr="001D5C15">
        <w:tc>
          <w:tcPr>
            <w:tcW w:w="2943" w:type="dxa"/>
          </w:tcPr>
          <w:p w:rsidR="00F148AD" w:rsidRDefault="00F148AD" w:rsidP="00FA2C75">
            <w:pPr>
              <w:spacing w:before="60" w:after="60"/>
              <w:rPr>
                <w:rFonts w:ascii="Arial" w:hAnsi="Arial" w:cs="Arial"/>
                <w:sz w:val="20"/>
                <w:szCs w:val="20"/>
              </w:rPr>
            </w:pPr>
          </w:p>
        </w:tc>
        <w:tc>
          <w:tcPr>
            <w:tcW w:w="2977" w:type="dxa"/>
            <w:vAlign w:val="bottom"/>
          </w:tcPr>
          <w:p w:rsidR="00F148AD" w:rsidRDefault="00F148AD" w:rsidP="00FA2C75">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51 to 150 tonnes</w:t>
            </w:r>
          </w:p>
        </w:tc>
        <w:tc>
          <w:tcPr>
            <w:tcW w:w="1701" w:type="dxa"/>
            <w:vAlign w:val="bottom"/>
          </w:tcPr>
          <w:p w:rsidR="00F148AD" w:rsidRDefault="00F148AD" w:rsidP="00F148AD">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902</w:t>
            </w:r>
          </w:p>
        </w:tc>
        <w:tc>
          <w:tcPr>
            <w:tcW w:w="1621" w:type="dxa"/>
            <w:vAlign w:val="bottom"/>
          </w:tcPr>
          <w:p w:rsidR="00F148AD" w:rsidRDefault="00F148AD" w:rsidP="00F148AD">
            <w:pPr>
              <w:spacing w:before="60" w:after="60"/>
              <w:jc w:val="center"/>
              <w:rPr>
                <w:rFonts w:ascii="Arial" w:hAnsi="Arial" w:cs="Arial"/>
                <w:color w:val="000000"/>
                <w:sz w:val="20"/>
                <w:szCs w:val="20"/>
              </w:rPr>
            </w:pPr>
          </w:p>
        </w:tc>
      </w:tr>
      <w:tr w:rsidR="00F148AD" w:rsidRPr="00FC6804" w:rsidTr="001D5C15">
        <w:tc>
          <w:tcPr>
            <w:tcW w:w="2943" w:type="dxa"/>
          </w:tcPr>
          <w:p w:rsidR="00F148AD" w:rsidRDefault="00F148AD" w:rsidP="00FA2C75">
            <w:pPr>
              <w:spacing w:before="60" w:after="60"/>
              <w:rPr>
                <w:rFonts w:ascii="Arial" w:hAnsi="Arial" w:cs="Arial"/>
                <w:sz w:val="20"/>
                <w:szCs w:val="20"/>
              </w:rPr>
            </w:pPr>
          </w:p>
        </w:tc>
        <w:tc>
          <w:tcPr>
            <w:tcW w:w="2977" w:type="dxa"/>
            <w:vAlign w:val="bottom"/>
          </w:tcPr>
          <w:p w:rsidR="00F148AD" w:rsidRDefault="00F148AD" w:rsidP="00FA2C75">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Over 150 tonnes</w:t>
            </w:r>
          </w:p>
        </w:tc>
        <w:tc>
          <w:tcPr>
            <w:tcW w:w="1701" w:type="dxa"/>
            <w:vAlign w:val="bottom"/>
          </w:tcPr>
          <w:p w:rsidR="00F148AD" w:rsidRDefault="00F148AD" w:rsidP="00F148AD">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1,814</w:t>
            </w:r>
          </w:p>
        </w:tc>
        <w:tc>
          <w:tcPr>
            <w:tcW w:w="1621" w:type="dxa"/>
            <w:vAlign w:val="bottom"/>
          </w:tcPr>
          <w:p w:rsidR="00F148AD" w:rsidRDefault="00F148AD" w:rsidP="00F148AD">
            <w:pPr>
              <w:spacing w:before="60" w:after="60"/>
              <w:jc w:val="center"/>
              <w:rPr>
                <w:rFonts w:ascii="Arial" w:hAnsi="Arial" w:cs="Arial"/>
                <w:color w:val="000000"/>
                <w:sz w:val="20"/>
                <w:szCs w:val="20"/>
              </w:rPr>
            </w:pPr>
          </w:p>
        </w:tc>
      </w:tr>
      <w:tr w:rsidR="00F148AD" w:rsidRPr="00FC6804" w:rsidTr="001D5C15">
        <w:tc>
          <w:tcPr>
            <w:tcW w:w="2943" w:type="dxa"/>
          </w:tcPr>
          <w:p w:rsidR="00F148AD" w:rsidRDefault="00F148AD" w:rsidP="00FA2C75">
            <w:pPr>
              <w:spacing w:before="60" w:after="60"/>
              <w:rPr>
                <w:rFonts w:ascii="Arial" w:hAnsi="Arial" w:cs="Arial"/>
                <w:sz w:val="20"/>
                <w:szCs w:val="20"/>
              </w:rPr>
            </w:pPr>
            <w:r>
              <w:rPr>
                <w:rFonts w:ascii="Arial" w:hAnsi="Arial" w:cs="Arial"/>
                <w:sz w:val="20"/>
                <w:szCs w:val="20"/>
              </w:rPr>
              <w:t>Pet Meat Processing</w:t>
            </w:r>
          </w:p>
        </w:tc>
        <w:tc>
          <w:tcPr>
            <w:tcW w:w="2977" w:type="dxa"/>
            <w:vAlign w:val="bottom"/>
          </w:tcPr>
          <w:p w:rsidR="00F148AD" w:rsidRDefault="00F148AD" w:rsidP="00FA2C75">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Not applicable</w:t>
            </w:r>
          </w:p>
        </w:tc>
        <w:tc>
          <w:tcPr>
            <w:tcW w:w="1701" w:type="dxa"/>
            <w:vAlign w:val="bottom"/>
          </w:tcPr>
          <w:p w:rsidR="00F148AD" w:rsidRDefault="00F148AD" w:rsidP="00F148AD">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2,175</w:t>
            </w:r>
          </w:p>
        </w:tc>
        <w:tc>
          <w:tcPr>
            <w:tcW w:w="1621" w:type="dxa"/>
            <w:vAlign w:val="bottom"/>
          </w:tcPr>
          <w:p w:rsidR="00F148AD" w:rsidRDefault="00F148AD" w:rsidP="00F148AD">
            <w:pPr>
              <w:spacing w:before="60" w:after="60"/>
              <w:jc w:val="center"/>
              <w:rPr>
                <w:rFonts w:ascii="Arial" w:hAnsi="Arial" w:cs="Arial"/>
                <w:color w:val="000000"/>
                <w:sz w:val="20"/>
                <w:szCs w:val="20"/>
              </w:rPr>
            </w:pPr>
          </w:p>
        </w:tc>
      </w:tr>
    </w:tbl>
    <w:p w:rsidR="00DC1041" w:rsidRDefault="00DC1041" w:rsidP="00023807">
      <w:pPr>
        <w:spacing w:after="0" w:line="240" w:lineRule="auto"/>
        <w:rPr>
          <w:rFonts w:ascii="Arial" w:hAnsi="Arial" w:cs="Arial"/>
          <w:b/>
          <w:sz w:val="20"/>
          <w:szCs w:val="20"/>
          <w:u w:val="single"/>
        </w:rPr>
      </w:pPr>
    </w:p>
    <w:p w:rsidR="009E63BE" w:rsidRDefault="009E63BE" w:rsidP="00023807">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2943"/>
        <w:gridCol w:w="2977"/>
        <w:gridCol w:w="1701"/>
        <w:gridCol w:w="1621"/>
      </w:tblGrid>
      <w:tr w:rsidR="00F148AD" w:rsidRPr="00DC1041" w:rsidTr="009E63BE">
        <w:tc>
          <w:tcPr>
            <w:tcW w:w="2943" w:type="dxa"/>
            <w:shd w:val="clear" w:color="auto" w:fill="F2F2F2" w:themeFill="background1" w:themeFillShade="F2"/>
          </w:tcPr>
          <w:p w:rsidR="00F148AD" w:rsidRPr="00DC1041" w:rsidRDefault="00F148AD" w:rsidP="00FA2C75">
            <w:pPr>
              <w:spacing w:before="60" w:after="60"/>
              <w:jc w:val="center"/>
              <w:rPr>
                <w:rFonts w:ascii="Arial" w:hAnsi="Arial" w:cs="Arial"/>
                <w:b/>
                <w:sz w:val="20"/>
                <w:szCs w:val="20"/>
              </w:rPr>
            </w:pPr>
            <w:r w:rsidRPr="00DC1041">
              <w:rPr>
                <w:rFonts w:ascii="Arial" w:hAnsi="Arial" w:cs="Arial"/>
                <w:b/>
                <w:sz w:val="20"/>
                <w:szCs w:val="20"/>
              </w:rPr>
              <w:t>Licence Category</w:t>
            </w:r>
          </w:p>
        </w:tc>
        <w:tc>
          <w:tcPr>
            <w:tcW w:w="2977" w:type="dxa"/>
            <w:shd w:val="clear" w:color="auto" w:fill="F2F2F2" w:themeFill="background1" w:themeFillShade="F2"/>
          </w:tcPr>
          <w:p w:rsidR="00F148AD" w:rsidRPr="00DC1041" w:rsidRDefault="00F148AD" w:rsidP="00FA2C75">
            <w:pPr>
              <w:spacing w:before="60" w:after="60"/>
              <w:jc w:val="center"/>
              <w:rPr>
                <w:rFonts w:ascii="Arial" w:hAnsi="Arial" w:cs="Arial"/>
                <w:b/>
                <w:sz w:val="20"/>
                <w:szCs w:val="20"/>
              </w:rPr>
            </w:pPr>
            <w:r w:rsidRPr="00DC1041">
              <w:rPr>
                <w:rFonts w:ascii="Arial" w:hAnsi="Arial" w:cs="Arial"/>
                <w:b/>
                <w:sz w:val="20"/>
                <w:szCs w:val="20"/>
              </w:rPr>
              <w:t>Throughput</w:t>
            </w:r>
          </w:p>
        </w:tc>
        <w:tc>
          <w:tcPr>
            <w:tcW w:w="1701" w:type="dxa"/>
            <w:shd w:val="clear" w:color="auto" w:fill="F2F2F2" w:themeFill="background1" w:themeFillShade="F2"/>
          </w:tcPr>
          <w:p w:rsidR="00F148AD" w:rsidRDefault="00F148AD" w:rsidP="00FA2C75">
            <w:pPr>
              <w:spacing w:before="60" w:after="60"/>
              <w:jc w:val="center"/>
              <w:rPr>
                <w:rFonts w:ascii="Arial" w:hAnsi="Arial" w:cs="Arial"/>
                <w:b/>
                <w:sz w:val="20"/>
                <w:szCs w:val="20"/>
              </w:rPr>
            </w:pPr>
            <w:r w:rsidRPr="00DC1041">
              <w:rPr>
                <w:rFonts w:ascii="Arial" w:hAnsi="Arial" w:cs="Arial"/>
                <w:b/>
                <w:sz w:val="20"/>
                <w:szCs w:val="20"/>
              </w:rPr>
              <w:t>Current Fee</w:t>
            </w:r>
          </w:p>
          <w:p w:rsidR="00F148AD" w:rsidRPr="00DC1041" w:rsidRDefault="00F148AD" w:rsidP="00FA2C75">
            <w:pPr>
              <w:spacing w:before="60" w:after="60"/>
              <w:jc w:val="center"/>
              <w:rPr>
                <w:rFonts w:ascii="Arial" w:hAnsi="Arial" w:cs="Arial"/>
                <w:b/>
                <w:sz w:val="20"/>
                <w:szCs w:val="20"/>
              </w:rPr>
            </w:pPr>
            <w:r>
              <w:rPr>
                <w:rFonts w:ascii="Arial" w:hAnsi="Arial" w:cs="Arial"/>
                <w:b/>
                <w:sz w:val="20"/>
                <w:szCs w:val="20"/>
              </w:rPr>
              <w:t>$</w:t>
            </w:r>
          </w:p>
        </w:tc>
        <w:tc>
          <w:tcPr>
            <w:tcW w:w="1621" w:type="dxa"/>
            <w:shd w:val="clear" w:color="auto" w:fill="F2F2F2" w:themeFill="background1" w:themeFillShade="F2"/>
          </w:tcPr>
          <w:p w:rsidR="00F148AD" w:rsidRDefault="00F148AD" w:rsidP="00FA2C75">
            <w:pPr>
              <w:spacing w:before="60" w:after="60"/>
              <w:jc w:val="center"/>
              <w:rPr>
                <w:rFonts w:ascii="Arial" w:hAnsi="Arial" w:cs="Arial"/>
                <w:b/>
                <w:sz w:val="20"/>
                <w:szCs w:val="20"/>
              </w:rPr>
            </w:pPr>
            <w:r w:rsidRPr="00DC1041">
              <w:rPr>
                <w:rFonts w:ascii="Arial" w:hAnsi="Arial" w:cs="Arial"/>
                <w:b/>
                <w:sz w:val="20"/>
                <w:szCs w:val="20"/>
              </w:rPr>
              <w:t>Proposed Fee</w:t>
            </w:r>
          </w:p>
          <w:p w:rsidR="00F148AD" w:rsidRPr="00DC1041" w:rsidRDefault="00F148AD" w:rsidP="00FA2C75">
            <w:pPr>
              <w:spacing w:before="60" w:after="60"/>
              <w:jc w:val="center"/>
              <w:rPr>
                <w:rFonts w:ascii="Arial" w:hAnsi="Arial" w:cs="Arial"/>
                <w:b/>
                <w:sz w:val="20"/>
                <w:szCs w:val="20"/>
              </w:rPr>
            </w:pPr>
            <w:r>
              <w:rPr>
                <w:rFonts w:ascii="Arial" w:hAnsi="Arial" w:cs="Arial"/>
                <w:b/>
                <w:sz w:val="20"/>
                <w:szCs w:val="20"/>
              </w:rPr>
              <w:t>$</w:t>
            </w:r>
          </w:p>
        </w:tc>
      </w:tr>
      <w:tr w:rsidR="00F148AD" w:rsidRPr="00FC6804" w:rsidTr="001D5C15">
        <w:tc>
          <w:tcPr>
            <w:tcW w:w="2943" w:type="dxa"/>
          </w:tcPr>
          <w:p w:rsidR="00F148AD" w:rsidRPr="00DC1041" w:rsidRDefault="00F148AD" w:rsidP="00F148AD">
            <w:pPr>
              <w:spacing w:before="60" w:after="60"/>
              <w:rPr>
                <w:rFonts w:ascii="Arial" w:hAnsi="Arial" w:cs="Arial"/>
                <w:sz w:val="20"/>
                <w:szCs w:val="20"/>
              </w:rPr>
            </w:pPr>
            <w:r>
              <w:rPr>
                <w:rFonts w:ascii="Arial" w:hAnsi="Arial" w:cs="Arial"/>
                <w:sz w:val="20"/>
                <w:szCs w:val="20"/>
              </w:rPr>
              <w:t>Prime Tallow Processing</w:t>
            </w:r>
          </w:p>
        </w:tc>
        <w:tc>
          <w:tcPr>
            <w:tcW w:w="2977" w:type="dxa"/>
            <w:vAlign w:val="bottom"/>
          </w:tcPr>
          <w:p w:rsidR="00F148AD" w:rsidRDefault="00F148AD" w:rsidP="00F148AD">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Not applicable</w:t>
            </w:r>
          </w:p>
        </w:tc>
        <w:tc>
          <w:tcPr>
            <w:tcW w:w="1701" w:type="dxa"/>
            <w:vAlign w:val="bottom"/>
          </w:tcPr>
          <w:p w:rsidR="00F148AD" w:rsidRPr="00FC6804" w:rsidRDefault="00F148AD" w:rsidP="00F148AD">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3,053</w:t>
            </w:r>
          </w:p>
        </w:tc>
        <w:tc>
          <w:tcPr>
            <w:tcW w:w="1621" w:type="dxa"/>
            <w:vAlign w:val="bottom"/>
          </w:tcPr>
          <w:p w:rsidR="00F148AD" w:rsidRPr="00FC6804" w:rsidRDefault="00F148AD" w:rsidP="00F148AD">
            <w:pPr>
              <w:spacing w:before="60" w:after="60"/>
              <w:jc w:val="center"/>
              <w:rPr>
                <w:rFonts w:ascii="Arial" w:eastAsia="Times New Roman" w:hAnsi="Arial" w:cs="Arial"/>
                <w:sz w:val="20"/>
                <w:szCs w:val="20"/>
                <w:lang w:eastAsia="en-AU"/>
              </w:rPr>
            </w:pPr>
          </w:p>
        </w:tc>
      </w:tr>
      <w:tr w:rsidR="00F148AD" w:rsidTr="001D5C15">
        <w:tc>
          <w:tcPr>
            <w:tcW w:w="2943" w:type="dxa"/>
          </w:tcPr>
          <w:p w:rsidR="00F148AD" w:rsidRDefault="00F148AD" w:rsidP="00F148AD">
            <w:pPr>
              <w:spacing w:before="60" w:after="60"/>
              <w:rPr>
                <w:rFonts w:ascii="Arial" w:hAnsi="Arial" w:cs="Arial"/>
                <w:sz w:val="20"/>
                <w:szCs w:val="20"/>
              </w:rPr>
            </w:pPr>
            <w:r>
              <w:rPr>
                <w:rFonts w:ascii="Arial" w:hAnsi="Arial" w:cs="Arial"/>
                <w:sz w:val="20"/>
                <w:szCs w:val="20"/>
              </w:rPr>
              <w:t>Game Meat</w:t>
            </w:r>
          </w:p>
        </w:tc>
        <w:tc>
          <w:tcPr>
            <w:tcW w:w="2977" w:type="dxa"/>
            <w:vAlign w:val="bottom"/>
          </w:tcPr>
          <w:p w:rsidR="00F148AD" w:rsidRDefault="00F148AD" w:rsidP="00F148AD">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Not applicable</w:t>
            </w:r>
          </w:p>
        </w:tc>
        <w:tc>
          <w:tcPr>
            <w:tcW w:w="1701" w:type="dxa"/>
            <w:vAlign w:val="bottom"/>
          </w:tcPr>
          <w:p w:rsidR="00F148AD" w:rsidRDefault="00F148AD" w:rsidP="00F148AD">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821</w:t>
            </w:r>
          </w:p>
        </w:tc>
        <w:tc>
          <w:tcPr>
            <w:tcW w:w="1621" w:type="dxa"/>
            <w:vAlign w:val="bottom"/>
          </w:tcPr>
          <w:p w:rsidR="00F148AD" w:rsidRDefault="00F148AD" w:rsidP="00F148AD">
            <w:pPr>
              <w:spacing w:before="60" w:after="60"/>
              <w:jc w:val="center"/>
              <w:rPr>
                <w:rFonts w:ascii="Arial" w:hAnsi="Arial" w:cs="Arial"/>
                <w:color w:val="000000"/>
                <w:sz w:val="20"/>
                <w:szCs w:val="20"/>
              </w:rPr>
            </w:pPr>
          </w:p>
        </w:tc>
      </w:tr>
      <w:tr w:rsidR="00F148AD" w:rsidTr="001D5C15">
        <w:tc>
          <w:tcPr>
            <w:tcW w:w="2943" w:type="dxa"/>
          </w:tcPr>
          <w:p w:rsidR="00F148AD" w:rsidRDefault="00F148AD" w:rsidP="00F148AD">
            <w:pPr>
              <w:spacing w:before="60" w:after="60"/>
              <w:rPr>
                <w:rFonts w:ascii="Arial" w:hAnsi="Arial" w:cs="Arial"/>
                <w:sz w:val="20"/>
                <w:szCs w:val="20"/>
              </w:rPr>
            </w:pPr>
            <w:r>
              <w:rPr>
                <w:rFonts w:ascii="Arial" w:hAnsi="Arial" w:cs="Arial"/>
                <w:sz w:val="20"/>
                <w:szCs w:val="20"/>
              </w:rPr>
              <w:t>Inedible Rendering</w:t>
            </w:r>
          </w:p>
        </w:tc>
        <w:tc>
          <w:tcPr>
            <w:tcW w:w="2977" w:type="dxa"/>
            <w:vAlign w:val="bottom"/>
          </w:tcPr>
          <w:p w:rsidR="00F148AD" w:rsidRDefault="00F148AD" w:rsidP="00F148AD">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Not applicable</w:t>
            </w:r>
          </w:p>
        </w:tc>
        <w:tc>
          <w:tcPr>
            <w:tcW w:w="1701" w:type="dxa"/>
            <w:vAlign w:val="bottom"/>
          </w:tcPr>
          <w:p w:rsidR="00F148AD" w:rsidRDefault="00F148AD" w:rsidP="00F148AD">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2,287</w:t>
            </w:r>
          </w:p>
        </w:tc>
        <w:tc>
          <w:tcPr>
            <w:tcW w:w="1621" w:type="dxa"/>
            <w:vAlign w:val="bottom"/>
          </w:tcPr>
          <w:p w:rsidR="00F148AD" w:rsidRDefault="00F148AD" w:rsidP="00F148AD">
            <w:pPr>
              <w:spacing w:before="60" w:after="60"/>
              <w:jc w:val="center"/>
              <w:rPr>
                <w:rFonts w:ascii="Arial" w:hAnsi="Arial" w:cs="Arial"/>
                <w:color w:val="000000"/>
                <w:sz w:val="20"/>
                <w:szCs w:val="20"/>
              </w:rPr>
            </w:pPr>
          </w:p>
        </w:tc>
      </w:tr>
    </w:tbl>
    <w:p w:rsidR="00F148AD" w:rsidRDefault="00F148AD" w:rsidP="00023807">
      <w:pPr>
        <w:spacing w:after="0" w:line="240" w:lineRule="auto"/>
        <w:rPr>
          <w:rFonts w:ascii="Arial" w:hAnsi="Arial" w:cs="Arial"/>
          <w:b/>
          <w:sz w:val="20"/>
          <w:szCs w:val="20"/>
          <w:u w:val="single"/>
        </w:rPr>
      </w:pPr>
    </w:p>
    <w:p w:rsidR="009E63BE" w:rsidRDefault="009E63BE" w:rsidP="00023807">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2943"/>
        <w:gridCol w:w="2977"/>
        <w:gridCol w:w="1701"/>
        <w:gridCol w:w="1621"/>
      </w:tblGrid>
      <w:tr w:rsidR="00F148AD" w:rsidRPr="00DC1041" w:rsidTr="009E63BE">
        <w:tc>
          <w:tcPr>
            <w:tcW w:w="2943" w:type="dxa"/>
            <w:shd w:val="clear" w:color="auto" w:fill="F2F2F2" w:themeFill="background1" w:themeFillShade="F2"/>
          </w:tcPr>
          <w:p w:rsidR="00F148AD" w:rsidRPr="00DC1041" w:rsidRDefault="00F148AD" w:rsidP="00FA2C75">
            <w:pPr>
              <w:spacing w:before="60" w:after="60"/>
              <w:jc w:val="center"/>
              <w:rPr>
                <w:rFonts w:ascii="Arial" w:hAnsi="Arial" w:cs="Arial"/>
                <w:b/>
                <w:sz w:val="20"/>
                <w:szCs w:val="20"/>
              </w:rPr>
            </w:pPr>
            <w:r w:rsidRPr="00DC1041">
              <w:rPr>
                <w:rFonts w:ascii="Arial" w:hAnsi="Arial" w:cs="Arial"/>
                <w:b/>
                <w:sz w:val="20"/>
                <w:szCs w:val="20"/>
              </w:rPr>
              <w:t>Licence Category</w:t>
            </w:r>
          </w:p>
        </w:tc>
        <w:tc>
          <w:tcPr>
            <w:tcW w:w="2977" w:type="dxa"/>
            <w:shd w:val="clear" w:color="auto" w:fill="F2F2F2" w:themeFill="background1" w:themeFillShade="F2"/>
          </w:tcPr>
          <w:p w:rsidR="00F148AD" w:rsidRPr="00DC1041" w:rsidRDefault="00F148AD" w:rsidP="00FA2C75">
            <w:pPr>
              <w:spacing w:before="60" w:after="60"/>
              <w:jc w:val="center"/>
              <w:rPr>
                <w:rFonts w:ascii="Arial" w:hAnsi="Arial" w:cs="Arial"/>
                <w:b/>
                <w:sz w:val="20"/>
                <w:szCs w:val="20"/>
              </w:rPr>
            </w:pPr>
            <w:r w:rsidRPr="00DC1041">
              <w:rPr>
                <w:rFonts w:ascii="Arial" w:hAnsi="Arial" w:cs="Arial"/>
                <w:b/>
                <w:sz w:val="20"/>
                <w:szCs w:val="20"/>
              </w:rPr>
              <w:t>Throughput</w:t>
            </w:r>
          </w:p>
        </w:tc>
        <w:tc>
          <w:tcPr>
            <w:tcW w:w="1701" w:type="dxa"/>
            <w:shd w:val="clear" w:color="auto" w:fill="F2F2F2" w:themeFill="background1" w:themeFillShade="F2"/>
          </w:tcPr>
          <w:p w:rsidR="00F148AD" w:rsidRDefault="00F148AD" w:rsidP="00FA2C75">
            <w:pPr>
              <w:spacing w:before="60" w:after="60"/>
              <w:jc w:val="center"/>
              <w:rPr>
                <w:rFonts w:ascii="Arial" w:hAnsi="Arial" w:cs="Arial"/>
                <w:b/>
                <w:sz w:val="20"/>
                <w:szCs w:val="20"/>
              </w:rPr>
            </w:pPr>
            <w:r w:rsidRPr="00DC1041">
              <w:rPr>
                <w:rFonts w:ascii="Arial" w:hAnsi="Arial" w:cs="Arial"/>
                <w:b/>
                <w:sz w:val="20"/>
                <w:szCs w:val="20"/>
              </w:rPr>
              <w:t>Current Fee</w:t>
            </w:r>
          </w:p>
          <w:p w:rsidR="00F148AD" w:rsidRPr="00DC1041" w:rsidRDefault="00F148AD" w:rsidP="00FA2C75">
            <w:pPr>
              <w:spacing w:before="60" w:after="60"/>
              <w:jc w:val="center"/>
              <w:rPr>
                <w:rFonts w:ascii="Arial" w:hAnsi="Arial" w:cs="Arial"/>
                <w:b/>
                <w:sz w:val="20"/>
                <w:szCs w:val="20"/>
              </w:rPr>
            </w:pPr>
            <w:r>
              <w:rPr>
                <w:rFonts w:ascii="Arial" w:hAnsi="Arial" w:cs="Arial"/>
                <w:b/>
                <w:sz w:val="20"/>
                <w:szCs w:val="20"/>
              </w:rPr>
              <w:t>$</w:t>
            </w:r>
          </w:p>
        </w:tc>
        <w:tc>
          <w:tcPr>
            <w:tcW w:w="1621" w:type="dxa"/>
            <w:shd w:val="clear" w:color="auto" w:fill="F2F2F2" w:themeFill="background1" w:themeFillShade="F2"/>
          </w:tcPr>
          <w:p w:rsidR="00F148AD" w:rsidRDefault="00F148AD" w:rsidP="00FA2C75">
            <w:pPr>
              <w:spacing w:before="60" w:after="60"/>
              <w:jc w:val="center"/>
              <w:rPr>
                <w:rFonts w:ascii="Arial" w:hAnsi="Arial" w:cs="Arial"/>
                <w:b/>
                <w:sz w:val="20"/>
                <w:szCs w:val="20"/>
              </w:rPr>
            </w:pPr>
            <w:r w:rsidRPr="00DC1041">
              <w:rPr>
                <w:rFonts w:ascii="Arial" w:hAnsi="Arial" w:cs="Arial"/>
                <w:b/>
                <w:sz w:val="20"/>
                <w:szCs w:val="20"/>
              </w:rPr>
              <w:t>Proposed Fee</w:t>
            </w:r>
          </w:p>
          <w:p w:rsidR="00F148AD" w:rsidRPr="00DC1041" w:rsidRDefault="00F148AD" w:rsidP="00FA2C75">
            <w:pPr>
              <w:spacing w:before="60" w:after="60"/>
              <w:jc w:val="center"/>
              <w:rPr>
                <w:rFonts w:ascii="Arial" w:hAnsi="Arial" w:cs="Arial"/>
                <w:b/>
                <w:sz w:val="20"/>
                <w:szCs w:val="20"/>
              </w:rPr>
            </w:pPr>
            <w:r>
              <w:rPr>
                <w:rFonts w:ascii="Arial" w:hAnsi="Arial" w:cs="Arial"/>
                <w:b/>
                <w:sz w:val="20"/>
                <w:szCs w:val="20"/>
              </w:rPr>
              <w:t>$</w:t>
            </w:r>
          </w:p>
        </w:tc>
      </w:tr>
      <w:tr w:rsidR="00F148AD" w:rsidRPr="00FC6804" w:rsidTr="001D5C15">
        <w:tc>
          <w:tcPr>
            <w:tcW w:w="2943" w:type="dxa"/>
          </w:tcPr>
          <w:p w:rsidR="00F148AD" w:rsidRPr="00DC1041" w:rsidRDefault="00F148AD" w:rsidP="00FA2C75">
            <w:pPr>
              <w:spacing w:before="60" w:after="60"/>
              <w:rPr>
                <w:rFonts w:ascii="Arial" w:hAnsi="Arial" w:cs="Arial"/>
                <w:sz w:val="20"/>
                <w:szCs w:val="20"/>
              </w:rPr>
            </w:pPr>
            <w:r>
              <w:rPr>
                <w:rFonts w:ascii="Arial" w:hAnsi="Arial" w:cs="Arial"/>
                <w:sz w:val="20"/>
                <w:szCs w:val="20"/>
              </w:rPr>
              <w:t>Meat Transport Vehicle</w:t>
            </w:r>
          </w:p>
        </w:tc>
        <w:tc>
          <w:tcPr>
            <w:tcW w:w="2977" w:type="dxa"/>
            <w:vAlign w:val="bottom"/>
          </w:tcPr>
          <w:p w:rsidR="00F148AD" w:rsidRDefault="00F148AD" w:rsidP="00FA2C75">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Not applicable</w:t>
            </w:r>
          </w:p>
        </w:tc>
        <w:tc>
          <w:tcPr>
            <w:tcW w:w="1701" w:type="dxa"/>
            <w:vAlign w:val="bottom"/>
          </w:tcPr>
          <w:p w:rsidR="00F148AD" w:rsidRPr="00FC6804" w:rsidRDefault="00F148AD" w:rsidP="00FA2C75">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114</w:t>
            </w:r>
          </w:p>
        </w:tc>
        <w:tc>
          <w:tcPr>
            <w:tcW w:w="1621" w:type="dxa"/>
            <w:vAlign w:val="bottom"/>
          </w:tcPr>
          <w:p w:rsidR="00F148AD" w:rsidRPr="00FC6804" w:rsidRDefault="00F148AD" w:rsidP="00FA2C75">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143</w:t>
            </w:r>
          </w:p>
        </w:tc>
      </w:tr>
    </w:tbl>
    <w:p w:rsidR="00F148AD" w:rsidRDefault="00F148AD" w:rsidP="00023807">
      <w:pPr>
        <w:spacing w:after="0" w:line="240" w:lineRule="auto"/>
        <w:rPr>
          <w:rFonts w:ascii="Arial" w:hAnsi="Arial" w:cs="Arial"/>
          <w:b/>
          <w:sz w:val="20"/>
          <w:szCs w:val="20"/>
          <w:u w:val="single"/>
        </w:rPr>
      </w:pPr>
    </w:p>
    <w:p w:rsidR="00F148AD" w:rsidRDefault="00F148AD" w:rsidP="00023807">
      <w:pPr>
        <w:spacing w:after="0" w:line="240" w:lineRule="auto"/>
        <w:rPr>
          <w:rFonts w:ascii="Arial" w:hAnsi="Arial" w:cs="Arial"/>
          <w:b/>
          <w:sz w:val="20"/>
          <w:szCs w:val="20"/>
          <w:u w:val="single"/>
        </w:rPr>
      </w:pPr>
    </w:p>
    <w:p w:rsidR="00F148AD" w:rsidRDefault="00F148AD" w:rsidP="00023807">
      <w:pPr>
        <w:spacing w:after="0" w:line="240" w:lineRule="auto"/>
        <w:rPr>
          <w:rFonts w:ascii="Arial" w:hAnsi="Arial" w:cs="Arial"/>
          <w:b/>
          <w:sz w:val="20"/>
          <w:szCs w:val="20"/>
          <w:u w:val="single"/>
        </w:rPr>
      </w:pPr>
    </w:p>
    <w:p w:rsidR="00F148AD" w:rsidRDefault="00F148AD" w:rsidP="00023807">
      <w:pPr>
        <w:spacing w:after="0" w:line="240" w:lineRule="auto"/>
        <w:rPr>
          <w:rFonts w:ascii="Arial" w:hAnsi="Arial" w:cs="Arial"/>
          <w:b/>
          <w:sz w:val="20"/>
          <w:szCs w:val="20"/>
          <w:u w:val="single"/>
        </w:rPr>
      </w:pPr>
    </w:p>
    <w:p w:rsidR="00F148AD" w:rsidRDefault="00F148AD" w:rsidP="00023807">
      <w:pPr>
        <w:spacing w:after="0" w:line="240" w:lineRule="auto"/>
        <w:rPr>
          <w:rFonts w:ascii="Arial" w:hAnsi="Arial" w:cs="Arial"/>
          <w:b/>
          <w:sz w:val="20"/>
          <w:szCs w:val="20"/>
          <w:u w:val="single"/>
        </w:rPr>
      </w:pPr>
    </w:p>
    <w:p w:rsidR="002F3443" w:rsidRDefault="002F3443" w:rsidP="00023807">
      <w:pPr>
        <w:spacing w:after="0" w:line="240" w:lineRule="auto"/>
        <w:rPr>
          <w:rFonts w:ascii="Arial" w:hAnsi="Arial" w:cs="Arial"/>
          <w:b/>
          <w:sz w:val="20"/>
          <w:szCs w:val="20"/>
          <w:u w:val="single"/>
        </w:rPr>
      </w:pPr>
    </w:p>
    <w:p w:rsidR="00F148AD" w:rsidRDefault="00F148AD" w:rsidP="00023807">
      <w:pPr>
        <w:spacing w:after="0" w:line="240" w:lineRule="auto"/>
        <w:rPr>
          <w:rFonts w:ascii="Arial" w:hAnsi="Arial" w:cs="Arial"/>
          <w:b/>
          <w:sz w:val="20"/>
          <w:szCs w:val="20"/>
          <w:u w:val="single"/>
        </w:rPr>
      </w:pPr>
    </w:p>
    <w:p w:rsidR="00F148AD" w:rsidRDefault="00F148AD" w:rsidP="00023807">
      <w:pPr>
        <w:spacing w:after="0" w:line="240" w:lineRule="auto"/>
        <w:rPr>
          <w:rFonts w:ascii="Arial" w:hAnsi="Arial" w:cs="Arial"/>
          <w:b/>
          <w:sz w:val="20"/>
          <w:szCs w:val="20"/>
          <w:u w:val="single"/>
        </w:rPr>
      </w:pPr>
    </w:p>
    <w:p w:rsidR="00F148AD" w:rsidRDefault="00F148AD" w:rsidP="00023807">
      <w:pPr>
        <w:spacing w:after="0" w:line="240" w:lineRule="auto"/>
        <w:rPr>
          <w:rFonts w:ascii="Arial" w:hAnsi="Arial" w:cs="Arial"/>
          <w:b/>
          <w:sz w:val="20"/>
          <w:szCs w:val="20"/>
          <w:u w:val="single"/>
        </w:rPr>
      </w:pPr>
    </w:p>
    <w:p w:rsidR="00F148AD" w:rsidRDefault="00F148AD" w:rsidP="00023807">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3227"/>
        <w:gridCol w:w="2693"/>
        <w:gridCol w:w="1701"/>
        <w:gridCol w:w="1621"/>
      </w:tblGrid>
      <w:tr w:rsidR="002F3443" w:rsidRPr="00DC1041" w:rsidTr="009E63BE">
        <w:tc>
          <w:tcPr>
            <w:tcW w:w="3227" w:type="dxa"/>
            <w:shd w:val="clear" w:color="auto" w:fill="F2F2F2" w:themeFill="background1" w:themeFillShade="F2"/>
          </w:tcPr>
          <w:p w:rsidR="002F3443" w:rsidRPr="00DC1041" w:rsidRDefault="002F3443" w:rsidP="00FA2C75">
            <w:pPr>
              <w:spacing w:before="60" w:after="60"/>
              <w:jc w:val="center"/>
              <w:rPr>
                <w:rFonts w:ascii="Arial" w:hAnsi="Arial" w:cs="Arial"/>
                <w:b/>
                <w:sz w:val="20"/>
                <w:szCs w:val="20"/>
              </w:rPr>
            </w:pPr>
            <w:r w:rsidRPr="00DC1041">
              <w:rPr>
                <w:rFonts w:ascii="Arial" w:hAnsi="Arial" w:cs="Arial"/>
                <w:b/>
                <w:sz w:val="20"/>
                <w:szCs w:val="20"/>
              </w:rPr>
              <w:t>Licence Category</w:t>
            </w:r>
          </w:p>
        </w:tc>
        <w:tc>
          <w:tcPr>
            <w:tcW w:w="2693" w:type="dxa"/>
            <w:shd w:val="clear" w:color="auto" w:fill="F2F2F2" w:themeFill="background1" w:themeFillShade="F2"/>
          </w:tcPr>
          <w:p w:rsidR="002F3443" w:rsidRPr="00DC1041" w:rsidRDefault="002F3443" w:rsidP="00FA2C75">
            <w:pPr>
              <w:spacing w:before="60" w:after="60"/>
              <w:jc w:val="center"/>
              <w:rPr>
                <w:rFonts w:ascii="Arial" w:hAnsi="Arial" w:cs="Arial"/>
                <w:b/>
                <w:sz w:val="20"/>
                <w:szCs w:val="20"/>
              </w:rPr>
            </w:pPr>
            <w:r w:rsidRPr="00DC1041">
              <w:rPr>
                <w:rFonts w:ascii="Arial" w:hAnsi="Arial" w:cs="Arial"/>
                <w:b/>
                <w:sz w:val="20"/>
                <w:szCs w:val="20"/>
              </w:rPr>
              <w:t>Throughput</w:t>
            </w:r>
          </w:p>
        </w:tc>
        <w:tc>
          <w:tcPr>
            <w:tcW w:w="1701" w:type="dxa"/>
            <w:shd w:val="clear" w:color="auto" w:fill="F2F2F2" w:themeFill="background1" w:themeFillShade="F2"/>
          </w:tcPr>
          <w:p w:rsidR="002F3443" w:rsidRDefault="002F3443" w:rsidP="00FA2C75">
            <w:pPr>
              <w:spacing w:before="60" w:after="60"/>
              <w:jc w:val="center"/>
              <w:rPr>
                <w:rFonts w:ascii="Arial" w:hAnsi="Arial" w:cs="Arial"/>
                <w:b/>
                <w:sz w:val="20"/>
                <w:szCs w:val="20"/>
              </w:rPr>
            </w:pPr>
            <w:r w:rsidRPr="00DC1041">
              <w:rPr>
                <w:rFonts w:ascii="Arial" w:hAnsi="Arial" w:cs="Arial"/>
                <w:b/>
                <w:sz w:val="20"/>
                <w:szCs w:val="20"/>
              </w:rPr>
              <w:t>Current Fee</w:t>
            </w:r>
          </w:p>
          <w:p w:rsidR="002F3443" w:rsidRPr="00DC1041" w:rsidRDefault="002F3443" w:rsidP="00FA2C75">
            <w:pPr>
              <w:spacing w:before="60" w:after="60"/>
              <w:jc w:val="center"/>
              <w:rPr>
                <w:rFonts w:ascii="Arial" w:hAnsi="Arial" w:cs="Arial"/>
                <w:b/>
                <w:sz w:val="20"/>
                <w:szCs w:val="20"/>
              </w:rPr>
            </w:pPr>
            <w:r>
              <w:rPr>
                <w:rFonts w:ascii="Arial" w:hAnsi="Arial" w:cs="Arial"/>
                <w:b/>
                <w:sz w:val="20"/>
                <w:szCs w:val="20"/>
              </w:rPr>
              <w:t>$</w:t>
            </w:r>
          </w:p>
        </w:tc>
        <w:tc>
          <w:tcPr>
            <w:tcW w:w="1621" w:type="dxa"/>
            <w:shd w:val="clear" w:color="auto" w:fill="F2F2F2" w:themeFill="background1" w:themeFillShade="F2"/>
          </w:tcPr>
          <w:p w:rsidR="002F3443" w:rsidRDefault="002F3443" w:rsidP="00FA2C75">
            <w:pPr>
              <w:spacing w:before="60" w:after="60"/>
              <w:jc w:val="center"/>
              <w:rPr>
                <w:rFonts w:ascii="Arial" w:hAnsi="Arial" w:cs="Arial"/>
                <w:b/>
                <w:sz w:val="20"/>
                <w:szCs w:val="20"/>
              </w:rPr>
            </w:pPr>
            <w:r w:rsidRPr="00DC1041">
              <w:rPr>
                <w:rFonts w:ascii="Arial" w:hAnsi="Arial" w:cs="Arial"/>
                <w:b/>
                <w:sz w:val="20"/>
                <w:szCs w:val="20"/>
              </w:rPr>
              <w:t>Proposed Fee</w:t>
            </w:r>
          </w:p>
          <w:p w:rsidR="002F3443" w:rsidRPr="00DC1041" w:rsidRDefault="002F3443" w:rsidP="00FA2C75">
            <w:pPr>
              <w:spacing w:before="60" w:after="60"/>
              <w:jc w:val="center"/>
              <w:rPr>
                <w:rFonts w:ascii="Arial" w:hAnsi="Arial" w:cs="Arial"/>
                <w:b/>
                <w:sz w:val="20"/>
                <w:szCs w:val="20"/>
              </w:rPr>
            </w:pPr>
            <w:r>
              <w:rPr>
                <w:rFonts w:ascii="Arial" w:hAnsi="Arial" w:cs="Arial"/>
                <w:b/>
                <w:sz w:val="20"/>
                <w:szCs w:val="20"/>
              </w:rPr>
              <w:t>$</w:t>
            </w:r>
          </w:p>
        </w:tc>
      </w:tr>
      <w:tr w:rsidR="002F3443" w:rsidRPr="00FC6804" w:rsidTr="000738F7">
        <w:tc>
          <w:tcPr>
            <w:tcW w:w="3227" w:type="dxa"/>
          </w:tcPr>
          <w:p w:rsidR="002F3443" w:rsidRPr="00DC1041" w:rsidRDefault="002F3443" w:rsidP="00FA2C75">
            <w:pPr>
              <w:spacing w:before="60" w:after="60"/>
              <w:rPr>
                <w:rFonts w:ascii="Arial" w:hAnsi="Arial" w:cs="Arial"/>
                <w:sz w:val="20"/>
                <w:szCs w:val="20"/>
              </w:rPr>
            </w:pPr>
            <w:r>
              <w:rPr>
                <w:rFonts w:ascii="Arial" w:hAnsi="Arial" w:cs="Arial"/>
                <w:sz w:val="20"/>
                <w:szCs w:val="20"/>
              </w:rPr>
              <w:t>Wholesaler Category A</w:t>
            </w:r>
            <w:r w:rsidR="000738F7">
              <w:rPr>
                <w:rFonts w:ascii="Arial" w:hAnsi="Arial" w:cs="Arial"/>
                <w:sz w:val="20"/>
                <w:szCs w:val="20"/>
              </w:rPr>
              <w:t xml:space="preserve"> *</w:t>
            </w:r>
          </w:p>
        </w:tc>
        <w:tc>
          <w:tcPr>
            <w:tcW w:w="2693" w:type="dxa"/>
            <w:vAlign w:val="bottom"/>
          </w:tcPr>
          <w:p w:rsidR="002F3443" w:rsidRDefault="002F3443" w:rsidP="00FA2C75">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Up to 200 tonnes</w:t>
            </w:r>
          </w:p>
        </w:tc>
        <w:tc>
          <w:tcPr>
            <w:tcW w:w="1701" w:type="dxa"/>
            <w:vAlign w:val="bottom"/>
          </w:tcPr>
          <w:p w:rsidR="002F3443" w:rsidRPr="00FC6804" w:rsidRDefault="002F3443" w:rsidP="00FA2C75">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820</w:t>
            </w:r>
          </w:p>
        </w:tc>
        <w:tc>
          <w:tcPr>
            <w:tcW w:w="1621" w:type="dxa"/>
            <w:vAlign w:val="bottom"/>
          </w:tcPr>
          <w:p w:rsidR="002F3443" w:rsidRPr="00FC6804" w:rsidRDefault="00B4170F" w:rsidP="00FA2C75">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1,025</w:t>
            </w:r>
          </w:p>
        </w:tc>
      </w:tr>
      <w:tr w:rsidR="002F3443" w:rsidRPr="00FC6804" w:rsidTr="000738F7">
        <w:tc>
          <w:tcPr>
            <w:tcW w:w="3227" w:type="dxa"/>
          </w:tcPr>
          <w:p w:rsidR="002F3443" w:rsidRDefault="002F3443" w:rsidP="00FA2C75">
            <w:pPr>
              <w:spacing w:before="60" w:after="60"/>
              <w:rPr>
                <w:rFonts w:ascii="Arial" w:hAnsi="Arial" w:cs="Arial"/>
                <w:sz w:val="20"/>
                <w:szCs w:val="20"/>
              </w:rPr>
            </w:pPr>
          </w:p>
        </w:tc>
        <w:tc>
          <w:tcPr>
            <w:tcW w:w="2693" w:type="dxa"/>
            <w:vAlign w:val="bottom"/>
          </w:tcPr>
          <w:p w:rsidR="002F3443" w:rsidRDefault="002F3443" w:rsidP="00FA2C75">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201 to 400 tonnes</w:t>
            </w:r>
          </w:p>
        </w:tc>
        <w:tc>
          <w:tcPr>
            <w:tcW w:w="1701" w:type="dxa"/>
            <w:vAlign w:val="bottom"/>
          </w:tcPr>
          <w:p w:rsidR="002F3443" w:rsidRPr="00FC6804" w:rsidRDefault="002F3443" w:rsidP="00FA2C75">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1,232</w:t>
            </w:r>
          </w:p>
        </w:tc>
        <w:tc>
          <w:tcPr>
            <w:tcW w:w="1621" w:type="dxa"/>
            <w:vAlign w:val="bottom"/>
          </w:tcPr>
          <w:p w:rsidR="002F3443" w:rsidRPr="00FC6804" w:rsidRDefault="00B4170F" w:rsidP="00FA2C75">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1,540</w:t>
            </w:r>
          </w:p>
        </w:tc>
      </w:tr>
      <w:tr w:rsidR="002F3443" w:rsidRPr="00FC6804" w:rsidTr="000738F7">
        <w:tc>
          <w:tcPr>
            <w:tcW w:w="3227" w:type="dxa"/>
          </w:tcPr>
          <w:p w:rsidR="002F3443" w:rsidRDefault="002F3443" w:rsidP="00FA2C75">
            <w:pPr>
              <w:spacing w:before="60" w:after="60"/>
              <w:rPr>
                <w:rFonts w:ascii="Arial" w:hAnsi="Arial" w:cs="Arial"/>
                <w:sz w:val="20"/>
                <w:szCs w:val="20"/>
              </w:rPr>
            </w:pPr>
          </w:p>
        </w:tc>
        <w:tc>
          <w:tcPr>
            <w:tcW w:w="2693" w:type="dxa"/>
            <w:vAlign w:val="bottom"/>
          </w:tcPr>
          <w:p w:rsidR="002F3443" w:rsidRDefault="002F3443" w:rsidP="00FA2C75">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401 to 1,000 tonnes</w:t>
            </w:r>
          </w:p>
        </w:tc>
        <w:tc>
          <w:tcPr>
            <w:tcW w:w="1701" w:type="dxa"/>
            <w:vAlign w:val="bottom"/>
          </w:tcPr>
          <w:p w:rsidR="002F3443" w:rsidRPr="00FC6804" w:rsidRDefault="002F3443" w:rsidP="00FA2C75">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2,868</w:t>
            </w:r>
          </w:p>
        </w:tc>
        <w:tc>
          <w:tcPr>
            <w:tcW w:w="1621" w:type="dxa"/>
            <w:vAlign w:val="bottom"/>
          </w:tcPr>
          <w:p w:rsidR="002F3443" w:rsidRPr="00FC6804" w:rsidRDefault="00B4170F" w:rsidP="00FA2C75">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3,585</w:t>
            </w:r>
          </w:p>
        </w:tc>
      </w:tr>
      <w:tr w:rsidR="002F3443" w:rsidRPr="00FC6804" w:rsidTr="000738F7">
        <w:tc>
          <w:tcPr>
            <w:tcW w:w="3227" w:type="dxa"/>
          </w:tcPr>
          <w:p w:rsidR="002F3443" w:rsidRDefault="002F3443" w:rsidP="00FA2C75">
            <w:pPr>
              <w:spacing w:before="60" w:after="60"/>
              <w:rPr>
                <w:rFonts w:ascii="Arial" w:hAnsi="Arial" w:cs="Arial"/>
                <w:sz w:val="20"/>
                <w:szCs w:val="20"/>
              </w:rPr>
            </w:pPr>
          </w:p>
        </w:tc>
        <w:tc>
          <w:tcPr>
            <w:tcW w:w="2693" w:type="dxa"/>
            <w:vAlign w:val="bottom"/>
          </w:tcPr>
          <w:p w:rsidR="002F3443" w:rsidRDefault="002F3443" w:rsidP="00FA2C75">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1,001 to 2,000 tonnes</w:t>
            </w:r>
          </w:p>
        </w:tc>
        <w:tc>
          <w:tcPr>
            <w:tcW w:w="1701" w:type="dxa"/>
            <w:vAlign w:val="bottom"/>
          </w:tcPr>
          <w:p w:rsidR="002F3443" w:rsidRPr="00FC6804" w:rsidRDefault="002F3443" w:rsidP="00FA2C75">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6,151</w:t>
            </w:r>
          </w:p>
        </w:tc>
        <w:tc>
          <w:tcPr>
            <w:tcW w:w="1621" w:type="dxa"/>
            <w:vAlign w:val="bottom"/>
          </w:tcPr>
          <w:p w:rsidR="002F3443" w:rsidRPr="00FC6804" w:rsidRDefault="00B4170F" w:rsidP="00FA2C75">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7,689</w:t>
            </w:r>
          </w:p>
        </w:tc>
      </w:tr>
      <w:tr w:rsidR="002F3443" w:rsidRPr="00FC6804" w:rsidTr="000738F7">
        <w:tc>
          <w:tcPr>
            <w:tcW w:w="3227" w:type="dxa"/>
          </w:tcPr>
          <w:p w:rsidR="002F3443" w:rsidRDefault="002F3443" w:rsidP="00FA2C75">
            <w:pPr>
              <w:spacing w:before="60" w:after="60"/>
              <w:rPr>
                <w:rFonts w:ascii="Arial" w:hAnsi="Arial" w:cs="Arial"/>
                <w:sz w:val="20"/>
                <w:szCs w:val="20"/>
              </w:rPr>
            </w:pPr>
          </w:p>
        </w:tc>
        <w:tc>
          <w:tcPr>
            <w:tcW w:w="2693" w:type="dxa"/>
            <w:vAlign w:val="bottom"/>
          </w:tcPr>
          <w:p w:rsidR="002F3443" w:rsidRDefault="002F3443" w:rsidP="00FA2C75">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Over 2,000 tonnes</w:t>
            </w:r>
          </w:p>
        </w:tc>
        <w:tc>
          <w:tcPr>
            <w:tcW w:w="1701" w:type="dxa"/>
            <w:vAlign w:val="bottom"/>
          </w:tcPr>
          <w:p w:rsidR="002F3443" w:rsidRPr="00FC6804" w:rsidRDefault="002F3443" w:rsidP="002F3443">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8,199</w:t>
            </w:r>
          </w:p>
        </w:tc>
        <w:tc>
          <w:tcPr>
            <w:tcW w:w="1621" w:type="dxa"/>
            <w:vAlign w:val="bottom"/>
          </w:tcPr>
          <w:p w:rsidR="002F3443" w:rsidRPr="00FC6804" w:rsidRDefault="00B4170F" w:rsidP="00FA2C75">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10,249</w:t>
            </w:r>
          </w:p>
        </w:tc>
      </w:tr>
      <w:tr w:rsidR="00B4170F" w:rsidRPr="00FC6804" w:rsidTr="000738F7">
        <w:tc>
          <w:tcPr>
            <w:tcW w:w="3227" w:type="dxa"/>
          </w:tcPr>
          <w:p w:rsidR="00B4170F" w:rsidRDefault="00B4170F" w:rsidP="00B4170F">
            <w:pPr>
              <w:spacing w:before="60" w:after="60"/>
              <w:rPr>
                <w:rFonts w:ascii="Arial" w:hAnsi="Arial" w:cs="Arial"/>
                <w:sz w:val="20"/>
                <w:szCs w:val="20"/>
              </w:rPr>
            </w:pPr>
            <w:r>
              <w:rPr>
                <w:rFonts w:ascii="Arial" w:hAnsi="Arial" w:cs="Arial"/>
                <w:sz w:val="20"/>
                <w:szCs w:val="20"/>
              </w:rPr>
              <w:t>Wholesaler Category B</w:t>
            </w:r>
            <w:r w:rsidR="000738F7">
              <w:rPr>
                <w:rFonts w:ascii="Arial" w:hAnsi="Arial" w:cs="Arial"/>
                <w:sz w:val="20"/>
                <w:szCs w:val="20"/>
              </w:rPr>
              <w:t xml:space="preserve"> * </w:t>
            </w:r>
          </w:p>
        </w:tc>
        <w:tc>
          <w:tcPr>
            <w:tcW w:w="2693" w:type="dxa"/>
            <w:vAlign w:val="bottom"/>
          </w:tcPr>
          <w:p w:rsidR="00B4170F" w:rsidRDefault="00B4170F" w:rsidP="00B4170F">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Up to 75 tonnes</w:t>
            </w:r>
          </w:p>
        </w:tc>
        <w:tc>
          <w:tcPr>
            <w:tcW w:w="170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820</w:t>
            </w:r>
          </w:p>
        </w:tc>
        <w:tc>
          <w:tcPr>
            <w:tcW w:w="162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1,025</w:t>
            </w:r>
          </w:p>
        </w:tc>
      </w:tr>
      <w:tr w:rsidR="00B4170F" w:rsidRPr="00FC6804" w:rsidTr="000738F7">
        <w:tc>
          <w:tcPr>
            <w:tcW w:w="3227" w:type="dxa"/>
          </w:tcPr>
          <w:p w:rsidR="00B4170F" w:rsidRDefault="00B4170F" w:rsidP="00B4170F">
            <w:pPr>
              <w:spacing w:before="60" w:after="60"/>
              <w:rPr>
                <w:rFonts w:ascii="Arial" w:hAnsi="Arial" w:cs="Arial"/>
                <w:sz w:val="20"/>
                <w:szCs w:val="20"/>
              </w:rPr>
            </w:pPr>
          </w:p>
        </w:tc>
        <w:tc>
          <w:tcPr>
            <w:tcW w:w="2693" w:type="dxa"/>
            <w:vAlign w:val="bottom"/>
          </w:tcPr>
          <w:p w:rsidR="00B4170F" w:rsidRDefault="00B4170F" w:rsidP="00B4170F">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76 to 150 tonnes</w:t>
            </w:r>
          </w:p>
        </w:tc>
        <w:tc>
          <w:tcPr>
            <w:tcW w:w="170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1,232</w:t>
            </w:r>
          </w:p>
        </w:tc>
        <w:tc>
          <w:tcPr>
            <w:tcW w:w="162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1,540</w:t>
            </w:r>
          </w:p>
        </w:tc>
      </w:tr>
      <w:tr w:rsidR="00B4170F" w:rsidRPr="00FC6804" w:rsidTr="000738F7">
        <w:tc>
          <w:tcPr>
            <w:tcW w:w="3227" w:type="dxa"/>
          </w:tcPr>
          <w:p w:rsidR="00B4170F" w:rsidRDefault="00B4170F" w:rsidP="00B4170F">
            <w:pPr>
              <w:spacing w:before="60" w:after="60"/>
              <w:rPr>
                <w:rFonts w:ascii="Arial" w:hAnsi="Arial" w:cs="Arial"/>
                <w:sz w:val="20"/>
                <w:szCs w:val="20"/>
              </w:rPr>
            </w:pPr>
          </w:p>
        </w:tc>
        <w:tc>
          <w:tcPr>
            <w:tcW w:w="2693" w:type="dxa"/>
            <w:vAlign w:val="bottom"/>
          </w:tcPr>
          <w:p w:rsidR="00B4170F" w:rsidRDefault="00B4170F" w:rsidP="00B4170F">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151 to 350 tonnes</w:t>
            </w:r>
          </w:p>
        </w:tc>
        <w:tc>
          <w:tcPr>
            <w:tcW w:w="170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2,868</w:t>
            </w:r>
          </w:p>
        </w:tc>
        <w:tc>
          <w:tcPr>
            <w:tcW w:w="162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3,585</w:t>
            </w:r>
          </w:p>
        </w:tc>
      </w:tr>
      <w:tr w:rsidR="00B4170F" w:rsidRPr="00FC6804" w:rsidTr="000738F7">
        <w:tc>
          <w:tcPr>
            <w:tcW w:w="3227" w:type="dxa"/>
          </w:tcPr>
          <w:p w:rsidR="00B4170F" w:rsidRDefault="00B4170F" w:rsidP="00B4170F">
            <w:pPr>
              <w:spacing w:before="60" w:after="60"/>
              <w:rPr>
                <w:rFonts w:ascii="Arial" w:hAnsi="Arial" w:cs="Arial"/>
                <w:sz w:val="20"/>
                <w:szCs w:val="20"/>
              </w:rPr>
            </w:pPr>
          </w:p>
        </w:tc>
        <w:tc>
          <w:tcPr>
            <w:tcW w:w="2693" w:type="dxa"/>
            <w:vAlign w:val="bottom"/>
          </w:tcPr>
          <w:p w:rsidR="00B4170F" w:rsidRDefault="00B4170F" w:rsidP="00B4170F">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351 to 700 tonnes</w:t>
            </w:r>
          </w:p>
        </w:tc>
        <w:tc>
          <w:tcPr>
            <w:tcW w:w="170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6,151</w:t>
            </w:r>
          </w:p>
        </w:tc>
        <w:tc>
          <w:tcPr>
            <w:tcW w:w="162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7,689</w:t>
            </w:r>
          </w:p>
        </w:tc>
      </w:tr>
      <w:tr w:rsidR="00B4170F" w:rsidRPr="00FC6804" w:rsidTr="000738F7">
        <w:tc>
          <w:tcPr>
            <w:tcW w:w="3227" w:type="dxa"/>
          </w:tcPr>
          <w:p w:rsidR="00B4170F" w:rsidRDefault="00B4170F" w:rsidP="00B4170F">
            <w:pPr>
              <w:spacing w:before="60" w:after="60"/>
              <w:rPr>
                <w:rFonts w:ascii="Arial" w:hAnsi="Arial" w:cs="Arial"/>
                <w:sz w:val="20"/>
                <w:szCs w:val="20"/>
              </w:rPr>
            </w:pPr>
          </w:p>
        </w:tc>
        <w:tc>
          <w:tcPr>
            <w:tcW w:w="2693" w:type="dxa"/>
            <w:vAlign w:val="bottom"/>
          </w:tcPr>
          <w:p w:rsidR="00B4170F" w:rsidRDefault="00B4170F" w:rsidP="00B4170F">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Over 700 tonnes</w:t>
            </w:r>
          </w:p>
        </w:tc>
        <w:tc>
          <w:tcPr>
            <w:tcW w:w="170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8,199</w:t>
            </w:r>
          </w:p>
        </w:tc>
        <w:tc>
          <w:tcPr>
            <w:tcW w:w="162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10,249</w:t>
            </w:r>
          </w:p>
        </w:tc>
      </w:tr>
    </w:tbl>
    <w:p w:rsidR="009E63BE" w:rsidRDefault="009E63BE" w:rsidP="00023807">
      <w:pPr>
        <w:spacing w:after="0" w:line="240" w:lineRule="auto"/>
        <w:rPr>
          <w:rFonts w:ascii="Arial" w:hAnsi="Arial" w:cs="Arial"/>
          <w:b/>
          <w:sz w:val="20"/>
          <w:szCs w:val="20"/>
        </w:rPr>
      </w:pPr>
    </w:p>
    <w:tbl>
      <w:tblPr>
        <w:tblStyle w:val="TableGrid"/>
        <w:tblW w:w="0" w:type="auto"/>
        <w:tblLook w:val="04A0" w:firstRow="1" w:lastRow="0" w:firstColumn="1" w:lastColumn="0" w:noHBand="0" w:noVBand="1"/>
      </w:tblPr>
      <w:tblGrid>
        <w:gridCol w:w="3227"/>
        <w:gridCol w:w="2693"/>
        <w:gridCol w:w="1701"/>
        <w:gridCol w:w="1621"/>
      </w:tblGrid>
      <w:tr w:rsidR="002F3443" w:rsidRPr="00DC1041" w:rsidTr="009E63BE">
        <w:tc>
          <w:tcPr>
            <w:tcW w:w="3227" w:type="dxa"/>
            <w:shd w:val="clear" w:color="auto" w:fill="F2F2F2" w:themeFill="background1" w:themeFillShade="F2"/>
          </w:tcPr>
          <w:p w:rsidR="002F3443" w:rsidRPr="00DC1041" w:rsidRDefault="002F3443" w:rsidP="00FA2C75">
            <w:pPr>
              <w:spacing w:before="60" w:after="60"/>
              <w:jc w:val="center"/>
              <w:rPr>
                <w:rFonts w:ascii="Arial" w:hAnsi="Arial" w:cs="Arial"/>
                <w:b/>
                <w:sz w:val="20"/>
                <w:szCs w:val="20"/>
              </w:rPr>
            </w:pPr>
            <w:r w:rsidRPr="00DC1041">
              <w:rPr>
                <w:rFonts w:ascii="Arial" w:hAnsi="Arial" w:cs="Arial"/>
                <w:b/>
                <w:sz w:val="20"/>
                <w:szCs w:val="20"/>
              </w:rPr>
              <w:t>Licence Category</w:t>
            </w:r>
          </w:p>
        </w:tc>
        <w:tc>
          <w:tcPr>
            <w:tcW w:w="2693" w:type="dxa"/>
            <w:shd w:val="clear" w:color="auto" w:fill="F2F2F2" w:themeFill="background1" w:themeFillShade="F2"/>
          </w:tcPr>
          <w:p w:rsidR="002F3443" w:rsidRPr="00DC1041" w:rsidRDefault="002F3443" w:rsidP="00FA2C75">
            <w:pPr>
              <w:spacing w:before="60" w:after="60"/>
              <w:jc w:val="center"/>
              <w:rPr>
                <w:rFonts w:ascii="Arial" w:hAnsi="Arial" w:cs="Arial"/>
                <w:b/>
                <w:sz w:val="20"/>
                <w:szCs w:val="20"/>
              </w:rPr>
            </w:pPr>
            <w:r w:rsidRPr="00DC1041">
              <w:rPr>
                <w:rFonts w:ascii="Arial" w:hAnsi="Arial" w:cs="Arial"/>
                <w:b/>
                <w:sz w:val="20"/>
                <w:szCs w:val="20"/>
              </w:rPr>
              <w:t>Throughput</w:t>
            </w:r>
          </w:p>
        </w:tc>
        <w:tc>
          <w:tcPr>
            <w:tcW w:w="1701" w:type="dxa"/>
            <w:shd w:val="clear" w:color="auto" w:fill="F2F2F2" w:themeFill="background1" w:themeFillShade="F2"/>
          </w:tcPr>
          <w:p w:rsidR="002F3443" w:rsidRDefault="002F3443" w:rsidP="00FA2C75">
            <w:pPr>
              <w:spacing w:before="60" w:after="60"/>
              <w:jc w:val="center"/>
              <w:rPr>
                <w:rFonts w:ascii="Arial" w:hAnsi="Arial" w:cs="Arial"/>
                <w:b/>
                <w:sz w:val="20"/>
                <w:szCs w:val="20"/>
              </w:rPr>
            </w:pPr>
            <w:r w:rsidRPr="00DC1041">
              <w:rPr>
                <w:rFonts w:ascii="Arial" w:hAnsi="Arial" w:cs="Arial"/>
                <w:b/>
                <w:sz w:val="20"/>
                <w:szCs w:val="20"/>
              </w:rPr>
              <w:t>Current Fee</w:t>
            </w:r>
          </w:p>
          <w:p w:rsidR="002F3443" w:rsidRPr="00DC1041" w:rsidRDefault="002F3443" w:rsidP="00FA2C75">
            <w:pPr>
              <w:spacing w:before="60" w:after="60"/>
              <w:jc w:val="center"/>
              <w:rPr>
                <w:rFonts w:ascii="Arial" w:hAnsi="Arial" w:cs="Arial"/>
                <w:b/>
                <w:sz w:val="20"/>
                <w:szCs w:val="20"/>
              </w:rPr>
            </w:pPr>
            <w:r>
              <w:rPr>
                <w:rFonts w:ascii="Arial" w:hAnsi="Arial" w:cs="Arial"/>
                <w:b/>
                <w:sz w:val="20"/>
                <w:szCs w:val="20"/>
              </w:rPr>
              <w:t>$</w:t>
            </w:r>
          </w:p>
        </w:tc>
        <w:tc>
          <w:tcPr>
            <w:tcW w:w="1621" w:type="dxa"/>
            <w:shd w:val="clear" w:color="auto" w:fill="F2F2F2" w:themeFill="background1" w:themeFillShade="F2"/>
          </w:tcPr>
          <w:p w:rsidR="002F3443" w:rsidRDefault="002F3443" w:rsidP="00FA2C75">
            <w:pPr>
              <w:spacing w:before="60" w:after="60"/>
              <w:jc w:val="center"/>
              <w:rPr>
                <w:rFonts w:ascii="Arial" w:hAnsi="Arial" w:cs="Arial"/>
                <w:b/>
                <w:sz w:val="20"/>
                <w:szCs w:val="20"/>
              </w:rPr>
            </w:pPr>
            <w:r w:rsidRPr="00DC1041">
              <w:rPr>
                <w:rFonts w:ascii="Arial" w:hAnsi="Arial" w:cs="Arial"/>
                <w:b/>
                <w:sz w:val="20"/>
                <w:szCs w:val="20"/>
              </w:rPr>
              <w:t>Proposed Fee</w:t>
            </w:r>
          </w:p>
          <w:p w:rsidR="002F3443" w:rsidRPr="00DC1041" w:rsidRDefault="002F3443" w:rsidP="00FA2C75">
            <w:pPr>
              <w:spacing w:before="60" w:after="60"/>
              <w:jc w:val="center"/>
              <w:rPr>
                <w:rFonts w:ascii="Arial" w:hAnsi="Arial" w:cs="Arial"/>
                <w:b/>
                <w:sz w:val="20"/>
                <w:szCs w:val="20"/>
              </w:rPr>
            </w:pPr>
            <w:r>
              <w:rPr>
                <w:rFonts w:ascii="Arial" w:hAnsi="Arial" w:cs="Arial"/>
                <w:b/>
                <w:sz w:val="20"/>
                <w:szCs w:val="20"/>
              </w:rPr>
              <w:t>$</w:t>
            </w:r>
          </w:p>
        </w:tc>
      </w:tr>
      <w:tr w:rsidR="00B4170F" w:rsidRPr="00FC6804" w:rsidTr="000738F7">
        <w:tc>
          <w:tcPr>
            <w:tcW w:w="3227" w:type="dxa"/>
          </w:tcPr>
          <w:p w:rsidR="00B4170F" w:rsidRPr="00DC1041" w:rsidRDefault="00B4170F" w:rsidP="00B4170F">
            <w:pPr>
              <w:spacing w:before="60" w:after="60"/>
              <w:rPr>
                <w:rFonts w:ascii="Arial" w:hAnsi="Arial" w:cs="Arial"/>
                <w:sz w:val="20"/>
                <w:szCs w:val="20"/>
              </w:rPr>
            </w:pPr>
            <w:r>
              <w:rPr>
                <w:rFonts w:ascii="Arial" w:hAnsi="Arial" w:cs="Arial"/>
                <w:sz w:val="20"/>
                <w:szCs w:val="20"/>
              </w:rPr>
              <w:t>Processor Category A</w:t>
            </w:r>
            <w:r w:rsidR="000738F7">
              <w:rPr>
                <w:rFonts w:ascii="Arial" w:hAnsi="Arial" w:cs="Arial"/>
                <w:sz w:val="20"/>
                <w:szCs w:val="20"/>
              </w:rPr>
              <w:t xml:space="preserve"> *</w:t>
            </w:r>
          </w:p>
        </w:tc>
        <w:tc>
          <w:tcPr>
            <w:tcW w:w="2693" w:type="dxa"/>
            <w:vAlign w:val="bottom"/>
          </w:tcPr>
          <w:p w:rsidR="00B4170F" w:rsidRDefault="00B4170F" w:rsidP="00B4170F">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Up to 150 tonnes</w:t>
            </w:r>
          </w:p>
        </w:tc>
        <w:tc>
          <w:tcPr>
            <w:tcW w:w="170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820</w:t>
            </w:r>
          </w:p>
        </w:tc>
        <w:tc>
          <w:tcPr>
            <w:tcW w:w="162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1,025</w:t>
            </w:r>
          </w:p>
        </w:tc>
      </w:tr>
      <w:tr w:rsidR="00B4170F" w:rsidRPr="00FC6804" w:rsidTr="000738F7">
        <w:tc>
          <w:tcPr>
            <w:tcW w:w="3227" w:type="dxa"/>
          </w:tcPr>
          <w:p w:rsidR="00B4170F" w:rsidRDefault="00B4170F" w:rsidP="00B4170F">
            <w:pPr>
              <w:spacing w:before="60" w:after="60"/>
              <w:rPr>
                <w:rFonts w:ascii="Arial" w:hAnsi="Arial" w:cs="Arial"/>
                <w:sz w:val="20"/>
                <w:szCs w:val="20"/>
              </w:rPr>
            </w:pPr>
          </w:p>
        </w:tc>
        <w:tc>
          <w:tcPr>
            <w:tcW w:w="2693" w:type="dxa"/>
            <w:vAlign w:val="bottom"/>
          </w:tcPr>
          <w:p w:rsidR="00B4170F" w:rsidRDefault="00B4170F" w:rsidP="00B4170F">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151 to 300 tonnes</w:t>
            </w:r>
          </w:p>
        </w:tc>
        <w:tc>
          <w:tcPr>
            <w:tcW w:w="170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1,232</w:t>
            </w:r>
          </w:p>
        </w:tc>
        <w:tc>
          <w:tcPr>
            <w:tcW w:w="162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1,540</w:t>
            </w:r>
          </w:p>
        </w:tc>
      </w:tr>
      <w:tr w:rsidR="00B4170F" w:rsidRPr="00FC6804" w:rsidTr="000738F7">
        <w:tc>
          <w:tcPr>
            <w:tcW w:w="3227" w:type="dxa"/>
          </w:tcPr>
          <w:p w:rsidR="00B4170F" w:rsidRDefault="00B4170F" w:rsidP="00B4170F">
            <w:pPr>
              <w:spacing w:before="60" w:after="60"/>
              <w:rPr>
                <w:rFonts w:ascii="Arial" w:hAnsi="Arial" w:cs="Arial"/>
                <w:sz w:val="20"/>
                <w:szCs w:val="20"/>
              </w:rPr>
            </w:pPr>
          </w:p>
        </w:tc>
        <w:tc>
          <w:tcPr>
            <w:tcW w:w="2693" w:type="dxa"/>
            <w:vAlign w:val="bottom"/>
          </w:tcPr>
          <w:p w:rsidR="00B4170F" w:rsidRDefault="00B4170F" w:rsidP="00B4170F">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301 to 750 tonnes</w:t>
            </w:r>
          </w:p>
        </w:tc>
        <w:tc>
          <w:tcPr>
            <w:tcW w:w="170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2,868</w:t>
            </w:r>
          </w:p>
        </w:tc>
        <w:tc>
          <w:tcPr>
            <w:tcW w:w="162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3,585</w:t>
            </w:r>
          </w:p>
        </w:tc>
      </w:tr>
      <w:tr w:rsidR="00B4170F" w:rsidRPr="00FC6804" w:rsidTr="000738F7">
        <w:tc>
          <w:tcPr>
            <w:tcW w:w="3227" w:type="dxa"/>
          </w:tcPr>
          <w:p w:rsidR="00B4170F" w:rsidRDefault="00B4170F" w:rsidP="00B4170F">
            <w:pPr>
              <w:spacing w:before="60" w:after="60"/>
              <w:rPr>
                <w:rFonts w:ascii="Arial" w:hAnsi="Arial" w:cs="Arial"/>
                <w:sz w:val="20"/>
                <w:szCs w:val="20"/>
              </w:rPr>
            </w:pPr>
          </w:p>
        </w:tc>
        <w:tc>
          <w:tcPr>
            <w:tcW w:w="2693" w:type="dxa"/>
            <w:vAlign w:val="bottom"/>
          </w:tcPr>
          <w:p w:rsidR="00B4170F" w:rsidRDefault="00B4170F" w:rsidP="00B4170F">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751 to 1,500 tonnes</w:t>
            </w:r>
          </w:p>
        </w:tc>
        <w:tc>
          <w:tcPr>
            <w:tcW w:w="170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6,151</w:t>
            </w:r>
          </w:p>
        </w:tc>
        <w:tc>
          <w:tcPr>
            <w:tcW w:w="162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7,689</w:t>
            </w:r>
          </w:p>
        </w:tc>
      </w:tr>
      <w:tr w:rsidR="00B4170F" w:rsidRPr="00FC6804" w:rsidTr="000738F7">
        <w:tc>
          <w:tcPr>
            <w:tcW w:w="3227" w:type="dxa"/>
          </w:tcPr>
          <w:p w:rsidR="00B4170F" w:rsidRDefault="00B4170F" w:rsidP="00B4170F">
            <w:pPr>
              <w:spacing w:before="60" w:after="60"/>
              <w:rPr>
                <w:rFonts w:ascii="Arial" w:hAnsi="Arial" w:cs="Arial"/>
                <w:sz w:val="20"/>
                <w:szCs w:val="20"/>
              </w:rPr>
            </w:pPr>
          </w:p>
        </w:tc>
        <w:tc>
          <w:tcPr>
            <w:tcW w:w="2693" w:type="dxa"/>
            <w:vAlign w:val="bottom"/>
          </w:tcPr>
          <w:p w:rsidR="00B4170F" w:rsidRDefault="00B4170F" w:rsidP="00B4170F">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Over 1,500 tonnes</w:t>
            </w:r>
          </w:p>
        </w:tc>
        <w:tc>
          <w:tcPr>
            <w:tcW w:w="170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8,199</w:t>
            </w:r>
          </w:p>
        </w:tc>
        <w:tc>
          <w:tcPr>
            <w:tcW w:w="162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10,249</w:t>
            </w:r>
          </w:p>
        </w:tc>
      </w:tr>
      <w:tr w:rsidR="00B4170F" w:rsidRPr="00FC6804" w:rsidTr="000738F7">
        <w:tc>
          <w:tcPr>
            <w:tcW w:w="3227" w:type="dxa"/>
          </w:tcPr>
          <w:p w:rsidR="00B4170F" w:rsidRDefault="00B4170F" w:rsidP="00B4170F">
            <w:pPr>
              <w:spacing w:before="60" w:after="60"/>
              <w:rPr>
                <w:rFonts w:ascii="Arial" w:hAnsi="Arial" w:cs="Arial"/>
                <w:sz w:val="20"/>
                <w:szCs w:val="20"/>
              </w:rPr>
            </w:pPr>
            <w:r>
              <w:rPr>
                <w:rFonts w:ascii="Arial" w:hAnsi="Arial" w:cs="Arial"/>
                <w:sz w:val="20"/>
                <w:szCs w:val="20"/>
              </w:rPr>
              <w:t>Processor Category B</w:t>
            </w:r>
            <w:r w:rsidR="000738F7">
              <w:rPr>
                <w:rFonts w:ascii="Arial" w:hAnsi="Arial" w:cs="Arial"/>
                <w:sz w:val="20"/>
                <w:szCs w:val="20"/>
              </w:rPr>
              <w:t xml:space="preserve"> *</w:t>
            </w:r>
          </w:p>
        </w:tc>
        <w:tc>
          <w:tcPr>
            <w:tcW w:w="2693" w:type="dxa"/>
            <w:vAlign w:val="bottom"/>
          </w:tcPr>
          <w:p w:rsidR="00B4170F" w:rsidRDefault="00B4170F" w:rsidP="00B4170F">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Up to 50 tonnes</w:t>
            </w:r>
          </w:p>
        </w:tc>
        <w:tc>
          <w:tcPr>
            <w:tcW w:w="170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820</w:t>
            </w:r>
          </w:p>
        </w:tc>
        <w:tc>
          <w:tcPr>
            <w:tcW w:w="162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1,025</w:t>
            </w:r>
          </w:p>
        </w:tc>
      </w:tr>
      <w:tr w:rsidR="00B4170F" w:rsidRPr="00FC6804" w:rsidTr="000738F7">
        <w:tc>
          <w:tcPr>
            <w:tcW w:w="3227" w:type="dxa"/>
          </w:tcPr>
          <w:p w:rsidR="00B4170F" w:rsidRDefault="00B4170F" w:rsidP="00B4170F">
            <w:pPr>
              <w:spacing w:before="60" w:after="60"/>
              <w:rPr>
                <w:rFonts w:ascii="Arial" w:hAnsi="Arial" w:cs="Arial"/>
                <w:sz w:val="20"/>
                <w:szCs w:val="20"/>
              </w:rPr>
            </w:pPr>
          </w:p>
        </w:tc>
        <w:tc>
          <w:tcPr>
            <w:tcW w:w="2693" w:type="dxa"/>
            <w:vAlign w:val="bottom"/>
          </w:tcPr>
          <w:p w:rsidR="00B4170F" w:rsidRDefault="00B4170F" w:rsidP="00B4170F">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51 to 100 tonnes</w:t>
            </w:r>
          </w:p>
        </w:tc>
        <w:tc>
          <w:tcPr>
            <w:tcW w:w="170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1,232</w:t>
            </w:r>
          </w:p>
        </w:tc>
        <w:tc>
          <w:tcPr>
            <w:tcW w:w="162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1,540</w:t>
            </w:r>
          </w:p>
        </w:tc>
      </w:tr>
      <w:tr w:rsidR="00B4170F" w:rsidRPr="00FC6804" w:rsidTr="000738F7">
        <w:tc>
          <w:tcPr>
            <w:tcW w:w="3227" w:type="dxa"/>
          </w:tcPr>
          <w:p w:rsidR="00B4170F" w:rsidRDefault="00B4170F" w:rsidP="00B4170F">
            <w:pPr>
              <w:spacing w:before="60" w:after="60"/>
              <w:rPr>
                <w:rFonts w:ascii="Arial" w:hAnsi="Arial" w:cs="Arial"/>
                <w:sz w:val="20"/>
                <w:szCs w:val="20"/>
              </w:rPr>
            </w:pPr>
          </w:p>
        </w:tc>
        <w:tc>
          <w:tcPr>
            <w:tcW w:w="2693" w:type="dxa"/>
            <w:vAlign w:val="bottom"/>
          </w:tcPr>
          <w:p w:rsidR="00B4170F" w:rsidRDefault="00B4170F" w:rsidP="00B4170F">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101 to 250 tonnes</w:t>
            </w:r>
          </w:p>
        </w:tc>
        <w:tc>
          <w:tcPr>
            <w:tcW w:w="170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2,868</w:t>
            </w:r>
          </w:p>
        </w:tc>
        <w:tc>
          <w:tcPr>
            <w:tcW w:w="162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3,585</w:t>
            </w:r>
          </w:p>
        </w:tc>
      </w:tr>
      <w:tr w:rsidR="00B4170F" w:rsidRPr="00FC6804" w:rsidTr="000738F7">
        <w:tc>
          <w:tcPr>
            <w:tcW w:w="3227" w:type="dxa"/>
          </w:tcPr>
          <w:p w:rsidR="00B4170F" w:rsidRDefault="00B4170F" w:rsidP="00B4170F">
            <w:pPr>
              <w:spacing w:before="60" w:after="60"/>
              <w:rPr>
                <w:rFonts w:ascii="Arial" w:hAnsi="Arial" w:cs="Arial"/>
                <w:sz w:val="20"/>
                <w:szCs w:val="20"/>
              </w:rPr>
            </w:pPr>
          </w:p>
        </w:tc>
        <w:tc>
          <w:tcPr>
            <w:tcW w:w="2693" w:type="dxa"/>
            <w:vAlign w:val="bottom"/>
          </w:tcPr>
          <w:p w:rsidR="00B4170F" w:rsidRDefault="00B4170F" w:rsidP="00B4170F">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251 to 500 tonnes</w:t>
            </w:r>
          </w:p>
        </w:tc>
        <w:tc>
          <w:tcPr>
            <w:tcW w:w="170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6,151</w:t>
            </w:r>
          </w:p>
        </w:tc>
        <w:tc>
          <w:tcPr>
            <w:tcW w:w="162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7,689</w:t>
            </w:r>
          </w:p>
        </w:tc>
      </w:tr>
      <w:tr w:rsidR="00B4170F" w:rsidRPr="00FC6804" w:rsidTr="000738F7">
        <w:tc>
          <w:tcPr>
            <w:tcW w:w="3227" w:type="dxa"/>
          </w:tcPr>
          <w:p w:rsidR="00B4170F" w:rsidRDefault="00B4170F" w:rsidP="00B4170F">
            <w:pPr>
              <w:spacing w:before="60" w:after="60"/>
              <w:rPr>
                <w:rFonts w:ascii="Arial" w:hAnsi="Arial" w:cs="Arial"/>
                <w:sz w:val="20"/>
                <w:szCs w:val="20"/>
              </w:rPr>
            </w:pPr>
          </w:p>
        </w:tc>
        <w:tc>
          <w:tcPr>
            <w:tcW w:w="2693" w:type="dxa"/>
            <w:vAlign w:val="bottom"/>
          </w:tcPr>
          <w:p w:rsidR="00B4170F" w:rsidRDefault="00B4170F" w:rsidP="00B4170F">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Over 500 tonnes</w:t>
            </w:r>
          </w:p>
        </w:tc>
        <w:tc>
          <w:tcPr>
            <w:tcW w:w="170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8,199</w:t>
            </w:r>
          </w:p>
        </w:tc>
        <w:tc>
          <w:tcPr>
            <w:tcW w:w="162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10,249</w:t>
            </w:r>
          </w:p>
        </w:tc>
      </w:tr>
    </w:tbl>
    <w:p w:rsidR="002F3443" w:rsidRPr="002F3443" w:rsidRDefault="002F3443" w:rsidP="00023807">
      <w:pPr>
        <w:spacing w:after="0" w:line="240" w:lineRule="auto"/>
        <w:rPr>
          <w:rFonts w:ascii="Arial" w:hAnsi="Arial" w:cs="Arial"/>
          <w:b/>
          <w:sz w:val="20"/>
          <w:szCs w:val="20"/>
        </w:rPr>
      </w:pPr>
    </w:p>
    <w:tbl>
      <w:tblPr>
        <w:tblStyle w:val="TableGrid"/>
        <w:tblW w:w="0" w:type="auto"/>
        <w:tblLook w:val="04A0" w:firstRow="1" w:lastRow="0" w:firstColumn="1" w:lastColumn="0" w:noHBand="0" w:noVBand="1"/>
      </w:tblPr>
      <w:tblGrid>
        <w:gridCol w:w="3227"/>
        <w:gridCol w:w="2693"/>
        <w:gridCol w:w="1701"/>
        <w:gridCol w:w="1621"/>
      </w:tblGrid>
      <w:tr w:rsidR="001D5C15" w:rsidRPr="00DC1041" w:rsidTr="009E63BE">
        <w:tc>
          <w:tcPr>
            <w:tcW w:w="3227" w:type="dxa"/>
            <w:shd w:val="clear" w:color="auto" w:fill="F2F2F2" w:themeFill="background1" w:themeFillShade="F2"/>
          </w:tcPr>
          <w:p w:rsidR="001D5C15" w:rsidRPr="00DC1041" w:rsidRDefault="001D5C15" w:rsidP="00FA2C75">
            <w:pPr>
              <w:spacing w:before="60" w:after="60"/>
              <w:jc w:val="center"/>
              <w:rPr>
                <w:rFonts w:ascii="Arial" w:hAnsi="Arial" w:cs="Arial"/>
                <w:b/>
                <w:sz w:val="20"/>
                <w:szCs w:val="20"/>
              </w:rPr>
            </w:pPr>
            <w:r w:rsidRPr="00DC1041">
              <w:rPr>
                <w:rFonts w:ascii="Arial" w:hAnsi="Arial" w:cs="Arial"/>
                <w:b/>
                <w:sz w:val="20"/>
                <w:szCs w:val="20"/>
              </w:rPr>
              <w:t>Licence Category</w:t>
            </w:r>
          </w:p>
        </w:tc>
        <w:tc>
          <w:tcPr>
            <w:tcW w:w="2693" w:type="dxa"/>
            <w:shd w:val="clear" w:color="auto" w:fill="F2F2F2" w:themeFill="background1" w:themeFillShade="F2"/>
          </w:tcPr>
          <w:p w:rsidR="001D5C15" w:rsidRPr="00DC1041" w:rsidRDefault="001D5C15" w:rsidP="00FA2C75">
            <w:pPr>
              <w:spacing w:before="60" w:after="60"/>
              <w:jc w:val="center"/>
              <w:rPr>
                <w:rFonts w:ascii="Arial" w:hAnsi="Arial" w:cs="Arial"/>
                <w:b/>
                <w:sz w:val="20"/>
                <w:szCs w:val="20"/>
              </w:rPr>
            </w:pPr>
            <w:r w:rsidRPr="00DC1041">
              <w:rPr>
                <w:rFonts w:ascii="Arial" w:hAnsi="Arial" w:cs="Arial"/>
                <w:b/>
                <w:sz w:val="20"/>
                <w:szCs w:val="20"/>
              </w:rPr>
              <w:t>Throughput</w:t>
            </w:r>
          </w:p>
        </w:tc>
        <w:tc>
          <w:tcPr>
            <w:tcW w:w="1701" w:type="dxa"/>
            <w:shd w:val="clear" w:color="auto" w:fill="F2F2F2" w:themeFill="background1" w:themeFillShade="F2"/>
          </w:tcPr>
          <w:p w:rsidR="001D5C15" w:rsidRDefault="001D5C15" w:rsidP="00FA2C75">
            <w:pPr>
              <w:spacing w:before="60" w:after="60"/>
              <w:jc w:val="center"/>
              <w:rPr>
                <w:rFonts w:ascii="Arial" w:hAnsi="Arial" w:cs="Arial"/>
                <w:b/>
                <w:sz w:val="20"/>
                <w:szCs w:val="20"/>
              </w:rPr>
            </w:pPr>
            <w:r w:rsidRPr="00DC1041">
              <w:rPr>
                <w:rFonts w:ascii="Arial" w:hAnsi="Arial" w:cs="Arial"/>
                <w:b/>
                <w:sz w:val="20"/>
                <w:szCs w:val="20"/>
              </w:rPr>
              <w:t>Current Fee</w:t>
            </w:r>
          </w:p>
          <w:p w:rsidR="001D5C15" w:rsidRPr="00DC1041" w:rsidRDefault="001D5C15" w:rsidP="00FA2C75">
            <w:pPr>
              <w:spacing w:before="60" w:after="60"/>
              <w:jc w:val="center"/>
              <w:rPr>
                <w:rFonts w:ascii="Arial" w:hAnsi="Arial" w:cs="Arial"/>
                <w:b/>
                <w:sz w:val="20"/>
                <w:szCs w:val="20"/>
              </w:rPr>
            </w:pPr>
            <w:r>
              <w:rPr>
                <w:rFonts w:ascii="Arial" w:hAnsi="Arial" w:cs="Arial"/>
                <w:b/>
                <w:sz w:val="20"/>
                <w:szCs w:val="20"/>
              </w:rPr>
              <w:t>$</w:t>
            </w:r>
          </w:p>
        </w:tc>
        <w:tc>
          <w:tcPr>
            <w:tcW w:w="1621" w:type="dxa"/>
            <w:shd w:val="clear" w:color="auto" w:fill="F2F2F2" w:themeFill="background1" w:themeFillShade="F2"/>
          </w:tcPr>
          <w:p w:rsidR="001D5C15" w:rsidRDefault="001D5C15" w:rsidP="00FA2C75">
            <w:pPr>
              <w:spacing w:before="60" w:after="60"/>
              <w:jc w:val="center"/>
              <w:rPr>
                <w:rFonts w:ascii="Arial" w:hAnsi="Arial" w:cs="Arial"/>
                <w:b/>
                <w:sz w:val="20"/>
                <w:szCs w:val="20"/>
              </w:rPr>
            </w:pPr>
            <w:r w:rsidRPr="00DC1041">
              <w:rPr>
                <w:rFonts w:ascii="Arial" w:hAnsi="Arial" w:cs="Arial"/>
                <w:b/>
                <w:sz w:val="20"/>
                <w:szCs w:val="20"/>
              </w:rPr>
              <w:t>Proposed Fee</w:t>
            </w:r>
          </w:p>
          <w:p w:rsidR="001D5C15" w:rsidRPr="00DC1041" w:rsidRDefault="001D5C15" w:rsidP="00FA2C75">
            <w:pPr>
              <w:spacing w:before="60" w:after="60"/>
              <w:jc w:val="center"/>
              <w:rPr>
                <w:rFonts w:ascii="Arial" w:hAnsi="Arial" w:cs="Arial"/>
                <w:b/>
                <w:sz w:val="20"/>
                <w:szCs w:val="20"/>
              </w:rPr>
            </w:pPr>
            <w:r>
              <w:rPr>
                <w:rFonts w:ascii="Arial" w:hAnsi="Arial" w:cs="Arial"/>
                <w:b/>
                <w:sz w:val="20"/>
                <w:szCs w:val="20"/>
              </w:rPr>
              <w:t>$</w:t>
            </w:r>
          </w:p>
        </w:tc>
      </w:tr>
      <w:tr w:rsidR="00B4170F" w:rsidRPr="00FC6804" w:rsidTr="000738F7">
        <w:tc>
          <w:tcPr>
            <w:tcW w:w="3227" w:type="dxa"/>
          </w:tcPr>
          <w:p w:rsidR="00B4170F" w:rsidRPr="00DC1041" w:rsidRDefault="00B4170F" w:rsidP="00B4170F">
            <w:pPr>
              <w:spacing w:before="60" w:after="60"/>
              <w:rPr>
                <w:rFonts w:ascii="Arial" w:hAnsi="Arial" w:cs="Arial"/>
                <w:sz w:val="20"/>
                <w:szCs w:val="20"/>
              </w:rPr>
            </w:pPr>
            <w:r>
              <w:rPr>
                <w:rFonts w:ascii="Arial" w:hAnsi="Arial" w:cs="Arial"/>
                <w:sz w:val="20"/>
                <w:szCs w:val="20"/>
              </w:rPr>
              <w:t>Further Processor Category A</w:t>
            </w:r>
            <w:r w:rsidR="000738F7">
              <w:rPr>
                <w:rFonts w:ascii="Arial" w:hAnsi="Arial" w:cs="Arial"/>
                <w:sz w:val="20"/>
                <w:szCs w:val="20"/>
              </w:rPr>
              <w:t xml:space="preserve"> *</w:t>
            </w:r>
          </w:p>
        </w:tc>
        <w:tc>
          <w:tcPr>
            <w:tcW w:w="2693" w:type="dxa"/>
            <w:vAlign w:val="bottom"/>
          </w:tcPr>
          <w:p w:rsidR="00B4170F" w:rsidRDefault="00B4170F" w:rsidP="00B4170F">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Up to 150 tonnes</w:t>
            </w:r>
          </w:p>
        </w:tc>
        <w:tc>
          <w:tcPr>
            <w:tcW w:w="170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820</w:t>
            </w:r>
          </w:p>
        </w:tc>
        <w:tc>
          <w:tcPr>
            <w:tcW w:w="162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1,025</w:t>
            </w:r>
          </w:p>
        </w:tc>
      </w:tr>
      <w:tr w:rsidR="00B4170F" w:rsidRPr="00FC6804" w:rsidTr="000738F7">
        <w:tc>
          <w:tcPr>
            <w:tcW w:w="3227" w:type="dxa"/>
          </w:tcPr>
          <w:p w:rsidR="00B4170F" w:rsidRDefault="00B4170F" w:rsidP="00B4170F">
            <w:pPr>
              <w:spacing w:before="60" w:after="60"/>
              <w:rPr>
                <w:rFonts w:ascii="Arial" w:hAnsi="Arial" w:cs="Arial"/>
                <w:sz w:val="20"/>
                <w:szCs w:val="20"/>
              </w:rPr>
            </w:pPr>
          </w:p>
        </w:tc>
        <w:tc>
          <w:tcPr>
            <w:tcW w:w="2693" w:type="dxa"/>
            <w:vAlign w:val="bottom"/>
          </w:tcPr>
          <w:p w:rsidR="00B4170F" w:rsidRDefault="00B4170F" w:rsidP="00B4170F">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151 to 300 tonnes</w:t>
            </w:r>
          </w:p>
        </w:tc>
        <w:tc>
          <w:tcPr>
            <w:tcW w:w="170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1,232</w:t>
            </w:r>
          </w:p>
        </w:tc>
        <w:tc>
          <w:tcPr>
            <w:tcW w:w="162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1,540</w:t>
            </w:r>
          </w:p>
        </w:tc>
      </w:tr>
      <w:tr w:rsidR="00B4170F" w:rsidRPr="00FC6804" w:rsidTr="000738F7">
        <w:tc>
          <w:tcPr>
            <w:tcW w:w="3227" w:type="dxa"/>
          </w:tcPr>
          <w:p w:rsidR="00B4170F" w:rsidRDefault="00B4170F" w:rsidP="00B4170F">
            <w:pPr>
              <w:spacing w:before="60" w:after="60"/>
              <w:rPr>
                <w:rFonts w:ascii="Arial" w:hAnsi="Arial" w:cs="Arial"/>
                <w:sz w:val="20"/>
                <w:szCs w:val="20"/>
              </w:rPr>
            </w:pPr>
          </w:p>
        </w:tc>
        <w:tc>
          <w:tcPr>
            <w:tcW w:w="2693" w:type="dxa"/>
            <w:vAlign w:val="bottom"/>
          </w:tcPr>
          <w:p w:rsidR="00B4170F" w:rsidRDefault="00B4170F" w:rsidP="00B4170F">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301 to 750 tonnes</w:t>
            </w:r>
          </w:p>
        </w:tc>
        <w:tc>
          <w:tcPr>
            <w:tcW w:w="170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2,868</w:t>
            </w:r>
          </w:p>
        </w:tc>
        <w:tc>
          <w:tcPr>
            <w:tcW w:w="162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3,585</w:t>
            </w:r>
          </w:p>
        </w:tc>
      </w:tr>
      <w:tr w:rsidR="00B4170F" w:rsidRPr="00FC6804" w:rsidTr="000738F7">
        <w:tc>
          <w:tcPr>
            <w:tcW w:w="3227" w:type="dxa"/>
          </w:tcPr>
          <w:p w:rsidR="00B4170F" w:rsidRDefault="00B4170F" w:rsidP="00B4170F">
            <w:pPr>
              <w:spacing w:before="60" w:after="60"/>
              <w:rPr>
                <w:rFonts w:ascii="Arial" w:hAnsi="Arial" w:cs="Arial"/>
                <w:sz w:val="20"/>
                <w:szCs w:val="20"/>
              </w:rPr>
            </w:pPr>
          </w:p>
        </w:tc>
        <w:tc>
          <w:tcPr>
            <w:tcW w:w="2693" w:type="dxa"/>
            <w:vAlign w:val="bottom"/>
          </w:tcPr>
          <w:p w:rsidR="00B4170F" w:rsidRDefault="00B4170F" w:rsidP="00B4170F">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751 to 1,500 tonnes</w:t>
            </w:r>
          </w:p>
        </w:tc>
        <w:tc>
          <w:tcPr>
            <w:tcW w:w="170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6,151</w:t>
            </w:r>
          </w:p>
        </w:tc>
        <w:tc>
          <w:tcPr>
            <w:tcW w:w="162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7,689</w:t>
            </w:r>
          </w:p>
        </w:tc>
      </w:tr>
      <w:tr w:rsidR="00B4170F" w:rsidRPr="00FC6804" w:rsidTr="000738F7">
        <w:tc>
          <w:tcPr>
            <w:tcW w:w="3227" w:type="dxa"/>
          </w:tcPr>
          <w:p w:rsidR="00B4170F" w:rsidRDefault="00B4170F" w:rsidP="00B4170F">
            <w:pPr>
              <w:spacing w:before="60" w:after="60"/>
              <w:rPr>
                <w:rFonts w:ascii="Arial" w:hAnsi="Arial" w:cs="Arial"/>
                <w:sz w:val="20"/>
                <w:szCs w:val="20"/>
              </w:rPr>
            </w:pPr>
          </w:p>
        </w:tc>
        <w:tc>
          <w:tcPr>
            <w:tcW w:w="2693" w:type="dxa"/>
            <w:vAlign w:val="bottom"/>
          </w:tcPr>
          <w:p w:rsidR="00B4170F" w:rsidRDefault="00B4170F" w:rsidP="00B4170F">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Over 1,500 tonnes</w:t>
            </w:r>
          </w:p>
        </w:tc>
        <w:tc>
          <w:tcPr>
            <w:tcW w:w="170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8,199</w:t>
            </w:r>
          </w:p>
        </w:tc>
        <w:tc>
          <w:tcPr>
            <w:tcW w:w="162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10,249</w:t>
            </w:r>
          </w:p>
        </w:tc>
      </w:tr>
      <w:tr w:rsidR="00B4170F" w:rsidRPr="00FC6804" w:rsidTr="000738F7">
        <w:tc>
          <w:tcPr>
            <w:tcW w:w="3227" w:type="dxa"/>
          </w:tcPr>
          <w:p w:rsidR="00B4170F" w:rsidRDefault="00B4170F" w:rsidP="00B4170F">
            <w:pPr>
              <w:spacing w:before="60" w:after="60"/>
              <w:rPr>
                <w:rFonts w:ascii="Arial" w:hAnsi="Arial" w:cs="Arial"/>
                <w:sz w:val="20"/>
                <w:szCs w:val="20"/>
              </w:rPr>
            </w:pPr>
            <w:r>
              <w:rPr>
                <w:rFonts w:ascii="Arial" w:hAnsi="Arial" w:cs="Arial"/>
                <w:sz w:val="20"/>
                <w:szCs w:val="20"/>
              </w:rPr>
              <w:t>Further Processor Category B</w:t>
            </w:r>
            <w:r w:rsidR="000738F7">
              <w:rPr>
                <w:rFonts w:ascii="Arial" w:hAnsi="Arial" w:cs="Arial"/>
                <w:sz w:val="20"/>
                <w:szCs w:val="20"/>
              </w:rPr>
              <w:t xml:space="preserve"> *</w:t>
            </w:r>
          </w:p>
        </w:tc>
        <w:tc>
          <w:tcPr>
            <w:tcW w:w="2693" w:type="dxa"/>
            <w:vAlign w:val="bottom"/>
          </w:tcPr>
          <w:p w:rsidR="00B4170F" w:rsidRDefault="00B4170F" w:rsidP="00B4170F">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Up to 50 tonnes</w:t>
            </w:r>
          </w:p>
        </w:tc>
        <w:tc>
          <w:tcPr>
            <w:tcW w:w="170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820</w:t>
            </w:r>
          </w:p>
        </w:tc>
        <w:tc>
          <w:tcPr>
            <w:tcW w:w="162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1,025</w:t>
            </w:r>
          </w:p>
        </w:tc>
      </w:tr>
      <w:tr w:rsidR="00B4170F" w:rsidRPr="00FC6804" w:rsidTr="000738F7">
        <w:tc>
          <w:tcPr>
            <w:tcW w:w="3227" w:type="dxa"/>
          </w:tcPr>
          <w:p w:rsidR="00B4170F" w:rsidRDefault="00B4170F" w:rsidP="00B4170F">
            <w:pPr>
              <w:spacing w:before="60" w:after="60"/>
              <w:rPr>
                <w:rFonts w:ascii="Arial" w:hAnsi="Arial" w:cs="Arial"/>
                <w:sz w:val="20"/>
                <w:szCs w:val="20"/>
              </w:rPr>
            </w:pPr>
          </w:p>
        </w:tc>
        <w:tc>
          <w:tcPr>
            <w:tcW w:w="2693" w:type="dxa"/>
            <w:vAlign w:val="bottom"/>
          </w:tcPr>
          <w:p w:rsidR="00B4170F" w:rsidRDefault="00B4170F" w:rsidP="00B4170F">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51 to 100 tonnes</w:t>
            </w:r>
          </w:p>
        </w:tc>
        <w:tc>
          <w:tcPr>
            <w:tcW w:w="170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1,232</w:t>
            </w:r>
          </w:p>
        </w:tc>
        <w:tc>
          <w:tcPr>
            <w:tcW w:w="162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1,540</w:t>
            </w:r>
          </w:p>
        </w:tc>
      </w:tr>
      <w:tr w:rsidR="00B4170F" w:rsidRPr="00FC6804" w:rsidTr="000738F7">
        <w:tc>
          <w:tcPr>
            <w:tcW w:w="3227" w:type="dxa"/>
          </w:tcPr>
          <w:p w:rsidR="00B4170F" w:rsidRDefault="00B4170F" w:rsidP="00B4170F">
            <w:pPr>
              <w:spacing w:before="60" w:after="60"/>
              <w:rPr>
                <w:rFonts w:ascii="Arial" w:hAnsi="Arial" w:cs="Arial"/>
                <w:sz w:val="20"/>
                <w:szCs w:val="20"/>
              </w:rPr>
            </w:pPr>
          </w:p>
        </w:tc>
        <w:tc>
          <w:tcPr>
            <w:tcW w:w="2693" w:type="dxa"/>
            <w:vAlign w:val="bottom"/>
          </w:tcPr>
          <w:p w:rsidR="00B4170F" w:rsidRDefault="00B4170F" w:rsidP="00B4170F">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101 to 250 tonnes</w:t>
            </w:r>
          </w:p>
        </w:tc>
        <w:tc>
          <w:tcPr>
            <w:tcW w:w="170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2,868</w:t>
            </w:r>
          </w:p>
        </w:tc>
        <w:tc>
          <w:tcPr>
            <w:tcW w:w="162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3,585</w:t>
            </w:r>
          </w:p>
        </w:tc>
      </w:tr>
      <w:tr w:rsidR="00B4170F" w:rsidRPr="00FC6804" w:rsidTr="000738F7">
        <w:tc>
          <w:tcPr>
            <w:tcW w:w="3227" w:type="dxa"/>
          </w:tcPr>
          <w:p w:rsidR="00B4170F" w:rsidRDefault="00B4170F" w:rsidP="00B4170F">
            <w:pPr>
              <w:spacing w:before="60" w:after="60"/>
              <w:rPr>
                <w:rFonts w:ascii="Arial" w:hAnsi="Arial" w:cs="Arial"/>
                <w:sz w:val="20"/>
                <w:szCs w:val="20"/>
              </w:rPr>
            </w:pPr>
          </w:p>
        </w:tc>
        <w:tc>
          <w:tcPr>
            <w:tcW w:w="2693" w:type="dxa"/>
            <w:vAlign w:val="bottom"/>
          </w:tcPr>
          <w:p w:rsidR="00B4170F" w:rsidRDefault="00B4170F" w:rsidP="00B4170F">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251 to 500 tonnes</w:t>
            </w:r>
          </w:p>
        </w:tc>
        <w:tc>
          <w:tcPr>
            <w:tcW w:w="170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6,151</w:t>
            </w:r>
          </w:p>
        </w:tc>
        <w:tc>
          <w:tcPr>
            <w:tcW w:w="162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7,689</w:t>
            </w:r>
          </w:p>
        </w:tc>
      </w:tr>
      <w:tr w:rsidR="00B4170F" w:rsidRPr="00FC6804" w:rsidTr="000738F7">
        <w:tc>
          <w:tcPr>
            <w:tcW w:w="3227" w:type="dxa"/>
          </w:tcPr>
          <w:p w:rsidR="00B4170F" w:rsidRDefault="00B4170F" w:rsidP="00B4170F">
            <w:pPr>
              <w:spacing w:before="60" w:after="60"/>
              <w:rPr>
                <w:rFonts w:ascii="Arial" w:hAnsi="Arial" w:cs="Arial"/>
                <w:sz w:val="20"/>
                <w:szCs w:val="20"/>
              </w:rPr>
            </w:pPr>
          </w:p>
        </w:tc>
        <w:tc>
          <w:tcPr>
            <w:tcW w:w="2693" w:type="dxa"/>
            <w:vAlign w:val="bottom"/>
          </w:tcPr>
          <w:p w:rsidR="00B4170F" w:rsidRDefault="00B4170F" w:rsidP="00B4170F">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Over 500 tonnes</w:t>
            </w:r>
          </w:p>
        </w:tc>
        <w:tc>
          <w:tcPr>
            <w:tcW w:w="170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8,199</w:t>
            </w:r>
          </w:p>
        </w:tc>
        <w:tc>
          <w:tcPr>
            <w:tcW w:w="1621" w:type="dxa"/>
            <w:vAlign w:val="bottom"/>
          </w:tcPr>
          <w:p w:rsidR="00B4170F" w:rsidRPr="00FC6804" w:rsidRDefault="00B4170F" w:rsidP="00B4170F">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10,249</w:t>
            </w:r>
          </w:p>
        </w:tc>
      </w:tr>
    </w:tbl>
    <w:p w:rsidR="009B6608" w:rsidRDefault="009B6608" w:rsidP="00023807">
      <w:pPr>
        <w:spacing w:after="0" w:line="240" w:lineRule="auto"/>
        <w:rPr>
          <w:rFonts w:ascii="Arial" w:hAnsi="Arial" w:cs="Arial"/>
          <w:b/>
          <w:sz w:val="20"/>
          <w:szCs w:val="20"/>
          <w:u w:val="single"/>
        </w:rPr>
      </w:pPr>
    </w:p>
    <w:p w:rsidR="009B6608" w:rsidRDefault="009B6608" w:rsidP="000738F7">
      <w:pPr>
        <w:spacing w:after="0" w:line="240" w:lineRule="auto"/>
        <w:rPr>
          <w:rFonts w:ascii="Arial" w:hAnsi="Arial" w:cs="Arial"/>
          <w:sz w:val="18"/>
          <w:szCs w:val="18"/>
        </w:rPr>
      </w:pPr>
    </w:p>
    <w:p w:rsidR="000738F7" w:rsidRDefault="000738F7" w:rsidP="000738F7">
      <w:pPr>
        <w:spacing w:after="0" w:line="240" w:lineRule="auto"/>
        <w:rPr>
          <w:rFonts w:ascii="Arial" w:hAnsi="Arial" w:cs="Arial"/>
          <w:sz w:val="18"/>
          <w:szCs w:val="18"/>
        </w:rPr>
      </w:pPr>
      <w:r>
        <w:rPr>
          <w:rFonts w:ascii="Arial" w:hAnsi="Arial" w:cs="Arial"/>
          <w:sz w:val="18"/>
          <w:szCs w:val="18"/>
        </w:rPr>
        <w:t xml:space="preserve">* </w:t>
      </w:r>
      <w:r w:rsidRPr="008C552B">
        <w:rPr>
          <w:rFonts w:ascii="Arial" w:hAnsi="Arial" w:cs="Arial"/>
          <w:sz w:val="18"/>
          <w:szCs w:val="18"/>
        </w:rPr>
        <w:t>Note:</w:t>
      </w:r>
    </w:p>
    <w:p w:rsidR="000738F7" w:rsidRPr="005846CF" w:rsidRDefault="000738F7" w:rsidP="000738F7">
      <w:pPr>
        <w:pStyle w:val="ListParagraph"/>
        <w:numPr>
          <w:ilvl w:val="0"/>
          <w:numId w:val="41"/>
        </w:numPr>
        <w:spacing w:after="0" w:line="240" w:lineRule="auto"/>
        <w:rPr>
          <w:rFonts w:ascii="Arial" w:hAnsi="Arial" w:cs="Arial"/>
          <w:sz w:val="18"/>
          <w:szCs w:val="18"/>
        </w:rPr>
      </w:pPr>
      <w:r w:rsidRPr="005846CF">
        <w:rPr>
          <w:rFonts w:ascii="Arial" w:hAnsi="Arial" w:cs="Arial"/>
          <w:sz w:val="18"/>
          <w:szCs w:val="18"/>
        </w:rPr>
        <w:t>Facilities supervised by the Department of Agriculture (DA) where DA accepts responsibility for all product placed on the domestic market will pay in accordance with the above fee schedule up to a maximum of $1,958.</w:t>
      </w:r>
    </w:p>
    <w:p w:rsidR="000738F7" w:rsidRDefault="000738F7" w:rsidP="00023807">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2943"/>
        <w:gridCol w:w="2977"/>
        <w:gridCol w:w="1701"/>
        <w:gridCol w:w="1621"/>
      </w:tblGrid>
      <w:tr w:rsidR="001D5C15" w:rsidRPr="00DC1041" w:rsidTr="009E63BE">
        <w:tc>
          <w:tcPr>
            <w:tcW w:w="2943" w:type="dxa"/>
            <w:shd w:val="clear" w:color="auto" w:fill="F2F2F2" w:themeFill="background1" w:themeFillShade="F2"/>
          </w:tcPr>
          <w:p w:rsidR="001D5C15" w:rsidRPr="00DC1041" w:rsidRDefault="001D5C15" w:rsidP="00FA2C75">
            <w:pPr>
              <w:spacing w:before="60" w:after="60"/>
              <w:jc w:val="center"/>
              <w:rPr>
                <w:rFonts w:ascii="Arial" w:hAnsi="Arial" w:cs="Arial"/>
                <w:b/>
                <w:sz w:val="20"/>
                <w:szCs w:val="20"/>
              </w:rPr>
            </w:pPr>
            <w:r w:rsidRPr="00DC1041">
              <w:rPr>
                <w:rFonts w:ascii="Arial" w:hAnsi="Arial" w:cs="Arial"/>
                <w:b/>
                <w:sz w:val="20"/>
                <w:szCs w:val="20"/>
              </w:rPr>
              <w:t>Licence Category</w:t>
            </w:r>
          </w:p>
        </w:tc>
        <w:tc>
          <w:tcPr>
            <w:tcW w:w="2977" w:type="dxa"/>
            <w:shd w:val="clear" w:color="auto" w:fill="F2F2F2" w:themeFill="background1" w:themeFillShade="F2"/>
          </w:tcPr>
          <w:p w:rsidR="001D5C15" w:rsidRPr="00DC1041" w:rsidRDefault="001D5C15" w:rsidP="00FA2C75">
            <w:pPr>
              <w:spacing w:before="60" w:after="60"/>
              <w:jc w:val="center"/>
              <w:rPr>
                <w:rFonts w:ascii="Arial" w:hAnsi="Arial" w:cs="Arial"/>
                <w:b/>
                <w:sz w:val="20"/>
                <w:szCs w:val="20"/>
              </w:rPr>
            </w:pPr>
            <w:r w:rsidRPr="00DC1041">
              <w:rPr>
                <w:rFonts w:ascii="Arial" w:hAnsi="Arial" w:cs="Arial"/>
                <w:b/>
                <w:sz w:val="20"/>
                <w:szCs w:val="20"/>
              </w:rPr>
              <w:t>Throughput</w:t>
            </w:r>
          </w:p>
        </w:tc>
        <w:tc>
          <w:tcPr>
            <w:tcW w:w="1701" w:type="dxa"/>
            <w:shd w:val="clear" w:color="auto" w:fill="F2F2F2" w:themeFill="background1" w:themeFillShade="F2"/>
          </w:tcPr>
          <w:p w:rsidR="001D5C15" w:rsidRDefault="001D5C15" w:rsidP="00FA2C75">
            <w:pPr>
              <w:spacing w:before="60" w:after="60"/>
              <w:jc w:val="center"/>
              <w:rPr>
                <w:rFonts w:ascii="Arial" w:hAnsi="Arial" w:cs="Arial"/>
                <w:b/>
                <w:sz w:val="20"/>
                <w:szCs w:val="20"/>
              </w:rPr>
            </w:pPr>
            <w:r w:rsidRPr="00DC1041">
              <w:rPr>
                <w:rFonts w:ascii="Arial" w:hAnsi="Arial" w:cs="Arial"/>
                <w:b/>
                <w:sz w:val="20"/>
                <w:szCs w:val="20"/>
              </w:rPr>
              <w:t>Current Fee</w:t>
            </w:r>
          </w:p>
          <w:p w:rsidR="001D5C15" w:rsidRPr="00DC1041" w:rsidRDefault="001D5C15" w:rsidP="00FA2C75">
            <w:pPr>
              <w:spacing w:before="60" w:after="60"/>
              <w:jc w:val="center"/>
              <w:rPr>
                <w:rFonts w:ascii="Arial" w:hAnsi="Arial" w:cs="Arial"/>
                <w:b/>
                <w:sz w:val="20"/>
                <w:szCs w:val="20"/>
              </w:rPr>
            </w:pPr>
            <w:r>
              <w:rPr>
                <w:rFonts w:ascii="Arial" w:hAnsi="Arial" w:cs="Arial"/>
                <w:b/>
                <w:sz w:val="20"/>
                <w:szCs w:val="20"/>
              </w:rPr>
              <w:t>$</w:t>
            </w:r>
          </w:p>
        </w:tc>
        <w:tc>
          <w:tcPr>
            <w:tcW w:w="1621" w:type="dxa"/>
            <w:shd w:val="clear" w:color="auto" w:fill="F2F2F2" w:themeFill="background1" w:themeFillShade="F2"/>
          </w:tcPr>
          <w:p w:rsidR="001D5C15" w:rsidRDefault="001D5C15" w:rsidP="00FA2C75">
            <w:pPr>
              <w:spacing w:before="60" w:after="60"/>
              <w:jc w:val="center"/>
              <w:rPr>
                <w:rFonts w:ascii="Arial" w:hAnsi="Arial" w:cs="Arial"/>
                <w:b/>
                <w:sz w:val="20"/>
                <w:szCs w:val="20"/>
              </w:rPr>
            </w:pPr>
            <w:r w:rsidRPr="00DC1041">
              <w:rPr>
                <w:rFonts w:ascii="Arial" w:hAnsi="Arial" w:cs="Arial"/>
                <w:b/>
                <w:sz w:val="20"/>
                <w:szCs w:val="20"/>
              </w:rPr>
              <w:t>Proposed Fee</w:t>
            </w:r>
          </w:p>
          <w:p w:rsidR="001D5C15" w:rsidRPr="00DC1041" w:rsidRDefault="001D5C15" w:rsidP="00FA2C75">
            <w:pPr>
              <w:spacing w:before="60" w:after="60"/>
              <w:jc w:val="center"/>
              <w:rPr>
                <w:rFonts w:ascii="Arial" w:hAnsi="Arial" w:cs="Arial"/>
                <w:b/>
                <w:sz w:val="20"/>
                <w:szCs w:val="20"/>
              </w:rPr>
            </w:pPr>
            <w:r>
              <w:rPr>
                <w:rFonts w:ascii="Arial" w:hAnsi="Arial" w:cs="Arial"/>
                <w:b/>
                <w:sz w:val="20"/>
                <w:szCs w:val="20"/>
              </w:rPr>
              <w:t>$</w:t>
            </w:r>
          </w:p>
        </w:tc>
      </w:tr>
      <w:tr w:rsidR="001D5C15" w:rsidRPr="00FC6804" w:rsidTr="00FA2C75">
        <w:tc>
          <w:tcPr>
            <w:tcW w:w="2943" w:type="dxa"/>
          </w:tcPr>
          <w:p w:rsidR="001D5C15" w:rsidRPr="00DC1041" w:rsidRDefault="001D5C15" w:rsidP="00FA2C75">
            <w:pPr>
              <w:spacing w:before="60" w:after="60"/>
              <w:rPr>
                <w:rFonts w:ascii="Arial" w:hAnsi="Arial" w:cs="Arial"/>
                <w:sz w:val="20"/>
                <w:szCs w:val="20"/>
              </w:rPr>
            </w:pPr>
            <w:r>
              <w:rPr>
                <w:rFonts w:ascii="Arial" w:hAnsi="Arial" w:cs="Arial"/>
                <w:sz w:val="20"/>
                <w:szCs w:val="20"/>
              </w:rPr>
              <w:t>Seafood Retailer</w:t>
            </w:r>
          </w:p>
        </w:tc>
        <w:tc>
          <w:tcPr>
            <w:tcW w:w="2977" w:type="dxa"/>
            <w:vAlign w:val="bottom"/>
          </w:tcPr>
          <w:p w:rsidR="001D5C15" w:rsidRDefault="001D5C15" w:rsidP="00FA2C75">
            <w:pPr>
              <w:spacing w:before="60" w:after="60"/>
              <w:rPr>
                <w:rFonts w:ascii="Arial" w:eastAsia="Times New Roman" w:hAnsi="Arial" w:cs="Arial"/>
                <w:sz w:val="20"/>
                <w:szCs w:val="20"/>
                <w:lang w:eastAsia="en-AU"/>
              </w:rPr>
            </w:pPr>
            <w:r>
              <w:rPr>
                <w:rFonts w:ascii="Arial" w:eastAsia="Times New Roman" w:hAnsi="Arial" w:cs="Arial"/>
                <w:sz w:val="20"/>
                <w:szCs w:val="20"/>
                <w:lang w:eastAsia="en-AU"/>
              </w:rPr>
              <w:t>Not applicable</w:t>
            </w:r>
          </w:p>
        </w:tc>
        <w:tc>
          <w:tcPr>
            <w:tcW w:w="1701" w:type="dxa"/>
            <w:vAlign w:val="bottom"/>
          </w:tcPr>
          <w:p w:rsidR="001D5C15" w:rsidRPr="00FC6804" w:rsidRDefault="001D5C15" w:rsidP="00FA2C75">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615</w:t>
            </w:r>
          </w:p>
        </w:tc>
        <w:tc>
          <w:tcPr>
            <w:tcW w:w="1621" w:type="dxa"/>
            <w:vAlign w:val="bottom"/>
          </w:tcPr>
          <w:p w:rsidR="001D5C15" w:rsidRPr="00FC6804" w:rsidRDefault="001D5C15" w:rsidP="00FA2C75">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769</w:t>
            </w:r>
          </w:p>
        </w:tc>
      </w:tr>
    </w:tbl>
    <w:p w:rsidR="001D5C15" w:rsidRDefault="001D5C15" w:rsidP="00023807">
      <w:pPr>
        <w:spacing w:after="0" w:line="240" w:lineRule="auto"/>
        <w:rPr>
          <w:rFonts w:ascii="Arial" w:hAnsi="Arial" w:cs="Arial"/>
          <w:b/>
          <w:sz w:val="20"/>
          <w:szCs w:val="20"/>
          <w:u w:val="single"/>
        </w:rPr>
      </w:pPr>
    </w:p>
    <w:p w:rsidR="009E63BE" w:rsidRDefault="009E63BE" w:rsidP="00023807">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5920"/>
        <w:gridCol w:w="1701"/>
        <w:gridCol w:w="1621"/>
      </w:tblGrid>
      <w:tr w:rsidR="009E63BE" w:rsidRPr="00DC1041" w:rsidTr="00FA2C75">
        <w:tc>
          <w:tcPr>
            <w:tcW w:w="5920" w:type="dxa"/>
            <w:shd w:val="clear" w:color="auto" w:fill="F2F2F2" w:themeFill="background1" w:themeFillShade="F2"/>
          </w:tcPr>
          <w:p w:rsidR="009E63BE" w:rsidRPr="00DC1041" w:rsidRDefault="009E63BE" w:rsidP="00770BCA">
            <w:pPr>
              <w:spacing w:before="60" w:after="60"/>
              <w:jc w:val="center"/>
              <w:rPr>
                <w:rFonts w:ascii="Arial" w:hAnsi="Arial" w:cs="Arial"/>
                <w:b/>
                <w:sz w:val="20"/>
                <w:szCs w:val="20"/>
              </w:rPr>
            </w:pPr>
            <w:r>
              <w:rPr>
                <w:rFonts w:ascii="Arial" w:hAnsi="Arial" w:cs="Arial"/>
                <w:b/>
                <w:sz w:val="20"/>
                <w:szCs w:val="20"/>
              </w:rPr>
              <w:t xml:space="preserve">Pre-Licence </w:t>
            </w:r>
            <w:r w:rsidR="00770BCA">
              <w:rPr>
                <w:rFonts w:ascii="Arial" w:hAnsi="Arial" w:cs="Arial"/>
                <w:b/>
                <w:sz w:val="20"/>
                <w:szCs w:val="20"/>
              </w:rPr>
              <w:t>A</w:t>
            </w:r>
            <w:r>
              <w:rPr>
                <w:rFonts w:ascii="Arial" w:hAnsi="Arial" w:cs="Arial"/>
                <w:b/>
                <w:sz w:val="20"/>
                <w:szCs w:val="20"/>
              </w:rPr>
              <w:t>dvice</w:t>
            </w:r>
          </w:p>
        </w:tc>
        <w:tc>
          <w:tcPr>
            <w:tcW w:w="1701" w:type="dxa"/>
            <w:shd w:val="clear" w:color="auto" w:fill="F2F2F2" w:themeFill="background1" w:themeFillShade="F2"/>
          </w:tcPr>
          <w:p w:rsidR="009E63BE" w:rsidRDefault="009E63BE" w:rsidP="00FA2C75">
            <w:pPr>
              <w:spacing w:before="60" w:after="60"/>
              <w:jc w:val="center"/>
              <w:rPr>
                <w:rFonts w:ascii="Arial" w:hAnsi="Arial" w:cs="Arial"/>
                <w:b/>
                <w:sz w:val="20"/>
                <w:szCs w:val="20"/>
              </w:rPr>
            </w:pPr>
            <w:r w:rsidRPr="00DC1041">
              <w:rPr>
                <w:rFonts w:ascii="Arial" w:hAnsi="Arial" w:cs="Arial"/>
                <w:b/>
                <w:sz w:val="20"/>
                <w:szCs w:val="20"/>
              </w:rPr>
              <w:t>Current Fee</w:t>
            </w:r>
          </w:p>
          <w:p w:rsidR="009E63BE" w:rsidRPr="00DC1041" w:rsidRDefault="009E63BE" w:rsidP="00FA2C75">
            <w:pPr>
              <w:spacing w:before="60" w:after="60"/>
              <w:jc w:val="center"/>
              <w:rPr>
                <w:rFonts w:ascii="Arial" w:hAnsi="Arial" w:cs="Arial"/>
                <w:b/>
                <w:sz w:val="20"/>
                <w:szCs w:val="20"/>
              </w:rPr>
            </w:pPr>
            <w:r>
              <w:rPr>
                <w:rFonts w:ascii="Arial" w:hAnsi="Arial" w:cs="Arial"/>
                <w:b/>
                <w:sz w:val="20"/>
                <w:szCs w:val="20"/>
              </w:rPr>
              <w:t>$</w:t>
            </w:r>
          </w:p>
        </w:tc>
        <w:tc>
          <w:tcPr>
            <w:tcW w:w="1621" w:type="dxa"/>
            <w:shd w:val="clear" w:color="auto" w:fill="F2F2F2" w:themeFill="background1" w:themeFillShade="F2"/>
          </w:tcPr>
          <w:p w:rsidR="009E63BE" w:rsidRDefault="009E63BE" w:rsidP="00FA2C75">
            <w:pPr>
              <w:spacing w:before="60" w:after="60"/>
              <w:jc w:val="center"/>
              <w:rPr>
                <w:rFonts w:ascii="Arial" w:hAnsi="Arial" w:cs="Arial"/>
                <w:b/>
                <w:sz w:val="20"/>
                <w:szCs w:val="20"/>
              </w:rPr>
            </w:pPr>
            <w:r w:rsidRPr="00DC1041">
              <w:rPr>
                <w:rFonts w:ascii="Arial" w:hAnsi="Arial" w:cs="Arial"/>
                <w:b/>
                <w:sz w:val="20"/>
                <w:szCs w:val="20"/>
              </w:rPr>
              <w:t>Proposed Fee</w:t>
            </w:r>
          </w:p>
          <w:p w:rsidR="009E63BE" w:rsidRPr="00DC1041" w:rsidRDefault="009E63BE" w:rsidP="00FA2C75">
            <w:pPr>
              <w:spacing w:before="60" w:after="60"/>
              <w:jc w:val="center"/>
              <w:rPr>
                <w:rFonts w:ascii="Arial" w:hAnsi="Arial" w:cs="Arial"/>
                <w:b/>
                <w:sz w:val="20"/>
                <w:szCs w:val="20"/>
              </w:rPr>
            </w:pPr>
            <w:r>
              <w:rPr>
                <w:rFonts w:ascii="Arial" w:hAnsi="Arial" w:cs="Arial"/>
                <w:b/>
                <w:sz w:val="20"/>
                <w:szCs w:val="20"/>
              </w:rPr>
              <w:t>$</w:t>
            </w:r>
          </w:p>
        </w:tc>
      </w:tr>
      <w:tr w:rsidR="009E63BE" w:rsidRPr="00FC6804" w:rsidTr="00FA2C75">
        <w:tc>
          <w:tcPr>
            <w:tcW w:w="5920" w:type="dxa"/>
          </w:tcPr>
          <w:p w:rsidR="009E63BE" w:rsidRDefault="009E63BE" w:rsidP="00FA2C75">
            <w:pPr>
              <w:spacing w:before="60" w:after="60"/>
              <w:rPr>
                <w:rFonts w:ascii="Arial" w:eastAsia="Times New Roman" w:hAnsi="Arial" w:cs="Arial"/>
                <w:sz w:val="20"/>
                <w:szCs w:val="20"/>
                <w:lang w:eastAsia="en-AU"/>
              </w:rPr>
            </w:pPr>
            <w:r>
              <w:rPr>
                <w:rFonts w:ascii="Arial" w:hAnsi="Arial" w:cs="Arial"/>
                <w:sz w:val="20"/>
                <w:szCs w:val="20"/>
              </w:rPr>
              <w:t>All licence types</w:t>
            </w:r>
          </w:p>
        </w:tc>
        <w:tc>
          <w:tcPr>
            <w:tcW w:w="1701" w:type="dxa"/>
          </w:tcPr>
          <w:p w:rsidR="009E63BE" w:rsidRPr="00FC6804" w:rsidRDefault="00770BCA" w:rsidP="00FA2C75">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N</w:t>
            </w:r>
            <w:r w:rsidR="009E63BE">
              <w:rPr>
                <w:rFonts w:ascii="Arial" w:eastAsia="Times New Roman" w:hAnsi="Arial" w:cs="Arial"/>
                <w:sz w:val="20"/>
                <w:szCs w:val="20"/>
                <w:lang w:eastAsia="en-AU"/>
              </w:rPr>
              <w:t>ot available</w:t>
            </w:r>
          </w:p>
        </w:tc>
        <w:tc>
          <w:tcPr>
            <w:tcW w:w="1621" w:type="dxa"/>
            <w:vAlign w:val="center"/>
          </w:tcPr>
          <w:p w:rsidR="009E63BE" w:rsidRPr="00FC6804" w:rsidRDefault="009E63BE" w:rsidP="00FA2C75">
            <w:pPr>
              <w:spacing w:before="60" w:after="60"/>
              <w:jc w:val="center"/>
              <w:rPr>
                <w:rFonts w:ascii="Arial" w:eastAsia="Times New Roman" w:hAnsi="Arial" w:cs="Arial"/>
                <w:sz w:val="20"/>
                <w:szCs w:val="20"/>
                <w:lang w:eastAsia="en-AU"/>
              </w:rPr>
            </w:pPr>
            <w:r>
              <w:rPr>
                <w:rFonts w:ascii="Arial" w:eastAsia="Times New Roman" w:hAnsi="Arial" w:cs="Arial"/>
                <w:sz w:val="20"/>
                <w:szCs w:val="20"/>
                <w:lang w:eastAsia="en-AU"/>
              </w:rPr>
              <w:t>250 per hour (ex GST)</w:t>
            </w:r>
          </w:p>
        </w:tc>
      </w:tr>
    </w:tbl>
    <w:p w:rsidR="006A1967" w:rsidRPr="00FC6804" w:rsidRDefault="006A1967" w:rsidP="00D5570D">
      <w:pPr>
        <w:spacing w:after="0" w:line="240" w:lineRule="auto"/>
        <w:rPr>
          <w:rFonts w:ascii="Arial" w:hAnsi="Arial" w:cs="Arial"/>
          <w:sz w:val="20"/>
          <w:szCs w:val="20"/>
        </w:rPr>
      </w:pPr>
    </w:p>
    <w:p w:rsidR="006A1967" w:rsidRPr="00FC6804" w:rsidRDefault="006A1967" w:rsidP="00D5570D">
      <w:pPr>
        <w:pStyle w:val="Heading2"/>
        <w:numPr>
          <w:ilvl w:val="1"/>
          <w:numId w:val="2"/>
        </w:numPr>
        <w:rPr>
          <w:rFonts w:cs="Arial"/>
          <w:b/>
          <w:szCs w:val="20"/>
        </w:rPr>
      </w:pPr>
      <w:bookmarkStart w:id="15" w:name="_Toc443915350"/>
      <w:r w:rsidRPr="00FC6804">
        <w:rPr>
          <w:rFonts w:cs="Arial"/>
          <w:b/>
          <w:szCs w:val="20"/>
        </w:rPr>
        <w:t>Expected benefits of the option</w:t>
      </w:r>
      <w:bookmarkEnd w:id="15"/>
    </w:p>
    <w:p w:rsidR="006A1967" w:rsidRPr="00FC6804" w:rsidRDefault="006A1967" w:rsidP="00D5570D">
      <w:pPr>
        <w:spacing w:after="0" w:line="240" w:lineRule="auto"/>
        <w:rPr>
          <w:rFonts w:ascii="Arial" w:hAnsi="Arial" w:cs="Arial"/>
          <w:sz w:val="20"/>
          <w:szCs w:val="20"/>
        </w:rPr>
      </w:pPr>
    </w:p>
    <w:p w:rsidR="006A1967" w:rsidRPr="00FC6804" w:rsidRDefault="006A1967" w:rsidP="00D5570D">
      <w:pPr>
        <w:spacing w:after="0" w:line="240" w:lineRule="auto"/>
        <w:rPr>
          <w:rFonts w:ascii="Arial" w:hAnsi="Arial" w:cs="Arial"/>
          <w:sz w:val="20"/>
          <w:szCs w:val="20"/>
        </w:rPr>
      </w:pPr>
      <w:r w:rsidRPr="00FC6804">
        <w:rPr>
          <w:rFonts w:ascii="Arial" w:hAnsi="Arial" w:cs="Arial"/>
          <w:sz w:val="20"/>
          <w:szCs w:val="20"/>
        </w:rPr>
        <w:t>Option 1 would have the benefit of simplicity and of the changes to licence fees being readily under</w:t>
      </w:r>
      <w:r w:rsidR="00D5570D" w:rsidRPr="00FC6804">
        <w:rPr>
          <w:rFonts w:ascii="Arial" w:hAnsi="Arial" w:cs="Arial"/>
          <w:sz w:val="20"/>
          <w:szCs w:val="20"/>
        </w:rPr>
        <w:t xml:space="preserve">stood by all affected parties. </w:t>
      </w:r>
      <w:r w:rsidRPr="00FC6804">
        <w:rPr>
          <w:rFonts w:ascii="Arial" w:hAnsi="Arial" w:cs="Arial"/>
          <w:sz w:val="20"/>
          <w:szCs w:val="20"/>
        </w:rPr>
        <w:t>The curren</w:t>
      </w:r>
      <w:r w:rsidR="0055564C">
        <w:rPr>
          <w:rFonts w:ascii="Arial" w:hAnsi="Arial" w:cs="Arial"/>
          <w:sz w:val="20"/>
          <w:szCs w:val="20"/>
        </w:rPr>
        <w:t xml:space="preserve">t licence fee structure is well </w:t>
      </w:r>
      <w:r w:rsidRPr="00FC6804">
        <w:rPr>
          <w:rFonts w:ascii="Arial" w:hAnsi="Arial" w:cs="Arial"/>
          <w:sz w:val="20"/>
          <w:szCs w:val="20"/>
        </w:rPr>
        <w:t>accepted by stakeholders and a simple, across the board approach to fee increases is al</w:t>
      </w:r>
      <w:r w:rsidR="0055564C">
        <w:rPr>
          <w:rFonts w:ascii="Arial" w:hAnsi="Arial" w:cs="Arial"/>
          <w:sz w:val="20"/>
          <w:szCs w:val="20"/>
        </w:rPr>
        <w:t xml:space="preserve">so likely to be relatively well </w:t>
      </w:r>
      <w:r w:rsidRPr="00FC6804">
        <w:rPr>
          <w:rFonts w:ascii="Arial" w:hAnsi="Arial" w:cs="Arial"/>
          <w:sz w:val="20"/>
          <w:szCs w:val="20"/>
        </w:rPr>
        <w:t xml:space="preserve">accepted.  </w:t>
      </w:r>
    </w:p>
    <w:p w:rsidR="006A1967" w:rsidRPr="00FC6804" w:rsidRDefault="006A1967" w:rsidP="00D5570D">
      <w:pPr>
        <w:spacing w:after="0" w:line="240" w:lineRule="auto"/>
        <w:rPr>
          <w:rFonts w:ascii="Arial" w:hAnsi="Arial" w:cs="Arial"/>
          <w:sz w:val="20"/>
          <w:szCs w:val="20"/>
        </w:rPr>
      </w:pPr>
      <w:r w:rsidRPr="00FC6804">
        <w:rPr>
          <w:rFonts w:ascii="Arial" w:hAnsi="Arial" w:cs="Arial"/>
          <w:sz w:val="20"/>
          <w:szCs w:val="20"/>
        </w:rPr>
        <w:t>In addition, this option could be seen as appropriate given the limitations in the quality of Prime</w:t>
      </w:r>
      <w:r w:rsidR="00D5570D" w:rsidRPr="00FC6804">
        <w:rPr>
          <w:rFonts w:ascii="Arial" w:hAnsi="Arial" w:cs="Arial"/>
          <w:sz w:val="20"/>
          <w:szCs w:val="20"/>
        </w:rPr>
        <w:t>S</w:t>
      </w:r>
      <w:r w:rsidRPr="00FC6804">
        <w:rPr>
          <w:rFonts w:ascii="Arial" w:hAnsi="Arial" w:cs="Arial"/>
          <w:sz w:val="20"/>
          <w:szCs w:val="20"/>
        </w:rPr>
        <w:t xml:space="preserve">afe’s current cost information.  In this view, Option 1 would be regarded as an interim option, to be adopted pending the development of a better cost database which would enable a better balancing of costs and fees for different groups of licensees to be developed </w:t>
      </w:r>
      <w:r w:rsidR="000372E0" w:rsidRPr="00FC6804">
        <w:rPr>
          <w:rFonts w:ascii="Arial" w:hAnsi="Arial" w:cs="Arial"/>
          <w:sz w:val="20"/>
          <w:szCs w:val="20"/>
        </w:rPr>
        <w:t>in the medium term.</w:t>
      </w:r>
    </w:p>
    <w:p w:rsidR="000372E0" w:rsidRPr="00FC6804" w:rsidRDefault="000372E0" w:rsidP="00D5570D">
      <w:pPr>
        <w:spacing w:after="0" w:line="240" w:lineRule="auto"/>
        <w:rPr>
          <w:rFonts w:ascii="Arial" w:hAnsi="Arial" w:cs="Arial"/>
          <w:sz w:val="20"/>
          <w:szCs w:val="20"/>
        </w:rPr>
      </w:pPr>
    </w:p>
    <w:p w:rsidR="000372E0" w:rsidRPr="00FC6804" w:rsidRDefault="000372E0" w:rsidP="00D5570D">
      <w:pPr>
        <w:pStyle w:val="Heading2"/>
        <w:numPr>
          <w:ilvl w:val="1"/>
          <w:numId w:val="2"/>
        </w:numPr>
        <w:rPr>
          <w:rFonts w:cs="Arial"/>
          <w:b/>
          <w:szCs w:val="20"/>
        </w:rPr>
      </w:pPr>
      <w:bookmarkStart w:id="16" w:name="_Toc443915351"/>
      <w:r w:rsidRPr="00FC6804">
        <w:rPr>
          <w:rFonts w:cs="Arial"/>
          <w:b/>
          <w:szCs w:val="20"/>
        </w:rPr>
        <w:t>Expected costs of the option</w:t>
      </w:r>
      <w:bookmarkEnd w:id="16"/>
    </w:p>
    <w:p w:rsidR="000372E0" w:rsidRPr="00FC6804" w:rsidRDefault="000372E0" w:rsidP="00D5570D">
      <w:pPr>
        <w:spacing w:after="0" w:line="240" w:lineRule="auto"/>
        <w:rPr>
          <w:rFonts w:ascii="Arial" w:hAnsi="Arial" w:cs="Arial"/>
          <w:sz w:val="20"/>
          <w:szCs w:val="20"/>
        </w:rPr>
      </w:pPr>
    </w:p>
    <w:p w:rsidR="000372E0" w:rsidRPr="00FC6804" w:rsidRDefault="000372E0" w:rsidP="00D5570D">
      <w:pPr>
        <w:spacing w:after="0" w:line="240" w:lineRule="auto"/>
        <w:rPr>
          <w:rFonts w:ascii="Arial" w:hAnsi="Arial" w:cs="Arial"/>
          <w:sz w:val="20"/>
          <w:szCs w:val="20"/>
        </w:rPr>
      </w:pPr>
      <w:r w:rsidRPr="00FC6804">
        <w:rPr>
          <w:rFonts w:ascii="Arial" w:hAnsi="Arial" w:cs="Arial"/>
          <w:sz w:val="20"/>
          <w:szCs w:val="20"/>
        </w:rPr>
        <w:t xml:space="preserve">The key cost of adopting Option 1 is that it would make no improvements to the existing fee structure.  While there are some limitations to the quality of available cost data, </w:t>
      </w:r>
      <w:r w:rsidR="00D5570D" w:rsidRPr="00FC6804">
        <w:rPr>
          <w:rFonts w:ascii="Arial" w:hAnsi="Arial" w:cs="Arial"/>
          <w:sz w:val="20"/>
          <w:szCs w:val="20"/>
        </w:rPr>
        <w:t>PrimeSafe</w:t>
      </w:r>
      <w:r w:rsidRPr="00FC6804">
        <w:rPr>
          <w:rFonts w:ascii="Arial" w:hAnsi="Arial" w:cs="Arial"/>
          <w:sz w:val="20"/>
          <w:szCs w:val="20"/>
        </w:rPr>
        <w:t xml:space="preserve"> believes that it is sufficiently robust to potentially be used as the basis for improving the current alignment of r</w:t>
      </w:r>
      <w:r w:rsidR="00D5570D" w:rsidRPr="00FC6804">
        <w:rPr>
          <w:rFonts w:ascii="Arial" w:hAnsi="Arial" w:cs="Arial"/>
          <w:sz w:val="20"/>
          <w:szCs w:val="20"/>
        </w:rPr>
        <w:t xml:space="preserve">egulatory costs and fees paid. </w:t>
      </w:r>
      <w:r w:rsidRPr="00FC6804">
        <w:rPr>
          <w:rFonts w:ascii="Arial" w:hAnsi="Arial" w:cs="Arial"/>
          <w:sz w:val="20"/>
          <w:szCs w:val="20"/>
        </w:rPr>
        <w:t xml:space="preserve">Thus, adopting Option 1 would forego the possibility of making some movement in this direction.  </w:t>
      </w:r>
    </w:p>
    <w:p w:rsidR="00D5570D" w:rsidRPr="00FC6804" w:rsidRDefault="00D5570D" w:rsidP="00D5570D">
      <w:pPr>
        <w:spacing w:after="0" w:line="240" w:lineRule="auto"/>
        <w:rPr>
          <w:rFonts w:ascii="Arial" w:hAnsi="Arial" w:cs="Arial"/>
          <w:sz w:val="20"/>
          <w:szCs w:val="20"/>
        </w:rPr>
      </w:pPr>
    </w:p>
    <w:p w:rsidR="000372E0" w:rsidRPr="00FC6804" w:rsidRDefault="000372E0" w:rsidP="00D5570D">
      <w:pPr>
        <w:spacing w:after="0" w:line="240" w:lineRule="auto"/>
        <w:rPr>
          <w:rFonts w:ascii="Arial" w:hAnsi="Arial" w:cs="Arial"/>
          <w:sz w:val="20"/>
          <w:szCs w:val="20"/>
        </w:rPr>
      </w:pPr>
      <w:r w:rsidRPr="00FC6804">
        <w:rPr>
          <w:rFonts w:ascii="Arial" w:hAnsi="Arial" w:cs="Arial"/>
          <w:sz w:val="20"/>
          <w:szCs w:val="20"/>
        </w:rPr>
        <w:t>Adopting Option 1 would also perpetuate the current, unduly complex set of output-based fee categories, despite the fact that some categories have no licensees in them and others have only one or two.</w:t>
      </w:r>
    </w:p>
    <w:p w:rsidR="00D5570D" w:rsidRPr="00FC6804" w:rsidRDefault="00D5570D" w:rsidP="00D5570D">
      <w:pPr>
        <w:spacing w:after="0" w:line="240" w:lineRule="auto"/>
        <w:rPr>
          <w:rFonts w:ascii="Arial" w:hAnsi="Arial" w:cs="Arial"/>
          <w:sz w:val="20"/>
          <w:szCs w:val="20"/>
        </w:rPr>
      </w:pPr>
    </w:p>
    <w:p w:rsidR="000372E0" w:rsidRPr="00FC6804" w:rsidRDefault="000372E0" w:rsidP="00D5570D">
      <w:pPr>
        <w:spacing w:after="0" w:line="240" w:lineRule="auto"/>
      </w:pPr>
      <w:r w:rsidRPr="00FC6804">
        <w:rPr>
          <w:rFonts w:ascii="Arial" w:hAnsi="Arial" w:cs="Arial"/>
          <w:sz w:val="20"/>
          <w:szCs w:val="20"/>
        </w:rPr>
        <w:t xml:space="preserve">Finally, adopting this option would depart substantially from the expectations of </w:t>
      </w:r>
      <w:r w:rsidR="00D5570D" w:rsidRPr="00FC6804">
        <w:rPr>
          <w:rFonts w:ascii="Arial" w:hAnsi="Arial" w:cs="Arial"/>
          <w:sz w:val="20"/>
          <w:szCs w:val="20"/>
        </w:rPr>
        <w:t>PrimeSafe</w:t>
      </w:r>
      <w:r w:rsidRPr="00FC6804">
        <w:rPr>
          <w:rFonts w:ascii="Arial" w:hAnsi="Arial" w:cs="Arial"/>
          <w:sz w:val="20"/>
          <w:szCs w:val="20"/>
        </w:rPr>
        <w:t xml:space="preserve"> licensees.  </w:t>
      </w:r>
      <w:r w:rsidR="00D5570D" w:rsidRPr="00FC6804">
        <w:rPr>
          <w:rFonts w:ascii="Arial" w:hAnsi="Arial" w:cs="Arial"/>
          <w:sz w:val="20"/>
          <w:szCs w:val="20"/>
        </w:rPr>
        <w:t>PrimeSafe</w:t>
      </w:r>
      <w:r w:rsidRPr="00FC6804">
        <w:rPr>
          <w:rFonts w:ascii="Arial" w:hAnsi="Arial" w:cs="Arial"/>
          <w:sz w:val="20"/>
          <w:szCs w:val="20"/>
        </w:rPr>
        <w:t xml:space="preserve"> conducted an extensive consultation process regarding the need to make changes to its existing fees throughout 2015, as summarised in Section 1</w:t>
      </w:r>
      <w:r w:rsidR="002B3F40">
        <w:rPr>
          <w:rFonts w:ascii="Arial" w:hAnsi="Arial" w:cs="Arial"/>
          <w:sz w:val="20"/>
          <w:szCs w:val="20"/>
        </w:rPr>
        <w:t>3</w:t>
      </w:r>
      <w:r w:rsidRPr="00FC6804">
        <w:rPr>
          <w:rFonts w:ascii="Arial" w:hAnsi="Arial" w:cs="Arial"/>
          <w:sz w:val="20"/>
          <w:szCs w:val="20"/>
        </w:rPr>
        <w:t>, with the result that licensees generally expect a number of s</w:t>
      </w:r>
      <w:r w:rsidR="00D5570D" w:rsidRPr="00FC6804">
        <w:rPr>
          <w:rFonts w:ascii="Arial" w:hAnsi="Arial" w:cs="Arial"/>
          <w:sz w:val="20"/>
          <w:szCs w:val="20"/>
        </w:rPr>
        <w:t xml:space="preserve">ubstantive changes to be made. </w:t>
      </w:r>
      <w:r w:rsidRPr="00FC6804">
        <w:rPr>
          <w:rFonts w:ascii="Arial" w:hAnsi="Arial" w:cs="Arial"/>
          <w:sz w:val="20"/>
          <w:szCs w:val="20"/>
        </w:rPr>
        <w:t>Adopting Option 1 would have clear negative implications for stakeholder relationships.</w:t>
      </w:r>
    </w:p>
    <w:p w:rsidR="00D5570D" w:rsidRPr="00FC6804" w:rsidRDefault="00D5570D" w:rsidP="00394D4D">
      <w:pPr>
        <w:sectPr w:rsidR="00D5570D" w:rsidRPr="00FC6804" w:rsidSect="00245D1C">
          <w:pgSz w:w="11906" w:h="16838" w:code="9"/>
          <w:pgMar w:top="1440" w:right="1440" w:bottom="1440" w:left="1440" w:header="567" w:footer="567" w:gutter="0"/>
          <w:cols w:space="708"/>
          <w:docGrid w:linePitch="360"/>
        </w:sectPr>
      </w:pPr>
    </w:p>
    <w:p w:rsidR="00D721C6" w:rsidRPr="00FC6804" w:rsidRDefault="00D721C6" w:rsidP="0026792B">
      <w:pPr>
        <w:pStyle w:val="Heading1"/>
      </w:pPr>
      <w:bookmarkStart w:id="17" w:name="_Toc443915352"/>
      <w:r w:rsidRPr="00FC6804">
        <w:t xml:space="preserve">Option </w:t>
      </w:r>
      <w:r w:rsidR="009A6560" w:rsidRPr="00FC6804">
        <w:t>2</w:t>
      </w:r>
      <w:r w:rsidRPr="00FC6804">
        <w:t>: Limited amendments to the existing fee schedule</w:t>
      </w:r>
      <w:bookmarkEnd w:id="17"/>
    </w:p>
    <w:p w:rsidR="00D721C6" w:rsidRPr="00FC6804" w:rsidRDefault="00D721C6" w:rsidP="00E30FAF">
      <w:pPr>
        <w:spacing w:after="0" w:line="240" w:lineRule="auto"/>
        <w:rPr>
          <w:rFonts w:ascii="Arial" w:hAnsi="Arial" w:cs="Arial"/>
          <w:sz w:val="20"/>
          <w:szCs w:val="20"/>
        </w:rPr>
      </w:pPr>
    </w:p>
    <w:p w:rsidR="00D721C6" w:rsidRPr="00FC6804" w:rsidRDefault="00D721C6" w:rsidP="00E30FAF">
      <w:pPr>
        <w:pStyle w:val="Heading2"/>
        <w:numPr>
          <w:ilvl w:val="1"/>
          <w:numId w:val="2"/>
        </w:numPr>
        <w:rPr>
          <w:rFonts w:cs="Arial"/>
          <w:b/>
          <w:szCs w:val="20"/>
        </w:rPr>
      </w:pPr>
      <w:bookmarkStart w:id="18" w:name="_Toc443915353"/>
      <w:r w:rsidRPr="00FC6804">
        <w:rPr>
          <w:rFonts w:cs="Arial"/>
          <w:b/>
          <w:szCs w:val="20"/>
        </w:rPr>
        <w:t>Description of the option</w:t>
      </w:r>
      <w:bookmarkEnd w:id="18"/>
    </w:p>
    <w:p w:rsidR="00D721C6" w:rsidRPr="00FC6804" w:rsidRDefault="00D721C6" w:rsidP="00E30FAF">
      <w:pPr>
        <w:spacing w:after="0" w:line="240" w:lineRule="auto"/>
        <w:rPr>
          <w:rFonts w:ascii="Arial" w:hAnsi="Arial" w:cs="Arial"/>
          <w:sz w:val="20"/>
          <w:szCs w:val="20"/>
        </w:rPr>
      </w:pPr>
    </w:p>
    <w:p w:rsidR="00D721C6" w:rsidRPr="00FC6804" w:rsidRDefault="00D721C6" w:rsidP="00E30FAF">
      <w:pPr>
        <w:spacing w:after="0" w:line="240" w:lineRule="auto"/>
        <w:rPr>
          <w:rFonts w:ascii="Arial" w:hAnsi="Arial" w:cs="Arial"/>
          <w:sz w:val="20"/>
          <w:szCs w:val="20"/>
        </w:rPr>
      </w:pPr>
      <w:r w:rsidRPr="00FC6804">
        <w:rPr>
          <w:rFonts w:ascii="Arial" w:hAnsi="Arial" w:cs="Arial"/>
          <w:sz w:val="20"/>
          <w:szCs w:val="20"/>
        </w:rPr>
        <w:t xml:space="preserve">The first option to address the problems identified in </w:t>
      </w:r>
      <w:r w:rsidR="00E30FAF" w:rsidRPr="00FC6804">
        <w:rPr>
          <w:rFonts w:ascii="Arial" w:hAnsi="Arial" w:cs="Arial"/>
          <w:sz w:val="20"/>
          <w:szCs w:val="20"/>
        </w:rPr>
        <w:t>S</w:t>
      </w:r>
      <w:r w:rsidRPr="00FC6804">
        <w:rPr>
          <w:rFonts w:ascii="Arial" w:hAnsi="Arial" w:cs="Arial"/>
          <w:sz w:val="20"/>
          <w:szCs w:val="20"/>
        </w:rPr>
        <w:t xml:space="preserve">ection </w:t>
      </w:r>
      <w:r w:rsidR="002B3F40">
        <w:rPr>
          <w:rFonts w:ascii="Arial" w:hAnsi="Arial" w:cs="Arial"/>
          <w:sz w:val="20"/>
          <w:szCs w:val="20"/>
        </w:rPr>
        <w:t>5</w:t>
      </w:r>
      <w:r w:rsidRPr="00FC6804">
        <w:rPr>
          <w:rFonts w:ascii="Arial" w:hAnsi="Arial" w:cs="Arial"/>
          <w:sz w:val="20"/>
          <w:szCs w:val="20"/>
        </w:rPr>
        <w:t xml:space="preserve"> involves adopting a limited range of changes to the existing fee structure that would go some way toward equalising the degree of cost recovery achieved among different </w:t>
      </w:r>
      <w:r w:rsidR="002B3F40">
        <w:rPr>
          <w:rFonts w:ascii="Arial" w:hAnsi="Arial" w:cs="Arial"/>
          <w:sz w:val="20"/>
          <w:szCs w:val="20"/>
        </w:rPr>
        <w:t>licence categories</w:t>
      </w:r>
      <w:r w:rsidRPr="00FC6804">
        <w:rPr>
          <w:rFonts w:ascii="Arial" w:hAnsi="Arial" w:cs="Arial"/>
          <w:sz w:val="20"/>
          <w:szCs w:val="20"/>
        </w:rPr>
        <w:t xml:space="preserve"> and wo</w:t>
      </w:r>
      <w:r w:rsidR="002B3F40">
        <w:rPr>
          <w:rFonts w:ascii="Arial" w:hAnsi="Arial" w:cs="Arial"/>
          <w:sz w:val="20"/>
          <w:szCs w:val="20"/>
        </w:rPr>
        <w:t xml:space="preserve">uld also rationalise the output </w:t>
      </w:r>
      <w:r w:rsidRPr="00FC6804">
        <w:rPr>
          <w:rFonts w:ascii="Arial" w:hAnsi="Arial" w:cs="Arial"/>
          <w:sz w:val="20"/>
          <w:szCs w:val="20"/>
        </w:rPr>
        <w:t xml:space="preserve">based fee categories in the major licence categories of abattoirs, further meat </w:t>
      </w:r>
      <w:r w:rsidR="002B3F40">
        <w:rPr>
          <w:rFonts w:ascii="Arial" w:hAnsi="Arial" w:cs="Arial"/>
          <w:sz w:val="20"/>
          <w:szCs w:val="20"/>
        </w:rPr>
        <w:t>processing facilities and poultry processing facilities.</w:t>
      </w:r>
    </w:p>
    <w:p w:rsidR="00E30FAF" w:rsidRPr="00FC6804" w:rsidRDefault="00E30FAF" w:rsidP="00E30FAF">
      <w:pPr>
        <w:spacing w:after="0" w:line="240" w:lineRule="auto"/>
        <w:rPr>
          <w:rFonts w:ascii="Arial" w:hAnsi="Arial" w:cs="Arial"/>
          <w:sz w:val="20"/>
          <w:szCs w:val="20"/>
        </w:rPr>
      </w:pPr>
    </w:p>
    <w:p w:rsidR="00E30FAF" w:rsidRDefault="00D721C6" w:rsidP="00E30FAF">
      <w:pPr>
        <w:spacing w:after="0" w:line="240" w:lineRule="auto"/>
        <w:rPr>
          <w:rFonts w:ascii="Arial" w:hAnsi="Arial" w:cs="Arial"/>
          <w:sz w:val="20"/>
          <w:szCs w:val="20"/>
        </w:rPr>
      </w:pPr>
      <w:r w:rsidRPr="00FC6804">
        <w:rPr>
          <w:rFonts w:ascii="Arial" w:hAnsi="Arial" w:cs="Arial"/>
          <w:sz w:val="20"/>
          <w:szCs w:val="20"/>
        </w:rPr>
        <w:t xml:space="preserve">Table </w:t>
      </w:r>
      <w:r w:rsidR="00E30FAF" w:rsidRPr="00FC6804">
        <w:rPr>
          <w:rFonts w:ascii="Arial" w:hAnsi="Arial" w:cs="Arial"/>
          <w:sz w:val="20"/>
          <w:szCs w:val="20"/>
        </w:rPr>
        <w:t>9</w:t>
      </w:r>
      <w:r w:rsidR="002B3F40">
        <w:rPr>
          <w:rFonts w:ascii="Arial" w:hAnsi="Arial" w:cs="Arial"/>
          <w:sz w:val="20"/>
          <w:szCs w:val="20"/>
        </w:rPr>
        <w:t xml:space="preserve">.1 </w:t>
      </w:r>
      <w:r w:rsidRPr="00FC6804">
        <w:rPr>
          <w:rFonts w:ascii="Arial" w:hAnsi="Arial" w:cs="Arial"/>
          <w:sz w:val="20"/>
          <w:szCs w:val="20"/>
        </w:rPr>
        <w:t xml:space="preserve">sets out the fees that would be adopted under </w:t>
      </w:r>
      <w:r w:rsidR="00E30FAF" w:rsidRPr="00FC6804">
        <w:rPr>
          <w:rFonts w:ascii="Arial" w:hAnsi="Arial" w:cs="Arial"/>
          <w:sz w:val="20"/>
          <w:szCs w:val="20"/>
        </w:rPr>
        <w:t>O</w:t>
      </w:r>
      <w:r w:rsidRPr="00FC6804">
        <w:rPr>
          <w:rFonts w:ascii="Arial" w:hAnsi="Arial" w:cs="Arial"/>
          <w:sz w:val="20"/>
          <w:szCs w:val="20"/>
        </w:rPr>
        <w:t xml:space="preserve">ption </w:t>
      </w:r>
      <w:r w:rsidR="00E30FAF" w:rsidRPr="00FC6804">
        <w:rPr>
          <w:rFonts w:ascii="Arial" w:hAnsi="Arial" w:cs="Arial"/>
          <w:sz w:val="20"/>
          <w:szCs w:val="20"/>
        </w:rPr>
        <w:t>2</w:t>
      </w:r>
      <w:r w:rsidRPr="00FC6804">
        <w:rPr>
          <w:rFonts w:ascii="Arial" w:hAnsi="Arial" w:cs="Arial"/>
          <w:sz w:val="20"/>
          <w:szCs w:val="20"/>
        </w:rPr>
        <w:t xml:space="preserve"> and compares these with the existing fee</w:t>
      </w:r>
      <w:r w:rsidR="002B3F40">
        <w:rPr>
          <w:rFonts w:ascii="Arial" w:hAnsi="Arial" w:cs="Arial"/>
          <w:sz w:val="20"/>
          <w:szCs w:val="20"/>
        </w:rPr>
        <w:t xml:space="preserve"> structure. </w:t>
      </w:r>
      <w:r w:rsidR="00EC0F7F" w:rsidRPr="00FC6804">
        <w:rPr>
          <w:rFonts w:ascii="Arial" w:hAnsi="Arial" w:cs="Arial"/>
          <w:sz w:val="20"/>
          <w:szCs w:val="20"/>
        </w:rPr>
        <w:t>Real fee increases would be adopted</w:t>
      </w:r>
      <w:r w:rsidR="00EC0F7F" w:rsidRPr="00FC6804">
        <w:rPr>
          <w:rStyle w:val="FootnoteReference"/>
          <w:rFonts w:ascii="Arial" w:hAnsi="Arial" w:cs="Arial"/>
          <w:sz w:val="20"/>
          <w:szCs w:val="20"/>
        </w:rPr>
        <w:footnoteReference w:id="19"/>
      </w:r>
      <w:r w:rsidR="00EC0F7F" w:rsidRPr="00FC6804">
        <w:rPr>
          <w:rFonts w:ascii="Arial" w:hAnsi="Arial" w:cs="Arial"/>
          <w:sz w:val="20"/>
          <w:szCs w:val="20"/>
        </w:rPr>
        <w:t xml:space="preserve"> in all but two categories; seafood processing and other meat processing</w:t>
      </w:r>
      <w:r w:rsidR="00EC0F7F" w:rsidRPr="00FC6804">
        <w:rPr>
          <w:rStyle w:val="FootnoteReference"/>
          <w:rFonts w:ascii="Arial" w:hAnsi="Arial" w:cs="Arial"/>
          <w:sz w:val="20"/>
          <w:szCs w:val="20"/>
        </w:rPr>
        <w:footnoteReference w:id="20"/>
      </w:r>
      <w:r w:rsidR="00E30FAF" w:rsidRPr="00FC6804">
        <w:rPr>
          <w:rFonts w:ascii="Arial" w:hAnsi="Arial" w:cs="Arial"/>
          <w:sz w:val="20"/>
          <w:szCs w:val="20"/>
        </w:rPr>
        <w:t xml:space="preserve">. </w:t>
      </w:r>
      <w:r w:rsidR="00EC0F7F" w:rsidRPr="00FC6804">
        <w:rPr>
          <w:rFonts w:ascii="Arial" w:hAnsi="Arial" w:cs="Arial"/>
          <w:sz w:val="20"/>
          <w:szCs w:val="20"/>
        </w:rPr>
        <w:t>Licence fees in these latter categories wo</w:t>
      </w:r>
      <w:r w:rsidR="002B3F40">
        <w:rPr>
          <w:rFonts w:ascii="Arial" w:hAnsi="Arial" w:cs="Arial"/>
          <w:sz w:val="20"/>
          <w:szCs w:val="20"/>
        </w:rPr>
        <w:t xml:space="preserve">uld only be indexed in 2016-17 </w:t>
      </w:r>
      <w:r w:rsidR="00EC0F7F" w:rsidRPr="00FC6804">
        <w:rPr>
          <w:rFonts w:ascii="Arial" w:hAnsi="Arial" w:cs="Arial"/>
          <w:sz w:val="20"/>
          <w:szCs w:val="20"/>
        </w:rPr>
        <w:t>using the rate specified by the T</w:t>
      </w:r>
      <w:r w:rsidR="00E30FAF" w:rsidRPr="00FC6804">
        <w:rPr>
          <w:rFonts w:ascii="Arial" w:hAnsi="Arial" w:cs="Arial"/>
          <w:sz w:val="20"/>
          <w:szCs w:val="20"/>
        </w:rPr>
        <w:t xml:space="preserve">reasurer in the budget context. </w:t>
      </w:r>
    </w:p>
    <w:p w:rsidR="002B3F40" w:rsidRPr="00FC6804" w:rsidRDefault="002B3F40" w:rsidP="00E30FAF">
      <w:pPr>
        <w:spacing w:after="0" w:line="240" w:lineRule="auto"/>
        <w:rPr>
          <w:rFonts w:ascii="Arial" w:hAnsi="Arial" w:cs="Arial"/>
          <w:sz w:val="20"/>
          <w:szCs w:val="20"/>
        </w:rPr>
      </w:pPr>
    </w:p>
    <w:p w:rsidR="00D721C6" w:rsidRPr="00FC6804" w:rsidRDefault="00CE3321" w:rsidP="00E30FAF">
      <w:pPr>
        <w:spacing w:after="0" w:line="240" w:lineRule="auto"/>
        <w:rPr>
          <w:rFonts w:ascii="Arial" w:hAnsi="Arial" w:cs="Arial"/>
          <w:sz w:val="20"/>
          <w:szCs w:val="20"/>
        </w:rPr>
      </w:pPr>
      <w:r w:rsidRPr="00FC6804">
        <w:rPr>
          <w:rFonts w:ascii="Arial" w:hAnsi="Arial" w:cs="Arial"/>
          <w:sz w:val="20"/>
          <w:szCs w:val="20"/>
        </w:rPr>
        <w:t xml:space="preserve">The following substantive changes to the current fees would be adopted under Option </w:t>
      </w:r>
      <w:r w:rsidR="00E30FAF" w:rsidRPr="00FC6804">
        <w:rPr>
          <w:rFonts w:ascii="Arial" w:hAnsi="Arial" w:cs="Arial"/>
          <w:sz w:val="20"/>
          <w:szCs w:val="20"/>
        </w:rPr>
        <w:t>2</w:t>
      </w:r>
      <w:r w:rsidR="00D721C6" w:rsidRPr="00FC6804">
        <w:rPr>
          <w:rFonts w:ascii="Arial" w:hAnsi="Arial" w:cs="Arial"/>
          <w:sz w:val="20"/>
          <w:szCs w:val="20"/>
        </w:rPr>
        <w:t>:</w:t>
      </w:r>
    </w:p>
    <w:p w:rsidR="00E30FAF" w:rsidRDefault="00E30FAF" w:rsidP="00E30FAF">
      <w:pPr>
        <w:spacing w:after="0" w:line="240" w:lineRule="auto"/>
        <w:rPr>
          <w:rFonts w:ascii="Arial" w:hAnsi="Arial" w:cs="Arial"/>
          <w:b/>
          <w:sz w:val="20"/>
          <w:szCs w:val="20"/>
        </w:rPr>
      </w:pPr>
    </w:p>
    <w:p w:rsidR="005E4102" w:rsidRPr="00FC6804" w:rsidRDefault="005E4102" w:rsidP="005E4102">
      <w:pPr>
        <w:spacing w:after="0" w:line="240" w:lineRule="auto"/>
        <w:rPr>
          <w:rFonts w:ascii="Arial" w:hAnsi="Arial" w:cs="Arial"/>
          <w:b/>
          <w:i/>
          <w:sz w:val="20"/>
          <w:szCs w:val="20"/>
        </w:rPr>
      </w:pPr>
      <w:r w:rsidRPr="00FC6804">
        <w:rPr>
          <w:rFonts w:ascii="Arial" w:hAnsi="Arial" w:cs="Arial"/>
          <w:b/>
          <w:i/>
          <w:sz w:val="20"/>
          <w:szCs w:val="20"/>
        </w:rPr>
        <w:t>Domestic abattoirs</w:t>
      </w:r>
    </w:p>
    <w:p w:rsidR="005E4102" w:rsidRPr="00FC6804" w:rsidRDefault="005E4102" w:rsidP="005E4102">
      <w:pPr>
        <w:spacing w:after="0" w:line="240" w:lineRule="auto"/>
        <w:rPr>
          <w:rFonts w:ascii="Arial" w:hAnsi="Arial" w:cs="Arial"/>
          <w:sz w:val="20"/>
          <w:szCs w:val="20"/>
        </w:rPr>
      </w:pPr>
    </w:p>
    <w:p w:rsidR="005E4102" w:rsidRPr="00FC6804" w:rsidRDefault="005E4102" w:rsidP="005E4102">
      <w:pPr>
        <w:spacing w:after="0" w:line="240" w:lineRule="auto"/>
        <w:rPr>
          <w:rFonts w:ascii="Arial" w:hAnsi="Arial" w:cs="Arial"/>
          <w:sz w:val="20"/>
          <w:szCs w:val="20"/>
        </w:rPr>
      </w:pPr>
      <w:r w:rsidRPr="00FC6804">
        <w:rPr>
          <w:rFonts w:ascii="Arial" w:hAnsi="Arial" w:cs="Arial"/>
          <w:sz w:val="20"/>
          <w:szCs w:val="20"/>
        </w:rPr>
        <w:t xml:space="preserve">Some changes in the real value of licence fees would occur in the domestic abattoir sector under </w:t>
      </w:r>
      <w:r w:rsidR="00122D48">
        <w:rPr>
          <w:rFonts w:ascii="Arial" w:hAnsi="Arial" w:cs="Arial"/>
          <w:sz w:val="20"/>
          <w:szCs w:val="20"/>
        </w:rPr>
        <w:t>O</w:t>
      </w:r>
      <w:r w:rsidRPr="00FC6804">
        <w:rPr>
          <w:rFonts w:ascii="Arial" w:hAnsi="Arial" w:cs="Arial"/>
          <w:sz w:val="20"/>
          <w:szCs w:val="20"/>
        </w:rPr>
        <w:t xml:space="preserve">ption </w:t>
      </w:r>
      <w:r w:rsidR="00122D48">
        <w:rPr>
          <w:rFonts w:ascii="Arial" w:hAnsi="Arial" w:cs="Arial"/>
          <w:sz w:val="20"/>
          <w:szCs w:val="20"/>
        </w:rPr>
        <w:t>2</w:t>
      </w:r>
      <w:r w:rsidRPr="00FC6804">
        <w:rPr>
          <w:rFonts w:ascii="Arial" w:hAnsi="Arial" w:cs="Arial"/>
          <w:sz w:val="20"/>
          <w:szCs w:val="20"/>
        </w:rPr>
        <w:t>, largely as a result of the consolidation of the current six output</w:t>
      </w:r>
      <w:r w:rsidR="00122D48">
        <w:rPr>
          <w:rFonts w:ascii="Arial" w:hAnsi="Arial" w:cs="Arial"/>
          <w:sz w:val="20"/>
          <w:szCs w:val="20"/>
        </w:rPr>
        <w:t xml:space="preserve"> </w:t>
      </w:r>
      <w:r w:rsidRPr="00FC6804">
        <w:rPr>
          <w:rFonts w:ascii="Arial" w:hAnsi="Arial" w:cs="Arial"/>
          <w:sz w:val="20"/>
          <w:szCs w:val="20"/>
        </w:rPr>
        <w:t>based licence categories into four categories. Thus:</w:t>
      </w:r>
    </w:p>
    <w:p w:rsidR="005E4102" w:rsidRPr="00FC6804" w:rsidRDefault="005E4102" w:rsidP="005E4102">
      <w:pPr>
        <w:spacing w:after="0" w:line="240" w:lineRule="auto"/>
        <w:rPr>
          <w:rFonts w:ascii="Arial" w:hAnsi="Arial" w:cs="Arial"/>
          <w:sz w:val="20"/>
          <w:szCs w:val="20"/>
        </w:rPr>
      </w:pPr>
    </w:p>
    <w:p w:rsidR="005E4102" w:rsidRPr="00FC6804" w:rsidRDefault="005E4102" w:rsidP="005E4102">
      <w:pPr>
        <w:pStyle w:val="ListParagraph"/>
        <w:numPr>
          <w:ilvl w:val="0"/>
          <w:numId w:val="5"/>
        </w:numPr>
        <w:spacing w:after="0" w:line="240" w:lineRule="auto"/>
        <w:contextualSpacing w:val="0"/>
        <w:rPr>
          <w:rFonts w:ascii="Arial" w:hAnsi="Arial" w:cs="Arial"/>
          <w:sz w:val="20"/>
          <w:szCs w:val="20"/>
        </w:rPr>
      </w:pPr>
      <w:r w:rsidRPr="00FC6804">
        <w:rPr>
          <w:rFonts w:ascii="Arial" w:hAnsi="Arial" w:cs="Arial"/>
          <w:sz w:val="20"/>
          <w:szCs w:val="20"/>
        </w:rPr>
        <w:t xml:space="preserve">The smallest category (up to 8,000 units) would be abolished, meaning that licensees with this level of throughput would henceforth form part of a new category of </w:t>
      </w:r>
      <w:r w:rsidR="00122D48">
        <w:rPr>
          <w:rFonts w:ascii="Arial" w:hAnsi="Arial" w:cs="Arial"/>
          <w:sz w:val="20"/>
          <w:szCs w:val="20"/>
        </w:rPr>
        <w:t>processors</w:t>
      </w:r>
      <w:r w:rsidRPr="00FC6804">
        <w:rPr>
          <w:rFonts w:ascii="Arial" w:hAnsi="Arial" w:cs="Arial"/>
          <w:sz w:val="20"/>
          <w:szCs w:val="20"/>
        </w:rPr>
        <w:t xml:space="preserve"> of up to 15,000 units of output and face fees that are 37.5% higher than at present. A total of </w:t>
      </w:r>
      <w:r w:rsidR="00122D48">
        <w:rPr>
          <w:rFonts w:ascii="Arial" w:hAnsi="Arial" w:cs="Arial"/>
          <w:sz w:val="20"/>
          <w:szCs w:val="20"/>
        </w:rPr>
        <w:t>four processors</w:t>
      </w:r>
      <w:r w:rsidRPr="00FC6804">
        <w:rPr>
          <w:rFonts w:ascii="Arial" w:hAnsi="Arial" w:cs="Arial"/>
          <w:sz w:val="20"/>
          <w:szCs w:val="20"/>
        </w:rPr>
        <w:t xml:space="preserve"> currently fall within the up to 8</w:t>
      </w:r>
      <w:r w:rsidR="00122D48">
        <w:rPr>
          <w:rFonts w:ascii="Arial" w:hAnsi="Arial" w:cs="Arial"/>
          <w:sz w:val="20"/>
          <w:szCs w:val="20"/>
        </w:rPr>
        <w:t>,</w:t>
      </w:r>
      <w:r w:rsidRPr="00FC6804">
        <w:rPr>
          <w:rFonts w:ascii="Arial" w:hAnsi="Arial" w:cs="Arial"/>
          <w:sz w:val="20"/>
          <w:szCs w:val="20"/>
        </w:rPr>
        <w:t xml:space="preserve">000 units category and </w:t>
      </w:r>
      <w:r w:rsidR="00122D48">
        <w:rPr>
          <w:rFonts w:ascii="Arial" w:hAnsi="Arial" w:cs="Arial"/>
          <w:sz w:val="20"/>
          <w:szCs w:val="20"/>
        </w:rPr>
        <w:t xml:space="preserve">will </w:t>
      </w:r>
      <w:r w:rsidRPr="00FC6804">
        <w:rPr>
          <w:rFonts w:ascii="Arial" w:hAnsi="Arial" w:cs="Arial"/>
          <w:sz w:val="20"/>
          <w:szCs w:val="20"/>
        </w:rPr>
        <w:t>be affected by this fee increase.</w:t>
      </w:r>
    </w:p>
    <w:p w:rsidR="005E4102" w:rsidRPr="00FC6804" w:rsidRDefault="005E4102" w:rsidP="005E4102">
      <w:pPr>
        <w:pStyle w:val="ListParagraph"/>
        <w:spacing w:after="0" w:line="240" w:lineRule="auto"/>
        <w:contextualSpacing w:val="0"/>
        <w:rPr>
          <w:rFonts w:ascii="Arial" w:hAnsi="Arial" w:cs="Arial"/>
          <w:sz w:val="20"/>
          <w:szCs w:val="20"/>
        </w:rPr>
      </w:pPr>
    </w:p>
    <w:p w:rsidR="005E4102" w:rsidRPr="00FC6804" w:rsidRDefault="005E4102" w:rsidP="005E4102">
      <w:pPr>
        <w:pStyle w:val="ListParagraph"/>
        <w:numPr>
          <w:ilvl w:val="0"/>
          <w:numId w:val="5"/>
        </w:numPr>
        <w:spacing w:after="0" w:line="240" w:lineRule="auto"/>
        <w:contextualSpacing w:val="0"/>
        <w:rPr>
          <w:rFonts w:ascii="Arial" w:hAnsi="Arial" w:cs="Arial"/>
          <w:sz w:val="20"/>
          <w:szCs w:val="20"/>
        </w:rPr>
      </w:pPr>
      <w:r w:rsidRPr="00FC6804">
        <w:rPr>
          <w:rFonts w:ascii="Arial" w:hAnsi="Arial" w:cs="Arial"/>
          <w:sz w:val="20"/>
          <w:szCs w:val="20"/>
        </w:rPr>
        <w:t xml:space="preserve">The 15,001 to 100,000 units and 100,001 to 200,000 units categories will be consolidated. The fee of $3,330 applied to the new category will be unchanged in real terms for </w:t>
      </w:r>
      <w:r w:rsidR="00122D48">
        <w:rPr>
          <w:rFonts w:ascii="Arial" w:hAnsi="Arial" w:cs="Arial"/>
          <w:sz w:val="20"/>
          <w:szCs w:val="20"/>
        </w:rPr>
        <w:t>processors</w:t>
      </w:r>
      <w:r w:rsidRPr="00FC6804">
        <w:rPr>
          <w:rFonts w:ascii="Arial" w:hAnsi="Arial" w:cs="Arial"/>
          <w:sz w:val="20"/>
          <w:szCs w:val="20"/>
        </w:rPr>
        <w:t xml:space="preserve"> of up to 100,000 units but will represent a reduction of 32.2% for </w:t>
      </w:r>
      <w:r w:rsidR="00122D48">
        <w:rPr>
          <w:rFonts w:ascii="Arial" w:hAnsi="Arial" w:cs="Arial"/>
          <w:sz w:val="20"/>
          <w:szCs w:val="20"/>
        </w:rPr>
        <w:t>processors</w:t>
      </w:r>
      <w:r w:rsidRPr="00FC6804">
        <w:rPr>
          <w:rFonts w:ascii="Arial" w:hAnsi="Arial" w:cs="Arial"/>
          <w:sz w:val="20"/>
          <w:szCs w:val="20"/>
        </w:rPr>
        <w:t xml:space="preserve"> currently in the 100,001 to 200,000 units category.</w:t>
      </w:r>
    </w:p>
    <w:p w:rsidR="005E4102" w:rsidRPr="00FC6804" w:rsidRDefault="005E4102" w:rsidP="005E4102">
      <w:pPr>
        <w:spacing w:after="0" w:line="240" w:lineRule="auto"/>
        <w:rPr>
          <w:rFonts w:ascii="Arial" w:hAnsi="Arial" w:cs="Arial"/>
          <w:sz w:val="20"/>
          <w:szCs w:val="20"/>
        </w:rPr>
      </w:pPr>
    </w:p>
    <w:p w:rsidR="005E4102" w:rsidRPr="00FC6804" w:rsidRDefault="005E4102" w:rsidP="005E4102">
      <w:pPr>
        <w:pStyle w:val="ListParagraph"/>
        <w:numPr>
          <w:ilvl w:val="0"/>
          <w:numId w:val="5"/>
        </w:numPr>
        <w:spacing w:after="0" w:line="240" w:lineRule="auto"/>
        <w:contextualSpacing w:val="0"/>
        <w:rPr>
          <w:rFonts w:ascii="Arial" w:hAnsi="Arial" w:cs="Arial"/>
          <w:sz w:val="20"/>
          <w:szCs w:val="20"/>
        </w:rPr>
      </w:pPr>
      <w:r w:rsidRPr="00FC6804">
        <w:rPr>
          <w:rFonts w:ascii="Arial" w:hAnsi="Arial" w:cs="Arial"/>
          <w:sz w:val="20"/>
          <w:szCs w:val="20"/>
        </w:rPr>
        <w:t>The current 200,000 to 400,000 unit</w:t>
      </w:r>
      <w:r w:rsidR="00122D48">
        <w:rPr>
          <w:rFonts w:ascii="Arial" w:hAnsi="Arial" w:cs="Arial"/>
          <w:sz w:val="20"/>
          <w:szCs w:val="20"/>
        </w:rPr>
        <w:t>s</w:t>
      </w:r>
      <w:r w:rsidRPr="00FC6804">
        <w:rPr>
          <w:rFonts w:ascii="Arial" w:hAnsi="Arial" w:cs="Arial"/>
          <w:sz w:val="20"/>
          <w:szCs w:val="20"/>
        </w:rPr>
        <w:t xml:space="preserve"> category will be expanded to a 500,000 unit maximum production level, thus yielding a fee reduction of 17.8% for </w:t>
      </w:r>
      <w:r w:rsidR="00122D48">
        <w:rPr>
          <w:rFonts w:ascii="Arial" w:hAnsi="Arial" w:cs="Arial"/>
          <w:sz w:val="20"/>
          <w:szCs w:val="20"/>
        </w:rPr>
        <w:t>processors</w:t>
      </w:r>
      <w:r w:rsidRPr="00FC6804">
        <w:rPr>
          <w:rFonts w:ascii="Arial" w:hAnsi="Arial" w:cs="Arial"/>
          <w:sz w:val="20"/>
          <w:szCs w:val="20"/>
        </w:rPr>
        <w:t xml:space="preserve"> of between 400,000 and 500,000 units.</w:t>
      </w:r>
    </w:p>
    <w:p w:rsidR="005E4102" w:rsidRPr="00FC6804" w:rsidRDefault="005E4102" w:rsidP="005E4102">
      <w:pPr>
        <w:spacing w:after="0" w:line="240" w:lineRule="auto"/>
        <w:rPr>
          <w:rFonts w:ascii="Arial" w:hAnsi="Arial" w:cs="Arial"/>
          <w:sz w:val="20"/>
          <w:szCs w:val="20"/>
        </w:rPr>
      </w:pPr>
    </w:p>
    <w:p w:rsidR="005E4102" w:rsidRPr="00FC6804" w:rsidRDefault="005E4102" w:rsidP="005E4102">
      <w:pPr>
        <w:pStyle w:val="ListParagraph"/>
        <w:numPr>
          <w:ilvl w:val="0"/>
          <w:numId w:val="5"/>
        </w:numPr>
        <w:spacing w:after="0" w:line="240" w:lineRule="auto"/>
        <w:contextualSpacing w:val="0"/>
        <w:rPr>
          <w:rFonts w:ascii="Arial" w:hAnsi="Arial" w:cs="Arial"/>
          <w:sz w:val="20"/>
          <w:szCs w:val="20"/>
        </w:rPr>
      </w:pPr>
      <w:r w:rsidRPr="00FC6804">
        <w:rPr>
          <w:rFonts w:ascii="Arial" w:hAnsi="Arial" w:cs="Arial"/>
          <w:sz w:val="20"/>
          <w:szCs w:val="20"/>
        </w:rPr>
        <w:t>Processors of over 500,000 units will face a fee increase of 20%.</w:t>
      </w:r>
    </w:p>
    <w:p w:rsidR="005E4102" w:rsidRPr="00FC6804" w:rsidRDefault="005E4102" w:rsidP="005E4102">
      <w:pPr>
        <w:spacing w:after="0" w:line="240" w:lineRule="auto"/>
        <w:rPr>
          <w:rFonts w:ascii="Arial" w:hAnsi="Arial" w:cs="Arial"/>
          <w:b/>
          <w:sz w:val="20"/>
          <w:szCs w:val="20"/>
        </w:rPr>
      </w:pPr>
    </w:p>
    <w:p w:rsidR="005E4102" w:rsidRPr="00FC6804" w:rsidRDefault="005E4102" w:rsidP="005E4102">
      <w:pPr>
        <w:spacing w:after="0" w:line="240" w:lineRule="auto"/>
        <w:rPr>
          <w:rFonts w:ascii="Arial" w:hAnsi="Arial" w:cs="Arial"/>
          <w:b/>
          <w:i/>
          <w:sz w:val="20"/>
          <w:szCs w:val="20"/>
        </w:rPr>
      </w:pPr>
      <w:r w:rsidRPr="00FC6804">
        <w:rPr>
          <w:rFonts w:ascii="Arial" w:hAnsi="Arial" w:cs="Arial"/>
          <w:b/>
          <w:i/>
          <w:sz w:val="20"/>
          <w:szCs w:val="20"/>
        </w:rPr>
        <w:t>Export abattoirs</w:t>
      </w:r>
    </w:p>
    <w:p w:rsidR="005E4102" w:rsidRPr="00FC6804" w:rsidRDefault="005E4102" w:rsidP="005E4102">
      <w:pPr>
        <w:spacing w:after="0" w:line="240" w:lineRule="auto"/>
        <w:rPr>
          <w:rFonts w:ascii="Arial" w:hAnsi="Arial" w:cs="Arial"/>
          <w:sz w:val="20"/>
          <w:szCs w:val="20"/>
        </w:rPr>
      </w:pPr>
    </w:p>
    <w:p w:rsidR="005E4102" w:rsidRPr="00FC6804" w:rsidRDefault="005E4102" w:rsidP="005E4102">
      <w:pPr>
        <w:spacing w:after="0" w:line="240" w:lineRule="auto"/>
        <w:rPr>
          <w:rFonts w:ascii="Arial" w:hAnsi="Arial" w:cs="Arial"/>
          <w:sz w:val="20"/>
          <w:szCs w:val="20"/>
        </w:rPr>
      </w:pPr>
      <w:r w:rsidRPr="00FC6804">
        <w:rPr>
          <w:rFonts w:ascii="Arial" w:hAnsi="Arial" w:cs="Arial"/>
          <w:sz w:val="20"/>
          <w:szCs w:val="20"/>
        </w:rPr>
        <w:t xml:space="preserve">Export abattoirs pay lower fees, in recognition of the fact that, while PrimeSafe is required to license these </w:t>
      </w:r>
      <w:r w:rsidR="00235038">
        <w:rPr>
          <w:rFonts w:ascii="Arial" w:hAnsi="Arial" w:cs="Arial"/>
          <w:sz w:val="20"/>
          <w:szCs w:val="20"/>
        </w:rPr>
        <w:t>processors</w:t>
      </w:r>
      <w:r w:rsidRPr="00FC6804">
        <w:rPr>
          <w:rFonts w:ascii="Arial" w:hAnsi="Arial" w:cs="Arial"/>
          <w:sz w:val="20"/>
          <w:szCs w:val="20"/>
        </w:rPr>
        <w:t xml:space="preserve">, the main regulatory responsibilities fall to </w:t>
      </w:r>
      <w:r w:rsidR="00235038">
        <w:rPr>
          <w:rFonts w:ascii="Arial" w:hAnsi="Arial" w:cs="Arial"/>
          <w:sz w:val="20"/>
          <w:szCs w:val="20"/>
        </w:rPr>
        <w:t>the Commonwealth Department of Agriculture</w:t>
      </w:r>
      <w:r w:rsidRPr="00FC6804">
        <w:rPr>
          <w:rFonts w:ascii="Arial" w:hAnsi="Arial" w:cs="Arial"/>
          <w:sz w:val="20"/>
          <w:szCs w:val="20"/>
        </w:rPr>
        <w:t xml:space="preserve">, so that PrimeSafe’s regulatory costs are lower than with respect to domestic abattoirs. While there is some fee differentiation according to output levels, a “fee cap” of $1,566 </w:t>
      </w:r>
      <w:r w:rsidR="00235038">
        <w:rPr>
          <w:rFonts w:ascii="Arial" w:hAnsi="Arial" w:cs="Arial"/>
          <w:sz w:val="20"/>
          <w:szCs w:val="20"/>
        </w:rPr>
        <w:t xml:space="preserve">currently </w:t>
      </w:r>
      <w:r w:rsidRPr="00FC6804">
        <w:rPr>
          <w:rFonts w:ascii="Arial" w:hAnsi="Arial" w:cs="Arial"/>
          <w:sz w:val="20"/>
          <w:szCs w:val="20"/>
        </w:rPr>
        <w:t>is applied.</w:t>
      </w:r>
    </w:p>
    <w:p w:rsidR="005E4102" w:rsidRPr="00FC6804" w:rsidRDefault="005E4102" w:rsidP="005E4102">
      <w:pPr>
        <w:spacing w:after="0" w:line="240" w:lineRule="auto"/>
        <w:rPr>
          <w:rFonts w:ascii="Arial" w:hAnsi="Arial" w:cs="Arial"/>
          <w:sz w:val="20"/>
          <w:szCs w:val="20"/>
        </w:rPr>
      </w:pPr>
    </w:p>
    <w:p w:rsidR="005E4102" w:rsidRPr="00FC6804" w:rsidRDefault="005E4102" w:rsidP="005E4102">
      <w:pPr>
        <w:spacing w:after="0" w:line="240" w:lineRule="auto"/>
        <w:rPr>
          <w:rFonts w:ascii="Arial" w:hAnsi="Arial" w:cs="Arial"/>
          <w:sz w:val="20"/>
          <w:szCs w:val="20"/>
        </w:rPr>
      </w:pPr>
      <w:r w:rsidRPr="00FC6804">
        <w:rPr>
          <w:rFonts w:ascii="Arial" w:hAnsi="Arial" w:cs="Arial"/>
          <w:sz w:val="20"/>
          <w:szCs w:val="20"/>
        </w:rPr>
        <w:t xml:space="preserve">A new fee of $1,850 would be applied under </w:t>
      </w:r>
      <w:r w:rsidR="00235038">
        <w:rPr>
          <w:rFonts w:ascii="Arial" w:hAnsi="Arial" w:cs="Arial"/>
          <w:sz w:val="20"/>
          <w:szCs w:val="20"/>
        </w:rPr>
        <w:t>O</w:t>
      </w:r>
      <w:r w:rsidRPr="00FC6804">
        <w:rPr>
          <w:rFonts w:ascii="Arial" w:hAnsi="Arial" w:cs="Arial"/>
          <w:sz w:val="20"/>
          <w:szCs w:val="20"/>
        </w:rPr>
        <w:t xml:space="preserve">ption </w:t>
      </w:r>
      <w:r w:rsidR="00235038">
        <w:rPr>
          <w:rFonts w:ascii="Arial" w:hAnsi="Arial" w:cs="Arial"/>
          <w:sz w:val="20"/>
          <w:szCs w:val="20"/>
        </w:rPr>
        <w:t>2</w:t>
      </w:r>
      <w:r w:rsidRPr="00FC6804">
        <w:rPr>
          <w:rFonts w:ascii="Arial" w:hAnsi="Arial" w:cs="Arial"/>
          <w:sz w:val="20"/>
          <w:szCs w:val="20"/>
        </w:rPr>
        <w:t xml:space="preserve">, representing an increase of 18.1% on the fee currently paid by </w:t>
      </w:r>
      <w:r w:rsidR="00235038">
        <w:rPr>
          <w:rFonts w:ascii="Arial" w:hAnsi="Arial" w:cs="Arial"/>
          <w:sz w:val="20"/>
          <w:szCs w:val="20"/>
        </w:rPr>
        <w:t>processors</w:t>
      </w:r>
      <w:r w:rsidRPr="00FC6804">
        <w:rPr>
          <w:rFonts w:ascii="Arial" w:hAnsi="Arial" w:cs="Arial"/>
          <w:sz w:val="20"/>
          <w:szCs w:val="20"/>
        </w:rPr>
        <w:t xml:space="preserve"> of more than 8,000 units and 36.4% on the fee currently paid by </w:t>
      </w:r>
      <w:r w:rsidR="00235038">
        <w:rPr>
          <w:rFonts w:ascii="Arial" w:hAnsi="Arial" w:cs="Arial"/>
          <w:sz w:val="20"/>
          <w:szCs w:val="20"/>
        </w:rPr>
        <w:t>processors</w:t>
      </w:r>
      <w:r w:rsidRPr="00FC6804">
        <w:rPr>
          <w:rFonts w:ascii="Arial" w:hAnsi="Arial" w:cs="Arial"/>
          <w:sz w:val="20"/>
          <w:szCs w:val="20"/>
        </w:rPr>
        <w:t xml:space="preserve"> of up to 8,000 units. Only one </w:t>
      </w:r>
      <w:r w:rsidR="00235038">
        <w:rPr>
          <w:rFonts w:ascii="Arial" w:hAnsi="Arial" w:cs="Arial"/>
          <w:sz w:val="20"/>
          <w:szCs w:val="20"/>
        </w:rPr>
        <w:t>licensee</w:t>
      </w:r>
      <w:r w:rsidRPr="00FC6804">
        <w:rPr>
          <w:rFonts w:ascii="Arial" w:hAnsi="Arial" w:cs="Arial"/>
          <w:sz w:val="20"/>
          <w:szCs w:val="20"/>
        </w:rPr>
        <w:t xml:space="preserve"> currently falls into the latter category.</w:t>
      </w:r>
    </w:p>
    <w:p w:rsidR="005E4102" w:rsidRPr="00FC6804" w:rsidRDefault="005E4102" w:rsidP="005E4102">
      <w:pPr>
        <w:spacing w:after="0" w:line="240" w:lineRule="auto"/>
        <w:rPr>
          <w:rFonts w:ascii="Arial" w:hAnsi="Arial" w:cs="Arial"/>
          <w:b/>
          <w:sz w:val="20"/>
          <w:szCs w:val="20"/>
        </w:rPr>
      </w:pPr>
    </w:p>
    <w:p w:rsidR="005E4102" w:rsidRPr="00FC6804" w:rsidRDefault="005E4102" w:rsidP="005E4102">
      <w:pPr>
        <w:spacing w:after="0" w:line="240" w:lineRule="auto"/>
        <w:rPr>
          <w:rFonts w:ascii="Arial" w:hAnsi="Arial" w:cs="Arial"/>
          <w:b/>
          <w:sz w:val="20"/>
          <w:szCs w:val="20"/>
        </w:rPr>
      </w:pPr>
    </w:p>
    <w:p w:rsidR="005E4102" w:rsidRPr="00FC6804" w:rsidRDefault="005E4102" w:rsidP="005E4102">
      <w:pPr>
        <w:spacing w:after="0" w:line="240" w:lineRule="auto"/>
        <w:rPr>
          <w:rFonts w:ascii="Arial" w:hAnsi="Arial" w:cs="Arial"/>
          <w:b/>
          <w:sz w:val="20"/>
          <w:szCs w:val="20"/>
        </w:rPr>
      </w:pPr>
      <w:r w:rsidRPr="00FC6804">
        <w:rPr>
          <w:rFonts w:ascii="Arial" w:hAnsi="Arial" w:cs="Arial"/>
          <w:b/>
          <w:sz w:val="20"/>
          <w:szCs w:val="20"/>
        </w:rPr>
        <w:t>Poultry Processing facilities</w:t>
      </w:r>
    </w:p>
    <w:p w:rsidR="005E4102" w:rsidRPr="00FC6804" w:rsidRDefault="005E4102" w:rsidP="005E4102">
      <w:pPr>
        <w:spacing w:after="0" w:line="240" w:lineRule="auto"/>
        <w:rPr>
          <w:rFonts w:ascii="Arial" w:hAnsi="Arial" w:cs="Arial"/>
          <w:sz w:val="20"/>
          <w:szCs w:val="20"/>
        </w:rPr>
      </w:pPr>
    </w:p>
    <w:p w:rsidR="005E4102" w:rsidRDefault="00235038" w:rsidP="005E4102">
      <w:pPr>
        <w:spacing w:after="0" w:line="240" w:lineRule="auto"/>
        <w:rPr>
          <w:rFonts w:ascii="Arial" w:hAnsi="Arial" w:cs="Arial"/>
          <w:b/>
          <w:sz w:val="20"/>
          <w:szCs w:val="20"/>
        </w:rPr>
      </w:pPr>
      <w:r>
        <w:rPr>
          <w:rFonts w:ascii="Arial" w:hAnsi="Arial" w:cs="Arial"/>
          <w:sz w:val="20"/>
          <w:szCs w:val="20"/>
        </w:rPr>
        <w:t xml:space="preserve">The number of output </w:t>
      </w:r>
      <w:r w:rsidR="005E4102" w:rsidRPr="00FC6804">
        <w:rPr>
          <w:rFonts w:ascii="Arial" w:hAnsi="Arial" w:cs="Arial"/>
          <w:sz w:val="20"/>
          <w:szCs w:val="20"/>
        </w:rPr>
        <w:t xml:space="preserve">based fee categories in this sector would be reduced from seven to five. The consolidation of the two smallest output categories implies that </w:t>
      </w:r>
      <w:r>
        <w:rPr>
          <w:rFonts w:ascii="Arial" w:hAnsi="Arial" w:cs="Arial"/>
          <w:sz w:val="20"/>
          <w:szCs w:val="20"/>
        </w:rPr>
        <w:t>processors</w:t>
      </w:r>
      <w:r w:rsidR="005E4102" w:rsidRPr="00FC6804">
        <w:rPr>
          <w:rFonts w:ascii="Arial" w:hAnsi="Arial" w:cs="Arial"/>
          <w:sz w:val="20"/>
          <w:szCs w:val="20"/>
        </w:rPr>
        <w:t xml:space="preserve"> of up to 2,500 units would face a fee increase of 368.4%, while processors in the next largest category would face a significantly smaller fee increase of 115.4%. Fees will rise by 40.4% for </w:t>
      </w:r>
      <w:r>
        <w:rPr>
          <w:rFonts w:ascii="Arial" w:hAnsi="Arial" w:cs="Arial"/>
          <w:sz w:val="20"/>
          <w:szCs w:val="20"/>
        </w:rPr>
        <w:t>processors</w:t>
      </w:r>
      <w:r w:rsidR="005E4102" w:rsidRPr="00FC6804">
        <w:rPr>
          <w:rFonts w:ascii="Arial" w:hAnsi="Arial" w:cs="Arial"/>
          <w:sz w:val="20"/>
          <w:szCs w:val="20"/>
        </w:rPr>
        <w:t xml:space="preserve"> in the 50,001 to 250,000 unit</w:t>
      </w:r>
      <w:r>
        <w:rPr>
          <w:rFonts w:ascii="Arial" w:hAnsi="Arial" w:cs="Arial"/>
          <w:sz w:val="20"/>
          <w:szCs w:val="20"/>
        </w:rPr>
        <w:t>s</w:t>
      </w:r>
      <w:r w:rsidR="005E4102" w:rsidRPr="00FC6804">
        <w:rPr>
          <w:rFonts w:ascii="Arial" w:hAnsi="Arial" w:cs="Arial"/>
          <w:sz w:val="20"/>
          <w:szCs w:val="20"/>
        </w:rPr>
        <w:t xml:space="preserve"> category. Processors of between 500,001 to 1 million units will experience a fee increase of 57.5%, as a result of being moved into the new 500,001 to 2</w:t>
      </w:r>
      <w:r>
        <w:rPr>
          <w:rFonts w:ascii="Arial" w:hAnsi="Arial" w:cs="Arial"/>
          <w:sz w:val="20"/>
          <w:szCs w:val="20"/>
        </w:rPr>
        <w:t>.5 million</w:t>
      </w:r>
      <w:r w:rsidR="005E4102" w:rsidRPr="00FC6804">
        <w:rPr>
          <w:rFonts w:ascii="Arial" w:hAnsi="Arial" w:cs="Arial"/>
          <w:sz w:val="20"/>
          <w:szCs w:val="20"/>
        </w:rPr>
        <w:t xml:space="preserve"> units category. By contrast, </w:t>
      </w:r>
      <w:r>
        <w:rPr>
          <w:rFonts w:ascii="Arial" w:hAnsi="Arial" w:cs="Arial"/>
          <w:sz w:val="20"/>
          <w:szCs w:val="20"/>
        </w:rPr>
        <w:t>p</w:t>
      </w:r>
      <w:r w:rsidR="005E4102" w:rsidRPr="00FC6804">
        <w:rPr>
          <w:rFonts w:ascii="Arial" w:hAnsi="Arial" w:cs="Arial"/>
          <w:sz w:val="20"/>
          <w:szCs w:val="20"/>
        </w:rPr>
        <w:t>rocessors in the three largest output categories will not see any change in real fee levels.</w:t>
      </w:r>
    </w:p>
    <w:p w:rsidR="005E4102" w:rsidRDefault="005E4102" w:rsidP="00E30FAF">
      <w:pPr>
        <w:spacing w:after="0" w:line="240" w:lineRule="auto"/>
        <w:rPr>
          <w:rFonts w:ascii="Arial" w:hAnsi="Arial" w:cs="Arial"/>
          <w:b/>
          <w:sz w:val="20"/>
          <w:szCs w:val="20"/>
        </w:rPr>
      </w:pPr>
    </w:p>
    <w:p w:rsidR="005E4102" w:rsidRPr="00FC6804" w:rsidRDefault="005E4102" w:rsidP="005E4102">
      <w:pPr>
        <w:spacing w:after="0" w:line="240" w:lineRule="auto"/>
        <w:rPr>
          <w:rFonts w:ascii="Arial" w:hAnsi="Arial" w:cs="Arial"/>
          <w:b/>
          <w:i/>
          <w:sz w:val="20"/>
          <w:szCs w:val="20"/>
        </w:rPr>
      </w:pPr>
      <w:r w:rsidRPr="00FC6804">
        <w:rPr>
          <w:rFonts w:ascii="Arial" w:hAnsi="Arial" w:cs="Arial"/>
          <w:b/>
          <w:i/>
          <w:sz w:val="20"/>
          <w:szCs w:val="20"/>
        </w:rPr>
        <w:t>Further meat processing</w:t>
      </w:r>
    </w:p>
    <w:p w:rsidR="005E4102" w:rsidRPr="00FC6804" w:rsidRDefault="005E4102" w:rsidP="005E4102">
      <w:pPr>
        <w:spacing w:after="0" w:line="240" w:lineRule="auto"/>
        <w:rPr>
          <w:rFonts w:ascii="Arial" w:hAnsi="Arial" w:cs="Arial"/>
          <w:sz w:val="20"/>
          <w:szCs w:val="20"/>
        </w:rPr>
      </w:pPr>
    </w:p>
    <w:p w:rsidR="005E4102" w:rsidRPr="00FC6804" w:rsidRDefault="005E4102" w:rsidP="005E4102">
      <w:pPr>
        <w:spacing w:after="0" w:line="240" w:lineRule="auto"/>
        <w:rPr>
          <w:rFonts w:ascii="Arial" w:hAnsi="Arial" w:cs="Arial"/>
          <w:sz w:val="20"/>
          <w:szCs w:val="20"/>
        </w:rPr>
      </w:pPr>
      <w:r w:rsidRPr="00FC6804">
        <w:rPr>
          <w:rFonts w:ascii="Arial" w:hAnsi="Arial" w:cs="Arial"/>
          <w:sz w:val="20"/>
          <w:szCs w:val="20"/>
        </w:rPr>
        <w:t>The current structure of six output related fee categories will be reduced to five fee categories for this class of licence. The consolidation of the 501 to 1,500 tonnes and the 1,501 to 2,500 tonnes categories would have the effect of increasing fees by licensees of the former category by 37.1%. Processors in the three largest output categories would face slightly smaller fee increases of 23.2%, 25.0% and 18.1%, respectively.</w:t>
      </w:r>
    </w:p>
    <w:p w:rsidR="005E4102" w:rsidRDefault="005E4102" w:rsidP="00E30FAF">
      <w:pPr>
        <w:spacing w:after="0" w:line="240" w:lineRule="auto"/>
        <w:rPr>
          <w:rFonts w:ascii="Arial" w:hAnsi="Arial" w:cs="Arial"/>
          <w:b/>
          <w:sz w:val="20"/>
          <w:szCs w:val="20"/>
        </w:rPr>
      </w:pPr>
    </w:p>
    <w:p w:rsidR="00FA2C75" w:rsidRDefault="00FA2C75" w:rsidP="005E4102">
      <w:pPr>
        <w:spacing w:after="0" w:line="240" w:lineRule="auto"/>
        <w:rPr>
          <w:rFonts w:ascii="Arial" w:hAnsi="Arial" w:cs="Arial"/>
          <w:b/>
          <w:i/>
          <w:sz w:val="20"/>
          <w:szCs w:val="20"/>
        </w:rPr>
      </w:pPr>
      <w:r>
        <w:rPr>
          <w:rFonts w:ascii="Arial" w:hAnsi="Arial" w:cs="Arial"/>
          <w:b/>
          <w:i/>
          <w:sz w:val="20"/>
          <w:szCs w:val="20"/>
        </w:rPr>
        <w:t>Seafood processors</w:t>
      </w:r>
    </w:p>
    <w:p w:rsidR="00FA2C75" w:rsidRDefault="00FA2C75" w:rsidP="005E4102">
      <w:pPr>
        <w:spacing w:after="0" w:line="240" w:lineRule="auto"/>
        <w:rPr>
          <w:rFonts w:ascii="Arial" w:hAnsi="Arial" w:cs="Arial"/>
          <w:b/>
          <w:i/>
          <w:sz w:val="20"/>
          <w:szCs w:val="20"/>
        </w:rPr>
      </w:pPr>
    </w:p>
    <w:p w:rsidR="00FA2C75" w:rsidRPr="009E5574" w:rsidRDefault="00FA2C75" w:rsidP="005E4102">
      <w:pPr>
        <w:spacing w:after="0" w:line="240" w:lineRule="auto"/>
        <w:rPr>
          <w:rFonts w:ascii="Arial" w:hAnsi="Arial" w:cs="Arial"/>
          <w:sz w:val="20"/>
          <w:szCs w:val="20"/>
        </w:rPr>
      </w:pPr>
      <w:r>
        <w:rPr>
          <w:rFonts w:ascii="Arial" w:hAnsi="Arial" w:cs="Arial"/>
          <w:sz w:val="20"/>
          <w:szCs w:val="20"/>
        </w:rPr>
        <w:t>The fees payable by seafood processors would be unchanged in real terms, simply being indexed by the rate approved by the Treasurer in the budget context for 2016-17.  The sole exception to this approach is that exporting seafood processors (i.e. those supervised by the Department of Agriculture) would be subject to a higher fee cap of $1,850 (cf. $1,566 at present), in line with the change proposed to be adopted in respect of exporting abattoirs and further meat processing facilities.</w:t>
      </w:r>
    </w:p>
    <w:p w:rsidR="00FA2C75" w:rsidRDefault="00FA2C75" w:rsidP="005E4102">
      <w:pPr>
        <w:spacing w:after="0" w:line="240" w:lineRule="auto"/>
        <w:rPr>
          <w:rFonts w:ascii="Arial" w:hAnsi="Arial" w:cs="Arial"/>
          <w:b/>
          <w:i/>
          <w:sz w:val="20"/>
          <w:szCs w:val="20"/>
        </w:rPr>
      </w:pPr>
    </w:p>
    <w:p w:rsidR="005E4102" w:rsidRPr="00FC6804" w:rsidRDefault="005E4102" w:rsidP="005E4102">
      <w:pPr>
        <w:spacing w:after="0" w:line="240" w:lineRule="auto"/>
        <w:rPr>
          <w:rFonts w:ascii="Arial" w:hAnsi="Arial" w:cs="Arial"/>
          <w:b/>
          <w:i/>
          <w:sz w:val="20"/>
          <w:szCs w:val="20"/>
        </w:rPr>
      </w:pPr>
      <w:r w:rsidRPr="00FC6804">
        <w:rPr>
          <w:rFonts w:ascii="Arial" w:hAnsi="Arial" w:cs="Arial"/>
          <w:b/>
          <w:i/>
          <w:sz w:val="20"/>
          <w:szCs w:val="20"/>
        </w:rPr>
        <w:t>Retail butcher shops</w:t>
      </w:r>
    </w:p>
    <w:p w:rsidR="005E4102" w:rsidRPr="00FC6804" w:rsidRDefault="005E4102" w:rsidP="005E4102">
      <w:pPr>
        <w:spacing w:after="0" w:line="240" w:lineRule="auto"/>
        <w:rPr>
          <w:rFonts w:ascii="Arial" w:hAnsi="Arial" w:cs="Arial"/>
          <w:sz w:val="20"/>
          <w:szCs w:val="20"/>
        </w:rPr>
      </w:pPr>
    </w:p>
    <w:p w:rsidR="005E4102" w:rsidRPr="00FC6804" w:rsidRDefault="005E4102" w:rsidP="005E4102">
      <w:pPr>
        <w:spacing w:after="0" w:line="240" w:lineRule="auto"/>
        <w:rPr>
          <w:rFonts w:ascii="Arial" w:hAnsi="Arial" w:cs="Arial"/>
          <w:sz w:val="20"/>
          <w:szCs w:val="20"/>
        </w:rPr>
      </w:pPr>
      <w:r w:rsidRPr="00FC6804">
        <w:rPr>
          <w:rFonts w:ascii="Arial" w:hAnsi="Arial" w:cs="Arial"/>
          <w:sz w:val="20"/>
          <w:szCs w:val="20"/>
        </w:rPr>
        <w:t xml:space="preserve">Annual licence fees for retail butcher shops would increase by 20.3% to $320. In addition, a new licence category would be </w:t>
      </w:r>
      <w:r w:rsidR="00235038">
        <w:rPr>
          <w:rFonts w:ascii="Arial" w:hAnsi="Arial" w:cs="Arial"/>
          <w:sz w:val="20"/>
          <w:szCs w:val="20"/>
        </w:rPr>
        <w:t>implemented</w:t>
      </w:r>
      <w:r w:rsidRPr="00FC6804">
        <w:rPr>
          <w:rFonts w:ascii="Arial" w:hAnsi="Arial" w:cs="Arial"/>
          <w:sz w:val="20"/>
          <w:szCs w:val="20"/>
        </w:rPr>
        <w:t xml:space="preserve"> for </w:t>
      </w:r>
      <w:r w:rsidR="00235038">
        <w:rPr>
          <w:rFonts w:ascii="Arial" w:hAnsi="Arial" w:cs="Arial"/>
          <w:sz w:val="20"/>
          <w:szCs w:val="20"/>
        </w:rPr>
        <w:t>retail</w:t>
      </w:r>
      <w:r w:rsidRPr="00FC6804">
        <w:rPr>
          <w:rFonts w:ascii="Arial" w:hAnsi="Arial" w:cs="Arial"/>
          <w:sz w:val="20"/>
          <w:szCs w:val="20"/>
        </w:rPr>
        <w:t xml:space="preserve"> butcher</w:t>
      </w:r>
      <w:r w:rsidR="00235038">
        <w:rPr>
          <w:rFonts w:ascii="Arial" w:hAnsi="Arial" w:cs="Arial"/>
          <w:sz w:val="20"/>
          <w:szCs w:val="20"/>
        </w:rPr>
        <w:t xml:space="preserve"> </w:t>
      </w:r>
      <w:r w:rsidRPr="00FC6804">
        <w:rPr>
          <w:rFonts w:ascii="Arial" w:hAnsi="Arial" w:cs="Arial"/>
          <w:sz w:val="20"/>
          <w:szCs w:val="20"/>
        </w:rPr>
        <w:t>s</w:t>
      </w:r>
      <w:r w:rsidR="00235038">
        <w:rPr>
          <w:rFonts w:ascii="Arial" w:hAnsi="Arial" w:cs="Arial"/>
          <w:sz w:val="20"/>
          <w:szCs w:val="20"/>
        </w:rPr>
        <w:t>hops</w:t>
      </w:r>
      <w:r w:rsidRPr="00FC6804">
        <w:rPr>
          <w:rFonts w:ascii="Arial" w:hAnsi="Arial" w:cs="Arial"/>
          <w:sz w:val="20"/>
          <w:szCs w:val="20"/>
        </w:rPr>
        <w:t xml:space="preserve"> </w:t>
      </w:r>
      <w:r w:rsidR="00235038">
        <w:rPr>
          <w:rFonts w:ascii="Arial" w:hAnsi="Arial" w:cs="Arial"/>
          <w:sz w:val="20"/>
          <w:szCs w:val="20"/>
        </w:rPr>
        <w:t>manufacturing smallgoods</w:t>
      </w:r>
      <w:r w:rsidRPr="00FC6804">
        <w:rPr>
          <w:rFonts w:ascii="Arial" w:hAnsi="Arial" w:cs="Arial"/>
          <w:sz w:val="20"/>
          <w:szCs w:val="20"/>
        </w:rPr>
        <w:t xml:space="preserve">. The fee for this licence category would be the same as that for a standard retail butcher </w:t>
      </w:r>
      <w:r w:rsidR="00235038">
        <w:rPr>
          <w:rFonts w:ascii="Arial" w:hAnsi="Arial" w:cs="Arial"/>
          <w:sz w:val="20"/>
          <w:szCs w:val="20"/>
        </w:rPr>
        <w:t xml:space="preserve">shop </w:t>
      </w:r>
      <w:r w:rsidRPr="00FC6804">
        <w:rPr>
          <w:rFonts w:ascii="Arial" w:hAnsi="Arial" w:cs="Arial"/>
          <w:sz w:val="20"/>
          <w:szCs w:val="20"/>
        </w:rPr>
        <w:t xml:space="preserve">licence in 2016-17, however, the fee would increase to $650 in 2017-18. Thus, licensees in this category would pay a fee 144.3% higher in 2007-18 than in 2015-16. The creation of this additional licence category, and the significantly increased </w:t>
      </w:r>
      <w:r w:rsidR="00235038">
        <w:rPr>
          <w:rFonts w:ascii="Arial" w:hAnsi="Arial" w:cs="Arial"/>
          <w:sz w:val="20"/>
          <w:szCs w:val="20"/>
        </w:rPr>
        <w:t>fee</w:t>
      </w:r>
      <w:r w:rsidRPr="00FC6804">
        <w:rPr>
          <w:rFonts w:ascii="Arial" w:hAnsi="Arial" w:cs="Arial"/>
          <w:sz w:val="20"/>
          <w:szCs w:val="20"/>
        </w:rPr>
        <w:t xml:space="preserve"> associated with it, reflects the substantially higher risks associated with the manufacture of smallgoods and the consequently greater degree of regulatory oversight which PrimeSafe is required to exercise over these premises.</w:t>
      </w:r>
    </w:p>
    <w:p w:rsidR="005E4102" w:rsidRPr="00FC6804" w:rsidRDefault="005E4102" w:rsidP="005E4102">
      <w:pPr>
        <w:spacing w:after="0" w:line="240" w:lineRule="auto"/>
        <w:rPr>
          <w:rFonts w:ascii="Arial" w:hAnsi="Arial" w:cs="Arial"/>
          <w:b/>
          <w:sz w:val="20"/>
          <w:szCs w:val="20"/>
        </w:rPr>
      </w:pPr>
    </w:p>
    <w:p w:rsidR="005E4102" w:rsidRPr="00FC6804" w:rsidRDefault="005E4102" w:rsidP="005E4102">
      <w:pPr>
        <w:spacing w:after="0" w:line="240" w:lineRule="auto"/>
        <w:rPr>
          <w:rFonts w:ascii="Arial" w:hAnsi="Arial" w:cs="Arial"/>
          <w:b/>
          <w:i/>
          <w:sz w:val="20"/>
          <w:szCs w:val="20"/>
        </w:rPr>
      </w:pPr>
      <w:r w:rsidRPr="00FC6804">
        <w:rPr>
          <w:rFonts w:ascii="Arial" w:hAnsi="Arial" w:cs="Arial"/>
          <w:b/>
          <w:i/>
          <w:sz w:val="20"/>
          <w:szCs w:val="20"/>
        </w:rPr>
        <w:t>Meat transport vehicles</w:t>
      </w:r>
      <w:r w:rsidR="00235038">
        <w:rPr>
          <w:rFonts w:ascii="Arial" w:hAnsi="Arial" w:cs="Arial"/>
          <w:b/>
          <w:i/>
          <w:sz w:val="20"/>
          <w:szCs w:val="20"/>
        </w:rPr>
        <w:t xml:space="preserve"> (MTV)</w:t>
      </w:r>
    </w:p>
    <w:p w:rsidR="005E4102" w:rsidRPr="00FC6804" w:rsidRDefault="005E4102" w:rsidP="005E4102">
      <w:pPr>
        <w:spacing w:after="0" w:line="240" w:lineRule="auto"/>
        <w:rPr>
          <w:rFonts w:ascii="Arial" w:hAnsi="Arial" w:cs="Arial"/>
          <w:sz w:val="20"/>
          <w:szCs w:val="20"/>
        </w:rPr>
      </w:pPr>
    </w:p>
    <w:p w:rsidR="005E4102" w:rsidRPr="00FC6804" w:rsidRDefault="005E4102" w:rsidP="005E4102">
      <w:pPr>
        <w:spacing w:after="0" w:line="240" w:lineRule="auto"/>
        <w:rPr>
          <w:rFonts w:ascii="Arial" w:hAnsi="Arial" w:cs="Arial"/>
          <w:sz w:val="20"/>
          <w:szCs w:val="20"/>
        </w:rPr>
      </w:pPr>
      <w:r w:rsidRPr="00FC6804">
        <w:rPr>
          <w:rFonts w:ascii="Arial" w:hAnsi="Arial" w:cs="Arial"/>
          <w:sz w:val="20"/>
          <w:szCs w:val="20"/>
        </w:rPr>
        <w:t>There is currently only one licence category coverin</w:t>
      </w:r>
      <w:r w:rsidR="00235038">
        <w:rPr>
          <w:rFonts w:ascii="Arial" w:hAnsi="Arial" w:cs="Arial"/>
          <w:sz w:val="20"/>
          <w:szCs w:val="20"/>
        </w:rPr>
        <w:t xml:space="preserve">g all meat transport vehicles. </w:t>
      </w:r>
      <w:r w:rsidRPr="00FC6804">
        <w:rPr>
          <w:rFonts w:ascii="Arial" w:hAnsi="Arial" w:cs="Arial"/>
          <w:sz w:val="20"/>
          <w:szCs w:val="20"/>
        </w:rPr>
        <w:t>Under Option 2, this would change to a three tier licence, differentiated according to the size of the meat transport vehicle. Licence fees for all categories of meat transport vehicle would increase in real terms. However, the smallest category of vehicle (commercial vans) would experience only a modest 12.3% increase, while significantly larger increases of 71.1% and 116.7% would be applied to vehicles of up to 4.5 tonnes GVM and those of more than 4.5 tonnes GVM respectively. Of a total of 4,935 MTVs currently licensed, 1,931 would be licensed in the new commerci</w:t>
      </w:r>
      <w:r w:rsidR="00235038">
        <w:rPr>
          <w:rFonts w:ascii="Arial" w:hAnsi="Arial" w:cs="Arial"/>
          <w:sz w:val="20"/>
          <w:szCs w:val="20"/>
        </w:rPr>
        <w:t xml:space="preserve">al van category, 579 in the sub </w:t>
      </w:r>
      <w:r w:rsidRPr="00FC6804">
        <w:rPr>
          <w:rFonts w:ascii="Arial" w:hAnsi="Arial" w:cs="Arial"/>
          <w:sz w:val="20"/>
          <w:szCs w:val="20"/>
        </w:rPr>
        <w:t>4.5 tonne category and 2,425 in the over</w:t>
      </w:r>
      <w:r w:rsidR="00235038">
        <w:rPr>
          <w:rFonts w:ascii="Arial" w:hAnsi="Arial" w:cs="Arial"/>
          <w:sz w:val="20"/>
          <w:szCs w:val="20"/>
        </w:rPr>
        <w:t xml:space="preserve"> </w:t>
      </w:r>
      <w:r w:rsidRPr="00FC6804">
        <w:rPr>
          <w:rFonts w:ascii="Arial" w:hAnsi="Arial" w:cs="Arial"/>
          <w:sz w:val="20"/>
          <w:szCs w:val="20"/>
        </w:rPr>
        <w:t>2.5 tonne category.</w:t>
      </w:r>
    </w:p>
    <w:p w:rsidR="005E4102" w:rsidRPr="00FC6804" w:rsidRDefault="005E4102" w:rsidP="005E4102">
      <w:pPr>
        <w:spacing w:after="0" w:line="240" w:lineRule="auto"/>
        <w:rPr>
          <w:rFonts w:ascii="Arial" w:hAnsi="Arial" w:cs="Arial"/>
          <w:sz w:val="20"/>
          <w:szCs w:val="20"/>
        </w:rPr>
      </w:pPr>
    </w:p>
    <w:p w:rsidR="005E4102" w:rsidRPr="00FC6804" w:rsidRDefault="005E4102" w:rsidP="005E4102">
      <w:pPr>
        <w:spacing w:after="0" w:line="240" w:lineRule="auto"/>
        <w:rPr>
          <w:rFonts w:ascii="Arial" w:hAnsi="Arial" w:cs="Arial"/>
          <w:sz w:val="20"/>
          <w:szCs w:val="20"/>
        </w:rPr>
      </w:pPr>
      <w:r w:rsidRPr="00FC6804">
        <w:rPr>
          <w:rFonts w:ascii="Arial" w:hAnsi="Arial" w:cs="Arial"/>
          <w:sz w:val="20"/>
          <w:szCs w:val="20"/>
        </w:rPr>
        <w:t xml:space="preserve">The changes to MTV fees will result in Victoria’s fees for this sector being more closely aligned with those of other States and Territories.  For example, New South Wales charges $328 per annum for a </w:t>
      </w:r>
      <w:r w:rsidR="00235038">
        <w:rPr>
          <w:rFonts w:ascii="Arial" w:hAnsi="Arial" w:cs="Arial"/>
          <w:sz w:val="20"/>
          <w:szCs w:val="20"/>
        </w:rPr>
        <w:t>MTV</w:t>
      </w:r>
      <w:r w:rsidRPr="00FC6804">
        <w:rPr>
          <w:rFonts w:ascii="Arial" w:hAnsi="Arial" w:cs="Arial"/>
          <w:sz w:val="20"/>
          <w:szCs w:val="20"/>
        </w:rPr>
        <w:t xml:space="preserve"> licence, while Queensland charges $263.40 per annum.  Both of these fees are higher than the fee proposed to be adopted in respect of the largest category of meat transport vehicle under Option 2</w:t>
      </w:r>
      <w:r w:rsidRPr="00FC6804">
        <w:rPr>
          <w:rStyle w:val="FootnoteReference"/>
          <w:rFonts w:ascii="Arial" w:hAnsi="Arial" w:cs="Arial"/>
          <w:sz w:val="20"/>
          <w:szCs w:val="20"/>
        </w:rPr>
        <w:footnoteReference w:id="21"/>
      </w:r>
      <w:r w:rsidRPr="00FC6804">
        <w:rPr>
          <w:rFonts w:ascii="Arial" w:hAnsi="Arial" w:cs="Arial"/>
          <w:sz w:val="20"/>
          <w:szCs w:val="20"/>
        </w:rPr>
        <w:t>.</w:t>
      </w:r>
    </w:p>
    <w:p w:rsidR="005E4102" w:rsidRDefault="005E4102" w:rsidP="00E30FAF">
      <w:pPr>
        <w:spacing w:after="0" w:line="240" w:lineRule="auto"/>
        <w:rPr>
          <w:rFonts w:ascii="Arial" w:hAnsi="Arial" w:cs="Arial"/>
          <w:b/>
          <w:sz w:val="20"/>
          <w:szCs w:val="20"/>
        </w:rPr>
      </w:pPr>
    </w:p>
    <w:p w:rsidR="005E4102" w:rsidRDefault="005E4102" w:rsidP="00E30FAF">
      <w:pPr>
        <w:spacing w:after="0" w:line="240" w:lineRule="auto"/>
        <w:rPr>
          <w:rFonts w:ascii="Arial" w:hAnsi="Arial" w:cs="Arial"/>
          <w:b/>
          <w:sz w:val="20"/>
          <w:szCs w:val="20"/>
        </w:rPr>
      </w:pPr>
    </w:p>
    <w:p w:rsidR="005E4102" w:rsidRDefault="005E4102" w:rsidP="00E30FAF">
      <w:pPr>
        <w:spacing w:after="0" w:line="240" w:lineRule="auto"/>
        <w:rPr>
          <w:rFonts w:ascii="Arial" w:hAnsi="Arial" w:cs="Arial"/>
          <w:b/>
          <w:sz w:val="20"/>
          <w:szCs w:val="20"/>
        </w:rPr>
      </w:pPr>
    </w:p>
    <w:p w:rsidR="005E4102" w:rsidRDefault="005E4102" w:rsidP="00E30FAF">
      <w:pPr>
        <w:spacing w:after="0" w:line="240" w:lineRule="auto"/>
        <w:rPr>
          <w:rFonts w:ascii="Arial" w:hAnsi="Arial" w:cs="Arial"/>
          <w:b/>
          <w:sz w:val="20"/>
          <w:szCs w:val="20"/>
        </w:rPr>
      </w:pPr>
    </w:p>
    <w:p w:rsidR="005E4102" w:rsidRDefault="005E4102" w:rsidP="00E30FAF">
      <w:pPr>
        <w:spacing w:after="0" w:line="240" w:lineRule="auto"/>
        <w:rPr>
          <w:rFonts w:ascii="Arial" w:hAnsi="Arial" w:cs="Arial"/>
          <w:b/>
          <w:sz w:val="20"/>
          <w:szCs w:val="20"/>
        </w:rPr>
      </w:pPr>
    </w:p>
    <w:p w:rsidR="005E4102" w:rsidRDefault="005E4102" w:rsidP="00E30FAF">
      <w:pPr>
        <w:spacing w:after="0" w:line="240" w:lineRule="auto"/>
        <w:rPr>
          <w:rFonts w:ascii="Arial" w:hAnsi="Arial" w:cs="Arial"/>
          <w:b/>
          <w:sz w:val="20"/>
          <w:szCs w:val="20"/>
        </w:rPr>
      </w:pPr>
    </w:p>
    <w:p w:rsidR="00235038" w:rsidRDefault="00235038" w:rsidP="00E30FAF">
      <w:pPr>
        <w:spacing w:after="0" w:line="240" w:lineRule="auto"/>
        <w:rPr>
          <w:rFonts w:ascii="Arial" w:hAnsi="Arial" w:cs="Arial"/>
          <w:b/>
          <w:sz w:val="20"/>
          <w:szCs w:val="20"/>
        </w:rPr>
      </w:pPr>
    </w:p>
    <w:p w:rsidR="005E4102" w:rsidRDefault="005E4102" w:rsidP="00E30FAF">
      <w:pPr>
        <w:spacing w:after="0" w:line="240" w:lineRule="auto"/>
        <w:rPr>
          <w:rFonts w:ascii="Arial" w:hAnsi="Arial" w:cs="Arial"/>
          <w:b/>
          <w:sz w:val="20"/>
          <w:szCs w:val="20"/>
        </w:rPr>
      </w:pPr>
    </w:p>
    <w:p w:rsidR="005E4102" w:rsidRDefault="005E4102" w:rsidP="00E30FAF">
      <w:pPr>
        <w:spacing w:after="0" w:line="240" w:lineRule="auto"/>
        <w:rPr>
          <w:rFonts w:ascii="Arial" w:hAnsi="Arial" w:cs="Arial"/>
          <w:b/>
          <w:sz w:val="20"/>
          <w:szCs w:val="20"/>
        </w:rPr>
      </w:pPr>
    </w:p>
    <w:p w:rsidR="005E4102" w:rsidRDefault="005E4102" w:rsidP="00E30FAF">
      <w:pPr>
        <w:spacing w:after="0" w:line="240" w:lineRule="auto"/>
        <w:rPr>
          <w:rFonts w:ascii="Arial" w:hAnsi="Arial" w:cs="Arial"/>
          <w:b/>
          <w:sz w:val="20"/>
          <w:szCs w:val="20"/>
        </w:rPr>
      </w:pPr>
    </w:p>
    <w:p w:rsidR="005E4102" w:rsidRPr="00FC6804" w:rsidRDefault="005E4102" w:rsidP="00E30FAF">
      <w:pPr>
        <w:spacing w:after="0" w:line="240" w:lineRule="auto"/>
        <w:rPr>
          <w:rFonts w:ascii="Arial" w:hAnsi="Arial" w:cs="Arial"/>
          <w:b/>
          <w:sz w:val="20"/>
          <w:szCs w:val="20"/>
        </w:rPr>
      </w:pPr>
    </w:p>
    <w:p w:rsidR="00CE3321" w:rsidRPr="00FC6804" w:rsidRDefault="00CE3321" w:rsidP="00E30FAF">
      <w:pPr>
        <w:spacing w:after="0" w:line="240" w:lineRule="auto"/>
        <w:rPr>
          <w:rFonts w:ascii="Arial" w:hAnsi="Arial" w:cs="Arial"/>
          <w:b/>
          <w:i/>
          <w:sz w:val="20"/>
          <w:szCs w:val="20"/>
        </w:rPr>
      </w:pPr>
      <w:r w:rsidRPr="00FC6804">
        <w:rPr>
          <w:rFonts w:ascii="Arial" w:hAnsi="Arial" w:cs="Arial"/>
          <w:b/>
          <w:i/>
          <w:sz w:val="20"/>
          <w:szCs w:val="20"/>
        </w:rPr>
        <w:t>Pre-licensing advice fee</w:t>
      </w:r>
    </w:p>
    <w:p w:rsidR="00E30FAF" w:rsidRPr="00FC6804" w:rsidRDefault="00E30FAF" w:rsidP="00E30FAF">
      <w:pPr>
        <w:pStyle w:val="NormalWeb"/>
        <w:spacing w:before="0" w:beforeAutospacing="0" w:after="0" w:afterAutospacing="0"/>
        <w:rPr>
          <w:rFonts w:ascii="Arial" w:hAnsi="Arial" w:cs="Arial"/>
          <w:color w:val="000000"/>
          <w:sz w:val="20"/>
          <w:szCs w:val="20"/>
        </w:rPr>
      </w:pPr>
    </w:p>
    <w:p w:rsidR="00560BE4" w:rsidRPr="00FC6804" w:rsidRDefault="00CE3321" w:rsidP="00E30FAF">
      <w:pPr>
        <w:pStyle w:val="NormalWeb"/>
        <w:spacing w:before="0" w:beforeAutospacing="0" w:after="0" w:afterAutospacing="0"/>
        <w:rPr>
          <w:rFonts w:ascii="Arial" w:hAnsi="Arial" w:cs="Arial"/>
          <w:color w:val="000000"/>
          <w:sz w:val="20"/>
          <w:szCs w:val="20"/>
        </w:rPr>
      </w:pPr>
      <w:r w:rsidRPr="00FC6804">
        <w:rPr>
          <w:rFonts w:ascii="Arial" w:hAnsi="Arial" w:cs="Arial"/>
          <w:color w:val="000000"/>
          <w:sz w:val="20"/>
          <w:szCs w:val="20"/>
        </w:rPr>
        <w:t>A</w:t>
      </w:r>
      <w:r w:rsidR="00041689" w:rsidRPr="00FC6804">
        <w:rPr>
          <w:rFonts w:ascii="Arial" w:hAnsi="Arial" w:cs="Arial"/>
          <w:color w:val="000000"/>
          <w:sz w:val="20"/>
          <w:szCs w:val="20"/>
        </w:rPr>
        <w:t xml:space="preserve">s noted in Section </w:t>
      </w:r>
      <w:r w:rsidR="007B595C">
        <w:rPr>
          <w:rFonts w:ascii="Arial" w:hAnsi="Arial" w:cs="Arial"/>
          <w:color w:val="000000"/>
          <w:sz w:val="20"/>
          <w:szCs w:val="20"/>
        </w:rPr>
        <w:t>5</w:t>
      </w:r>
      <w:r w:rsidR="00041689" w:rsidRPr="00FC6804">
        <w:rPr>
          <w:rFonts w:ascii="Arial" w:hAnsi="Arial" w:cs="Arial"/>
          <w:color w:val="000000"/>
          <w:sz w:val="20"/>
          <w:szCs w:val="20"/>
        </w:rPr>
        <w:t xml:space="preserve">, </w:t>
      </w:r>
      <w:r w:rsidR="00E30FAF" w:rsidRPr="00FC6804">
        <w:rPr>
          <w:rFonts w:ascii="Arial" w:hAnsi="Arial" w:cs="Arial"/>
          <w:color w:val="000000"/>
          <w:sz w:val="20"/>
          <w:szCs w:val="20"/>
        </w:rPr>
        <w:t>PrimeSafe</w:t>
      </w:r>
      <w:r w:rsidR="00041689" w:rsidRPr="00FC6804">
        <w:rPr>
          <w:rFonts w:ascii="Arial" w:hAnsi="Arial" w:cs="Arial"/>
          <w:color w:val="000000"/>
          <w:sz w:val="20"/>
          <w:szCs w:val="20"/>
        </w:rPr>
        <w:t xml:space="preserve"> will be required, as a result of its most recent Ministerial Statement of Expectations, to provide substantial advice to </w:t>
      </w:r>
      <w:r w:rsidR="007B595C">
        <w:rPr>
          <w:rFonts w:ascii="Arial" w:hAnsi="Arial" w:cs="Arial"/>
          <w:color w:val="000000"/>
          <w:sz w:val="20"/>
          <w:szCs w:val="20"/>
        </w:rPr>
        <w:t>prospective</w:t>
      </w:r>
      <w:r w:rsidR="00041689" w:rsidRPr="00FC6804">
        <w:rPr>
          <w:rFonts w:ascii="Arial" w:hAnsi="Arial" w:cs="Arial"/>
          <w:color w:val="000000"/>
          <w:sz w:val="20"/>
          <w:szCs w:val="20"/>
        </w:rPr>
        <w:t xml:space="preserve"> licensees prior to their lodgement of a</w:t>
      </w:r>
      <w:r w:rsidR="00E30FAF" w:rsidRPr="00FC6804">
        <w:rPr>
          <w:rFonts w:ascii="Arial" w:hAnsi="Arial" w:cs="Arial"/>
          <w:color w:val="000000"/>
          <w:sz w:val="20"/>
          <w:szCs w:val="20"/>
        </w:rPr>
        <w:t xml:space="preserve">n initial licence application. </w:t>
      </w:r>
      <w:r w:rsidR="00041689" w:rsidRPr="00FC6804">
        <w:rPr>
          <w:rFonts w:ascii="Arial" w:hAnsi="Arial" w:cs="Arial"/>
          <w:color w:val="000000"/>
          <w:sz w:val="20"/>
          <w:szCs w:val="20"/>
        </w:rPr>
        <w:t xml:space="preserve">Given that this is a service potentially able to be provided by the private sector, which </w:t>
      </w:r>
      <w:r w:rsidR="00E30FAF" w:rsidRPr="00FC6804">
        <w:rPr>
          <w:rFonts w:ascii="Arial" w:hAnsi="Arial" w:cs="Arial"/>
          <w:color w:val="000000"/>
          <w:sz w:val="20"/>
          <w:szCs w:val="20"/>
        </w:rPr>
        <w:t>PrimeSafe</w:t>
      </w:r>
      <w:r w:rsidR="00041689" w:rsidRPr="00FC6804">
        <w:rPr>
          <w:rFonts w:ascii="Arial" w:hAnsi="Arial" w:cs="Arial"/>
          <w:color w:val="000000"/>
          <w:sz w:val="20"/>
          <w:szCs w:val="20"/>
        </w:rPr>
        <w:t xml:space="preserve"> is providing as a result of the identification of a significant </w:t>
      </w:r>
      <w:r w:rsidR="00A6207C" w:rsidRPr="00FC6804">
        <w:rPr>
          <w:rFonts w:ascii="Arial" w:hAnsi="Arial" w:cs="Arial"/>
          <w:color w:val="000000"/>
          <w:sz w:val="20"/>
          <w:szCs w:val="20"/>
        </w:rPr>
        <w:t xml:space="preserve">current gap in the private market, it is necessary to establish a cost-recovery based fee for </w:t>
      </w:r>
      <w:r w:rsidR="007B595C">
        <w:rPr>
          <w:rFonts w:ascii="Arial" w:hAnsi="Arial" w:cs="Arial"/>
          <w:color w:val="000000"/>
          <w:sz w:val="20"/>
          <w:szCs w:val="20"/>
        </w:rPr>
        <w:t xml:space="preserve">the </w:t>
      </w:r>
      <w:r w:rsidR="00A6207C" w:rsidRPr="00FC6804">
        <w:rPr>
          <w:rFonts w:ascii="Arial" w:hAnsi="Arial" w:cs="Arial"/>
          <w:color w:val="000000"/>
          <w:sz w:val="20"/>
          <w:szCs w:val="20"/>
        </w:rPr>
        <w:t>provision of this service.  This is consistent with Prime</w:t>
      </w:r>
      <w:r w:rsidR="00E30FAF" w:rsidRPr="00FC6804">
        <w:rPr>
          <w:rFonts w:ascii="Arial" w:hAnsi="Arial" w:cs="Arial"/>
          <w:color w:val="000000"/>
          <w:sz w:val="20"/>
          <w:szCs w:val="20"/>
        </w:rPr>
        <w:t>S</w:t>
      </w:r>
      <w:r w:rsidR="00A6207C" w:rsidRPr="00FC6804">
        <w:rPr>
          <w:rFonts w:ascii="Arial" w:hAnsi="Arial" w:cs="Arial"/>
          <w:color w:val="000000"/>
          <w:sz w:val="20"/>
          <w:szCs w:val="20"/>
        </w:rPr>
        <w:t>afe’s general approach to fee</w:t>
      </w:r>
      <w:r w:rsidR="007B595C">
        <w:rPr>
          <w:rFonts w:ascii="Arial" w:hAnsi="Arial" w:cs="Arial"/>
          <w:color w:val="000000"/>
          <w:sz w:val="20"/>
          <w:szCs w:val="20"/>
        </w:rPr>
        <w:t xml:space="preserve"> </w:t>
      </w:r>
      <w:r w:rsidR="00A6207C" w:rsidRPr="00FC6804">
        <w:rPr>
          <w:rFonts w:ascii="Arial" w:hAnsi="Arial" w:cs="Arial"/>
          <w:color w:val="000000"/>
          <w:sz w:val="20"/>
          <w:szCs w:val="20"/>
        </w:rPr>
        <w:t xml:space="preserve">setting and is also consistent with the competitive neutrality requirements of the National Competition Policy, given the potential for private businesses to enter this market in competition with </w:t>
      </w:r>
      <w:r w:rsidR="00E30FAF" w:rsidRPr="00FC6804">
        <w:rPr>
          <w:rFonts w:ascii="Arial" w:hAnsi="Arial" w:cs="Arial"/>
          <w:color w:val="000000"/>
          <w:sz w:val="20"/>
          <w:szCs w:val="20"/>
        </w:rPr>
        <w:t xml:space="preserve">PrimeSafe. </w:t>
      </w:r>
      <w:r w:rsidR="00A6207C" w:rsidRPr="00FC6804">
        <w:rPr>
          <w:rFonts w:ascii="Arial" w:hAnsi="Arial" w:cs="Arial"/>
          <w:color w:val="000000"/>
          <w:sz w:val="20"/>
          <w:szCs w:val="20"/>
        </w:rPr>
        <w:t xml:space="preserve">Thus, </w:t>
      </w:r>
      <w:r w:rsidR="007B595C">
        <w:rPr>
          <w:rFonts w:ascii="Arial" w:hAnsi="Arial" w:cs="Arial"/>
          <w:color w:val="000000"/>
          <w:sz w:val="20"/>
          <w:szCs w:val="20"/>
        </w:rPr>
        <w:t xml:space="preserve">where </w:t>
      </w:r>
      <w:r w:rsidR="00A6207C" w:rsidRPr="00FC6804">
        <w:rPr>
          <w:rFonts w:ascii="Arial" w:hAnsi="Arial" w:cs="Arial"/>
          <w:color w:val="000000"/>
          <w:sz w:val="20"/>
          <w:szCs w:val="20"/>
        </w:rPr>
        <w:t>s</w:t>
      </w:r>
      <w:r w:rsidRPr="00FC6804">
        <w:rPr>
          <w:rFonts w:ascii="Arial" w:hAnsi="Arial" w:cs="Arial"/>
          <w:color w:val="000000"/>
          <w:sz w:val="20"/>
          <w:szCs w:val="20"/>
        </w:rPr>
        <w:t>pecific advice is provided</w:t>
      </w:r>
      <w:r w:rsidR="00A6207C" w:rsidRPr="00FC6804">
        <w:rPr>
          <w:rFonts w:ascii="Arial" w:hAnsi="Arial" w:cs="Arial"/>
          <w:color w:val="000000"/>
          <w:sz w:val="20"/>
          <w:szCs w:val="20"/>
        </w:rPr>
        <w:t xml:space="preserve"> to </w:t>
      </w:r>
      <w:r w:rsidR="007B595C">
        <w:rPr>
          <w:rFonts w:ascii="Arial" w:hAnsi="Arial" w:cs="Arial"/>
          <w:color w:val="000000"/>
          <w:sz w:val="20"/>
          <w:szCs w:val="20"/>
        </w:rPr>
        <w:t>prospective</w:t>
      </w:r>
      <w:r w:rsidR="00A6207C" w:rsidRPr="00FC6804">
        <w:rPr>
          <w:rFonts w:ascii="Arial" w:hAnsi="Arial" w:cs="Arial"/>
          <w:color w:val="000000"/>
          <w:sz w:val="20"/>
          <w:szCs w:val="20"/>
        </w:rPr>
        <w:t xml:space="preserve"> licensees</w:t>
      </w:r>
      <w:r w:rsidRPr="00FC6804">
        <w:rPr>
          <w:rFonts w:ascii="Arial" w:hAnsi="Arial" w:cs="Arial"/>
          <w:color w:val="000000"/>
          <w:sz w:val="20"/>
          <w:szCs w:val="20"/>
        </w:rPr>
        <w:t xml:space="preserve">, a new fee of $250 per hour </w:t>
      </w:r>
      <w:r w:rsidR="007B595C">
        <w:rPr>
          <w:rFonts w:ascii="Arial" w:hAnsi="Arial" w:cs="Arial"/>
          <w:color w:val="000000"/>
          <w:sz w:val="20"/>
          <w:szCs w:val="20"/>
        </w:rPr>
        <w:t xml:space="preserve">(ex GST) </w:t>
      </w:r>
      <w:r w:rsidRPr="00FC6804">
        <w:rPr>
          <w:rFonts w:ascii="Arial" w:hAnsi="Arial" w:cs="Arial"/>
          <w:color w:val="000000"/>
          <w:sz w:val="20"/>
          <w:szCs w:val="20"/>
        </w:rPr>
        <w:t xml:space="preserve">is proposed to be </w:t>
      </w:r>
      <w:r w:rsidR="007B595C">
        <w:rPr>
          <w:rFonts w:ascii="Arial" w:hAnsi="Arial" w:cs="Arial"/>
          <w:color w:val="000000"/>
          <w:sz w:val="20"/>
          <w:szCs w:val="20"/>
        </w:rPr>
        <w:t>implemented</w:t>
      </w:r>
      <w:r w:rsidRPr="00FC6804">
        <w:rPr>
          <w:rFonts w:ascii="Arial" w:hAnsi="Arial" w:cs="Arial"/>
          <w:color w:val="000000"/>
          <w:sz w:val="20"/>
          <w:szCs w:val="20"/>
        </w:rPr>
        <w:t>.</w:t>
      </w:r>
      <w:r w:rsidR="00560BE4" w:rsidRPr="00FC6804">
        <w:rPr>
          <w:rFonts w:ascii="Arial" w:hAnsi="Arial" w:cs="Arial"/>
          <w:color w:val="000000"/>
          <w:sz w:val="20"/>
          <w:szCs w:val="20"/>
        </w:rPr>
        <w:t xml:space="preserve">  </w:t>
      </w:r>
    </w:p>
    <w:p w:rsidR="00560BE4" w:rsidRPr="00FC6804" w:rsidRDefault="00560BE4" w:rsidP="00E30FAF">
      <w:pPr>
        <w:pStyle w:val="NormalWeb"/>
        <w:spacing w:before="0" w:beforeAutospacing="0" w:after="0" w:afterAutospacing="0"/>
        <w:rPr>
          <w:rFonts w:ascii="Arial" w:hAnsi="Arial" w:cs="Arial"/>
          <w:color w:val="000000"/>
          <w:sz w:val="20"/>
          <w:szCs w:val="20"/>
        </w:rPr>
      </w:pPr>
    </w:p>
    <w:p w:rsidR="00CE3321" w:rsidRPr="00FC6804" w:rsidRDefault="00E30FAF" w:rsidP="00E30FAF">
      <w:pPr>
        <w:pStyle w:val="NormalWeb"/>
        <w:spacing w:before="0" w:beforeAutospacing="0" w:after="0" w:afterAutospacing="0"/>
        <w:rPr>
          <w:rFonts w:ascii="Arial" w:hAnsi="Arial" w:cs="Arial"/>
          <w:color w:val="000000"/>
          <w:sz w:val="20"/>
          <w:szCs w:val="20"/>
        </w:rPr>
      </w:pPr>
      <w:r w:rsidRPr="00FC6804">
        <w:rPr>
          <w:rFonts w:ascii="Arial" w:hAnsi="Arial" w:cs="Arial"/>
          <w:color w:val="000000"/>
          <w:sz w:val="20"/>
          <w:szCs w:val="20"/>
        </w:rPr>
        <w:t>PrimeSafe</w:t>
      </w:r>
      <w:r w:rsidR="00560BE4" w:rsidRPr="00FC6804">
        <w:rPr>
          <w:rFonts w:ascii="Arial" w:hAnsi="Arial" w:cs="Arial"/>
          <w:color w:val="000000"/>
          <w:sz w:val="20"/>
          <w:szCs w:val="20"/>
        </w:rPr>
        <w:t xml:space="preserve"> believes that this fee reflects the market rate charged by private consultants for the provision of similar types of advice in the meat, seafood and poultry industries, albeit that there is currently no market for the specific types of advice which </w:t>
      </w:r>
      <w:r w:rsidRPr="00FC6804">
        <w:rPr>
          <w:rFonts w:ascii="Arial" w:hAnsi="Arial" w:cs="Arial"/>
          <w:color w:val="000000"/>
          <w:sz w:val="20"/>
          <w:szCs w:val="20"/>
        </w:rPr>
        <w:t xml:space="preserve">PrimeSafe will be providing. </w:t>
      </w:r>
      <w:r w:rsidR="00560BE4" w:rsidRPr="00FC6804">
        <w:rPr>
          <w:rFonts w:ascii="Arial" w:hAnsi="Arial" w:cs="Arial"/>
          <w:color w:val="000000"/>
          <w:sz w:val="20"/>
          <w:szCs w:val="20"/>
        </w:rPr>
        <w:t xml:space="preserve">Given the contestable nature of the service, </w:t>
      </w:r>
      <w:r w:rsidRPr="00FC6804">
        <w:rPr>
          <w:rFonts w:ascii="Arial" w:hAnsi="Arial" w:cs="Arial"/>
          <w:color w:val="000000"/>
          <w:sz w:val="20"/>
          <w:szCs w:val="20"/>
        </w:rPr>
        <w:t>PrimeSafe</w:t>
      </w:r>
      <w:r w:rsidR="00560BE4" w:rsidRPr="00FC6804">
        <w:rPr>
          <w:rFonts w:ascii="Arial" w:hAnsi="Arial" w:cs="Arial"/>
          <w:color w:val="000000"/>
          <w:sz w:val="20"/>
          <w:szCs w:val="20"/>
        </w:rPr>
        <w:t xml:space="preserve"> has chosen to set the fee at what it believes is a market level, rather than with refere</w:t>
      </w:r>
      <w:r w:rsidRPr="00FC6804">
        <w:rPr>
          <w:rFonts w:ascii="Arial" w:hAnsi="Arial" w:cs="Arial"/>
          <w:color w:val="000000"/>
          <w:sz w:val="20"/>
          <w:szCs w:val="20"/>
        </w:rPr>
        <w:t xml:space="preserve">nce to its costs of provision. </w:t>
      </w:r>
      <w:r w:rsidR="00560BE4" w:rsidRPr="00FC6804">
        <w:rPr>
          <w:rFonts w:ascii="Arial" w:hAnsi="Arial" w:cs="Arial"/>
          <w:color w:val="000000"/>
          <w:sz w:val="20"/>
          <w:szCs w:val="20"/>
        </w:rPr>
        <w:t>However, it is confident that this fee will at least ensure that the costs of advic</w:t>
      </w:r>
      <w:r w:rsidRPr="00FC6804">
        <w:rPr>
          <w:rFonts w:ascii="Arial" w:hAnsi="Arial" w:cs="Arial"/>
          <w:color w:val="000000"/>
          <w:sz w:val="20"/>
          <w:szCs w:val="20"/>
        </w:rPr>
        <w:t xml:space="preserve">e provision are fully covered. </w:t>
      </w:r>
      <w:r w:rsidR="00560BE4" w:rsidRPr="00FC6804">
        <w:rPr>
          <w:rFonts w:ascii="Arial" w:hAnsi="Arial" w:cs="Arial"/>
          <w:color w:val="000000"/>
          <w:sz w:val="20"/>
          <w:szCs w:val="20"/>
        </w:rPr>
        <w:t xml:space="preserve">Given this, the proposed fee is considered to be consistent with the provisions of the </w:t>
      </w:r>
      <w:r w:rsidR="007B595C">
        <w:rPr>
          <w:rFonts w:ascii="Arial" w:hAnsi="Arial" w:cs="Arial"/>
          <w:color w:val="000000"/>
          <w:sz w:val="20"/>
          <w:szCs w:val="20"/>
        </w:rPr>
        <w:t>Department of Treasury</w:t>
      </w:r>
      <w:r w:rsidR="00560BE4" w:rsidRPr="00FC6804">
        <w:rPr>
          <w:rFonts w:ascii="Arial" w:hAnsi="Arial" w:cs="Arial"/>
          <w:color w:val="000000"/>
          <w:sz w:val="20"/>
          <w:szCs w:val="20"/>
        </w:rPr>
        <w:t xml:space="preserve"> Cost Recovery Guidelines.</w:t>
      </w:r>
    </w:p>
    <w:p w:rsidR="008D04BA" w:rsidRDefault="008D04BA" w:rsidP="00E30FAF">
      <w:pPr>
        <w:spacing w:after="0" w:line="240" w:lineRule="auto"/>
        <w:rPr>
          <w:rFonts w:ascii="Arial" w:hAnsi="Arial" w:cs="Arial"/>
          <w:b/>
          <w:sz w:val="20"/>
          <w:szCs w:val="20"/>
          <w:u w:val="single"/>
        </w:rPr>
      </w:pPr>
    </w:p>
    <w:p w:rsidR="00EF785B" w:rsidRDefault="00EF785B" w:rsidP="00E30FAF">
      <w:pPr>
        <w:spacing w:after="0" w:line="240" w:lineRule="auto"/>
        <w:rPr>
          <w:rFonts w:ascii="Arial" w:hAnsi="Arial" w:cs="Arial"/>
          <w:b/>
          <w:sz w:val="20"/>
          <w:szCs w:val="20"/>
          <w:u w:val="single"/>
        </w:rPr>
        <w:sectPr w:rsidR="00EF785B" w:rsidSect="00245D1C">
          <w:pgSz w:w="11906" w:h="16838" w:code="9"/>
          <w:pgMar w:top="1440" w:right="1440" w:bottom="1440" w:left="1440" w:header="567" w:footer="567" w:gutter="0"/>
          <w:cols w:space="708"/>
          <w:docGrid w:linePitch="360"/>
        </w:sectPr>
      </w:pPr>
    </w:p>
    <w:p w:rsidR="001508B7" w:rsidRPr="00FC6804" w:rsidRDefault="001508B7" w:rsidP="00E30FAF">
      <w:pPr>
        <w:spacing w:after="0" w:line="240" w:lineRule="auto"/>
        <w:rPr>
          <w:rFonts w:ascii="Arial" w:hAnsi="Arial" w:cs="Arial"/>
          <w:b/>
          <w:sz w:val="20"/>
          <w:szCs w:val="20"/>
        </w:rPr>
      </w:pPr>
      <w:r w:rsidRPr="00FC6804">
        <w:rPr>
          <w:rFonts w:ascii="Arial" w:hAnsi="Arial" w:cs="Arial"/>
          <w:b/>
          <w:color w:val="1F4E79" w:themeColor="accent1" w:themeShade="80"/>
          <w:sz w:val="20"/>
          <w:szCs w:val="20"/>
        </w:rPr>
        <w:t xml:space="preserve">Table </w:t>
      </w:r>
      <w:r w:rsidR="00A449AB" w:rsidRPr="00FC6804">
        <w:rPr>
          <w:rFonts w:ascii="Arial" w:hAnsi="Arial" w:cs="Arial"/>
          <w:b/>
          <w:color w:val="1F4E79" w:themeColor="accent1" w:themeShade="80"/>
          <w:sz w:val="20"/>
          <w:szCs w:val="20"/>
        </w:rPr>
        <w:t>9</w:t>
      </w:r>
      <w:r w:rsidR="00D721C6" w:rsidRPr="00FC6804">
        <w:rPr>
          <w:rFonts w:ascii="Arial" w:hAnsi="Arial" w:cs="Arial"/>
          <w:b/>
          <w:color w:val="1F4E79" w:themeColor="accent1" w:themeShade="80"/>
          <w:sz w:val="20"/>
          <w:szCs w:val="20"/>
        </w:rPr>
        <w:t>.</w:t>
      </w:r>
      <w:r w:rsidRPr="00FC6804">
        <w:rPr>
          <w:rFonts w:ascii="Arial" w:hAnsi="Arial" w:cs="Arial"/>
          <w:b/>
          <w:color w:val="1F4E79" w:themeColor="accent1" w:themeShade="80"/>
          <w:sz w:val="20"/>
          <w:szCs w:val="20"/>
        </w:rPr>
        <w:t xml:space="preserve">1: Summary of current and proposed </w:t>
      </w:r>
      <w:r w:rsidR="00D721C6" w:rsidRPr="00FC6804">
        <w:rPr>
          <w:rFonts w:ascii="Arial" w:hAnsi="Arial" w:cs="Arial"/>
          <w:b/>
          <w:color w:val="1F4E79" w:themeColor="accent1" w:themeShade="80"/>
          <w:sz w:val="20"/>
          <w:szCs w:val="20"/>
        </w:rPr>
        <w:t xml:space="preserve">licence </w:t>
      </w:r>
      <w:r w:rsidRPr="00FC6804">
        <w:rPr>
          <w:rFonts w:ascii="Arial" w:hAnsi="Arial" w:cs="Arial"/>
          <w:b/>
          <w:color w:val="1F4E79" w:themeColor="accent1" w:themeShade="80"/>
          <w:sz w:val="20"/>
          <w:szCs w:val="20"/>
        </w:rPr>
        <w:t>fees</w:t>
      </w:r>
    </w:p>
    <w:p w:rsidR="008D04BA" w:rsidRDefault="008D04BA" w:rsidP="00E30FAF">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4219"/>
        <w:gridCol w:w="1843"/>
        <w:gridCol w:w="3969"/>
        <w:gridCol w:w="1725"/>
        <w:gridCol w:w="2418"/>
      </w:tblGrid>
      <w:tr w:rsidR="00012D1D" w:rsidTr="009E63BE">
        <w:tc>
          <w:tcPr>
            <w:tcW w:w="4219" w:type="dxa"/>
            <w:shd w:val="clear" w:color="auto" w:fill="F2F2F2" w:themeFill="background1" w:themeFillShade="F2"/>
            <w:vAlign w:val="center"/>
          </w:tcPr>
          <w:p w:rsidR="00012D1D" w:rsidRPr="00E87CBB" w:rsidRDefault="00012D1D" w:rsidP="00EF785B">
            <w:pPr>
              <w:spacing w:before="60" w:after="60"/>
              <w:rPr>
                <w:rFonts w:ascii="Arial" w:hAnsi="Arial" w:cs="Arial"/>
                <w:b/>
                <w:sz w:val="20"/>
                <w:szCs w:val="20"/>
              </w:rPr>
            </w:pPr>
            <w:r w:rsidRPr="00E87CBB">
              <w:rPr>
                <w:rFonts w:ascii="Arial" w:hAnsi="Arial" w:cs="Arial"/>
                <w:b/>
                <w:sz w:val="20"/>
                <w:szCs w:val="20"/>
              </w:rPr>
              <w:t>Abattoir (Domestic)</w:t>
            </w:r>
          </w:p>
        </w:tc>
        <w:tc>
          <w:tcPr>
            <w:tcW w:w="1843" w:type="dxa"/>
            <w:shd w:val="clear" w:color="auto" w:fill="F2F2F2" w:themeFill="background1" w:themeFillShade="F2"/>
            <w:vAlign w:val="center"/>
          </w:tcPr>
          <w:p w:rsidR="00012D1D" w:rsidRPr="00EF785B" w:rsidRDefault="00012D1D" w:rsidP="00EF785B">
            <w:pPr>
              <w:spacing w:before="60" w:after="60"/>
              <w:jc w:val="center"/>
              <w:rPr>
                <w:rFonts w:ascii="Arial" w:hAnsi="Arial" w:cs="Arial"/>
                <w:b/>
                <w:sz w:val="20"/>
                <w:szCs w:val="20"/>
              </w:rPr>
            </w:pPr>
            <w:r w:rsidRPr="00EF785B">
              <w:rPr>
                <w:rFonts w:ascii="Arial" w:hAnsi="Arial" w:cs="Arial"/>
                <w:b/>
                <w:sz w:val="20"/>
                <w:szCs w:val="20"/>
              </w:rPr>
              <w:t>Current</w:t>
            </w:r>
          </w:p>
        </w:tc>
        <w:tc>
          <w:tcPr>
            <w:tcW w:w="8112" w:type="dxa"/>
            <w:gridSpan w:val="3"/>
            <w:shd w:val="clear" w:color="auto" w:fill="F2F2F2" w:themeFill="background1" w:themeFillShade="F2"/>
            <w:vAlign w:val="center"/>
          </w:tcPr>
          <w:p w:rsidR="00012D1D" w:rsidRDefault="00012D1D" w:rsidP="00012D1D">
            <w:pPr>
              <w:spacing w:before="60" w:after="60"/>
              <w:jc w:val="center"/>
              <w:rPr>
                <w:rFonts w:ascii="Arial" w:hAnsi="Arial" w:cs="Arial"/>
                <w:b/>
                <w:sz w:val="20"/>
                <w:szCs w:val="20"/>
                <w:u w:val="single"/>
              </w:rPr>
            </w:pPr>
            <w:r w:rsidRPr="00EF785B">
              <w:rPr>
                <w:rFonts w:ascii="Arial" w:hAnsi="Arial" w:cs="Arial"/>
                <w:b/>
                <w:sz w:val="20"/>
                <w:szCs w:val="20"/>
              </w:rPr>
              <w:t>Proposed</w:t>
            </w:r>
          </w:p>
        </w:tc>
      </w:tr>
      <w:tr w:rsidR="00EF785B" w:rsidTr="00012D1D">
        <w:tc>
          <w:tcPr>
            <w:tcW w:w="4219" w:type="dxa"/>
            <w:vAlign w:val="center"/>
          </w:tcPr>
          <w:p w:rsidR="00EF785B" w:rsidRPr="00EF785B" w:rsidRDefault="00EF785B" w:rsidP="00EF785B">
            <w:pPr>
              <w:spacing w:before="60" w:after="60"/>
              <w:rPr>
                <w:rFonts w:ascii="Arial" w:hAnsi="Arial" w:cs="Arial"/>
                <w:b/>
                <w:sz w:val="20"/>
                <w:szCs w:val="20"/>
              </w:rPr>
            </w:pPr>
            <w:r>
              <w:rPr>
                <w:rFonts w:ascii="Arial" w:hAnsi="Arial" w:cs="Arial"/>
                <w:b/>
                <w:sz w:val="20"/>
                <w:szCs w:val="20"/>
              </w:rPr>
              <w:t xml:space="preserve">Annual </w:t>
            </w:r>
            <w:r w:rsidRPr="00EF785B">
              <w:rPr>
                <w:rFonts w:ascii="Arial" w:hAnsi="Arial" w:cs="Arial"/>
                <w:b/>
                <w:sz w:val="20"/>
                <w:szCs w:val="20"/>
              </w:rPr>
              <w:t>Throughput</w:t>
            </w:r>
          </w:p>
        </w:tc>
        <w:tc>
          <w:tcPr>
            <w:tcW w:w="1843" w:type="dxa"/>
            <w:vAlign w:val="center"/>
          </w:tcPr>
          <w:p w:rsidR="00EF785B" w:rsidRDefault="00EF785B" w:rsidP="00EF785B">
            <w:pPr>
              <w:spacing w:before="60" w:after="60"/>
              <w:jc w:val="center"/>
              <w:rPr>
                <w:rFonts w:ascii="Arial" w:hAnsi="Arial" w:cs="Arial"/>
                <w:b/>
                <w:sz w:val="20"/>
                <w:szCs w:val="20"/>
              </w:rPr>
            </w:pPr>
            <w:r>
              <w:rPr>
                <w:rFonts w:ascii="Arial" w:hAnsi="Arial" w:cs="Arial"/>
                <w:b/>
                <w:sz w:val="20"/>
                <w:szCs w:val="20"/>
              </w:rPr>
              <w:t>2015-16</w:t>
            </w:r>
          </w:p>
          <w:p w:rsidR="00EF785B" w:rsidRPr="00EF785B" w:rsidRDefault="00EF785B" w:rsidP="00EF785B">
            <w:pPr>
              <w:spacing w:before="60" w:after="60"/>
              <w:jc w:val="center"/>
              <w:rPr>
                <w:rFonts w:ascii="Arial" w:hAnsi="Arial" w:cs="Arial"/>
                <w:b/>
                <w:sz w:val="20"/>
                <w:szCs w:val="20"/>
              </w:rPr>
            </w:pPr>
            <w:r>
              <w:rPr>
                <w:rFonts w:ascii="Arial" w:hAnsi="Arial" w:cs="Arial"/>
                <w:b/>
                <w:sz w:val="20"/>
                <w:szCs w:val="20"/>
              </w:rPr>
              <w:t>$</w:t>
            </w:r>
          </w:p>
        </w:tc>
        <w:tc>
          <w:tcPr>
            <w:tcW w:w="3969" w:type="dxa"/>
            <w:vAlign w:val="center"/>
          </w:tcPr>
          <w:p w:rsidR="00EF785B" w:rsidRPr="00EF785B" w:rsidRDefault="00EF785B" w:rsidP="00EF785B">
            <w:pPr>
              <w:spacing w:before="60" w:after="60"/>
              <w:jc w:val="center"/>
              <w:rPr>
                <w:rFonts w:ascii="Arial" w:hAnsi="Arial" w:cs="Arial"/>
                <w:b/>
                <w:sz w:val="20"/>
                <w:szCs w:val="20"/>
              </w:rPr>
            </w:pPr>
            <w:r>
              <w:rPr>
                <w:rFonts w:ascii="Arial" w:hAnsi="Arial" w:cs="Arial"/>
                <w:b/>
                <w:sz w:val="20"/>
                <w:szCs w:val="20"/>
              </w:rPr>
              <w:t>Annual Throughput</w:t>
            </w:r>
          </w:p>
        </w:tc>
        <w:tc>
          <w:tcPr>
            <w:tcW w:w="1725" w:type="dxa"/>
            <w:vAlign w:val="center"/>
          </w:tcPr>
          <w:p w:rsidR="00EF785B" w:rsidRDefault="00EF785B" w:rsidP="00EF785B">
            <w:pPr>
              <w:spacing w:before="60" w:after="60"/>
              <w:jc w:val="center"/>
              <w:rPr>
                <w:rFonts w:ascii="Arial" w:hAnsi="Arial" w:cs="Arial"/>
                <w:b/>
                <w:sz w:val="20"/>
                <w:szCs w:val="20"/>
              </w:rPr>
            </w:pPr>
            <w:r w:rsidRPr="00EF785B">
              <w:rPr>
                <w:rFonts w:ascii="Arial" w:hAnsi="Arial" w:cs="Arial"/>
                <w:b/>
                <w:sz w:val="20"/>
                <w:szCs w:val="20"/>
              </w:rPr>
              <w:t>2016-17</w:t>
            </w:r>
          </w:p>
          <w:p w:rsidR="00EF785B" w:rsidRPr="00EF785B" w:rsidRDefault="00EF785B" w:rsidP="00EF785B">
            <w:pPr>
              <w:spacing w:before="60" w:after="60"/>
              <w:jc w:val="center"/>
              <w:rPr>
                <w:rFonts w:ascii="Arial" w:hAnsi="Arial" w:cs="Arial"/>
                <w:b/>
                <w:sz w:val="20"/>
                <w:szCs w:val="20"/>
              </w:rPr>
            </w:pPr>
            <w:r>
              <w:rPr>
                <w:rFonts w:ascii="Arial" w:hAnsi="Arial" w:cs="Arial"/>
                <w:b/>
                <w:sz w:val="20"/>
                <w:szCs w:val="20"/>
              </w:rPr>
              <w:t>$</w:t>
            </w:r>
          </w:p>
        </w:tc>
        <w:tc>
          <w:tcPr>
            <w:tcW w:w="2418" w:type="dxa"/>
            <w:vAlign w:val="center"/>
          </w:tcPr>
          <w:p w:rsidR="00EF785B" w:rsidRDefault="00EF785B" w:rsidP="00EF785B">
            <w:pPr>
              <w:spacing w:before="60" w:after="60"/>
              <w:jc w:val="center"/>
              <w:rPr>
                <w:rFonts w:ascii="Arial" w:hAnsi="Arial" w:cs="Arial"/>
                <w:b/>
                <w:sz w:val="20"/>
                <w:szCs w:val="20"/>
              </w:rPr>
            </w:pPr>
            <w:r>
              <w:rPr>
                <w:rFonts w:ascii="Arial" w:hAnsi="Arial" w:cs="Arial"/>
                <w:b/>
                <w:sz w:val="20"/>
                <w:szCs w:val="20"/>
              </w:rPr>
              <w:t>Increase</w:t>
            </w:r>
          </w:p>
          <w:p w:rsidR="00EF785B" w:rsidRPr="00EF785B" w:rsidRDefault="00EF785B" w:rsidP="00EF785B">
            <w:pPr>
              <w:spacing w:before="60" w:after="60"/>
              <w:jc w:val="center"/>
              <w:rPr>
                <w:rFonts w:ascii="Arial" w:hAnsi="Arial" w:cs="Arial"/>
                <w:b/>
                <w:sz w:val="20"/>
                <w:szCs w:val="20"/>
              </w:rPr>
            </w:pPr>
            <w:r>
              <w:rPr>
                <w:rFonts w:ascii="Arial" w:hAnsi="Arial" w:cs="Arial"/>
                <w:b/>
                <w:sz w:val="20"/>
                <w:szCs w:val="20"/>
              </w:rPr>
              <w:t>%</w:t>
            </w:r>
          </w:p>
        </w:tc>
      </w:tr>
      <w:tr w:rsidR="00E87CBB" w:rsidTr="00012D1D">
        <w:tc>
          <w:tcPr>
            <w:tcW w:w="4219" w:type="dxa"/>
            <w:vAlign w:val="center"/>
          </w:tcPr>
          <w:p w:rsidR="00E87CBB" w:rsidRPr="00EF785B" w:rsidRDefault="00E87CBB" w:rsidP="00EF785B">
            <w:pPr>
              <w:rPr>
                <w:rFonts w:ascii="Arial" w:hAnsi="Arial" w:cs="Arial"/>
                <w:sz w:val="20"/>
                <w:szCs w:val="20"/>
              </w:rPr>
            </w:pPr>
            <w:r w:rsidRPr="00EF785B">
              <w:rPr>
                <w:rFonts w:ascii="Arial" w:hAnsi="Arial" w:cs="Arial"/>
                <w:sz w:val="20"/>
                <w:szCs w:val="20"/>
              </w:rPr>
              <w:t>Up to 8,000 units</w:t>
            </w:r>
          </w:p>
        </w:tc>
        <w:tc>
          <w:tcPr>
            <w:tcW w:w="1843" w:type="dxa"/>
            <w:vAlign w:val="center"/>
          </w:tcPr>
          <w:p w:rsidR="00E87CBB" w:rsidRPr="00EF785B" w:rsidRDefault="00E87CBB" w:rsidP="00EF785B">
            <w:pPr>
              <w:spacing w:before="60" w:after="60"/>
              <w:jc w:val="center"/>
              <w:rPr>
                <w:rFonts w:ascii="Arial" w:hAnsi="Arial" w:cs="Arial"/>
                <w:sz w:val="20"/>
                <w:szCs w:val="20"/>
              </w:rPr>
            </w:pPr>
            <w:r w:rsidRPr="00EF785B">
              <w:rPr>
                <w:rFonts w:ascii="Arial" w:hAnsi="Arial" w:cs="Arial"/>
                <w:sz w:val="20"/>
                <w:szCs w:val="20"/>
              </w:rPr>
              <w:t>1,356</w:t>
            </w:r>
          </w:p>
        </w:tc>
        <w:tc>
          <w:tcPr>
            <w:tcW w:w="3969" w:type="dxa"/>
            <w:vMerge w:val="restart"/>
            <w:vAlign w:val="center"/>
          </w:tcPr>
          <w:p w:rsidR="00E87CBB" w:rsidRPr="00EF785B" w:rsidRDefault="00E87CBB" w:rsidP="005706B2">
            <w:pPr>
              <w:spacing w:before="60" w:after="60"/>
              <w:rPr>
                <w:rFonts w:ascii="Arial" w:hAnsi="Arial" w:cs="Arial"/>
                <w:sz w:val="20"/>
                <w:szCs w:val="20"/>
              </w:rPr>
            </w:pPr>
            <w:r>
              <w:rPr>
                <w:rFonts w:ascii="Arial" w:hAnsi="Arial" w:cs="Arial"/>
                <w:sz w:val="20"/>
                <w:szCs w:val="20"/>
              </w:rPr>
              <w:t>Up to 15,000 units</w:t>
            </w:r>
          </w:p>
        </w:tc>
        <w:tc>
          <w:tcPr>
            <w:tcW w:w="1725" w:type="dxa"/>
            <w:vMerge w:val="restart"/>
            <w:vAlign w:val="center"/>
          </w:tcPr>
          <w:p w:rsidR="00E87CBB" w:rsidRPr="00EF785B" w:rsidRDefault="00E87CBB" w:rsidP="00EF785B">
            <w:pPr>
              <w:spacing w:before="60" w:after="60"/>
              <w:jc w:val="center"/>
              <w:rPr>
                <w:rFonts w:ascii="Arial" w:hAnsi="Arial" w:cs="Arial"/>
                <w:sz w:val="20"/>
                <w:szCs w:val="20"/>
              </w:rPr>
            </w:pPr>
            <w:r>
              <w:rPr>
                <w:rFonts w:ascii="Arial" w:hAnsi="Arial" w:cs="Arial"/>
                <w:sz w:val="20"/>
                <w:szCs w:val="20"/>
              </w:rPr>
              <w:t>1,864</w:t>
            </w:r>
          </w:p>
        </w:tc>
        <w:tc>
          <w:tcPr>
            <w:tcW w:w="2418" w:type="dxa"/>
            <w:vAlign w:val="center"/>
          </w:tcPr>
          <w:p w:rsidR="00E87CBB" w:rsidRPr="00EF785B" w:rsidRDefault="00E87CBB" w:rsidP="00EF785B">
            <w:pPr>
              <w:spacing w:before="60" w:after="60"/>
              <w:jc w:val="center"/>
              <w:rPr>
                <w:rFonts w:ascii="Arial" w:hAnsi="Arial" w:cs="Arial"/>
                <w:sz w:val="20"/>
                <w:szCs w:val="20"/>
              </w:rPr>
            </w:pPr>
            <w:r>
              <w:rPr>
                <w:rFonts w:ascii="Arial" w:hAnsi="Arial" w:cs="Arial"/>
                <w:sz w:val="20"/>
                <w:szCs w:val="20"/>
              </w:rPr>
              <w:t>37.5%</w:t>
            </w:r>
          </w:p>
        </w:tc>
      </w:tr>
      <w:tr w:rsidR="00E87CBB" w:rsidTr="00012D1D">
        <w:tc>
          <w:tcPr>
            <w:tcW w:w="4219" w:type="dxa"/>
            <w:vAlign w:val="center"/>
          </w:tcPr>
          <w:p w:rsidR="00E87CBB" w:rsidRPr="00EF785B" w:rsidRDefault="006D6929" w:rsidP="00EF785B">
            <w:pPr>
              <w:rPr>
                <w:rFonts w:ascii="Arial" w:hAnsi="Arial" w:cs="Arial"/>
                <w:sz w:val="20"/>
                <w:szCs w:val="20"/>
              </w:rPr>
            </w:pPr>
            <w:r>
              <w:rPr>
                <w:rFonts w:ascii="Arial" w:hAnsi="Arial" w:cs="Arial"/>
                <w:sz w:val="20"/>
                <w:szCs w:val="20"/>
              </w:rPr>
              <w:t xml:space="preserve">8,001 to </w:t>
            </w:r>
            <w:r w:rsidR="00E87CBB" w:rsidRPr="00EF785B">
              <w:rPr>
                <w:rFonts w:ascii="Arial" w:hAnsi="Arial" w:cs="Arial"/>
                <w:sz w:val="20"/>
                <w:szCs w:val="20"/>
              </w:rPr>
              <w:t>15,000 units</w:t>
            </w:r>
          </w:p>
        </w:tc>
        <w:tc>
          <w:tcPr>
            <w:tcW w:w="1843" w:type="dxa"/>
            <w:vAlign w:val="center"/>
          </w:tcPr>
          <w:p w:rsidR="00E87CBB" w:rsidRPr="00EF785B" w:rsidRDefault="00E87CBB" w:rsidP="00EF785B">
            <w:pPr>
              <w:spacing w:before="60" w:after="60"/>
              <w:jc w:val="center"/>
              <w:rPr>
                <w:rFonts w:ascii="Arial" w:hAnsi="Arial" w:cs="Arial"/>
                <w:sz w:val="20"/>
                <w:szCs w:val="20"/>
              </w:rPr>
            </w:pPr>
            <w:r>
              <w:rPr>
                <w:rFonts w:ascii="Arial" w:hAnsi="Arial" w:cs="Arial"/>
                <w:sz w:val="20"/>
                <w:szCs w:val="20"/>
              </w:rPr>
              <w:t>1,814</w:t>
            </w:r>
          </w:p>
        </w:tc>
        <w:tc>
          <w:tcPr>
            <w:tcW w:w="3969" w:type="dxa"/>
            <w:vMerge/>
            <w:vAlign w:val="center"/>
          </w:tcPr>
          <w:p w:rsidR="00E87CBB" w:rsidRPr="00EF785B" w:rsidRDefault="00E87CBB" w:rsidP="005706B2">
            <w:pPr>
              <w:spacing w:before="60" w:after="60"/>
              <w:rPr>
                <w:rFonts w:ascii="Arial" w:hAnsi="Arial" w:cs="Arial"/>
                <w:sz w:val="20"/>
                <w:szCs w:val="20"/>
              </w:rPr>
            </w:pPr>
          </w:p>
        </w:tc>
        <w:tc>
          <w:tcPr>
            <w:tcW w:w="1725" w:type="dxa"/>
            <w:vMerge/>
            <w:vAlign w:val="center"/>
          </w:tcPr>
          <w:p w:rsidR="00E87CBB" w:rsidRPr="00EF785B" w:rsidRDefault="00E87CBB" w:rsidP="00EF785B">
            <w:pPr>
              <w:spacing w:before="60" w:after="60"/>
              <w:jc w:val="center"/>
              <w:rPr>
                <w:rFonts w:ascii="Arial" w:hAnsi="Arial" w:cs="Arial"/>
                <w:sz w:val="20"/>
                <w:szCs w:val="20"/>
              </w:rPr>
            </w:pPr>
          </w:p>
        </w:tc>
        <w:tc>
          <w:tcPr>
            <w:tcW w:w="2418" w:type="dxa"/>
            <w:vAlign w:val="center"/>
          </w:tcPr>
          <w:p w:rsidR="00E87CBB" w:rsidRPr="00EF785B" w:rsidRDefault="00E87CBB" w:rsidP="00EF785B">
            <w:pPr>
              <w:spacing w:before="60" w:after="60"/>
              <w:jc w:val="center"/>
              <w:rPr>
                <w:rFonts w:ascii="Arial" w:hAnsi="Arial" w:cs="Arial"/>
                <w:sz w:val="20"/>
                <w:szCs w:val="20"/>
              </w:rPr>
            </w:pPr>
            <w:r>
              <w:rPr>
                <w:rFonts w:ascii="Arial" w:hAnsi="Arial" w:cs="Arial"/>
                <w:sz w:val="20"/>
                <w:szCs w:val="20"/>
              </w:rPr>
              <w:t>2.75%</w:t>
            </w:r>
          </w:p>
        </w:tc>
      </w:tr>
      <w:tr w:rsidR="00012D1D" w:rsidTr="00012D1D">
        <w:tc>
          <w:tcPr>
            <w:tcW w:w="4219" w:type="dxa"/>
            <w:vAlign w:val="center"/>
          </w:tcPr>
          <w:p w:rsidR="00012D1D" w:rsidRPr="00EF785B" w:rsidRDefault="006D6929" w:rsidP="00EF785B">
            <w:pPr>
              <w:rPr>
                <w:rFonts w:ascii="Arial" w:hAnsi="Arial" w:cs="Arial"/>
                <w:sz w:val="20"/>
                <w:szCs w:val="20"/>
              </w:rPr>
            </w:pPr>
            <w:r>
              <w:rPr>
                <w:rFonts w:ascii="Arial" w:hAnsi="Arial" w:cs="Arial"/>
                <w:sz w:val="20"/>
                <w:szCs w:val="20"/>
              </w:rPr>
              <w:t xml:space="preserve">15,001 to </w:t>
            </w:r>
            <w:r w:rsidR="00012D1D" w:rsidRPr="00EF785B">
              <w:rPr>
                <w:rFonts w:ascii="Arial" w:hAnsi="Arial" w:cs="Arial"/>
                <w:sz w:val="20"/>
                <w:szCs w:val="20"/>
              </w:rPr>
              <w:t>100,000 units</w:t>
            </w:r>
          </w:p>
        </w:tc>
        <w:tc>
          <w:tcPr>
            <w:tcW w:w="1843" w:type="dxa"/>
            <w:vAlign w:val="center"/>
          </w:tcPr>
          <w:p w:rsidR="00012D1D" w:rsidRPr="00EF785B" w:rsidRDefault="00012D1D" w:rsidP="00EF785B">
            <w:pPr>
              <w:spacing w:before="60" w:after="60"/>
              <w:jc w:val="center"/>
              <w:rPr>
                <w:rFonts w:ascii="Arial" w:hAnsi="Arial" w:cs="Arial"/>
                <w:sz w:val="20"/>
                <w:szCs w:val="20"/>
              </w:rPr>
            </w:pPr>
            <w:r>
              <w:rPr>
                <w:rFonts w:ascii="Arial" w:hAnsi="Arial" w:cs="Arial"/>
                <w:sz w:val="20"/>
                <w:szCs w:val="20"/>
              </w:rPr>
              <w:t>3,241</w:t>
            </w:r>
          </w:p>
        </w:tc>
        <w:tc>
          <w:tcPr>
            <w:tcW w:w="3969" w:type="dxa"/>
            <w:vMerge w:val="restart"/>
            <w:vAlign w:val="center"/>
          </w:tcPr>
          <w:p w:rsidR="00012D1D" w:rsidRPr="00EF785B" w:rsidRDefault="00012D1D" w:rsidP="005706B2">
            <w:pPr>
              <w:spacing w:before="60" w:after="60"/>
              <w:rPr>
                <w:rFonts w:ascii="Arial" w:hAnsi="Arial" w:cs="Arial"/>
                <w:sz w:val="20"/>
                <w:szCs w:val="20"/>
              </w:rPr>
            </w:pPr>
            <w:r>
              <w:rPr>
                <w:rFonts w:ascii="Arial" w:hAnsi="Arial" w:cs="Arial"/>
                <w:sz w:val="20"/>
                <w:szCs w:val="20"/>
              </w:rPr>
              <w:t>15,001 to 200,000 units</w:t>
            </w:r>
          </w:p>
        </w:tc>
        <w:tc>
          <w:tcPr>
            <w:tcW w:w="1725" w:type="dxa"/>
            <w:vMerge w:val="restart"/>
            <w:vAlign w:val="center"/>
          </w:tcPr>
          <w:p w:rsidR="00012D1D" w:rsidRPr="00EF785B" w:rsidRDefault="00012D1D" w:rsidP="00EF785B">
            <w:pPr>
              <w:spacing w:before="60" w:after="60"/>
              <w:jc w:val="center"/>
              <w:rPr>
                <w:rFonts w:ascii="Arial" w:hAnsi="Arial" w:cs="Arial"/>
                <w:sz w:val="20"/>
                <w:szCs w:val="20"/>
              </w:rPr>
            </w:pPr>
            <w:r>
              <w:rPr>
                <w:rFonts w:ascii="Arial" w:hAnsi="Arial" w:cs="Arial"/>
                <w:sz w:val="20"/>
                <w:szCs w:val="20"/>
              </w:rPr>
              <w:t>3,330</w:t>
            </w:r>
          </w:p>
        </w:tc>
        <w:tc>
          <w:tcPr>
            <w:tcW w:w="2418" w:type="dxa"/>
            <w:vAlign w:val="center"/>
          </w:tcPr>
          <w:p w:rsidR="00012D1D" w:rsidRPr="00EF785B" w:rsidRDefault="00012D1D" w:rsidP="00EF785B">
            <w:pPr>
              <w:spacing w:before="60" w:after="60"/>
              <w:jc w:val="center"/>
              <w:rPr>
                <w:rFonts w:ascii="Arial" w:hAnsi="Arial" w:cs="Arial"/>
                <w:sz w:val="20"/>
                <w:szCs w:val="20"/>
              </w:rPr>
            </w:pPr>
            <w:r>
              <w:rPr>
                <w:rFonts w:ascii="Arial" w:hAnsi="Arial" w:cs="Arial"/>
                <w:sz w:val="20"/>
                <w:szCs w:val="20"/>
              </w:rPr>
              <w:t>2.75%</w:t>
            </w:r>
          </w:p>
        </w:tc>
      </w:tr>
      <w:tr w:rsidR="00012D1D" w:rsidTr="00012D1D">
        <w:tc>
          <w:tcPr>
            <w:tcW w:w="4219" w:type="dxa"/>
            <w:vAlign w:val="center"/>
          </w:tcPr>
          <w:p w:rsidR="00012D1D" w:rsidRPr="00EF785B" w:rsidRDefault="006D6929" w:rsidP="00EF785B">
            <w:pPr>
              <w:rPr>
                <w:rFonts w:ascii="Arial" w:hAnsi="Arial" w:cs="Arial"/>
                <w:sz w:val="20"/>
                <w:szCs w:val="20"/>
              </w:rPr>
            </w:pPr>
            <w:r>
              <w:rPr>
                <w:rFonts w:ascii="Arial" w:hAnsi="Arial" w:cs="Arial"/>
                <w:sz w:val="20"/>
                <w:szCs w:val="20"/>
              </w:rPr>
              <w:t xml:space="preserve">100,001 to </w:t>
            </w:r>
            <w:r w:rsidR="00012D1D" w:rsidRPr="00EF785B">
              <w:rPr>
                <w:rFonts w:ascii="Arial" w:hAnsi="Arial" w:cs="Arial"/>
                <w:sz w:val="20"/>
                <w:szCs w:val="20"/>
              </w:rPr>
              <w:t>200,000 units</w:t>
            </w:r>
          </w:p>
        </w:tc>
        <w:tc>
          <w:tcPr>
            <w:tcW w:w="1843" w:type="dxa"/>
            <w:vAlign w:val="center"/>
          </w:tcPr>
          <w:p w:rsidR="00012D1D" w:rsidRPr="00EF785B" w:rsidRDefault="00012D1D" w:rsidP="00EF785B">
            <w:pPr>
              <w:spacing w:before="60" w:after="60"/>
              <w:jc w:val="center"/>
              <w:rPr>
                <w:rFonts w:ascii="Arial" w:hAnsi="Arial" w:cs="Arial"/>
                <w:sz w:val="20"/>
                <w:szCs w:val="20"/>
              </w:rPr>
            </w:pPr>
            <w:r>
              <w:rPr>
                <w:rFonts w:ascii="Arial" w:hAnsi="Arial" w:cs="Arial"/>
                <w:sz w:val="20"/>
                <w:szCs w:val="20"/>
              </w:rPr>
              <w:t>4,866</w:t>
            </w:r>
          </w:p>
        </w:tc>
        <w:tc>
          <w:tcPr>
            <w:tcW w:w="3969" w:type="dxa"/>
            <w:vMerge/>
            <w:vAlign w:val="center"/>
          </w:tcPr>
          <w:p w:rsidR="00012D1D" w:rsidRPr="00EF785B" w:rsidRDefault="00012D1D" w:rsidP="005706B2">
            <w:pPr>
              <w:spacing w:before="60" w:after="60"/>
              <w:rPr>
                <w:rFonts w:ascii="Arial" w:hAnsi="Arial" w:cs="Arial"/>
                <w:sz w:val="20"/>
                <w:szCs w:val="20"/>
              </w:rPr>
            </w:pPr>
          </w:p>
        </w:tc>
        <w:tc>
          <w:tcPr>
            <w:tcW w:w="1725" w:type="dxa"/>
            <w:vMerge/>
            <w:vAlign w:val="center"/>
          </w:tcPr>
          <w:p w:rsidR="00012D1D" w:rsidRPr="00EF785B" w:rsidRDefault="00012D1D" w:rsidP="00EF785B">
            <w:pPr>
              <w:spacing w:before="60" w:after="60"/>
              <w:jc w:val="center"/>
              <w:rPr>
                <w:rFonts w:ascii="Arial" w:hAnsi="Arial" w:cs="Arial"/>
                <w:sz w:val="20"/>
                <w:szCs w:val="20"/>
              </w:rPr>
            </w:pPr>
          </w:p>
        </w:tc>
        <w:tc>
          <w:tcPr>
            <w:tcW w:w="2418" w:type="dxa"/>
            <w:vAlign w:val="center"/>
          </w:tcPr>
          <w:p w:rsidR="00012D1D" w:rsidRPr="00EF785B" w:rsidRDefault="00012D1D" w:rsidP="00537017">
            <w:pPr>
              <w:spacing w:before="60" w:after="60"/>
              <w:jc w:val="center"/>
              <w:rPr>
                <w:rFonts w:ascii="Arial" w:hAnsi="Arial" w:cs="Arial"/>
                <w:sz w:val="20"/>
                <w:szCs w:val="20"/>
              </w:rPr>
            </w:pPr>
            <w:r>
              <w:rPr>
                <w:rFonts w:ascii="Arial" w:hAnsi="Arial" w:cs="Arial"/>
                <w:sz w:val="20"/>
                <w:szCs w:val="20"/>
              </w:rPr>
              <w:t>-</w:t>
            </w:r>
            <w:r w:rsidR="00537017">
              <w:rPr>
                <w:rFonts w:ascii="Arial" w:hAnsi="Arial" w:cs="Arial"/>
                <w:sz w:val="20"/>
                <w:szCs w:val="20"/>
              </w:rPr>
              <w:t>31.6%</w:t>
            </w:r>
          </w:p>
        </w:tc>
      </w:tr>
      <w:tr w:rsidR="00EF785B" w:rsidTr="00012D1D">
        <w:tc>
          <w:tcPr>
            <w:tcW w:w="4219" w:type="dxa"/>
            <w:vAlign w:val="center"/>
          </w:tcPr>
          <w:p w:rsidR="00EF785B" w:rsidRPr="00EF785B" w:rsidRDefault="006D6929" w:rsidP="00EF785B">
            <w:pPr>
              <w:rPr>
                <w:rFonts w:ascii="Arial" w:hAnsi="Arial" w:cs="Arial"/>
                <w:sz w:val="20"/>
                <w:szCs w:val="20"/>
              </w:rPr>
            </w:pPr>
            <w:r>
              <w:rPr>
                <w:rFonts w:ascii="Arial" w:hAnsi="Arial" w:cs="Arial"/>
                <w:sz w:val="20"/>
                <w:szCs w:val="20"/>
              </w:rPr>
              <w:t xml:space="preserve">200,001 to </w:t>
            </w:r>
            <w:r w:rsidR="00EF785B" w:rsidRPr="00EF785B">
              <w:rPr>
                <w:rFonts w:ascii="Arial" w:hAnsi="Arial" w:cs="Arial"/>
                <w:sz w:val="20"/>
                <w:szCs w:val="20"/>
              </w:rPr>
              <w:t>400,000 units</w:t>
            </w:r>
          </w:p>
        </w:tc>
        <w:tc>
          <w:tcPr>
            <w:tcW w:w="1843" w:type="dxa"/>
            <w:vAlign w:val="center"/>
          </w:tcPr>
          <w:p w:rsidR="00EF785B" w:rsidRPr="00EF785B" w:rsidRDefault="00EF785B" w:rsidP="00EF785B">
            <w:pPr>
              <w:spacing w:before="60" w:after="60"/>
              <w:jc w:val="center"/>
              <w:rPr>
                <w:rFonts w:ascii="Arial" w:hAnsi="Arial" w:cs="Arial"/>
                <w:sz w:val="20"/>
                <w:szCs w:val="20"/>
              </w:rPr>
            </w:pPr>
            <w:r>
              <w:rPr>
                <w:rFonts w:ascii="Arial" w:hAnsi="Arial" w:cs="Arial"/>
                <w:sz w:val="20"/>
                <w:szCs w:val="20"/>
              </w:rPr>
              <w:t>6,486</w:t>
            </w:r>
          </w:p>
        </w:tc>
        <w:tc>
          <w:tcPr>
            <w:tcW w:w="3969" w:type="dxa"/>
            <w:vAlign w:val="center"/>
          </w:tcPr>
          <w:p w:rsidR="00EF785B" w:rsidRPr="00EF785B" w:rsidRDefault="00EF785B" w:rsidP="005706B2">
            <w:pPr>
              <w:spacing w:before="60" w:after="60"/>
              <w:rPr>
                <w:rFonts w:ascii="Arial" w:hAnsi="Arial" w:cs="Arial"/>
                <w:sz w:val="20"/>
                <w:szCs w:val="20"/>
              </w:rPr>
            </w:pPr>
            <w:r>
              <w:rPr>
                <w:rFonts w:ascii="Arial" w:hAnsi="Arial" w:cs="Arial"/>
                <w:sz w:val="20"/>
                <w:szCs w:val="20"/>
              </w:rPr>
              <w:t>200,001 to 500,000 units</w:t>
            </w:r>
          </w:p>
        </w:tc>
        <w:tc>
          <w:tcPr>
            <w:tcW w:w="1725" w:type="dxa"/>
            <w:vAlign w:val="center"/>
          </w:tcPr>
          <w:p w:rsidR="00EF785B" w:rsidRPr="00EF785B" w:rsidRDefault="00012D1D" w:rsidP="00EF785B">
            <w:pPr>
              <w:spacing w:before="60" w:after="60"/>
              <w:jc w:val="center"/>
              <w:rPr>
                <w:rFonts w:ascii="Arial" w:hAnsi="Arial" w:cs="Arial"/>
                <w:sz w:val="20"/>
                <w:szCs w:val="20"/>
              </w:rPr>
            </w:pPr>
            <w:r>
              <w:rPr>
                <w:rFonts w:ascii="Arial" w:hAnsi="Arial" w:cs="Arial"/>
                <w:sz w:val="20"/>
                <w:szCs w:val="20"/>
              </w:rPr>
              <w:t>6,664</w:t>
            </w:r>
          </w:p>
        </w:tc>
        <w:tc>
          <w:tcPr>
            <w:tcW w:w="2418" w:type="dxa"/>
            <w:vAlign w:val="center"/>
          </w:tcPr>
          <w:p w:rsidR="00EF785B" w:rsidRPr="00EF785B" w:rsidRDefault="00467BE8" w:rsidP="00467BE8">
            <w:pPr>
              <w:spacing w:before="60" w:after="60"/>
              <w:jc w:val="center"/>
              <w:rPr>
                <w:rFonts w:ascii="Arial" w:hAnsi="Arial" w:cs="Arial"/>
                <w:sz w:val="20"/>
                <w:szCs w:val="20"/>
              </w:rPr>
            </w:pPr>
            <w:r w:rsidRPr="00FC6804">
              <w:rPr>
                <w:rFonts w:ascii="Arial" w:hAnsi="Arial" w:cs="Arial"/>
                <w:sz w:val="20"/>
                <w:szCs w:val="20"/>
              </w:rPr>
              <w:t>2.75%</w:t>
            </w:r>
            <w:r>
              <w:rPr>
                <w:rFonts w:ascii="Arial" w:hAnsi="Arial" w:cs="Arial"/>
                <w:sz w:val="20"/>
                <w:szCs w:val="20"/>
              </w:rPr>
              <w:t xml:space="preserve"> </w:t>
            </w:r>
            <w:r w:rsidRPr="00FC6804">
              <w:rPr>
                <w:rFonts w:ascii="Arial" w:hAnsi="Arial" w:cs="Arial"/>
                <w:sz w:val="20"/>
                <w:szCs w:val="20"/>
              </w:rPr>
              <w:t>/</w:t>
            </w:r>
            <w:r>
              <w:rPr>
                <w:rFonts w:ascii="Arial" w:hAnsi="Arial" w:cs="Arial"/>
                <w:sz w:val="20"/>
                <w:szCs w:val="20"/>
              </w:rPr>
              <w:t xml:space="preserve"> </w:t>
            </w:r>
            <w:r w:rsidRPr="00FC6804">
              <w:rPr>
                <w:rFonts w:ascii="Arial" w:hAnsi="Arial" w:cs="Arial"/>
                <w:sz w:val="20"/>
                <w:szCs w:val="20"/>
              </w:rPr>
              <w:t>-17.8%</w:t>
            </w:r>
            <w:r w:rsidRPr="00FC6804">
              <w:rPr>
                <w:rStyle w:val="FootnoteReference"/>
                <w:rFonts w:ascii="Arial" w:hAnsi="Arial" w:cs="Arial"/>
                <w:sz w:val="20"/>
                <w:szCs w:val="20"/>
              </w:rPr>
              <w:footnoteReference w:id="22"/>
            </w:r>
          </w:p>
        </w:tc>
      </w:tr>
      <w:tr w:rsidR="00EF785B" w:rsidTr="00012D1D">
        <w:tc>
          <w:tcPr>
            <w:tcW w:w="4219" w:type="dxa"/>
            <w:vAlign w:val="center"/>
          </w:tcPr>
          <w:p w:rsidR="00EF785B" w:rsidRPr="00EF785B" w:rsidRDefault="00EF785B" w:rsidP="00EF785B">
            <w:pPr>
              <w:rPr>
                <w:rFonts w:ascii="Arial" w:hAnsi="Arial" w:cs="Arial"/>
                <w:sz w:val="20"/>
                <w:szCs w:val="20"/>
              </w:rPr>
            </w:pPr>
            <w:r w:rsidRPr="00EF785B">
              <w:rPr>
                <w:rFonts w:ascii="Arial" w:hAnsi="Arial" w:cs="Arial"/>
                <w:sz w:val="20"/>
                <w:szCs w:val="20"/>
              </w:rPr>
              <w:t>Over 400,000 units</w:t>
            </w:r>
          </w:p>
        </w:tc>
        <w:tc>
          <w:tcPr>
            <w:tcW w:w="1843" w:type="dxa"/>
            <w:vAlign w:val="center"/>
          </w:tcPr>
          <w:p w:rsidR="00EF785B" w:rsidRPr="00EF785B" w:rsidRDefault="00EF785B" w:rsidP="00EF785B">
            <w:pPr>
              <w:spacing w:before="60" w:after="60"/>
              <w:jc w:val="center"/>
              <w:rPr>
                <w:rFonts w:ascii="Arial" w:hAnsi="Arial" w:cs="Arial"/>
                <w:sz w:val="20"/>
                <w:szCs w:val="20"/>
              </w:rPr>
            </w:pPr>
            <w:r>
              <w:rPr>
                <w:rFonts w:ascii="Arial" w:hAnsi="Arial" w:cs="Arial"/>
                <w:sz w:val="20"/>
                <w:szCs w:val="20"/>
              </w:rPr>
              <w:t>8,107</w:t>
            </w:r>
          </w:p>
        </w:tc>
        <w:tc>
          <w:tcPr>
            <w:tcW w:w="3969" w:type="dxa"/>
            <w:vAlign w:val="center"/>
          </w:tcPr>
          <w:p w:rsidR="00EF785B" w:rsidRPr="00EF785B" w:rsidRDefault="00EF785B" w:rsidP="005706B2">
            <w:pPr>
              <w:spacing w:before="60" w:after="60"/>
              <w:rPr>
                <w:rFonts w:ascii="Arial" w:hAnsi="Arial" w:cs="Arial"/>
                <w:sz w:val="20"/>
                <w:szCs w:val="20"/>
              </w:rPr>
            </w:pPr>
            <w:r>
              <w:rPr>
                <w:rFonts w:ascii="Arial" w:hAnsi="Arial" w:cs="Arial"/>
                <w:sz w:val="20"/>
                <w:szCs w:val="20"/>
              </w:rPr>
              <w:t>Over 500,000 units</w:t>
            </w:r>
          </w:p>
        </w:tc>
        <w:tc>
          <w:tcPr>
            <w:tcW w:w="1725" w:type="dxa"/>
            <w:vAlign w:val="center"/>
          </w:tcPr>
          <w:p w:rsidR="00EF785B" w:rsidRPr="00EF785B" w:rsidRDefault="00012D1D" w:rsidP="00EF785B">
            <w:pPr>
              <w:spacing w:before="60" w:after="60"/>
              <w:jc w:val="center"/>
              <w:rPr>
                <w:rFonts w:ascii="Arial" w:hAnsi="Arial" w:cs="Arial"/>
                <w:sz w:val="20"/>
                <w:szCs w:val="20"/>
              </w:rPr>
            </w:pPr>
            <w:r>
              <w:rPr>
                <w:rFonts w:ascii="Arial" w:hAnsi="Arial" w:cs="Arial"/>
                <w:sz w:val="20"/>
                <w:szCs w:val="20"/>
              </w:rPr>
              <w:t>9,728</w:t>
            </w:r>
          </w:p>
        </w:tc>
        <w:tc>
          <w:tcPr>
            <w:tcW w:w="2418" w:type="dxa"/>
            <w:vAlign w:val="center"/>
          </w:tcPr>
          <w:p w:rsidR="00EF785B" w:rsidRPr="00EF785B" w:rsidRDefault="00012D1D" w:rsidP="00EF785B">
            <w:pPr>
              <w:spacing w:before="60" w:after="60"/>
              <w:jc w:val="center"/>
              <w:rPr>
                <w:rFonts w:ascii="Arial" w:hAnsi="Arial" w:cs="Arial"/>
                <w:sz w:val="20"/>
                <w:szCs w:val="20"/>
              </w:rPr>
            </w:pPr>
            <w:r>
              <w:rPr>
                <w:rFonts w:ascii="Arial" w:hAnsi="Arial" w:cs="Arial"/>
                <w:sz w:val="20"/>
                <w:szCs w:val="20"/>
              </w:rPr>
              <w:t>20.0%</w:t>
            </w:r>
          </w:p>
        </w:tc>
      </w:tr>
    </w:tbl>
    <w:p w:rsidR="00EF785B" w:rsidRDefault="00EF785B" w:rsidP="00E30FAF">
      <w:pPr>
        <w:spacing w:after="0" w:line="240" w:lineRule="auto"/>
        <w:rPr>
          <w:rFonts w:ascii="Arial" w:hAnsi="Arial" w:cs="Arial"/>
          <w:b/>
          <w:sz w:val="20"/>
          <w:szCs w:val="20"/>
          <w:u w:val="single"/>
        </w:rPr>
      </w:pPr>
    </w:p>
    <w:p w:rsidR="009E6247" w:rsidRDefault="009E6247" w:rsidP="00E30FAF">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4219"/>
        <w:gridCol w:w="1843"/>
        <w:gridCol w:w="3969"/>
        <w:gridCol w:w="1725"/>
        <w:gridCol w:w="2418"/>
      </w:tblGrid>
      <w:tr w:rsidR="000F4607" w:rsidTr="009E63BE">
        <w:tc>
          <w:tcPr>
            <w:tcW w:w="4219" w:type="dxa"/>
            <w:shd w:val="clear" w:color="auto" w:fill="F2F2F2" w:themeFill="background1" w:themeFillShade="F2"/>
            <w:vAlign w:val="center"/>
          </w:tcPr>
          <w:p w:rsidR="000F4607" w:rsidRPr="00E87CBB" w:rsidRDefault="000F4607" w:rsidP="000F4607">
            <w:pPr>
              <w:spacing w:before="60" w:after="60"/>
              <w:rPr>
                <w:rFonts w:ascii="Arial" w:hAnsi="Arial" w:cs="Arial"/>
                <w:b/>
                <w:sz w:val="20"/>
                <w:szCs w:val="20"/>
              </w:rPr>
            </w:pPr>
            <w:r w:rsidRPr="00E87CBB">
              <w:rPr>
                <w:rFonts w:ascii="Arial" w:hAnsi="Arial" w:cs="Arial"/>
                <w:b/>
                <w:sz w:val="20"/>
                <w:szCs w:val="20"/>
              </w:rPr>
              <w:t>Abattoir (</w:t>
            </w:r>
            <w:r>
              <w:rPr>
                <w:rFonts w:ascii="Arial" w:hAnsi="Arial" w:cs="Arial"/>
                <w:b/>
                <w:sz w:val="20"/>
                <w:szCs w:val="20"/>
              </w:rPr>
              <w:t>Export</w:t>
            </w:r>
            <w:r w:rsidRPr="00E87CBB">
              <w:rPr>
                <w:rFonts w:ascii="Arial" w:hAnsi="Arial" w:cs="Arial"/>
                <w:b/>
                <w:sz w:val="20"/>
                <w:szCs w:val="20"/>
              </w:rPr>
              <w:t>)</w:t>
            </w:r>
          </w:p>
        </w:tc>
        <w:tc>
          <w:tcPr>
            <w:tcW w:w="1843" w:type="dxa"/>
            <w:shd w:val="clear" w:color="auto" w:fill="F2F2F2" w:themeFill="background1" w:themeFillShade="F2"/>
            <w:vAlign w:val="center"/>
          </w:tcPr>
          <w:p w:rsidR="000F4607" w:rsidRPr="00EF785B" w:rsidRDefault="000F4607" w:rsidP="00FA2C75">
            <w:pPr>
              <w:spacing w:before="60" w:after="60"/>
              <w:jc w:val="center"/>
              <w:rPr>
                <w:rFonts w:ascii="Arial" w:hAnsi="Arial" w:cs="Arial"/>
                <w:b/>
                <w:sz w:val="20"/>
                <w:szCs w:val="20"/>
              </w:rPr>
            </w:pPr>
            <w:r w:rsidRPr="00EF785B">
              <w:rPr>
                <w:rFonts w:ascii="Arial" w:hAnsi="Arial" w:cs="Arial"/>
                <w:b/>
                <w:sz w:val="20"/>
                <w:szCs w:val="20"/>
              </w:rPr>
              <w:t>Current</w:t>
            </w:r>
          </w:p>
        </w:tc>
        <w:tc>
          <w:tcPr>
            <w:tcW w:w="8112" w:type="dxa"/>
            <w:gridSpan w:val="3"/>
            <w:shd w:val="clear" w:color="auto" w:fill="F2F2F2" w:themeFill="background1" w:themeFillShade="F2"/>
            <w:vAlign w:val="center"/>
          </w:tcPr>
          <w:p w:rsidR="000F4607" w:rsidRDefault="000F4607" w:rsidP="00FA2C75">
            <w:pPr>
              <w:spacing w:before="60" w:after="60"/>
              <w:jc w:val="center"/>
              <w:rPr>
                <w:rFonts w:ascii="Arial" w:hAnsi="Arial" w:cs="Arial"/>
                <w:b/>
                <w:sz w:val="20"/>
                <w:szCs w:val="20"/>
                <w:u w:val="single"/>
              </w:rPr>
            </w:pPr>
            <w:r w:rsidRPr="00EF785B">
              <w:rPr>
                <w:rFonts w:ascii="Arial" w:hAnsi="Arial" w:cs="Arial"/>
                <w:b/>
                <w:sz w:val="20"/>
                <w:szCs w:val="20"/>
              </w:rPr>
              <w:t>Proposed</w:t>
            </w:r>
          </w:p>
        </w:tc>
      </w:tr>
      <w:tr w:rsidR="000F4607" w:rsidRPr="00EF785B" w:rsidTr="00FA2C75">
        <w:tc>
          <w:tcPr>
            <w:tcW w:w="4219" w:type="dxa"/>
            <w:vAlign w:val="center"/>
          </w:tcPr>
          <w:p w:rsidR="000F4607" w:rsidRPr="00EF785B" w:rsidRDefault="000F4607" w:rsidP="00FA2C75">
            <w:pPr>
              <w:spacing w:before="60" w:after="60"/>
              <w:rPr>
                <w:rFonts w:ascii="Arial" w:hAnsi="Arial" w:cs="Arial"/>
                <w:b/>
                <w:sz w:val="20"/>
                <w:szCs w:val="20"/>
              </w:rPr>
            </w:pPr>
            <w:r>
              <w:rPr>
                <w:rFonts w:ascii="Arial" w:hAnsi="Arial" w:cs="Arial"/>
                <w:b/>
                <w:sz w:val="20"/>
                <w:szCs w:val="20"/>
              </w:rPr>
              <w:t xml:space="preserve">Annual </w:t>
            </w:r>
            <w:r w:rsidRPr="00EF785B">
              <w:rPr>
                <w:rFonts w:ascii="Arial" w:hAnsi="Arial" w:cs="Arial"/>
                <w:b/>
                <w:sz w:val="20"/>
                <w:szCs w:val="20"/>
              </w:rPr>
              <w:t>Throughput</w:t>
            </w:r>
          </w:p>
        </w:tc>
        <w:tc>
          <w:tcPr>
            <w:tcW w:w="1843" w:type="dxa"/>
            <w:vAlign w:val="center"/>
          </w:tcPr>
          <w:p w:rsidR="000F4607" w:rsidRDefault="000F4607" w:rsidP="00FA2C75">
            <w:pPr>
              <w:spacing w:before="60" w:after="60"/>
              <w:jc w:val="center"/>
              <w:rPr>
                <w:rFonts w:ascii="Arial" w:hAnsi="Arial" w:cs="Arial"/>
                <w:b/>
                <w:sz w:val="20"/>
                <w:szCs w:val="20"/>
              </w:rPr>
            </w:pPr>
            <w:r>
              <w:rPr>
                <w:rFonts w:ascii="Arial" w:hAnsi="Arial" w:cs="Arial"/>
                <w:b/>
                <w:sz w:val="20"/>
                <w:szCs w:val="20"/>
              </w:rPr>
              <w:t>2015-16</w:t>
            </w:r>
          </w:p>
          <w:p w:rsidR="000F4607" w:rsidRPr="00EF785B" w:rsidRDefault="000F4607" w:rsidP="00FA2C75">
            <w:pPr>
              <w:spacing w:before="60" w:after="60"/>
              <w:jc w:val="center"/>
              <w:rPr>
                <w:rFonts w:ascii="Arial" w:hAnsi="Arial" w:cs="Arial"/>
                <w:b/>
                <w:sz w:val="20"/>
                <w:szCs w:val="20"/>
              </w:rPr>
            </w:pPr>
            <w:r>
              <w:rPr>
                <w:rFonts w:ascii="Arial" w:hAnsi="Arial" w:cs="Arial"/>
                <w:b/>
                <w:sz w:val="20"/>
                <w:szCs w:val="20"/>
              </w:rPr>
              <w:t>$</w:t>
            </w:r>
          </w:p>
        </w:tc>
        <w:tc>
          <w:tcPr>
            <w:tcW w:w="3969" w:type="dxa"/>
            <w:vAlign w:val="center"/>
          </w:tcPr>
          <w:p w:rsidR="000F4607" w:rsidRPr="00EF785B" w:rsidRDefault="000F4607" w:rsidP="00FA2C75">
            <w:pPr>
              <w:spacing w:before="60" w:after="60"/>
              <w:jc w:val="center"/>
              <w:rPr>
                <w:rFonts w:ascii="Arial" w:hAnsi="Arial" w:cs="Arial"/>
                <w:b/>
                <w:sz w:val="20"/>
                <w:szCs w:val="20"/>
              </w:rPr>
            </w:pPr>
            <w:r>
              <w:rPr>
                <w:rFonts w:ascii="Arial" w:hAnsi="Arial" w:cs="Arial"/>
                <w:b/>
                <w:sz w:val="20"/>
                <w:szCs w:val="20"/>
              </w:rPr>
              <w:t>Annual Throughput</w:t>
            </w:r>
          </w:p>
        </w:tc>
        <w:tc>
          <w:tcPr>
            <w:tcW w:w="1725" w:type="dxa"/>
            <w:vAlign w:val="center"/>
          </w:tcPr>
          <w:p w:rsidR="000F4607" w:rsidRDefault="000F4607" w:rsidP="00FA2C75">
            <w:pPr>
              <w:spacing w:before="60" w:after="60"/>
              <w:jc w:val="center"/>
              <w:rPr>
                <w:rFonts w:ascii="Arial" w:hAnsi="Arial" w:cs="Arial"/>
                <w:b/>
                <w:sz w:val="20"/>
                <w:szCs w:val="20"/>
              </w:rPr>
            </w:pPr>
            <w:r w:rsidRPr="00EF785B">
              <w:rPr>
                <w:rFonts w:ascii="Arial" w:hAnsi="Arial" w:cs="Arial"/>
                <w:b/>
                <w:sz w:val="20"/>
                <w:szCs w:val="20"/>
              </w:rPr>
              <w:t>2016-17</w:t>
            </w:r>
          </w:p>
          <w:p w:rsidR="000F4607" w:rsidRPr="00EF785B" w:rsidRDefault="000F4607" w:rsidP="00FA2C75">
            <w:pPr>
              <w:spacing w:before="60" w:after="60"/>
              <w:jc w:val="center"/>
              <w:rPr>
                <w:rFonts w:ascii="Arial" w:hAnsi="Arial" w:cs="Arial"/>
                <w:b/>
                <w:sz w:val="20"/>
                <w:szCs w:val="20"/>
              </w:rPr>
            </w:pPr>
            <w:r>
              <w:rPr>
                <w:rFonts w:ascii="Arial" w:hAnsi="Arial" w:cs="Arial"/>
                <w:b/>
                <w:sz w:val="20"/>
                <w:szCs w:val="20"/>
              </w:rPr>
              <w:t>$</w:t>
            </w:r>
          </w:p>
        </w:tc>
        <w:tc>
          <w:tcPr>
            <w:tcW w:w="2418" w:type="dxa"/>
            <w:vAlign w:val="center"/>
          </w:tcPr>
          <w:p w:rsidR="000F4607" w:rsidRDefault="000F4607" w:rsidP="00FA2C75">
            <w:pPr>
              <w:spacing w:before="60" w:after="60"/>
              <w:jc w:val="center"/>
              <w:rPr>
                <w:rFonts w:ascii="Arial" w:hAnsi="Arial" w:cs="Arial"/>
                <w:b/>
                <w:sz w:val="20"/>
                <w:szCs w:val="20"/>
              </w:rPr>
            </w:pPr>
            <w:r>
              <w:rPr>
                <w:rFonts w:ascii="Arial" w:hAnsi="Arial" w:cs="Arial"/>
                <w:b/>
                <w:sz w:val="20"/>
                <w:szCs w:val="20"/>
              </w:rPr>
              <w:t>Increase</w:t>
            </w:r>
          </w:p>
          <w:p w:rsidR="000F4607" w:rsidRPr="00EF785B" w:rsidRDefault="000F4607" w:rsidP="00FA2C75">
            <w:pPr>
              <w:spacing w:before="60" w:after="60"/>
              <w:jc w:val="center"/>
              <w:rPr>
                <w:rFonts w:ascii="Arial" w:hAnsi="Arial" w:cs="Arial"/>
                <w:b/>
                <w:sz w:val="20"/>
                <w:szCs w:val="20"/>
              </w:rPr>
            </w:pPr>
            <w:r>
              <w:rPr>
                <w:rFonts w:ascii="Arial" w:hAnsi="Arial" w:cs="Arial"/>
                <w:b/>
                <w:sz w:val="20"/>
                <w:szCs w:val="20"/>
              </w:rPr>
              <w:t>%</w:t>
            </w:r>
          </w:p>
        </w:tc>
      </w:tr>
      <w:tr w:rsidR="000F4607" w:rsidRPr="00EF785B" w:rsidTr="00FA2C75">
        <w:tc>
          <w:tcPr>
            <w:tcW w:w="4219" w:type="dxa"/>
            <w:vAlign w:val="center"/>
          </w:tcPr>
          <w:p w:rsidR="000F4607" w:rsidRPr="00EF785B" w:rsidRDefault="000F4607" w:rsidP="00FA2C75">
            <w:pPr>
              <w:rPr>
                <w:rFonts w:ascii="Arial" w:hAnsi="Arial" w:cs="Arial"/>
                <w:sz w:val="20"/>
                <w:szCs w:val="20"/>
              </w:rPr>
            </w:pPr>
            <w:r w:rsidRPr="00EF785B">
              <w:rPr>
                <w:rFonts w:ascii="Arial" w:hAnsi="Arial" w:cs="Arial"/>
                <w:sz w:val="20"/>
                <w:szCs w:val="20"/>
              </w:rPr>
              <w:t>Up to 8,000 units</w:t>
            </w:r>
          </w:p>
        </w:tc>
        <w:tc>
          <w:tcPr>
            <w:tcW w:w="1843" w:type="dxa"/>
            <w:vAlign w:val="center"/>
          </w:tcPr>
          <w:p w:rsidR="000F4607" w:rsidRPr="00EF785B" w:rsidRDefault="000F4607" w:rsidP="00FA2C75">
            <w:pPr>
              <w:spacing w:before="60" w:after="60"/>
              <w:jc w:val="center"/>
              <w:rPr>
                <w:rFonts w:ascii="Arial" w:hAnsi="Arial" w:cs="Arial"/>
                <w:sz w:val="20"/>
                <w:szCs w:val="20"/>
              </w:rPr>
            </w:pPr>
            <w:r w:rsidRPr="00EF785B">
              <w:rPr>
                <w:rFonts w:ascii="Arial" w:hAnsi="Arial" w:cs="Arial"/>
                <w:sz w:val="20"/>
                <w:szCs w:val="20"/>
              </w:rPr>
              <w:t>1,356</w:t>
            </w:r>
          </w:p>
        </w:tc>
        <w:tc>
          <w:tcPr>
            <w:tcW w:w="3969" w:type="dxa"/>
            <w:vMerge w:val="restart"/>
            <w:vAlign w:val="center"/>
          </w:tcPr>
          <w:p w:rsidR="000F4607" w:rsidRPr="00EF785B" w:rsidRDefault="000F4607" w:rsidP="005706B2">
            <w:pPr>
              <w:spacing w:before="60" w:after="60"/>
              <w:rPr>
                <w:rFonts w:ascii="Arial" w:hAnsi="Arial" w:cs="Arial"/>
                <w:sz w:val="20"/>
                <w:szCs w:val="20"/>
              </w:rPr>
            </w:pPr>
            <w:r>
              <w:rPr>
                <w:rFonts w:ascii="Arial" w:hAnsi="Arial" w:cs="Arial"/>
                <w:sz w:val="20"/>
                <w:szCs w:val="20"/>
              </w:rPr>
              <w:t>Up to 15,000 units</w:t>
            </w:r>
          </w:p>
        </w:tc>
        <w:tc>
          <w:tcPr>
            <w:tcW w:w="1725" w:type="dxa"/>
            <w:vMerge w:val="restart"/>
            <w:vAlign w:val="center"/>
          </w:tcPr>
          <w:p w:rsidR="000F4607" w:rsidRPr="00EF785B" w:rsidRDefault="000F4607" w:rsidP="00FA2C75">
            <w:pPr>
              <w:spacing w:before="60" w:after="60"/>
              <w:jc w:val="center"/>
              <w:rPr>
                <w:rFonts w:ascii="Arial" w:hAnsi="Arial" w:cs="Arial"/>
                <w:sz w:val="20"/>
                <w:szCs w:val="20"/>
              </w:rPr>
            </w:pPr>
            <w:r>
              <w:rPr>
                <w:rFonts w:ascii="Arial" w:hAnsi="Arial" w:cs="Arial"/>
                <w:sz w:val="20"/>
                <w:szCs w:val="20"/>
              </w:rPr>
              <w:t>1,850</w:t>
            </w:r>
          </w:p>
        </w:tc>
        <w:tc>
          <w:tcPr>
            <w:tcW w:w="2418" w:type="dxa"/>
            <w:vAlign w:val="center"/>
          </w:tcPr>
          <w:p w:rsidR="000F4607" w:rsidRPr="00EF785B" w:rsidRDefault="000F4607" w:rsidP="00FA2C75">
            <w:pPr>
              <w:spacing w:before="60" w:after="60"/>
              <w:jc w:val="center"/>
              <w:rPr>
                <w:rFonts w:ascii="Arial" w:hAnsi="Arial" w:cs="Arial"/>
                <w:sz w:val="20"/>
                <w:szCs w:val="20"/>
              </w:rPr>
            </w:pPr>
            <w:r>
              <w:rPr>
                <w:rFonts w:ascii="Arial" w:hAnsi="Arial" w:cs="Arial"/>
                <w:sz w:val="20"/>
                <w:szCs w:val="20"/>
              </w:rPr>
              <w:t>36.4%</w:t>
            </w:r>
          </w:p>
        </w:tc>
      </w:tr>
      <w:tr w:rsidR="000F4607" w:rsidRPr="00EF785B" w:rsidTr="00FA2C75">
        <w:tc>
          <w:tcPr>
            <w:tcW w:w="4219" w:type="dxa"/>
            <w:vAlign w:val="center"/>
          </w:tcPr>
          <w:p w:rsidR="000F4607" w:rsidRPr="00EF785B" w:rsidRDefault="000F4607" w:rsidP="00FA2C75">
            <w:pPr>
              <w:rPr>
                <w:rFonts w:ascii="Arial" w:hAnsi="Arial" w:cs="Arial"/>
                <w:sz w:val="20"/>
                <w:szCs w:val="20"/>
              </w:rPr>
            </w:pPr>
            <w:r>
              <w:rPr>
                <w:rFonts w:ascii="Arial" w:hAnsi="Arial" w:cs="Arial"/>
                <w:sz w:val="20"/>
                <w:szCs w:val="20"/>
              </w:rPr>
              <w:t xml:space="preserve">8,001 to </w:t>
            </w:r>
            <w:r w:rsidRPr="00EF785B">
              <w:rPr>
                <w:rFonts w:ascii="Arial" w:hAnsi="Arial" w:cs="Arial"/>
                <w:sz w:val="20"/>
                <w:szCs w:val="20"/>
              </w:rPr>
              <w:t>15,000 units</w:t>
            </w:r>
          </w:p>
        </w:tc>
        <w:tc>
          <w:tcPr>
            <w:tcW w:w="1843" w:type="dxa"/>
            <w:vAlign w:val="center"/>
          </w:tcPr>
          <w:p w:rsidR="000F4607" w:rsidRPr="00EF785B" w:rsidRDefault="000F4607" w:rsidP="000F4607">
            <w:pPr>
              <w:spacing w:before="60" w:after="60"/>
              <w:jc w:val="center"/>
              <w:rPr>
                <w:rFonts w:ascii="Arial" w:hAnsi="Arial" w:cs="Arial"/>
                <w:sz w:val="20"/>
                <w:szCs w:val="20"/>
              </w:rPr>
            </w:pPr>
            <w:r>
              <w:rPr>
                <w:rFonts w:ascii="Arial" w:hAnsi="Arial" w:cs="Arial"/>
                <w:sz w:val="20"/>
                <w:szCs w:val="20"/>
              </w:rPr>
              <w:t>1,566</w:t>
            </w:r>
          </w:p>
        </w:tc>
        <w:tc>
          <w:tcPr>
            <w:tcW w:w="3969" w:type="dxa"/>
            <w:vMerge/>
            <w:vAlign w:val="center"/>
          </w:tcPr>
          <w:p w:rsidR="000F4607" w:rsidRPr="00EF785B" w:rsidRDefault="000F4607" w:rsidP="005706B2">
            <w:pPr>
              <w:spacing w:before="60" w:after="60"/>
              <w:rPr>
                <w:rFonts w:ascii="Arial" w:hAnsi="Arial" w:cs="Arial"/>
                <w:sz w:val="20"/>
                <w:szCs w:val="20"/>
              </w:rPr>
            </w:pPr>
          </w:p>
        </w:tc>
        <w:tc>
          <w:tcPr>
            <w:tcW w:w="1725" w:type="dxa"/>
            <w:vMerge/>
            <w:vAlign w:val="center"/>
          </w:tcPr>
          <w:p w:rsidR="000F4607" w:rsidRPr="00EF785B" w:rsidRDefault="000F4607" w:rsidP="00FA2C75">
            <w:pPr>
              <w:spacing w:before="60" w:after="60"/>
              <w:jc w:val="center"/>
              <w:rPr>
                <w:rFonts w:ascii="Arial" w:hAnsi="Arial" w:cs="Arial"/>
                <w:sz w:val="20"/>
                <w:szCs w:val="20"/>
              </w:rPr>
            </w:pPr>
          </w:p>
        </w:tc>
        <w:tc>
          <w:tcPr>
            <w:tcW w:w="2418" w:type="dxa"/>
            <w:vAlign w:val="center"/>
          </w:tcPr>
          <w:p w:rsidR="000F4607" w:rsidRPr="00EF785B" w:rsidRDefault="000F4607" w:rsidP="00FA2C75">
            <w:pPr>
              <w:spacing w:before="60" w:after="60"/>
              <w:jc w:val="center"/>
              <w:rPr>
                <w:rFonts w:ascii="Arial" w:hAnsi="Arial" w:cs="Arial"/>
                <w:sz w:val="20"/>
                <w:szCs w:val="20"/>
              </w:rPr>
            </w:pPr>
            <w:r>
              <w:rPr>
                <w:rFonts w:ascii="Arial" w:hAnsi="Arial" w:cs="Arial"/>
                <w:sz w:val="20"/>
                <w:szCs w:val="20"/>
              </w:rPr>
              <w:t>18.1%</w:t>
            </w:r>
          </w:p>
        </w:tc>
      </w:tr>
      <w:tr w:rsidR="000F4607" w:rsidRPr="00EF785B" w:rsidTr="00FA2C75">
        <w:tc>
          <w:tcPr>
            <w:tcW w:w="4219" w:type="dxa"/>
            <w:vAlign w:val="center"/>
          </w:tcPr>
          <w:p w:rsidR="000F4607" w:rsidRPr="00EF785B" w:rsidRDefault="000F4607" w:rsidP="00FA2C75">
            <w:pPr>
              <w:rPr>
                <w:rFonts w:ascii="Arial" w:hAnsi="Arial" w:cs="Arial"/>
                <w:sz w:val="20"/>
                <w:szCs w:val="20"/>
              </w:rPr>
            </w:pPr>
            <w:r>
              <w:rPr>
                <w:rFonts w:ascii="Arial" w:hAnsi="Arial" w:cs="Arial"/>
                <w:sz w:val="20"/>
                <w:szCs w:val="20"/>
              </w:rPr>
              <w:t xml:space="preserve">15,001 to </w:t>
            </w:r>
            <w:r w:rsidRPr="00EF785B">
              <w:rPr>
                <w:rFonts w:ascii="Arial" w:hAnsi="Arial" w:cs="Arial"/>
                <w:sz w:val="20"/>
                <w:szCs w:val="20"/>
              </w:rPr>
              <w:t>100,000 units</w:t>
            </w:r>
          </w:p>
        </w:tc>
        <w:tc>
          <w:tcPr>
            <w:tcW w:w="1843" w:type="dxa"/>
            <w:vAlign w:val="center"/>
          </w:tcPr>
          <w:p w:rsidR="000F4607" w:rsidRPr="00EF785B" w:rsidRDefault="000F4607" w:rsidP="00FA2C75">
            <w:pPr>
              <w:spacing w:before="60" w:after="60"/>
              <w:jc w:val="center"/>
              <w:rPr>
                <w:rFonts w:ascii="Arial" w:hAnsi="Arial" w:cs="Arial"/>
                <w:sz w:val="20"/>
                <w:szCs w:val="20"/>
              </w:rPr>
            </w:pPr>
            <w:r>
              <w:rPr>
                <w:rFonts w:ascii="Arial" w:hAnsi="Arial" w:cs="Arial"/>
                <w:sz w:val="20"/>
                <w:szCs w:val="20"/>
              </w:rPr>
              <w:t>1,566</w:t>
            </w:r>
          </w:p>
        </w:tc>
        <w:tc>
          <w:tcPr>
            <w:tcW w:w="3969" w:type="dxa"/>
            <w:vMerge w:val="restart"/>
            <w:vAlign w:val="center"/>
          </w:tcPr>
          <w:p w:rsidR="000F4607" w:rsidRPr="00EF785B" w:rsidRDefault="000F4607" w:rsidP="005706B2">
            <w:pPr>
              <w:spacing w:before="60" w:after="60"/>
              <w:rPr>
                <w:rFonts w:ascii="Arial" w:hAnsi="Arial" w:cs="Arial"/>
                <w:sz w:val="20"/>
                <w:szCs w:val="20"/>
              </w:rPr>
            </w:pPr>
            <w:r>
              <w:rPr>
                <w:rFonts w:ascii="Arial" w:hAnsi="Arial" w:cs="Arial"/>
                <w:sz w:val="20"/>
                <w:szCs w:val="20"/>
              </w:rPr>
              <w:t>15,001 to 200,000 units</w:t>
            </w:r>
          </w:p>
        </w:tc>
        <w:tc>
          <w:tcPr>
            <w:tcW w:w="1725" w:type="dxa"/>
            <w:vMerge w:val="restart"/>
            <w:vAlign w:val="center"/>
          </w:tcPr>
          <w:p w:rsidR="000F4607" w:rsidRPr="00EF785B" w:rsidRDefault="000F4607" w:rsidP="00FA2C75">
            <w:pPr>
              <w:spacing w:before="60" w:after="60"/>
              <w:jc w:val="center"/>
              <w:rPr>
                <w:rFonts w:ascii="Arial" w:hAnsi="Arial" w:cs="Arial"/>
                <w:sz w:val="20"/>
                <w:szCs w:val="20"/>
              </w:rPr>
            </w:pPr>
            <w:r>
              <w:rPr>
                <w:rFonts w:ascii="Arial" w:hAnsi="Arial" w:cs="Arial"/>
                <w:sz w:val="20"/>
                <w:szCs w:val="20"/>
              </w:rPr>
              <w:t>1,850</w:t>
            </w:r>
          </w:p>
        </w:tc>
        <w:tc>
          <w:tcPr>
            <w:tcW w:w="2418" w:type="dxa"/>
            <w:vAlign w:val="center"/>
          </w:tcPr>
          <w:p w:rsidR="000F4607" w:rsidRPr="00EF785B" w:rsidRDefault="000F4607" w:rsidP="00FA2C75">
            <w:pPr>
              <w:spacing w:before="60" w:after="60"/>
              <w:jc w:val="center"/>
              <w:rPr>
                <w:rFonts w:ascii="Arial" w:hAnsi="Arial" w:cs="Arial"/>
                <w:sz w:val="20"/>
                <w:szCs w:val="20"/>
              </w:rPr>
            </w:pPr>
            <w:r>
              <w:rPr>
                <w:rFonts w:ascii="Arial" w:hAnsi="Arial" w:cs="Arial"/>
                <w:sz w:val="20"/>
                <w:szCs w:val="20"/>
              </w:rPr>
              <w:t>18.1%</w:t>
            </w:r>
          </w:p>
        </w:tc>
      </w:tr>
      <w:tr w:rsidR="000F4607" w:rsidRPr="00EF785B" w:rsidTr="00FA2C75">
        <w:tc>
          <w:tcPr>
            <w:tcW w:w="4219" w:type="dxa"/>
            <w:vAlign w:val="center"/>
          </w:tcPr>
          <w:p w:rsidR="000F4607" w:rsidRPr="00EF785B" w:rsidRDefault="000F4607" w:rsidP="00FA2C75">
            <w:pPr>
              <w:rPr>
                <w:rFonts w:ascii="Arial" w:hAnsi="Arial" w:cs="Arial"/>
                <w:sz w:val="20"/>
                <w:szCs w:val="20"/>
              </w:rPr>
            </w:pPr>
            <w:r>
              <w:rPr>
                <w:rFonts w:ascii="Arial" w:hAnsi="Arial" w:cs="Arial"/>
                <w:sz w:val="20"/>
                <w:szCs w:val="20"/>
              </w:rPr>
              <w:t xml:space="preserve">100,001 to </w:t>
            </w:r>
            <w:r w:rsidRPr="00EF785B">
              <w:rPr>
                <w:rFonts w:ascii="Arial" w:hAnsi="Arial" w:cs="Arial"/>
                <w:sz w:val="20"/>
                <w:szCs w:val="20"/>
              </w:rPr>
              <w:t>200,000 units</w:t>
            </w:r>
          </w:p>
        </w:tc>
        <w:tc>
          <w:tcPr>
            <w:tcW w:w="1843" w:type="dxa"/>
            <w:vAlign w:val="center"/>
          </w:tcPr>
          <w:p w:rsidR="000F4607" w:rsidRPr="00EF785B" w:rsidRDefault="000F4607" w:rsidP="00FA2C75">
            <w:pPr>
              <w:spacing w:before="60" w:after="60"/>
              <w:jc w:val="center"/>
              <w:rPr>
                <w:rFonts w:ascii="Arial" w:hAnsi="Arial" w:cs="Arial"/>
                <w:sz w:val="20"/>
                <w:szCs w:val="20"/>
              </w:rPr>
            </w:pPr>
            <w:r>
              <w:rPr>
                <w:rFonts w:ascii="Arial" w:hAnsi="Arial" w:cs="Arial"/>
                <w:sz w:val="20"/>
                <w:szCs w:val="20"/>
              </w:rPr>
              <w:t>1,566</w:t>
            </w:r>
          </w:p>
        </w:tc>
        <w:tc>
          <w:tcPr>
            <w:tcW w:w="3969" w:type="dxa"/>
            <w:vMerge/>
            <w:vAlign w:val="center"/>
          </w:tcPr>
          <w:p w:rsidR="000F4607" w:rsidRPr="00EF785B" w:rsidRDefault="000F4607" w:rsidP="005706B2">
            <w:pPr>
              <w:spacing w:before="60" w:after="60"/>
              <w:rPr>
                <w:rFonts w:ascii="Arial" w:hAnsi="Arial" w:cs="Arial"/>
                <w:sz w:val="20"/>
                <w:szCs w:val="20"/>
              </w:rPr>
            </w:pPr>
          </w:p>
        </w:tc>
        <w:tc>
          <w:tcPr>
            <w:tcW w:w="1725" w:type="dxa"/>
            <w:vMerge/>
            <w:vAlign w:val="center"/>
          </w:tcPr>
          <w:p w:rsidR="000F4607" w:rsidRPr="00EF785B" w:rsidRDefault="000F4607" w:rsidP="00FA2C75">
            <w:pPr>
              <w:spacing w:before="60" w:after="60"/>
              <w:jc w:val="center"/>
              <w:rPr>
                <w:rFonts w:ascii="Arial" w:hAnsi="Arial" w:cs="Arial"/>
                <w:sz w:val="20"/>
                <w:szCs w:val="20"/>
              </w:rPr>
            </w:pPr>
          </w:p>
        </w:tc>
        <w:tc>
          <w:tcPr>
            <w:tcW w:w="2418" w:type="dxa"/>
            <w:vAlign w:val="center"/>
          </w:tcPr>
          <w:p w:rsidR="000F4607" w:rsidRPr="00EF785B" w:rsidRDefault="000F4607" w:rsidP="00FA2C75">
            <w:pPr>
              <w:spacing w:before="60" w:after="60"/>
              <w:jc w:val="center"/>
              <w:rPr>
                <w:rFonts w:ascii="Arial" w:hAnsi="Arial" w:cs="Arial"/>
                <w:sz w:val="20"/>
                <w:szCs w:val="20"/>
              </w:rPr>
            </w:pPr>
            <w:r>
              <w:rPr>
                <w:rFonts w:ascii="Arial" w:hAnsi="Arial" w:cs="Arial"/>
                <w:sz w:val="20"/>
                <w:szCs w:val="20"/>
              </w:rPr>
              <w:t>18.1%</w:t>
            </w:r>
          </w:p>
        </w:tc>
      </w:tr>
      <w:tr w:rsidR="000F4607" w:rsidRPr="00EF785B" w:rsidTr="00FA2C75">
        <w:tc>
          <w:tcPr>
            <w:tcW w:w="4219" w:type="dxa"/>
            <w:vAlign w:val="center"/>
          </w:tcPr>
          <w:p w:rsidR="000F4607" w:rsidRPr="00EF785B" w:rsidRDefault="000F4607" w:rsidP="00FA2C75">
            <w:pPr>
              <w:rPr>
                <w:rFonts w:ascii="Arial" w:hAnsi="Arial" w:cs="Arial"/>
                <w:sz w:val="20"/>
                <w:szCs w:val="20"/>
              </w:rPr>
            </w:pPr>
            <w:r>
              <w:rPr>
                <w:rFonts w:ascii="Arial" w:hAnsi="Arial" w:cs="Arial"/>
                <w:sz w:val="20"/>
                <w:szCs w:val="20"/>
              </w:rPr>
              <w:t xml:space="preserve">200,001 to </w:t>
            </w:r>
            <w:r w:rsidRPr="00EF785B">
              <w:rPr>
                <w:rFonts w:ascii="Arial" w:hAnsi="Arial" w:cs="Arial"/>
                <w:sz w:val="20"/>
                <w:szCs w:val="20"/>
              </w:rPr>
              <w:t>400,000 units</w:t>
            </w:r>
          </w:p>
        </w:tc>
        <w:tc>
          <w:tcPr>
            <w:tcW w:w="1843" w:type="dxa"/>
            <w:vAlign w:val="center"/>
          </w:tcPr>
          <w:p w:rsidR="000F4607" w:rsidRPr="00EF785B" w:rsidRDefault="000F4607" w:rsidP="00FA2C75">
            <w:pPr>
              <w:spacing w:before="60" w:after="60"/>
              <w:jc w:val="center"/>
              <w:rPr>
                <w:rFonts w:ascii="Arial" w:hAnsi="Arial" w:cs="Arial"/>
                <w:sz w:val="20"/>
                <w:szCs w:val="20"/>
              </w:rPr>
            </w:pPr>
            <w:r>
              <w:rPr>
                <w:rFonts w:ascii="Arial" w:hAnsi="Arial" w:cs="Arial"/>
                <w:sz w:val="20"/>
                <w:szCs w:val="20"/>
              </w:rPr>
              <w:t>1,566</w:t>
            </w:r>
          </w:p>
        </w:tc>
        <w:tc>
          <w:tcPr>
            <w:tcW w:w="3969" w:type="dxa"/>
            <w:vAlign w:val="center"/>
          </w:tcPr>
          <w:p w:rsidR="000F4607" w:rsidRPr="00EF785B" w:rsidRDefault="000F4607" w:rsidP="005706B2">
            <w:pPr>
              <w:spacing w:before="60" w:after="60"/>
              <w:rPr>
                <w:rFonts w:ascii="Arial" w:hAnsi="Arial" w:cs="Arial"/>
                <w:sz w:val="20"/>
                <w:szCs w:val="20"/>
              </w:rPr>
            </w:pPr>
            <w:r>
              <w:rPr>
                <w:rFonts w:ascii="Arial" w:hAnsi="Arial" w:cs="Arial"/>
                <w:sz w:val="20"/>
                <w:szCs w:val="20"/>
              </w:rPr>
              <w:t>200,001 to 500,000 units</w:t>
            </w:r>
          </w:p>
        </w:tc>
        <w:tc>
          <w:tcPr>
            <w:tcW w:w="1725" w:type="dxa"/>
            <w:vAlign w:val="center"/>
          </w:tcPr>
          <w:p w:rsidR="000F4607" w:rsidRPr="00EF785B" w:rsidRDefault="000F4607" w:rsidP="00FA2C75">
            <w:pPr>
              <w:spacing w:before="60" w:after="60"/>
              <w:jc w:val="center"/>
              <w:rPr>
                <w:rFonts w:ascii="Arial" w:hAnsi="Arial" w:cs="Arial"/>
                <w:sz w:val="20"/>
                <w:szCs w:val="20"/>
              </w:rPr>
            </w:pPr>
            <w:r>
              <w:rPr>
                <w:rFonts w:ascii="Arial" w:hAnsi="Arial" w:cs="Arial"/>
                <w:sz w:val="20"/>
                <w:szCs w:val="20"/>
              </w:rPr>
              <w:t>1,850</w:t>
            </w:r>
          </w:p>
        </w:tc>
        <w:tc>
          <w:tcPr>
            <w:tcW w:w="2418" w:type="dxa"/>
            <w:vAlign w:val="center"/>
          </w:tcPr>
          <w:p w:rsidR="000F4607" w:rsidRPr="00EF785B" w:rsidRDefault="000F4607" w:rsidP="000F4607">
            <w:pPr>
              <w:spacing w:before="60" w:after="60"/>
              <w:jc w:val="center"/>
              <w:rPr>
                <w:rFonts w:ascii="Arial" w:hAnsi="Arial" w:cs="Arial"/>
                <w:sz w:val="20"/>
                <w:szCs w:val="20"/>
              </w:rPr>
            </w:pPr>
            <w:r>
              <w:rPr>
                <w:rFonts w:ascii="Arial" w:hAnsi="Arial" w:cs="Arial"/>
                <w:sz w:val="20"/>
                <w:szCs w:val="20"/>
              </w:rPr>
              <w:t>18.1%</w:t>
            </w:r>
          </w:p>
        </w:tc>
      </w:tr>
      <w:tr w:rsidR="000F4607" w:rsidRPr="00EF785B" w:rsidTr="00FA2C75">
        <w:tc>
          <w:tcPr>
            <w:tcW w:w="4219" w:type="dxa"/>
            <w:vAlign w:val="center"/>
          </w:tcPr>
          <w:p w:rsidR="000F4607" w:rsidRPr="00EF785B" w:rsidRDefault="000F4607" w:rsidP="00FA2C75">
            <w:pPr>
              <w:rPr>
                <w:rFonts w:ascii="Arial" w:hAnsi="Arial" w:cs="Arial"/>
                <w:sz w:val="20"/>
                <w:szCs w:val="20"/>
              </w:rPr>
            </w:pPr>
            <w:r w:rsidRPr="00EF785B">
              <w:rPr>
                <w:rFonts w:ascii="Arial" w:hAnsi="Arial" w:cs="Arial"/>
                <w:sz w:val="20"/>
                <w:szCs w:val="20"/>
              </w:rPr>
              <w:t>Over 400,000 units</w:t>
            </w:r>
          </w:p>
        </w:tc>
        <w:tc>
          <w:tcPr>
            <w:tcW w:w="1843" w:type="dxa"/>
            <w:vAlign w:val="center"/>
          </w:tcPr>
          <w:p w:rsidR="000F4607" w:rsidRPr="00EF785B" w:rsidRDefault="000F4607" w:rsidP="00FA2C75">
            <w:pPr>
              <w:spacing w:before="60" w:after="60"/>
              <w:jc w:val="center"/>
              <w:rPr>
                <w:rFonts w:ascii="Arial" w:hAnsi="Arial" w:cs="Arial"/>
                <w:sz w:val="20"/>
                <w:szCs w:val="20"/>
              </w:rPr>
            </w:pPr>
            <w:r>
              <w:rPr>
                <w:rFonts w:ascii="Arial" w:hAnsi="Arial" w:cs="Arial"/>
                <w:sz w:val="20"/>
                <w:szCs w:val="20"/>
              </w:rPr>
              <w:t>1,566</w:t>
            </w:r>
          </w:p>
        </w:tc>
        <w:tc>
          <w:tcPr>
            <w:tcW w:w="3969" w:type="dxa"/>
            <w:vAlign w:val="center"/>
          </w:tcPr>
          <w:p w:rsidR="000F4607" w:rsidRPr="00EF785B" w:rsidRDefault="000F4607" w:rsidP="005706B2">
            <w:pPr>
              <w:spacing w:before="60" w:after="60"/>
              <w:rPr>
                <w:rFonts w:ascii="Arial" w:hAnsi="Arial" w:cs="Arial"/>
                <w:sz w:val="20"/>
                <w:szCs w:val="20"/>
              </w:rPr>
            </w:pPr>
            <w:r>
              <w:rPr>
                <w:rFonts w:ascii="Arial" w:hAnsi="Arial" w:cs="Arial"/>
                <w:sz w:val="20"/>
                <w:szCs w:val="20"/>
              </w:rPr>
              <w:t>Over 500,000 units</w:t>
            </w:r>
          </w:p>
        </w:tc>
        <w:tc>
          <w:tcPr>
            <w:tcW w:w="1725" w:type="dxa"/>
            <w:vAlign w:val="center"/>
          </w:tcPr>
          <w:p w:rsidR="000F4607" w:rsidRPr="00EF785B" w:rsidRDefault="000F4607" w:rsidP="00FA2C75">
            <w:pPr>
              <w:spacing w:before="60" w:after="60"/>
              <w:jc w:val="center"/>
              <w:rPr>
                <w:rFonts w:ascii="Arial" w:hAnsi="Arial" w:cs="Arial"/>
                <w:sz w:val="20"/>
                <w:szCs w:val="20"/>
              </w:rPr>
            </w:pPr>
            <w:r>
              <w:rPr>
                <w:rFonts w:ascii="Arial" w:hAnsi="Arial" w:cs="Arial"/>
                <w:sz w:val="20"/>
                <w:szCs w:val="20"/>
              </w:rPr>
              <w:t>1,850</w:t>
            </w:r>
          </w:p>
        </w:tc>
        <w:tc>
          <w:tcPr>
            <w:tcW w:w="2418" w:type="dxa"/>
            <w:vAlign w:val="center"/>
          </w:tcPr>
          <w:p w:rsidR="000F4607" w:rsidRPr="00EF785B" w:rsidRDefault="000F4607" w:rsidP="00FA2C75">
            <w:pPr>
              <w:spacing w:before="60" w:after="60"/>
              <w:jc w:val="center"/>
              <w:rPr>
                <w:rFonts w:ascii="Arial" w:hAnsi="Arial" w:cs="Arial"/>
                <w:sz w:val="20"/>
                <w:szCs w:val="20"/>
              </w:rPr>
            </w:pPr>
            <w:r>
              <w:rPr>
                <w:rFonts w:ascii="Arial" w:hAnsi="Arial" w:cs="Arial"/>
                <w:sz w:val="20"/>
                <w:szCs w:val="20"/>
              </w:rPr>
              <w:t>18.1%</w:t>
            </w:r>
          </w:p>
        </w:tc>
      </w:tr>
    </w:tbl>
    <w:p w:rsidR="000F4607" w:rsidRDefault="000F4607" w:rsidP="00E30FAF">
      <w:pPr>
        <w:spacing w:after="0" w:line="240" w:lineRule="auto"/>
        <w:rPr>
          <w:rFonts w:ascii="Arial" w:hAnsi="Arial" w:cs="Arial"/>
          <w:b/>
          <w:sz w:val="20"/>
          <w:szCs w:val="20"/>
          <w:u w:val="single"/>
        </w:rPr>
      </w:pPr>
    </w:p>
    <w:p w:rsidR="009E6247" w:rsidRDefault="009E6247" w:rsidP="00E30FAF">
      <w:pPr>
        <w:spacing w:after="0" w:line="240" w:lineRule="auto"/>
        <w:rPr>
          <w:rFonts w:ascii="Arial" w:hAnsi="Arial" w:cs="Arial"/>
          <w:b/>
          <w:sz w:val="20"/>
          <w:szCs w:val="20"/>
          <w:u w:val="single"/>
        </w:rPr>
      </w:pPr>
    </w:p>
    <w:p w:rsidR="009E6247" w:rsidRDefault="009E6247" w:rsidP="00E30FAF">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4219"/>
        <w:gridCol w:w="1843"/>
        <w:gridCol w:w="3969"/>
        <w:gridCol w:w="1725"/>
        <w:gridCol w:w="2418"/>
      </w:tblGrid>
      <w:tr w:rsidR="009E6247" w:rsidTr="009E63BE">
        <w:tc>
          <w:tcPr>
            <w:tcW w:w="4219" w:type="dxa"/>
            <w:shd w:val="clear" w:color="auto" w:fill="F2F2F2" w:themeFill="background1" w:themeFillShade="F2"/>
            <w:vAlign w:val="center"/>
          </w:tcPr>
          <w:p w:rsidR="009E6247" w:rsidRPr="00E87CBB" w:rsidRDefault="009E6247" w:rsidP="00FA2C75">
            <w:pPr>
              <w:spacing w:before="60" w:after="60"/>
              <w:rPr>
                <w:rFonts w:ascii="Arial" w:hAnsi="Arial" w:cs="Arial"/>
                <w:b/>
                <w:sz w:val="20"/>
                <w:szCs w:val="20"/>
              </w:rPr>
            </w:pPr>
            <w:r>
              <w:rPr>
                <w:rFonts w:ascii="Arial" w:hAnsi="Arial" w:cs="Arial"/>
                <w:b/>
                <w:sz w:val="20"/>
                <w:szCs w:val="20"/>
              </w:rPr>
              <w:t>Poultry Processing Facilities</w:t>
            </w:r>
          </w:p>
        </w:tc>
        <w:tc>
          <w:tcPr>
            <w:tcW w:w="1843" w:type="dxa"/>
            <w:shd w:val="clear" w:color="auto" w:fill="F2F2F2" w:themeFill="background1" w:themeFillShade="F2"/>
            <w:vAlign w:val="center"/>
          </w:tcPr>
          <w:p w:rsidR="009E6247" w:rsidRPr="00EF785B" w:rsidRDefault="009E6247" w:rsidP="00FA2C75">
            <w:pPr>
              <w:spacing w:before="60" w:after="60"/>
              <w:jc w:val="center"/>
              <w:rPr>
                <w:rFonts w:ascii="Arial" w:hAnsi="Arial" w:cs="Arial"/>
                <w:b/>
                <w:sz w:val="20"/>
                <w:szCs w:val="20"/>
              </w:rPr>
            </w:pPr>
            <w:r w:rsidRPr="00EF785B">
              <w:rPr>
                <w:rFonts w:ascii="Arial" w:hAnsi="Arial" w:cs="Arial"/>
                <w:b/>
                <w:sz w:val="20"/>
                <w:szCs w:val="20"/>
              </w:rPr>
              <w:t>Current</w:t>
            </w:r>
          </w:p>
        </w:tc>
        <w:tc>
          <w:tcPr>
            <w:tcW w:w="8112" w:type="dxa"/>
            <w:gridSpan w:val="3"/>
            <w:shd w:val="clear" w:color="auto" w:fill="F2F2F2" w:themeFill="background1" w:themeFillShade="F2"/>
            <w:vAlign w:val="center"/>
          </w:tcPr>
          <w:p w:rsidR="009E6247" w:rsidRDefault="009E6247" w:rsidP="00FA2C75">
            <w:pPr>
              <w:spacing w:before="60" w:after="60"/>
              <w:jc w:val="center"/>
              <w:rPr>
                <w:rFonts w:ascii="Arial" w:hAnsi="Arial" w:cs="Arial"/>
                <w:b/>
                <w:sz w:val="20"/>
                <w:szCs w:val="20"/>
                <w:u w:val="single"/>
              </w:rPr>
            </w:pPr>
            <w:r w:rsidRPr="00EF785B">
              <w:rPr>
                <w:rFonts w:ascii="Arial" w:hAnsi="Arial" w:cs="Arial"/>
                <w:b/>
                <w:sz w:val="20"/>
                <w:szCs w:val="20"/>
              </w:rPr>
              <w:t>Proposed</w:t>
            </w:r>
          </w:p>
        </w:tc>
      </w:tr>
      <w:tr w:rsidR="009E6247" w:rsidRPr="00EF785B" w:rsidTr="00FA2C75">
        <w:tc>
          <w:tcPr>
            <w:tcW w:w="4219" w:type="dxa"/>
            <w:vAlign w:val="center"/>
          </w:tcPr>
          <w:p w:rsidR="009E6247" w:rsidRPr="00EF785B" w:rsidRDefault="009E6247" w:rsidP="00FA2C75">
            <w:pPr>
              <w:spacing w:before="60" w:after="60"/>
              <w:rPr>
                <w:rFonts w:ascii="Arial" w:hAnsi="Arial" w:cs="Arial"/>
                <w:b/>
                <w:sz w:val="20"/>
                <w:szCs w:val="20"/>
              </w:rPr>
            </w:pPr>
            <w:r>
              <w:rPr>
                <w:rFonts w:ascii="Arial" w:hAnsi="Arial" w:cs="Arial"/>
                <w:b/>
                <w:sz w:val="20"/>
                <w:szCs w:val="20"/>
              </w:rPr>
              <w:t xml:space="preserve">Annual </w:t>
            </w:r>
            <w:r w:rsidRPr="00EF785B">
              <w:rPr>
                <w:rFonts w:ascii="Arial" w:hAnsi="Arial" w:cs="Arial"/>
                <w:b/>
                <w:sz w:val="20"/>
                <w:szCs w:val="20"/>
              </w:rPr>
              <w:t>Throughput</w:t>
            </w:r>
          </w:p>
        </w:tc>
        <w:tc>
          <w:tcPr>
            <w:tcW w:w="1843" w:type="dxa"/>
            <w:vAlign w:val="center"/>
          </w:tcPr>
          <w:p w:rsidR="009E6247" w:rsidRDefault="009E6247" w:rsidP="00FA2C75">
            <w:pPr>
              <w:spacing w:before="60" w:after="60"/>
              <w:jc w:val="center"/>
              <w:rPr>
                <w:rFonts w:ascii="Arial" w:hAnsi="Arial" w:cs="Arial"/>
                <w:b/>
                <w:sz w:val="20"/>
                <w:szCs w:val="20"/>
              </w:rPr>
            </w:pPr>
            <w:r>
              <w:rPr>
                <w:rFonts w:ascii="Arial" w:hAnsi="Arial" w:cs="Arial"/>
                <w:b/>
                <w:sz w:val="20"/>
                <w:szCs w:val="20"/>
              </w:rPr>
              <w:t>2015-16</w:t>
            </w:r>
          </w:p>
          <w:p w:rsidR="009E6247" w:rsidRPr="00EF785B" w:rsidRDefault="009E6247" w:rsidP="00FA2C75">
            <w:pPr>
              <w:spacing w:before="60" w:after="60"/>
              <w:jc w:val="center"/>
              <w:rPr>
                <w:rFonts w:ascii="Arial" w:hAnsi="Arial" w:cs="Arial"/>
                <w:b/>
                <w:sz w:val="20"/>
                <w:szCs w:val="20"/>
              </w:rPr>
            </w:pPr>
            <w:r>
              <w:rPr>
                <w:rFonts w:ascii="Arial" w:hAnsi="Arial" w:cs="Arial"/>
                <w:b/>
                <w:sz w:val="20"/>
                <w:szCs w:val="20"/>
              </w:rPr>
              <w:t>$</w:t>
            </w:r>
          </w:p>
        </w:tc>
        <w:tc>
          <w:tcPr>
            <w:tcW w:w="3969" w:type="dxa"/>
            <w:vAlign w:val="center"/>
          </w:tcPr>
          <w:p w:rsidR="009E6247" w:rsidRPr="00EF785B" w:rsidRDefault="009E6247" w:rsidP="00FA2C75">
            <w:pPr>
              <w:spacing w:before="60" w:after="60"/>
              <w:jc w:val="center"/>
              <w:rPr>
                <w:rFonts w:ascii="Arial" w:hAnsi="Arial" w:cs="Arial"/>
                <w:b/>
                <w:sz w:val="20"/>
                <w:szCs w:val="20"/>
              </w:rPr>
            </w:pPr>
            <w:r>
              <w:rPr>
                <w:rFonts w:ascii="Arial" w:hAnsi="Arial" w:cs="Arial"/>
                <w:b/>
                <w:sz w:val="20"/>
                <w:szCs w:val="20"/>
              </w:rPr>
              <w:t>Annual Throughput</w:t>
            </w:r>
          </w:p>
        </w:tc>
        <w:tc>
          <w:tcPr>
            <w:tcW w:w="1725" w:type="dxa"/>
            <w:vAlign w:val="center"/>
          </w:tcPr>
          <w:p w:rsidR="009E6247" w:rsidRDefault="009E6247" w:rsidP="00FA2C75">
            <w:pPr>
              <w:spacing w:before="60" w:after="60"/>
              <w:jc w:val="center"/>
              <w:rPr>
                <w:rFonts w:ascii="Arial" w:hAnsi="Arial" w:cs="Arial"/>
                <w:b/>
                <w:sz w:val="20"/>
                <w:szCs w:val="20"/>
              </w:rPr>
            </w:pPr>
            <w:r w:rsidRPr="00EF785B">
              <w:rPr>
                <w:rFonts w:ascii="Arial" w:hAnsi="Arial" w:cs="Arial"/>
                <w:b/>
                <w:sz w:val="20"/>
                <w:szCs w:val="20"/>
              </w:rPr>
              <w:t>2016-17</w:t>
            </w:r>
          </w:p>
          <w:p w:rsidR="009E6247" w:rsidRPr="00EF785B" w:rsidRDefault="009E6247" w:rsidP="00FA2C75">
            <w:pPr>
              <w:spacing w:before="60" w:after="60"/>
              <w:jc w:val="center"/>
              <w:rPr>
                <w:rFonts w:ascii="Arial" w:hAnsi="Arial" w:cs="Arial"/>
                <w:b/>
                <w:sz w:val="20"/>
                <w:szCs w:val="20"/>
              </w:rPr>
            </w:pPr>
            <w:r>
              <w:rPr>
                <w:rFonts w:ascii="Arial" w:hAnsi="Arial" w:cs="Arial"/>
                <w:b/>
                <w:sz w:val="20"/>
                <w:szCs w:val="20"/>
              </w:rPr>
              <w:t>$</w:t>
            </w:r>
          </w:p>
        </w:tc>
        <w:tc>
          <w:tcPr>
            <w:tcW w:w="2418" w:type="dxa"/>
            <w:vAlign w:val="center"/>
          </w:tcPr>
          <w:p w:rsidR="009E6247" w:rsidRDefault="009E6247" w:rsidP="00FA2C75">
            <w:pPr>
              <w:spacing w:before="60" w:after="60"/>
              <w:jc w:val="center"/>
              <w:rPr>
                <w:rFonts w:ascii="Arial" w:hAnsi="Arial" w:cs="Arial"/>
                <w:b/>
                <w:sz w:val="20"/>
                <w:szCs w:val="20"/>
              </w:rPr>
            </w:pPr>
            <w:r>
              <w:rPr>
                <w:rFonts w:ascii="Arial" w:hAnsi="Arial" w:cs="Arial"/>
                <w:b/>
                <w:sz w:val="20"/>
                <w:szCs w:val="20"/>
              </w:rPr>
              <w:t>Increase</w:t>
            </w:r>
          </w:p>
          <w:p w:rsidR="009E6247" w:rsidRPr="00EF785B" w:rsidRDefault="009E6247" w:rsidP="00FA2C75">
            <w:pPr>
              <w:spacing w:before="60" w:after="60"/>
              <w:jc w:val="center"/>
              <w:rPr>
                <w:rFonts w:ascii="Arial" w:hAnsi="Arial" w:cs="Arial"/>
                <w:b/>
                <w:sz w:val="20"/>
                <w:szCs w:val="20"/>
              </w:rPr>
            </w:pPr>
            <w:r>
              <w:rPr>
                <w:rFonts w:ascii="Arial" w:hAnsi="Arial" w:cs="Arial"/>
                <w:b/>
                <w:sz w:val="20"/>
                <w:szCs w:val="20"/>
              </w:rPr>
              <w:t>%</w:t>
            </w:r>
          </w:p>
        </w:tc>
      </w:tr>
      <w:tr w:rsidR="009E6247" w:rsidRPr="00EF785B" w:rsidTr="00FA2C75">
        <w:tc>
          <w:tcPr>
            <w:tcW w:w="4219" w:type="dxa"/>
            <w:vAlign w:val="center"/>
          </w:tcPr>
          <w:p w:rsidR="009E6247" w:rsidRPr="00EF785B" w:rsidRDefault="009E6247" w:rsidP="009E6247">
            <w:pPr>
              <w:rPr>
                <w:rFonts w:ascii="Arial" w:hAnsi="Arial" w:cs="Arial"/>
                <w:sz w:val="20"/>
                <w:szCs w:val="20"/>
              </w:rPr>
            </w:pPr>
            <w:r w:rsidRPr="00EF785B">
              <w:rPr>
                <w:rFonts w:ascii="Arial" w:hAnsi="Arial" w:cs="Arial"/>
                <w:sz w:val="20"/>
                <w:szCs w:val="20"/>
              </w:rPr>
              <w:t xml:space="preserve">Up to </w:t>
            </w:r>
            <w:r>
              <w:rPr>
                <w:rFonts w:ascii="Arial" w:hAnsi="Arial" w:cs="Arial"/>
                <w:sz w:val="20"/>
                <w:szCs w:val="20"/>
              </w:rPr>
              <w:t>2,500</w:t>
            </w:r>
            <w:r w:rsidRPr="00EF785B">
              <w:rPr>
                <w:rFonts w:ascii="Arial" w:hAnsi="Arial" w:cs="Arial"/>
                <w:sz w:val="20"/>
                <w:szCs w:val="20"/>
              </w:rPr>
              <w:t xml:space="preserve"> units</w:t>
            </w:r>
          </w:p>
        </w:tc>
        <w:tc>
          <w:tcPr>
            <w:tcW w:w="1843" w:type="dxa"/>
            <w:vAlign w:val="center"/>
          </w:tcPr>
          <w:p w:rsidR="009E6247" w:rsidRPr="00EF785B" w:rsidRDefault="009E6247" w:rsidP="00FA2C75">
            <w:pPr>
              <w:spacing w:before="60" w:after="60"/>
              <w:jc w:val="center"/>
              <w:rPr>
                <w:rFonts w:ascii="Arial" w:hAnsi="Arial" w:cs="Arial"/>
                <w:sz w:val="20"/>
                <w:szCs w:val="20"/>
              </w:rPr>
            </w:pPr>
            <w:r>
              <w:rPr>
                <w:rFonts w:ascii="Arial" w:hAnsi="Arial" w:cs="Arial"/>
                <w:sz w:val="20"/>
                <w:szCs w:val="20"/>
              </w:rPr>
              <w:t>377</w:t>
            </w:r>
          </w:p>
        </w:tc>
        <w:tc>
          <w:tcPr>
            <w:tcW w:w="3969" w:type="dxa"/>
            <w:vMerge w:val="restart"/>
            <w:vAlign w:val="center"/>
          </w:tcPr>
          <w:p w:rsidR="009E6247" w:rsidRPr="00EF785B" w:rsidRDefault="009E6247" w:rsidP="005706B2">
            <w:pPr>
              <w:spacing w:before="60" w:after="60"/>
              <w:rPr>
                <w:rFonts w:ascii="Arial" w:hAnsi="Arial" w:cs="Arial"/>
                <w:sz w:val="20"/>
                <w:szCs w:val="20"/>
              </w:rPr>
            </w:pPr>
            <w:r>
              <w:rPr>
                <w:rFonts w:ascii="Arial" w:hAnsi="Arial" w:cs="Arial"/>
                <w:sz w:val="20"/>
                <w:szCs w:val="20"/>
              </w:rPr>
              <w:t>Up to 50,000 units</w:t>
            </w:r>
          </w:p>
        </w:tc>
        <w:tc>
          <w:tcPr>
            <w:tcW w:w="1725" w:type="dxa"/>
            <w:vMerge w:val="restart"/>
            <w:vAlign w:val="center"/>
          </w:tcPr>
          <w:p w:rsidR="009E6247" w:rsidRPr="00EF785B" w:rsidRDefault="009E6247" w:rsidP="00FA2C75">
            <w:pPr>
              <w:spacing w:before="60" w:after="60"/>
              <w:jc w:val="center"/>
              <w:rPr>
                <w:rFonts w:ascii="Arial" w:hAnsi="Arial" w:cs="Arial"/>
                <w:sz w:val="20"/>
                <w:szCs w:val="20"/>
              </w:rPr>
            </w:pPr>
            <w:r>
              <w:rPr>
                <w:rFonts w:ascii="Arial" w:hAnsi="Arial" w:cs="Arial"/>
                <w:sz w:val="20"/>
                <w:szCs w:val="20"/>
              </w:rPr>
              <w:t>1,766</w:t>
            </w:r>
          </w:p>
        </w:tc>
        <w:tc>
          <w:tcPr>
            <w:tcW w:w="2418" w:type="dxa"/>
            <w:vAlign w:val="center"/>
          </w:tcPr>
          <w:p w:rsidR="009E6247" w:rsidRPr="00EF785B" w:rsidRDefault="009E6247" w:rsidP="00FA2C75">
            <w:pPr>
              <w:spacing w:before="60" w:after="60"/>
              <w:jc w:val="center"/>
              <w:rPr>
                <w:rFonts w:ascii="Arial" w:hAnsi="Arial" w:cs="Arial"/>
                <w:sz w:val="20"/>
                <w:szCs w:val="20"/>
              </w:rPr>
            </w:pPr>
            <w:r>
              <w:rPr>
                <w:rFonts w:ascii="Arial" w:hAnsi="Arial" w:cs="Arial"/>
                <w:sz w:val="20"/>
                <w:szCs w:val="20"/>
              </w:rPr>
              <w:t>368.4%</w:t>
            </w:r>
          </w:p>
        </w:tc>
      </w:tr>
      <w:tr w:rsidR="009E6247" w:rsidRPr="00EF785B" w:rsidTr="00FA2C75">
        <w:tc>
          <w:tcPr>
            <w:tcW w:w="4219" w:type="dxa"/>
            <w:vAlign w:val="center"/>
          </w:tcPr>
          <w:p w:rsidR="009E6247" w:rsidRPr="00EF785B" w:rsidRDefault="009E6247" w:rsidP="00FA2C75">
            <w:pPr>
              <w:rPr>
                <w:rFonts w:ascii="Arial" w:hAnsi="Arial" w:cs="Arial"/>
                <w:sz w:val="20"/>
                <w:szCs w:val="20"/>
              </w:rPr>
            </w:pPr>
            <w:r>
              <w:rPr>
                <w:rFonts w:ascii="Arial" w:hAnsi="Arial" w:cs="Arial"/>
                <w:sz w:val="20"/>
                <w:szCs w:val="20"/>
              </w:rPr>
              <w:t>2,501 to 50,000 units</w:t>
            </w:r>
          </w:p>
        </w:tc>
        <w:tc>
          <w:tcPr>
            <w:tcW w:w="1843" w:type="dxa"/>
            <w:vAlign w:val="center"/>
          </w:tcPr>
          <w:p w:rsidR="009E6247" w:rsidRPr="00EF785B" w:rsidRDefault="009E6247" w:rsidP="00FA2C75">
            <w:pPr>
              <w:spacing w:before="60" w:after="60"/>
              <w:jc w:val="center"/>
              <w:rPr>
                <w:rFonts w:ascii="Arial" w:hAnsi="Arial" w:cs="Arial"/>
                <w:sz w:val="20"/>
                <w:szCs w:val="20"/>
              </w:rPr>
            </w:pPr>
            <w:r>
              <w:rPr>
                <w:rFonts w:ascii="Arial" w:hAnsi="Arial" w:cs="Arial"/>
                <w:sz w:val="20"/>
                <w:szCs w:val="20"/>
              </w:rPr>
              <w:t>820</w:t>
            </w:r>
          </w:p>
        </w:tc>
        <w:tc>
          <w:tcPr>
            <w:tcW w:w="3969" w:type="dxa"/>
            <w:vMerge/>
            <w:vAlign w:val="center"/>
          </w:tcPr>
          <w:p w:rsidR="009E6247" w:rsidRPr="00EF785B" w:rsidRDefault="009E6247" w:rsidP="005706B2">
            <w:pPr>
              <w:spacing w:before="60" w:after="60"/>
              <w:rPr>
                <w:rFonts w:ascii="Arial" w:hAnsi="Arial" w:cs="Arial"/>
                <w:sz w:val="20"/>
                <w:szCs w:val="20"/>
              </w:rPr>
            </w:pPr>
          </w:p>
        </w:tc>
        <w:tc>
          <w:tcPr>
            <w:tcW w:w="1725" w:type="dxa"/>
            <w:vMerge/>
            <w:vAlign w:val="center"/>
          </w:tcPr>
          <w:p w:rsidR="009E6247" w:rsidRPr="00EF785B" w:rsidRDefault="009E6247" w:rsidP="00FA2C75">
            <w:pPr>
              <w:spacing w:before="60" w:after="60"/>
              <w:jc w:val="center"/>
              <w:rPr>
                <w:rFonts w:ascii="Arial" w:hAnsi="Arial" w:cs="Arial"/>
                <w:sz w:val="20"/>
                <w:szCs w:val="20"/>
              </w:rPr>
            </w:pPr>
          </w:p>
        </w:tc>
        <w:tc>
          <w:tcPr>
            <w:tcW w:w="2418" w:type="dxa"/>
            <w:vAlign w:val="center"/>
          </w:tcPr>
          <w:p w:rsidR="009E6247" w:rsidRPr="00EF785B" w:rsidRDefault="009E6247" w:rsidP="00FA2C75">
            <w:pPr>
              <w:spacing w:before="60" w:after="60"/>
              <w:jc w:val="center"/>
              <w:rPr>
                <w:rFonts w:ascii="Arial" w:hAnsi="Arial" w:cs="Arial"/>
                <w:sz w:val="20"/>
                <w:szCs w:val="20"/>
              </w:rPr>
            </w:pPr>
            <w:r>
              <w:rPr>
                <w:rFonts w:ascii="Arial" w:hAnsi="Arial" w:cs="Arial"/>
                <w:sz w:val="20"/>
                <w:szCs w:val="20"/>
              </w:rPr>
              <w:t>115.4%</w:t>
            </w:r>
          </w:p>
        </w:tc>
      </w:tr>
      <w:tr w:rsidR="009E6247" w:rsidRPr="00EF785B" w:rsidTr="00FA2C75">
        <w:tc>
          <w:tcPr>
            <w:tcW w:w="4219" w:type="dxa"/>
            <w:vAlign w:val="center"/>
          </w:tcPr>
          <w:p w:rsidR="009E6247" w:rsidRPr="00EF785B" w:rsidRDefault="009E6247" w:rsidP="00FA2C75">
            <w:pPr>
              <w:rPr>
                <w:rFonts w:ascii="Arial" w:hAnsi="Arial" w:cs="Arial"/>
                <w:sz w:val="20"/>
                <w:szCs w:val="20"/>
              </w:rPr>
            </w:pPr>
            <w:r>
              <w:rPr>
                <w:rFonts w:ascii="Arial" w:hAnsi="Arial" w:cs="Arial"/>
                <w:sz w:val="20"/>
                <w:szCs w:val="20"/>
              </w:rPr>
              <w:t>50,001 to 250,000 units</w:t>
            </w:r>
          </w:p>
        </w:tc>
        <w:tc>
          <w:tcPr>
            <w:tcW w:w="1843" w:type="dxa"/>
            <w:vAlign w:val="center"/>
          </w:tcPr>
          <w:p w:rsidR="009E6247" w:rsidRPr="00EF785B" w:rsidRDefault="009E6247" w:rsidP="00FA2C75">
            <w:pPr>
              <w:spacing w:before="60" w:after="60"/>
              <w:jc w:val="center"/>
              <w:rPr>
                <w:rFonts w:ascii="Arial" w:hAnsi="Arial" w:cs="Arial"/>
                <w:sz w:val="20"/>
                <w:szCs w:val="20"/>
              </w:rPr>
            </w:pPr>
            <w:r>
              <w:rPr>
                <w:rFonts w:ascii="Arial" w:hAnsi="Arial" w:cs="Arial"/>
                <w:sz w:val="20"/>
                <w:szCs w:val="20"/>
              </w:rPr>
              <w:t>1,719</w:t>
            </w:r>
          </w:p>
        </w:tc>
        <w:tc>
          <w:tcPr>
            <w:tcW w:w="3969" w:type="dxa"/>
            <w:vAlign w:val="center"/>
          </w:tcPr>
          <w:p w:rsidR="009E6247" w:rsidRPr="00EF785B" w:rsidRDefault="009E6247" w:rsidP="005706B2">
            <w:pPr>
              <w:spacing w:before="60" w:after="60"/>
              <w:rPr>
                <w:rFonts w:ascii="Arial" w:hAnsi="Arial" w:cs="Arial"/>
                <w:sz w:val="20"/>
                <w:szCs w:val="20"/>
              </w:rPr>
            </w:pPr>
            <w:r>
              <w:rPr>
                <w:rFonts w:ascii="Arial" w:hAnsi="Arial" w:cs="Arial"/>
                <w:sz w:val="20"/>
                <w:szCs w:val="20"/>
              </w:rPr>
              <w:t>50,001 to 500,000 units</w:t>
            </w:r>
          </w:p>
        </w:tc>
        <w:tc>
          <w:tcPr>
            <w:tcW w:w="1725" w:type="dxa"/>
            <w:vAlign w:val="center"/>
          </w:tcPr>
          <w:p w:rsidR="009E6247" w:rsidRPr="00EF785B" w:rsidRDefault="009E6247" w:rsidP="009E6247">
            <w:pPr>
              <w:spacing w:before="60" w:after="60"/>
              <w:jc w:val="center"/>
              <w:rPr>
                <w:rFonts w:ascii="Arial" w:hAnsi="Arial" w:cs="Arial"/>
                <w:sz w:val="20"/>
                <w:szCs w:val="20"/>
              </w:rPr>
            </w:pPr>
            <w:r>
              <w:rPr>
                <w:rFonts w:ascii="Arial" w:hAnsi="Arial" w:cs="Arial"/>
                <w:sz w:val="20"/>
                <w:szCs w:val="20"/>
              </w:rPr>
              <w:t>2,413</w:t>
            </w:r>
          </w:p>
        </w:tc>
        <w:tc>
          <w:tcPr>
            <w:tcW w:w="2418" w:type="dxa"/>
            <w:vAlign w:val="center"/>
          </w:tcPr>
          <w:p w:rsidR="009E6247" w:rsidRPr="00EF785B" w:rsidRDefault="009E6247" w:rsidP="00FA2C75">
            <w:pPr>
              <w:spacing w:before="60" w:after="60"/>
              <w:jc w:val="center"/>
              <w:rPr>
                <w:rFonts w:ascii="Arial" w:hAnsi="Arial" w:cs="Arial"/>
                <w:sz w:val="20"/>
                <w:szCs w:val="20"/>
              </w:rPr>
            </w:pPr>
            <w:r>
              <w:rPr>
                <w:rFonts w:ascii="Arial" w:hAnsi="Arial" w:cs="Arial"/>
                <w:sz w:val="20"/>
                <w:szCs w:val="20"/>
              </w:rPr>
              <w:t>40.4%</w:t>
            </w:r>
          </w:p>
        </w:tc>
      </w:tr>
      <w:tr w:rsidR="009E6247" w:rsidRPr="00EF785B" w:rsidTr="00FA2C75">
        <w:tc>
          <w:tcPr>
            <w:tcW w:w="4219" w:type="dxa"/>
            <w:vAlign w:val="center"/>
          </w:tcPr>
          <w:p w:rsidR="009E6247" w:rsidRPr="00EF785B" w:rsidRDefault="009E6247" w:rsidP="009E6247">
            <w:pPr>
              <w:rPr>
                <w:rFonts w:ascii="Arial" w:hAnsi="Arial" w:cs="Arial"/>
                <w:sz w:val="20"/>
                <w:szCs w:val="20"/>
              </w:rPr>
            </w:pPr>
            <w:r>
              <w:rPr>
                <w:rFonts w:ascii="Arial" w:hAnsi="Arial" w:cs="Arial"/>
                <w:sz w:val="20"/>
                <w:szCs w:val="20"/>
              </w:rPr>
              <w:t>250,001 to 1,000,000 units</w:t>
            </w:r>
          </w:p>
        </w:tc>
        <w:tc>
          <w:tcPr>
            <w:tcW w:w="1843" w:type="dxa"/>
            <w:vAlign w:val="center"/>
          </w:tcPr>
          <w:p w:rsidR="009E6247" w:rsidRPr="00EF785B" w:rsidRDefault="009E6247" w:rsidP="009E6247">
            <w:pPr>
              <w:spacing w:before="60" w:after="60"/>
              <w:jc w:val="center"/>
              <w:rPr>
                <w:rFonts w:ascii="Arial" w:hAnsi="Arial" w:cs="Arial"/>
                <w:sz w:val="20"/>
                <w:szCs w:val="20"/>
              </w:rPr>
            </w:pPr>
            <w:r>
              <w:rPr>
                <w:rFonts w:ascii="Arial" w:hAnsi="Arial" w:cs="Arial"/>
                <w:sz w:val="20"/>
                <w:szCs w:val="20"/>
              </w:rPr>
              <w:t>2,348</w:t>
            </w:r>
          </w:p>
        </w:tc>
        <w:tc>
          <w:tcPr>
            <w:tcW w:w="3969" w:type="dxa"/>
            <w:vAlign w:val="center"/>
          </w:tcPr>
          <w:p w:rsidR="009E6247" w:rsidRPr="00EF785B" w:rsidRDefault="009E6247" w:rsidP="005706B2">
            <w:pPr>
              <w:spacing w:before="60" w:after="60"/>
              <w:rPr>
                <w:rFonts w:ascii="Arial" w:hAnsi="Arial" w:cs="Arial"/>
                <w:sz w:val="20"/>
                <w:szCs w:val="20"/>
              </w:rPr>
            </w:pPr>
            <w:r>
              <w:rPr>
                <w:rFonts w:ascii="Arial" w:hAnsi="Arial" w:cs="Arial"/>
                <w:sz w:val="20"/>
                <w:szCs w:val="20"/>
              </w:rPr>
              <w:t>50,001 to 500,000 units</w:t>
            </w:r>
          </w:p>
        </w:tc>
        <w:tc>
          <w:tcPr>
            <w:tcW w:w="1725" w:type="dxa"/>
            <w:vAlign w:val="center"/>
          </w:tcPr>
          <w:p w:rsidR="009E6247" w:rsidRPr="00EF785B" w:rsidRDefault="009E6247" w:rsidP="009E6247">
            <w:pPr>
              <w:spacing w:before="60" w:after="60"/>
              <w:jc w:val="center"/>
              <w:rPr>
                <w:rFonts w:ascii="Arial" w:hAnsi="Arial" w:cs="Arial"/>
                <w:sz w:val="20"/>
                <w:szCs w:val="20"/>
              </w:rPr>
            </w:pPr>
            <w:r w:rsidRPr="009E6247">
              <w:rPr>
                <w:rFonts w:ascii="Arial" w:hAnsi="Arial" w:cs="Arial"/>
                <w:sz w:val="20"/>
                <w:szCs w:val="20"/>
              </w:rPr>
              <w:t>2,413</w:t>
            </w:r>
            <w:r>
              <w:rPr>
                <w:rFonts w:ascii="Arial" w:hAnsi="Arial" w:cs="Arial"/>
                <w:sz w:val="20"/>
                <w:szCs w:val="20"/>
              </w:rPr>
              <w:t xml:space="preserve"> </w:t>
            </w:r>
            <w:r w:rsidRPr="009E6247">
              <w:rPr>
                <w:rFonts w:ascii="Arial" w:hAnsi="Arial" w:cs="Arial"/>
                <w:sz w:val="20"/>
                <w:szCs w:val="20"/>
              </w:rPr>
              <w:t>/</w:t>
            </w:r>
            <w:r>
              <w:rPr>
                <w:rFonts w:ascii="Arial" w:hAnsi="Arial" w:cs="Arial"/>
                <w:sz w:val="20"/>
                <w:szCs w:val="20"/>
              </w:rPr>
              <w:t xml:space="preserve"> </w:t>
            </w:r>
            <w:r w:rsidRPr="009E6247">
              <w:rPr>
                <w:rFonts w:ascii="Arial" w:hAnsi="Arial" w:cs="Arial"/>
                <w:sz w:val="20"/>
                <w:szCs w:val="20"/>
              </w:rPr>
              <w:t>3,697</w:t>
            </w:r>
            <w:r w:rsidRPr="009E6247">
              <w:rPr>
                <w:rStyle w:val="FootnoteReference"/>
                <w:rFonts w:ascii="Arial" w:hAnsi="Arial" w:cs="Arial"/>
                <w:sz w:val="20"/>
                <w:szCs w:val="20"/>
              </w:rPr>
              <w:footnoteReference w:id="23"/>
            </w:r>
          </w:p>
        </w:tc>
        <w:tc>
          <w:tcPr>
            <w:tcW w:w="2418" w:type="dxa"/>
            <w:vAlign w:val="center"/>
          </w:tcPr>
          <w:p w:rsidR="009E6247" w:rsidRPr="00EF785B" w:rsidRDefault="009E6247" w:rsidP="009E6247">
            <w:pPr>
              <w:spacing w:before="60" w:after="60"/>
              <w:jc w:val="center"/>
              <w:rPr>
                <w:rFonts w:ascii="Arial" w:hAnsi="Arial" w:cs="Arial"/>
                <w:sz w:val="20"/>
                <w:szCs w:val="20"/>
              </w:rPr>
            </w:pPr>
            <w:r>
              <w:rPr>
                <w:rFonts w:ascii="Arial" w:hAnsi="Arial" w:cs="Arial"/>
                <w:sz w:val="20"/>
                <w:szCs w:val="20"/>
              </w:rPr>
              <w:t>2.75% / 57.5%</w:t>
            </w:r>
          </w:p>
        </w:tc>
      </w:tr>
      <w:tr w:rsidR="009E6247" w:rsidRPr="00EF785B" w:rsidTr="00FA2C75">
        <w:tc>
          <w:tcPr>
            <w:tcW w:w="4219" w:type="dxa"/>
            <w:vAlign w:val="center"/>
          </w:tcPr>
          <w:p w:rsidR="009E6247" w:rsidRPr="00EF785B" w:rsidRDefault="009E6247" w:rsidP="009E6247">
            <w:pPr>
              <w:rPr>
                <w:rFonts w:ascii="Arial" w:hAnsi="Arial" w:cs="Arial"/>
                <w:sz w:val="20"/>
                <w:szCs w:val="20"/>
              </w:rPr>
            </w:pPr>
            <w:r>
              <w:rPr>
                <w:rFonts w:ascii="Arial" w:hAnsi="Arial" w:cs="Arial"/>
                <w:sz w:val="20"/>
                <w:szCs w:val="20"/>
              </w:rPr>
              <w:t>1,000,001 to 2,500,000 units</w:t>
            </w:r>
          </w:p>
        </w:tc>
        <w:tc>
          <w:tcPr>
            <w:tcW w:w="1843" w:type="dxa"/>
            <w:vAlign w:val="center"/>
          </w:tcPr>
          <w:p w:rsidR="009E6247" w:rsidRPr="00EF785B" w:rsidRDefault="009E6247" w:rsidP="009E6247">
            <w:pPr>
              <w:spacing w:before="60" w:after="60"/>
              <w:jc w:val="center"/>
              <w:rPr>
                <w:rFonts w:ascii="Arial" w:hAnsi="Arial" w:cs="Arial"/>
                <w:sz w:val="20"/>
                <w:szCs w:val="20"/>
              </w:rPr>
            </w:pPr>
            <w:r>
              <w:rPr>
                <w:rFonts w:ascii="Arial" w:hAnsi="Arial" w:cs="Arial"/>
                <w:sz w:val="20"/>
                <w:szCs w:val="20"/>
              </w:rPr>
              <w:t>3,598</w:t>
            </w:r>
          </w:p>
        </w:tc>
        <w:tc>
          <w:tcPr>
            <w:tcW w:w="3969" w:type="dxa"/>
            <w:vAlign w:val="center"/>
          </w:tcPr>
          <w:p w:rsidR="009E6247" w:rsidRPr="00EF785B" w:rsidRDefault="009E6247" w:rsidP="005706B2">
            <w:pPr>
              <w:spacing w:before="60" w:after="60"/>
              <w:rPr>
                <w:rFonts w:ascii="Arial" w:hAnsi="Arial" w:cs="Arial"/>
                <w:sz w:val="20"/>
                <w:szCs w:val="20"/>
              </w:rPr>
            </w:pPr>
            <w:r>
              <w:rPr>
                <w:rFonts w:ascii="Arial" w:hAnsi="Arial" w:cs="Arial"/>
                <w:sz w:val="20"/>
                <w:szCs w:val="20"/>
              </w:rPr>
              <w:t>500,001 to 2,500,000 units</w:t>
            </w:r>
          </w:p>
        </w:tc>
        <w:tc>
          <w:tcPr>
            <w:tcW w:w="1725" w:type="dxa"/>
            <w:vAlign w:val="center"/>
          </w:tcPr>
          <w:p w:rsidR="009E6247" w:rsidRPr="00EF785B" w:rsidRDefault="009E6247" w:rsidP="009E6247">
            <w:pPr>
              <w:spacing w:before="60" w:after="60"/>
              <w:jc w:val="center"/>
              <w:rPr>
                <w:rFonts w:ascii="Arial" w:hAnsi="Arial" w:cs="Arial"/>
                <w:sz w:val="20"/>
                <w:szCs w:val="20"/>
              </w:rPr>
            </w:pPr>
            <w:r>
              <w:rPr>
                <w:rFonts w:ascii="Arial" w:hAnsi="Arial" w:cs="Arial"/>
                <w:sz w:val="20"/>
                <w:szCs w:val="20"/>
              </w:rPr>
              <w:t>3,967</w:t>
            </w:r>
          </w:p>
        </w:tc>
        <w:tc>
          <w:tcPr>
            <w:tcW w:w="2418" w:type="dxa"/>
            <w:vAlign w:val="center"/>
          </w:tcPr>
          <w:p w:rsidR="009E6247" w:rsidRPr="00EF785B" w:rsidRDefault="009E6247" w:rsidP="009E6247">
            <w:pPr>
              <w:spacing w:before="60" w:after="60"/>
              <w:jc w:val="center"/>
              <w:rPr>
                <w:rFonts w:ascii="Arial" w:hAnsi="Arial" w:cs="Arial"/>
                <w:sz w:val="20"/>
                <w:szCs w:val="20"/>
              </w:rPr>
            </w:pPr>
            <w:r>
              <w:rPr>
                <w:rFonts w:ascii="Arial" w:hAnsi="Arial" w:cs="Arial"/>
                <w:sz w:val="20"/>
                <w:szCs w:val="20"/>
              </w:rPr>
              <w:t>2.75%</w:t>
            </w:r>
          </w:p>
        </w:tc>
      </w:tr>
      <w:tr w:rsidR="009E6247" w:rsidRPr="00EF785B" w:rsidTr="00FA2C75">
        <w:tc>
          <w:tcPr>
            <w:tcW w:w="4219" w:type="dxa"/>
            <w:vAlign w:val="center"/>
          </w:tcPr>
          <w:p w:rsidR="009E6247" w:rsidRPr="00EF785B" w:rsidRDefault="009E6247" w:rsidP="009E6247">
            <w:pPr>
              <w:rPr>
                <w:rFonts w:ascii="Arial" w:hAnsi="Arial" w:cs="Arial"/>
                <w:sz w:val="20"/>
                <w:szCs w:val="20"/>
              </w:rPr>
            </w:pPr>
            <w:r>
              <w:rPr>
                <w:rFonts w:ascii="Arial" w:hAnsi="Arial" w:cs="Arial"/>
                <w:sz w:val="20"/>
                <w:szCs w:val="20"/>
              </w:rPr>
              <w:t>2,500,001 to 5,000,000 units</w:t>
            </w:r>
          </w:p>
        </w:tc>
        <w:tc>
          <w:tcPr>
            <w:tcW w:w="1843" w:type="dxa"/>
            <w:vAlign w:val="center"/>
          </w:tcPr>
          <w:p w:rsidR="009E6247" w:rsidRPr="00EF785B" w:rsidRDefault="009E6247" w:rsidP="009E6247">
            <w:pPr>
              <w:spacing w:before="60" w:after="60"/>
              <w:jc w:val="center"/>
              <w:rPr>
                <w:rFonts w:ascii="Arial" w:hAnsi="Arial" w:cs="Arial"/>
                <w:sz w:val="20"/>
                <w:szCs w:val="20"/>
              </w:rPr>
            </w:pPr>
            <w:r>
              <w:rPr>
                <w:rFonts w:ascii="Arial" w:hAnsi="Arial" w:cs="Arial"/>
                <w:sz w:val="20"/>
                <w:szCs w:val="20"/>
              </w:rPr>
              <w:t>6,173</w:t>
            </w:r>
          </w:p>
        </w:tc>
        <w:tc>
          <w:tcPr>
            <w:tcW w:w="3969" w:type="dxa"/>
            <w:vAlign w:val="center"/>
          </w:tcPr>
          <w:p w:rsidR="009E6247" w:rsidRPr="00EF785B" w:rsidRDefault="009E6247" w:rsidP="005706B2">
            <w:pPr>
              <w:spacing w:before="60" w:after="60"/>
              <w:rPr>
                <w:rFonts w:ascii="Arial" w:hAnsi="Arial" w:cs="Arial"/>
                <w:sz w:val="20"/>
                <w:szCs w:val="20"/>
              </w:rPr>
            </w:pPr>
            <w:r>
              <w:rPr>
                <w:rFonts w:ascii="Arial" w:hAnsi="Arial" w:cs="Arial"/>
                <w:sz w:val="20"/>
                <w:szCs w:val="20"/>
              </w:rPr>
              <w:t>2,500,001 to 5,000,000 units</w:t>
            </w:r>
          </w:p>
        </w:tc>
        <w:tc>
          <w:tcPr>
            <w:tcW w:w="1725" w:type="dxa"/>
            <w:vAlign w:val="center"/>
          </w:tcPr>
          <w:p w:rsidR="009E6247" w:rsidRPr="00EF785B" w:rsidRDefault="009E6247" w:rsidP="009E6247">
            <w:pPr>
              <w:spacing w:before="60" w:after="60"/>
              <w:jc w:val="center"/>
              <w:rPr>
                <w:rFonts w:ascii="Arial" w:hAnsi="Arial" w:cs="Arial"/>
                <w:sz w:val="20"/>
                <w:szCs w:val="20"/>
              </w:rPr>
            </w:pPr>
            <w:r>
              <w:rPr>
                <w:rFonts w:ascii="Arial" w:hAnsi="Arial" w:cs="Arial"/>
                <w:sz w:val="20"/>
                <w:szCs w:val="20"/>
              </w:rPr>
              <w:t>6,343</w:t>
            </w:r>
          </w:p>
        </w:tc>
        <w:tc>
          <w:tcPr>
            <w:tcW w:w="2418" w:type="dxa"/>
            <w:vAlign w:val="center"/>
          </w:tcPr>
          <w:p w:rsidR="009E6247" w:rsidRPr="00EF785B" w:rsidRDefault="009E6247" w:rsidP="009E6247">
            <w:pPr>
              <w:spacing w:before="60" w:after="60"/>
              <w:jc w:val="center"/>
              <w:rPr>
                <w:rFonts w:ascii="Arial" w:hAnsi="Arial" w:cs="Arial"/>
                <w:sz w:val="20"/>
                <w:szCs w:val="20"/>
              </w:rPr>
            </w:pPr>
            <w:r>
              <w:rPr>
                <w:rFonts w:ascii="Arial" w:hAnsi="Arial" w:cs="Arial"/>
                <w:sz w:val="20"/>
                <w:szCs w:val="20"/>
              </w:rPr>
              <w:t>2.75%</w:t>
            </w:r>
          </w:p>
        </w:tc>
      </w:tr>
      <w:tr w:rsidR="009E6247" w:rsidRPr="00EF785B" w:rsidTr="00FA2C75">
        <w:tc>
          <w:tcPr>
            <w:tcW w:w="4219" w:type="dxa"/>
            <w:vAlign w:val="center"/>
          </w:tcPr>
          <w:p w:rsidR="009E6247" w:rsidRDefault="009E6247" w:rsidP="009E6247">
            <w:pPr>
              <w:rPr>
                <w:rFonts w:ascii="Arial" w:hAnsi="Arial" w:cs="Arial"/>
                <w:sz w:val="20"/>
                <w:szCs w:val="20"/>
              </w:rPr>
            </w:pPr>
            <w:r>
              <w:rPr>
                <w:rFonts w:ascii="Arial" w:hAnsi="Arial" w:cs="Arial"/>
                <w:sz w:val="20"/>
                <w:szCs w:val="20"/>
              </w:rPr>
              <w:t>Over 5,000,000 units</w:t>
            </w:r>
          </w:p>
        </w:tc>
        <w:tc>
          <w:tcPr>
            <w:tcW w:w="1843" w:type="dxa"/>
            <w:vAlign w:val="center"/>
          </w:tcPr>
          <w:p w:rsidR="009E6247" w:rsidRDefault="009E6247" w:rsidP="009E6247">
            <w:pPr>
              <w:spacing w:before="60" w:after="60"/>
              <w:jc w:val="center"/>
              <w:rPr>
                <w:rFonts w:ascii="Arial" w:hAnsi="Arial" w:cs="Arial"/>
                <w:sz w:val="20"/>
                <w:szCs w:val="20"/>
              </w:rPr>
            </w:pPr>
            <w:r>
              <w:rPr>
                <w:rFonts w:ascii="Arial" w:hAnsi="Arial" w:cs="Arial"/>
                <w:sz w:val="20"/>
                <w:szCs w:val="20"/>
              </w:rPr>
              <w:t>11,118</w:t>
            </w:r>
          </w:p>
        </w:tc>
        <w:tc>
          <w:tcPr>
            <w:tcW w:w="3969" w:type="dxa"/>
            <w:vAlign w:val="center"/>
          </w:tcPr>
          <w:p w:rsidR="009E6247" w:rsidRDefault="009E6247" w:rsidP="005706B2">
            <w:pPr>
              <w:spacing w:before="60" w:after="60"/>
              <w:rPr>
                <w:rFonts w:ascii="Arial" w:hAnsi="Arial" w:cs="Arial"/>
                <w:sz w:val="20"/>
                <w:szCs w:val="20"/>
              </w:rPr>
            </w:pPr>
            <w:r>
              <w:rPr>
                <w:rFonts w:ascii="Arial" w:hAnsi="Arial" w:cs="Arial"/>
                <w:sz w:val="20"/>
                <w:szCs w:val="20"/>
              </w:rPr>
              <w:t>Over 5,000,000 units</w:t>
            </w:r>
          </w:p>
        </w:tc>
        <w:tc>
          <w:tcPr>
            <w:tcW w:w="1725" w:type="dxa"/>
            <w:vAlign w:val="center"/>
          </w:tcPr>
          <w:p w:rsidR="009E6247" w:rsidRDefault="009E6247" w:rsidP="009E6247">
            <w:pPr>
              <w:spacing w:before="60" w:after="60"/>
              <w:jc w:val="center"/>
              <w:rPr>
                <w:rFonts w:ascii="Arial" w:hAnsi="Arial" w:cs="Arial"/>
                <w:sz w:val="20"/>
                <w:szCs w:val="20"/>
              </w:rPr>
            </w:pPr>
            <w:r>
              <w:rPr>
                <w:rFonts w:ascii="Arial" w:hAnsi="Arial" w:cs="Arial"/>
                <w:sz w:val="20"/>
                <w:szCs w:val="20"/>
              </w:rPr>
              <w:t>11,424</w:t>
            </w:r>
          </w:p>
        </w:tc>
        <w:tc>
          <w:tcPr>
            <w:tcW w:w="2418" w:type="dxa"/>
            <w:vAlign w:val="center"/>
          </w:tcPr>
          <w:p w:rsidR="009E6247" w:rsidRDefault="009E6247" w:rsidP="009E6247">
            <w:pPr>
              <w:spacing w:before="60" w:after="60"/>
              <w:jc w:val="center"/>
              <w:rPr>
                <w:rFonts w:ascii="Arial" w:hAnsi="Arial" w:cs="Arial"/>
                <w:sz w:val="20"/>
                <w:szCs w:val="20"/>
              </w:rPr>
            </w:pPr>
            <w:r>
              <w:rPr>
                <w:rFonts w:ascii="Arial" w:hAnsi="Arial" w:cs="Arial"/>
                <w:sz w:val="20"/>
                <w:szCs w:val="20"/>
              </w:rPr>
              <w:t>2.75%</w:t>
            </w:r>
          </w:p>
        </w:tc>
      </w:tr>
    </w:tbl>
    <w:p w:rsidR="009E6247" w:rsidRDefault="009E6247" w:rsidP="00E30FAF">
      <w:pPr>
        <w:spacing w:after="0" w:line="240" w:lineRule="auto"/>
        <w:rPr>
          <w:rFonts w:ascii="Arial" w:hAnsi="Arial" w:cs="Arial"/>
          <w:b/>
          <w:sz w:val="20"/>
          <w:szCs w:val="20"/>
          <w:u w:val="single"/>
        </w:rPr>
      </w:pPr>
    </w:p>
    <w:p w:rsidR="004B3CA2" w:rsidRDefault="004B3CA2" w:rsidP="00E30FAF">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4219"/>
        <w:gridCol w:w="1843"/>
        <w:gridCol w:w="3969"/>
        <w:gridCol w:w="1725"/>
        <w:gridCol w:w="2418"/>
      </w:tblGrid>
      <w:tr w:rsidR="004B3CA2" w:rsidTr="009E63BE">
        <w:tc>
          <w:tcPr>
            <w:tcW w:w="4219" w:type="dxa"/>
            <w:shd w:val="clear" w:color="auto" w:fill="F2F2F2" w:themeFill="background1" w:themeFillShade="F2"/>
            <w:vAlign w:val="center"/>
          </w:tcPr>
          <w:p w:rsidR="004B3CA2" w:rsidRPr="00E87CBB" w:rsidRDefault="004B3CA2" w:rsidP="00FA2C75">
            <w:pPr>
              <w:spacing w:before="60" w:after="60"/>
              <w:rPr>
                <w:rFonts w:ascii="Arial" w:hAnsi="Arial" w:cs="Arial"/>
                <w:b/>
                <w:sz w:val="20"/>
                <w:szCs w:val="20"/>
              </w:rPr>
            </w:pPr>
            <w:r>
              <w:rPr>
                <w:rFonts w:ascii="Arial" w:hAnsi="Arial" w:cs="Arial"/>
                <w:b/>
                <w:sz w:val="20"/>
                <w:szCs w:val="20"/>
              </w:rPr>
              <w:t>Further Meat Processing Facilities</w:t>
            </w:r>
            <w:r w:rsidR="00B9681C">
              <w:rPr>
                <w:rFonts w:ascii="Arial" w:hAnsi="Arial" w:cs="Arial"/>
                <w:b/>
                <w:sz w:val="20"/>
                <w:szCs w:val="20"/>
              </w:rPr>
              <w:t xml:space="preserve"> </w:t>
            </w:r>
            <w:r w:rsidR="00B9681C" w:rsidRPr="00DC20C1">
              <w:rPr>
                <w:rStyle w:val="FootnoteReference"/>
                <w:rFonts w:ascii="Arial" w:hAnsi="Arial" w:cs="Arial"/>
                <w:color w:val="000000"/>
                <w:sz w:val="20"/>
                <w:szCs w:val="20"/>
              </w:rPr>
              <w:footnoteReference w:id="24"/>
            </w:r>
          </w:p>
        </w:tc>
        <w:tc>
          <w:tcPr>
            <w:tcW w:w="1843" w:type="dxa"/>
            <w:shd w:val="clear" w:color="auto" w:fill="F2F2F2" w:themeFill="background1" w:themeFillShade="F2"/>
            <w:vAlign w:val="center"/>
          </w:tcPr>
          <w:p w:rsidR="004B3CA2" w:rsidRPr="00EF785B" w:rsidRDefault="004B3CA2" w:rsidP="00FA2C75">
            <w:pPr>
              <w:spacing w:before="60" w:after="60"/>
              <w:jc w:val="center"/>
              <w:rPr>
                <w:rFonts w:ascii="Arial" w:hAnsi="Arial" w:cs="Arial"/>
                <w:b/>
                <w:sz w:val="20"/>
                <w:szCs w:val="20"/>
              </w:rPr>
            </w:pPr>
            <w:r w:rsidRPr="00EF785B">
              <w:rPr>
                <w:rFonts w:ascii="Arial" w:hAnsi="Arial" w:cs="Arial"/>
                <w:b/>
                <w:sz w:val="20"/>
                <w:szCs w:val="20"/>
              </w:rPr>
              <w:t>Current</w:t>
            </w:r>
          </w:p>
        </w:tc>
        <w:tc>
          <w:tcPr>
            <w:tcW w:w="8112" w:type="dxa"/>
            <w:gridSpan w:val="3"/>
            <w:shd w:val="clear" w:color="auto" w:fill="F2F2F2" w:themeFill="background1" w:themeFillShade="F2"/>
            <w:vAlign w:val="center"/>
          </w:tcPr>
          <w:p w:rsidR="004B3CA2" w:rsidRDefault="004B3CA2" w:rsidP="00FA2C75">
            <w:pPr>
              <w:spacing w:before="60" w:after="60"/>
              <w:jc w:val="center"/>
              <w:rPr>
                <w:rFonts w:ascii="Arial" w:hAnsi="Arial" w:cs="Arial"/>
                <w:b/>
                <w:sz w:val="20"/>
                <w:szCs w:val="20"/>
                <w:u w:val="single"/>
              </w:rPr>
            </w:pPr>
            <w:r w:rsidRPr="00EF785B">
              <w:rPr>
                <w:rFonts w:ascii="Arial" w:hAnsi="Arial" w:cs="Arial"/>
                <w:b/>
                <w:sz w:val="20"/>
                <w:szCs w:val="20"/>
              </w:rPr>
              <w:t>Proposed</w:t>
            </w:r>
          </w:p>
        </w:tc>
      </w:tr>
      <w:tr w:rsidR="004B3CA2" w:rsidRPr="00EF785B" w:rsidTr="00FA2C75">
        <w:tc>
          <w:tcPr>
            <w:tcW w:w="4219" w:type="dxa"/>
            <w:vAlign w:val="center"/>
          </w:tcPr>
          <w:p w:rsidR="004B3CA2" w:rsidRPr="00EF785B" w:rsidRDefault="004B3CA2" w:rsidP="00FA2C75">
            <w:pPr>
              <w:spacing w:before="60" w:after="60"/>
              <w:rPr>
                <w:rFonts w:ascii="Arial" w:hAnsi="Arial" w:cs="Arial"/>
                <w:b/>
                <w:sz w:val="20"/>
                <w:szCs w:val="20"/>
              </w:rPr>
            </w:pPr>
            <w:r>
              <w:rPr>
                <w:rFonts w:ascii="Arial" w:hAnsi="Arial" w:cs="Arial"/>
                <w:b/>
                <w:sz w:val="20"/>
                <w:szCs w:val="20"/>
              </w:rPr>
              <w:t xml:space="preserve">Annual </w:t>
            </w:r>
            <w:r w:rsidRPr="00EF785B">
              <w:rPr>
                <w:rFonts w:ascii="Arial" w:hAnsi="Arial" w:cs="Arial"/>
                <w:b/>
                <w:sz w:val="20"/>
                <w:szCs w:val="20"/>
              </w:rPr>
              <w:t>Throughput</w:t>
            </w:r>
          </w:p>
        </w:tc>
        <w:tc>
          <w:tcPr>
            <w:tcW w:w="1843" w:type="dxa"/>
            <w:vAlign w:val="center"/>
          </w:tcPr>
          <w:p w:rsidR="004B3CA2" w:rsidRDefault="004B3CA2" w:rsidP="00FA2C75">
            <w:pPr>
              <w:spacing w:before="60" w:after="60"/>
              <w:jc w:val="center"/>
              <w:rPr>
                <w:rFonts w:ascii="Arial" w:hAnsi="Arial" w:cs="Arial"/>
                <w:b/>
                <w:sz w:val="20"/>
                <w:szCs w:val="20"/>
              </w:rPr>
            </w:pPr>
            <w:r>
              <w:rPr>
                <w:rFonts w:ascii="Arial" w:hAnsi="Arial" w:cs="Arial"/>
                <w:b/>
                <w:sz w:val="20"/>
                <w:szCs w:val="20"/>
              </w:rPr>
              <w:t>2015-16</w:t>
            </w:r>
          </w:p>
          <w:p w:rsidR="004B3CA2" w:rsidRPr="00EF785B" w:rsidRDefault="004B3CA2" w:rsidP="00FA2C75">
            <w:pPr>
              <w:spacing w:before="60" w:after="60"/>
              <w:jc w:val="center"/>
              <w:rPr>
                <w:rFonts w:ascii="Arial" w:hAnsi="Arial" w:cs="Arial"/>
                <w:b/>
                <w:sz w:val="20"/>
                <w:szCs w:val="20"/>
              </w:rPr>
            </w:pPr>
            <w:r>
              <w:rPr>
                <w:rFonts w:ascii="Arial" w:hAnsi="Arial" w:cs="Arial"/>
                <w:b/>
                <w:sz w:val="20"/>
                <w:szCs w:val="20"/>
              </w:rPr>
              <w:t>$</w:t>
            </w:r>
          </w:p>
        </w:tc>
        <w:tc>
          <w:tcPr>
            <w:tcW w:w="3969" w:type="dxa"/>
            <w:vAlign w:val="center"/>
          </w:tcPr>
          <w:p w:rsidR="004B3CA2" w:rsidRPr="00EF785B" w:rsidRDefault="004B3CA2" w:rsidP="00FA2C75">
            <w:pPr>
              <w:spacing w:before="60" w:after="60"/>
              <w:jc w:val="center"/>
              <w:rPr>
                <w:rFonts w:ascii="Arial" w:hAnsi="Arial" w:cs="Arial"/>
                <w:b/>
                <w:sz w:val="20"/>
                <w:szCs w:val="20"/>
              </w:rPr>
            </w:pPr>
            <w:r>
              <w:rPr>
                <w:rFonts w:ascii="Arial" w:hAnsi="Arial" w:cs="Arial"/>
                <w:b/>
                <w:sz w:val="20"/>
                <w:szCs w:val="20"/>
              </w:rPr>
              <w:t>Annual Throughput</w:t>
            </w:r>
          </w:p>
        </w:tc>
        <w:tc>
          <w:tcPr>
            <w:tcW w:w="1725" w:type="dxa"/>
            <w:vAlign w:val="center"/>
          </w:tcPr>
          <w:p w:rsidR="004B3CA2" w:rsidRDefault="004B3CA2" w:rsidP="00FA2C75">
            <w:pPr>
              <w:spacing w:before="60" w:after="60"/>
              <w:jc w:val="center"/>
              <w:rPr>
                <w:rFonts w:ascii="Arial" w:hAnsi="Arial" w:cs="Arial"/>
                <w:b/>
                <w:sz w:val="20"/>
                <w:szCs w:val="20"/>
              </w:rPr>
            </w:pPr>
            <w:r w:rsidRPr="00EF785B">
              <w:rPr>
                <w:rFonts w:ascii="Arial" w:hAnsi="Arial" w:cs="Arial"/>
                <w:b/>
                <w:sz w:val="20"/>
                <w:szCs w:val="20"/>
              </w:rPr>
              <w:t>2016-17</w:t>
            </w:r>
          </w:p>
          <w:p w:rsidR="004B3CA2" w:rsidRPr="00EF785B" w:rsidRDefault="004B3CA2" w:rsidP="00FA2C75">
            <w:pPr>
              <w:spacing w:before="60" w:after="60"/>
              <w:jc w:val="center"/>
              <w:rPr>
                <w:rFonts w:ascii="Arial" w:hAnsi="Arial" w:cs="Arial"/>
                <w:b/>
                <w:sz w:val="20"/>
                <w:szCs w:val="20"/>
              </w:rPr>
            </w:pPr>
            <w:r>
              <w:rPr>
                <w:rFonts w:ascii="Arial" w:hAnsi="Arial" w:cs="Arial"/>
                <w:b/>
                <w:sz w:val="20"/>
                <w:szCs w:val="20"/>
              </w:rPr>
              <w:t>$</w:t>
            </w:r>
          </w:p>
        </w:tc>
        <w:tc>
          <w:tcPr>
            <w:tcW w:w="2418" w:type="dxa"/>
            <w:vAlign w:val="center"/>
          </w:tcPr>
          <w:p w:rsidR="004B3CA2" w:rsidRDefault="004B3CA2" w:rsidP="00FA2C75">
            <w:pPr>
              <w:spacing w:before="60" w:after="60"/>
              <w:jc w:val="center"/>
              <w:rPr>
                <w:rFonts w:ascii="Arial" w:hAnsi="Arial" w:cs="Arial"/>
                <w:b/>
                <w:sz w:val="20"/>
                <w:szCs w:val="20"/>
              </w:rPr>
            </w:pPr>
            <w:r>
              <w:rPr>
                <w:rFonts w:ascii="Arial" w:hAnsi="Arial" w:cs="Arial"/>
                <w:b/>
                <w:sz w:val="20"/>
                <w:szCs w:val="20"/>
              </w:rPr>
              <w:t>Increase</w:t>
            </w:r>
          </w:p>
          <w:p w:rsidR="004B3CA2" w:rsidRPr="00EF785B" w:rsidRDefault="004B3CA2" w:rsidP="00FA2C75">
            <w:pPr>
              <w:spacing w:before="60" w:after="60"/>
              <w:jc w:val="center"/>
              <w:rPr>
                <w:rFonts w:ascii="Arial" w:hAnsi="Arial" w:cs="Arial"/>
                <w:b/>
                <w:sz w:val="20"/>
                <w:szCs w:val="20"/>
              </w:rPr>
            </w:pPr>
            <w:r>
              <w:rPr>
                <w:rFonts w:ascii="Arial" w:hAnsi="Arial" w:cs="Arial"/>
                <w:b/>
                <w:sz w:val="20"/>
                <w:szCs w:val="20"/>
              </w:rPr>
              <w:t>%</w:t>
            </w:r>
          </w:p>
        </w:tc>
      </w:tr>
      <w:tr w:rsidR="005706B2" w:rsidRPr="00EF785B" w:rsidTr="00FA2C75">
        <w:tc>
          <w:tcPr>
            <w:tcW w:w="4219" w:type="dxa"/>
            <w:vAlign w:val="center"/>
          </w:tcPr>
          <w:p w:rsidR="005706B2" w:rsidRPr="00EF785B" w:rsidRDefault="005706B2" w:rsidP="005706B2">
            <w:pPr>
              <w:rPr>
                <w:rFonts w:ascii="Arial" w:hAnsi="Arial" w:cs="Arial"/>
                <w:sz w:val="20"/>
                <w:szCs w:val="20"/>
              </w:rPr>
            </w:pPr>
            <w:r>
              <w:rPr>
                <w:rFonts w:ascii="Arial" w:hAnsi="Arial" w:cs="Arial"/>
                <w:sz w:val="20"/>
                <w:szCs w:val="20"/>
              </w:rPr>
              <w:t>Up to 250 tonnes</w:t>
            </w:r>
          </w:p>
        </w:tc>
        <w:tc>
          <w:tcPr>
            <w:tcW w:w="1843" w:type="dxa"/>
            <w:vAlign w:val="center"/>
          </w:tcPr>
          <w:p w:rsidR="005706B2" w:rsidRPr="00EF785B" w:rsidRDefault="005706B2" w:rsidP="005706B2">
            <w:pPr>
              <w:spacing w:before="60" w:after="60"/>
              <w:jc w:val="center"/>
              <w:rPr>
                <w:rFonts w:ascii="Arial" w:hAnsi="Arial" w:cs="Arial"/>
                <w:sz w:val="20"/>
                <w:szCs w:val="20"/>
              </w:rPr>
            </w:pPr>
            <w:r>
              <w:rPr>
                <w:rFonts w:ascii="Arial" w:hAnsi="Arial" w:cs="Arial"/>
                <w:sz w:val="20"/>
                <w:szCs w:val="20"/>
              </w:rPr>
              <w:t>624</w:t>
            </w:r>
          </w:p>
        </w:tc>
        <w:tc>
          <w:tcPr>
            <w:tcW w:w="3969" w:type="dxa"/>
            <w:vAlign w:val="center"/>
          </w:tcPr>
          <w:p w:rsidR="005706B2" w:rsidRPr="00EF785B" w:rsidRDefault="005706B2" w:rsidP="005706B2">
            <w:pPr>
              <w:rPr>
                <w:rFonts w:ascii="Arial" w:hAnsi="Arial" w:cs="Arial"/>
                <w:sz w:val="20"/>
                <w:szCs w:val="20"/>
              </w:rPr>
            </w:pPr>
            <w:r>
              <w:rPr>
                <w:rFonts w:ascii="Arial" w:hAnsi="Arial" w:cs="Arial"/>
                <w:sz w:val="20"/>
                <w:szCs w:val="20"/>
              </w:rPr>
              <w:t>Up to 250 tonnes</w:t>
            </w:r>
          </w:p>
        </w:tc>
        <w:tc>
          <w:tcPr>
            <w:tcW w:w="1725" w:type="dxa"/>
            <w:vAlign w:val="center"/>
          </w:tcPr>
          <w:p w:rsidR="005706B2" w:rsidRPr="00EF785B" w:rsidRDefault="00B9681C" w:rsidP="005706B2">
            <w:pPr>
              <w:spacing w:before="60" w:after="60"/>
              <w:jc w:val="center"/>
              <w:rPr>
                <w:rFonts w:ascii="Arial" w:hAnsi="Arial" w:cs="Arial"/>
                <w:sz w:val="20"/>
                <w:szCs w:val="20"/>
              </w:rPr>
            </w:pPr>
            <w:r>
              <w:rPr>
                <w:rFonts w:ascii="Arial" w:hAnsi="Arial" w:cs="Arial"/>
                <w:sz w:val="20"/>
                <w:szCs w:val="20"/>
              </w:rPr>
              <w:t>641</w:t>
            </w:r>
          </w:p>
        </w:tc>
        <w:tc>
          <w:tcPr>
            <w:tcW w:w="2418" w:type="dxa"/>
            <w:vAlign w:val="center"/>
          </w:tcPr>
          <w:p w:rsidR="005706B2" w:rsidRPr="00EF785B" w:rsidRDefault="00B9681C" w:rsidP="005706B2">
            <w:pPr>
              <w:spacing w:before="60" w:after="60"/>
              <w:jc w:val="center"/>
              <w:rPr>
                <w:rFonts w:ascii="Arial" w:hAnsi="Arial" w:cs="Arial"/>
                <w:sz w:val="20"/>
                <w:szCs w:val="20"/>
              </w:rPr>
            </w:pPr>
            <w:r>
              <w:rPr>
                <w:rFonts w:ascii="Arial" w:hAnsi="Arial" w:cs="Arial"/>
                <w:sz w:val="20"/>
                <w:szCs w:val="20"/>
              </w:rPr>
              <w:t>2.75%</w:t>
            </w:r>
          </w:p>
        </w:tc>
      </w:tr>
      <w:tr w:rsidR="005706B2" w:rsidRPr="00EF785B" w:rsidTr="00FA2C75">
        <w:tc>
          <w:tcPr>
            <w:tcW w:w="4219" w:type="dxa"/>
            <w:vAlign w:val="center"/>
          </w:tcPr>
          <w:p w:rsidR="005706B2" w:rsidRPr="00EF785B" w:rsidRDefault="005706B2" w:rsidP="005706B2">
            <w:pPr>
              <w:rPr>
                <w:rFonts w:ascii="Arial" w:hAnsi="Arial" w:cs="Arial"/>
                <w:sz w:val="20"/>
                <w:szCs w:val="20"/>
              </w:rPr>
            </w:pPr>
            <w:r>
              <w:rPr>
                <w:rFonts w:ascii="Arial" w:hAnsi="Arial" w:cs="Arial"/>
                <w:sz w:val="20"/>
                <w:szCs w:val="20"/>
              </w:rPr>
              <w:t>251 to 500 tonnes</w:t>
            </w:r>
          </w:p>
        </w:tc>
        <w:tc>
          <w:tcPr>
            <w:tcW w:w="1843" w:type="dxa"/>
            <w:vAlign w:val="center"/>
          </w:tcPr>
          <w:p w:rsidR="005706B2" w:rsidRPr="00EF785B" w:rsidRDefault="005706B2" w:rsidP="005706B2">
            <w:pPr>
              <w:spacing w:before="60" w:after="60"/>
              <w:jc w:val="center"/>
              <w:rPr>
                <w:rFonts w:ascii="Arial" w:hAnsi="Arial" w:cs="Arial"/>
                <w:sz w:val="20"/>
                <w:szCs w:val="20"/>
              </w:rPr>
            </w:pPr>
            <w:r>
              <w:rPr>
                <w:rFonts w:ascii="Arial" w:hAnsi="Arial" w:cs="Arial"/>
                <w:sz w:val="20"/>
                <w:szCs w:val="20"/>
              </w:rPr>
              <w:t>722</w:t>
            </w:r>
          </w:p>
        </w:tc>
        <w:tc>
          <w:tcPr>
            <w:tcW w:w="3969" w:type="dxa"/>
            <w:vAlign w:val="center"/>
          </w:tcPr>
          <w:p w:rsidR="005706B2" w:rsidRPr="00EF785B" w:rsidRDefault="005706B2" w:rsidP="005706B2">
            <w:pPr>
              <w:rPr>
                <w:rFonts w:ascii="Arial" w:hAnsi="Arial" w:cs="Arial"/>
                <w:sz w:val="20"/>
                <w:szCs w:val="20"/>
              </w:rPr>
            </w:pPr>
            <w:r>
              <w:rPr>
                <w:rFonts w:ascii="Arial" w:hAnsi="Arial" w:cs="Arial"/>
                <w:sz w:val="20"/>
                <w:szCs w:val="20"/>
              </w:rPr>
              <w:t>251 to 500 tonnes</w:t>
            </w:r>
          </w:p>
        </w:tc>
        <w:tc>
          <w:tcPr>
            <w:tcW w:w="1725" w:type="dxa"/>
            <w:vAlign w:val="center"/>
          </w:tcPr>
          <w:p w:rsidR="005706B2" w:rsidRPr="00EF785B" w:rsidRDefault="00B9681C" w:rsidP="005706B2">
            <w:pPr>
              <w:spacing w:before="60" w:after="60"/>
              <w:jc w:val="center"/>
              <w:rPr>
                <w:rFonts w:ascii="Arial" w:hAnsi="Arial" w:cs="Arial"/>
                <w:sz w:val="20"/>
                <w:szCs w:val="20"/>
              </w:rPr>
            </w:pPr>
            <w:r>
              <w:rPr>
                <w:rFonts w:ascii="Arial" w:hAnsi="Arial" w:cs="Arial"/>
                <w:sz w:val="20"/>
                <w:szCs w:val="20"/>
              </w:rPr>
              <w:t>742</w:t>
            </w:r>
          </w:p>
        </w:tc>
        <w:tc>
          <w:tcPr>
            <w:tcW w:w="2418" w:type="dxa"/>
            <w:vAlign w:val="center"/>
          </w:tcPr>
          <w:p w:rsidR="005706B2" w:rsidRPr="00EF785B" w:rsidRDefault="00B9681C" w:rsidP="005706B2">
            <w:pPr>
              <w:spacing w:before="60" w:after="60"/>
              <w:jc w:val="center"/>
              <w:rPr>
                <w:rFonts w:ascii="Arial" w:hAnsi="Arial" w:cs="Arial"/>
                <w:sz w:val="20"/>
                <w:szCs w:val="20"/>
              </w:rPr>
            </w:pPr>
            <w:r>
              <w:rPr>
                <w:rFonts w:ascii="Arial" w:hAnsi="Arial" w:cs="Arial"/>
                <w:sz w:val="20"/>
                <w:szCs w:val="20"/>
              </w:rPr>
              <w:t>2.75%</w:t>
            </w:r>
          </w:p>
        </w:tc>
      </w:tr>
      <w:tr w:rsidR="00B9681C" w:rsidRPr="00EF785B" w:rsidTr="00FA2C75">
        <w:tc>
          <w:tcPr>
            <w:tcW w:w="4219" w:type="dxa"/>
            <w:vAlign w:val="center"/>
          </w:tcPr>
          <w:p w:rsidR="00B9681C" w:rsidRPr="00EF785B" w:rsidRDefault="00B9681C" w:rsidP="005706B2">
            <w:pPr>
              <w:rPr>
                <w:rFonts w:ascii="Arial" w:hAnsi="Arial" w:cs="Arial"/>
                <w:sz w:val="20"/>
                <w:szCs w:val="20"/>
              </w:rPr>
            </w:pPr>
            <w:r>
              <w:rPr>
                <w:rFonts w:ascii="Arial" w:hAnsi="Arial" w:cs="Arial"/>
                <w:sz w:val="20"/>
                <w:szCs w:val="20"/>
              </w:rPr>
              <w:t>501 to 1,500 tonnes</w:t>
            </w:r>
          </w:p>
        </w:tc>
        <w:tc>
          <w:tcPr>
            <w:tcW w:w="1843" w:type="dxa"/>
            <w:vAlign w:val="center"/>
          </w:tcPr>
          <w:p w:rsidR="00B9681C" w:rsidRPr="00EF785B" w:rsidRDefault="00B9681C" w:rsidP="005706B2">
            <w:pPr>
              <w:spacing w:before="60" w:after="60"/>
              <w:jc w:val="center"/>
              <w:rPr>
                <w:rFonts w:ascii="Arial" w:hAnsi="Arial" w:cs="Arial"/>
                <w:sz w:val="20"/>
                <w:szCs w:val="20"/>
              </w:rPr>
            </w:pPr>
            <w:r>
              <w:rPr>
                <w:rFonts w:ascii="Arial" w:hAnsi="Arial" w:cs="Arial"/>
                <w:sz w:val="20"/>
                <w:szCs w:val="20"/>
              </w:rPr>
              <w:t>1,085</w:t>
            </w:r>
          </w:p>
        </w:tc>
        <w:tc>
          <w:tcPr>
            <w:tcW w:w="3969" w:type="dxa"/>
            <w:vMerge w:val="restart"/>
            <w:vAlign w:val="center"/>
          </w:tcPr>
          <w:p w:rsidR="00B9681C" w:rsidRPr="00EF785B" w:rsidRDefault="00B9681C" w:rsidP="00B9681C">
            <w:pPr>
              <w:spacing w:before="60" w:after="60"/>
              <w:rPr>
                <w:rFonts w:ascii="Arial" w:hAnsi="Arial" w:cs="Arial"/>
                <w:sz w:val="20"/>
                <w:szCs w:val="20"/>
              </w:rPr>
            </w:pPr>
            <w:r>
              <w:rPr>
                <w:rFonts w:ascii="Arial" w:hAnsi="Arial" w:cs="Arial"/>
                <w:sz w:val="20"/>
                <w:szCs w:val="20"/>
              </w:rPr>
              <w:t>501 to 2,500 tonnes</w:t>
            </w:r>
          </w:p>
        </w:tc>
        <w:tc>
          <w:tcPr>
            <w:tcW w:w="1725" w:type="dxa"/>
            <w:vMerge w:val="restart"/>
            <w:vAlign w:val="center"/>
          </w:tcPr>
          <w:p w:rsidR="00B9681C" w:rsidRPr="00EF785B" w:rsidRDefault="00B9681C" w:rsidP="005706B2">
            <w:pPr>
              <w:spacing w:before="60" w:after="60"/>
              <w:jc w:val="center"/>
              <w:rPr>
                <w:rFonts w:ascii="Arial" w:hAnsi="Arial" w:cs="Arial"/>
                <w:sz w:val="20"/>
                <w:szCs w:val="20"/>
              </w:rPr>
            </w:pPr>
            <w:r>
              <w:rPr>
                <w:rFonts w:ascii="Arial" w:hAnsi="Arial" w:cs="Arial"/>
                <w:sz w:val="20"/>
                <w:szCs w:val="20"/>
              </w:rPr>
              <w:t>1,488</w:t>
            </w:r>
          </w:p>
        </w:tc>
        <w:tc>
          <w:tcPr>
            <w:tcW w:w="2418" w:type="dxa"/>
            <w:vAlign w:val="center"/>
          </w:tcPr>
          <w:p w:rsidR="00B9681C" w:rsidRPr="00EF785B" w:rsidRDefault="00B9681C" w:rsidP="005706B2">
            <w:pPr>
              <w:spacing w:before="60" w:after="60"/>
              <w:jc w:val="center"/>
              <w:rPr>
                <w:rFonts w:ascii="Arial" w:hAnsi="Arial" w:cs="Arial"/>
                <w:sz w:val="20"/>
                <w:szCs w:val="20"/>
              </w:rPr>
            </w:pPr>
            <w:r>
              <w:rPr>
                <w:rFonts w:ascii="Arial" w:hAnsi="Arial" w:cs="Arial"/>
                <w:sz w:val="20"/>
                <w:szCs w:val="20"/>
              </w:rPr>
              <w:t>37.1%</w:t>
            </w:r>
          </w:p>
        </w:tc>
      </w:tr>
      <w:tr w:rsidR="00B9681C" w:rsidRPr="00EF785B" w:rsidTr="00FA2C75">
        <w:tc>
          <w:tcPr>
            <w:tcW w:w="4219" w:type="dxa"/>
            <w:vAlign w:val="center"/>
          </w:tcPr>
          <w:p w:rsidR="00B9681C" w:rsidRPr="00EF785B" w:rsidRDefault="00B9681C" w:rsidP="005706B2">
            <w:pPr>
              <w:rPr>
                <w:rFonts w:ascii="Arial" w:hAnsi="Arial" w:cs="Arial"/>
                <w:sz w:val="20"/>
                <w:szCs w:val="20"/>
              </w:rPr>
            </w:pPr>
            <w:r>
              <w:rPr>
                <w:rFonts w:ascii="Arial" w:hAnsi="Arial" w:cs="Arial"/>
                <w:sz w:val="20"/>
                <w:szCs w:val="20"/>
              </w:rPr>
              <w:t>1,501 to 2,500 tonnes</w:t>
            </w:r>
          </w:p>
        </w:tc>
        <w:tc>
          <w:tcPr>
            <w:tcW w:w="1843" w:type="dxa"/>
            <w:vAlign w:val="center"/>
          </w:tcPr>
          <w:p w:rsidR="00B9681C" w:rsidRPr="00EF785B" w:rsidRDefault="00B9681C" w:rsidP="005706B2">
            <w:pPr>
              <w:spacing w:before="60" w:after="60"/>
              <w:jc w:val="center"/>
              <w:rPr>
                <w:rFonts w:ascii="Arial" w:hAnsi="Arial" w:cs="Arial"/>
                <w:sz w:val="20"/>
                <w:szCs w:val="20"/>
              </w:rPr>
            </w:pPr>
            <w:r>
              <w:rPr>
                <w:rFonts w:ascii="Arial" w:hAnsi="Arial" w:cs="Arial"/>
                <w:sz w:val="20"/>
                <w:szCs w:val="20"/>
              </w:rPr>
              <w:t>1,448</w:t>
            </w:r>
          </w:p>
        </w:tc>
        <w:tc>
          <w:tcPr>
            <w:tcW w:w="3969" w:type="dxa"/>
            <w:vMerge/>
            <w:vAlign w:val="center"/>
          </w:tcPr>
          <w:p w:rsidR="00B9681C" w:rsidRPr="00EF785B" w:rsidRDefault="00B9681C" w:rsidP="00B9681C">
            <w:pPr>
              <w:spacing w:before="60" w:after="60"/>
              <w:rPr>
                <w:rFonts w:ascii="Arial" w:hAnsi="Arial" w:cs="Arial"/>
                <w:sz w:val="20"/>
                <w:szCs w:val="20"/>
              </w:rPr>
            </w:pPr>
          </w:p>
        </w:tc>
        <w:tc>
          <w:tcPr>
            <w:tcW w:w="1725" w:type="dxa"/>
            <w:vMerge/>
            <w:vAlign w:val="center"/>
          </w:tcPr>
          <w:p w:rsidR="00B9681C" w:rsidRPr="00EF785B" w:rsidRDefault="00B9681C" w:rsidP="005706B2">
            <w:pPr>
              <w:spacing w:before="60" w:after="60"/>
              <w:jc w:val="center"/>
              <w:rPr>
                <w:rFonts w:ascii="Arial" w:hAnsi="Arial" w:cs="Arial"/>
                <w:sz w:val="20"/>
                <w:szCs w:val="20"/>
              </w:rPr>
            </w:pPr>
          </w:p>
        </w:tc>
        <w:tc>
          <w:tcPr>
            <w:tcW w:w="2418" w:type="dxa"/>
            <w:vAlign w:val="center"/>
          </w:tcPr>
          <w:p w:rsidR="00B9681C" w:rsidRPr="00EF785B" w:rsidRDefault="00B9681C" w:rsidP="005706B2">
            <w:pPr>
              <w:spacing w:before="60" w:after="60"/>
              <w:jc w:val="center"/>
              <w:rPr>
                <w:rFonts w:ascii="Arial" w:hAnsi="Arial" w:cs="Arial"/>
                <w:sz w:val="20"/>
                <w:szCs w:val="20"/>
              </w:rPr>
            </w:pPr>
            <w:r>
              <w:rPr>
                <w:rFonts w:ascii="Arial" w:hAnsi="Arial" w:cs="Arial"/>
                <w:sz w:val="20"/>
                <w:szCs w:val="20"/>
              </w:rPr>
              <w:t>2.75%</w:t>
            </w:r>
          </w:p>
        </w:tc>
      </w:tr>
      <w:tr w:rsidR="00B9681C" w:rsidRPr="00EF785B" w:rsidTr="00FA2C75">
        <w:tc>
          <w:tcPr>
            <w:tcW w:w="4219" w:type="dxa"/>
            <w:vAlign w:val="center"/>
          </w:tcPr>
          <w:p w:rsidR="00B9681C" w:rsidRPr="00EF785B" w:rsidRDefault="00B9681C" w:rsidP="00B9681C">
            <w:pPr>
              <w:rPr>
                <w:rFonts w:ascii="Arial" w:hAnsi="Arial" w:cs="Arial"/>
                <w:sz w:val="20"/>
                <w:szCs w:val="20"/>
              </w:rPr>
            </w:pPr>
            <w:r>
              <w:rPr>
                <w:rFonts w:ascii="Arial" w:hAnsi="Arial" w:cs="Arial"/>
                <w:sz w:val="20"/>
                <w:szCs w:val="20"/>
              </w:rPr>
              <w:t>2,501 to 5,000 tonnes</w:t>
            </w:r>
          </w:p>
        </w:tc>
        <w:tc>
          <w:tcPr>
            <w:tcW w:w="1843" w:type="dxa"/>
            <w:vAlign w:val="center"/>
          </w:tcPr>
          <w:p w:rsidR="00B9681C" w:rsidRPr="00EF785B" w:rsidRDefault="00B9681C" w:rsidP="00B9681C">
            <w:pPr>
              <w:spacing w:before="60" w:after="60"/>
              <w:jc w:val="center"/>
              <w:rPr>
                <w:rFonts w:ascii="Arial" w:hAnsi="Arial" w:cs="Arial"/>
                <w:sz w:val="20"/>
                <w:szCs w:val="20"/>
              </w:rPr>
            </w:pPr>
            <w:r>
              <w:rPr>
                <w:rFonts w:ascii="Arial" w:hAnsi="Arial" w:cs="Arial"/>
                <w:sz w:val="20"/>
                <w:szCs w:val="20"/>
              </w:rPr>
              <w:t>1,814</w:t>
            </w:r>
          </w:p>
        </w:tc>
        <w:tc>
          <w:tcPr>
            <w:tcW w:w="3969" w:type="dxa"/>
            <w:vAlign w:val="center"/>
          </w:tcPr>
          <w:p w:rsidR="00B9681C" w:rsidRPr="00EF785B" w:rsidRDefault="00B9681C" w:rsidP="00B9681C">
            <w:pPr>
              <w:rPr>
                <w:rFonts w:ascii="Arial" w:hAnsi="Arial" w:cs="Arial"/>
                <w:sz w:val="20"/>
                <w:szCs w:val="20"/>
              </w:rPr>
            </w:pPr>
            <w:r>
              <w:rPr>
                <w:rFonts w:ascii="Arial" w:hAnsi="Arial" w:cs="Arial"/>
                <w:sz w:val="20"/>
                <w:szCs w:val="20"/>
              </w:rPr>
              <w:t>2,501 to 5,000 tonnes</w:t>
            </w:r>
          </w:p>
        </w:tc>
        <w:tc>
          <w:tcPr>
            <w:tcW w:w="1725" w:type="dxa"/>
            <w:vAlign w:val="center"/>
          </w:tcPr>
          <w:p w:rsidR="00B9681C" w:rsidRPr="00EF785B" w:rsidRDefault="00B9681C" w:rsidP="00B9681C">
            <w:pPr>
              <w:spacing w:before="60" w:after="60"/>
              <w:jc w:val="center"/>
              <w:rPr>
                <w:rFonts w:ascii="Arial" w:hAnsi="Arial" w:cs="Arial"/>
                <w:sz w:val="20"/>
                <w:szCs w:val="20"/>
              </w:rPr>
            </w:pPr>
            <w:r>
              <w:rPr>
                <w:rFonts w:ascii="Arial" w:hAnsi="Arial" w:cs="Arial"/>
                <w:sz w:val="20"/>
                <w:szCs w:val="20"/>
              </w:rPr>
              <w:t>2,235</w:t>
            </w:r>
          </w:p>
        </w:tc>
        <w:tc>
          <w:tcPr>
            <w:tcW w:w="2418" w:type="dxa"/>
            <w:vAlign w:val="center"/>
          </w:tcPr>
          <w:p w:rsidR="00B9681C" w:rsidRPr="00EF785B" w:rsidRDefault="00B9681C" w:rsidP="00B9681C">
            <w:pPr>
              <w:spacing w:before="60" w:after="60"/>
              <w:jc w:val="center"/>
              <w:rPr>
                <w:rFonts w:ascii="Arial" w:hAnsi="Arial" w:cs="Arial"/>
                <w:sz w:val="20"/>
                <w:szCs w:val="20"/>
              </w:rPr>
            </w:pPr>
            <w:r>
              <w:rPr>
                <w:rFonts w:ascii="Arial" w:hAnsi="Arial" w:cs="Arial"/>
                <w:sz w:val="20"/>
                <w:szCs w:val="20"/>
              </w:rPr>
              <w:t>23.2%</w:t>
            </w:r>
          </w:p>
        </w:tc>
      </w:tr>
      <w:tr w:rsidR="00B9681C" w:rsidRPr="00EF785B" w:rsidTr="00FA2C75">
        <w:tc>
          <w:tcPr>
            <w:tcW w:w="4219" w:type="dxa"/>
            <w:vAlign w:val="center"/>
          </w:tcPr>
          <w:p w:rsidR="00B9681C" w:rsidRPr="00EF785B" w:rsidRDefault="00B9681C" w:rsidP="00B9681C">
            <w:pPr>
              <w:rPr>
                <w:rFonts w:ascii="Arial" w:hAnsi="Arial" w:cs="Arial"/>
                <w:sz w:val="20"/>
                <w:szCs w:val="20"/>
              </w:rPr>
            </w:pPr>
            <w:r>
              <w:rPr>
                <w:rFonts w:ascii="Arial" w:hAnsi="Arial" w:cs="Arial"/>
                <w:sz w:val="20"/>
                <w:szCs w:val="20"/>
              </w:rPr>
              <w:t>Over 5,001 tonnes</w:t>
            </w:r>
          </w:p>
        </w:tc>
        <w:tc>
          <w:tcPr>
            <w:tcW w:w="1843" w:type="dxa"/>
            <w:vAlign w:val="center"/>
          </w:tcPr>
          <w:p w:rsidR="00B9681C" w:rsidRPr="00EF785B" w:rsidRDefault="00B9681C" w:rsidP="00B9681C">
            <w:pPr>
              <w:spacing w:before="60" w:after="60"/>
              <w:jc w:val="center"/>
              <w:rPr>
                <w:rFonts w:ascii="Arial" w:hAnsi="Arial" w:cs="Arial"/>
                <w:sz w:val="20"/>
                <w:szCs w:val="20"/>
              </w:rPr>
            </w:pPr>
            <w:r>
              <w:rPr>
                <w:rFonts w:ascii="Arial" w:hAnsi="Arial" w:cs="Arial"/>
                <w:sz w:val="20"/>
                <w:szCs w:val="20"/>
              </w:rPr>
              <w:t>2,175</w:t>
            </w:r>
          </w:p>
        </w:tc>
        <w:tc>
          <w:tcPr>
            <w:tcW w:w="3969" w:type="dxa"/>
            <w:vAlign w:val="center"/>
          </w:tcPr>
          <w:p w:rsidR="00B9681C" w:rsidRPr="00EF785B" w:rsidRDefault="00B9681C" w:rsidP="00B9681C">
            <w:pPr>
              <w:rPr>
                <w:rFonts w:ascii="Arial" w:hAnsi="Arial" w:cs="Arial"/>
                <w:sz w:val="20"/>
                <w:szCs w:val="20"/>
              </w:rPr>
            </w:pPr>
            <w:r>
              <w:rPr>
                <w:rFonts w:ascii="Arial" w:hAnsi="Arial" w:cs="Arial"/>
                <w:sz w:val="20"/>
                <w:szCs w:val="20"/>
              </w:rPr>
              <w:t>Over 5,001 tonnes</w:t>
            </w:r>
          </w:p>
        </w:tc>
        <w:tc>
          <w:tcPr>
            <w:tcW w:w="1725" w:type="dxa"/>
            <w:vAlign w:val="center"/>
          </w:tcPr>
          <w:p w:rsidR="00B9681C" w:rsidRPr="00EF785B" w:rsidRDefault="00B9681C" w:rsidP="00B9681C">
            <w:pPr>
              <w:spacing w:before="60" w:after="60"/>
              <w:jc w:val="center"/>
              <w:rPr>
                <w:rFonts w:ascii="Arial" w:hAnsi="Arial" w:cs="Arial"/>
                <w:sz w:val="20"/>
                <w:szCs w:val="20"/>
              </w:rPr>
            </w:pPr>
            <w:r>
              <w:rPr>
                <w:rFonts w:ascii="Arial" w:hAnsi="Arial" w:cs="Arial"/>
                <w:sz w:val="20"/>
                <w:szCs w:val="20"/>
              </w:rPr>
              <w:t>2,719</w:t>
            </w:r>
          </w:p>
        </w:tc>
        <w:tc>
          <w:tcPr>
            <w:tcW w:w="2418" w:type="dxa"/>
            <w:vAlign w:val="center"/>
          </w:tcPr>
          <w:p w:rsidR="00B9681C" w:rsidRPr="00EF785B" w:rsidRDefault="00B9681C" w:rsidP="00B9681C">
            <w:pPr>
              <w:spacing w:before="60" w:after="60"/>
              <w:jc w:val="center"/>
              <w:rPr>
                <w:rFonts w:ascii="Arial" w:hAnsi="Arial" w:cs="Arial"/>
                <w:sz w:val="20"/>
                <w:szCs w:val="20"/>
              </w:rPr>
            </w:pPr>
            <w:r>
              <w:rPr>
                <w:rFonts w:ascii="Arial" w:hAnsi="Arial" w:cs="Arial"/>
                <w:sz w:val="20"/>
                <w:szCs w:val="20"/>
              </w:rPr>
              <w:t>25.0%</w:t>
            </w:r>
          </w:p>
        </w:tc>
      </w:tr>
    </w:tbl>
    <w:p w:rsidR="009E6247" w:rsidRDefault="009E6247" w:rsidP="00E30FAF">
      <w:pPr>
        <w:spacing w:after="0" w:line="240" w:lineRule="auto"/>
        <w:rPr>
          <w:rFonts w:ascii="Arial" w:hAnsi="Arial" w:cs="Arial"/>
          <w:b/>
          <w:sz w:val="20"/>
          <w:szCs w:val="20"/>
          <w:u w:val="single"/>
        </w:rPr>
      </w:pPr>
    </w:p>
    <w:p w:rsidR="00DC20C1" w:rsidRDefault="00DC20C1" w:rsidP="00E30FAF">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4219"/>
        <w:gridCol w:w="1843"/>
        <w:gridCol w:w="3969"/>
        <w:gridCol w:w="1725"/>
        <w:gridCol w:w="2418"/>
      </w:tblGrid>
      <w:tr w:rsidR="00DC20C1" w:rsidTr="009E63BE">
        <w:tc>
          <w:tcPr>
            <w:tcW w:w="4219" w:type="dxa"/>
            <w:shd w:val="clear" w:color="auto" w:fill="F2F2F2" w:themeFill="background1" w:themeFillShade="F2"/>
            <w:vAlign w:val="center"/>
          </w:tcPr>
          <w:p w:rsidR="00DC20C1" w:rsidRPr="00E87CBB" w:rsidRDefault="00DC20C1" w:rsidP="00FA2C75">
            <w:pPr>
              <w:spacing w:before="60" w:after="60"/>
              <w:rPr>
                <w:rFonts w:ascii="Arial" w:hAnsi="Arial" w:cs="Arial"/>
                <w:b/>
                <w:sz w:val="20"/>
                <w:szCs w:val="20"/>
              </w:rPr>
            </w:pPr>
            <w:r>
              <w:rPr>
                <w:rFonts w:ascii="Arial" w:hAnsi="Arial" w:cs="Arial"/>
                <w:b/>
                <w:sz w:val="20"/>
                <w:szCs w:val="20"/>
              </w:rPr>
              <w:t>Retail Butcher Shops</w:t>
            </w:r>
          </w:p>
        </w:tc>
        <w:tc>
          <w:tcPr>
            <w:tcW w:w="1843" w:type="dxa"/>
            <w:shd w:val="clear" w:color="auto" w:fill="F2F2F2" w:themeFill="background1" w:themeFillShade="F2"/>
            <w:vAlign w:val="center"/>
          </w:tcPr>
          <w:p w:rsidR="00DC20C1" w:rsidRPr="00EF785B" w:rsidRDefault="00DC20C1" w:rsidP="00FA2C75">
            <w:pPr>
              <w:spacing w:before="60" w:after="60"/>
              <w:jc w:val="center"/>
              <w:rPr>
                <w:rFonts w:ascii="Arial" w:hAnsi="Arial" w:cs="Arial"/>
                <w:b/>
                <w:sz w:val="20"/>
                <w:szCs w:val="20"/>
              </w:rPr>
            </w:pPr>
            <w:r w:rsidRPr="00EF785B">
              <w:rPr>
                <w:rFonts w:ascii="Arial" w:hAnsi="Arial" w:cs="Arial"/>
                <w:b/>
                <w:sz w:val="20"/>
                <w:szCs w:val="20"/>
              </w:rPr>
              <w:t>Current</w:t>
            </w:r>
          </w:p>
        </w:tc>
        <w:tc>
          <w:tcPr>
            <w:tcW w:w="8112" w:type="dxa"/>
            <w:gridSpan w:val="3"/>
            <w:shd w:val="clear" w:color="auto" w:fill="F2F2F2" w:themeFill="background1" w:themeFillShade="F2"/>
            <w:vAlign w:val="center"/>
          </w:tcPr>
          <w:p w:rsidR="00DC20C1" w:rsidRDefault="00DC20C1" w:rsidP="00FA2C75">
            <w:pPr>
              <w:spacing w:before="60" w:after="60"/>
              <w:jc w:val="center"/>
              <w:rPr>
                <w:rFonts w:ascii="Arial" w:hAnsi="Arial" w:cs="Arial"/>
                <w:b/>
                <w:sz w:val="20"/>
                <w:szCs w:val="20"/>
                <w:u w:val="single"/>
              </w:rPr>
            </w:pPr>
            <w:r w:rsidRPr="00EF785B">
              <w:rPr>
                <w:rFonts w:ascii="Arial" w:hAnsi="Arial" w:cs="Arial"/>
                <w:b/>
                <w:sz w:val="20"/>
                <w:szCs w:val="20"/>
              </w:rPr>
              <w:t>Proposed</w:t>
            </w:r>
          </w:p>
        </w:tc>
      </w:tr>
      <w:tr w:rsidR="00DC20C1" w:rsidRPr="00EF785B" w:rsidTr="00FA2C75">
        <w:tc>
          <w:tcPr>
            <w:tcW w:w="4219" w:type="dxa"/>
            <w:vAlign w:val="center"/>
          </w:tcPr>
          <w:p w:rsidR="00DC20C1" w:rsidRPr="00EF785B" w:rsidRDefault="00DC20C1" w:rsidP="00FA2C75">
            <w:pPr>
              <w:spacing w:before="60" w:after="60"/>
              <w:rPr>
                <w:rFonts w:ascii="Arial" w:hAnsi="Arial" w:cs="Arial"/>
                <w:b/>
                <w:sz w:val="20"/>
                <w:szCs w:val="20"/>
              </w:rPr>
            </w:pPr>
            <w:r>
              <w:rPr>
                <w:rFonts w:ascii="Arial" w:hAnsi="Arial" w:cs="Arial"/>
                <w:b/>
                <w:sz w:val="20"/>
                <w:szCs w:val="20"/>
              </w:rPr>
              <w:t>Activity</w:t>
            </w:r>
          </w:p>
        </w:tc>
        <w:tc>
          <w:tcPr>
            <w:tcW w:w="1843" w:type="dxa"/>
            <w:vAlign w:val="center"/>
          </w:tcPr>
          <w:p w:rsidR="00DC20C1" w:rsidRDefault="00DC20C1" w:rsidP="00FA2C75">
            <w:pPr>
              <w:spacing w:before="60" w:after="60"/>
              <w:jc w:val="center"/>
              <w:rPr>
                <w:rFonts w:ascii="Arial" w:hAnsi="Arial" w:cs="Arial"/>
                <w:b/>
                <w:sz w:val="20"/>
                <w:szCs w:val="20"/>
              </w:rPr>
            </w:pPr>
            <w:r>
              <w:rPr>
                <w:rFonts w:ascii="Arial" w:hAnsi="Arial" w:cs="Arial"/>
                <w:b/>
                <w:sz w:val="20"/>
                <w:szCs w:val="20"/>
              </w:rPr>
              <w:t>2015-16</w:t>
            </w:r>
          </w:p>
          <w:p w:rsidR="00DC20C1" w:rsidRPr="00EF785B" w:rsidRDefault="00DC20C1" w:rsidP="00FA2C75">
            <w:pPr>
              <w:spacing w:before="60" w:after="60"/>
              <w:jc w:val="center"/>
              <w:rPr>
                <w:rFonts w:ascii="Arial" w:hAnsi="Arial" w:cs="Arial"/>
                <w:b/>
                <w:sz w:val="20"/>
                <w:szCs w:val="20"/>
              </w:rPr>
            </w:pPr>
            <w:r>
              <w:rPr>
                <w:rFonts w:ascii="Arial" w:hAnsi="Arial" w:cs="Arial"/>
                <w:b/>
                <w:sz w:val="20"/>
                <w:szCs w:val="20"/>
              </w:rPr>
              <w:t>$</w:t>
            </w:r>
          </w:p>
        </w:tc>
        <w:tc>
          <w:tcPr>
            <w:tcW w:w="3969" w:type="dxa"/>
            <w:vAlign w:val="center"/>
          </w:tcPr>
          <w:p w:rsidR="00DC20C1" w:rsidRPr="00EF785B" w:rsidRDefault="00DC20C1" w:rsidP="00FA2C75">
            <w:pPr>
              <w:spacing w:before="60" w:after="60"/>
              <w:jc w:val="center"/>
              <w:rPr>
                <w:rFonts w:ascii="Arial" w:hAnsi="Arial" w:cs="Arial"/>
                <w:b/>
                <w:sz w:val="20"/>
                <w:szCs w:val="20"/>
              </w:rPr>
            </w:pPr>
            <w:r>
              <w:rPr>
                <w:rFonts w:ascii="Arial" w:hAnsi="Arial" w:cs="Arial"/>
                <w:b/>
                <w:sz w:val="20"/>
                <w:szCs w:val="20"/>
              </w:rPr>
              <w:t>Activity</w:t>
            </w:r>
          </w:p>
        </w:tc>
        <w:tc>
          <w:tcPr>
            <w:tcW w:w="1725" w:type="dxa"/>
            <w:vAlign w:val="center"/>
          </w:tcPr>
          <w:p w:rsidR="00DC20C1" w:rsidRDefault="00DC20C1" w:rsidP="00FA2C75">
            <w:pPr>
              <w:spacing w:before="60" w:after="60"/>
              <w:jc w:val="center"/>
              <w:rPr>
                <w:rFonts w:ascii="Arial" w:hAnsi="Arial" w:cs="Arial"/>
                <w:b/>
                <w:sz w:val="20"/>
                <w:szCs w:val="20"/>
              </w:rPr>
            </w:pPr>
            <w:r w:rsidRPr="00EF785B">
              <w:rPr>
                <w:rFonts w:ascii="Arial" w:hAnsi="Arial" w:cs="Arial"/>
                <w:b/>
                <w:sz w:val="20"/>
                <w:szCs w:val="20"/>
              </w:rPr>
              <w:t>2016-17</w:t>
            </w:r>
          </w:p>
          <w:p w:rsidR="00DC20C1" w:rsidRPr="00EF785B" w:rsidRDefault="00DC20C1" w:rsidP="00FA2C75">
            <w:pPr>
              <w:spacing w:before="60" w:after="60"/>
              <w:jc w:val="center"/>
              <w:rPr>
                <w:rFonts w:ascii="Arial" w:hAnsi="Arial" w:cs="Arial"/>
                <w:b/>
                <w:sz w:val="20"/>
                <w:szCs w:val="20"/>
              </w:rPr>
            </w:pPr>
            <w:r>
              <w:rPr>
                <w:rFonts w:ascii="Arial" w:hAnsi="Arial" w:cs="Arial"/>
                <w:b/>
                <w:sz w:val="20"/>
                <w:szCs w:val="20"/>
              </w:rPr>
              <w:t>$</w:t>
            </w:r>
          </w:p>
        </w:tc>
        <w:tc>
          <w:tcPr>
            <w:tcW w:w="2418" w:type="dxa"/>
            <w:vAlign w:val="center"/>
          </w:tcPr>
          <w:p w:rsidR="00DC20C1" w:rsidRDefault="00DC20C1" w:rsidP="00FA2C75">
            <w:pPr>
              <w:spacing w:before="60" w:after="60"/>
              <w:jc w:val="center"/>
              <w:rPr>
                <w:rFonts w:ascii="Arial" w:hAnsi="Arial" w:cs="Arial"/>
                <w:b/>
                <w:sz w:val="20"/>
                <w:szCs w:val="20"/>
              </w:rPr>
            </w:pPr>
            <w:r>
              <w:rPr>
                <w:rFonts w:ascii="Arial" w:hAnsi="Arial" w:cs="Arial"/>
                <w:b/>
                <w:sz w:val="20"/>
                <w:szCs w:val="20"/>
              </w:rPr>
              <w:t>Increase</w:t>
            </w:r>
          </w:p>
          <w:p w:rsidR="00DC20C1" w:rsidRPr="00EF785B" w:rsidRDefault="00DC20C1" w:rsidP="00FA2C75">
            <w:pPr>
              <w:spacing w:before="60" w:after="60"/>
              <w:jc w:val="center"/>
              <w:rPr>
                <w:rFonts w:ascii="Arial" w:hAnsi="Arial" w:cs="Arial"/>
                <w:b/>
                <w:sz w:val="20"/>
                <w:szCs w:val="20"/>
              </w:rPr>
            </w:pPr>
            <w:r>
              <w:rPr>
                <w:rFonts w:ascii="Arial" w:hAnsi="Arial" w:cs="Arial"/>
                <w:b/>
                <w:sz w:val="20"/>
                <w:szCs w:val="20"/>
              </w:rPr>
              <w:t>%</w:t>
            </w:r>
          </w:p>
        </w:tc>
      </w:tr>
      <w:tr w:rsidR="00DC20C1" w:rsidRPr="00EF785B" w:rsidTr="00FA2C75">
        <w:tc>
          <w:tcPr>
            <w:tcW w:w="4219" w:type="dxa"/>
            <w:vAlign w:val="center"/>
          </w:tcPr>
          <w:p w:rsidR="00DC20C1" w:rsidRPr="00EF785B" w:rsidRDefault="00DC20C1" w:rsidP="00FA2C75">
            <w:pPr>
              <w:rPr>
                <w:rFonts w:ascii="Arial" w:hAnsi="Arial" w:cs="Arial"/>
                <w:sz w:val="20"/>
                <w:szCs w:val="20"/>
              </w:rPr>
            </w:pPr>
            <w:r>
              <w:rPr>
                <w:rFonts w:ascii="Arial" w:hAnsi="Arial" w:cs="Arial"/>
                <w:sz w:val="20"/>
                <w:szCs w:val="20"/>
              </w:rPr>
              <w:t>Meat and/or poultry only</w:t>
            </w:r>
          </w:p>
        </w:tc>
        <w:tc>
          <w:tcPr>
            <w:tcW w:w="1843" w:type="dxa"/>
            <w:vAlign w:val="center"/>
          </w:tcPr>
          <w:p w:rsidR="00DC20C1" w:rsidRPr="00EF785B" w:rsidRDefault="00DC20C1" w:rsidP="00FA2C75">
            <w:pPr>
              <w:spacing w:before="60" w:after="60"/>
              <w:jc w:val="center"/>
              <w:rPr>
                <w:rFonts w:ascii="Arial" w:hAnsi="Arial" w:cs="Arial"/>
                <w:sz w:val="20"/>
                <w:szCs w:val="20"/>
              </w:rPr>
            </w:pPr>
            <w:r>
              <w:rPr>
                <w:rFonts w:ascii="Arial" w:hAnsi="Arial" w:cs="Arial"/>
                <w:sz w:val="20"/>
                <w:szCs w:val="20"/>
              </w:rPr>
              <w:t>266</w:t>
            </w:r>
          </w:p>
        </w:tc>
        <w:tc>
          <w:tcPr>
            <w:tcW w:w="3969" w:type="dxa"/>
            <w:vAlign w:val="center"/>
          </w:tcPr>
          <w:p w:rsidR="00DC20C1" w:rsidRPr="00EF785B" w:rsidRDefault="00DC20C1" w:rsidP="00FA2C75">
            <w:pPr>
              <w:rPr>
                <w:rFonts w:ascii="Arial" w:hAnsi="Arial" w:cs="Arial"/>
                <w:sz w:val="20"/>
                <w:szCs w:val="20"/>
              </w:rPr>
            </w:pPr>
            <w:r>
              <w:rPr>
                <w:rFonts w:ascii="Arial" w:hAnsi="Arial" w:cs="Arial"/>
                <w:sz w:val="20"/>
                <w:szCs w:val="20"/>
              </w:rPr>
              <w:t>Meat and/or poultry only</w:t>
            </w:r>
          </w:p>
        </w:tc>
        <w:tc>
          <w:tcPr>
            <w:tcW w:w="1725" w:type="dxa"/>
            <w:vAlign w:val="center"/>
          </w:tcPr>
          <w:p w:rsidR="00DC20C1" w:rsidRPr="00EF785B" w:rsidRDefault="00DC20C1" w:rsidP="00FA2C75">
            <w:pPr>
              <w:spacing w:before="60" w:after="60"/>
              <w:jc w:val="center"/>
              <w:rPr>
                <w:rFonts w:ascii="Arial" w:hAnsi="Arial" w:cs="Arial"/>
                <w:sz w:val="20"/>
                <w:szCs w:val="20"/>
              </w:rPr>
            </w:pPr>
            <w:r>
              <w:rPr>
                <w:rFonts w:ascii="Arial" w:hAnsi="Arial" w:cs="Arial"/>
                <w:sz w:val="20"/>
                <w:szCs w:val="20"/>
              </w:rPr>
              <w:t>320</w:t>
            </w:r>
          </w:p>
        </w:tc>
        <w:tc>
          <w:tcPr>
            <w:tcW w:w="2418" w:type="dxa"/>
            <w:vAlign w:val="center"/>
          </w:tcPr>
          <w:p w:rsidR="00DC20C1" w:rsidRPr="00EF785B" w:rsidRDefault="00DC20C1" w:rsidP="00FA2C75">
            <w:pPr>
              <w:spacing w:before="60" w:after="60"/>
              <w:jc w:val="center"/>
              <w:rPr>
                <w:rFonts w:ascii="Arial" w:hAnsi="Arial" w:cs="Arial"/>
                <w:sz w:val="20"/>
                <w:szCs w:val="20"/>
              </w:rPr>
            </w:pPr>
            <w:r>
              <w:rPr>
                <w:rFonts w:ascii="Arial" w:hAnsi="Arial" w:cs="Arial"/>
                <w:sz w:val="20"/>
                <w:szCs w:val="20"/>
              </w:rPr>
              <w:t>20.3%</w:t>
            </w:r>
          </w:p>
        </w:tc>
      </w:tr>
      <w:tr w:rsidR="00DC20C1" w:rsidRPr="00EF785B" w:rsidTr="00FA2C75">
        <w:tc>
          <w:tcPr>
            <w:tcW w:w="4219" w:type="dxa"/>
            <w:vAlign w:val="center"/>
          </w:tcPr>
          <w:p w:rsidR="00DC20C1" w:rsidRPr="00EF785B" w:rsidRDefault="00DC20C1" w:rsidP="00FA2C75">
            <w:pPr>
              <w:rPr>
                <w:rFonts w:ascii="Arial" w:hAnsi="Arial" w:cs="Arial"/>
                <w:sz w:val="20"/>
                <w:szCs w:val="20"/>
              </w:rPr>
            </w:pPr>
            <w:r>
              <w:rPr>
                <w:rFonts w:ascii="Arial" w:hAnsi="Arial" w:cs="Arial"/>
                <w:sz w:val="20"/>
                <w:szCs w:val="20"/>
              </w:rPr>
              <w:t>Meat/poultry and smallgoods</w:t>
            </w:r>
          </w:p>
        </w:tc>
        <w:tc>
          <w:tcPr>
            <w:tcW w:w="1843" w:type="dxa"/>
            <w:vAlign w:val="center"/>
          </w:tcPr>
          <w:p w:rsidR="00DC20C1" w:rsidRPr="00EF785B" w:rsidRDefault="00DC20C1" w:rsidP="00FA2C75">
            <w:pPr>
              <w:spacing w:before="60" w:after="60"/>
              <w:jc w:val="center"/>
              <w:rPr>
                <w:rFonts w:ascii="Arial" w:hAnsi="Arial" w:cs="Arial"/>
                <w:sz w:val="20"/>
                <w:szCs w:val="20"/>
              </w:rPr>
            </w:pPr>
            <w:r>
              <w:rPr>
                <w:rFonts w:ascii="Arial" w:hAnsi="Arial" w:cs="Arial"/>
                <w:sz w:val="20"/>
                <w:szCs w:val="20"/>
              </w:rPr>
              <w:t>266</w:t>
            </w:r>
          </w:p>
        </w:tc>
        <w:tc>
          <w:tcPr>
            <w:tcW w:w="3969" w:type="dxa"/>
            <w:vAlign w:val="center"/>
          </w:tcPr>
          <w:p w:rsidR="00DC20C1" w:rsidRPr="00EF785B" w:rsidRDefault="00DC20C1" w:rsidP="00FA2C75">
            <w:pPr>
              <w:rPr>
                <w:rFonts w:ascii="Arial" w:hAnsi="Arial" w:cs="Arial"/>
                <w:sz w:val="20"/>
                <w:szCs w:val="20"/>
              </w:rPr>
            </w:pPr>
            <w:r>
              <w:rPr>
                <w:rFonts w:ascii="Arial" w:hAnsi="Arial" w:cs="Arial"/>
                <w:sz w:val="20"/>
                <w:szCs w:val="20"/>
              </w:rPr>
              <w:t>Meat/poultry and smallgoods</w:t>
            </w:r>
          </w:p>
        </w:tc>
        <w:tc>
          <w:tcPr>
            <w:tcW w:w="1725" w:type="dxa"/>
            <w:vAlign w:val="center"/>
          </w:tcPr>
          <w:p w:rsidR="00DC20C1" w:rsidRPr="00EF785B" w:rsidRDefault="00DC20C1" w:rsidP="00FA2C75">
            <w:pPr>
              <w:spacing w:before="60" w:after="60"/>
              <w:jc w:val="center"/>
              <w:rPr>
                <w:rFonts w:ascii="Arial" w:hAnsi="Arial" w:cs="Arial"/>
                <w:sz w:val="20"/>
                <w:szCs w:val="20"/>
              </w:rPr>
            </w:pPr>
            <w:r>
              <w:rPr>
                <w:rFonts w:ascii="Arial" w:hAnsi="Arial" w:cs="Arial"/>
                <w:sz w:val="20"/>
                <w:szCs w:val="20"/>
              </w:rPr>
              <w:t>320</w:t>
            </w:r>
          </w:p>
        </w:tc>
        <w:tc>
          <w:tcPr>
            <w:tcW w:w="2418" w:type="dxa"/>
            <w:vAlign w:val="center"/>
          </w:tcPr>
          <w:p w:rsidR="00DC20C1" w:rsidRPr="00EF785B" w:rsidRDefault="00DC20C1" w:rsidP="00FA2C75">
            <w:pPr>
              <w:spacing w:before="60" w:after="60"/>
              <w:jc w:val="center"/>
              <w:rPr>
                <w:rFonts w:ascii="Arial" w:hAnsi="Arial" w:cs="Arial"/>
                <w:sz w:val="20"/>
                <w:szCs w:val="20"/>
              </w:rPr>
            </w:pPr>
            <w:r>
              <w:rPr>
                <w:rFonts w:ascii="Arial" w:hAnsi="Arial" w:cs="Arial"/>
                <w:sz w:val="20"/>
                <w:szCs w:val="20"/>
              </w:rPr>
              <w:t>20.3%</w:t>
            </w:r>
          </w:p>
        </w:tc>
      </w:tr>
      <w:tr w:rsidR="00DC20C1" w:rsidRPr="00EF785B" w:rsidTr="00FA2C75">
        <w:tc>
          <w:tcPr>
            <w:tcW w:w="4219" w:type="dxa"/>
            <w:vAlign w:val="center"/>
          </w:tcPr>
          <w:p w:rsidR="00DC20C1" w:rsidRPr="00EF785B" w:rsidRDefault="00DC20C1" w:rsidP="00DC20C1">
            <w:pPr>
              <w:rPr>
                <w:rFonts w:ascii="Arial" w:hAnsi="Arial" w:cs="Arial"/>
                <w:sz w:val="20"/>
                <w:szCs w:val="20"/>
              </w:rPr>
            </w:pPr>
          </w:p>
        </w:tc>
        <w:tc>
          <w:tcPr>
            <w:tcW w:w="1843" w:type="dxa"/>
            <w:vAlign w:val="center"/>
          </w:tcPr>
          <w:p w:rsidR="00DC20C1" w:rsidRPr="00EF785B" w:rsidRDefault="00DC20C1" w:rsidP="00DC20C1">
            <w:pPr>
              <w:spacing w:before="60" w:after="60"/>
              <w:jc w:val="center"/>
              <w:rPr>
                <w:rFonts w:ascii="Arial" w:hAnsi="Arial" w:cs="Arial"/>
                <w:sz w:val="20"/>
                <w:szCs w:val="20"/>
              </w:rPr>
            </w:pPr>
          </w:p>
        </w:tc>
        <w:tc>
          <w:tcPr>
            <w:tcW w:w="3969" w:type="dxa"/>
            <w:vAlign w:val="center"/>
          </w:tcPr>
          <w:p w:rsidR="00DC20C1" w:rsidRPr="00EF785B" w:rsidRDefault="00DC20C1" w:rsidP="00DC20C1">
            <w:pPr>
              <w:spacing w:before="60" w:after="60"/>
              <w:jc w:val="center"/>
              <w:rPr>
                <w:rFonts w:ascii="Arial" w:hAnsi="Arial" w:cs="Arial"/>
                <w:b/>
                <w:sz w:val="20"/>
                <w:szCs w:val="20"/>
              </w:rPr>
            </w:pPr>
            <w:r>
              <w:rPr>
                <w:rFonts w:ascii="Arial" w:hAnsi="Arial" w:cs="Arial"/>
                <w:b/>
                <w:sz w:val="20"/>
                <w:szCs w:val="20"/>
              </w:rPr>
              <w:t>Activity</w:t>
            </w:r>
          </w:p>
        </w:tc>
        <w:tc>
          <w:tcPr>
            <w:tcW w:w="1725" w:type="dxa"/>
            <w:vAlign w:val="center"/>
          </w:tcPr>
          <w:p w:rsidR="00DC20C1" w:rsidRDefault="00DC20C1" w:rsidP="00DC20C1">
            <w:pPr>
              <w:spacing w:before="60" w:after="60"/>
              <w:jc w:val="center"/>
              <w:rPr>
                <w:rFonts w:ascii="Arial" w:hAnsi="Arial" w:cs="Arial"/>
                <w:b/>
                <w:sz w:val="20"/>
                <w:szCs w:val="20"/>
              </w:rPr>
            </w:pPr>
            <w:r w:rsidRPr="00EF785B">
              <w:rPr>
                <w:rFonts w:ascii="Arial" w:hAnsi="Arial" w:cs="Arial"/>
                <w:b/>
                <w:sz w:val="20"/>
                <w:szCs w:val="20"/>
              </w:rPr>
              <w:t>201</w:t>
            </w:r>
            <w:r>
              <w:rPr>
                <w:rFonts w:ascii="Arial" w:hAnsi="Arial" w:cs="Arial"/>
                <w:b/>
                <w:sz w:val="20"/>
                <w:szCs w:val="20"/>
              </w:rPr>
              <w:t>7</w:t>
            </w:r>
            <w:r w:rsidRPr="00EF785B">
              <w:rPr>
                <w:rFonts w:ascii="Arial" w:hAnsi="Arial" w:cs="Arial"/>
                <w:b/>
                <w:sz w:val="20"/>
                <w:szCs w:val="20"/>
              </w:rPr>
              <w:t>-1</w:t>
            </w:r>
            <w:r>
              <w:rPr>
                <w:rFonts w:ascii="Arial" w:hAnsi="Arial" w:cs="Arial"/>
                <w:b/>
                <w:sz w:val="20"/>
                <w:szCs w:val="20"/>
              </w:rPr>
              <w:t>8</w:t>
            </w:r>
          </w:p>
          <w:p w:rsidR="00DC20C1" w:rsidRPr="00EF785B" w:rsidRDefault="00DC20C1" w:rsidP="00DC20C1">
            <w:pPr>
              <w:spacing w:before="60" w:after="60"/>
              <w:jc w:val="center"/>
              <w:rPr>
                <w:rFonts w:ascii="Arial" w:hAnsi="Arial" w:cs="Arial"/>
                <w:b/>
                <w:sz w:val="20"/>
                <w:szCs w:val="20"/>
              </w:rPr>
            </w:pPr>
            <w:r>
              <w:rPr>
                <w:rFonts w:ascii="Arial" w:hAnsi="Arial" w:cs="Arial"/>
                <w:b/>
                <w:sz w:val="20"/>
                <w:szCs w:val="20"/>
              </w:rPr>
              <w:t>$</w:t>
            </w:r>
          </w:p>
        </w:tc>
        <w:tc>
          <w:tcPr>
            <w:tcW w:w="2418" w:type="dxa"/>
            <w:vAlign w:val="center"/>
          </w:tcPr>
          <w:p w:rsidR="00DC20C1" w:rsidRDefault="00DC20C1" w:rsidP="00DC20C1">
            <w:pPr>
              <w:spacing w:before="60" w:after="60"/>
              <w:jc w:val="center"/>
              <w:rPr>
                <w:rFonts w:ascii="Arial" w:hAnsi="Arial" w:cs="Arial"/>
                <w:b/>
                <w:sz w:val="20"/>
                <w:szCs w:val="20"/>
              </w:rPr>
            </w:pPr>
            <w:r>
              <w:rPr>
                <w:rFonts w:ascii="Arial" w:hAnsi="Arial" w:cs="Arial"/>
                <w:b/>
                <w:sz w:val="20"/>
                <w:szCs w:val="20"/>
              </w:rPr>
              <w:t>Increase</w:t>
            </w:r>
          </w:p>
          <w:p w:rsidR="00DC20C1" w:rsidRPr="00EF785B" w:rsidRDefault="00DC20C1" w:rsidP="00DC20C1">
            <w:pPr>
              <w:spacing w:before="60" w:after="60"/>
              <w:jc w:val="center"/>
              <w:rPr>
                <w:rFonts w:ascii="Arial" w:hAnsi="Arial" w:cs="Arial"/>
                <w:b/>
                <w:sz w:val="20"/>
                <w:szCs w:val="20"/>
              </w:rPr>
            </w:pPr>
            <w:r>
              <w:rPr>
                <w:rFonts w:ascii="Arial" w:hAnsi="Arial" w:cs="Arial"/>
                <w:b/>
                <w:sz w:val="20"/>
                <w:szCs w:val="20"/>
              </w:rPr>
              <w:t>%</w:t>
            </w:r>
          </w:p>
        </w:tc>
      </w:tr>
      <w:tr w:rsidR="00DC20C1" w:rsidRPr="00EF785B" w:rsidTr="00FA2C75">
        <w:tc>
          <w:tcPr>
            <w:tcW w:w="4219" w:type="dxa"/>
            <w:vAlign w:val="center"/>
          </w:tcPr>
          <w:p w:rsidR="00DC20C1" w:rsidRPr="00EF785B" w:rsidRDefault="00DC20C1" w:rsidP="00DC20C1">
            <w:pPr>
              <w:rPr>
                <w:rFonts w:ascii="Arial" w:hAnsi="Arial" w:cs="Arial"/>
                <w:sz w:val="20"/>
                <w:szCs w:val="20"/>
              </w:rPr>
            </w:pPr>
          </w:p>
        </w:tc>
        <w:tc>
          <w:tcPr>
            <w:tcW w:w="1843" w:type="dxa"/>
            <w:vAlign w:val="center"/>
          </w:tcPr>
          <w:p w:rsidR="00DC20C1" w:rsidRPr="00EF785B" w:rsidRDefault="00DC20C1" w:rsidP="00DC20C1">
            <w:pPr>
              <w:spacing w:before="60" w:after="60"/>
              <w:jc w:val="center"/>
              <w:rPr>
                <w:rFonts w:ascii="Arial" w:hAnsi="Arial" w:cs="Arial"/>
                <w:sz w:val="20"/>
                <w:szCs w:val="20"/>
              </w:rPr>
            </w:pPr>
          </w:p>
        </w:tc>
        <w:tc>
          <w:tcPr>
            <w:tcW w:w="3969" w:type="dxa"/>
            <w:vAlign w:val="center"/>
          </w:tcPr>
          <w:p w:rsidR="00DC20C1" w:rsidRPr="00EF785B" w:rsidRDefault="00DC20C1" w:rsidP="00DC20C1">
            <w:pPr>
              <w:rPr>
                <w:rFonts w:ascii="Arial" w:hAnsi="Arial" w:cs="Arial"/>
                <w:sz w:val="20"/>
                <w:szCs w:val="20"/>
              </w:rPr>
            </w:pPr>
            <w:r>
              <w:rPr>
                <w:rFonts w:ascii="Arial" w:hAnsi="Arial" w:cs="Arial"/>
                <w:sz w:val="20"/>
                <w:szCs w:val="20"/>
              </w:rPr>
              <w:t>Meat/poultry and smallgoods</w:t>
            </w:r>
          </w:p>
        </w:tc>
        <w:tc>
          <w:tcPr>
            <w:tcW w:w="1725" w:type="dxa"/>
            <w:vAlign w:val="center"/>
          </w:tcPr>
          <w:p w:rsidR="00DC20C1" w:rsidRPr="00EF785B" w:rsidRDefault="00DC20C1" w:rsidP="00DC20C1">
            <w:pPr>
              <w:spacing w:before="60" w:after="60"/>
              <w:jc w:val="center"/>
              <w:rPr>
                <w:rFonts w:ascii="Arial" w:hAnsi="Arial" w:cs="Arial"/>
                <w:sz w:val="20"/>
                <w:szCs w:val="20"/>
              </w:rPr>
            </w:pPr>
            <w:r>
              <w:rPr>
                <w:rFonts w:ascii="Arial" w:hAnsi="Arial" w:cs="Arial"/>
                <w:sz w:val="20"/>
                <w:szCs w:val="20"/>
              </w:rPr>
              <w:t>650</w:t>
            </w:r>
          </w:p>
        </w:tc>
        <w:tc>
          <w:tcPr>
            <w:tcW w:w="2418" w:type="dxa"/>
            <w:vAlign w:val="center"/>
          </w:tcPr>
          <w:p w:rsidR="00DC20C1" w:rsidRPr="00EF785B" w:rsidRDefault="00DC20C1" w:rsidP="00DC20C1">
            <w:pPr>
              <w:spacing w:before="60" w:after="60"/>
              <w:jc w:val="center"/>
              <w:rPr>
                <w:rFonts w:ascii="Arial" w:hAnsi="Arial" w:cs="Arial"/>
                <w:sz w:val="20"/>
                <w:szCs w:val="20"/>
              </w:rPr>
            </w:pPr>
            <w:r w:rsidRPr="00DC20C1">
              <w:rPr>
                <w:rFonts w:ascii="Arial" w:hAnsi="Arial" w:cs="Arial"/>
                <w:color w:val="000000"/>
                <w:sz w:val="20"/>
                <w:szCs w:val="20"/>
              </w:rPr>
              <w:t>144.4%</w:t>
            </w:r>
            <w:r w:rsidRPr="00DC20C1">
              <w:rPr>
                <w:rStyle w:val="FootnoteReference"/>
                <w:rFonts w:ascii="Arial" w:hAnsi="Arial" w:cs="Arial"/>
                <w:color w:val="000000"/>
                <w:sz w:val="20"/>
                <w:szCs w:val="20"/>
              </w:rPr>
              <w:footnoteReference w:id="25"/>
            </w:r>
          </w:p>
        </w:tc>
      </w:tr>
    </w:tbl>
    <w:p w:rsidR="00B9681C" w:rsidRDefault="00B9681C" w:rsidP="00E30FAF">
      <w:pPr>
        <w:spacing w:after="0" w:line="240" w:lineRule="auto"/>
        <w:rPr>
          <w:rFonts w:ascii="Arial" w:hAnsi="Arial" w:cs="Arial"/>
          <w:b/>
          <w:sz w:val="20"/>
          <w:szCs w:val="20"/>
          <w:u w:val="single"/>
        </w:rPr>
      </w:pPr>
    </w:p>
    <w:p w:rsidR="00FE3A69" w:rsidRDefault="00FE3A69" w:rsidP="00E30FAF">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4219"/>
        <w:gridCol w:w="1843"/>
        <w:gridCol w:w="3969"/>
        <w:gridCol w:w="1725"/>
        <w:gridCol w:w="2418"/>
      </w:tblGrid>
      <w:tr w:rsidR="00FE3A69" w:rsidTr="009E63BE">
        <w:tc>
          <w:tcPr>
            <w:tcW w:w="4219" w:type="dxa"/>
            <w:shd w:val="clear" w:color="auto" w:fill="F2F2F2" w:themeFill="background1" w:themeFillShade="F2"/>
            <w:vAlign w:val="center"/>
          </w:tcPr>
          <w:p w:rsidR="00FE3A69" w:rsidRPr="00E87CBB" w:rsidRDefault="00FE3A69" w:rsidP="00FA2C75">
            <w:pPr>
              <w:spacing w:before="60" w:after="60"/>
              <w:rPr>
                <w:rFonts w:ascii="Arial" w:hAnsi="Arial" w:cs="Arial"/>
                <w:b/>
                <w:sz w:val="20"/>
                <w:szCs w:val="20"/>
              </w:rPr>
            </w:pPr>
            <w:r>
              <w:rPr>
                <w:rFonts w:ascii="Arial" w:hAnsi="Arial" w:cs="Arial"/>
                <w:b/>
                <w:sz w:val="20"/>
                <w:szCs w:val="20"/>
              </w:rPr>
              <w:t>Other Meat</w:t>
            </w:r>
          </w:p>
        </w:tc>
        <w:tc>
          <w:tcPr>
            <w:tcW w:w="1843" w:type="dxa"/>
            <w:shd w:val="clear" w:color="auto" w:fill="F2F2F2" w:themeFill="background1" w:themeFillShade="F2"/>
            <w:vAlign w:val="center"/>
          </w:tcPr>
          <w:p w:rsidR="00FE3A69" w:rsidRPr="00EF785B" w:rsidRDefault="00FE3A69" w:rsidP="00FA2C75">
            <w:pPr>
              <w:spacing w:before="60" w:after="60"/>
              <w:jc w:val="center"/>
              <w:rPr>
                <w:rFonts w:ascii="Arial" w:hAnsi="Arial" w:cs="Arial"/>
                <w:b/>
                <w:sz w:val="20"/>
                <w:szCs w:val="20"/>
              </w:rPr>
            </w:pPr>
            <w:r w:rsidRPr="00EF785B">
              <w:rPr>
                <w:rFonts w:ascii="Arial" w:hAnsi="Arial" w:cs="Arial"/>
                <w:b/>
                <w:sz w:val="20"/>
                <w:szCs w:val="20"/>
              </w:rPr>
              <w:t>Current</w:t>
            </w:r>
          </w:p>
        </w:tc>
        <w:tc>
          <w:tcPr>
            <w:tcW w:w="8112" w:type="dxa"/>
            <w:gridSpan w:val="3"/>
            <w:shd w:val="clear" w:color="auto" w:fill="F2F2F2" w:themeFill="background1" w:themeFillShade="F2"/>
            <w:vAlign w:val="center"/>
          </w:tcPr>
          <w:p w:rsidR="00FE3A69" w:rsidRDefault="00FE3A69" w:rsidP="00FA2C75">
            <w:pPr>
              <w:spacing w:before="60" w:after="60"/>
              <w:jc w:val="center"/>
              <w:rPr>
                <w:rFonts w:ascii="Arial" w:hAnsi="Arial" w:cs="Arial"/>
                <w:b/>
                <w:sz w:val="20"/>
                <w:szCs w:val="20"/>
                <w:u w:val="single"/>
              </w:rPr>
            </w:pPr>
            <w:r w:rsidRPr="00EF785B">
              <w:rPr>
                <w:rFonts w:ascii="Arial" w:hAnsi="Arial" w:cs="Arial"/>
                <w:b/>
                <w:sz w:val="20"/>
                <w:szCs w:val="20"/>
              </w:rPr>
              <w:t>Proposed</w:t>
            </w:r>
          </w:p>
        </w:tc>
      </w:tr>
      <w:tr w:rsidR="00FE3A69" w:rsidRPr="00EF785B" w:rsidTr="00FA2C75">
        <w:tc>
          <w:tcPr>
            <w:tcW w:w="4219" w:type="dxa"/>
            <w:vAlign w:val="center"/>
          </w:tcPr>
          <w:p w:rsidR="00FE3A69" w:rsidRPr="00EF785B" w:rsidRDefault="00FE3A69" w:rsidP="00FA2C75">
            <w:pPr>
              <w:spacing w:before="60" w:after="60"/>
              <w:rPr>
                <w:rFonts w:ascii="Arial" w:hAnsi="Arial" w:cs="Arial"/>
                <w:b/>
                <w:sz w:val="20"/>
                <w:szCs w:val="20"/>
              </w:rPr>
            </w:pPr>
          </w:p>
        </w:tc>
        <w:tc>
          <w:tcPr>
            <w:tcW w:w="1843" w:type="dxa"/>
            <w:vAlign w:val="center"/>
          </w:tcPr>
          <w:p w:rsidR="00FE3A69" w:rsidRDefault="00FE3A69" w:rsidP="00FA2C75">
            <w:pPr>
              <w:spacing w:before="60" w:after="60"/>
              <w:jc w:val="center"/>
              <w:rPr>
                <w:rFonts w:ascii="Arial" w:hAnsi="Arial" w:cs="Arial"/>
                <w:b/>
                <w:sz w:val="20"/>
                <w:szCs w:val="20"/>
              </w:rPr>
            </w:pPr>
            <w:r>
              <w:rPr>
                <w:rFonts w:ascii="Arial" w:hAnsi="Arial" w:cs="Arial"/>
                <w:b/>
                <w:sz w:val="20"/>
                <w:szCs w:val="20"/>
              </w:rPr>
              <w:t>2015-16</w:t>
            </w:r>
          </w:p>
          <w:p w:rsidR="00FE3A69" w:rsidRPr="00EF785B" w:rsidRDefault="00FE3A69" w:rsidP="00FA2C75">
            <w:pPr>
              <w:spacing w:before="60" w:after="60"/>
              <w:jc w:val="center"/>
              <w:rPr>
                <w:rFonts w:ascii="Arial" w:hAnsi="Arial" w:cs="Arial"/>
                <w:b/>
                <w:sz w:val="20"/>
                <w:szCs w:val="20"/>
              </w:rPr>
            </w:pPr>
            <w:r>
              <w:rPr>
                <w:rFonts w:ascii="Arial" w:hAnsi="Arial" w:cs="Arial"/>
                <w:b/>
                <w:sz w:val="20"/>
                <w:szCs w:val="20"/>
              </w:rPr>
              <w:t>$</w:t>
            </w:r>
          </w:p>
        </w:tc>
        <w:tc>
          <w:tcPr>
            <w:tcW w:w="3969" w:type="dxa"/>
            <w:vAlign w:val="center"/>
          </w:tcPr>
          <w:p w:rsidR="00FE3A69" w:rsidRPr="00EF785B" w:rsidRDefault="00FE3A69" w:rsidP="00FA2C75">
            <w:pPr>
              <w:spacing w:before="60" w:after="60"/>
              <w:jc w:val="center"/>
              <w:rPr>
                <w:rFonts w:ascii="Arial" w:hAnsi="Arial" w:cs="Arial"/>
                <w:b/>
                <w:sz w:val="20"/>
                <w:szCs w:val="20"/>
              </w:rPr>
            </w:pPr>
          </w:p>
        </w:tc>
        <w:tc>
          <w:tcPr>
            <w:tcW w:w="1725" w:type="dxa"/>
            <w:vAlign w:val="center"/>
          </w:tcPr>
          <w:p w:rsidR="00FE3A69" w:rsidRDefault="00FE3A69" w:rsidP="00FA2C75">
            <w:pPr>
              <w:spacing w:before="60" w:after="60"/>
              <w:jc w:val="center"/>
              <w:rPr>
                <w:rFonts w:ascii="Arial" w:hAnsi="Arial" w:cs="Arial"/>
                <w:b/>
                <w:sz w:val="20"/>
                <w:szCs w:val="20"/>
              </w:rPr>
            </w:pPr>
            <w:r w:rsidRPr="00EF785B">
              <w:rPr>
                <w:rFonts w:ascii="Arial" w:hAnsi="Arial" w:cs="Arial"/>
                <w:b/>
                <w:sz w:val="20"/>
                <w:szCs w:val="20"/>
              </w:rPr>
              <w:t>2016-17</w:t>
            </w:r>
          </w:p>
          <w:p w:rsidR="00FE3A69" w:rsidRPr="00EF785B" w:rsidRDefault="00FE3A69" w:rsidP="00FA2C75">
            <w:pPr>
              <w:spacing w:before="60" w:after="60"/>
              <w:jc w:val="center"/>
              <w:rPr>
                <w:rFonts w:ascii="Arial" w:hAnsi="Arial" w:cs="Arial"/>
                <w:b/>
                <w:sz w:val="20"/>
                <w:szCs w:val="20"/>
              </w:rPr>
            </w:pPr>
            <w:r>
              <w:rPr>
                <w:rFonts w:ascii="Arial" w:hAnsi="Arial" w:cs="Arial"/>
                <w:b/>
                <w:sz w:val="20"/>
                <w:szCs w:val="20"/>
              </w:rPr>
              <w:t>$</w:t>
            </w:r>
          </w:p>
        </w:tc>
        <w:tc>
          <w:tcPr>
            <w:tcW w:w="2418" w:type="dxa"/>
            <w:vAlign w:val="center"/>
          </w:tcPr>
          <w:p w:rsidR="00FE3A69" w:rsidRDefault="00FE3A69" w:rsidP="00FA2C75">
            <w:pPr>
              <w:spacing w:before="60" w:after="60"/>
              <w:jc w:val="center"/>
              <w:rPr>
                <w:rFonts w:ascii="Arial" w:hAnsi="Arial" w:cs="Arial"/>
                <w:b/>
                <w:sz w:val="20"/>
                <w:szCs w:val="20"/>
              </w:rPr>
            </w:pPr>
            <w:r>
              <w:rPr>
                <w:rFonts w:ascii="Arial" w:hAnsi="Arial" w:cs="Arial"/>
                <w:b/>
                <w:sz w:val="20"/>
                <w:szCs w:val="20"/>
              </w:rPr>
              <w:t>Increase</w:t>
            </w:r>
          </w:p>
          <w:p w:rsidR="00FE3A69" w:rsidRPr="00EF785B" w:rsidRDefault="00FE3A69" w:rsidP="00FA2C75">
            <w:pPr>
              <w:spacing w:before="60" w:after="60"/>
              <w:jc w:val="center"/>
              <w:rPr>
                <w:rFonts w:ascii="Arial" w:hAnsi="Arial" w:cs="Arial"/>
                <w:b/>
                <w:sz w:val="20"/>
                <w:szCs w:val="20"/>
              </w:rPr>
            </w:pPr>
            <w:r>
              <w:rPr>
                <w:rFonts w:ascii="Arial" w:hAnsi="Arial" w:cs="Arial"/>
                <w:b/>
                <w:sz w:val="20"/>
                <w:szCs w:val="20"/>
              </w:rPr>
              <w:t>%</w:t>
            </w:r>
          </w:p>
        </w:tc>
      </w:tr>
      <w:tr w:rsidR="00FE3A69" w:rsidRPr="00EF785B" w:rsidTr="00FA2C75">
        <w:tc>
          <w:tcPr>
            <w:tcW w:w="4219" w:type="dxa"/>
            <w:vAlign w:val="center"/>
          </w:tcPr>
          <w:p w:rsidR="00FE3A69" w:rsidRPr="00EF785B" w:rsidRDefault="00FE3A69" w:rsidP="00FE3A69">
            <w:pPr>
              <w:rPr>
                <w:rFonts w:ascii="Arial" w:hAnsi="Arial" w:cs="Arial"/>
                <w:sz w:val="20"/>
                <w:szCs w:val="20"/>
              </w:rPr>
            </w:pPr>
            <w:r>
              <w:rPr>
                <w:rFonts w:ascii="Arial" w:hAnsi="Arial" w:cs="Arial"/>
                <w:sz w:val="20"/>
                <w:szCs w:val="20"/>
              </w:rPr>
              <w:t>Prime tallow processing</w:t>
            </w:r>
          </w:p>
        </w:tc>
        <w:tc>
          <w:tcPr>
            <w:tcW w:w="1843" w:type="dxa"/>
            <w:vAlign w:val="center"/>
          </w:tcPr>
          <w:p w:rsidR="00FE3A69" w:rsidRPr="00EF785B" w:rsidRDefault="00FE3A69" w:rsidP="00FE3A69">
            <w:pPr>
              <w:spacing w:before="60" w:after="60"/>
              <w:jc w:val="center"/>
              <w:rPr>
                <w:rFonts w:ascii="Arial" w:hAnsi="Arial" w:cs="Arial"/>
                <w:sz w:val="20"/>
                <w:szCs w:val="20"/>
              </w:rPr>
            </w:pPr>
            <w:r>
              <w:rPr>
                <w:rFonts w:ascii="Arial" w:hAnsi="Arial" w:cs="Arial"/>
                <w:sz w:val="20"/>
                <w:szCs w:val="20"/>
              </w:rPr>
              <w:t>3,053</w:t>
            </w:r>
          </w:p>
        </w:tc>
        <w:tc>
          <w:tcPr>
            <w:tcW w:w="3969" w:type="dxa"/>
            <w:vAlign w:val="center"/>
          </w:tcPr>
          <w:p w:rsidR="00FE3A69" w:rsidRPr="00EF785B" w:rsidRDefault="00FE3A69" w:rsidP="00FE3A69">
            <w:pPr>
              <w:rPr>
                <w:rFonts w:ascii="Arial" w:hAnsi="Arial" w:cs="Arial"/>
                <w:sz w:val="20"/>
                <w:szCs w:val="20"/>
              </w:rPr>
            </w:pPr>
            <w:r>
              <w:rPr>
                <w:rFonts w:ascii="Arial" w:hAnsi="Arial" w:cs="Arial"/>
                <w:sz w:val="20"/>
                <w:szCs w:val="20"/>
              </w:rPr>
              <w:t>Prime tallow processing</w:t>
            </w:r>
          </w:p>
        </w:tc>
        <w:tc>
          <w:tcPr>
            <w:tcW w:w="1725" w:type="dxa"/>
            <w:vAlign w:val="center"/>
          </w:tcPr>
          <w:p w:rsidR="00FE3A69" w:rsidRPr="00EF785B" w:rsidRDefault="00FE3A69" w:rsidP="00FE3A69">
            <w:pPr>
              <w:spacing w:before="60" w:after="60"/>
              <w:jc w:val="center"/>
              <w:rPr>
                <w:rFonts w:ascii="Arial" w:hAnsi="Arial" w:cs="Arial"/>
                <w:sz w:val="20"/>
                <w:szCs w:val="20"/>
              </w:rPr>
            </w:pPr>
            <w:r>
              <w:rPr>
                <w:rFonts w:ascii="Arial" w:hAnsi="Arial" w:cs="Arial"/>
                <w:sz w:val="20"/>
                <w:szCs w:val="20"/>
              </w:rPr>
              <w:t xml:space="preserve">TBD </w:t>
            </w:r>
          </w:p>
        </w:tc>
        <w:tc>
          <w:tcPr>
            <w:tcW w:w="2418" w:type="dxa"/>
            <w:vAlign w:val="center"/>
          </w:tcPr>
          <w:p w:rsidR="00FE3A69" w:rsidRPr="00EF785B" w:rsidRDefault="00FE3A69" w:rsidP="00FE3A69">
            <w:pPr>
              <w:spacing w:before="60" w:after="60"/>
              <w:jc w:val="center"/>
              <w:rPr>
                <w:rFonts w:ascii="Arial" w:hAnsi="Arial" w:cs="Arial"/>
                <w:sz w:val="20"/>
                <w:szCs w:val="20"/>
              </w:rPr>
            </w:pPr>
            <w:r>
              <w:rPr>
                <w:rFonts w:ascii="Arial" w:hAnsi="Arial" w:cs="Arial"/>
                <w:sz w:val="20"/>
                <w:szCs w:val="20"/>
              </w:rPr>
              <w:t>TBD</w:t>
            </w:r>
          </w:p>
        </w:tc>
      </w:tr>
      <w:tr w:rsidR="00FE3A69" w:rsidRPr="00EF785B" w:rsidTr="00FA2C75">
        <w:tc>
          <w:tcPr>
            <w:tcW w:w="4219" w:type="dxa"/>
            <w:vAlign w:val="center"/>
          </w:tcPr>
          <w:p w:rsidR="00FE3A69" w:rsidRPr="00EF785B" w:rsidRDefault="00FE3A69" w:rsidP="00FE3A69">
            <w:pPr>
              <w:rPr>
                <w:rFonts w:ascii="Arial" w:hAnsi="Arial" w:cs="Arial"/>
                <w:sz w:val="20"/>
                <w:szCs w:val="20"/>
              </w:rPr>
            </w:pPr>
            <w:r>
              <w:rPr>
                <w:rFonts w:ascii="Arial" w:hAnsi="Arial" w:cs="Arial"/>
                <w:sz w:val="20"/>
                <w:szCs w:val="20"/>
              </w:rPr>
              <w:t>Game meat</w:t>
            </w:r>
          </w:p>
        </w:tc>
        <w:tc>
          <w:tcPr>
            <w:tcW w:w="1843" w:type="dxa"/>
            <w:vAlign w:val="center"/>
          </w:tcPr>
          <w:p w:rsidR="00FE3A69" w:rsidRPr="00EF785B" w:rsidRDefault="00FE3A69" w:rsidP="00FE3A69">
            <w:pPr>
              <w:spacing w:before="60" w:after="60"/>
              <w:jc w:val="center"/>
              <w:rPr>
                <w:rFonts w:ascii="Arial" w:hAnsi="Arial" w:cs="Arial"/>
                <w:sz w:val="20"/>
                <w:szCs w:val="20"/>
              </w:rPr>
            </w:pPr>
            <w:r>
              <w:rPr>
                <w:rFonts w:ascii="Arial" w:hAnsi="Arial" w:cs="Arial"/>
                <w:sz w:val="20"/>
                <w:szCs w:val="20"/>
              </w:rPr>
              <w:t>821</w:t>
            </w:r>
          </w:p>
        </w:tc>
        <w:tc>
          <w:tcPr>
            <w:tcW w:w="3969" w:type="dxa"/>
            <w:vAlign w:val="center"/>
          </w:tcPr>
          <w:p w:rsidR="00FE3A69" w:rsidRPr="00EF785B" w:rsidRDefault="00FE3A69" w:rsidP="00FE3A69">
            <w:pPr>
              <w:rPr>
                <w:rFonts w:ascii="Arial" w:hAnsi="Arial" w:cs="Arial"/>
                <w:sz w:val="20"/>
                <w:szCs w:val="20"/>
              </w:rPr>
            </w:pPr>
            <w:r>
              <w:rPr>
                <w:rFonts w:ascii="Arial" w:hAnsi="Arial" w:cs="Arial"/>
                <w:sz w:val="20"/>
                <w:szCs w:val="20"/>
              </w:rPr>
              <w:t>Game meat</w:t>
            </w:r>
          </w:p>
        </w:tc>
        <w:tc>
          <w:tcPr>
            <w:tcW w:w="1725" w:type="dxa"/>
            <w:vAlign w:val="center"/>
          </w:tcPr>
          <w:p w:rsidR="00FE3A69" w:rsidRPr="00EF785B" w:rsidRDefault="00FE3A69" w:rsidP="00FE3A69">
            <w:pPr>
              <w:spacing w:before="60" w:after="60"/>
              <w:jc w:val="center"/>
              <w:rPr>
                <w:rFonts w:ascii="Arial" w:hAnsi="Arial" w:cs="Arial"/>
                <w:sz w:val="20"/>
                <w:szCs w:val="20"/>
              </w:rPr>
            </w:pPr>
            <w:r>
              <w:rPr>
                <w:rFonts w:ascii="Arial" w:hAnsi="Arial" w:cs="Arial"/>
                <w:sz w:val="20"/>
                <w:szCs w:val="20"/>
              </w:rPr>
              <w:t xml:space="preserve">TBD </w:t>
            </w:r>
          </w:p>
        </w:tc>
        <w:tc>
          <w:tcPr>
            <w:tcW w:w="2418" w:type="dxa"/>
            <w:vAlign w:val="center"/>
          </w:tcPr>
          <w:p w:rsidR="00FE3A69" w:rsidRPr="00EF785B" w:rsidRDefault="00FE3A69" w:rsidP="00FE3A69">
            <w:pPr>
              <w:spacing w:before="60" w:after="60"/>
              <w:jc w:val="center"/>
              <w:rPr>
                <w:rFonts w:ascii="Arial" w:hAnsi="Arial" w:cs="Arial"/>
                <w:sz w:val="20"/>
                <w:szCs w:val="20"/>
              </w:rPr>
            </w:pPr>
            <w:r>
              <w:rPr>
                <w:rFonts w:ascii="Arial" w:hAnsi="Arial" w:cs="Arial"/>
                <w:sz w:val="20"/>
                <w:szCs w:val="20"/>
              </w:rPr>
              <w:t>TBD</w:t>
            </w:r>
          </w:p>
        </w:tc>
      </w:tr>
      <w:tr w:rsidR="00FE3A69" w:rsidRPr="00EF785B" w:rsidTr="00FA2C75">
        <w:tc>
          <w:tcPr>
            <w:tcW w:w="4219" w:type="dxa"/>
            <w:vAlign w:val="center"/>
          </w:tcPr>
          <w:p w:rsidR="00FE3A69" w:rsidRDefault="00FE3A69" w:rsidP="00FE3A69">
            <w:pPr>
              <w:rPr>
                <w:rFonts w:ascii="Arial" w:hAnsi="Arial" w:cs="Arial"/>
                <w:sz w:val="20"/>
                <w:szCs w:val="20"/>
              </w:rPr>
            </w:pPr>
            <w:r>
              <w:rPr>
                <w:rFonts w:ascii="Arial" w:hAnsi="Arial" w:cs="Arial"/>
                <w:sz w:val="20"/>
                <w:szCs w:val="20"/>
              </w:rPr>
              <w:t>Inedible rendering</w:t>
            </w:r>
          </w:p>
        </w:tc>
        <w:tc>
          <w:tcPr>
            <w:tcW w:w="1843" w:type="dxa"/>
            <w:vAlign w:val="center"/>
          </w:tcPr>
          <w:p w:rsidR="00FE3A69" w:rsidRPr="00EF785B" w:rsidRDefault="00FE3A69" w:rsidP="00FE3A69">
            <w:pPr>
              <w:spacing w:before="60" w:after="60"/>
              <w:jc w:val="center"/>
              <w:rPr>
                <w:rFonts w:ascii="Arial" w:hAnsi="Arial" w:cs="Arial"/>
                <w:sz w:val="20"/>
                <w:szCs w:val="20"/>
              </w:rPr>
            </w:pPr>
            <w:r>
              <w:rPr>
                <w:rFonts w:ascii="Arial" w:hAnsi="Arial" w:cs="Arial"/>
                <w:sz w:val="20"/>
                <w:szCs w:val="20"/>
              </w:rPr>
              <w:t>2,287</w:t>
            </w:r>
          </w:p>
        </w:tc>
        <w:tc>
          <w:tcPr>
            <w:tcW w:w="3969" w:type="dxa"/>
            <w:vAlign w:val="center"/>
          </w:tcPr>
          <w:p w:rsidR="00FE3A69" w:rsidRDefault="00FE3A69" w:rsidP="00FE3A69">
            <w:pPr>
              <w:rPr>
                <w:rFonts w:ascii="Arial" w:hAnsi="Arial" w:cs="Arial"/>
                <w:sz w:val="20"/>
                <w:szCs w:val="20"/>
              </w:rPr>
            </w:pPr>
            <w:r>
              <w:rPr>
                <w:rFonts w:ascii="Arial" w:hAnsi="Arial" w:cs="Arial"/>
                <w:sz w:val="20"/>
                <w:szCs w:val="20"/>
              </w:rPr>
              <w:t>Inedible rendering</w:t>
            </w:r>
          </w:p>
        </w:tc>
        <w:tc>
          <w:tcPr>
            <w:tcW w:w="1725" w:type="dxa"/>
            <w:vAlign w:val="center"/>
          </w:tcPr>
          <w:p w:rsidR="00FE3A69" w:rsidRPr="00EF785B" w:rsidRDefault="00FE3A69" w:rsidP="00FE3A69">
            <w:pPr>
              <w:spacing w:before="60" w:after="60"/>
              <w:jc w:val="center"/>
              <w:rPr>
                <w:rFonts w:ascii="Arial" w:hAnsi="Arial" w:cs="Arial"/>
                <w:sz w:val="20"/>
                <w:szCs w:val="20"/>
              </w:rPr>
            </w:pPr>
            <w:r>
              <w:rPr>
                <w:rFonts w:ascii="Arial" w:hAnsi="Arial" w:cs="Arial"/>
                <w:sz w:val="20"/>
                <w:szCs w:val="20"/>
              </w:rPr>
              <w:t xml:space="preserve">TBD </w:t>
            </w:r>
          </w:p>
        </w:tc>
        <w:tc>
          <w:tcPr>
            <w:tcW w:w="2418" w:type="dxa"/>
            <w:vAlign w:val="center"/>
          </w:tcPr>
          <w:p w:rsidR="00FE3A69" w:rsidRPr="00EF785B" w:rsidRDefault="00FE3A69" w:rsidP="00FE3A69">
            <w:pPr>
              <w:spacing w:before="60" w:after="60"/>
              <w:jc w:val="center"/>
              <w:rPr>
                <w:rFonts w:ascii="Arial" w:hAnsi="Arial" w:cs="Arial"/>
                <w:sz w:val="20"/>
                <w:szCs w:val="20"/>
              </w:rPr>
            </w:pPr>
            <w:r>
              <w:rPr>
                <w:rFonts w:ascii="Arial" w:hAnsi="Arial" w:cs="Arial"/>
                <w:sz w:val="20"/>
                <w:szCs w:val="20"/>
              </w:rPr>
              <w:t>TBD</w:t>
            </w:r>
          </w:p>
        </w:tc>
      </w:tr>
      <w:tr w:rsidR="00FE3A69" w:rsidRPr="00EF785B" w:rsidTr="00FA2C75">
        <w:tc>
          <w:tcPr>
            <w:tcW w:w="4219" w:type="dxa"/>
            <w:vAlign w:val="center"/>
          </w:tcPr>
          <w:p w:rsidR="00FE3A69" w:rsidRDefault="00FE3A69" w:rsidP="00FE3A69">
            <w:pPr>
              <w:rPr>
                <w:rFonts w:ascii="Arial" w:hAnsi="Arial" w:cs="Arial"/>
                <w:sz w:val="20"/>
                <w:szCs w:val="20"/>
              </w:rPr>
            </w:pPr>
            <w:r>
              <w:rPr>
                <w:rFonts w:ascii="Arial" w:hAnsi="Arial" w:cs="Arial"/>
                <w:sz w:val="20"/>
                <w:szCs w:val="20"/>
              </w:rPr>
              <w:t>Pet meat processing plant</w:t>
            </w:r>
          </w:p>
        </w:tc>
        <w:tc>
          <w:tcPr>
            <w:tcW w:w="1843" w:type="dxa"/>
            <w:vAlign w:val="center"/>
          </w:tcPr>
          <w:p w:rsidR="00FE3A69" w:rsidRPr="00EF785B" w:rsidRDefault="00FE3A69" w:rsidP="00FE3A69">
            <w:pPr>
              <w:spacing w:before="60" w:after="60"/>
              <w:jc w:val="center"/>
              <w:rPr>
                <w:rFonts w:ascii="Arial" w:hAnsi="Arial" w:cs="Arial"/>
                <w:sz w:val="20"/>
                <w:szCs w:val="20"/>
              </w:rPr>
            </w:pPr>
            <w:r>
              <w:rPr>
                <w:rFonts w:ascii="Arial" w:hAnsi="Arial" w:cs="Arial"/>
                <w:sz w:val="20"/>
                <w:szCs w:val="20"/>
              </w:rPr>
              <w:t>2,175</w:t>
            </w:r>
          </w:p>
        </w:tc>
        <w:tc>
          <w:tcPr>
            <w:tcW w:w="3969" w:type="dxa"/>
            <w:vAlign w:val="center"/>
          </w:tcPr>
          <w:p w:rsidR="00FE3A69" w:rsidRDefault="00FE3A69" w:rsidP="00FE3A69">
            <w:pPr>
              <w:rPr>
                <w:rFonts w:ascii="Arial" w:hAnsi="Arial" w:cs="Arial"/>
                <w:sz w:val="20"/>
                <w:szCs w:val="20"/>
              </w:rPr>
            </w:pPr>
            <w:r>
              <w:rPr>
                <w:rFonts w:ascii="Arial" w:hAnsi="Arial" w:cs="Arial"/>
                <w:sz w:val="20"/>
                <w:szCs w:val="20"/>
              </w:rPr>
              <w:t>Pet meat processing plant</w:t>
            </w:r>
          </w:p>
        </w:tc>
        <w:tc>
          <w:tcPr>
            <w:tcW w:w="1725" w:type="dxa"/>
            <w:vAlign w:val="center"/>
          </w:tcPr>
          <w:p w:rsidR="00FE3A69" w:rsidRPr="00EF785B" w:rsidRDefault="00FE3A69" w:rsidP="00FE3A69">
            <w:pPr>
              <w:spacing w:before="60" w:after="60"/>
              <w:jc w:val="center"/>
              <w:rPr>
                <w:rFonts w:ascii="Arial" w:hAnsi="Arial" w:cs="Arial"/>
                <w:sz w:val="20"/>
                <w:szCs w:val="20"/>
              </w:rPr>
            </w:pPr>
            <w:r>
              <w:rPr>
                <w:rFonts w:ascii="Arial" w:hAnsi="Arial" w:cs="Arial"/>
                <w:sz w:val="20"/>
                <w:szCs w:val="20"/>
              </w:rPr>
              <w:t xml:space="preserve">TBD </w:t>
            </w:r>
          </w:p>
        </w:tc>
        <w:tc>
          <w:tcPr>
            <w:tcW w:w="2418" w:type="dxa"/>
            <w:vAlign w:val="center"/>
          </w:tcPr>
          <w:p w:rsidR="00FE3A69" w:rsidRPr="00EF785B" w:rsidRDefault="00FE3A69" w:rsidP="00FE3A69">
            <w:pPr>
              <w:spacing w:before="60" w:after="60"/>
              <w:jc w:val="center"/>
              <w:rPr>
                <w:rFonts w:ascii="Arial" w:hAnsi="Arial" w:cs="Arial"/>
                <w:sz w:val="20"/>
                <w:szCs w:val="20"/>
              </w:rPr>
            </w:pPr>
            <w:r>
              <w:rPr>
                <w:rFonts w:ascii="Arial" w:hAnsi="Arial" w:cs="Arial"/>
                <w:sz w:val="20"/>
                <w:szCs w:val="20"/>
              </w:rPr>
              <w:t>TBD</w:t>
            </w:r>
          </w:p>
        </w:tc>
      </w:tr>
      <w:tr w:rsidR="00FE3A69" w:rsidRPr="00EF785B" w:rsidTr="00FA2C75">
        <w:tc>
          <w:tcPr>
            <w:tcW w:w="4219" w:type="dxa"/>
            <w:vAlign w:val="center"/>
          </w:tcPr>
          <w:p w:rsidR="00FE3A69" w:rsidRDefault="00FE3A69" w:rsidP="00FE3A69">
            <w:pPr>
              <w:rPr>
                <w:rFonts w:ascii="Arial" w:hAnsi="Arial" w:cs="Arial"/>
                <w:sz w:val="20"/>
                <w:szCs w:val="20"/>
              </w:rPr>
            </w:pPr>
            <w:r>
              <w:rPr>
                <w:rFonts w:ascii="Arial" w:hAnsi="Arial" w:cs="Arial"/>
                <w:sz w:val="20"/>
                <w:szCs w:val="20"/>
              </w:rPr>
              <w:t>Pet food establishments</w:t>
            </w:r>
          </w:p>
        </w:tc>
        <w:tc>
          <w:tcPr>
            <w:tcW w:w="1843" w:type="dxa"/>
            <w:vAlign w:val="center"/>
          </w:tcPr>
          <w:p w:rsidR="00FE3A69" w:rsidRPr="00EF785B" w:rsidRDefault="00FE3A69" w:rsidP="00FE3A69">
            <w:pPr>
              <w:spacing w:before="60" w:after="60"/>
              <w:rPr>
                <w:rFonts w:ascii="Arial" w:hAnsi="Arial" w:cs="Arial"/>
                <w:sz w:val="20"/>
                <w:szCs w:val="20"/>
              </w:rPr>
            </w:pPr>
          </w:p>
        </w:tc>
        <w:tc>
          <w:tcPr>
            <w:tcW w:w="3969" w:type="dxa"/>
            <w:vAlign w:val="center"/>
          </w:tcPr>
          <w:p w:rsidR="00FE3A69" w:rsidRDefault="00FE3A69" w:rsidP="00FE3A69">
            <w:pPr>
              <w:rPr>
                <w:rFonts w:ascii="Arial" w:hAnsi="Arial" w:cs="Arial"/>
                <w:sz w:val="20"/>
                <w:szCs w:val="20"/>
              </w:rPr>
            </w:pPr>
            <w:r>
              <w:rPr>
                <w:rFonts w:ascii="Arial" w:hAnsi="Arial" w:cs="Arial"/>
                <w:sz w:val="20"/>
                <w:szCs w:val="20"/>
              </w:rPr>
              <w:t>Pet food establishments</w:t>
            </w:r>
          </w:p>
        </w:tc>
        <w:tc>
          <w:tcPr>
            <w:tcW w:w="1725" w:type="dxa"/>
            <w:vAlign w:val="center"/>
          </w:tcPr>
          <w:p w:rsidR="00FE3A69" w:rsidRPr="00EF785B" w:rsidRDefault="00FE3A69" w:rsidP="00FE3A69">
            <w:pPr>
              <w:spacing w:before="60" w:after="60"/>
              <w:jc w:val="center"/>
              <w:rPr>
                <w:rFonts w:ascii="Arial" w:hAnsi="Arial" w:cs="Arial"/>
                <w:sz w:val="20"/>
                <w:szCs w:val="20"/>
              </w:rPr>
            </w:pPr>
            <w:r>
              <w:rPr>
                <w:rFonts w:ascii="Arial" w:hAnsi="Arial" w:cs="Arial"/>
                <w:sz w:val="20"/>
                <w:szCs w:val="20"/>
              </w:rPr>
              <w:t xml:space="preserve">TBD </w:t>
            </w:r>
          </w:p>
        </w:tc>
        <w:tc>
          <w:tcPr>
            <w:tcW w:w="2418" w:type="dxa"/>
            <w:vAlign w:val="center"/>
          </w:tcPr>
          <w:p w:rsidR="00FE3A69" w:rsidRPr="00EF785B" w:rsidRDefault="00FE3A69" w:rsidP="00FE3A69">
            <w:pPr>
              <w:spacing w:before="60" w:after="60"/>
              <w:jc w:val="center"/>
              <w:rPr>
                <w:rFonts w:ascii="Arial" w:hAnsi="Arial" w:cs="Arial"/>
                <w:sz w:val="20"/>
                <w:szCs w:val="20"/>
              </w:rPr>
            </w:pPr>
            <w:r>
              <w:rPr>
                <w:rFonts w:ascii="Arial" w:hAnsi="Arial" w:cs="Arial"/>
                <w:sz w:val="20"/>
                <w:szCs w:val="20"/>
              </w:rPr>
              <w:t>TBD</w:t>
            </w:r>
          </w:p>
        </w:tc>
      </w:tr>
      <w:tr w:rsidR="00FE3A69" w:rsidRPr="00EF785B" w:rsidTr="00FA2C75">
        <w:tc>
          <w:tcPr>
            <w:tcW w:w="4219" w:type="dxa"/>
            <w:vAlign w:val="center"/>
          </w:tcPr>
          <w:p w:rsidR="00FE3A69" w:rsidRDefault="00FE3A69" w:rsidP="00FE3A69">
            <w:pPr>
              <w:rPr>
                <w:rFonts w:ascii="Arial" w:hAnsi="Arial" w:cs="Arial"/>
                <w:sz w:val="20"/>
                <w:szCs w:val="20"/>
              </w:rPr>
            </w:pPr>
            <w:r>
              <w:rPr>
                <w:rFonts w:ascii="Arial" w:hAnsi="Arial" w:cs="Arial"/>
                <w:sz w:val="20"/>
                <w:szCs w:val="20"/>
              </w:rPr>
              <w:t xml:space="preserve">     Up to 50 tonnes</w:t>
            </w:r>
          </w:p>
        </w:tc>
        <w:tc>
          <w:tcPr>
            <w:tcW w:w="1843" w:type="dxa"/>
            <w:vAlign w:val="center"/>
          </w:tcPr>
          <w:p w:rsidR="00FE3A69" w:rsidRPr="00EF785B" w:rsidRDefault="00FE3A69" w:rsidP="00FE3A69">
            <w:pPr>
              <w:spacing w:before="60" w:after="60"/>
              <w:jc w:val="center"/>
              <w:rPr>
                <w:rFonts w:ascii="Arial" w:hAnsi="Arial" w:cs="Arial"/>
                <w:sz w:val="20"/>
                <w:szCs w:val="20"/>
              </w:rPr>
            </w:pPr>
            <w:r>
              <w:rPr>
                <w:rFonts w:ascii="Arial" w:hAnsi="Arial" w:cs="Arial"/>
                <w:sz w:val="20"/>
                <w:szCs w:val="20"/>
              </w:rPr>
              <w:t>266</w:t>
            </w:r>
          </w:p>
        </w:tc>
        <w:tc>
          <w:tcPr>
            <w:tcW w:w="3969" w:type="dxa"/>
            <w:vAlign w:val="center"/>
          </w:tcPr>
          <w:p w:rsidR="00FE3A69" w:rsidRDefault="00FE3A69" w:rsidP="00FE3A69">
            <w:pPr>
              <w:rPr>
                <w:rFonts w:ascii="Arial" w:hAnsi="Arial" w:cs="Arial"/>
                <w:sz w:val="20"/>
                <w:szCs w:val="20"/>
              </w:rPr>
            </w:pPr>
            <w:r>
              <w:rPr>
                <w:rFonts w:ascii="Arial" w:hAnsi="Arial" w:cs="Arial"/>
                <w:sz w:val="20"/>
                <w:szCs w:val="20"/>
              </w:rPr>
              <w:t xml:space="preserve">     Up to 50 tonnes</w:t>
            </w:r>
          </w:p>
        </w:tc>
        <w:tc>
          <w:tcPr>
            <w:tcW w:w="1725" w:type="dxa"/>
            <w:vAlign w:val="center"/>
          </w:tcPr>
          <w:p w:rsidR="00FE3A69" w:rsidRPr="00EF785B" w:rsidRDefault="00FE3A69" w:rsidP="00FE3A69">
            <w:pPr>
              <w:spacing w:before="60" w:after="60"/>
              <w:jc w:val="center"/>
              <w:rPr>
                <w:rFonts w:ascii="Arial" w:hAnsi="Arial" w:cs="Arial"/>
                <w:sz w:val="20"/>
                <w:szCs w:val="20"/>
              </w:rPr>
            </w:pPr>
            <w:r>
              <w:rPr>
                <w:rFonts w:ascii="Arial" w:hAnsi="Arial" w:cs="Arial"/>
                <w:sz w:val="20"/>
                <w:szCs w:val="20"/>
              </w:rPr>
              <w:t xml:space="preserve">TBD </w:t>
            </w:r>
          </w:p>
        </w:tc>
        <w:tc>
          <w:tcPr>
            <w:tcW w:w="2418" w:type="dxa"/>
            <w:vAlign w:val="center"/>
          </w:tcPr>
          <w:p w:rsidR="00FE3A69" w:rsidRPr="00EF785B" w:rsidRDefault="00FE3A69" w:rsidP="00FE3A69">
            <w:pPr>
              <w:spacing w:before="60" w:after="60"/>
              <w:jc w:val="center"/>
              <w:rPr>
                <w:rFonts w:ascii="Arial" w:hAnsi="Arial" w:cs="Arial"/>
                <w:sz w:val="20"/>
                <w:szCs w:val="20"/>
              </w:rPr>
            </w:pPr>
            <w:r>
              <w:rPr>
                <w:rFonts w:ascii="Arial" w:hAnsi="Arial" w:cs="Arial"/>
                <w:sz w:val="20"/>
                <w:szCs w:val="20"/>
              </w:rPr>
              <w:t>TBD</w:t>
            </w:r>
          </w:p>
        </w:tc>
      </w:tr>
      <w:tr w:rsidR="00FE3A69" w:rsidRPr="00EF785B" w:rsidTr="00FA2C75">
        <w:tc>
          <w:tcPr>
            <w:tcW w:w="4219" w:type="dxa"/>
            <w:vAlign w:val="center"/>
          </w:tcPr>
          <w:p w:rsidR="00FE3A69" w:rsidRDefault="00FE3A69" w:rsidP="00FE3A69">
            <w:pPr>
              <w:rPr>
                <w:rFonts w:ascii="Arial" w:hAnsi="Arial" w:cs="Arial"/>
                <w:sz w:val="20"/>
                <w:szCs w:val="20"/>
              </w:rPr>
            </w:pPr>
            <w:r>
              <w:rPr>
                <w:rFonts w:ascii="Arial" w:hAnsi="Arial" w:cs="Arial"/>
                <w:sz w:val="20"/>
                <w:szCs w:val="20"/>
              </w:rPr>
              <w:t xml:space="preserve">     51 to 150 tonnes</w:t>
            </w:r>
          </w:p>
        </w:tc>
        <w:tc>
          <w:tcPr>
            <w:tcW w:w="1843" w:type="dxa"/>
            <w:vAlign w:val="center"/>
          </w:tcPr>
          <w:p w:rsidR="00FE3A69" w:rsidRPr="00EF785B" w:rsidRDefault="00FE3A69" w:rsidP="00FE3A69">
            <w:pPr>
              <w:spacing w:before="60" w:after="60"/>
              <w:jc w:val="center"/>
              <w:rPr>
                <w:rFonts w:ascii="Arial" w:hAnsi="Arial" w:cs="Arial"/>
                <w:sz w:val="20"/>
                <w:szCs w:val="20"/>
              </w:rPr>
            </w:pPr>
            <w:r>
              <w:rPr>
                <w:rFonts w:ascii="Arial" w:hAnsi="Arial" w:cs="Arial"/>
                <w:sz w:val="20"/>
                <w:szCs w:val="20"/>
              </w:rPr>
              <w:t>902</w:t>
            </w:r>
          </w:p>
        </w:tc>
        <w:tc>
          <w:tcPr>
            <w:tcW w:w="3969" w:type="dxa"/>
            <w:vAlign w:val="center"/>
          </w:tcPr>
          <w:p w:rsidR="00FE3A69" w:rsidRDefault="00FE3A69" w:rsidP="00FE3A69">
            <w:pPr>
              <w:rPr>
                <w:rFonts w:ascii="Arial" w:hAnsi="Arial" w:cs="Arial"/>
                <w:sz w:val="20"/>
                <w:szCs w:val="20"/>
              </w:rPr>
            </w:pPr>
            <w:r>
              <w:rPr>
                <w:rFonts w:ascii="Arial" w:hAnsi="Arial" w:cs="Arial"/>
                <w:sz w:val="20"/>
                <w:szCs w:val="20"/>
              </w:rPr>
              <w:t xml:space="preserve">     51 to 150 tonnes</w:t>
            </w:r>
          </w:p>
        </w:tc>
        <w:tc>
          <w:tcPr>
            <w:tcW w:w="1725" w:type="dxa"/>
            <w:vAlign w:val="center"/>
          </w:tcPr>
          <w:p w:rsidR="00FE3A69" w:rsidRPr="00EF785B" w:rsidRDefault="00FE3A69" w:rsidP="00FE3A69">
            <w:pPr>
              <w:spacing w:before="60" w:after="60"/>
              <w:jc w:val="center"/>
              <w:rPr>
                <w:rFonts w:ascii="Arial" w:hAnsi="Arial" w:cs="Arial"/>
                <w:sz w:val="20"/>
                <w:szCs w:val="20"/>
              </w:rPr>
            </w:pPr>
            <w:r>
              <w:rPr>
                <w:rFonts w:ascii="Arial" w:hAnsi="Arial" w:cs="Arial"/>
                <w:sz w:val="20"/>
                <w:szCs w:val="20"/>
              </w:rPr>
              <w:t xml:space="preserve">TBD </w:t>
            </w:r>
          </w:p>
        </w:tc>
        <w:tc>
          <w:tcPr>
            <w:tcW w:w="2418" w:type="dxa"/>
            <w:vAlign w:val="center"/>
          </w:tcPr>
          <w:p w:rsidR="00FE3A69" w:rsidRPr="00EF785B" w:rsidRDefault="00FE3A69" w:rsidP="00FE3A69">
            <w:pPr>
              <w:spacing w:before="60" w:after="60"/>
              <w:jc w:val="center"/>
              <w:rPr>
                <w:rFonts w:ascii="Arial" w:hAnsi="Arial" w:cs="Arial"/>
                <w:sz w:val="20"/>
                <w:szCs w:val="20"/>
              </w:rPr>
            </w:pPr>
            <w:r>
              <w:rPr>
                <w:rFonts w:ascii="Arial" w:hAnsi="Arial" w:cs="Arial"/>
                <w:sz w:val="20"/>
                <w:szCs w:val="20"/>
              </w:rPr>
              <w:t>TBD</w:t>
            </w:r>
          </w:p>
        </w:tc>
      </w:tr>
      <w:tr w:rsidR="00FE3A69" w:rsidRPr="00EF785B" w:rsidTr="00FA2C75">
        <w:tc>
          <w:tcPr>
            <w:tcW w:w="4219" w:type="dxa"/>
            <w:vAlign w:val="center"/>
          </w:tcPr>
          <w:p w:rsidR="00FE3A69" w:rsidRDefault="00FE3A69" w:rsidP="00FE3A69">
            <w:pPr>
              <w:rPr>
                <w:rFonts w:ascii="Arial" w:hAnsi="Arial" w:cs="Arial"/>
                <w:sz w:val="20"/>
                <w:szCs w:val="20"/>
              </w:rPr>
            </w:pPr>
            <w:r>
              <w:rPr>
                <w:rFonts w:ascii="Arial" w:hAnsi="Arial" w:cs="Arial"/>
                <w:sz w:val="20"/>
                <w:szCs w:val="20"/>
              </w:rPr>
              <w:t xml:space="preserve">     Over 150 tonnes</w:t>
            </w:r>
          </w:p>
        </w:tc>
        <w:tc>
          <w:tcPr>
            <w:tcW w:w="1843" w:type="dxa"/>
            <w:vAlign w:val="center"/>
          </w:tcPr>
          <w:p w:rsidR="00FE3A69" w:rsidRPr="00EF785B" w:rsidRDefault="00FE3A69" w:rsidP="00FE3A69">
            <w:pPr>
              <w:spacing w:before="60" w:after="60"/>
              <w:jc w:val="center"/>
              <w:rPr>
                <w:rFonts w:ascii="Arial" w:hAnsi="Arial" w:cs="Arial"/>
                <w:sz w:val="20"/>
                <w:szCs w:val="20"/>
              </w:rPr>
            </w:pPr>
            <w:r>
              <w:rPr>
                <w:rFonts w:ascii="Arial" w:hAnsi="Arial" w:cs="Arial"/>
                <w:sz w:val="20"/>
                <w:szCs w:val="20"/>
              </w:rPr>
              <w:t>1,814</w:t>
            </w:r>
          </w:p>
        </w:tc>
        <w:tc>
          <w:tcPr>
            <w:tcW w:w="3969" w:type="dxa"/>
            <w:vAlign w:val="center"/>
          </w:tcPr>
          <w:p w:rsidR="00FE3A69" w:rsidRDefault="00FE3A69" w:rsidP="00FE3A69">
            <w:pPr>
              <w:rPr>
                <w:rFonts w:ascii="Arial" w:hAnsi="Arial" w:cs="Arial"/>
                <w:sz w:val="20"/>
                <w:szCs w:val="20"/>
              </w:rPr>
            </w:pPr>
            <w:r>
              <w:rPr>
                <w:rFonts w:ascii="Arial" w:hAnsi="Arial" w:cs="Arial"/>
                <w:sz w:val="20"/>
                <w:szCs w:val="20"/>
              </w:rPr>
              <w:t xml:space="preserve">     Over 150 tonnes</w:t>
            </w:r>
          </w:p>
        </w:tc>
        <w:tc>
          <w:tcPr>
            <w:tcW w:w="1725" w:type="dxa"/>
            <w:vAlign w:val="center"/>
          </w:tcPr>
          <w:p w:rsidR="00FE3A69" w:rsidRPr="00EF785B" w:rsidRDefault="00FE3A69" w:rsidP="00FE3A69">
            <w:pPr>
              <w:spacing w:before="60" w:after="60"/>
              <w:jc w:val="center"/>
              <w:rPr>
                <w:rFonts w:ascii="Arial" w:hAnsi="Arial" w:cs="Arial"/>
                <w:sz w:val="20"/>
                <w:szCs w:val="20"/>
              </w:rPr>
            </w:pPr>
            <w:r>
              <w:rPr>
                <w:rFonts w:ascii="Arial" w:hAnsi="Arial" w:cs="Arial"/>
                <w:sz w:val="20"/>
                <w:szCs w:val="20"/>
              </w:rPr>
              <w:t xml:space="preserve">TBD </w:t>
            </w:r>
          </w:p>
        </w:tc>
        <w:tc>
          <w:tcPr>
            <w:tcW w:w="2418" w:type="dxa"/>
            <w:vAlign w:val="center"/>
          </w:tcPr>
          <w:p w:rsidR="00FE3A69" w:rsidRPr="00EF785B" w:rsidRDefault="00FE3A69" w:rsidP="00FE3A69">
            <w:pPr>
              <w:spacing w:before="60" w:after="60"/>
              <w:jc w:val="center"/>
              <w:rPr>
                <w:rFonts w:ascii="Arial" w:hAnsi="Arial" w:cs="Arial"/>
                <w:sz w:val="20"/>
                <w:szCs w:val="20"/>
              </w:rPr>
            </w:pPr>
            <w:r>
              <w:rPr>
                <w:rFonts w:ascii="Arial" w:hAnsi="Arial" w:cs="Arial"/>
                <w:sz w:val="20"/>
                <w:szCs w:val="20"/>
              </w:rPr>
              <w:t>TBD</w:t>
            </w:r>
          </w:p>
        </w:tc>
      </w:tr>
    </w:tbl>
    <w:p w:rsidR="00FE3A69" w:rsidRDefault="00FE3A69" w:rsidP="00E30FAF">
      <w:pPr>
        <w:spacing w:after="0" w:line="240" w:lineRule="auto"/>
        <w:rPr>
          <w:rFonts w:ascii="Arial" w:hAnsi="Arial" w:cs="Arial"/>
          <w:sz w:val="20"/>
          <w:szCs w:val="20"/>
        </w:rPr>
      </w:pPr>
    </w:p>
    <w:p w:rsidR="00FE3A69" w:rsidRDefault="00FE3A69" w:rsidP="00E30FAF">
      <w:pPr>
        <w:spacing w:after="0" w:line="240" w:lineRule="auto"/>
        <w:rPr>
          <w:rFonts w:ascii="Arial" w:hAnsi="Arial" w:cs="Arial"/>
          <w:sz w:val="20"/>
          <w:szCs w:val="20"/>
        </w:rPr>
      </w:pPr>
    </w:p>
    <w:p w:rsidR="00FE3A69" w:rsidRDefault="00FE3A69" w:rsidP="00E30FAF">
      <w:pPr>
        <w:spacing w:after="0" w:line="240" w:lineRule="auto"/>
        <w:rPr>
          <w:rFonts w:ascii="Arial" w:hAnsi="Arial" w:cs="Arial"/>
          <w:sz w:val="20"/>
          <w:szCs w:val="20"/>
        </w:rPr>
      </w:pPr>
    </w:p>
    <w:p w:rsidR="00FE3A69" w:rsidRDefault="00FE3A69" w:rsidP="00E30FAF">
      <w:pPr>
        <w:spacing w:after="0" w:line="240" w:lineRule="auto"/>
        <w:rPr>
          <w:rFonts w:ascii="Arial" w:hAnsi="Arial" w:cs="Arial"/>
          <w:sz w:val="20"/>
          <w:szCs w:val="20"/>
        </w:rPr>
      </w:pPr>
    </w:p>
    <w:p w:rsidR="00FE3A69" w:rsidRDefault="00FE3A69" w:rsidP="00E30FAF">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4219"/>
        <w:gridCol w:w="1843"/>
        <w:gridCol w:w="3969"/>
        <w:gridCol w:w="1725"/>
        <w:gridCol w:w="2418"/>
      </w:tblGrid>
      <w:tr w:rsidR="00CE7C14" w:rsidTr="009E63BE">
        <w:tc>
          <w:tcPr>
            <w:tcW w:w="4219" w:type="dxa"/>
            <w:shd w:val="clear" w:color="auto" w:fill="F2F2F2" w:themeFill="background1" w:themeFillShade="F2"/>
            <w:vAlign w:val="center"/>
          </w:tcPr>
          <w:p w:rsidR="00CE7C14" w:rsidRPr="00E87CBB" w:rsidRDefault="00CE7C14" w:rsidP="00FA2C75">
            <w:pPr>
              <w:spacing w:before="60" w:after="60"/>
              <w:rPr>
                <w:rFonts w:ascii="Arial" w:hAnsi="Arial" w:cs="Arial"/>
                <w:b/>
                <w:sz w:val="20"/>
                <w:szCs w:val="20"/>
              </w:rPr>
            </w:pPr>
            <w:r>
              <w:rPr>
                <w:rFonts w:ascii="Arial" w:hAnsi="Arial" w:cs="Arial"/>
                <w:b/>
                <w:sz w:val="20"/>
                <w:szCs w:val="20"/>
              </w:rPr>
              <w:t>Meat Transport Vehicles</w:t>
            </w:r>
          </w:p>
        </w:tc>
        <w:tc>
          <w:tcPr>
            <w:tcW w:w="1843" w:type="dxa"/>
            <w:shd w:val="clear" w:color="auto" w:fill="F2F2F2" w:themeFill="background1" w:themeFillShade="F2"/>
            <w:vAlign w:val="center"/>
          </w:tcPr>
          <w:p w:rsidR="00CE7C14" w:rsidRPr="00EF785B" w:rsidRDefault="00CE7C14" w:rsidP="00FA2C75">
            <w:pPr>
              <w:spacing w:before="60" w:after="60"/>
              <w:jc w:val="center"/>
              <w:rPr>
                <w:rFonts w:ascii="Arial" w:hAnsi="Arial" w:cs="Arial"/>
                <w:b/>
                <w:sz w:val="20"/>
                <w:szCs w:val="20"/>
              </w:rPr>
            </w:pPr>
            <w:r w:rsidRPr="00EF785B">
              <w:rPr>
                <w:rFonts w:ascii="Arial" w:hAnsi="Arial" w:cs="Arial"/>
                <w:b/>
                <w:sz w:val="20"/>
                <w:szCs w:val="20"/>
              </w:rPr>
              <w:t>Current</w:t>
            </w:r>
          </w:p>
        </w:tc>
        <w:tc>
          <w:tcPr>
            <w:tcW w:w="8112" w:type="dxa"/>
            <w:gridSpan w:val="3"/>
            <w:shd w:val="clear" w:color="auto" w:fill="F2F2F2" w:themeFill="background1" w:themeFillShade="F2"/>
            <w:vAlign w:val="center"/>
          </w:tcPr>
          <w:p w:rsidR="00CE7C14" w:rsidRDefault="00CE7C14" w:rsidP="00FA2C75">
            <w:pPr>
              <w:spacing w:before="60" w:after="60"/>
              <w:jc w:val="center"/>
              <w:rPr>
                <w:rFonts w:ascii="Arial" w:hAnsi="Arial" w:cs="Arial"/>
                <w:b/>
                <w:sz w:val="20"/>
                <w:szCs w:val="20"/>
                <w:u w:val="single"/>
              </w:rPr>
            </w:pPr>
            <w:r w:rsidRPr="00EF785B">
              <w:rPr>
                <w:rFonts w:ascii="Arial" w:hAnsi="Arial" w:cs="Arial"/>
                <w:b/>
                <w:sz w:val="20"/>
                <w:szCs w:val="20"/>
              </w:rPr>
              <w:t>Proposed</w:t>
            </w:r>
          </w:p>
        </w:tc>
      </w:tr>
      <w:tr w:rsidR="00CE7C14" w:rsidRPr="00EF785B" w:rsidTr="00FA2C75">
        <w:tc>
          <w:tcPr>
            <w:tcW w:w="4219" w:type="dxa"/>
            <w:vAlign w:val="center"/>
          </w:tcPr>
          <w:p w:rsidR="00CE7C14" w:rsidRPr="00EF785B" w:rsidRDefault="00CE7C14" w:rsidP="00CE7C14">
            <w:pPr>
              <w:spacing w:before="60" w:after="60"/>
              <w:jc w:val="center"/>
              <w:rPr>
                <w:rFonts w:ascii="Arial" w:hAnsi="Arial" w:cs="Arial"/>
                <w:b/>
                <w:sz w:val="20"/>
                <w:szCs w:val="20"/>
              </w:rPr>
            </w:pPr>
            <w:r>
              <w:rPr>
                <w:rFonts w:ascii="Arial" w:hAnsi="Arial" w:cs="Arial"/>
                <w:b/>
                <w:sz w:val="20"/>
                <w:szCs w:val="20"/>
              </w:rPr>
              <w:t>Vehicle Type</w:t>
            </w:r>
          </w:p>
        </w:tc>
        <w:tc>
          <w:tcPr>
            <w:tcW w:w="1843" w:type="dxa"/>
            <w:vAlign w:val="center"/>
          </w:tcPr>
          <w:p w:rsidR="00CE7C14" w:rsidRDefault="00CE7C14" w:rsidP="00FA2C75">
            <w:pPr>
              <w:spacing w:before="60" w:after="60"/>
              <w:jc w:val="center"/>
              <w:rPr>
                <w:rFonts w:ascii="Arial" w:hAnsi="Arial" w:cs="Arial"/>
                <w:b/>
                <w:sz w:val="20"/>
                <w:szCs w:val="20"/>
              </w:rPr>
            </w:pPr>
            <w:r>
              <w:rPr>
                <w:rFonts w:ascii="Arial" w:hAnsi="Arial" w:cs="Arial"/>
                <w:b/>
                <w:sz w:val="20"/>
                <w:szCs w:val="20"/>
              </w:rPr>
              <w:t>2015-16</w:t>
            </w:r>
          </w:p>
          <w:p w:rsidR="00CE7C14" w:rsidRPr="00EF785B" w:rsidRDefault="00CE7C14" w:rsidP="00FA2C75">
            <w:pPr>
              <w:spacing w:before="60" w:after="60"/>
              <w:jc w:val="center"/>
              <w:rPr>
                <w:rFonts w:ascii="Arial" w:hAnsi="Arial" w:cs="Arial"/>
                <w:b/>
                <w:sz w:val="20"/>
                <w:szCs w:val="20"/>
              </w:rPr>
            </w:pPr>
            <w:r>
              <w:rPr>
                <w:rFonts w:ascii="Arial" w:hAnsi="Arial" w:cs="Arial"/>
                <w:b/>
                <w:sz w:val="20"/>
                <w:szCs w:val="20"/>
              </w:rPr>
              <w:t>$</w:t>
            </w:r>
          </w:p>
        </w:tc>
        <w:tc>
          <w:tcPr>
            <w:tcW w:w="3969" w:type="dxa"/>
            <w:vAlign w:val="center"/>
          </w:tcPr>
          <w:p w:rsidR="00CE7C14" w:rsidRPr="00EF785B" w:rsidRDefault="00CE7C14" w:rsidP="00FA2C75">
            <w:pPr>
              <w:spacing w:before="60" w:after="60"/>
              <w:jc w:val="center"/>
              <w:rPr>
                <w:rFonts w:ascii="Arial" w:hAnsi="Arial" w:cs="Arial"/>
                <w:b/>
                <w:sz w:val="20"/>
                <w:szCs w:val="20"/>
              </w:rPr>
            </w:pPr>
            <w:r>
              <w:rPr>
                <w:rFonts w:ascii="Arial" w:hAnsi="Arial" w:cs="Arial"/>
                <w:b/>
                <w:sz w:val="20"/>
                <w:szCs w:val="20"/>
              </w:rPr>
              <w:t>Vehicle Type</w:t>
            </w:r>
          </w:p>
        </w:tc>
        <w:tc>
          <w:tcPr>
            <w:tcW w:w="1725" w:type="dxa"/>
            <w:vAlign w:val="center"/>
          </w:tcPr>
          <w:p w:rsidR="00CE7C14" w:rsidRDefault="00CE7C14" w:rsidP="00FA2C75">
            <w:pPr>
              <w:spacing w:before="60" w:after="60"/>
              <w:jc w:val="center"/>
              <w:rPr>
                <w:rFonts w:ascii="Arial" w:hAnsi="Arial" w:cs="Arial"/>
                <w:b/>
                <w:sz w:val="20"/>
                <w:szCs w:val="20"/>
              </w:rPr>
            </w:pPr>
            <w:r w:rsidRPr="00EF785B">
              <w:rPr>
                <w:rFonts w:ascii="Arial" w:hAnsi="Arial" w:cs="Arial"/>
                <w:b/>
                <w:sz w:val="20"/>
                <w:szCs w:val="20"/>
              </w:rPr>
              <w:t>2016-17</w:t>
            </w:r>
          </w:p>
          <w:p w:rsidR="00CE7C14" w:rsidRPr="00EF785B" w:rsidRDefault="00CE7C14" w:rsidP="00FA2C75">
            <w:pPr>
              <w:spacing w:before="60" w:after="60"/>
              <w:jc w:val="center"/>
              <w:rPr>
                <w:rFonts w:ascii="Arial" w:hAnsi="Arial" w:cs="Arial"/>
                <w:b/>
                <w:sz w:val="20"/>
                <w:szCs w:val="20"/>
              </w:rPr>
            </w:pPr>
            <w:r>
              <w:rPr>
                <w:rFonts w:ascii="Arial" w:hAnsi="Arial" w:cs="Arial"/>
                <w:b/>
                <w:sz w:val="20"/>
                <w:szCs w:val="20"/>
              </w:rPr>
              <w:t>$</w:t>
            </w:r>
          </w:p>
        </w:tc>
        <w:tc>
          <w:tcPr>
            <w:tcW w:w="2418" w:type="dxa"/>
            <w:vAlign w:val="center"/>
          </w:tcPr>
          <w:p w:rsidR="00CE7C14" w:rsidRDefault="00CE7C14" w:rsidP="00FA2C75">
            <w:pPr>
              <w:spacing w:before="60" w:after="60"/>
              <w:jc w:val="center"/>
              <w:rPr>
                <w:rFonts w:ascii="Arial" w:hAnsi="Arial" w:cs="Arial"/>
                <w:b/>
                <w:sz w:val="20"/>
                <w:szCs w:val="20"/>
              </w:rPr>
            </w:pPr>
            <w:r>
              <w:rPr>
                <w:rFonts w:ascii="Arial" w:hAnsi="Arial" w:cs="Arial"/>
                <w:b/>
                <w:sz w:val="20"/>
                <w:szCs w:val="20"/>
              </w:rPr>
              <w:t>Increase</w:t>
            </w:r>
          </w:p>
          <w:p w:rsidR="00CE7C14" w:rsidRPr="00EF785B" w:rsidRDefault="00CE7C14" w:rsidP="00FA2C75">
            <w:pPr>
              <w:spacing w:before="60" w:after="60"/>
              <w:jc w:val="center"/>
              <w:rPr>
                <w:rFonts w:ascii="Arial" w:hAnsi="Arial" w:cs="Arial"/>
                <w:b/>
                <w:sz w:val="20"/>
                <w:szCs w:val="20"/>
              </w:rPr>
            </w:pPr>
            <w:r>
              <w:rPr>
                <w:rFonts w:ascii="Arial" w:hAnsi="Arial" w:cs="Arial"/>
                <w:b/>
                <w:sz w:val="20"/>
                <w:szCs w:val="20"/>
              </w:rPr>
              <w:t>%</w:t>
            </w:r>
          </w:p>
        </w:tc>
      </w:tr>
      <w:tr w:rsidR="00CE7C14" w:rsidRPr="00EF785B" w:rsidTr="00FA2C75">
        <w:tc>
          <w:tcPr>
            <w:tcW w:w="4219" w:type="dxa"/>
            <w:vAlign w:val="center"/>
          </w:tcPr>
          <w:p w:rsidR="00CE7C14" w:rsidRPr="00EF785B" w:rsidRDefault="00CE7C14" w:rsidP="00CE7C14">
            <w:pPr>
              <w:rPr>
                <w:rFonts w:ascii="Arial" w:hAnsi="Arial" w:cs="Arial"/>
                <w:sz w:val="20"/>
                <w:szCs w:val="20"/>
              </w:rPr>
            </w:pPr>
            <w:r>
              <w:rPr>
                <w:rFonts w:ascii="Arial" w:hAnsi="Arial" w:cs="Arial"/>
                <w:sz w:val="20"/>
                <w:szCs w:val="20"/>
              </w:rPr>
              <w:t>All vehicle types</w:t>
            </w:r>
          </w:p>
        </w:tc>
        <w:tc>
          <w:tcPr>
            <w:tcW w:w="1843" w:type="dxa"/>
            <w:vAlign w:val="center"/>
          </w:tcPr>
          <w:p w:rsidR="00CE7C14" w:rsidRPr="00EF785B" w:rsidRDefault="00CE7C14" w:rsidP="00CE7C14">
            <w:pPr>
              <w:spacing w:before="60" w:after="60"/>
              <w:jc w:val="center"/>
              <w:rPr>
                <w:rFonts w:ascii="Arial" w:hAnsi="Arial" w:cs="Arial"/>
                <w:sz w:val="20"/>
                <w:szCs w:val="20"/>
              </w:rPr>
            </w:pPr>
            <w:r>
              <w:rPr>
                <w:rFonts w:ascii="Arial" w:hAnsi="Arial" w:cs="Arial"/>
                <w:sz w:val="20"/>
                <w:szCs w:val="20"/>
              </w:rPr>
              <w:t>114</w:t>
            </w:r>
          </w:p>
        </w:tc>
        <w:tc>
          <w:tcPr>
            <w:tcW w:w="3969" w:type="dxa"/>
            <w:vAlign w:val="center"/>
          </w:tcPr>
          <w:p w:rsidR="00CE7C14" w:rsidRPr="00EF785B" w:rsidRDefault="00CE7C14" w:rsidP="00CE7C14">
            <w:pPr>
              <w:rPr>
                <w:rFonts w:ascii="Arial" w:hAnsi="Arial" w:cs="Arial"/>
                <w:sz w:val="20"/>
                <w:szCs w:val="20"/>
              </w:rPr>
            </w:pPr>
            <w:r>
              <w:rPr>
                <w:rFonts w:ascii="Arial" w:hAnsi="Arial" w:cs="Arial"/>
                <w:sz w:val="20"/>
                <w:szCs w:val="20"/>
              </w:rPr>
              <w:t>Commercial van</w:t>
            </w:r>
          </w:p>
        </w:tc>
        <w:tc>
          <w:tcPr>
            <w:tcW w:w="1725" w:type="dxa"/>
            <w:vAlign w:val="center"/>
          </w:tcPr>
          <w:p w:rsidR="00CE7C14" w:rsidRPr="00EF785B" w:rsidRDefault="00CE7C14" w:rsidP="00CE7C14">
            <w:pPr>
              <w:spacing w:before="60" w:after="60"/>
              <w:jc w:val="center"/>
              <w:rPr>
                <w:rFonts w:ascii="Arial" w:hAnsi="Arial" w:cs="Arial"/>
                <w:sz w:val="20"/>
                <w:szCs w:val="20"/>
              </w:rPr>
            </w:pPr>
            <w:r>
              <w:rPr>
                <w:rFonts w:ascii="Arial" w:hAnsi="Arial" w:cs="Arial"/>
                <w:sz w:val="20"/>
                <w:szCs w:val="20"/>
              </w:rPr>
              <w:t>128</w:t>
            </w:r>
          </w:p>
        </w:tc>
        <w:tc>
          <w:tcPr>
            <w:tcW w:w="2418" w:type="dxa"/>
            <w:vAlign w:val="center"/>
          </w:tcPr>
          <w:p w:rsidR="00CE7C14" w:rsidRPr="00EF785B" w:rsidRDefault="00CE7C14" w:rsidP="00CE7C14">
            <w:pPr>
              <w:spacing w:before="60" w:after="60"/>
              <w:jc w:val="center"/>
              <w:rPr>
                <w:rFonts w:ascii="Arial" w:hAnsi="Arial" w:cs="Arial"/>
                <w:sz w:val="20"/>
                <w:szCs w:val="20"/>
              </w:rPr>
            </w:pPr>
            <w:r>
              <w:rPr>
                <w:rFonts w:ascii="Arial" w:hAnsi="Arial" w:cs="Arial"/>
                <w:sz w:val="20"/>
                <w:szCs w:val="20"/>
              </w:rPr>
              <w:t>12.3%</w:t>
            </w:r>
          </w:p>
        </w:tc>
      </w:tr>
      <w:tr w:rsidR="00CE7C14" w:rsidRPr="00EF785B" w:rsidTr="00FA2C75">
        <w:tc>
          <w:tcPr>
            <w:tcW w:w="4219" w:type="dxa"/>
            <w:vAlign w:val="center"/>
          </w:tcPr>
          <w:p w:rsidR="00CE7C14" w:rsidRPr="00EF785B" w:rsidRDefault="00CE7C14" w:rsidP="00CE7C14">
            <w:pPr>
              <w:rPr>
                <w:rFonts w:ascii="Arial" w:hAnsi="Arial" w:cs="Arial"/>
                <w:sz w:val="20"/>
                <w:szCs w:val="20"/>
              </w:rPr>
            </w:pPr>
          </w:p>
        </w:tc>
        <w:tc>
          <w:tcPr>
            <w:tcW w:w="1843" w:type="dxa"/>
            <w:vAlign w:val="center"/>
          </w:tcPr>
          <w:p w:rsidR="00CE7C14" w:rsidRPr="00EF785B" w:rsidRDefault="00CE7C14" w:rsidP="00CE7C14">
            <w:pPr>
              <w:spacing w:before="60" w:after="60"/>
              <w:jc w:val="center"/>
              <w:rPr>
                <w:rFonts w:ascii="Arial" w:hAnsi="Arial" w:cs="Arial"/>
                <w:sz w:val="20"/>
                <w:szCs w:val="20"/>
              </w:rPr>
            </w:pPr>
          </w:p>
        </w:tc>
        <w:tc>
          <w:tcPr>
            <w:tcW w:w="3969" w:type="dxa"/>
            <w:vAlign w:val="center"/>
          </w:tcPr>
          <w:p w:rsidR="00CE7C14" w:rsidRPr="00EF785B" w:rsidRDefault="00CE7C14" w:rsidP="00CE7C14">
            <w:pPr>
              <w:rPr>
                <w:rFonts w:ascii="Arial" w:hAnsi="Arial" w:cs="Arial"/>
                <w:sz w:val="20"/>
                <w:szCs w:val="20"/>
              </w:rPr>
            </w:pPr>
            <w:r>
              <w:rPr>
                <w:rFonts w:ascii="Arial" w:hAnsi="Arial" w:cs="Arial"/>
                <w:sz w:val="20"/>
                <w:szCs w:val="20"/>
              </w:rPr>
              <w:t>Truck/Trailer under 4.5 tonnes GVM</w:t>
            </w:r>
          </w:p>
        </w:tc>
        <w:tc>
          <w:tcPr>
            <w:tcW w:w="1725" w:type="dxa"/>
            <w:vAlign w:val="center"/>
          </w:tcPr>
          <w:p w:rsidR="00CE7C14" w:rsidRPr="00EF785B" w:rsidRDefault="00CE7C14" w:rsidP="00CE7C14">
            <w:pPr>
              <w:spacing w:before="60" w:after="60"/>
              <w:jc w:val="center"/>
              <w:rPr>
                <w:rFonts w:ascii="Arial" w:hAnsi="Arial" w:cs="Arial"/>
                <w:sz w:val="20"/>
                <w:szCs w:val="20"/>
              </w:rPr>
            </w:pPr>
            <w:r>
              <w:rPr>
                <w:rFonts w:ascii="Arial" w:hAnsi="Arial" w:cs="Arial"/>
                <w:sz w:val="20"/>
                <w:szCs w:val="20"/>
              </w:rPr>
              <w:t>195</w:t>
            </w:r>
          </w:p>
        </w:tc>
        <w:tc>
          <w:tcPr>
            <w:tcW w:w="2418" w:type="dxa"/>
            <w:vAlign w:val="center"/>
          </w:tcPr>
          <w:p w:rsidR="00CE7C14" w:rsidRPr="00EF785B" w:rsidRDefault="00CE7C14" w:rsidP="00CE7C14">
            <w:pPr>
              <w:spacing w:before="60" w:after="60"/>
              <w:jc w:val="center"/>
              <w:rPr>
                <w:rFonts w:ascii="Arial" w:hAnsi="Arial" w:cs="Arial"/>
                <w:sz w:val="20"/>
                <w:szCs w:val="20"/>
              </w:rPr>
            </w:pPr>
            <w:r>
              <w:rPr>
                <w:rFonts w:ascii="Arial" w:hAnsi="Arial" w:cs="Arial"/>
                <w:sz w:val="20"/>
                <w:szCs w:val="20"/>
              </w:rPr>
              <w:t>71.1%</w:t>
            </w:r>
          </w:p>
        </w:tc>
      </w:tr>
      <w:tr w:rsidR="00CE7C14" w:rsidRPr="00EF785B" w:rsidTr="00CE7C14">
        <w:trPr>
          <w:trHeight w:val="70"/>
        </w:trPr>
        <w:tc>
          <w:tcPr>
            <w:tcW w:w="4219" w:type="dxa"/>
            <w:vAlign w:val="center"/>
          </w:tcPr>
          <w:p w:rsidR="00CE7C14" w:rsidRDefault="00CE7C14" w:rsidP="00CE7C14">
            <w:pPr>
              <w:rPr>
                <w:rFonts w:ascii="Arial" w:hAnsi="Arial" w:cs="Arial"/>
                <w:sz w:val="20"/>
                <w:szCs w:val="20"/>
              </w:rPr>
            </w:pPr>
          </w:p>
        </w:tc>
        <w:tc>
          <w:tcPr>
            <w:tcW w:w="1843" w:type="dxa"/>
            <w:vAlign w:val="center"/>
          </w:tcPr>
          <w:p w:rsidR="00CE7C14" w:rsidRPr="00EF785B" w:rsidRDefault="00CE7C14" w:rsidP="00CE7C14">
            <w:pPr>
              <w:spacing w:before="60" w:after="60"/>
              <w:jc w:val="center"/>
              <w:rPr>
                <w:rFonts w:ascii="Arial" w:hAnsi="Arial" w:cs="Arial"/>
                <w:sz w:val="20"/>
                <w:szCs w:val="20"/>
              </w:rPr>
            </w:pPr>
          </w:p>
        </w:tc>
        <w:tc>
          <w:tcPr>
            <w:tcW w:w="3969" w:type="dxa"/>
            <w:vAlign w:val="center"/>
          </w:tcPr>
          <w:p w:rsidR="00CE7C14" w:rsidRDefault="00CE7C14" w:rsidP="00CE7C14">
            <w:pPr>
              <w:rPr>
                <w:rFonts w:ascii="Arial" w:hAnsi="Arial" w:cs="Arial"/>
                <w:sz w:val="20"/>
                <w:szCs w:val="20"/>
              </w:rPr>
            </w:pPr>
            <w:r>
              <w:rPr>
                <w:rFonts w:ascii="Arial" w:hAnsi="Arial" w:cs="Arial"/>
                <w:sz w:val="20"/>
                <w:szCs w:val="20"/>
              </w:rPr>
              <w:t>Truck/Trailer over 4.5 tonnes GVM</w:t>
            </w:r>
          </w:p>
        </w:tc>
        <w:tc>
          <w:tcPr>
            <w:tcW w:w="1725" w:type="dxa"/>
            <w:vAlign w:val="center"/>
          </w:tcPr>
          <w:p w:rsidR="00CE7C14" w:rsidRPr="00EF785B" w:rsidRDefault="00CE7C14" w:rsidP="00CE7C14">
            <w:pPr>
              <w:spacing w:before="60" w:after="60"/>
              <w:jc w:val="center"/>
              <w:rPr>
                <w:rFonts w:ascii="Arial" w:hAnsi="Arial" w:cs="Arial"/>
                <w:sz w:val="20"/>
                <w:szCs w:val="20"/>
              </w:rPr>
            </w:pPr>
            <w:r>
              <w:rPr>
                <w:rFonts w:ascii="Arial" w:hAnsi="Arial" w:cs="Arial"/>
                <w:sz w:val="20"/>
                <w:szCs w:val="20"/>
              </w:rPr>
              <w:t>247</w:t>
            </w:r>
          </w:p>
        </w:tc>
        <w:tc>
          <w:tcPr>
            <w:tcW w:w="2418" w:type="dxa"/>
            <w:vAlign w:val="center"/>
          </w:tcPr>
          <w:p w:rsidR="00CE7C14" w:rsidRPr="00EF785B" w:rsidRDefault="00CE7C14" w:rsidP="00CE7C14">
            <w:pPr>
              <w:spacing w:before="60" w:after="60"/>
              <w:jc w:val="center"/>
              <w:rPr>
                <w:rFonts w:ascii="Arial" w:hAnsi="Arial" w:cs="Arial"/>
                <w:sz w:val="20"/>
                <w:szCs w:val="20"/>
              </w:rPr>
            </w:pPr>
            <w:r>
              <w:rPr>
                <w:rFonts w:ascii="Arial" w:hAnsi="Arial" w:cs="Arial"/>
                <w:sz w:val="20"/>
                <w:szCs w:val="20"/>
              </w:rPr>
              <w:t>116.7%</w:t>
            </w:r>
          </w:p>
        </w:tc>
      </w:tr>
    </w:tbl>
    <w:p w:rsidR="00FE3A69" w:rsidRDefault="00FE3A69" w:rsidP="00E30FAF">
      <w:pPr>
        <w:spacing w:after="0" w:line="240" w:lineRule="auto"/>
        <w:rPr>
          <w:rFonts w:ascii="Arial" w:hAnsi="Arial" w:cs="Arial"/>
          <w:sz w:val="20"/>
          <w:szCs w:val="20"/>
        </w:rPr>
      </w:pPr>
    </w:p>
    <w:p w:rsidR="00CE7C14" w:rsidRDefault="00CE7C14" w:rsidP="00E30FAF">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4219"/>
        <w:gridCol w:w="1843"/>
        <w:gridCol w:w="3969"/>
        <w:gridCol w:w="1725"/>
        <w:gridCol w:w="2418"/>
      </w:tblGrid>
      <w:tr w:rsidR="00CE7C14" w:rsidTr="009E63BE">
        <w:tc>
          <w:tcPr>
            <w:tcW w:w="4219" w:type="dxa"/>
            <w:shd w:val="clear" w:color="auto" w:fill="F2F2F2" w:themeFill="background1" w:themeFillShade="F2"/>
            <w:vAlign w:val="center"/>
          </w:tcPr>
          <w:p w:rsidR="00CE7C14" w:rsidRPr="00E87CBB" w:rsidRDefault="00CE7C14" w:rsidP="00FA2C75">
            <w:pPr>
              <w:spacing w:before="60" w:after="60"/>
              <w:rPr>
                <w:rFonts w:ascii="Arial" w:hAnsi="Arial" w:cs="Arial"/>
                <w:b/>
                <w:sz w:val="20"/>
                <w:szCs w:val="20"/>
              </w:rPr>
            </w:pPr>
            <w:r>
              <w:rPr>
                <w:rFonts w:ascii="Arial" w:hAnsi="Arial" w:cs="Arial"/>
                <w:b/>
                <w:sz w:val="20"/>
                <w:szCs w:val="20"/>
              </w:rPr>
              <w:t>Pre-Licensing Advice</w:t>
            </w:r>
          </w:p>
        </w:tc>
        <w:tc>
          <w:tcPr>
            <w:tcW w:w="1843" w:type="dxa"/>
            <w:shd w:val="clear" w:color="auto" w:fill="F2F2F2" w:themeFill="background1" w:themeFillShade="F2"/>
            <w:vAlign w:val="center"/>
          </w:tcPr>
          <w:p w:rsidR="00CE7C14" w:rsidRPr="00EF785B" w:rsidRDefault="00CE7C14" w:rsidP="00FA2C75">
            <w:pPr>
              <w:spacing w:before="60" w:after="60"/>
              <w:jc w:val="center"/>
              <w:rPr>
                <w:rFonts w:ascii="Arial" w:hAnsi="Arial" w:cs="Arial"/>
                <w:b/>
                <w:sz w:val="20"/>
                <w:szCs w:val="20"/>
              </w:rPr>
            </w:pPr>
            <w:r w:rsidRPr="00EF785B">
              <w:rPr>
                <w:rFonts w:ascii="Arial" w:hAnsi="Arial" w:cs="Arial"/>
                <w:b/>
                <w:sz w:val="20"/>
                <w:szCs w:val="20"/>
              </w:rPr>
              <w:t>Current</w:t>
            </w:r>
          </w:p>
        </w:tc>
        <w:tc>
          <w:tcPr>
            <w:tcW w:w="8112" w:type="dxa"/>
            <w:gridSpan w:val="3"/>
            <w:shd w:val="clear" w:color="auto" w:fill="F2F2F2" w:themeFill="background1" w:themeFillShade="F2"/>
            <w:vAlign w:val="center"/>
          </w:tcPr>
          <w:p w:rsidR="00CE7C14" w:rsidRDefault="00CE7C14" w:rsidP="00FA2C75">
            <w:pPr>
              <w:spacing w:before="60" w:after="60"/>
              <w:jc w:val="center"/>
              <w:rPr>
                <w:rFonts w:ascii="Arial" w:hAnsi="Arial" w:cs="Arial"/>
                <w:b/>
                <w:sz w:val="20"/>
                <w:szCs w:val="20"/>
                <w:u w:val="single"/>
              </w:rPr>
            </w:pPr>
            <w:r w:rsidRPr="00EF785B">
              <w:rPr>
                <w:rFonts w:ascii="Arial" w:hAnsi="Arial" w:cs="Arial"/>
                <w:b/>
                <w:sz w:val="20"/>
                <w:szCs w:val="20"/>
              </w:rPr>
              <w:t>Proposed</w:t>
            </w:r>
          </w:p>
        </w:tc>
      </w:tr>
      <w:tr w:rsidR="00CE7C14" w:rsidRPr="00EF785B" w:rsidTr="00FA2C75">
        <w:tc>
          <w:tcPr>
            <w:tcW w:w="4219" w:type="dxa"/>
            <w:vAlign w:val="center"/>
          </w:tcPr>
          <w:p w:rsidR="00CE7C14" w:rsidRPr="00EF785B" w:rsidRDefault="00CE7C14" w:rsidP="00FA2C75">
            <w:pPr>
              <w:spacing w:before="60" w:after="60"/>
              <w:jc w:val="center"/>
              <w:rPr>
                <w:rFonts w:ascii="Arial" w:hAnsi="Arial" w:cs="Arial"/>
                <w:b/>
                <w:sz w:val="20"/>
                <w:szCs w:val="20"/>
              </w:rPr>
            </w:pPr>
          </w:p>
        </w:tc>
        <w:tc>
          <w:tcPr>
            <w:tcW w:w="1843" w:type="dxa"/>
            <w:vAlign w:val="center"/>
          </w:tcPr>
          <w:p w:rsidR="00CE7C14" w:rsidRDefault="00CE7C14" w:rsidP="00FA2C75">
            <w:pPr>
              <w:spacing w:before="60" w:after="60"/>
              <w:jc w:val="center"/>
              <w:rPr>
                <w:rFonts w:ascii="Arial" w:hAnsi="Arial" w:cs="Arial"/>
                <w:b/>
                <w:sz w:val="20"/>
                <w:szCs w:val="20"/>
              </w:rPr>
            </w:pPr>
            <w:r>
              <w:rPr>
                <w:rFonts w:ascii="Arial" w:hAnsi="Arial" w:cs="Arial"/>
                <w:b/>
                <w:sz w:val="20"/>
                <w:szCs w:val="20"/>
              </w:rPr>
              <w:t>2015-16</w:t>
            </w:r>
          </w:p>
          <w:p w:rsidR="00CE7C14" w:rsidRPr="00EF785B" w:rsidRDefault="00CE7C14" w:rsidP="00FA2C75">
            <w:pPr>
              <w:spacing w:before="60" w:after="60"/>
              <w:jc w:val="center"/>
              <w:rPr>
                <w:rFonts w:ascii="Arial" w:hAnsi="Arial" w:cs="Arial"/>
                <w:b/>
                <w:sz w:val="20"/>
                <w:szCs w:val="20"/>
              </w:rPr>
            </w:pPr>
            <w:r>
              <w:rPr>
                <w:rFonts w:ascii="Arial" w:hAnsi="Arial" w:cs="Arial"/>
                <w:b/>
                <w:sz w:val="20"/>
                <w:szCs w:val="20"/>
              </w:rPr>
              <w:t>$</w:t>
            </w:r>
          </w:p>
        </w:tc>
        <w:tc>
          <w:tcPr>
            <w:tcW w:w="3969" w:type="dxa"/>
            <w:vAlign w:val="center"/>
          </w:tcPr>
          <w:p w:rsidR="00CE7C14" w:rsidRPr="00EF785B" w:rsidRDefault="00CE7C14" w:rsidP="00FA2C75">
            <w:pPr>
              <w:spacing w:before="60" w:after="60"/>
              <w:jc w:val="center"/>
              <w:rPr>
                <w:rFonts w:ascii="Arial" w:hAnsi="Arial" w:cs="Arial"/>
                <w:b/>
                <w:sz w:val="20"/>
                <w:szCs w:val="20"/>
              </w:rPr>
            </w:pPr>
          </w:p>
        </w:tc>
        <w:tc>
          <w:tcPr>
            <w:tcW w:w="1725" w:type="dxa"/>
            <w:vAlign w:val="center"/>
          </w:tcPr>
          <w:p w:rsidR="00CE7C14" w:rsidRDefault="00CE7C14" w:rsidP="00FA2C75">
            <w:pPr>
              <w:spacing w:before="60" w:after="60"/>
              <w:jc w:val="center"/>
              <w:rPr>
                <w:rFonts w:ascii="Arial" w:hAnsi="Arial" w:cs="Arial"/>
                <w:b/>
                <w:sz w:val="20"/>
                <w:szCs w:val="20"/>
              </w:rPr>
            </w:pPr>
            <w:r w:rsidRPr="00EF785B">
              <w:rPr>
                <w:rFonts w:ascii="Arial" w:hAnsi="Arial" w:cs="Arial"/>
                <w:b/>
                <w:sz w:val="20"/>
                <w:szCs w:val="20"/>
              </w:rPr>
              <w:t>2016-17</w:t>
            </w:r>
          </w:p>
          <w:p w:rsidR="00CE7C14" w:rsidRPr="00EF785B" w:rsidRDefault="00CE7C14" w:rsidP="00FA2C75">
            <w:pPr>
              <w:spacing w:before="60" w:after="60"/>
              <w:jc w:val="center"/>
              <w:rPr>
                <w:rFonts w:ascii="Arial" w:hAnsi="Arial" w:cs="Arial"/>
                <w:b/>
                <w:sz w:val="20"/>
                <w:szCs w:val="20"/>
              </w:rPr>
            </w:pPr>
            <w:r>
              <w:rPr>
                <w:rFonts w:ascii="Arial" w:hAnsi="Arial" w:cs="Arial"/>
                <w:b/>
                <w:sz w:val="20"/>
                <w:szCs w:val="20"/>
              </w:rPr>
              <w:t>$</w:t>
            </w:r>
          </w:p>
        </w:tc>
        <w:tc>
          <w:tcPr>
            <w:tcW w:w="2418" w:type="dxa"/>
            <w:vAlign w:val="center"/>
          </w:tcPr>
          <w:p w:rsidR="00CE7C14" w:rsidRDefault="00CE7C14" w:rsidP="00FA2C75">
            <w:pPr>
              <w:spacing w:before="60" w:after="60"/>
              <w:jc w:val="center"/>
              <w:rPr>
                <w:rFonts w:ascii="Arial" w:hAnsi="Arial" w:cs="Arial"/>
                <w:b/>
                <w:sz w:val="20"/>
                <w:szCs w:val="20"/>
              </w:rPr>
            </w:pPr>
            <w:r>
              <w:rPr>
                <w:rFonts w:ascii="Arial" w:hAnsi="Arial" w:cs="Arial"/>
                <w:b/>
                <w:sz w:val="20"/>
                <w:szCs w:val="20"/>
              </w:rPr>
              <w:t>Increase</w:t>
            </w:r>
          </w:p>
          <w:p w:rsidR="00CE7C14" w:rsidRPr="00EF785B" w:rsidRDefault="00CE7C14" w:rsidP="00FA2C75">
            <w:pPr>
              <w:spacing w:before="60" w:after="60"/>
              <w:jc w:val="center"/>
              <w:rPr>
                <w:rFonts w:ascii="Arial" w:hAnsi="Arial" w:cs="Arial"/>
                <w:b/>
                <w:sz w:val="20"/>
                <w:szCs w:val="20"/>
              </w:rPr>
            </w:pPr>
            <w:r>
              <w:rPr>
                <w:rFonts w:ascii="Arial" w:hAnsi="Arial" w:cs="Arial"/>
                <w:b/>
                <w:sz w:val="20"/>
                <w:szCs w:val="20"/>
              </w:rPr>
              <w:t>%</w:t>
            </w:r>
          </w:p>
        </w:tc>
      </w:tr>
      <w:tr w:rsidR="00CE7C14" w:rsidRPr="00EF785B" w:rsidTr="00FA2C75">
        <w:tc>
          <w:tcPr>
            <w:tcW w:w="4219" w:type="dxa"/>
            <w:vAlign w:val="center"/>
          </w:tcPr>
          <w:p w:rsidR="00CE7C14" w:rsidRPr="00EF785B" w:rsidRDefault="00CE7C14" w:rsidP="00FA2C75">
            <w:pPr>
              <w:rPr>
                <w:rFonts w:ascii="Arial" w:hAnsi="Arial" w:cs="Arial"/>
                <w:sz w:val="20"/>
                <w:szCs w:val="20"/>
              </w:rPr>
            </w:pPr>
            <w:r>
              <w:rPr>
                <w:rFonts w:ascii="Arial" w:hAnsi="Arial" w:cs="Arial"/>
                <w:sz w:val="20"/>
                <w:szCs w:val="20"/>
              </w:rPr>
              <w:t>Not available</w:t>
            </w:r>
          </w:p>
        </w:tc>
        <w:tc>
          <w:tcPr>
            <w:tcW w:w="1843" w:type="dxa"/>
            <w:vAlign w:val="center"/>
          </w:tcPr>
          <w:p w:rsidR="00CE7C14" w:rsidRPr="00EF785B" w:rsidRDefault="009E63BE" w:rsidP="00FA2C75">
            <w:pPr>
              <w:spacing w:before="60" w:after="60"/>
              <w:jc w:val="center"/>
              <w:rPr>
                <w:rFonts w:ascii="Arial" w:hAnsi="Arial" w:cs="Arial"/>
                <w:sz w:val="20"/>
                <w:szCs w:val="20"/>
              </w:rPr>
            </w:pPr>
            <w:r>
              <w:rPr>
                <w:rFonts w:ascii="Arial" w:hAnsi="Arial" w:cs="Arial"/>
                <w:sz w:val="20"/>
                <w:szCs w:val="20"/>
              </w:rPr>
              <w:t>Not applicable</w:t>
            </w:r>
          </w:p>
        </w:tc>
        <w:tc>
          <w:tcPr>
            <w:tcW w:w="3969" w:type="dxa"/>
            <w:vAlign w:val="center"/>
          </w:tcPr>
          <w:p w:rsidR="00CE7C14" w:rsidRPr="00EF785B" w:rsidRDefault="00CE7C14" w:rsidP="00FA2C75">
            <w:pPr>
              <w:rPr>
                <w:rFonts w:ascii="Arial" w:hAnsi="Arial" w:cs="Arial"/>
                <w:sz w:val="20"/>
                <w:szCs w:val="20"/>
              </w:rPr>
            </w:pPr>
            <w:r>
              <w:rPr>
                <w:rFonts w:ascii="Arial" w:hAnsi="Arial" w:cs="Arial"/>
                <w:sz w:val="20"/>
                <w:szCs w:val="20"/>
              </w:rPr>
              <w:t>All licence types</w:t>
            </w:r>
          </w:p>
        </w:tc>
        <w:tc>
          <w:tcPr>
            <w:tcW w:w="1725" w:type="dxa"/>
            <w:vAlign w:val="center"/>
          </w:tcPr>
          <w:p w:rsidR="00CE7C14" w:rsidRPr="00EF785B" w:rsidRDefault="00CE7C14" w:rsidP="00FA2C75">
            <w:pPr>
              <w:spacing w:before="60" w:after="60"/>
              <w:jc w:val="center"/>
              <w:rPr>
                <w:rFonts w:ascii="Arial" w:hAnsi="Arial" w:cs="Arial"/>
                <w:sz w:val="20"/>
                <w:szCs w:val="20"/>
              </w:rPr>
            </w:pPr>
            <w:r>
              <w:rPr>
                <w:rFonts w:ascii="Arial" w:hAnsi="Arial" w:cs="Arial"/>
                <w:sz w:val="20"/>
                <w:szCs w:val="20"/>
              </w:rPr>
              <w:t>250 per hour  (ex GST)</w:t>
            </w:r>
          </w:p>
        </w:tc>
        <w:tc>
          <w:tcPr>
            <w:tcW w:w="2418" w:type="dxa"/>
            <w:vAlign w:val="center"/>
          </w:tcPr>
          <w:p w:rsidR="00CE7C14" w:rsidRPr="00EF785B" w:rsidRDefault="00361C87" w:rsidP="001A080D">
            <w:pPr>
              <w:spacing w:before="60" w:after="60"/>
              <w:jc w:val="center"/>
              <w:rPr>
                <w:rFonts w:ascii="Arial" w:hAnsi="Arial" w:cs="Arial"/>
                <w:sz w:val="20"/>
                <w:szCs w:val="20"/>
              </w:rPr>
            </w:pPr>
            <w:r>
              <w:rPr>
                <w:rFonts w:ascii="Arial" w:hAnsi="Arial" w:cs="Arial"/>
                <w:sz w:val="20"/>
                <w:szCs w:val="20"/>
              </w:rPr>
              <w:t>Not applicable</w:t>
            </w:r>
          </w:p>
        </w:tc>
      </w:tr>
    </w:tbl>
    <w:p w:rsidR="00CE7C14" w:rsidRPr="00FE3A69" w:rsidRDefault="00CE7C14" w:rsidP="00E30FAF">
      <w:pPr>
        <w:spacing w:after="0" w:line="240" w:lineRule="auto"/>
        <w:rPr>
          <w:rFonts w:ascii="Arial" w:hAnsi="Arial" w:cs="Arial"/>
          <w:sz w:val="20"/>
          <w:szCs w:val="20"/>
        </w:rPr>
      </w:pPr>
    </w:p>
    <w:p w:rsidR="00012D1D" w:rsidRDefault="00012D1D" w:rsidP="00E30FAF">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4219"/>
        <w:gridCol w:w="1843"/>
        <w:gridCol w:w="3969"/>
        <w:gridCol w:w="1725"/>
        <w:gridCol w:w="2418"/>
      </w:tblGrid>
      <w:tr w:rsidR="00361C87" w:rsidTr="009E63BE">
        <w:tc>
          <w:tcPr>
            <w:tcW w:w="4219" w:type="dxa"/>
            <w:shd w:val="clear" w:color="auto" w:fill="F2F2F2" w:themeFill="background1" w:themeFillShade="F2"/>
            <w:vAlign w:val="center"/>
          </w:tcPr>
          <w:p w:rsidR="00361C87" w:rsidRPr="00E87CBB" w:rsidRDefault="00361C87" w:rsidP="00FA2C75">
            <w:pPr>
              <w:spacing w:before="60" w:after="60"/>
              <w:rPr>
                <w:rFonts w:ascii="Arial" w:hAnsi="Arial" w:cs="Arial"/>
                <w:b/>
                <w:sz w:val="20"/>
                <w:szCs w:val="20"/>
              </w:rPr>
            </w:pPr>
            <w:r>
              <w:rPr>
                <w:rFonts w:ascii="Arial" w:hAnsi="Arial" w:cs="Arial"/>
                <w:b/>
                <w:sz w:val="20"/>
                <w:szCs w:val="20"/>
              </w:rPr>
              <w:t>Seafood Retailer</w:t>
            </w:r>
          </w:p>
        </w:tc>
        <w:tc>
          <w:tcPr>
            <w:tcW w:w="1843" w:type="dxa"/>
            <w:shd w:val="clear" w:color="auto" w:fill="F2F2F2" w:themeFill="background1" w:themeFillShade="F2"/>
            <w:vAlign w:val="center"/>
          </w:tcPr>
          <w:p w:rsidR="00361C87" w:rsidRPr="00EF785B" w:rsidRDefault="00361C87" w:rsidP="00FA2C75">
            <w:pPr>
              <w:spacing w:before="60" w:after="60"/>
              <w:jc w:val="center"/>
              <w:rPr>
                <w:rFonts w:ascii="Arial" w:hAnsi="Arial" w:cs="Arial"/>
                <w:b/>
                <w:sz w:val="20"/>
                <w:szCs w:val="20"/>
              </w:rPr>
            </w:pPr>
            <w:r w:rsidRPr="00EF785B">
              <w:rPr>
                <w:rFonts w:ascii="Arial" w:hAnsi="Arial" w:cs="Arial"/>
                <w:b/>
                <w:sz w:val="20"/>
                <w:szCs w:val="20"/>
              </w:rPr>
              <w:t>Current</w:t>
            </w:r>
          </w:p>
        </w:tc>
        <w:tc>
          <w:tcPr>
            <w:tcW w:w="8112" w:type="dxa"/>
            <w:gridSpan w:val="3"/>
            <w:shd w:val="clear" w:color="auto" w:fill="F2F2F2" w:themeFill="background1" w:themeFillShade="F2"/>
            <w:vAlign w:val="center"/>
          </w:tcPr>
          <w:p w:rsidR="00361C87" w:rsidRDefault="00361C87" w:rsidP="00FA2C75">
            <w:pPr>
              <w:spacing w:before="60" w:after="60"/>
              <w:jc w:val="center"/>
              <w:rPr>
                <w:rFonts w:ascii="Arial" w:hAnsi="Arial" w:cs="Arial"/>
                <w:b/>
                <w:sz w:val="20"/>
                <w:szCs w:val="20"/>
                <w:u w:val="single"/>
              </w:rPr>
            </w:pPr>
            <w:r w:rsidRPr="00EF785B">
              <w:rPr>
                <w:rFonts w:ascii="Arial" w:hAnsi="Arial" w:cs="Arial"/>
                <w:b/>
                <w:sz w:val="20"/>
                <w:szCs w:val="20"/>
              </w:rPr>
              <w:t>Proposed</w:t>
            </w:r>
          </w:p>
        </w:tc>
      </w:tr>
      <w:tr w:rsidR="00361C87" w:rsidRPr="00EF785B" w:rsidTr="00FA2C75">
        <w:tc>
          <w:tcPr>
            <w:tcW w:w="4219" w:type="dxa"/>
            <w:vAlign w:val="center"/>
          </w:tcPr>
          <w:p w:rsidR="00361C87" w:rsidRPr="00EF785B" w:rsidRDefault="00361C87" w:rsidP="00FA2C75">
            <w:pPr>
              <w:spacing w:before="60" w:after="60"/>
              <w:jc w:val="center"/>
              <w:rPr>
                <w:rFonts w:ascii="Arial" w:hAnsi="Arial" w:cs="Arial"/>
                <w:b/>
                <w:sz w:val="20"/>
                <w:szCs w:val="20"/>
              </w:rPr>
            </w:pPr>
            <w:r>
              <w:rPr>
                <w:rFonts w:ascii="Arial" w:hAnsi="Arial" w:cs="Arial"/>
                <w:b/>
                <w:sz w:val="20"/>
                <w:szCs w:val="20"/>
              </w:rPr>
              <w:t>Throughput</w:t>
            </w:r>
          </w:p>
        </w:tc>
        <w:tc>
          <w:tcPr>
            <w:tcW w:w="1843" w:type="dxa"/>
            <w:vAlign w:val="center"/>
          </w:tcPr>
          <w:p w:rsidR="00361C87" w:rsidRDefault="00361C87" w:rsidP="00FA2C75">
            <w:pPr>
              <w:spacing w:before="60" w:after="60"/>
              <w:jc w:val="center"/>
              <w:rPr>
                <w:rFonts w:ascii="Arial" w:hAnsi="Arial" w:cs="Arial"/>
                <w:b/>
                <w:sz w:val="20"/>
                <w:szCs w:val="20"/>
              </w:rPr>
            </w:pPr>
            <w:r>
              <w:rPr>
                <w:rFonts w:ascii="Arial" w:hAnsi="Arial" w:cs="Arial"/>
                <w:b/>
                <w:sz w:val="20"/>
                <w:szCs w:val="20"/>
              </w:rPr>
              <w:t>2015-16</w:t>
            </w:r>
          </w:p>
          <w:p w:rsidR="00361C87" w:rsidRPr="00EF785B" w:rsidRDefault="00361C87" w:rsidP="00FA2C75">
            <w:pPr>
              <w:spacing w:before="60" w:after="60"/>
              <w:jc w:val="center"/>
              <w:rPr>
                <w:rFonts w:ascii="Arial" w:hAnsi="Arial" w:cs="Arial"/>
                <w:b/>
                <w:sz w:val="20"/>
                <w:szCs w:val="20"/>
              </w:rPr>
            </w:pPr>
            <w:r>
              <w:rPr>
                <w:rFonts w:ascii="Arial" w:hAnsi="Arial" w:cs="Arial"/>
                <w:b/>
                <w:sz w:val="20"/>
                <w:szCs w:val="20"/>
              </w:rPr>
              <w:t>$</w:t>
            </w:r>
          </w:p>
        </w:tc>
        <w:tc>
          <w:tcPr>
            <w:tcW w:w="3969" w:type="dxa"/>
            <w:vAlign w:val="center"/>
          </w:tcPr>
          <w:p w:rsidR="00361C87" w:rsidRPr="00EF785B" w:rsidRDefault="00361C87" w:rsidP="00FA2C75">
            <w:pPr>
              <w:spacing w:before="60" w:after="60"/>
              <w:jc w:val="center"/>
              <w:rPr>
                <w:rFonts w:ascii="Arial" w:hAnsi="Arial" w:cs="Arial"/>
                <w:b/>
                <w:sz w:val="20"/>
                <w:szCs w:val="20"/>
              </w:rPr>
            </w:pPr>
            <w:r>
              <w:rPr>
                <w:rFonts w:ascii="Arial" w:hAnsi="Arial" w:cs="Arial"/>
                <w:b/>
                <w:sz w:val="20"/>
                <w:szCs w:val="20"/>
              </w:rPr>
              <w:t>Throughput</w:t>
            </w:r>
          </w:p>
        </w:tc>
        <w:tc>
          <w:tcPr>
            <w:tcW w:w="1725" w:type="dxa"/>
            <w:vAlign w:val="center"/>
          </w:tcPr>
          <w:p w:rsidR="00361C87" w:rsidRDefault="00361C87" w:rsidP="00FA2C75">
            <w:pPr>
              <w:spacing w:before="60" w:after="60"/>
              <w:jc w:val="center"/>
              <w:rPr>
                <w:rFonts w:ascii="Arial" w:hAnsi="Arial" w:cs="Arial"/>
                <w:b/>
                <w:sz w:val="20"/>
                <w:szCs w:val="20"/>
              </w:rPr>
            </w:pPr>
            <w:r w:rsidRPr="00EF785B">
              <w:rPr>
                <w:rFonts w:ascii="Arial" w:hAnsi="Arial" w:cs="Arial"/>
                <w:b/>
                <w:sz w:val="20"/>
                <w:szCs w:val="20"/>
              </w:rPr>
              <w:t>2016-17</w:t>
            </w:r>
          </w:p>
          <w:p w:rsidR="00361C87" w:rsidRPr="00EF785B" w:rsidRDefault="00361C87" w:rsidP="00FA2C75">
            <w:pPr>
              <w:spacing w:before="60" w:after="60"/>
              <w:jc w:val="center"/>
              <w:rPr>
                <w:rFonts w:ascii="Arial" w:hAnsi="Arial" w:cs="Arial"/>
                <w:b/>
                <w:sz w:val="20"/>
                <w:szCs w:val="20"/>
              </w:rPr>
            </w:pPr>
            <w:r>
              <w:rPr>
                <w:rFonts w:ascii="Arial" w:hAnsi="Arial" w:cs="Arial"/>
                <w:b/>
                <w:sz w:val="20"/>
                <w:szCs w:val="20"/>
              </w:rPr>
              <w:t>$</w:t>
            </w:r>
          </w:p>
        </w:tc>
        <w:tc>
          <w:tcPr>
            <w:tcW w:w="2418" w:type="dxa"/>
            <w:vAlign w:val="center"/>
          </w:tcPr>
          <w:p w:rsidR="00361C87" w:rsidRDefault="00361C87" w:rsidP="00FA2C75">
            <w:pPr>
              <w:spacing w:before="60" w:after="60"/>
              <w:jc w:val="center"/>
              <w:rPr>
                <w:rFonts w:ascii="Arial" w:hAnsi="Arial" w:cs="Arial"/>
                <w:b/>
                <w:sz w:val="20"/>
                <w:szCs w:val="20"/>
              </w:rPr>
            </w:pPr>
            <w:r>
              <w:rPr>
                <w:rFonts w:ascii="Arial" w:hAnsi="Arial" w:cs="Arial"/>
                <w:b/>
                <w:sz w:val="20"/>
                <w:szCs w:val="20"/>
              </w:rPr>
              <w:t>Increase</w:t>
            </w:r>
          </w:p>
          <w:p w:rsidR="00361C87" w:rsidRPr="00EF785B" w:rsidRDefault="00361C87" w:rsidP="00FA2C75">
            <w:pPr>
              <w:spacing w:before="60" w:after="60"/>
              <w:jc w:val="center"/>
              <w:rPr>
                <w:rFonts w:ascii="Arial" w:hAnsi="Arial" w:cs="Arial"/>
                <w:b/>
                <w:sz w:val="20"/>
                <w:szCs w:val="20"/>
              </w:rPr>
            </w:pPr>
            <w:r>
              <w:rPr>
                <w:rFonts w:ascii="Arial" w:hAnsi="Arial" w:cs="Arial"/>
                <w:b/>
                <w:sz w:val="20"/>
                <w:szCs w:val="20"/>
              </w:rPr>
              <w:t>%</w:t>
            </w:r>
          </w:p>
        </w:tc>
      </w:tr>
      <w:tr w:rsidR="00361C87" w:rsidRPr="00EF785B" w:rsidTr="00FA2C75">
        <w:tc>
          <w:tcPr>
            <w:tcW w:w="4219" w:type="dxa"/>
            <w:vAlign w:val="center"/>
          </w:tcPr>
          <w:p w:rsidR="00361C87" w:rsidRPr="001137AC" w:rsidRDefault="00361C87" w:rsidP="00FA2C75">
            <w:pPr>
              <w:spacing w:before="60" w:after="60"/>
              <w:rPr>
                <w:rFonts w:ascii="Arial" w:hAnsi="Arial" w:cs="Arial"/>
                <w:sz w:val="20"/>
                <w:szCs w:val="20"/>
              </w:rPr>
            </w:pPr>
            <w:r>
              <w:rPr>
                <w:rFonts w:ascii="Arial" w:hAnsi="Arial" w:cs="Arial"/>
                <w:sz w:val="20"/>
                <w:szCs w:val="20"/>
              </w:rPr>
              <w:t>Not applicable</w:t>
            </w:r>
          </w:p>
        </w:tc>
        <w:tc>
          <w:tcPr>
            <w:tcW w:w="1843" w:type="dxa"/>
            <w:vAlign w:val="center"/>
          </w:tcPr>
          <w:p w:rsidR="00361C87" w:rsidRPr="00EF785B" w:rsidRDefault="00361C87" w:rsidP="00FA2C75">
            <w:pPr>
              <w:spacing w:before="60" w:after="60"/>
              <w:jc w:val="center"/>
              <w:rPr>
                <w:rFonts w:ascii="Arial" w:hAnsi="Arial" w:cs="Arial"/>
                <w:sz w:val="20"/>
                <w:szCs w:val="20"/>
              </w:rPr>
            </w:pPr>
            <w:r>
              <w:rPr>
                <w:rFonts w:ascii="Arial" w:hAnsi="Arial" w:cs="Arial"/>
                <w:sz w:val="20"/>
                <w:szCs w:val="20"/>
              </w:rPr>
              <w:t>615</w:t>
            </w:r>
          </w:p>
        </w:tc>
        <w:tc>
          <w:tcPr>
            <w:tcW w:w="3969" w:type="dxa"/>
            <w:vAlign w:val="center"/>
          </w:tcPr>
          <w:p w:rsidR="00361C87" w:rsidRPr="001137AC" w:rsidRDefault="00361C87" w:rsidP="00FA2C75">
            <w:pPr>
              <w:spacing w:before="60" w:after="60"/>
              <w:rPr>
                <w:rFonts w:ascii="Arial" w:hAnsi="Arial" w:cs="Arial"/>
                <w:sz w:val="20"/>
                <w:szCs w:val="20"/>
              </w:rPr>
            </w:pPr>
            <w:r>
              <w:rPr>
                <w:rFonts w:ascii="Arial" w:hAnsi="Arial" w:cs="Arial"/>
                <w:sz w:val="20"/>
                <w:szCs w:val="20"/>
              </w:rPr>
              <w:t>Not applicable</w:t>
            </w:r>
          </w:p>
        </w:tc>
        <w:tc>
          <w:tcPr>
            <w:tcW w:w="1725" w:type="dxa"/>
            <w:vAlign w:val="center"/>
          </w:tcPr>
          <w:p w:rsidR="00361C87" w:rsidRPr="00EF785B" w:rsidRDefault="00361C87" w:rsidP="00FA2C75">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361C87" w:rsidRPr="00EF785B" w:rsidRDefault="00361C87" w:rsidP="00FA2C75">
            <w:pPr>
              <w:spacing w:before="60" w:after="60"/>
              <w:jc w:val="center"/>
              <w:rPr>
                <w:rFonts w:ascii="Arial" w:hAnsi="Arial" w:cs="Arial"/>
                <w:sz w:val="20"/>
                <w:szCs w:val="20"/>
              </w:rPr>
            </w:pPr>
            <w:r>
              <w:rPr>
                <w:rFonts w:ascii="Arial" w:hAnsi="Arial" w:cs="Arial"/>
                <w:sz w:val="20"/>
                <w:szCs w:val="20"/>
              </w:rPr>
              <w:t>TBD</w:t>
            </w:r>
          </w:p>
        </w:tc>
      </w:tr>
    </w:tbl>
    <w:p w:rsidR="00361C87" w:rsidRDefault="00361C87" w:rsidP="00361C87">
      <w:pPr>
        <w:spacing w:after="0" w:line="240" w:lineRule="auto"/>
        <w:rPr>
          <w:rFonts w:ascii="Arial" w:hAnsi="Arial" w:cs="Arial"/>
          <w:b/>
          <w:sz w:val="20"/>
          <w:szCs w:val="20"/>
        </w:rPr>
      </w:pPr>
    </w:p>
    <w:p w:rsidR="005F74D6" w:rsidRDefault="005F74D6" w:rsidP="00361C87">
      <w:pPr>
        <w:spacing w:after="0" w:line="240" w:lineRule="auto"/>
        <w:rPr>
          <w:rFonts w:ascii="Arial" w:hAnsi="Arial" w:cs="Arial"/>
          <w:b/>
          <w:sz w:val="20"/>
          <w:szCs w:val="20"/>
        </w:rPr>
      </w:pPr>
    </w:p>
    <w:p w:rsidR="005F74D6" w:rsidRDefault="005F74D6" w:rsidP="00361C87">
      <w:pPr>
        <w:spacing w:after="0" w:line="240" w:lineRule="auto"/>
        <w:rPr>
          <w:rFonts w:ascii="Arial" w:hAnsi="Arial" w:cs="Arial"/>
          <w:b/>
          <w:sz w:val="20"/>
          <w:szCs w:val="20"/>
        </w:rPr>
      </w:pPr>
    </w:p>
    <w:p w:rsidR="005F74D6" w:rsidRPr="00FC6804" w:rsidRDefault="005F74D6" w:rsidP="00361C87">
      <w:pPr>
        <w:spacing w:after="0" w:line="240" w:lineRule="auto"/>
        <w:rPr>
          <w:rFonts w:ascii="Arial" w:hAnsi="Arial" w:cs="Arial"/>
          <w:b/>
          <w:sz w:val="20"/>
          <w:szCs w:val="20"/>
        </w:rPr>
      </w:pPr>
    </w:p>
    <w:p w:rsidR="00361C87" w:rsidRDefault="00361C87" w:rsidP="00E30FAF">
      <w:pPr>
        <w:spacing w:after="0" w:line="240" w:lineRule="auto"/>
        <w:rPr>
          <w:rFonts w:ascii="Arial" w:hAnsi="Arial" w:cs="Arial"/>
          <w:b/>
          <w:sz w:val="20"/>
          <w:szCs w:val="20"/>
          <w:u w:val="single"/>
        </w:rPr>
      </w:pPr>
    </w:p>
    <w:p w:rsidR="001A080D" w:rsidRDefault="001A080D" w:rsidP="00E30FAF">
      <w:pPr>
        <w:spacing w:after="0" w:line="240" w:lineRule="auto"/>
        <w:rPr>
          <w:rFonts w:ascii="Arial" w:hAnsi="Arial" w:cs="Arial"/>
          <w:b/>
          <w:sz w:val="20"/>
          <w:szCs w:val="20"/>
          <w:u w:val="single"/>
        </w:rPr>
      </w:pPr>
    </w:p>
    <w:p w:rsidR="001A080D" w:rsidRDefault="001A080D" w:rsidP="00E30FAF">
      <w:pPr>
        <w:spacing w:after="0" w:line="240" w:lineRule="auto"/>
        <w:rPr>
          <w:rFonts w:ascii="Arial" w:hAnsi="Arial" w:cs="Arial"/>
          <w:b/>
          <w:sz w:val="20"/>
          <w:szCs w:val="20"/>
          <w:u w:val="single"/>
        </w:rPr>
      </w:pPr>
    </w:p>
    <w:p w:rsidR="001A080D" w:rsidRDefault="001A080D" w:rsidP="00E30FAF">
      <w:pPr>
        <w:spacing w:after="0" w:line="240" w:lineRule="auto"/>
        <w:rPr>
          <w:rFonts w:ascii="Arial" w:hAnsi="Arial" w:cs="Arial"/>
          <w:b/>
          <w:sz w:val="20"/>
          <w:szCs w:val="20"/>
          <w:u w:val="single"/>
        </w:rPr>
      </w:pPr>
    </w:p>
    <w:p w:rsidR="001A080D" w:rsidRDefault="001A080D" w:rsidP="00E30FAF">
      <w:pPr>
        <w:spacing w:after="0" w:line="240" w:lineRule="auto"/>
        <w:rPr>
          <w:rFonts w:ascii="Arial" w:hAnsi="Arial" w:cs="Arial"/>
          <w:b/>
          <w:sz w:val="20"/>
          <w:szCs w:val="20"/>
          <w:u w:val="single"/>
        </w:rPr>
      </w:pPr>
    </w:p>
    <w:p w:rsidR="001A080D" w:rsidRDefault="001A080D" w:rsidP="00E30FAF">
      <w:pPr>
        <w:spacing w:after="0" w:line="240" w:lineRule="auto"/>
        <w:rPr>
          <w:rFonts w:ascii="Arial" w:hAnsi="Arial" w:cs="Arial"/>
          <w:b/>
          <w:sz w:val="20"/>
          <w:szCs w:val="20"/>
          <w:u w:val="single"/>
        </w:rPr>
      </w:pPr>
    </w:p>
    <w:p w:rsidR="001A080D" w:rsidRDefault="001A080D" w:rsidP="00E30FAF">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4219"/>
        <w:gridCol w:w="1843"/>
        <w:gridCol w:w="3969"/>
        <w:gridCol w:w="1725"/>
        <w:gridCol w:w="2418"/>
      </w:tblGrid>
      <w:tr w:rsidR="001A080D" w:rsidTr="009E63BE">
        <w:tc>
          <w:tcPr>
            <w:tcW w:w="4219" w:type="dxa"/>
            <w:shd w:val="clear" w:color="auto" w:fill="F2F2F2" w:themeFill="background1" w:themeFillShade="F2"/>
            <w:vAlign w:val="center"/>
          </w:tcPr>
          <w:p w:rsidR="001A080D" w:rsidRPr="00E87CBB" w:rsidRDefault="001137AC" w:rsidP="00FA2C75">
            <w:pPr>
              <w:spacing w:before="60" w:after="60"/>
              <w:rPr>
                <w:rFonts w:ascii="Arial" w:hAnsi="Arial" w:cs="Arial"/>
                <w:b/>
                <w:sz w:val="20"/>
                <w:szCs w:val="20"/>
              </w:rPr>
            </w:pPr>
            <w:r>
              <w:rPr>
                <w:rFonts w:ascii="Arial" w:hAnsi="Arial" w:cs="Arial"/>
                <w:b/>
                <w:sz w:val="20"/>
                <w:szCs w:val="20"/>
              </w:rPr>
              <w:t>Seafood Wholesaler Category A</w:t>
            </w:r>
            <w:r w:rsidR="00361C87">
              <w:rPr>
                <w:rFonts w:ascii="Arial" w:hAnsi="Arial" w:cs="Arial"/>
                <w:b/>
                <w:sz w:val="20"/>
                <w:szCs w:val="20"/>
              </w:rPr>
              <w:t xml:space="preserve"> *</w:t>
            </w:r>
          </w:p>
        </w:tc>
        <w:tc>
          <w:tcPr>
            <w:tcW w:w="1843" w:type="dxa"/>
            <w:shd w:val="clear" w:color="auto" w:fill="F2F2F2" w:themeFill="background1" w:themeFillShade="F2"/>
            <w:vAlign w:val="center"/>
          </w:tcPr>
          <w:p w:rsidR="001A080D" w:rsidRPr="00EF785B" w:rsidRDefault="001A080D" w:rsidP="00FA2C75">
            <w:pPr>
              <w:spacing w:before="60" w:after="60"/>
              <w:jc w:val="center"/>
              <w:rPr>
                <w:rFonts w:ascii="Arial" w:hAnsi="Arial" w:cs="Arial"/>
                <w:b/>
                <w:sz w:val="20"/>
                <w:szCs w:val="20"/>
              </w:rPr>
            </w:pPr>
            <w:r w:rsidRPr="00EF785B">
              <w:rPr>
                <w:rFonts w:ascii="Arial" w:hAnsi="Arial" w:cs="Arial"/>
                <w:b/>
                <w:sz w:val="20"/>
                <w:szCs w:val="20"/>
              </w:rPr>
              <w:t>Current</w:t>
            </w:r>
          </w:p>
        </w:tc>
        <w:tc>
          <w:tcPr>
            <w:tcW w:w="8112" w:type="dxa"/>
            <w:gridSpan w:val="3"/>
            <w:shd w:val="clear" w:color="auto" w:fill="F2F2F2" w:themeFill="background1" w:themeFillShade="F2"/>
            <w:vAlign w:val="center"/>
          </w:tcPr>
          <w:p w:rsidR="001A080D" w:rsidRDefault="001A080D" w:rsidP="00FA2C75">
            <w:pPr>
              <w:spacing w:before="60" w:after="60"/>
              <w:jc w:val="center"/>
              <w:rPr>
                <w:rFonts w:ascii="Arial" w:hAnsi="Arial" w:cs="Arial"/>
                <w:b/>
                <w:sz w:val="20"/>
                <w:szCs w:val="20"/>
                <w:u w:val="single"/>
              </w:rPr>
            </w:pPr>
            <w:r w:rsidRPr="00EF785B">
              <w:rPr>
                <w:rFonts w:ascii="Arial" w:hAnsi="Arial" w:cs="Arial"/>
                <w:b/>
                <w:sz w:val="20"/>
                <w:szCs w:val="20"/>
              </w:rPr>
              <w:t>Proposed</w:t>
            </w:r>
          </w:p>
        </w:tc>
      </w:tr>
      <w:tr w:rsidR="001A080D" w:rsidRPr="00EF785B" w:rsidTr="00FA2C75">
        <w:tc>
          <w:tcPr>
            <w:tcW w:w="4219" w:type="dxa"/>
            <w:vAlign w:val="center"/>
          </w:tcPr>
          <w:p w:rsidR="001A080D" w:rsidRPr="00EF785B" w:rsidRDefault="001137AC" w:rsidP="00FA2C75">
            <w:pPr>
              <w:spacing w:before="60" w:after="60"/>
              <w:jc w:val="center"/>
              <w:rPr>
                <w:rFonts w:ascii="Arial" w:hAnsi="Arial" w:cs="Arial"/>
                <w:b/>
                <w:sz w:val="20"/>
                <w:szCs w:val="20"/>
              </w:rPr>
            </w:pPr>
            <w:r>
              <w:rPr>
                <w:rFonts w:ascii="Arial" w:hAnsi="Arial" w:cs="Arial"/>
                <w:b/>
                <w:sz w:val="20"/>
                <w:szCs w:val="20"/>
              </w:rPr>
              <w:t>Throughput</w:t>
            </w:r>
          </w:p>
        </w:tc>
        <w:tc>
          <w:tcPr>
            <w:tcW w:w="1843" w:type="dxa"/>
            <w:vAlign w:val="center"/>
          </w:tcPr>
          <w:p w:rsidR="001A080D" w:rsidRDefault="001A080D" w:rsidP="00FA2C75">
            <w:pPr>
              <w:spacing w:before="60" w:after="60"/>
              <w:jc w:val="center"/>
              <w:rPr>
                <w:rFonts w:ascii="Arial" w:hAnsi="Arial" w:cs="Arial"/>
                <w:b/>
                <w:sz w:val="20"/>
                <w:szCs w:val="20"/>
              </w:rPr>
            </w:pPr>
            <w:r>
              <w:rPr>
                <w:rFonts w:ascii="Arial" w:hAnsi="Arial" w:cs="Arial"/>
                <w:b/>
                <w:sz w:val="20"/>
                <w:szCs w:val="20"/>
              </w:rPr>
              <w:t>2015-16</w:t>
            </w:r>
          </w:p>
          <w:p w:rsidR="001A080D" w:rsidRPr="00EF785B" w:rsidRDefault="001A080D" w:rsidP="00FA2C75">
            <w:pPr>
              <w:spacing w:before="60" w:after="60"/>
              <w:jc w:val="center"/>
              <w:rPr>
                <w:rFonts w:ascii="Arial" w:hAnsi="Arial" w:cs="Arial"/>
                <w:b/>
                <w:sz w:val="20"/>
                <w:szCs w:val="20"/>
              </w:rPr>
            </w:pPr>
            <w:r>
              <w:rPr>
                <w:rFonts w:ascii="Arial" w:hAnsi="Arial" w:cs="Arial"/>
                <w:b/>
                <w:sz w:val="20"/>
                <w:szCs w:val="20"/>
              </w:rPr>
              <w:t>$</w:t>
            </w:r>
          </w:p>
        </w:tc>
        <w:tc>
          <w:tcPr>
            <w:tcW w:w="3969" w:type="dxa"/>
            <w:vAlign w:val="center"/>
          </w:tcPr>
          <w:p w:rsidR="001A080D" w:rsidRPr="00EF785B" w:rsidRDefault="001137AC" w:rsidP="00FA2C75">
            <w:pPr>
              <w:spacing w:before="60" w:after="60"/>
              <w:jc w:val="center"/>
              <w:rPr>
                <w:rFonts w:ascii="Arial" w:hAnsi="Arial" w:cs="Arial"/>
                <w:b/>
                <w:sz w:val="20"/>
                <w:szCs w:val="20"/>
              </w:rPr>
            </w:pPr>
            <w:r>
              <w:rPr>
                <w:rFonts w:ascii="Arial" w:hAnsi="Arial" w:cs="Arial"/>
                <w:b/>
                <w:sz w:val="20"/>
                <w:szCs w:val="20"/>
              </w:rPr>
              <w:t>Throughput</w:t>
            </w:r>
          </w:p>
        </w:tc>
        <w:tc>
          <w:tcPr>
            <w:tcW w:w="1725" w:type="dxa"/>
            <w:vAlign w:val="center"/>
          </w:tcPr>
          <w:p w:rsidR="001A080D" w:rsidRDefault="001A080D" w:rsidP="00FA2C75">
            <w:pPr>
              <w:spacing w:before="60" w:after="60"/>
              <w:jc w:val="center"/>
              <w:rPr>
                <w:rFonts w:ascii="Arial" w:hAnsi="Arial" w:cs="Arial"/>
                <w:b/>
                <w:sz w:val="20"/>
                <w:szCs w:val="20"/>
              </w:rPr>
            </w:pPr>
            <w:r w:rsidRPr="00EF785B">
              <w:rPr>
                <w:rFonts w:ascii="Arial" w:hAnsi="Arial" w:cs="Arial"/>
                <w:b/>
                <w:sz w:val="20"/>
                <w:szCs w:val="20"/>
              </w:rPr>
              <w:t>2016-17</w:t>
            </w:r>
          </w:p>
          <w:p w:rsidR="001A080D" w:rsidRPr="00EF785B" w:rsidRDefault="001A080D" w:rsidP="00FA2C75">
            <w:pPr>
              <w:spacing w:before="60" w:after="60"/>
              <w:jc w:val="center"/>
              <w:rPr>
                <w:rFonts w:ascii="Arial" w:hAnsi="Arial" w:cs="Arial"/>
                <w:b/>
                <w:sz w:val="20"/>
                <w:szCs w:val="20"/>
              </w:rPr>
            </w:pPr>
            <w:r>
              <w:rPr>
                <w:rFonts w:ascii="Arial" w:hAnsi="Arial" w:cs="Arial"/>
                <w:b/>
                <w:sz w:val="20"/>
                <w:szCs w:val="20"/>
              </w:rPr>
              <w:t>$</w:t>
            </w:r>
          </w:p>
        </w:tc>
        <w:tc>
          <w:tcPr>
            <w:tcW w:w="2418" w:type="dxa"/>
            <w:vAlign w:val="center"/>
          </w:tcPr>
          <w:p w:rsidR="001A080D" w:rsidRDefault="001A080D" w:rsidP="00FA2C75">
            <w:pPr>
              <w:spacing w:before="60" w:after="60"/>
              <w:jc w:val="center"/>
              <w:rPr>
                <w:rFonts w:ascii="Arial" w:hAnsi="Arial" w:cs="Arial"/>
                <w:b/>
                <w:sz w:val="20"/>
                <w:szCs w:val="20"/>
              </w:rPr>
            </w:pPr>
            <w:r>
              <w:rPr>
                <w:rFonts w:ascii="Arial" w:hAnsi="Arial" w:cs="Arial"/>
                <w:b/>
                <w:sz w:val="20"/>
                <w:szCs w:val="20"/>
              </w:rPr>
              <w:t>Increase</w:t>
            </w:r>
          </w:p>
          <w:p w:rsidR="001A080D" w:rsidRPr="00EF785B" w:rsidRDefault="001A080D" w:rsidP="00FA2C75">
            <w:pPr>
              <w:spacing w:before="60" w:after="60"/>
              <w:jc w:val="center"/>
              <w:rPr>
                <w:rFonts w:ascii="Arial" w:hAnsi="Arial" w:cs="Arial"/>
                <w:b/>
                <w:sz w:val="20"/>
                <w:szCs w:val="20"/>
              </w:rPr>
            </w:pPr>
            <w:r>
              <w:rPr>
                <w:rFonts w:ascii="Arial" w:hAnsi="Arial" w:cs="Arial"/>
                <w:b/>
                <w:sz w:val="20"/>
                <w:szCs w:val="20"/>
              </w:rPr>
              <w:t>%</w:t>
            </w:r>
          </w:p>
        </w:tc>
      </w:tr>
      <w:tr w:rsidR="001137AC" w:rsidRPr="00EF785B" w:rsidTr="00FA2C75">
        <w:tc>
          <w:tcPr>
            <w:tcW w:w="4219" w:type="dxa"/>
            <w:vAlign w:val="center"/>
          </w:tcPr>
          <w:p w:rsidR="001137AC" w:rsidRPr="00EF785B" w:rsidRDefault="001137AC" w:rsidP="001137AC">
            <w:pPr>
              <w:rPr>
                <w:rFonts w:ascii="Arial" w:hAnsi="Arial" w:cs="Arial"/>
                <w:sz w:val="20"/>
                <w:szCs w:val="20"/>
              </w:rPr>
            </w:pPr>
            <w:r>
              <w:rPr>
                <w:rFonts w:ascii="Arial" w:hAnsi="Arial" w:cs="Arial"/>
                <w:sz w:val="20"/>
                <w:szCs w:val="20"/>
              </w:rPr>
              <w:t>Up to 200 tonnes</w:t>
            </w:r>
          </w:p>
        </w:tc>
        <w:tc>
          <w:tcPr>
            <w:tcW w:w="1843"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820</w:t>
            </w:r>
          </w:p>
        </w:tc>
        <w:tc>
          <w:tcPr>
            <w:tcW w:w="3969" w:type="dxa"/>
            <w:vAlign w:val="center"/>
          </w:tcPr>
          <w:p w:rsidR="001137AC" w:rsidRPr="00EF785B" w:rsidRDefault="001137AC" w:rsidP="001137AC">
            <w:pPr>
              <w:rPr>
                <w:rFonts w:ascii="Arial" w:hAnsi="Arial" w:cs="Arial"/>
                <w:sz w:val="20"/>
                <w:szCs w:val="20"/>
              </w:rPr>
            </w:pPr>
            <w:r>
              <w:rPr>
                <w:rFonts w:ascii="Arial" w:hAnsi="Arial" w:cs="Arial"/>
                <w:sz w:val="20"/>
                <w:szCs w:val="20"/>
              </w:rPr>
              <w:t>Up to 200 tonnes</w:t>
            </w:r>
          </w:p>
        </w:tc>
        <w:tc>
          <w:tcPr>
            <w:tcW w:w="1725"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r>
      <w:tr w:rsidR="001137AC" w:rsidRPr="00EF785B" w:rsidTr="00FA2C75">
        <w:tc>
          <w:tcPr>
            <w:tcW w:w="4219" w:type="dxa"/>
            <w:vAlign w:val="center"/>
          </w:tcPr>
          <w:p w:rsidR="001137AC" w:rsidRPr="00EF785B" w:rsidRDefault="001137AC" w:rsidP="001137AC">
            <w:pPr>
              <w:rPr>
                <w:rFonts w:ascii="Arial" w:hAnsi="Arial" w:cs="Arial"/>
                <w:sz w:val="20"/>
                <w:szCs w:val="20"/>
              </w:rPr>
            </w:pPr>
            <w:r>
              <w:rPr>
                <w:rFonts w:ascii="Arial" w:hAnsi="Arial" w:cs="Arial"/>
                <w:sz w:val="20"/>
                <w:szCs w:val="20"/>
              </w:rPr>
              <w:t>201 to 400 tonnes</w:t>
            </w:r>
          </w:p>
        </w:tc>
        <w:tc>
          <w:tcPr>
            <w:tcW w:w="1843"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1,232</w:t>
            </w:r>
          </w:p>
        </w:tc>
        <w:tc>
          <w:tcPr>
            <w:tcW w:w="3969" w:type="dxa"/>
            <w:vAlign w:val="center"/>
          </w:tcPr>
          <w:p w:rsidR="001137AC" w:rsidRPr="00EF785B" w:rsidRDefault="001137AC" w:rsidP="001137AC">
            <w:pPr>
              <w:rPr>
                <w:rFonts w:ascii="Arial" w:hAnsi="Arial" w:cs="Arial"/>
                <w:sz w:val="20"/>
                <w:szCs w:val="20"/>
              </w:rPr>
            </w:pPr>
            <w:r>
              <w:rPr>
                <w:rFonts w:ascii="Arial" w:hAnsi="Arial" w:cs="Arial"/>
                <w:sz w:val="20"/>
                <w:szCs w:val="20"/>
              </w:rPr>
              <w:t>201 to 400 tonnes</w:t>
            </w:r>
          </w:p>
        </w:tc>
        <w:tc>
          <w:tcPr>
            <w:tcW w:w="1725"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r>
      <w:tr w:rsidR="001137AC" w:rsidRPr="00EF785B" w:rsidTr="00FA2C75">
        <w:trPr>
          <w:trHeight w:val="70"/>
        </w:trPr>
        <w:tc>
          <w:tcPr>
            <w:tcW w:w="4219" w:type="dxa"/>
            <w:vAlign w:val="center"/>
          </w:tcPr>
          <w:p w:rsidR="001137AC" w:rsidRDefault="001137AC" w:rsidP="001137AC">
            <w:pPr>
              <w:rPr>
                <w:rFonts w:ascii="Arial" w:hAnsi="Arial" w:cs="Arial"/>
                <w:sz w:val="20"/>
                <w:szCs w:val="20"/>
              </w:rPr>
            </w:pPr>
            <w:r>
              <w:rPr>
                <w:rFonts w:ascii="Arial" w:hAnsi="Arial" w:cs="Arial"/>
                <w:sz w:val="20"/>
                <w:szCs w:val="20"/>
              </w:rPr>
              <w:t>401 to 1,000 tonnes</w:t>
            </w:r>
          </w:p>
        </w:tc>
        <w:tc>
          <w:tcPr>
            <w:tcW w:w="1843"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2,868</w:t>
            </w:r>
          </w:p>
        </w:tc>
        <w:tc>
          <w:tcPr>
            <w:tcW w:w="3969" w:type="dxa"/>
            <w:vAlign w:val="center"/>
          </w:tcPr>
          <w:p w:rsidR="001137AC" w:rsidRDefault="001137AC" w:rsidP="001137AC">
            <w:pPr>
              <w:rPr>
                <w:rFonts w:ascii="Arial" w:hAnsi="Arial" w:cs="Arial"/>
                <w:sz w:val="20"/>
                <w:szCs w:val="20"/>
              </w:rPr>
            </w:pPr>
            <w:r>
              <w:rPr>
                <w:rFonts w:ascii="Arial" w:hAnsi="Arial" w:cs="Arial"/>
                <w:sz w:val="20"/>
                <w:szCs w:val="20"/>
              </w:rPr>
              <w:t>401 to 1,000 tonnes</w:t>
            </w:r>
          </w:p>
        </w:tc>
        <w:tc>
          <w:tcPr>
            <w:tcW w:w="1725"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r>
      <w:tr w:rsidR="001137AC" w:rsidRPr="00EF785B" w:rsidTr="00FA2C75">
        <w:trPr>
          <w:trHeight w:val="70"/>
        </w:trPr>
        <w:tc>
          <w:tcPr>
            <w:tcW w:w="4219" w:type="dxa"/>
            <w:vAlign w:val="center"/>
          </w:tcPr>
          <w:p w:rsidR="001137AC" w:rsidRDefault="001137AC" w:rsidP="001137AC">
            <w:pPr>
              <w:rPr>
                <w:rFonts w:ascii="Arial" w:hAnsi="Arial" w:cs="Arial"/>
                <w:sz w:val="20"/>
                <w:szCs w:val="20"/>
              </w:rPr>
            </w:pPr>
            <w:r>
              <w:rPr>
                <w:rFonts w:ascii="Arial" w:hAnsi="Arial" w:cs="Arial"/>
                <w:sz w:val="20"/>
                <w:szCs w:val="20"/>
              </w:rPr>
              <w:t>1,001 to 2,000 tonnes</w:t>
            </w:r>
          </w:p>
        </w:tc>
        <w:tc>
          <w:tcPr>
            <w:tcW w:w="1843"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6,151</w:t>
            </w:r>
          </w:p>
        </w:tc>
        <w:tc>
          <w:tcPr>
            <w:tcW w:w="3969" w:type="dxa"/>
            <w:vAlign w:val="center"/>
          </w:tcPr>
          <w:p w:rsidR="001137AC" w:rsidRDefault="001137AC" w:rsidP="001137AC">
            <w:pPr>
              <w:rPr>
                <w:rFonts w:ascii="Arial" w:hAnsi="Arial" w:cs="Arial"/>
                <w:sz w:val="20"/>
                <w:szCs w:val="20"/>
              </w:rPr>
            </w:pPr>
            <w:r>
              <w:rPr>
                <w:rFonts w:ascii="Arial" w:hAnsi="Arial" w:cs="Arial"/>
                <w:sz w:val="20"/>
                <w:szCs w:val="20"/>
              </w:rPr>
              <w:t>1,001 to 2,000 tonnes</w:t>
            </w:r>
          </w:p>
        </w:tc>
        <w:tc>
          <w:tcPr>
            <w:tcW w:w="1725"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r>
      <w:tr w:rsidR="001137AC" w:rsidRPr="00EF785B" w:rsidTr="00FA2C75">
        <w:trPr>
          <w:trHeight w:val="70"/>
        </w:trPr>
        <w:tc>
          <w:tcPr>
            <w:tcW w:w="4219" w:type="dxa"/>
            <w:vAlign w:val="center"/>
          </w:tcPr>
          <w:p w:rsidR="001137AC" w:rsidRDefault="001137AC" w:rsidP="001137AC">
            <w:pPr>
              <w:rPr>
                <w:rFonts w:ascii="Arial" w:hAnsi="Arial" w:cs="Arial"/>
                <w:sz w:val="20"/>
                <w:szCs w:val="20"/>
              </w:rPr>
            </w:pPr>
            <w:r>
              <w:rPr>
                <w:rFonts w:ascii="Arial" w:hAnsi="Arial" w:cs="Arial"/>
                <w:sz w:val="20"/>
                <w:szCs w:val="20"/>
              </w:rPr>
              <w:t>Over 2,000 tonnes</w:t>
            </w:r>
          </w:p>
        </w:tc>
        <w:tc>
          <w:tcPr>
            <w:tcW w:w="1843"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8,199</w:t>
            </w:r>
          </w:p>
        </w:tc>
        <w:tc>
          <w:tcPr>
            <w:tcW w:w="3969" w:type="dxa"/>
            <w:vAlign w:val="center"/>
          </w:tcPr>
          <w:p w:rsidR="001137AC" w:rsidRDefault="001137AC" w:rsidP="001137AC">
            <w:pPr>
              <w:rPr>
                <w:rFonts w:ascii="Arial" w:hAnsi="Arial" w:cs="Arial"/>
                <w:sz w:val="20"/>
                <w:szCs w:val="20"/>
              </w:rPr>
            </w:pPr>
            <w:r>
              <w:rPr>
                <w:rFonts w:ascii="Arial" w:hAnsi="Arial" w:cs="Arial"/>
                <w:sz w:val="20"/>
                <w:szCs w:val="20"/>
              </w:rPr>
              <w:t>Over 2,000 tonnes</w:t>
            </w:r>
          </w:p>
        </w:tc>
        <w:tc>
          <w:tcPr>
            <w:tcW w:w="1725"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r>
      <w:tr w:rsidR="001137AC" w:rsidRPr="00EF785B" w:rsidTr="009E63BE">
        <w:trPr>
          <w:trHeight w:val="70"/>
        </w:trPr>
        <w:tc>
          <w:tcPr>
            <w:tcW w:w="4219" w:type="dxa"/>
            <w:shd w:val="clear" w:color="auto" w:fill="F2F2F2" w:themeFill="background1" w:themeFillShade="F2"/>
            <w:vAlign w:val="center"/>
          </w:tcPr>
          <w:p w:rsidR="001137AC" w:rsidRDefault="001137AC" w:rsidP="001137AC">
            <w:pPr>
              <w:rPr>
                <w:rFonts w:ascii="Arial" w:hAnsi="Arial" w:cs="Arial"/>
                <w:sz w:val="20"/>
                <w:szCs w:val="20"/>
              </w:rPr>
            </w:pPr>
            <w:r>
              <w:rPr>
                <w:rFonts w:ascii="Arial" w:hAnsi="Arial" w:cs="Arial"/>
                <w:b/>
                <w:sz w:val="20"/>
                <w:szCs w:val="20"/>
              </w:rPr>
              <w:t>Seafood Wholesaler Category B</w:t>
            </w:r>
            <w:r w:rsidR="00361C87">
              <w:rPr>
                <w:rFonts w:ascii="Arial" w:hAnsi="Arial" w:cs="Arial"/>
                <w:b/>
                <w:sz w:val="20"/>
                <w:szCs w:val="20"/>
              </w:rPr>
              <w:t xml:space="preserve"> *</w:t>
            </w:r>
          </w:p>
        </w:tc>
        <w:tc>
          <w:tcPr>
            <w:tcW w:w="1843" w:type="dxa"/>
            <w:shd w:val="clear" w:color="auto" w:fill="F2F2F2" w:themeFill="background1" w:themeFillShade="F2"/>
            <w:vAlign w:val="center"/>
          </w:tcPr>
          <w:p w:rsidR="001137AC" w:rsidRPr="001137AC" w:rsidRDefault="001137AC" w:rsidP="001137AC">
            <w:pPr>
              <w:spacing w:before="60" w:after="60"/>
              <w:jc w:val="center"/>
              <w:rPr>
                <w:rFonts w:ascii="Arial" w:hAnsi="Arial" w:cs="Arial"/>
                <w:b/>
                <w:sz w:val="20"/>
                <w:szCs w:val="20"/>
              </w:rPr>
            </w:pPr>
            <w:r w:rsidRPr="001137AC">
              <w:rPr>
                <w:rFonts w:ascii="Arial" w:hAnsi="Arial" w:cs="Arial"/>
                <w:b/>
                <w:sz w:val="20"/>
                <w:szCs w:val="20"/>
              </w:rPr>
              <w:t>Current</w:t>
            </w:r>
          </w:p>
        </w:tc>
        <w:tc>
          <w:tcPr>
            <w:tcW w:w="8112" w:type="dxa"/>
            <w:gridSpan w:val="3"/>
            <w:shd w:val="clear" w:color="auto" w:fill="F2F2F2" w:themeFill="background1" w:themeFillShade="F2"/>
            <w:vAlign w:val="center"/>
          </w:tcPr>
          <w:p w:rsidR="001137AC" w:rsidRPr="00EF785B" w:rsidRDefault="001137AC" w:rsidP="001137AC">
            <w:pPr>
              <w:spacing w:before="60" w:after="60"/>
              <w:jc w:val="center"/>
              <w:rPr>
                <w:rFonts w:ascii="Arial" w:hAnsi="Arial" w:cs="Arial"/>
                <w:sz w:val="20"/>
                <w:szCs w:val="20"/>
              </w:rPr>
            </w:pPr>
            <w:r w:rsidRPr="00EF785B">
              <w:rPr>
                <w:rFonts w:ascii="Arial" w:hAnsi="Arial" w:cs="Arial"/>
                <w:b/>
                <w:sz w:val="20"/>
                <w:szCs w:val="20"/>
              </w:rPr>
              <w:t>Proposed</w:t>
            </w:r>
          </w:p>
        </w:tc>
      </w:tr>
      <w:tr w:rsidR="001137AC" w:rsidRPr="00EF785B" w:rsidTr="00FA2C75">
        <w:trPr>
          <w:trHeight w:val="70"/>
        </w:trPr>
        <w:tc>
          <w:tcPr>
            <w:tcW w:w="4219" w:type="dxa"/>
            <w:vAlign w:val="center"/>
          </w:tcPr>
          <w:p w:rsidR="001137AC" w:rsidRPr="00EF785B" w:rsidRDefault="001137AC" w:rsidP="001137AC">
            <w:pPr>
              <w:spacing w:before="60" w:after="60"/>
              <w:jc w:val="center"/>
              <w:rPr>
                <w:rFonts w:ascii="Arial" w:hAnsi="Arial" w:cs="Arial"/>
                <w:b/>
                <w:sz w:val="20"/>
                <w:szCs w:val="20"/>
              </w:rPr>
            </w:pPr>
            <w:r>
              <w:rPr>
                <w:rFonts w:ascii="Arial" w:hAnsi="Arial" w:cs="Arial"/>
                <w:b/>
                <w:sz w:val="20"/>
                <w:szCs w:val="20"/>
              </w:rPr>
              <w:t>Throughput</w:t>
            </w:r>
          </w:p>
        </w:tc>
        <w:tc>
          <w:tcPr>
            <w:tcW w:w="1843" w:type="dxa"/>
            <w:vAlign w:val="center"/>
          </w:tcPr>
          <w:p w:rsidR="001137AC" w:rsidRDefault="001137AC" w:rsidP="001137AC">
            <w:pPr>
              <w:spacing w:before="60" w:after="60"/>
              <w:jc w:val="center"/>
              <w:rPr>
                <w:rFonts w:ascii="Arial" w:hAnsi="Arial" w:cs="Arial"/>
                <w:b/>
                <w:sz w:val="20"/>
                <w:szCs w:val="20"/>
              </w:rPr>
            </w:pPr>
            <w:r>
              <w:rPr>
                <w:rFonts w:ascii="Arial" w:hAnsi="Arial" w:cs="Arial"/>
                <w:b/>
                <w:sz w:val="20"/>
                <w:szCs w:val="20"/>
              </w:rPr>
              <w:t>2015-16</w:t>
            </w:r>
          </w:p>
          <w:p w:rsidR="001137AC" w:rsidRPr="00EF785B" w:rsidRDefault="001137AC" w:rsidP="001137AC">
            <w:pPr>
              <w:spacing w:before="60" w:after="60"/>
              <w:jc w:val="center"/>
              <w:rPr>
                <w:rFonts w:ascii="Arial" w:hAnsi="Arial" w:cs="Arial"/>
                <w:b/>
                <w:sz w:val="20"/>
                <w:szCs w:val="20"/>
              </w:rPr>
            </w:pPr>
            <w:r>
              <w:rPr>
                <w:rFonts w:ascii="Arial" w:hAnsi="Arial" w:cs="Arial"/>
                <w:b/>
                <w:sz w:val="20"/>
                <w:szCs w:val="20"/>
              </w:rPr>
              <w:t>$</w:t>
            </w:r>
          </w:p>
        </w:tc>
        <w:tc>
          <w:tcPr>
            <w:tcW w:w="3969" w:type="dxa"/>
            <w:vAlign w:val="center"/>
          </w:tcPr>
          <w:p w:rsidR="001137AC" w:rsidRPr="00EF785B" w:rsidRDefault="001137AC" w:rsidP="001137AC">
            <w:pPr>
              <w:spacing w:before="60" w:after="60"/>
              <w:jc w:val="center"/>
              <w:rPr>
                <w:rFonts w:ascii="Arial" w:hAnsi="Arial" w:cs="Arial"/>
                <w:b/>
                <w:sz w:val="20"/>
                <w:szCs w:val="20"/>
              </w:rPr>
            </w:pPr>
            <w:r>
              <w:rPr>
                <w:rFonts w:ascii="Arial" w:hAnsi="Arial" w:cs="Arial"/>
                <w:b/>
                <w:sz w:val="20"/>
                <w:szCs w:val="20"/>
              </w:rPr>
              <w:t>Throughput</w:t>
            </w:r>
          </w:p>
        </w:tc>
        <w:tc>
          <w:tcPr>
            <w:tcW w:w="1725" w:type="dxa"/>
            <w:vAlign w:val="center"/>
          </w:tcPr>
          <w:p w:rsidR="001137AC" w:rsidRDefault="001137AC" w:rsidP="001137AC">
            <w:pPr>
              <w:spacing w:before="60" w:after="60"/>
              <w:jc w:val="center"/>
              <w:rPr>
                <w:rFonts w:ascii="Arial" w:hAnsi="Arial" w:cs="Arial"/>
                <w:b/>
                <w:sz w:val="20"/>
                <w:szCs w:val="20"/>
              </w:rPr>
            </w:pPr>
            <w:r w:rsidRPr="00EF785B">
              <w:rPr>
                <w:rFonts w:ascii="Arial" w:hAnsi="Arial" w:cs="Arial"/>
                <w:b/>
                <w:sz w:val="20"/>
                <w:szCs w:val="20"/>
              </w:rPr>
              <w:t>2016-17</w:t>
            </w:r>
          </w:p>
          <w:p w:rsidR="001137AC" w:rsidRPr="00EF785B" w:rsidRDefault="001137AC" w:rsidP="001137AC">
            <w:pPr>
              <w:spacing w:before="60" w:after="60"/>
              <w:jc w:val="center"/>
              <w:rPr>
                <w:rFonts w:ascii="Arial" w:hAnsi="Arial" w:cs="Arial"/>
                <w:b/>
                <w:sz w:val="20"/>
                <w:szCs w:val="20"/>
              </w:rPr>
            </w:pPr>
            <w:r>
              <w:rPr>
                <w:rFonts w:ascii="Arial" w:hAnsi="Arial" w:cs="Arial"/>
                <w:b/>
                <w:sz w:val="20"/>
                <w:szCs w:val="20"/>
              </w:rPr>
              <w:t>$</w:t>
            </w:r>
          </w:p>
        </w:tc>
        <w:tc>
          <w:tcPr>
            <w:tcW w:w="2418" w:type="dxa"/>
            <w:vAlign w:val="center"/>
          </w:tcPr>
          <w:p w:rsidR="001137AC" w:rsidRDefault="001137AC" w:rsidP="001137AC">
            <w:pPr>
              <w:spacing w:before="60" w:after="60"/>
              <w:jc w:val="center"/>
              <w:rPr>
                <w:rFonts w:ascii="Arial" w:hAnsi="Arial" w:cs="Arial"/>
                <w:b/>
                <w:sz w:val="20"/>
                <w:szCs w:val="20"/>
              </w:rPr>
            </w:pPr>
            <w:r>
              <w:rPr>
                <w:rFonts w:ascii="Arial" w:hAnsi="Arial" w:cs="Arial"/>
                <w:b/>
                <w:sz w:val="20"/>
                <w:szCs w:val="20"/>
              </w:rPr>
              <w:t>Increase</w:t>
            </w:r>
          </w:p>
          <w:p w:rsidR="001137AC" w:rsidRPr="00EF785B" w:rsidRDefault="001137AC" w:rsidP="001137AC">
            <w:pPr>
              <w:spacing w:before="60" w:after="60"/>
              <w:jc w:val="center"/>
              <w:rPr>
                <w:rFonts w:ascii="Arial" w:hAnsi="Arial" w:cs="Arial"/>
                <w:b/>
                <w:sz w:val="20"/>
                <w:szCs w:val="20"/>
              </w:rPr>
            </w:pPr>
            <w:r>
              <w:rPr>
                <w:rFonts w:ascii="Arial" w:hAnsi="Arial" w:cs="Arial"/>
                <w:b/>
                <w:sz w:val="20"/>
                <w:szCs w:val="20"/>
              </w:rPr>
              <w:t>%</w:t>
            </w:r>
          </w:p>
        </w:tc>
      </w:tr>
      <w:tr w:rsidR="001137AC" w:rsidRPr="00EF785B" w:rsidTr="00FA2C75">
        <w:trPr>
          <w:trHeight w:val="70"/>
        </w:trPr>
        <w:tc>
          <w:tcPr>
            <w:tcW w:w="4219" w:type="dxa"/>
            <w:vAlign w:val="center"/>
          </w:tcPr>
          <w:p w:rsidR="001137AC" w:rsidRPr="001137AC" w:rsidRDefault="001137AC" w:rsidP="001137AC">
            <w:pPr>
              <w:spacing w:before="60" w:after="60"/>
              <w:rPr>
                <w:rFonts w:ascii="Arial" w:hAnsi="Arial" w:cs="Arial"/>
                <w:sz w:val="20"/>
                <w:szCs w:val="20"/>
              </w:rPr>
            </w:pPr>
            <w:r w:rsidRPr="001137AC">
              <w:rPr>
                <w:rFonts w:ascii="Arial" w:hAnsi="Arial" w:cs="Arial"/>
                <w:sz w:val="20"/>
                <w:szCs w:val="20"/>
              </w:rPr>
              <w:t>Up to 75 tonnes</w:t>
            </w:r>
          </w:p>
        </w:tc>
        <w:tc>
          <w:tcPr>
            <w:tcW w:w="1843"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820</w:t>
            </w:r>
          </w:p>
        </w:tc>
        <w:tc>
          <w:tcPr>
            <w:tcW w:w="3969" w:type="dxa"/>
            <w:vAlign w:val="center"/>
          </w:tcPr>
          <w:p w:rsidR="001137AC" w:rsidRPr="001137AC" w:rsidRDefault="001137AC" w:rsidP="001137AC">
            <w:pPr>
              <w:spacing w:before="60" w:after="60"/>
              <w:jc w:val="both"/>
              <w:rPr>
                <w:rFonts w:ascii="Arial" w:hAnsi="Arial" w:cs="Arial"/>
                <w:sz w:val="20"/>
                <w:szCs w:val="20"/>
              </w:rPr>
            </w:pPr>
            <w:r w:rsidRPr="001137AC">
              <w:rPr>
                <w:rFonts w:ascii="Arial" w:hAnsi="Arial" w:cs="Arial"/>
                <w:sz w:val="20"/>
                <w:szCs w:val="20"/>
              </w:rPr>
              <w:t>Up to 75 tonnes</w:t>
            </w:r>
          </w:p>
        </w:tc>
        <w:tc>
          <w:tcPr>
            <w:tcW w:w="1725"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r>
      <w:tr w:rsidR="001137AC" w:rsidRPr="00EF785B" w:rsidTr="00FA2C75">
        <w:trPr>
          <w:trHeight w:val="70"/>
        </w:trPr>
        <w:tc>
          <w:tcPr>
            <w:tcW w:w="4219" w:type="dxa"/>
            <w:vAlign w:val="center"/>
          </w:tcPr>
          <w:p w:rsidR="001137AC" w:rsidRPr="001137AC" w:rsidRDefault="001137AC" w:rsidP="001137AC">
            <w:pPr>
              <w:spacing w:before="60" w:after="60"/>
              <w:rPr>
                <w:rFonts w:ascii="Arial" w:hAnsi="Arial" w:cs="Arial"/>
                <w:sz w:val="20"/>
                <w:szCs w:val="20"/>
              </w:rPr>
            </w:pPr>
            <w:r>
              <w:rPr>
                <w:rFonts w:ascii="Arial" w:hAnsi="Arial" w:cs="Arial"/>
                <w:sz w:val="20"/>
                <w:szCs w:val="20"/>
              </w:rPr>
              <w:t>76 to 150 tonnes</w:t>
            </w:r>
          </w:p>
        </w:tc>
        <w:tc>
          <w:tcPr>
            <w:tcW w:w="1843"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1,232</w:t>
            </w:r>
          </w:p>
        </w:tc>
        <w:tc>
          <w:tcPr>
            <w:tcW w:w="3969" w:type="dxa"/>
            <w:vAlign w:val="center"/>
          </w:tcPr>
          <w:p w:rsidR="001137AC" w:rsidRPr="001137AC" w:rsidRDefault="001137AC" w:rsidP="001137AC">
            <w:pPr>
              <w:spacing w:before="60" w:after="60"/>
              <w:rPr>
                <w:rFonts w:ascii="Arial" w:hAnsi="Arial" w:cs="Arial"/>
                <w:sz w:val="20"/>
                <w:szCs w:val="20"/>
              </w:rPr>
            </w:pPr>
            <w:r>
              <w:rPr>
                <w:rFonts w:ascii="Arial" w:hAnsi="Arial" w:cs="Arial"/>
                <w:sz w:val="20"/>
                <w:szCs w:val="20"/>
              </w:rPr>
              <w:t>76 to 150 tonnes</w:t>
            </w:r>
          </w:p>
        </w:tc>
        <w:tc>
          <w:tcPr>
            <w:tcW w:w="1725"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r>
      <w:tr w:rsidR="001137AC" w:rsidRPr="00EF785B" w:rsidTr="00FA2C75">
        <w:trPr>
          <w:trHeight w:val="70"/>
        </w:trPr>
        <w:tc>
          <w:tcPr>
            <w:tcW w:w="4219" w:type="dxa"/>
            <w:vAlign w:val="center"/>
          </w:tcPr>
          <w:p w:rsidR="001137AC" w:rsidRPr="001137AC" w:rsidRDefault="001137AC" w:rsidP="001137AC">
            <w:pPr>
              <w:spacing w:before="60" w:after="60"/>
              <w:rPr>
                <w:rFonts w:ascii="Arial" w:hAnsi="Arial" w:cs="Arial"/>
                <w:sz w:val="20"/>
                <w:szCs w:val="20"/>
              </w:rPr>
            </w:pPr>
            <w:r>
              <w:rPr>
                <w:rFonts w:ascii="Arial" w:hAnsi="Arial" w:cs="Arial"/>
                <w:sz w:val="20"/>
                <w:szCs w:val="20"/>
              </w:rPr>
              <w:t>151 to 350 tonnes</w:t>
            </w:r>
          </w:p>
        </w:tc>
        <w:tc>
          <w:tcPr>
            <w:tcW w:w="1843"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2,868</w:t>
            </w:r>
          </w:p>
        </w:tc>
        <w:tc>
          <w:tcPr>
            <w:tcW w:w="3969" w:type="dxa"/>
            <w:vAlign w:val="center"/>
          </w:tcPr>
          <w:p w:rsidR="001137AC" w:rsidRPr="001137AC" w:rsidRDefault="001137AC" w:rsidP="001137AC">
            <w:pPr>
              <w:spacing w:before="60" w:after="60"/>
              <w:rPr>
                <w:rFonts w:ascii="Arial" w:hAnsi="Arial" w:cs="Arial"/>
                <w:sz w:val="20"/>
                <w:szCs w:val="20"/>
              </w:rPr>
            </w:pPr>
            <w:r>
              <w:rPr>
                <w:rFonts w:ascii="Arial" w:hAnsi="Arial" w:cs="Arial"/>
                <w:sz w:val="20"/>
                <w:szCs w:val="20"/>
              </w:rPr>
              <w:t>151 to 350 tonnes</w:t>
            </w:r>
          </w:p>
        </w:tc>
        <w:tc>
          <w:tcPr>
            <w:tcW w:w="1725"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r>
      <w:tr w:rsidR="001137AC" w:rsidRPr="00EF785B" w:rsidTr="00FA2C75">
        <w:trPr>
          <w:trHeight w:val="70"/>
        </w:trPr>
        <w:tc>
          <w:tcPr>
            <w:tcW w:w="4219" w:type="dxa"/>
            <w:vAlign w:val="center"/>
          </w:tcPr>
          <w:p w:rsidR="001137AC" w:rsidRPr="001137AC" w:rsidRDefault="001137AC" w:rsidP="001137AC">
            <w:pPr>
              <w:spacing w:before="60" w:after="60"/>
              <w:rPr>
                <w:rFonts w:ascii="Arial" w:hAnsi="Arial" w:cs="Arial"/>
                <w:sz w:val="20"/>
                <w:szCs w:val="20"/>
              </w:rPr>
            </w:pPr>
            <w:r>
              <w:rPr>
                <w:rFonts w:ascii="Arial" w:hAnsi="Arial" w:cs="Arial"/>
                <w:sz w:val="20"/>
                <w:szCs w:val="20"/>
              </w:rPr>
              <w:t>351 to 700 tonnes</w:t>
            </w:r>
          </w:p>
        </w:tc>
        <w:tc>
          <w:tcPr>
            <w:tcW w:w="1843"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6,151</w:t>
            </w:r>
          </w:p>
        </w:tc>
        <w:tc>
          <w:tcPr>
            <w:tcW w:w="3969" w:type="dxa"/>
            <w:vAlign w:val="center"/>
          </w:tcPr>
          <w:p w:rsidR="001137AC" w:rsidRPr="001137AC" w:rsidRDefault="001137AC" w:rsidP="001137AC">
            <w:pPr>
              <w:spacing w:before="60" w:after="60"/>
              <w:rPr>
                <w:rFonts w:ascii="Arial" w:hAnsi="Arial" w:cs="Arial"/>
                <w:sz w:val="20"/>
                <w:szCs w:val="20"/>
              </w:rPr>
            </w:pPr>
            <w:r>
              <w:rPr>
                <w:rFonts w:ascii="Arial" w:hAnsi="Arial" w:cs="Arial"/>
                <w:sz w:val="20"/>
                <w:szCs w:val="20"/>
              </w:rPr>
              <w:t>351 to 700 tonnes</w:t>
            </w:r>
          </w:p>
        </w:tc>
        <w:tc>
          <w:tcPr>
            <w:tcW w:w="1725"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r>
      <w:tr w:rsidR="001137AC" w:rsidRPr="00EF785B" w:rsidTr="00FA2C75">
        <w:trPr>
          <w:trHeight w:val="70"/>
        </w:trPr>
        <w:tc>
          <w:tcPr>
            <w:tcW w:w="4219" w:type="dxa"/>
            <w:vAlign w:val="center"/>
          </w:tcPr>
          <w:p w:rsidR="001137AC" w:rsidRPr="001137AC" w:rsidRDefault="001137AC" w:rsidP="001137AC">
            <w:pPr>
              <w:spacing w:before="60" w:after="60"/>
              <w:rPr>
                <w:rFonts w:ascii="Arial" w:hAnsi="Arial" w:cs="Arial"/>
                <w:sz w:val="20"/>
                <w:szCs w:val="20"/>
              </w:rPr>
            </w:pPr>
            <w:r>
              <w:rPr>
                <w:rFonts w:ascii="Arial" w:hAnsi="Arial" w:cs="Arial"/>
                <w:sz w:val="20"/>
                <w:szCs w:val="20"/>
              </w:rPr>
              <w:t>Over 700 tonnes</w:t>
            </w:r>
          </w:p>
        </w:tc>
        <w:tc>
          <w:tcPr>
            <w:tcW w:w="1843"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8,199</w:t>
            </w:r>
          </w:p>
        </w:tc>
        <w:tc>
          <w:tcPr>
            <w:tcW w:w="3969" w:type="dxa"/>
            <w:vAlign w:val="center"/>
          </w:tcPr>
          <w:p w:rsidR="001137AC" w:rsidRPr="001137AC" w:rsidRDefault="001137AC" w:rsidP="001137AC">
            <w:pPr>
              <w:spacing w:before="60" w:after="60"/>
              <w:rPr>
                <w:rFonts w:ascii="Arial" w:hAnsi="Arial" w:cs="Arial"/>
                <w:sz w:val="20"/>
                <w:szCs w:val="20"/>
              </w:rPr>
            </w:pPr>
            <w:r>
              <w:rPr>
                <w:rFonts w:ascii="Arial" w:hAnsi="Arial" w:cs="Arial"/>
                <w:sz w:val="20"/>
                <w:szCs w:val="20"/>
              </w:rPr>
              <w:t>Over 700 tonnes</w:t>
            </w:r>
          </w:p>
        </w:tc>
        <w:tc>
          <w:tcPr>
            <w:tcW w:w="1725"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r>
    </w:tbl>
    <w:p w:rsidR="00FB4919" w:rsidRDefault="00FB4919" w:rsidP="00E30FAF">
      <w:pPr>
        <w:spacing w:after="0" w:line="240" w:lineRule="auto"/>
        <w:rPr>
          <w:rFonts w:ascii="Arial" w:hAnsi="Arial" w:cs="Arial"/>
          <w:b/>
          <w:sz w:val="20"/>
          <w:szCs w:val="20"/>
        </w:rPr>
      </w:pPr>
    </w:p>
    <w:p w:rsidR="001137AC" w:rsidRDefault="001137AC" w:rsidP="00E30FAF">
      <w:pPr>
        <w:spacing w:after="0" w:line="240" w:lineRule="auto"/>
        <w:rPr>
          <w:rFonts w:ascii="Arial" w:hAnsi="Arial" w:cs="Arial"/>
          <w:b/>
          <w:sz w:val="20"/>
          <w:szCs w:val="20"/>
        </w:rPr>
      </w:pPr>
    </w:p>
    <w:p w:rsidR="001137AC" w:rsidRDefault="001137AC" w:rsidP="00E30FAF">
      <w:pPr>
        <w:spacing w:after="0" w:line="240" w:lineRule="auto"/>
        <w:rPr>
          <w:rFonts w:ascii="Arial" w:hAnsi="Arial" w:cs="Arial"/>
          <w:b/>
          <w:sz w:val="20"/>
          <w:szCs w:val="20"/>
        </w:rPr>
      </w:pPr>
    </w:p>
    <w:p w:rsidR="001137AC" w:rsidRDefault="001137AC" w:rsidP="00E30FAF">
      <w:pPr>
        <w:spacing w:after="0" w:line="240" w:lineRule="auto"/>
        <w:rPr>
          <w:rFonts w:ascii="Arial" w:hAnsi="Arial" w:cs="Arial"/>
          <w:b/>
          <w:sz w:val="20"/>
          <w:szCs w:val="20"/>
        </w:rPr>
      </w:pPr>
    </w:p>
    <w:p w:rsidR="001137AC" w:rsidRDefault="001137AC" w:rsidP="00E30FAF">
      <w:pPr>
        <w:spacing w:after="0" w:line="240" w:lineRule="auto"/>
        <w:rPr>
          <w:rFonts w:ascii="Arial" w:hAnsi="Arial" w:cs="Arial"/>
          <w:b/>
          <w:sz w:val="20"/>
          <w:szCs w:val="20"/>
        </w:rPr>
      </w:pPr>
    </w:p>
    <w:p w:rsidR="001137AC" w:rsidRDefault="001137AC" w:rsidP="00E30FAF">
      <w:pPr>
        <w:spacing w:after="0" w:line="240" w:lineRule="auto"/>
        <w:rPr>
          <w:rFonts w:ascii="Arial" w:hAnsi="Arial" w:cs="Arial"/>
          <w:b/>
          <w:sz w:val="20"/>
          <w:szCs w:val="20"/>
        </w:rPr>
      </w:pPr>
    </w:p>
    <w:p w:rsidR="001137AC" w:rsidRDefault="001137AC" w:rsidP="00E30FAF">
      <w:pPr>
        <w:spacing w:after="0" w:line="240" w:lineRule="auto"/>
        <w:rPr>
          <w:rFonts w:ascii="Arial" w:hAnsi="Arial" w:cs="Arial"/>
          <w:b/>
          <w:sz w:val="20"/>
          <w:szCs w:val="20"/>
        </w:rPr>
      </w:pPr>
    </w:p>
    <w:p w:rsidR="001137AC" w:rsidRDefault="001137AC" w:rsidP="00E30FAF">
      <w:pPr>
        <w:spacing w:after="0" w:line="240" w:lineRule="auto"/>
        <w:rPr>
          <w:rFonts w:ascii="Arial" w:hAnsi="Arial" w:cs="Arial"/>
          <w:b/>
          <w:sz w:val="20"/>
          <w:szCs w:val="20"/>
        </w:rPr>
      </w:pPr>
    </w:p>
    <w:p w:rsidR="001137AC" w:rsidRDefault="001137AC" w:rsidP="00E30FAF">
      <w:pPr>
        <w:spacing w:after="0" w:line="240" w:lineRule="auto"/>
        <w:rPr>
          <w:rFonts w:ascii="Arial" w:hAnsi="Arial" w:cs="Arial"/>
          <w:b/>
          <w:sz w:val="20"/>
          <w:szCs w:val="20"/>
        </w:rPr>
      </w:pPr>
    </w:p>
    <w:p w:rsidR="001137AC" w:rsidRDefault="001137AC" w:rsidP="00E30FAF">
      <w:pPr>
        <w:spacing w:after="0" w:line="240" w:lineRule="auto"/>
        <w:rPr>
          <w:rFonts w:ascii="Arial" w:hAnsi="Arial" w:cs="Arial"/>
          <w:b/>
          <w:sz w:val="20"/>
          <w:szCs w:val="20"/>
        </w:rPr>
      </w:pPr>
    </w:p>
    <w:p w:rsidR="001137AC" w:rsidRDefault="001137AC" w:rsidP="00E30FAF">
      <w:pPr>
        <w:spacing w:after="0" w:line="240" w:lineRule="auto"/>
        <w:rPr>
          <w:rFonts w:ascii="Arial" w:hAnsi="Arial" w:cs="Arial"/>
          <w:b/>
          <w:sz w:val="20"/>
          <w:szCs w:val="20"/>
        </w:rPr>
      </w:pPr>
    </w:p>
    <w:p w:rsidR="001137AC" w:rsidRDefault="001137AC" w:rsidP="00E30FAF">
      <w:pPr>
        <w:spacing w:after="0" w:line="240" w:lineRule="auto"/>
        <w:rPr>
          <w:rFonts w:ascii="Arial" w:hAnsi="Arial" w:cs="Arial"/>
          <w:b/>
          <w:sz w:val="20"/>
          <w:szCs w:val="20"/>
        </w:rPr>
      </w:pPr>
    </w:p>
    <w:p w:rsidR="001137AC" w:rsidRDefault="001137AC" w:rsidP="00E30FAF">
      <w:pPr>
        <w:spacing w:after="0" w:line="240" w:lineRule="auto"/>
        <w:rPr>
          <w:rFonts w:ascii="Arial" w:hAnsi="Arial" w:cs="Arial"/>
          <w:b/>
          <w:sz w:val="20"/>
          <w:szCs w:val="20"/>
        </w:rPr>
      </w:pPr>
    </w:p>
    <w:tbl>
      <w:tblPr>
        <w:tblStyle w:val="TableGrid"/>
        <w:tblW w:w="0" w:type="auto"/>
        <w:tblLook w:val="04A0" w:firstRow="1" w:lastRow="0" w:firstColumn="1" w:lastColumn="0" w:noHBand="0" w:noVBand="1"/>
      </w:tblPr>
      <w:tblGrid>
        <w:gridCol w:w="4219"/>
        <w:gridCol w:w="1843"/>
        <w:gridCol w:w="3969"/>
        <w:gridCol w:w="1725"/>
        <w:gridCol w:w="2418"/>
      </w:tblGrid>
      <w:tr w:rsidR="001137AC" w:rsidTr="009E63BE">
        <w:tc>
          <w:tcPr>
            <w:tcW w:w="4219" w:type="dxa"/>
            <w:shd w:val="clear" w:color="auto" w:fill="F2F2F2" w:themeFill="background1" w:themeFillShade="F2"/>
            <w:vAlign w:val="center"/>
          </w:tcPr>
          <w:p w:rsidR="001137AC" w:rsidRPr="00E87CBB" w:rsidRDefault="001137AC" w:rsidP="001137AC">
            <w:pPr>
              <w:spacing w:before="60" w:after="60"/>
              <w:rPr>
                <w:rFonts w:ascii="Arial" w:hAnsi="Arial" w:cs="Arial"/>
                <w:b/>
                <w:sz w:val="20"/>
                <w:szCs w:val="20"/>
              </w:rPr>
            </w:pPr>
            <w:r>
              <w:rPr>
                <w:rFonts w:ascii="Arial" w:hAnsi="Arial" w:cs="Arial"/>
                <w:b/>
                <w:sz w:val="20"/>
                <w:szCs w:val="20"/>
              </w:rPr>
              <w:t>Seafood Processor Category A</w:t>
            </w:r>
            <w:r w:rsidR="00361C87">
              <w:rPr>
                <w:rFonts w:ascii="Arial" w:hAnsi="Arial" w:cs="Arial"/>
                <w:b/>
                <w:sz w:val="20"/>
                <w:szCs w:val="20"/>
              </w:rPr>
              <w:t xml:space="preserve"> * </w:t>
            </w:r>
          </w:p>
        </w:tc>
        <w:tc>
          <w:tcPr>
            <w:tcW w:w="1843" w:type="dxa"/>
            <w:shd w:val="clear" w:color="auto" w:fill="F2F2F2" w:themeFill="background1" w:themeFillShade="F2"/>
            <w:vAlign w:val="center"/>
          </w:tcPr>
          <w:p w:rsidR="001137AC" w:rsidRPr="00EF785B" w:rsidRDefault="001137AC" w:rsidP="00FA2C75">
            <w:pPr>
              <w:spacing w:before="60" w:after="60"/>
              <w:jc w:val="center"/>
              <w:rPr>
                <w:rFonts w:ascii="Arial" w:hAnsi="Arial" w:cs="Arial"/>
                <w:b/>
                <w:sz w:val="20"/>
                <w:szCs w:val="20"/>
              </w:rPr>
            </w:pPr>
            <w:r w:rsidRPr="00EF785B">
              <w:rPr>
                <w:rFonts w:ascii="Arial" w:hAnsi="Arial" w:cs="Arial"/>
                <w:b/>
                <w:sz w:val="20"/>
                <w:szCs w:val="20"/>
              </w:rPr>
              <w:t>Current</w:t>
            </w:r>
          </w:p>
        </w:tc>
        <w:tc>
          <w:tcPr>
            <w:tcW w:w="8112" w:type="dxa"/>
            <w:gridSpan w:val="3"/>
            <w:shd w:val="clear" w:color="auto" w:fill="F2F2F2" w:themeFill="background1" w:themeFillShade="F2"/>
            <w:vAlign w:val="center"/>
          </w:tcPr>
          <w:p w:rsidR="001137AC" w:rsidRDefault="001137AC" w:rsidP="00FA2C75">
            <w:pPr>
              <w:spacing w:before="60" w:after="60"/>
              <w:jc w:val="center"/>
              <w:rPr>
                <w:rFonts w:ascii="Arial" w:hAnsi="Arial" w:cs="Arial"/>
                <w:b/>
                <w:sz w:val="20"/>
                <w:szCs w:val="20"/>
                <w:u w:val="single"/>
              </w:rPr>
            </w:pPr>
            <w:r w:rsidRPr="00EF785B">
              <w:rPr>
                <w:rFonts w:ascii="Arial" w:hAnsi="Arial" w:cs="Arial"/>
                <w:b/>
                <w:sz w:val="20"/>
                <w:szCs w:val="20"/>
              </w:rPr>
              <w:t>Proposed</w:t>
            </w:r>
          </w:p>
        </w:tc>
      </w:tr>
      <w:tr w:rsidR="001137AC" w:rsidRPr="00EF785B" w:rsidTr="00FA2C75">
        <w:tc>
          <w:tcPr>
            <w:tcW w:w="4219" w:type="dxa"/>
            <w:vAlign w:val="center"/>
          </w:tcPr>
          <w:p w:rsidR="001137AC" w:rsidRPr="00EF785B" w:rsidRDefault="001137AC" w:rsidP="00FA2C75">
            <w:pPr>
              <w:spacing w:before="60" w:after="60"/>
              <w:jc w:val="center"/>
              <w:rPr>
                <w:rFonts w:ascii="Arial" w:hAnsi="Arial" w:cs="Arial"/>
                <w:b/>
                <w:sz w:val="20"/>
                <w:szCs w:val="20"/>
              </w:rPr>
            </w:pPr>
            <w:r>
              <w:rPr>
                <w:rFonts w:ascii="Arial" w:hAnsi="Arial" w:cs="Arial"/>
                <w:b/>
                <w:sz w:val="20"/>
                <w:szCs w:val="20"/>
              </w:rPr>
              <w:t>Throughput</w:t>
            </w:r>
          </w:p>
        </w:tc>
        <w:tc>
          <w:tcPr>
            <w:tcW w:w="1843" w:type="dxa"/>
            <w:vAlign w:val="center"/>
          </w:tcPr>
          <w:p w:rsidR="001137AC" w:rsidRDefault="001137AC" w:rsidP="00FA2C75">
            <w:pPr>
              <w:spacing w:before="60" w:after="60"/>
              <w:jc w:val="center"/>
              <w:rPr>
                <w:rFonts w:ascii="Arial" w:hAnsi="Arial" w:cs="Arial"/>
                <w:b/>
                <w:sz w:val="20"/>
                <w:szCs w:val="20"/>
              </w:rPr>
            </w:pPr>
            <w:r>
              <w:rPr>
                <w:rFonts w:ascii="Arial" w:hAnsi="Arial" w:cs="Arial"/>
                <w:b/>
                <w:sz w:val="20"/>
                <w:szCs w:val="20"/>
              </w:rPr>
              <w:t>2015-16</w:t>
            </w:r>
          </w:p>
          <w:p w:rsidR="001137AC" w:rsidRPr="00EF785B" w:rsidRDefault="001137AC" w:rsidP="00FA2C75">
            <w:pPr>
              <w:spacing w:before="60" w:after="60"/>
              <w:jc w:val="center"/>
              <w:rPr>
                <w:rFonts w:ascii="Arial" w:hAnsi="Arial" w:cs="Arial"/>
                <w:b/>
                <w:sz w:val="20"/>
                <w:szCs w:val="20"/>
              </w:rPr>
            </w:pPr>
            <w:r>
              <w:rPr>
                <w:rFonts w:ascii="Arial" w:hAnsi="Arial" w:cs="Arial"/>
                <w:b/>
                <w:sz w:val="20"/>
                <w:szCs w:val="20"/>
              </w:rPr>
              <w:t>$</w:t>
            </w:r>
          </w:p>
        </w:tc>
        <w:tc>
          <w:tcPr>
            <w:tcW w:w="3969" w:type="dxa"/>
            <w:vAlign w:val="center"/>
          </w:tcPr>
          <w:p w:rsidR="001137AC" w:rsidRPr="00EF785B" w:rsidRDefault="001137AC" w:rsidP="00FA2C75">
            <w:pPr>
              <w:spacing w:before="60" w:after="60"/>
              <w:jc w:val="center"/>
              <w:rPr>
                <w:rFonts w:ascii="Arial" w:hAnsi="Arial" w:cs="Arial"/>
                <w:b/>
                <w:sz w:val="20"/>
                <w:szCs w:val="20"/>
              </w:rPr>
            </w:pPr>
            <w:r>
              <w:rPr>
                <w:rFonts w:ascii="Arial" w:hAnsi="Arial" w:cs="Arial"/>
                <w:b/>
                <w:sz w:val="20"/>
                <w:szCs w:val="20"/>
              </w:rPr>
              <w:t>Throughput</w:t>
            </w:r>
          </w:p>
        </w:tc>
        <w:tc>
          <w:tcPr>
            <w:tcW w:w="1725" w:type="dxa"/>
            <w:vAlign w:val="center"/>
          </w:tcPr>
          <w:p w:rsidR="001137AC" w:rsidRDefault="001137AC" w:rsidP="00FA2C75">
            <w:pPr>
              <w:spacing w:before="60" w:after="60"/>
              <w:jc w:val="center"/>
              <w:rPr>
                <w:rFonts w:ascii="Arial" w:hAnsi="Arial" w:cs="Arial"/>
                <w:b/>
                <w:sz w:val="20"/>
                <w:szCs w:val="20"/>
              </w:rPr>
            </w:pPr>
            <w:r w:rsidRPr="00EF785B">
              <w:rPr>
                <w:rFonts w:ascii="Arial" w:hAnsi="Arial" w:cs="Arial"/>
                <w:b/>
                <w:sz w:val="20"/>
                <w:szCs w:val="20"/>
              </w:rPr>
              <w:t>2016-17</w:t>
            </w:r>
          </w:p>
          <w:p w:rsidR="001137AC" w:rsidRPr="00EF785B" w:rsidRDefault="001137AC" w:rsidP="00FA2C75">
            <w:pPr>
              <w:spacing w:before="60" w:after="60"/>
              <w:jc w:val="center"/>
              <w:rPr>
                <w:rFonts w:ascii="Arial" w:hAnsi="Arial" w:cs="Arial"/>
                <w:b/>
                <w:sz w:val="20"/>
                <w:szCs w:val="20"/>
              </w:rPr>
            </w:pPr>
            <w:r>
              <w:rPr>
                <w:rFonts w:ascii="Arial" w:hAnsi="Arial" w:cs="Arial"/>
                <w:b/>
                <w:sz w:val="20"/>
                <w:szCs w:val="20"/>
              </w:rPr>
              <w:t>$</w:t>
            </w:r>
          </w:p>
        </w:tc>
        <w:tc>
          <w:tcPr>
            <w:tcW w:w="2418" w:type="dxa"/>
            <w:vAlign w:val="center"/>
          </w:tcPr>
          <w:p w:rsidR="001137AC" w:rsidRDefault="001137AC" w:rsidP="00FA2C75">
            <w:pPr>
              <w:spacing w:before="60" w:after="60"/>
              <w:jc w:val="center"/>
              <w:rPr>
                <w:rFonts w:ascii="Arial" w:hAnsi="Arial" w:cs="Arial"/>
                <w:b/>
                <w:sz w:val="20"/>
                <w:szCs w:val="20"/>
              </w:rPr>
            </w:pPr>
            <w:r>
              <w:rPr>
                <w:rFonts w:ascii="Arial" w:hAnsi="Arial" w:cs="Arial"/>
                <w:b/>
                <w:sz w:val="20"/>
                <w:szCs w:val="20"/>
              </w:rPr>
              <w:t>Increase</w:t>
            </w:r>
          </w:p>
          <w:p w:rsidR="001137AC" w:rsidRPr="00EF785B" w:rsidRDefault="001137AC" w:rsidP="00FA2C75">
            <w:pPr>
              <w:spacing w:before="60" w:after="60"/>
              <w:jc w:val="center"/>
              <w:rPr>
                <w:rFonts w:ascii="Arial" w:hAnsi="Arial" w:cs="Arial"/>
                <w:b/>
                <w:sz w:val="20"/>
                <w:szCs w:val="20"/>
              </w:rPr>
            </w:pPr>
            <w:r>
              <w:rPr>
                <w:rFonts w:ascii="Arial" w:hAnsi="Arial" w:cs="Arial"/>
                <w:b/>
                <w:sz w:val="20"/>
                <w:szCs w:val="20"/>
              </w:rPr>
              <w:t>%</w:t>
            </w:r>
          </w:p>
        </w:tc>
      </w:tr>
      <w:tr w:rsidR="001137AC" w:rsidRPr="00EF785B" w:rsidTr="00FA2C75">
        <w:tc>
          <w:tcPr>
            <w:tcW w:w="4219" w:type="dxa"/>
            <w:vAlign w:val="center"/>
          </w:tcPr>
          <w:p w:rsidR="001137AC" w:rsidRPr="00EF785B" w:rsidRDefault="001137AC" w:rsidP="001137AC">
            <w:pPr>
              <w:rPr>
                <w:rFonts w:ascii="Arial" w:hAnsi="Arial" w:cs="Arial"/>
                <w:sz w:val="20"/>
                <w:szCs w:val="20"/>
              </w:rPr>
            </w:pPr>
            <w:r>
              <w:rPr>
                <w:rFonts w:ascii="Arial" w:hAnsi="Arial" w:cs="Arial"/>
                <w:sz w:val="20"/>
                <w:szCs w:val="20"/>
              </w:rPr>
              <w:t>Up to 150 tonnes</w:t>
            </w:r>
          </w:p>
        </w:tc>
        <w:tc>
          <w:tcPr>
            <w:tcW w:w="1843"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820</w:t>
            </w:r>
          </w:p>
        </w:tc>
        <w:tc>
          <w:tcPr>
            <w:tcW w:w="3969" w:type="dxa"/>
            <w:vAlign w:val="center"/>
          </w:tcPr>
          <w:p w:rsidR="001137AC" w:rsidRPr="00EF785B" w:rsidRDefault="001137AC" w:rsidP="001137AC">
            <w:pPr>
              <w:rPr>
                <w:rFonts w:ascii="Arial" w:hAnsi="Arial" w:cs="Arial"/>
                <w:sz w:val="20"/>
                <w:szCs w:val="20"/>
              </w:rPr>
            </w:pPr>
            <w:r>
              <w:rPr>
                <w:rFonts w:ascii="Arial" w:hAnsi="Arial" w:cs="Arial"/>
                <w:sz w:val="20"/>
                <w:szCs w:val="20"/>
              </w:rPr>
              <w:t>Up to 150 tonnes</w:t>
            </w:r>
          </w:p>
        </w:tc>
        <w:tc>
          <w:tcPr>
            <w:tcW w:w="1725"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r>
      <w:tr w:rsidR="001137AC" w:rsidRPr="00EF785B" w:rsidTr="00FA2C75">
        <w:tc>
          <w:tcPr>
            <w:tcW w:w="4219" w:type="dxa"/>
            <w:vAlign w:val="center"/>
          </w:tcPr>
          <w:p w:rsidR="001137AC" w:rsidRPr="00EF785B" w:rsidRDefault="001137AC" w:rsidP="001137AC">
            <w:pPr>
              <w:rPr>
                <w:rFonts w:ascii="Arial" w:hAnsi="Arial" w:cs="Arial"/>
                <w:sz w:val="20"/>
                <w:szCs w:val="20"/>
              </w:rPr>
            </w:pPr>
            <w:r>
              <w:rPr>
                <w:rFonts w:ascii="Arial" w:hAnsi="Arial" w:cs="Arial"/>
                <w:sz w:val="20"/>
                <w:szCs w:val="20"/>
              </w:rPr>
              <w:t>151 to 300 tonnes</w:t>
            </w:r>
          </w:p>
        </w:tc>
        <w:tc>
          <w:tcPr>
            <w:tcW w:w="1843"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1,232</w:t>
            </w:r>
          </w:p>
        </w:tc>
        <w:tc>
          <w:tcPr>
            <w:tcW w:w="3969" w:type="dxa"/>
            <w:vAlign w:val="center"/>
          </w:tcPr>
          <w:p w:rsidR="001137AC" w:rsidRPr="00EF785B" w:rsidRDefault="001137AC" w:rsidP="001137AC">
            <w:pPr>
              <w:rPr>
                <w:rFonts w:ascii="Arial" w:hAnsi="Arial" w:cs="Arial"/>
                <w:sz w:val="20"/>
                <w:szCs w:val="20"/>
              </w:rPr>
            </w:pPr>
            <w:r>
              <w:rPr>
                <w:rFonts w:ascii="Arial" w:hAnsi="Arial" w:cs="Arial"/>
                <w:sz w:val="20"/>
                <w:szCs w:val="20"/>
              </w:rPr>
              <w:t>151 to 300 tonnes</w:t>
            </w:r>
          </w:p>
        </w:tc>
        <w:tc>
          <w:tcPr>
            <w:tcW w:w="1725"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r>
      <w:tr w:rsidR="001137AC" w:rsidRPr="00EF785B" w:rsidTr="00FA2C75">
        <w:trPr>
          <w:trHeight w:val="70"/>
        </w:trPr>
        <w:tc>
          <w:tcPr>
            <w:tcW w:w="4219" w:type="dxa"/>
            <w:vAlign w:val="center"/>
          </w:tcPr>
          <w:p w:rsidR="001137AC" w:rsidRDefault="001137AC" w:rsidP="001137AC">
            <w:pPr>
              <w:rPr>
                <w:rFonts w:ascii="Arial" w:hAnsi="Arial" w:cs="Arial"/>
                <w:sz w:val="20"/>
                <w:szCs w:val="20"/>
              </w:rPr>
            </w:pPr>
            <w:r>
              <w:rPr>
                <w:rFonts w:ascii="Arial" w:hAnsi="Arial" w:cs="Arial"/>
                <w:sz w:val="20"/>
                <w:szCs w:val="20"/>
              </w:rPr>
              <w:t>301 to 750 tonnes</w:t>
            </w:r>
          </w:p>
        </w:tc>
        <w:tc>
          <w:tcPr>
            <w:tcW w:w="1843"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2,868</w:t>
            </w:r>
          </w:p>
        </w:tc>
        <w:tc>
          <w:tcPr>
            <w:tcW w:w="3969" w:type="dxa"/>
            <w:vAlign w:val="center"/>
          </w:tcPr>
          <w:p w:rsidR="001137AC" w:rsidRDefault="001137AC" w:rsidP="001137AC">
            <w:pPr>
              <w:rPr>
                <w:rFonts w:ascii="Arial" w:hAnsi="Arial" w:cs="Arial"/>
                <w:sz w:val="20"/>
                <w:szCs w:val="20"/>
              </w:rPr>
            </w:pPr>
            <w:r>
              <w:rPr>
                <w:rFonts w:ascii="Arial" w:hAnsi="Arial" w:cs="Arial"/>
                <w:sz w:val="20"/>
                <w:szCs w:val="20"/>
              </w:rPr>
              <w:t>301 to 750 tonnes</w:t>
            </w:r>
          </w:p>
        </w:tc>
        <w:tc>
          <w:tcPr>
            <w:tcW w:w="1725"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r>
      <w:tr w:rsidR="001137AC" w:rsidRPr="00EF785B" w:rsidTr="00FA2C75">
        <w:trPr>
          <w:trHeight w:val="70"/>
        </w:trPr>
        <w:tc>
          <w:tcPr>
            <w:tcW w:w="4219" w:type="dxa"/>
            <w:vAlign w:val="center"/>
          </w:tcPr>
          <w:p w:rsidR="001137AC" w:rsidRDefault="001137AC" w:rsidP="001137AC">
            <w:pPr>
              <w:rPr>
                <w:rFonts w:ascii="Arial" w:hAnsi="Arial" w:cs="Arial"/>
                <w:sz w:val="20"/>
                <w:szCs w:val="20"/>
              </w:rPr>
            </w:pPr>
            <w:r>
              <w:rPr>
                <w:rFonts w:ascii="Arial" w:hAnsi="Arial" w:cs="Arial"/>
                <w:sz w:val="20"/>
                <w:szCs w:val="20"/>
              </w:rPr>
              <w:t>751 to 1,500 tonnes</w:t>
            </w:r>
          </w:p>
        </w:tc>
        <w:tc>
          <w:tcPr>
            <w:tcW w:w="1843"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6,151</w:t>
            </w:r>
          </w:p>
        </w:tc>
        <w:tc>
          <w:tcPr>
            <w:tcW w:w="3969" w:type="dxa"/>
            <w:vAlign w:val="center"/>
          </w:tcPr>
          <w:p w:rsidR="001137AC" w:rsidRDefault="001137AC" w:rsidP="001137AC">
            <w:pPr>
              <w:rPr>
                <w:rFonts w:ascii="Arial" w:hAnsi="Arial" w:cs="Arial"/>
                <w:sz w:val="20"/>
                <w:szCs w:val="20"/>
              </w:rPr>
            </w:pPr>
            <w:r>
              <w:rPr>
                <w:rFonts w:ascii="Arial" w:hAnsi="Arial" w:cs="Arial"/>
                <w:sz w:val="20"/>
                <w:szCs w:val="20"/>
              </w:rPr>
              <w:t>751 to 1,500 tonnes</w:t>
            </w:r>
          </w:p>
        </w:tc>
        <w:tc>
          <w:tcPr>
            <w:tcW w:w="1725"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r>
      <w:tr w:rsidR="001137AC" w:rsidRPr="00EF785B" w:rsidTr="00FA2C75">
        <w:trPr>
          <w:trHeight w:val="70"/>
        </w:trPr>
        <w:tc>
          <w:tcPr>
            <w:tcW w:w="4219" w:type="dxa"/>
            <w:vAlign w:val="center"/>
          </w:tcPr>
          <w:p w:rsidR="001137AC" w:rsidRDefault="001137AC" w:rsidP="001137AC">
            <w:pPr>
              <w:rPr>
                <w:rFonts w:ascii="Arial" w:hAnsi="Arial" w:cs="Arial"/>
                <w:sz w:val="20"/>
                <w:szCs w:val="20"/>
              </w:rPr>
            </w:pPr>
            <w:r>
              <w:rPr>
                <w:rFonts w:ascii="Arial" w:hAnsi="Arial" w:cs="Arial"/>
                <w:sz w:val="20"/>
                <w:szCs w:val="20"/>
              </w:rPr>
              <w:t>Over 1,500 tonnes</w:t>
            </w:r>
          </w:p>
        </w:tc>
        <w:tc>
          <w:tcPr>
            <w:tcW w:w="1843"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8,199</w:t>
            </w:r>
          </w:p>
        </w:tc>
        <w:tc>
          <w:tcPr>
            <w:tcW w:w="3969" w:type="dxa"/>
            <w:vAlign w:val="center"/>
          </w:tcPr>
          <w:p w:rsidR="001137AC" w:rsidRDefault="001137AC" w:rsidP="001137AC">
            <w:pPr>
              <w:rPr>
                <w:rFonts w:ascii="Arial" w:hAnsi="Arial" w:cs="Arial"/>
                <w:sz w:val="20"/>
                <w:szCs w:val="20"/>
              </w:rPr>
            </w:pPr>
            <w:r>
              <w:rPr>
                <w:rFonts w:ascii="Arial" w:hAnsi="Arial" w:cs="Arial"/>
                <w:sz w:val="20"/>
                <w:szCs w:val="20"/>
              </w:rPr>
              <w:t>Over 1,500 tonnes</w:t>
            </w:r>
          </w:p>
        </w:tc>
        <w:tc>
          <w:tcPr>
            <w:tcW w:w="1725"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r>
      <w:tr w:rsidR="001137AC" w:rsidRPr="00EF785B" w:rsidTr="009E63BE">
        <w:trPr>
          <w:trHeight w:val="70"/>
        </w:trPr>
        <w:tc>
          <w:tcPr>
            <w:tcW w:w="4219" w:type="dxa"/>
            <w:shd w:val="clear" w:color="auto" w:fill="F2F2F2" w:themeFill="background1" w:themeFillShade="F2"/>
            <w:vAlign w:val="center"/>
          </w:tcPr>
          <w:p w:rsidR="001137AC" w:rsidRDefault="001137AC" w:rsidP="001137AC">
            <w:pPr>
              <w:rPr>
                <w:rFonts w:ascii="Arial" w:hAnsi="Arial" w:cs="Arial"/>
                <w:sz w:val="20"/>
                <w:szCs w:val="20"/>
              </w:rPr>
            </w:pPr>
            <w:r>
              <w:rPr>
                <w:rFonts w:ascii="Arial" w:hAnsi="Arial" w:cs="Arial"/>
                <w:b/>
                <w:sz w:val="20"/>
                <w:szCs w:val="20"/>
              </w:rPr>
              <w:t>Seafood Processor Category B</w:t>
            </w:r>
            <w:r w:rsidR="00361C87">
              <w:rPr>
                <w:rFonts w:ascii="Arial" w:hAnsi="Arial" w:cs="Arial"/>
                <w:b/>
                <w:sz w:val="20"/>
                <w:szCs w:val="20"/>
              </w:rPr>
              <w:t xml:space="preserve"> * </w:t>
            </w:r>
          </w:p>
        </w:tc>
        <w:tc>
          <w:tcPr>
            <w:tcW w:w="1843" w:type="dxa"/>
            <w:shd w:val="clear" w:color="auto" w:fill="F2F2F2" w:themeFill="background1" w:themeFillShade="F2"/>
            <w:vAlign w:val="center"/>
          </w:tcPr>
          <w:p w:rsidR="001137AC" w:rsidRPr="001137AC" w:rsidRDefault="001137AC" w:rsidP="001137AC">
            <w:pPr>
              <w:spacing w:before="60" w:after="60"/>
              <w:jc w:val="center"/>
              <w:rPr>
                <w:rFonts w:ascii="Arial" w:hAnsi="Arial" w:cs="Arial"/>
                <w:b/>
                <w:sz w:val="20"/>
                <w:szCs w:val="20"/>
              </w:rPr>
            </w:pPr>
            <w:r w:rsidRPr="001137AC">
              <w:rPr>
                <w:rFonts w:ascii="Arial" w:hAnsi="Arial" w:cs="Arial"/>
                <w:b/>
                <w:sz w:val="20"/>
                <w:szCs w:val="20"/>
              </w:rPr>
              <w:t>Current</w:t>
            </w:r>
          </w:p>
        </w:tc>
        <w:tc>
          <w:tcPr>
            <w:tcW w:w="8112" w:type="dxa"/>
            <w:gridSpan w:val="3"/>
            <w:shd w:val="clear" w:color="auto" w:fill="F2F2F2" w:themeFill="background1" w:themeFillShade="F2"/>
            <w:vAlign w:val="center"/>
          </w:tcPr>
          <w:p w:rsidR="001137AC" w:rsidRPr="00EF785B" w:rsidRDefault="001137AC" w:rsidP="001137AC">
            <w:pPr>
              <w:spacing w:before="60" w:after="60"/>
              <w:jc w:val="center"/>
              <w:rPr>
                <w:rFonts w:ascii="Arial" w:hAnsi="Arial" w:cs="Arial"/>
                <w:sz w:val="20"/>
                <w:szCs w:val="20"/>
              </w:rPr>
            </w:pPr>
            <w:r w:rsidRPr="00EF785B">
              <w:rPr>
                <w:rFonts w:ascii="Arial" w:hAnsi="Arial" w:cs="Arial"/>
                <w:b/>
                <w:sz w:val="20"/>
                <w:szCs w:val="20"/>
              </w:rPr>
              <w:t>Proposed</w:t>
            </w:r>
          </w:p>
        </w:tc>
      </w:tr>
      <w:tr w:rsidR="001137AC" w:rsidRPr="00EF785B" w:rsidTr="00FA2C75">
        <w:trPr>
          <w:trHeight w:val="70"/>
        </w:trPr>
        <w:tc>
          <w:tcPr>
            <w:tcW w:w="4219" w:type="dxa"/>
            <w:vAlign w:val="center"/>
          </w:tcPr>
          <w:p w:rsidR="001137AC" w:rsidRPr="00EF785B" w:rsidRDefault="001137AC" w:rsidP="001137AC">
            <w:pPr>
              <w:spacing w:before="60" w:after="60"/>
              <w:jc w:val="center"/>
              <w:rPr>
                <w:rFonts w:ascii="Arial" w:hAnsi="Arial" w:cs="Arial"/>
                <w:b/>
                <w:sz w:val="20"/>
                <w:szCs w:val="20"/>
              </w:rPr>
            </w:pPr>
            <w:r>
              <w:rPr>
                <w:rFonts w:ascii="Arial" w:hAnsi="Arial" w:cs="Arial"/>
                <w:b/>
                <w:sz w:val="20"/>
                <w:szCs w:val="20"/>
              </w:rPr>
              <w:t>Throughput</w:t>
            </w:r>
          </w:p>
        </w:tc>
        <w:tc>
          <w:tcPr>
            <w:tcW w:w="1843" w:type="dxa"/>
            <w:vAlign w:val="center"/>
          </w:tcPr>
          <w:p w:rsidR="001137AC" w:rsidRDefault="001137AC" w:rsidP="001137AC">
            <w:pPr>
              <w:spacing w:before="60" w:after="60"/>
              <w:jc w:val="center"/>
              <w:rPr>
                <w:rFonts w:ascii="Arial" w:hAnsi="Arial" w:cs="Arial"/>
                <w:b/>
                <w:sz w:val="20"/>
                <w:szCs w:val="20"/>
              </w:rPr>
            </w:pPr>
            <w:r>
              <w:rPr>
                <w:rFonts w:ascii="Arial" w:hAnsi="Arial" w:cs="Arial"/>
                <w:b/>
                <w:sz w:val="20"/>
                <w:szCs w:val="20"/>
              </w:rPr>
              <w:t>2015-16</w:t>
            </w:r>
          </w:p>
          <w:p w:rsidR="001137AC" w:rsidRPr="00EF785B" w:rsidRDefault="001137AC" w:rsidP="001137AC">
            <w:pPr>
              <w:spacing w:before="60" w:after="60"/>
              <w:jc w:val="center"/>
              <w:rPr>
                <w:rFonts w:ascii="Arial" w:hAnsi="Arial" w:cs="Arial"/>
                <w:b/>
                <w:sz w:val="20"/>
                <w:szCs w:val="20"/>
              </w:rPr>
            </w:pPr>
            <w:r>
              <w:rPr>
                <w:rFonts w:ascii="Arial" w:hAnsi="Arial" w:cs="Arial"/>
                <w:b/>
                <w:sz w:val="20"/>
                <w:szCs w:val="20"/>
              </w:rPr>
              <w:t>$</w:t>
            </w:r>
          </w:p>
        </w:tc>
        <w:tc>
          <w:tcPr>
            <w:tcW w:w="3969" w:type="dxa"/>
            <w:vAlign w:val="center"/>
          </w:tcPr>
          <w:p w:rsidR="001137AC" w:rsidRPr="00EF785B" w:rsidRDefault="001137AC" w:rsidP="001137AC">
            <w:pPr>
              <w:spacing w:before="60" w:after="60"/>
              <w:jc w:val="center"/>
              <w:rPr>
                <w:rFonts w:ascii="Arial" w:hAnsi="Arial" w:cs="Arial"/>
                <w:b/>
                <w:sz w:val="20"/>
                <w:szCs w:val="20"/>
              </w:rPr>
            </w:pPr>
            <w:r>
              <w:rPr>
                <w:rFonts w:ascii="Arial" w:hAnsi="Arial" w:cs="Arial"/>
                <w:b/>
                <w:sz w:val="20"/>
                <w:szCs w:val="20"/>
              </w:rPr>
              <w:t>Throughput</w:t>
            </w:r>
          </w:p>
        </w:tc>
        <w:tc>
          <w:tcPr>
            <w:tcW w:w="1725" w:type="dxa"/>
            <w:vAlign w:val="center"/>
          </w:tcPr>
          <w:p w:rsidR="001137AC" w:rsidRDefault="001137AC" w:rsidP="001137AC">
            <w:pPr>
              <w:spacing w:before="60" w:after="60"/>
              <w:jc w:val="center"/>
              <w:rPr>
                <w:rFonts w:ascii="Arial" w:hAnsi="Arial" w:cs="Arial"/>
                <w:b/>
                <w:sz w:val="20"/>
                <w:szCs w:val="20"/>
              </w:rPr>
            </w:pPr>
            <w:r w:rsidRPr="00EF785B">
              <w:rPr>
                <w:rFonts w:ascii="Arial" w:hAnsi="Arial" w:cs="Arial"/>
                <w:b/>
                <w:sz w:val="20"/>
                <w:szCs w:val="20"/>
              </w:rPr>
              <w:t>2016-17</w:t>
            </w:r>
          </w:p>
          <w:p w:rsidR="001137AC" w:rsidRPr="00EF785B" w:rsidRDefault="001137AC" w:rsidP="001137AC">
            <w:pPr>
              <w:spacing w:before="60" w:after="60"/>
              <w:jc w:val="center"/>
              <w:rPr>
                <w:rFonts w:ascii="Arial" w:hAnsi="Arial" w:cs="Arial"/>
                <w:b/>
                <w:sz w:val="20"/>
                <w:szCs w:val="20"/>
              </w:rPr>
            </w:pPr>
            <w:r>
              <w:rPr>
                <w:rFonts w:ascii="Arial" w:hAnsi="Arial" w:cs="Arial"/>
                <w:b/>
                <w:sz w:val="20"/>
                <w:szCs w:val="20"/>
              </w:rPr>
              <w:t>$</w:t>
            </w:r>
          </w:p>
        </w:tc>
        <w:tc>
          <w:tcPr>
            <w:tcW w:w="2418" w:type="dxa"/>
            <w:vAlign w:val="center"/>
          </w:tcPr>
          <w:p w:rsidR="001137AC" w:rsidRDefault="001137AC" w:rsidP="001137AC">
            <w:pPr>
              <w:spacing w:before="60" w:after="60"/>
              <w:jc w:val="center"/>
              <w:rPr>
                <w:rFonts w:ascii="Arial" w:hAnsi="Arial" w:cs="Arial"/>
                <w:b/>
                <w:sz w:val="20"/>
                <w:szCs w:val="20"/>
              </w:rPr>
            </w:pPr>
            <w:r>
              <w:rPr>
                <w:rFonts w:ascii="Arial" w:hAnsi="Arial" w:cs="Arial"/>
                <w:b/>
                <w:sz w:val="20"/>
                <w:szCs w:val="20"/>
              </w:rPr>
              <w:t>Increase</w:t>
            </w:r>
          </w:p>
          <w:p w:rsidR="001137AC" w:rsidRPr="00EF785B" w:rsidRDefault="001137AC" w:rsidP="001137AC">
            <w:pPr>
              <w:spacing w:before="60" w:after="60"/>
              <w:jc w:val="center"/>
              <w:rPr>
                <w:rFonts w:ascii="Arial" w:hAnsi="Arial" w:cs="Arial"/>
                <w:b/>
                <w:sz w:val="20"/>
                <w:szCs w:val="20"/>
              </w:rPr>
            </w:pPr>
            <w:r>
              <w:rPr>
                <w:rFonts w:ascii="Arial" w:hAnsi="Arial" w:cs="Arial"/>
                <w:b/>
                <w:sz w:val="20"/>
                <w:szCs w:val="20"/>
              </w:rPr>
              <w:t>%</w:t>
            </w:r>
          </w:p>
        </w:tc>
      </w:tr>
      <w:tr w:rsidR="001137AC" w:rsidRPr="00EF785B" w:rsidTr="00FA2C75">
        <w:trPr>
          <w:trHeight w:val="70"/>
        </w:trPr>
        <w:tc>
          <w:tcPr>
            <w:tcW w:w="4219" w:type="dxa"/>
            <w:vAlign w:val="center"/>
          </w:tcPr>
          <w:p w:rsidR="001137AC" w:rsidRPr="001137AC" w:rsidRDefault="001137AC" w:rsidP="001137AC">
            <w:pPr>
              <w:spacing w:before="60" w:after="60"/>
              <w:rPr>
                <w:rFonts w:ascii="Arial" w:hAnsi="Arial" w:cs="Arial"/>
                <w:sz w:val="20"/>
                <w:szCs w:val="20"/>
              </w:rPr>
            </w:pPr>
            <w:r>
              <w:rPr>
                <w:rFonts w:ascii="Arial" w:hAnsi="Arial" w:cs="Arial"/>
                <w:sz w:val="20"/>
                <w:szCs w:val="20"/>
              </w:rPr>
              <w:t>Up to 50 tonnes</w:t>
            </w:r>
          </w:p>
        </w:tc>
        <w:tc>
          <w:tcPr>
            <w:tcW w:w="1843"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820</w:t>
            </w:r>
          </w:p>
        </w:tc>
        <w:tc>
          <w:tcPr>
            <w:tcW w:w="3969" w:type="dxa"/>
            <w:vAlign w:val="center"/>
          </w:tcPr>
          <w:p w:rsidR="001137AC" w:rsidRPr="001137AC" w:rsidRDefault="001137AC" w:rsidP="001137AC">
            <w:pPr>
              <w:spacing w:before="60" w:after="60"/>
              <w:rPr>
                <w:rFonts w:ascii="Arial" w:hAnsi="Arial" w:cs="Arial"/>
                <w:sz w:val="20"/>
                <w:szCs w:val="20"/>
              </w:rPr>
            </w:pPr>
            <w:r>
              <w:rPr>
                <w:rFonts w:ascii="Arial" w:hAnsi="Arial" w:cs="Arial"/>
                <w:sz w:val="20"/>
                <w:szCs w:val="20"/>
              </w:rPr>
              <w:t>Up to 50 tonnes</w:t>
            </w:r>
          </w:p>
        </w:tc>
        <w:tc>
          <w:tcPr>
            <w:tcW w:w="1725"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r>
      <w:tr w:rsidR="001137AC" w:rsidRPr="00EF785B" w:rsidTr="00FA2C75">
        <w:trPr>
          <w:trHeight w:val="70"/>
        </w:trPr>
        <w:tc>
          <w:tcPr>
            <w:tcW w:w="4219" w:type="dxa"/>
            <w:vAlign w:val="center"/>
          </w:tcPr>
          <w:p w:rsidR="001137AC" w:rsidRPr="001137AC" w:rsidRDefault="001137AC" w:rsidP="001137AC">
            <w:pPr>
              <w:spacing w:before="60" w:after="60"/>
              <w:rPr>
                <w:rFonts w:ascii="Arial" w:hAnsi="Arial" w:cs="Arial"/>
                <w:sz w:val="20"/>
                <w:szCs w:val="20"/>
              </w:rPr>
            </w:pPr>
            <w:r>
              <w:rPr>
                <w:rFonts w:ascii="Arial" w:hAnsi="Arial" w:cs="Arial"/>
                <w:sz w:val="20"/>
                <w:szCs w:val="20"/>
              </w:rPr>
              <w:t>51 to 100 tonnes</w:t>
            </w:r>
          </w:p>
        </w:tc>
        <w:tc>
          <w:tcPr>
            <w:tcW w:w="1843"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1,232</w:t>
            </w:r>
          </w:p>
        </w:tc>
        <w:tc>
          <w:tcPr>
            <w:tcW w:w="3969" w:type="dxa"/>
            <w:vAlign w:val="center"/>
          </w:tcPr>
          <w:p w:rsidR="001137AC" w:rsidRPr="001137AC" w:rsidRDefault="001137AC" w:rsidP="001137AC">
            <w:pPr>
              <w:spacing w:before="60" w:after="60"/>
              <w:rPr>
                <w:rFonts w:ascii="Arial" w:hAnsi="Arial" w:cs="Arial"/>
                <w:sz w:val="20"/>
                <w:szCs w:val="20"/>
              </w:rPr>
            </w:pPr>
            <w:r>
              <w:rPr>
                <w:rFonts w:ascii="Arial" w:hAnsi="Arial" w:cs="Arial"/>
                <w:sz w:val="20"/>
                <w:szCs w:val="20"/>
              </w:rPr>
              <w:t>51 to 100 tonnes</w:t>
            </w:r>
          </w:p>
        </w:tc>
        <w:tc>
          <w:tcPr>
            <w:tcW w:w="1725"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r>
      <w:tr w:rsidR="001137AC" w:rsidRPr="00EF785B" w:rsidTr="00FA2C75">
        <w:trPr>
          <w:trHeight w:val="70"/>
        </w:trPr>
        <w:tc>
          <w:tcPr>
            <w:tcW w:w="4219" w:type="dxa"/>
            <w:vAlign w:val="center"/>
          </w:tcPr>
          <w:p w:rsidR="001137AC" w:rsidRPr="001137AC" w:rsidRDefault="001137AC" w:rsidP="001137AC">
            <w:pPr>
              <w:spacing w:before="60" w:after="60"/>
              <w:rPr>
                <w:rFonts w:ascii="Arial" w:hAnsi="Arial" w:cs="Arial"/>
                <w:sz w:val="20"/>
                <w:szCs w:val="20"/>
              </w:rPr>
            </w:pPr>
            <w:r>
              <w:rPr>
                <w:rFonts w:ascii="Arial" w:hAnsi="Arial" w:cs="Arial"/>
                <w:sz w:val="20"/>
                <w:szCs w:val="20"/>
              </w:rPr>
              <w:t>101 to 250 tonnes</w:t>
            </w:r>
          </w:p>
        </w:tc>
        <w:tc>
          <w:tcPr>
            <w:tcW w:w="1843"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2,868</w:t>
            </w:r>
          </w:p>
        </w:tc>
        <w:tc>
          <w:tcPr>
            <w:tcW w:w="3969" w:type="dxa"/>
            <w:vAlign w:val="center"/>
          </w:tcPr>
          <w:p w:rsidR="001137AC" w:rsidRPr="001137AC" w:rsidRDefault="001137AC" w:rsidP="001137AC">
            <w:pPr>
              <w:spacing w:before="60" w:after="60"/>
              <w:rPr>
                <w:rFonts w:ascii="Arial" w:hAnsi="Arial" w:cs="Arial"/>
                <w:sz w:val="20"/>
                <w:szCs w:val="20"/>
              </w:rPr>
            </w:pPr>
            <w:r>
              <w:rPr>
                <w:rFonts w:ascii="Arial" w:hAnsi="Arial" w:cs="Arial"/>
                <w:sz w:val="20"/>
                <w:szCs w:val="20"/>
              </w:rPr>
              <w:t>101 to 250 tonnes</w:t>
            </w:r>
          </w:p>
        </w:tc>
        <w:tc>
          <w:tcPr>
            <w:tcW w:w="1725"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r>
      <w:tr w:rsidR="001137AC" w:rsidRPr="00EF785B" w:rsidTr="00FA2C75">
        <w:trPr>
          <w:trHeight w:val="70"/>
        </w:trPr>
        <w:tc>
          <w:tcPr>
            <w:tcW w:w="4219" w:type="dxa"/>
            <w:vAlign w:val="center"/>
          </w:tcPr>
          <w:p w:rsidR="001137AC" w:rsidRPr="001137AC" w:rsidRDefault="001137AC" w:rsidP="001137AC">
            <w:pPr>
              <w:spacing w:before="60" w:after="60"/>
              <w:rPr>
                <w:rFonts w:ascii="Arial" w:hAnsi="Arial" w:cs="Arial"/>
                <w:sz w:val="20"/>
                <w:szCs w:val="20"/>
              </w:rPr>
            </w:pPr>
            <w:r>
              <w:rPr>
                <w:rFonts w:ascii="Arial" w:hAnsi="Arial" w:cs="Arial"/>
                <w:sz w:val="20"/>
                <w:szCs w:val="20"/>
              </w:rPr>
              <w:t>251 to 500 tonnes</w:t>
            </w:r>
          </w:p>
        </w:tc>
        <w:tc>
          <w:tcPr>
            <w:tcW w:w="1843"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6,151</w:t>
            </w:r>
          </w:p>
        </w:tc>
        <w:tc>
          <w:tcPr>
            <w:tcW w:w="3969" w:type="dxa"/>
            <w:vAlign w:val="center"/>
          </w:tcPr>
          <w:p w:rsidR="001137AC" w:rsidRPr="001137AC" w:rsidRDefault="001137AC" w:rsidP="001137AC">
            <w:pPr>
              <w:spacing w:before="60" w:after="60"/>
              <w:rPr>
                <w:rFonts w:ascii="Arial" w:hAnsi="Arial" w:cs="Arial"/>
                <w:sz w:val="20"/>
                <w:szCs w:val="20"/>
              </w:rPr>
            </w:pPr>
            <w:r>
              <w:rPr>
                <w:rFonts w:ascii="Arial" w:hAnsi="Arial" w:cs="Arial"/>
                <w:sz w:val="20"/>
                <w:szCs w:val="20"/>
              </w:rPr>
              <w:t>251 to 500 tonnes</w:t>
            </w:r>
          </w:p>
        </w:tc>
        <w:tc>
          <w:tcPr>
            <w:tcW w:w="1725"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r>
      <w:tr w:rsidR="001137AC" w:rsidRPr="00EF785B" w:rsidTr="00FA2C75">
        <w:trPr>
          <w:trHeight w:val="70"/>
        </w:trPr>
        <w:tc>
          <w:tcPr>
            <w:tcW w:w="4219" w:type="dxa"/>
            <w:vAlign w:val="center"/>
          </w:tcPr>
          <w:p w:rsidR="001137AC" w:rsidRPr="001137AC" w:rsidRDefault="001137AC" w:rsidP="001137AC">
            <w:pPr>
              <w:spacing w:before="60" w:after="60"/>
              <w:rPr>
                <w:rFonts w:ascii="Arial" w:hAnsi="Arial" w:cs="Arial"/>
                <w:sz w:val="20"/>
                <w:szCs w:val="20"/>
              </w:rPr>
            </w:pPr>
            <w:r>
              <w:rPr>
                <w:rFonts w:ascii="Arial" w:hAnsi="Arial" w:cs="Arial"/>
                <w:sz w:val="20"/>
                <w:szCs w:val="20"/>
              </w:rPr>
              <w:t xml:space="preserve">Over 500 tonnes </w:t>
            </w:r>
          </w:p>
        </w:tc>
        <w:tc>
          <w:tcPr>
            <w:tcW w:w="1843"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8,199</w:t>
            </w:r>
          </w:p>
        </w:tc>
        <w:tc>
          <w:tcPr>
            <w:tcW w:w="3969" w:type="dxa"/>
            <w:vAlign w:val="center"/>
          </w:tcPr>
          <w:p w:rsidR="001137AC" w:rsidRPr="001137AC" w:rsidRDefault="001137AC" w:rsidP="001137AC">
            <w:pPr>
              <w:spacing w:before="60" w:after="60"/>
              <w:rPr>
                <w:rFonts w:ascii="Arial" w:hAnsi="Arial" w:cs="Arial"/>
                <w:sz w:val="20"/>
                <w:szCs w:val="20"/>
              </w:rPr>
            </w:pPr>
            <w:r>
              <w:rPr>
                <w:rFonts w:ascii="Arial" w:hAnsi="Arial" w:cs="Arial"/>
                <w:sz w:val="20"/>
                <w:szCs w:val="20"/>
              </w:rPr>
              <w:t xml:space="preserve">Over 500 tonnes </w:t>
            </w:r>
          </w:p>
        </w:tc>
        <w:tc>
          <w:tcPr>
            <w:tcW w:w="1725"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1137AC" w:rsidRPr="00EF785B" w:rsidRDefault="001137AC" w:rsidP="001137AC">
            <w:pPr>
              <w:spacing w:before="60" w:after="60"/>
              <w:jc w:val="center"/>
              <w:rPr>
                <w:rFonts w:ascii="Arial" w:hAnsi="Arial" w:cs="Arial"/>
                <w:sz w:val="20"/>
                <w:szCs w:val="20"/>
              </w:rPr>
            </w:pPr>
            <w:r>
              <w:rPr>
                <w:rFonts w:ascii="Arial" w:hAnsi="Arial" w:cs="Arial"/>
                <w:sz w:val="20"/>
                <w:szCs w:val="20"/>
              </w:rPr>
              <w:t>TBD</w:t>
            </w:r>
          </w:p>
        </w:tc>
      </w:tr>
    </w:tbl>
    <w:p w:rsidR="001137AC" w:rsidRDefault="001137AC" w:rsidP="00E30FAF">
      <w:pPr>
        <w:spacing w:after="0" w:line="240" w:lineRule="auto"/>
        <w:rPr>
          <w:rFonts w:ascii="Arial" w:hAnsi="Arial" w:cs="Arial"/>
          <w:b/>
          <w:sz w:val="20"/>
          <w:szCs w:val="20"/>
        </w:rPr>
      </w:pPr>
    </w:p>
    <w:p w:rsidR="001137AC" w:rsidRDefault="001137AC" w:rsidP="00E30FAF">
      <w:pPr>
        <w:spacing w:after="0" w:line="240" w:lineRule="auto"/>
        <w:rPr>
          <w:rFonts w:ascii="Arial" w:hAnsi="Arial" w:cs="Arial"/>
          <w:b/>
          <w:sz w:val="20"/>
          <w:szCs w:val="20"/>
        </w:rPr>
      </w:pPr>
    </w:p>
    <w:p w:rsidR="001137AC" w:rsidRDefault="001137AC" w:rsidP="00E30FAF">
      <w:pPr>
        <w:spacing w:after="0" w:line="240" w:lineRule="auto"/>
        <w:rPr>
          <w:rFonts w:ascii="Arial" w:hAnsi="Arial" w:cs="Arial"/>
          <w:b/>
          <w:sz w:val="20"/>
          <w:szCs w:val="20"/>
        </w:rPr>
      </w:pPr>
    </w:p>
    <w:p w:rsidR="001137AC" w:rsidRDefault="001137AC" w:rsidP="00E30FAF">
      <w:pPr>
        <w:spacing w:after="0" w:line="240" w:lineRule="auto"/>
        <w:rPr>
          <w:rFonts w:ascii="Arial" w:hAnsi="Arial" w:cs="Arial"/>
          <w:b/>
          <w:sz w:val="20"/>
          <w:szCs w:val="20"/>
        </w:rPr>
      </w:pPr>
    </w:p>
    <w:p w:rsidR="001137AC" w:rsidRDefault="001137AC" w:rsidP="00E30FAF">
      <w:pPr>
        <w:spacing w:after="0" w:line="240" w:lineRule="auto"/>
        <w:rPr>
          <w:rFonts w:ascii="Arial" w:hAnsi="Arial" w:cs="Arial"/>
          <w:b/>
          <w:sz w:val="20"/>
          <w:szCs w:val="20"/>
        </w:rPr>
      </w:pPr>
    </w:p>
    <w:p w:rsidR="001137AC" w:rsidRDefault="001137AC" w:rsidP="00E30FAF">
      <w:pPr>
        <w:spacing w:after="0" w:line="240" w:lineRule="auto"/>
        <w:rPr>
          <w:rFonts w:ascii="Arial" w:hAnsi="Arial" w:cs="Arial"/>
          <w:b/>
          <w:sz w:val="20"/>
          <w:szCs w:val="20"/>
        </w:rPr>
      </w:pPr>
    </w:p>
    <w:p w:rsidR="001137AC" w:rsidRDefault="001137AC" w:rsidP="00E30FAF">
      <w:pPr>
        <w:spacing w:after="0" w:line="240" w:lineRule="auto"/>
        <w:rPr>
          <w:rFonts w:ascii="Arial" w:hAnsi="Arial" w:cs="Arial"/>
          <w:b/>
          <w:sz w:val="20"/>
          <w:szCs w:val="20"/>
        </w:rPr>
      </w:pPr>
    </w:p>
    <w:p w:rsidR="001137AC" w:rsidRDefault="001137AC" w:rsidP="00E30FAF">
      <w:pPr>
        <w:spacing w:after="0" w:line="240" w:lineRule="auto"/>
        <w:rPr>
          <w:rFonts w:ascii="Arial" w:hAnsi="Arial" w:cs="Arial"/>
          <w:b/>
          <w:sz w:val="20"/>
          <w:szCs w:val="20"/>
        </w:rPr>
      </w:pPr>
    </w:p>
    <w:p w:rsidR="001137AC" w:rsidRDefault="001137AC" w:rsidP="00E30FAF">
      <w:pPr>
        <w:spacing w:after="0" w:line="240" w:lineRule="auto"/>
        <w:rPr>
          <w:rFonts w:ascii="Arial" w:hAnsi="Arial" w:cs="Arial"/>
          <w:b/>
          <w:sz w:val="20"/>
          <w:szCs w:val="20"/>
        </w:rPr>
      </w:pPr>
    </w:p>
    <w:p w:rsidR="001137AC" w:rsidRDefault="001137AC" w:rsidP="00E30FAF">
      <w:pPr>
        <w:spacing w:after="0" w:line="240" w:lineRule="auto"/>
        <w:rPr>
          <w:rFonts w:ascii="Arial" w:hAnsi="Arial" w:cs="Arial"/>
          <w:b/>
          <w:sz w:val="20"/>
          <w:szCs w:val="20"/>
        </w:rPr>
      </w:pPr>
    </w:p>
    <w:p w:rsidR="001137AC" w:rsidRDefault="001137AC" w:rsidP="00E30FAF">
      <w:pPr>
        <w:spacing w:after="0" w:line="240" w:lineRule="auto"/>
        <w:rPr>
          <w:rFonts w:ascii="Arial" w:hAnsi="Arial" w:cs="Arial"/>
          <w:b/>
          <w:sz w:val="20"/>
          <w:szCs w:val="20"/>
        </w:rPr>
      </w:pPr>
    </w:p>
    <w:p w:rsidR="001137AC" w:rsidRDefault="001137AC" w:rsidP="00E30FAF">
      <w:pPr>
        <w:spacing w:after="0" w:line="240" w:lineRule="auto"/>
        <w:rPr>
          <w:rFonts w:ascii="Arial" w:hAnsi="Arial" w:cs="Arial"/>
          <w:b/>
          <w:sz w:val="20"/>
          <w:szCs w:val="20"/>
        </w:rPr>
      </w:pPr>
    </w:p>
    <w:p w:rsidR="001137AC" w:rsidRDefault="001137AC" w:rsidP="00E30FAF">
      <w:pPr>
        <w:spacing w:after="0" w:line="240" w:lineRule="auto"/>
        <w:rPr>
          <w:rFonts w:ascii="Arial" w:hAnsi="Arial" w:cs="Arial"/>
          <w:b/>
          <w:sz w:val="20"/>
          <w:szCs w:val="20"/>
        </w:rPr>
      </w:pPr>
    </w:p>
    <w:tbl>
      <w:tblPr>
        <w:tblStyle w:val="TableGrid"/>
        <w:tblW w:w="0" w:type="auto"/>
        <w:tblLook w:val="04A0" w:firstRow="1" w:lastRow="0" w:firstColumn="1" w:lastColumn="0" w:noHBand="0" w:noVBand="1"/>
      </w:tblPr>
      <w:tblGrid>
        <w:gridCol w:w="4219"/>
        <w:gridCol w:w="1843"/>
        <w:gridCol w:w="3969"/>
        <w:gridCol w:w="1725"/>
        <w:gridCol w:w="2418"/>
      </w:tblGrid>
      <w:tr w:rsidR="001137AC" w:rsidTr="009E63BE">
        <w:tc>
          <w:tcPr>
            <w:tcW w:w="4219" w:type="dxa"/>
            <w:shd w:val="clear" w:color="auto" w:fill="F2F2F2" w:themeFill="background1" w:themeFillShade="F2"/>
            <w:vAlign w:val="center"/>
          </w:tcPr>
          <w:p w:rsidR="001137AC" w:rsidRPr="00E87CBB" w:rsidRDefault="001137AC" w:rsidP="00FA2C75">
            <w:pPr>
              <w:spacing w:before="60" w:after="60"/>
              <w:rPr>
                <w:rFonts w:ascii="Arial" w:hAnsi="Arial" w:cs="Arial"/>
                <w:b/>
                <w:sz w:val="20"/>
                <w:szCs w:val="20"/>
              </w:rPr>
            </w:pPr>
            <w:r>
              <w:rPr>
                <w:rFonts w:ascii="Arial" w:hAnsi="Arial" w:cs="Arial"/>
                <w:b/>
                <w:sz w:val="20"/>
                <w:szCs w:val="20"/>
              </w:rPr>
              <w:t>Seafood Further Processor Category A</w:t>
            </w:r>
            <w:r w:rsidR="00361C87">
              <w:rPr>
                <w:rFonts w:ascii="Arial" w:hAnsi="Arial" w:cs="Arial"/>
                <w:b/>
                <w:sz w:val="20"/>
                <w:szCs w:val="20"/>
              </w:rPr>
              <w:t xml:space="preserve"> *</w:t>
            </w:r>
          </w:p>
        </w:tc>
        <w:tc>
          <w:tcPr>
            <w:tcW w:w="1843" w:type="dxa"/>
            <w:shd w:val="clear" w:color="auto" w:fill="F2F2F2" w:themeFill="background1" w:themeFillShade="F2"/>
            <w:vAlign w:val="center"/>
          </w:tcPr>
          <w:p w:rsidR="001137AC" w:rsidRPr="00EF785B" w:rsidRDefault="001137AC" w:rsidP="00FA2C75">
            <w:pPr>
              <w:spacing w:before="60" w:after="60"/>
              <w:jc w:val="center"/>
              <w:rPr>
                <w:rFonts w:ascii="Arial" w:hAnsi="Arial" w:cs="Arial"/>
                <w:b/>
                <w:sz w:val="20"/>
                <w:szCs w:val="20"/>
              </w:rPr>
            </w:pPr>
            <w:r w:rsidRPr="00EF785B">
              <w:rPr>
                <w:rFonts w:ascii="Arial" w:hAnsi="Arial" w:cs="Arial"/>
                <w:b/>
                <w:sz w:val="20"/>
                <w:szCs w:val="20"/>
              </w:rPr>
              <w:t>Current</w:t>
            </w:r>
          </w:p>
        </w:tc>
        <w:tc>
          <w:tcPr>
            <w:tcW w:w="8112" w:type="dxa"/>
            <w:gridSpan w:val="3"/>
            <w:shd w:val="clear" w:color="auto" w:fill="F2F2F2" w:themeFill="background1" w:themeFillShade="F2"/>
            <w:vAlign w:val="center"/>
          </w:tcPr>
          <w:p w:rsidR="001137AC" w:rsidRDefault="001137AC" w:rsidP="00FA2C75">
            <w:pPr>
              <w:spacing w:before="60" w:after="60"/>
              <w:jc w:val="center"/>
              <w:rPr>
                <w:rFonts w:ascii="Arial" w:hAnsi="Arial" w:cs="Arial"/>
                <w:b/>
                <w:sz w:val="20"/>
                <w:szCs w:val="20"/>
                <w:u w:val="single"/>
              </w:rPr>
            </w:pPr>
            <w:r w:rsidRPr="00EF785B">
              <w:rPr>
                <w:rFonts w:ascii="Arial" w:hAnsi="Arial" w:cs="Arial"/>
                <w:b/>
                <w:sz w:val="20"/>
                <w:szCs w:val="20"/>
              </w:rPr>
              <w:t>Proposed</w:t>
            </w:r>
          </w:p>
        </w:tc>
      </w:tr>
      <w:tr w:rsidR="001137AC" w:rsidRPr="00EF785B" w:rsidTr="00FA2C75">
        <w:tc>
          <w:tcPr>
            <w:tcW w:w="4219" w:type="dxa"/>
            <w:vAlign w:val="center"/>
          </w:tcPr>
          <w:p w:rsidR="001137AC" w:rsidRPr="00EF785B" w:rsidRDefault="001137AC" w:rsidP="00FA2C75">
            <w:pPr>
              <w:spacing w:before="60" w:after="60"/>
              <w:jc w:val="center"/>
              <w:rPr>
                <w:rFonts w:ascii="Arial" w:hAnsi="Arial" w:cs="Arial"/>
                <w:b/>
                <w:sz w:val="20"/>
                <w:szCs w:val="20"/>
              </w:rPr>
            </w:pPr>
            <w:r>
              <w:rPr>
                <w:rFonts w:ascii="Arial" w:hAnsi="Arial" w:cs="Arial"/>
                <w:b/>
                <w:sz w:val="20"/>
                <w:szCs w:val="20"/>
              </w:rPr>
              <w:t>Throughput</w:t>
            </w:r>
          </w:p>
        </w:tc>
        <w:tc>
          <w:tcPr>
            <w:tcW w:w="1843" w:type="dxa"/>
            <w:vAlign w:val="center"/>
          </w:tcPr>
          <w:p w:rsidR="001137AC" w:rsidRDefault="001137AC" w:rsidP="00FA2C75">
            <w:pPr>
              <w:spacing w:before="60" w:after="60"/>
              <w:jc w:val="center"/>
              <w:rPr>
                <w:rFonts w:ascii="Arial" w:hAnsi="Arial" w:cs="Arial"/>
                <w:b/>
                <w:sz w:val="20"/>
                <w:szCs w:val="20"/>
              </w:rPr>
            </w:pPr>
            <w:r>
              <w:rPr>
                <w:rFonts w:ascii="Arial" w:hAnsi="Arial" w:cs="Arial"/>
                <w:b/>
                <w:sz w:val="20"/>
                <w:szCs w:val="20"/>
              </w:rPr>
              <w:t>2015-16</w:t>
            </w:r>
          </w:p>
          <w:p w:rsidR="001137AC" w:rsidRPr="00EF785B" w:rsidRDefault="001137AC" w:rsidP="00FA2C75">
            <w:pPr>
              <w:spacing w:before="60" w:after="60"/>
              <w:jc w:val="center"/>
              <w:rPr>
                <w:rFonts w:ascii="Arial" w:hAnsi="Arial" w:cs="Arial"/>
                <w:b/>
                <w:sz w:val="20"/>
                <w:szCs w:val="20"/>
              </w:rPr>
            </w:pPr>
            <w:r>
              <w:rPr>
                <w:rFonts w:ascii="Arial" w:hAnsi="Arial" w:cs="Arial"/>
                <w:b/>
                <w:sz w:val="20"/>
                <w:szCs w:val="20"/>
              </w:rPr>
              <w:t>$</w:t>
            </w:r>
          </w:p>
        </w:tc>
        <w:tc>
          <w:tcPr>
            <w:tcW w:w="3969" w:type="dxa"/>
            <w:vAlign w:val="center"/>
          </w:tcPr>
          <w:p w:rsidR="001137AC" w:rsidRPr="00EF785B" w:rsidRDefault="001137AC" w:rsidP="00FA2C75">
            <w:pPr>
              <w:spacing w:before="60" w:after="60"/>
              <w:jc w:val="center"/>
              <w:rPr>
                <w:rFonts w:ascii="Arial" w:hAnsi="Arial" w:cs="Arial"/>
                <w:b/>
                <w:sz w:val="20"/>
                <w:szCs w:val="20"/>
              </w:rPr>
            </w:pPr>
            <w:r>
              <w:rPr>
                <w:rFonts w:ascii="Arial" w:hAnsi="Arial" w:cs="Arial"/>
                <w:b/>
                <w:sz w:val="20"/>
                <w:szCs w:val="20"/>
              </w:rPr>
              <w:t>Throughput</w:t>
            </w:r>
          </w:p>
        </w:tc>
        <w:tc>
          <w:tcPr>
            <w:tcW w:w="1725" w:type="dxa"/>
            <w:vAlign w:val="center"/>
          </w:tcPr>
          <w:p w:rsidR="001137AC" w:rsidRDefault="001137AC" w:rsidP="00FA2C75">
            <w:pPr>
              <w:spacing w:before="60" w:after="60"/>
              <w:jc w:val="center"/>
              <w:rPr>
                <w:rFonts w:ascii="Arial" w:hAnsi="Arial" w:cs="Arial"/>
                <w:b/>
                <w:sz w:val="20"/>
                <w:szCs w:val="20"/>
              </w:rPr>
            </w:pPr>
            <w:r w:rsidRPr="00EF785B">
              <w:rPr>
                <w:rFonts w:ascii="Arial" w:hAnsi="Arial" w:cs="Arial"/>
                <w:b/>
                <w:sz w:val="20"/>
                <w:szCs w:val="20"/>
              </w:rPr>
              <w:t>2016-17</w:t>
            </w:r>
          </w:p>
          <w:p w:rsidR="001137AC" w:rsidRPr="00EF785B" w:rsidRDefault="001137AC" w:rsidP="00FA2C75">
            <w:pPr>
              <w:spacing w:before="60" w:after="60"/>
              <w:jc w:val="center"/>
              <w:rPr>
                <w:rFonts w:ascii="Arial" w:hAnsi="Arial" w:cs="Arial"/>
                <w:b/>
                <w:sz w:val="20"/>
                <w:szCs w:val="20"/>
              </w:rPr>
            </w:pPr>
            <w:r>
              <w:rPr>
                <w:rFonts w:ascii="Arial" w:hAnsi="Arial" w:cs="Arial"/>
                <w:b/>
                <w:sz w:val="20"/>
                <w:szCs w:val="20"/>
              </w:rPr>
              <w:t>$</w:t>
            </w:r>
          </w:p>
        </w:tc>
        <w:tc>
          <w:tcPr>
            <w:tcW w:w="2418" w:type="dxa"/>
            <w:vAlign w:val="center"/>
          </w:tcPr>
          <w:p w:rsidR="001137AC" w:rsidRDefault="001137AC" w:rsidP="00FA2C75">
            <w:pPr>
              <w:spacing w:before="60" w:after="60"/>
              <w:jc w:val="center"/>
              <w:rPr>
                <w:rFonts w:ascii="Arial" w:hAnsi="Arial" w:cs="Arial"/>
                <w:b/>
                <w:sz w:val="20"/>
                <w:szCs w:val="20"/>
              </w:rPr>
            </w:pPr>
            <w:r>
              <w:rPr>
                <w:rFonts w:ascii="Arial" w:hAnsi="Arial" w:cs="Arial"/>
                <w:b/>
                <w:sz w:val="20"/>
                <w:szCs w:val="20"/>
              </w:rPr>
              <w:t>Increase</w:t>
            </w:r>
          </w:p>
          <w:p w:rsidR="001137AC" w:rsidRPr="00EF785B" w:rsidRDefault="001137AC" w:rsidP="00FA2C75">
            <w:pPr>
              <w:spacing w:before="60" w:after="60"/>
              <w:jc w:val="center"/>
              <w:rPr>
                <w:rFonts w:ascii="Arial" w:hAnsi="Arial" w:cs="Arial"/>
                <w:b/>
                <w:sz w:val="20"/>
                <w:szCs w:val="20"/>
              </w:rPr>
            </w:pPr>
            <w:r>
              <w:rPr>
                <w:rFonts w:ascii="Arial" w:hAnsi="Arial" w:cs="Arial"/>
                <w:b/>
                <w:sz w:val="20"/>
                <w:szCs w:val="20"/>
              </w:rPr>
              <w:t>%</w:t>
            </w:r>
          </w:p>
        </w:tc>
      </w:tr>
      <w:tr w:rsidR="00361C87" w:rsidRPr="00EF785B" w:rsidTr="00FA2C75">
        <w:tc>
          <w:tcPr>
            <w:tcW w:w="4219" w:type="dxa"/>
            <w:vAlign w:val="center"/>
          </w:tcPr>
          <w:p w:rsidR="00361C87" w:rsidRPr="001137AC" w:rsidRDefault="00361C87" w:rsidP="00361C87">
            <w:pPr>
              <w:spacing w:before="60" w:after="60"/>
              <w:rPr>
                <w:rFonts w:ascii="Arial" w:hAnsi="Arial" w:cs="Arial"/>
                <w:sz w:val="20"/>
                <w:szCs w:val="20"/>
              </w:rPr>
            </w:pPr>
            <w:r>
              <w:rPr>
                <w:rFonts w:ascii="Arial" w:hAnsi="Arial" w:cs="Arial"/>
                <w:sz w:val="20"/>
                <w:szCs w:val="20"/>
              </w:rPr>
              <w:t>Up to 50 tonnes</w:t>
            </w:r>
          </w:p>
        </w:tc>
        <w:tc>
          <w:tcPr>
            <w:tcW w:w="1843" w:type="dxa"/>
            <w:vAlign w:val="center"/>
          </w:tcPr>
          <w:p w:rsidR="00361C87" w:rsidRPr="00EF785B" w:rsidRDefault="00361C87" w:rsidP="00361C87">
            <w:pPr>
              <w:spacing w:before="60" w:after="60"/>
              <w:jc w:val="center"/>
              <w:rPr>
                <w:rFonts w:ascii="Arial" w:hAnsi="Arial" w:cs="Arial"/>
                <w:sz w:val="20"/>
                <w:szCs w:val="20"/>
              </w:rPr>
            </w:pPr>
            <w:r>
              <w:rPr>
                <w:rFonts w:ascii="Arial" w:hAnsi="Arial" w:cs="Arial"/>
                <w:sz w:val="20"/>
                <w:szCs w:val="20"/>
              </w:rPr>
              <w:t>820</w:t>
            </w:r>
          </w:p>
        </w:tc>
        <w:tc>
          <w:tcPr>
            <w:tcW w:w="3969" w:type="dxa"/>
            <w:vAlign w:val="center"/>
          </w:tcPr>
          <w:p w:rsidR="00361C87" w:rsidRPr="001137AC" w:rsidRDefault="00361C87" w:rsidP="00361C87">
            <w:pPr>
              <w:spacing w:before="60" w:after="60"/>
              <w:rPr>
                <w:rFonts w:ascii="Arial" w:hAnsi="Arial" w:cs="Arial"/>
                <w:sz w:val="20"/>
                <w:szCs w:val="20"/>
              </w:rPr>
            </w:pPr>
            <w:r>
              <w:rPr>
                <w:rFonts w:ascii="Arial" w:hAnsi="Arial" w:cs="Arial"/>
                <w:sz w:val="20"/>
                <w:szCs w:val="20"/>
              </w:rPr>
              <w:t>Up to 50 tonnes</w:t>
            </w:r>
          </w:p>
        </w:tc>
        <w:tc>
          <w:tcPr>
            <w:tcW w:w="1725" w:type="dxa"/>
            <w:vAlign w:val="center"/>
          </w:tcPr>
          <w:p w:rsidR="00361C87" w:rsidRPr="00EF785B" w:rsidRDefault="00361C87" w:rsidP="00361C87">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361C87" w:rsidRPr="00EF785B" w:rsidRDefault="00361C87" w:rsidP="00361C87">
            <w:pPr>
              <w:spacing w:before="60" w:after="60"/>
              <w:jc w:val="center"/>
              <w:rPr>
                <w:rFonts w:ascii="Arial" w:hAnsi="Arial" w:cs="Arial"/>
                <w:sz w:val="20"/>
                <w:szCs w:val="20"/>
              </w:rPr>
            </w:pPr>
            <w:r>
              <w:rPr>
                <w:rFonts w:ascii="Arial" w:hAnsi="Arial" w:cs="Arial"/>
                <w:sz w:val="20"/>
                <w:szCs w:val="20"/>
              </w:rPr>
              <w:t>TBD</w:t>
            </w:r>
          </w:p>
        </w:tc>
      </w:tr>
      <w:tr w:rsidR="00361C87" w:rsidRPr="00EF785B" w:rsidTr="00FA2C75">
        <w:tc>
          <w:tcPr>
            <w:tcW w:w="4219" w:type="dxa"/>
            <w:vAlign w:val="center"/>
          </w:tcPr>
          <w:p w:rsidR="00361C87" w:rsidRPr="001137AC" w:rsidRDefault="00361C87" w:rsidP="00361C87">
            <w:pPr>
              <w:spacing w:before="60" w:after="60"/>
              <w:rPr>
                <w:rFonts w:ascii="Arial" w:hAnsi="Arial" w:cs="Arial"/>
                <w:sz w:val="20"/>
                <w:szCs w:val="20"/>
              </w:rPr>
            </w:pPr>
            <w:r>
              <w:rPr>
                <w:rFonts w:ascii="Arial" w:hAnsi="Arial" w:cs="Arial"/>
                <w:sz w:val="20"/>
                <w:szCs w:val="20"/>
              </w:rPr>
              <w:t>51 to 100 tonnes</w:t>
            </w:r>
          </w:p>
        </w:tc>
        <w:tc>
          <w:tcPr>
            <w:tcW w:w="1843" w:type="dxa"/>
            <w:vAlign w:val="center"/>
          </w:tcPr>
          <w:p w:rsidR="00361C87" w:rsidRPr="00EF785B" w:rsidRDefault="00361C87" w:rsidP="00361C87">
            <w:pPr>
              <w:spacing w:before="60" w:after="60"/>
              <w:jc w:val="center"/>
              <w:rPr>
                <w:rFonts w:ascii="Arial" w:hAnsi="Arial" w:cs="Arial"/>
                <w:sz w:val="20"/>
                <w:szCs w:val="20"/>
              </w:rPr>
            </w:pPr>
            <w:r>
              <w:rPr>
                <w:rFonts w:ascii="Arial" w:hAnsi="Arial" w:cs="Arial"/>
                <w:sz w:val="20"/>
                <w:szCs w:val="20"/>
              </w:rPr>
              <w:t>1,232</w:t>
            </w:r>
          </w:p>
        </w:tc>
        <w:tc>
          <w:tcPr>
            <w:tcW w:w="3969" w:type="dxa"/>
            <w:vAlign w:val="center"/>
          </w:tcPr>
          <w:p w:rsidR="00361C87" w:rsidRPr="001137AC" w:rsidRDefault="00361C87" w:rsidP="00361C87">
            <w:pPr>
              <w:spacing w:before="60" w:after="60"/>
              <w:rPr>
                <w:rFonts w:ascii="Arial" w:hAnsi="Arial" w:cs="Arial"/>
                <w:sz w:val="20"/>
                <w:szCs w:val="20"/>
              </w:rPr>
            </w:pPr>
            <w:r>
              <w:rPr>
                <w:rFonts w:ascii="Arial" w:hAnsi="Arial" w:cs="Arial"/>
                <w:sz w:val="20"/>
                <w:szCs w:val="20"/>
              </w:rPr>
              <w:t>51 to 100 tonnes</w:t>
            </w:r>
          </w:p>
        </w:tc>
        <w:tc>
          <w:tcPr>
            <w:tcW w:w="1725" w:type="dxa"/>
            <w:vAlign w:val="center"/>
          </w:tcPr>
          <w:p w:rsidR="00361C87" w:rsidRPr="00EF785B" w:rsidRDefault="00361C87" w:rsidP="00361C87">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361C87" w:rsidRPr="00EF785B" w:rsidRDefault="00361C87" w:rsidP="00361C87">
            <w:pPr>
              <w:spacing w:before="60" w:after="60"/>
              <w:jc w:val="center"/>
              <w:rPr>
                <w:rFonts w:ascii="Arial" w:hAnsi="Arial" w:cs="Arial"/>
                <w:sz w:val="20"/>
                <w:szCs w:val="20"/>
              </w:rPr>
            </w:pPr>
            <w:r>
              <w:rPr>
                <w:rFonts w:ascii="Arial" w:hAnsi="Arial" w:cs="Arial"/>
                <w:sz w:val="20"/>
                <w:szCs w:val="20"/>
              </w:rPr>
              <w:t>TBD</w:t>
            </w:r>
          </w:p>
        </w:tc>
      </w:tr>
      <w:tr w:rsidR="00361C87" w:rsidRPr="00EF785B" w:rsidTr="00FA2C75">
        <w:trPr>
          <w:trHeight w:val="70"/>
        </w:trPr>
        <w:tc>
          <w:tcPr>
            <w:tcW w:w="4219" w:type="dxa"/>
            <w:vAlign w:val="center"/>
          </w:tcPr>
          <w:p w:rsidR="00361C87" w:rsidRPr="001137AC" w:rsidRDefault="00361C87" w:rsidP="00361C87">
            <w:pPr>
              <w:spacing w:before="60" w:after="60"/>
              <w:rPr>
                <w:rFonts w:ascii="Arial" w:hAnsi="Arial" w:cs="Arial"/>
                <w:sz w:val="20"/>
                <w:szCs w:val="20"/>
              </w:rPr>
            </w:pPr>
            <w:r>
              <w:rPr>
                <w:rFonts w:ascii="Arial" w:hAnsi="Arial" w:cs="Arial"/>
                <w:sz w:val="20"/>
                <w:szCs w:val="20"/>
              </w:rPr>
              <w:t>101 to 250 tonnes</w:t>
            </w:r>
          </w:p>
        </w:tc>
        <w:tc>
          <w:tcPr>
            <w:tcW w:w="1843" w:type="dxa"/>
            <w:vAlign w:val="center"/>
          </w:tcPr>
          <w:p w:rsidR="00361C87" w:rsidRPr="00EF785B" w:rsidRDefault="00361C87" w:rsidP="00361C87">
            <w:pPr>
              <w:spacing w:before="60" w:after="60"/>
              <w:jc w:val="center"/>
              <w:rPr>
                <w:rFonts w:ascii="Arial" w:hAnsi="Arial" w:cs="Arial"/>
                <w:sz w:val="20"/>
                <w:szCs w:val="20"/>
              </w:rPr>
            </w:pPr>
            <w:r>
              <w:rPr>
                <w:rFonts w:ascii="Arial" w:hAnsi="Arial" w:cs="Arial"/>
                <w:sz w:val="20"/>
                <w:szCs w:val="20"/>
              </w:rPr>
              <w:t>2,868</w:t>
            </w:r>
          </w:p>
        </w:tc>
        <w:tc>
          <w:tcPr>
            <w:tcW w:w="3969" w:type="dxa"/>
            <w:vAlign w:val="center"/>
          </w:tcPr>
          <w:p w:rsidR="00361C87" w:rsidRPr="001137AC" w:rsidRDefault="00361C87" w:rsidP="00361C87">
            <w:pPr>
              <w:spacing w:before="60" w:after="60"/>
              <w:rPr>
                <w:rFonts w:ascii="Arial" w:hAnsi="Arial" w:cs="Arial"/>
                <w:sz w:val="20"/>
                <w:szCs w:val="20"/>
              </w:rPr>
            </w:pPr>
            <w:r>
              <w:rPr>
                <w:rFonts w:ascii="Arial" w:hAnsi="Arial" w:cs="Arial"/>
                <w:sz w:val="20"/>
                <w:szCs w:val="20"/>
              </w:rPr>
              <w:t>101 to 250 tonnes</w:t>
            </w:r>
          </w:p>
        </w:tc>
        <w:tc>
          <w:tcPr>
            <w:tcW w:w="1725" w:type="dxa"/>
            <w:vAlign w:val="center"/>
          </w:tcPr>
          <w:p w:rsidR="00361C87" w:rsidRPr="00EF785B" w:rsidRDefault="00361C87" w:rsidP="00361C87">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361C87" w:rsidRPr="00EF785B" w:rsidRDefault="00361C87" w:rsidP="00361C87">
            <w:pPr>
              <w:spacing w:before="60" w:after="60"/>
              <w:jc w:val="center"/>
              <w:rPr>
                <w:rFonts w:ascii="Arial" w:hAnsi="Arial" w:cs="Arial"/>
                <w:sz w:val="20"/>
                <w:szCs w:val="20"/>
              </w:rPr>
            </w:pPr>
            <w:r>
              <w:rPr>
                <w:rFonts w:ascii="Arial" w:hAnsi="Arial" w:cs="Arial"/>
                <w:sz w:val="20"/>
                <w:szCs w:val="20"/>
              </w:rPr>
              <w:t>TBD</w:t>
            </w:r>
          </w:p>
        </w:tc>
      </w:tr>
      <w:tr w:rsidR="00361C87" w:rsidRPr="00EF785B" w:rsidTr="00FA2C75">
        <w:trPr>
          <w:trHeight w:val="70"/>
        </w:trPr>
        <w:tc>
          <w:tcPr>
            <w:tcW w:w="4219" w:type="dxa"/>
            <w:vAlign w:val="center"/>
          </w:tcPr>
          <w:p w:rsidR="00361C87" w:rsidRPr="001137AC" w:rsidRDefault="00361C87" w:rsidP="00361C87">
            <w:pPr>
              <w:spacing w:before="60" w:after="60"/>
              <w:rPr>
                <w:rFonts w:ascii="Arial" w:hAnsi="Arial" w:cs="Arial"/>
                <w:sz w:val="20"/>
                <w:szCs w:val="20"/>
              </w:rPr>
            </w:pPr>
            <w:r>
              <w:rPr>
                <w:rFonts w:ascii="Arial" w:hAnsi="Arial" w:cs="Arial"/>
                <w:sz w:val="20"/>
                <w:szCs w:val="20"/>
              </w:rPr>
              <w:t>251 to 500 tonnes</w:t>
            </w:r>
          </w:p>
        </w:tc>
        <w:tc>
          <w:tcPr>
            <w:tcW w:w="1843" w:type="dxa"/>
            <w:vAlign w:val="center"/>
          </w:tcPr>
          <w:p w:rsidR="00361C87" w:rsidRPr="00EF785B" w:rsidRDefault="00361C87" w:rsidP="00361C87">
            <w:pPr>
              <w:spacing w:before="60" w:after="60"/>
              <w:jc w:val="center"/>
              <w:rPr>
                <w:rFonts w:ascii="Arial" w:hAnsi="Arial" w:cs="Arial"/>
                <w:sz w:val="20"/>
                <w:szCs w:val="20"/>
              </w:rPr>
            </w:pPr>
            <w:r>
              <w:rPr>
                <w:rFonts w:ascii="Arial" w:hAnsi="Arial" w:cs="Arial"/>
                <w:sz w:val="20"/>
                <w:szCs w:val="20"/>
              </w:rPr>
              <w:t>6,151</w:t>
            </w:r>
          </w:p>
        </w:tc>
        <w:tc>
          <w:tcPr>
            <w:tcW w:w="3969" w:type="dxa"/>
            <w:vAlign w:val="center"/>
          </w:tcPr>
          <w:p w:rsidR="00361C87" w:rsidRPr="001137AC" w:rsidRDefault="00361C87" w:rsidP="00361C87">
            <w:pPr>
              <w:spacing w:before="60" w:after="60"/>
              <w:rPr>
                <w:rFonts w:ascii="Arial" w:hAnsi="Arial" w:cs="Arial"/>
                <w:sz w:val="20"/>
                <w:szCs w:val="20"/>
              </w:rPr>
            </w:pPr>
            <w:r>
              <w:rPr>
                <w:rFonts w:ascii="Arial" w:hAnsi="Arial" w:cs="Arial"/>
                <w:sz w:val="20"/>
                <w:szCs w:val="20"/>
              </w:rPr>
              <w:t>251 to 500 tonnes</w:t>
            </w:r>
          </w:p>
        </w:tc>
        <w:tc>
          <w:tcPr>
            <w:tcW w:w="1725" w:type="dxa"/>
            <w:vAlign w:val="center"/>
          </w:tcPr>
          <w:p w:rsidR="00361C87" w:rsidRPr="00EF785B" w:rsidRDefault="00361C87" w:rsidP="00361C87">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361C87" w:rsidRPr="00EF785B" w:rsidRDefault="00361C87" w:rsidP="00361C87">
            <w:pPr>
              <w:spacing w:before="60" w:after="60"/>
              <w:jc w:val="center"/>
              <w:rPr>
                <w:rFonts w:ascii="Arial" w:hAnsi="Arial" w:cs="Arial"/>
                <w:sz w:val="20"/>
                <w:szCs w:val="20"/>
              </w:rPr>
            </w:pPr>
            <w:r>
              <w:rPr>
                <w:rFonts w:ascii="Arial" w:hAnsi="Arial" w:cs="Arial"/>
                <w:sz w:val="20"/>
                <w:szCs w:val="20"/>
              </w:rPr>
              <w:t>TBD</w:t>
            </w:r>
          </w:p>
        </w:tc>
      </w:tr>
      <w:tr w:rsidR="00361C87" w:rsidRPr="00EF785B" w:rsidTr="00FA2C75">
        <w:trPr>
          <w:trHeight w:val="70"/>
        </w:trPr>
        <w:tc>
          <w:tcPr>
            <w:tcW w:w="4219" w:type="dxa"/>
            <w:vAlign w:val="center"/>
          </w:tcPr>
          <w:p w:rsidR="00361C87" w:rsidRPr="001137AC" w:rsidRDefault="00361C87" w:rsidP="00361C87">
            <w:pPr>
              <w:spacing w:before="60" w:after="60"/>
              <w:rPr>
                <w:rFonts w:ascii="Arial" w:hAnsi="Arial" w:cs="Arial"/>
                <w:sz w:val="20"/>
                <w:szCs w:val="20"/>
              </w:rPr>
            </w:pPr>
            <w:r>
              <w:rPr>
                <w:rFonts w:ascii="Arial" w:hAnsi="Arial" w:cs="Arial"/>
                <w:sz w:val="20"/>
                <w:szCs w:val="20"/>
              </w:rPr>
              <w:t xml:space="preserve">Over 500 tonnes </w:t>
            </w:r>
          </w:p>
        </w:tc>
        <w:tc>
          <w:tcPr>
            <w:tcW w:w="1843" w:type="dxa"/>
            <w:vAlign w:val="center"/>
          </w:tcPr>
          <w:p w:rsidR="00361C87" w:rsidRPr="00EF785B" w:rsidRDefault="00361C87" w:rsidP="00361C87">
            <w:pPr>
              <w:spacing w:before="60" w:after="60"/>
              <w:jc w:val="center"/>
              <w:rPr>
                <w:rFonts w:ascii="Arial" w:hAnsi="Arial" w:cs="Arial"/>
                <w:sz w:val="20"/>
                <w:szCs w:val="20"/>
              </w:rPr>
            </w:pPr>
            <w:r>
              <w:rPr>
                <w:rFonts w:ascii="Arial" w:hAnsi="Arial" w:cs="Arial"/>
                <w:sz w:val="20"/>
                <w:szCs w:val="20"/>
              </w:rPr>
              <w:t>8,199</w:t>
            </w:r>
          </w:p>
        </w:tc>
        <w:tc>
          <w:tcPr>
            <w:tcW w:w="3969" w:type="dxa"/>
            <w:vAlign w:val="center"/>
          </w:tcPr>
          <w:p w:rsidR="00361C87" w:rsidRPr="001137AC" w:rsidRDefault="00361C87" w:rsidP="00361C87">
            <w:pPr>
              <w:spacing w:before="60" w:after="60"/>
              <w:rPr>
                <w:rFonts w:ascii="Arial" w:hAnsi="Arial" w:cs="Arial"/>
                <w:sz w:val="20"/>
                <w:szCs w:val="20"/>
              </w:rPr>
            </w:pPr>
            <w:r>
              <w:rPr>
                <w:rFonts w:ascii="Arial" w:hAnsi="Arial" w:cs="Arial"/>
                <w:sz w:val="20"/>
                <w:szCs w:val="20"/>
              </w:rPr>
              <w:t xml:space="preserve">Over 500 tonnes </w:t>
            </w:r>
          </w:p>
        </w:tc>
        <w:tc>
          <w:tcPr>
            <w:tcW w:w="1725" w:type="dxa"/>
            <w:vAlign w:val="center"/>
          </w:tcPr>
          <w:p w:rsidR="00361C87" w:rsidRPr="00EF785B" w:rsidRDefault="00361C87" w:rsidP="00361C87">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361C87" w:rsidRPr="00EF785B" w:rsidRDefault="00361C87" w:rsidP="00361C87">
            <w:pPr>
              <w:spacing w:before="60" w:after="60"/>
              <w:jc w:val="center"/>
              <w:rPr>
                <w:rFonts w:ascii="Arial" w:hAnsi="Arial" w:cs="Arial"/>
                <w:sz w:val="20"/>
                <w:szCs w:val="20"/>
              </w:rPr>
            </w:pPr>
            <w:r>
              <w:rPr>
                <w:rFonts w:ascii="Arial" w:hAnsi="Arial" w:cs="Arial"/>
                <w:sz w:val="20"/>
                <w:szCs w:val="20"/>
              </w:rPr>
              <w:t>TBD</w:t>
            </w:r>
          </w:p>
        </w:tc>
      </w:tr>
      <w:tr w:rsidR="001137AC" w:rsidRPr="00EF785B" w:rsidTr="009E63BE">
        <w:trPr>
          <w:trHeight w:val="70"/>
        </w:trPr>
        <w:tc>
          <w:tcPr>
            <w:tcW w:w="4219" w:type="dxa"/>
            <w:shd w:val="clear" w:color="auto" w:fill="F2F2F2" w:themeFill="background1" w:themeFillShade="F2"/>
            <w:vAlign w:val="center"/>
          </w:tcPr>
          <w:p w:rsidR="001137AC" w:rsidRDefault="001137AC" w:rsidP="00FA2C75">
            <w:pPr>
              <w:rPr>
                <w:rFonts w:ascii="Arial" w:hAnsi="Arial" w:cs="Arial"/>
                <w:sz w:val="20"/>
                <w:szCs w:val="20"/>
              </w:rPr>
            </w:pPr>
            <w:r>
              <w:rPr>
                <w:rFonts w:ascii="Arial" w:hAnsi="Arial" w:cs="Arial"/>
                <w:b/>
                <w:sz w:val="20"/>
                <w:szCs w:val="20"/>
              </w:rPr>
              <w:t>Seafood Further Processor Category B</w:t>
            </w:r>
            <w:r w:rsidR="00361C87">
              <w:rPr>
                <w:rFonts w:ascii="Arial" w:hAnsi="Arial" w:cs="Arial"/>
                <w:b/>
                <w:sz w:val="20"/>
                <w:szCs w:val="20"/>
              </w:rPr>
              <w:t xml:space="preserve"> *</w:t>
            </w:r>
          </w:p>
        </w:tc>
        <w:tc>
          <w:tcPr>
            <w:tcW w:w="1843" w:type="dxa"/>
            <w:shd w:val="clear" w:color="auto" w:fill="F2F2F2" w:themeFill="background1" w:themeFillShade="F2"/>
            <w:vAlign w:val="center"/>
          </w:tcPr>
          <w:p w:rsidR="001137AC" w:rsidRPr="001137AC" w:rsidRDefault="001137AC" w:rsidP="00FA2C75">
            <w:pPr>
              <w:spacing w:before="60" w:after="60"/>
              <w:jc w:val="center"/>
              <w:rPr>
                <w:rFonts w:ascii="Arial" w:hAnsi="Arial" w:cs="Arial"/>
                <w:b/>
                <w:sz w:val="20"/>
                <w:szCs w:val="20"/>
              </w:rPr>
            </w:pPr>
            <w:r w:rsidRPr="001137AC">
              <w:rPr>
                <w:rFonts w:ascii="Arial" w:hAnsi="Arial" w:cs="Arial"/>
                <w:b/>
                <w:sz w:val="20"/>
                <w:szCs w:val="20"/>
              </w:rPr>
              <w:t>Current</w:t>
            </w:r>
          </w:p>
        </w:tc>
        <w:tc>
          <w:tcPr>
            <w:tcW w:w="8112" w:type="dxa"/>
            <w:gridSpan w:val="3"/>
            <w:shd w:val="clear" w:color="auto" w:fill="F2F2F2" w:themeFill="background1" w:themeFillShade="F2"/>
            <w:vAlign w:val="center"/>
          </w:tcPr>
          <w:p w:rsidR="001137AC" w:rsidRPr="00EF785B" w:rsidRDefault="001137AC" w:rsidP="00FA2C75">
            <w:pPr>
              <w:spacing w:before="60" w:after="60"/>
              <w:jc w:val="center"/>
              <w:rPr>
                <w:rFonts w:ascii="Arial" w:hAnsi="Arial" w:cs="Arial"/>
                <w:sz w:val="20"/>
                <w:szCs w:val="20"/>
              </w:rPr>
            </w:pPr>
            <w:r w:rsidRPr="00EF785B">
              <w:rPr>
                <w:rFonts w:ascii="Arial" w:hAnsi="Arial" w:cs="Arial"/>
                <w:b/>
                <w:sz w:val="20"/>
                <w:szCs w:val="20"/>
              </w:rPr>
              <w:t>Proposed</w:t>
            </w:r>
          </w:p>
        </w:tc>
      </w:tr>
      <w:tr w:rsidR="001137AC" w:rsidRPr="00EF785B" w:rsidTr="00FA2C75">
        <w:trPr>
          <w:trHeight w:val="70"/>
        </w:trPr>
        <w:tc>
          <w:tcPr>
            <w:tcW w:w="4219" w:type="dxa"/>
            <w:vAlign w:val="center"/>
          </w:tcPr>
          <w:p w:rsidR="001137AC" w:rsidRPr="00EF785B" w:rsidRDefault="001137AC" w:rsidP="00FA2C75">
            <w:pPr>
              <w:spacing w:before="60" w:after="60"/>
              <w:jc w:val="center"/>
              <w:rPr>
                <w:rFonts w:ascii="Arial" w:hAnsi="Arial" w:cs="Arial"/>
                <w:b/>
                <w:sz w:val="20"/>
                <w:szCs w:val="20"/>
              </w:rPr>
            </w:pPr>
            <w:r>
              <w:rPr>
                <w:rFonts w:ascii="Arial" w:hAnsi="Arial" w:cs="Arial"/>
                <w:b/>
                <w:sz w:val="20"/>
                <w:szCs w:val="20"/>
              </w:rPr>
              <w:t>Throughput</w:t>
            </w:r>
          </w:p>
        </w:tc>
        <w:tc>
          <w:tcPr>
            <w:tcW w:w="1843" w:type="dxa"/>
            <w:vAlign w:val="center"/>
          </w:tcPr>
          <w:p w:rsidR="001137AC" w:rsidRDefault="001137AC" w:rsidP="00FA2C75">
            <w:pPr>
              <w:spacing w:before="60" w:after="60"/>
              <w:jc w:val="center"/>
              <w:rPr>
                <w:rFonts w:ascii="Arial" w:hAnsi="Arial" w:cs="Arial"/>
                <w:b/>
                <w:sz w:val="20"/>
                <w:szCs w:val="20"/>
              </w:rPr>
            </w:pPr>
            <w:r>
              <w:rPr>
                <w:rFonts w:ascii="Arial" w:hAnsi="Arial" w:cs="Arial"/>
                <w:b/>
                <w:sz w:val="20"/>
                <w:szCs w:val="20"/>
              </w:rPr>
              <w:t>2015-16</w:t>
            </w:r>
          </w:p>
          <w:p w:rsidR="001137AC" w:rsidRPr="00EF785B" w:rsidRDefault="001137AC" w:rsidP="00FA2C75">
            <w:pPr>
              <w:spacing w:before="60" w:after="60"/>
              <w:jc w:val="center"/>
              <w:rPr>
                <w:rFonts w:ascii="Arial" w:hAnsi="Arial" w:cs="Arial"/>
                <w:b/>
                <w:sz w:val="20"/>
                <w:szCs w:val="20"/>
              </w:rPr>
            </w:pPr>
            <w:r>
              <w:rPr>
                <w:rFonts w:ascii="Arial" w:hAnsi="Arial" w:cs="Arial"/>
                <w:b/>
                <w:sz w:val="20"/>
                <w:szCs w:val="20"/>
              </w:rPr>
              <w:t>$</w:t>
            </w:r>
          </w:p>
        </w:tc>
        <w:tc>
          <w:tcPr>
            <w:tcW w:w="3969" w:type="dxa"/>
            <w:vAlign w:val="center"/>
          </w:tcPr>
          <w:p w:rsidR="001137AC" w:rsidRPr="00EF785B" w:rsidRDefault="001137AC" w:rsidP="00FA2C75">
            <w:pPr>
              <w:spacing w:before="60" w:after="60"/>
              <w:jc w:val="center"/>
              <w:rPr>
                <w:rFonts w:ascii="Arial" w:hAnsi="Arial" w:cs="Arial"/>
                <w:b/>
                <w:sz w:val="20"/>
                <w:szCs w:val="20"/>
              </w:rPr>
            </w:pPr>
            <w:r>
              <w:rPr>
                <w:rFonts w:ascii="Arial" w:hAnsi="Arial" w:cs="Arial"/>
                <w:b/>
                <w:sz w:val="20"/>
                <w:szCs w:val="20"/>
              </w:rPr>
              <w:t>Throughput</w:t>
            </w:r>
          </w:p>
        </w:tc>
        <w:tc>
          <w:tcPr>
            <w:tcW w:w="1725" w:type="dxa"/>
            <w:vAlign w:val="center"/>
          </w:tcPr>
          <w:p w:rsidR="001137AC" w:rsidRDefault="001137AC" w:rsidP="00FA2C75">
            <w:pPr>
              <w:spacing w:before="60" w:after="60"/>
              <w:jc w:val="center"/>
              <w:rPr>
                <w:rFonts w:ascii="Arial" w:hAnsi="Arial" w:cs="Arial"/>
                <w:b/>
                <w:sz w:val="20"/>
                <w:szCs w:val="20"/>
              </w:rPr>
            </w:pPr>
            <w:r w:rsidRPr="00EF785B">
              <w:rPr>
                <w:rFonts w:ascii="Arial" w:hAnsi="Arial" w:cs="Arial"/>
                <w:b/>
                <w:sz w:val="20"/>
                <w:szCs w:val="20"/>
              </w:rPr>
              <w:t>2016-17</w:t>
            </w:r>
          </w:p>
          <w:p w:rsidR="001137AC" w:rsidRPr="00EF785B" w:rsidRDefault="001137AC" w:rsidP="00FA2C75">
            <w:pPr>
              <w:spacing w:before="60" w:after="60"/>
              <w:jc w:val="center"/>
              <w:rPr>
                <w:rFonts w:ascii="Arial" w:hAnsi="Arial" w:cs="Arial"/>
                <w:b/>
                <w:sz w:val="20"/>
                <w:szCs w:val="20"/>
              </w:rPr>
            </w:pPr>
            <w:r>
              <w:rPr>
                <w:rFonts w:ascii="Arial" w:hAnsi="Arial" w:cs="Arial"/>
                <w:b/>
                <w:sz w:val="20"/>
                <w:szCs w:val="20"/>
              </w:rPr>
              <w:t>$</w:t>
            </w:r>
          </w:p>
        </w:tc>
        <w:tc>
          <w:tcPr>
            <w:tcW w:w="2418" w:type="dxa"/>
            <w:vAlign w:val="center"/>
          </w:tcPr>
          <w:p w:rsidR="001137AC" w:rsidRDefault="001137AC" w:rsidP="00FA2C75">
            <w:pPr>
              <w:spacing w:before="60" w:after="60"/>
              <w:jc w:val="center"/>
              <w:rPr>
                <w:rFonts w:ascii="Arial" w:hAnsi="Arial" w:cs="Arial"/>
                <w:b/>
                <w:sz w:val="20"/>
                <w:szCs w:val="20"/>
              </w:rPr>
            </w:pPr>
            <w:r>
              <w:rPr>
                <w:rFonts w:ascii="Arial" w:hAnsi="Arial" w:cs="Arial"/>
                <w:b/>
                <w:sz w:val="20"/>
                <w:szCs w:val="20"/>
              </w:rPr>
              <w:t>Increase</w:t>
            </w:r>
          </w:p>
          <w:p w:rsidR="001137AC" w:rsidRPr="00EF785B" w:rsidRDefault="001137AC" w:rsidP="00FA2C75">
            <w:pPr>
              <w:spacing w:before="60" w:after="60"/>
              <w:jc w:val="center"/>
              <w:rPr>
                <w:rFonts w:ascii="Arial" w:hAnsi="Arial" w:cs="Arial"/>
                <w:b/>
                <w:sz w:val="20"/>
                <w:szCs w:val="20"/>
              </w:rPr>
            </w:pPr>
            <w:r>
              <w:rPr>
                <w:rFonts w:ascii="Arial" w:hAnsi="Arial" w:cs="Arial"/>
                <w:b/>
                <w:sz w:val="20"/>
                <w:szCs w:val="20"/>
              </w:rPr>
              <w:t>%</w:t>
            </w:r>
          </w:p>
        </w:tc>
      </w:tr>
      <w:tr w:rsidR="00361C87" w:rsidRPr="00EF785B" w:rsidTr="00FA2C75">
        <w:trPr>
          <w:trHeight w:val="70"/>
        </w:trPr>
        <w:tc>
          <w:tcPr>
            <w:tcW w:w="4219" w:type="dxa"/>
            <w:vAlign w:val="center"/>
          </w:tcPr>
          <w:p w:rsidR="00361C87" w:rsidRPr="001137AC" w:rsidRDefault="00361C87" w:rsidP="00361C87">
            <w:pPr>
              <w:spacing w:before="60" w:after="60"/>
              <w:rPr>
                <w:rFonts w:ascii="Arial" w:hAnsi="Arial" w:cs="Arial"/>
                <w:sz w:val="20"/>
                <w:szCs w:val="20"/>
              </w:rPr>
            </w:pPr>
            <w:r>
              <w:rPr>
                <w:rFonts w:ascii="Arial" w:hAnsi="Arial" w:cs="Arial"/>
                <w:sz w:val="20"/>
                <w:szCs w:val="20"/>
              </w:rPr>
              <w:t>Up to 25 tonnes</w:t>
            </w:r>
          </w:p>
        </w:tc>
        <w:tc>
          <w:tcPr>
            <w:tcW w:w="1843" w:type="dxa"/>
            <w:vAlign w:val="center"/>
          </w:tcPr>
          <w:p w:rsidR="00361C87" w:rsidRPr="00EF785B" w:rsidRDefault="00361C87" w:rsidP="00361C87">
            <w:pPr>
              <w:spacing w:before="60" w:after="60"/>
              <w:jc w:val="center"/>
              <w:rPr>
                <w:rFonts w:ascii="Arial" w:hAnsi="Arial" w:cs="Arial"/>
                <w:sz w:val="20"/>
                <w:szCs w:val="20"/>
              </w:rPr>
            </w:pPr>
            <w:r>
              <w:rPr>
                <w:rFonts w:ascii="Arial" w:hAnsi="Arial" w:cs="Arial"/>
                <w:sz w:val="20"/>
                <w:szCs w:val="20"/>
              </w:rPr>
              <w:t>820</w:t>
            </w:r>
          </w:p>
        </w:tc>
        <w:tc>
          <w:tcPr>
            <w:tcW w:w="3969" w:type="dxa"/>
            <w:vAlign w:val="center"/>
          </w:tcPr>
          <w:p w:rsidR="00361C87" w:rsidRPr="001137AC" w:rsidRDefault="00361C87" w:rsidP="00361C87">
            <w:pPr>
              <w:spacing w:before="60" w:after="60"/>
              <w:rPr>
                <w:rFonts w:ascii="Arial" w:hAnsi="Arial" w:cs="Arial"/>
                <w:sz w:val="20"/>
                <w:szCs w:val="20"/>
              </w:rPr>
            </w:pPr>
            <w:r>
              <w:rPr>
                <w:rFonts w:ascii="Arial" w:hAnsi="Arial" w:cs="Arial"/>
                <w:sz w:val="20"/>
                <w:szCs w:val="20"/>
              </w:rPr>
              <w:t>Up to 25 tonnes</w:t>
            </w:r>
          </w:p>
        </w:tc>
        <w:tc>
          <w:tcPr>
            <w:tcW w:w="1725" w:type="dxa"/>
            <w:vAlign w:val="center"/>
          </w:tcPr>
          <w:p w:rsidR="00361C87" w:rsidRPr="00EF785B" w:rsidRDefault="00361C87" w:rsidP="00361C87">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361C87" w:rsidRPr="00EF785B" w:rsidRDefault="00361C87" w:rsidP="00361C87">
            <w:pPr>
              <w:spacing w:before="60" w:after="60"/>
              <w:jc w:val="center"/>
              <w:rPr>
                <w:rFonts w:ascii="Arial" w:hAnsi="Arial" w:cs="Arial"/>
                <w:sz w:val="20"/>
                <w:szCs w:val="20"/>
              </w:rPr>
            </w:pPr>
            <w:r>
              <w:rPr>
                <w:rFonts w:ascii="Arial" w:hAnsi="Arial" w:cs="Arial"/>
                <w:sz w:val="20"/>
                <w:szCs w:val="20"/>
              </w:rPr>
              <w:t>TBD</w:t>
            </w:r>
          </w:p>
        </w:tc>
      </w:tr>
      <w:tr w:rsidR="00361C87" w:rsidRPr="00EF785B" w:rsidTr="00FA2C75">
        <w:trPr>
          <w:trHeight w:val="70"/>
        </w:trPr>
        <w:tc>
          <w:tcPr>
            <w:tcW w:w="4219" w:type="dxa"/>
            <w:vAlign w:val="center"/>
          </w:tcPr>
          <w:p w:rsidR="00361C87" w:rsidRPr="001137AC" w:rsidRDefault="00361C87" w:rsidP="00361C87">
            <w:pPr>
              <w:spacing w:before="60" w:after="60"/>
              <w:rPr>
                <w:rFonts w:ascii="Arial" w:hAnsi="Arial" w:cs="Arial"/>
                <w:sz w:val="20"/>
                <w:szCs w:val="20"/>
              </w:rPr>
            </w:pPr>
            <w:r>
              <w:rPr>
                <w:rFonts w:ascii="Arial" w:hAnsi="Arial" w:cs="Arial"/>
                <w:sz w:val="20"/>
                <w:szCs w:val="20"/>
              </w:rPr>
              <w:t>26 to 50 tonnes</w:t>
            </w:r>
          </w:p>
        </w:tc>
        <w:tc>
          <w:tcPr>
            <w:tcW w:w="1843" w:type="dxa"/>
            <w:vAlign w:val="center"/>
          </w:tcPr>
          <w:p w:rsidR="00361C87" w:rsidRPr="00EF785B" w:rsidRDefault="00361C87" w:rsidP="00361C87">
            <w:pPr>
              <w:spacing w:before="60" w:after="60"/>
              <w:jc w:val="center"/>
              <w:rPr>
                <w:rFonts w:ascii="Arial" w:hAnsi="Arial" w:cs="Arial"/>
                <w:sz w:val="20"/>
                <w:szCs w:val="20"/>
              </w:rPr>
            </w:pPr>
            <w:r>
              <w:rPr>
                <w:rFonts w:ascii="Arial" w:hAnsi="Arial" w:cs="Arial"/>
                <w:sz w:val="20"/>
                <w:szCs w:val="20"/>
              </w:rPr>
              <w:t>1,232</w:t>
            </w:r>
          </w:p>
        </w:tc>
        <w:tc>
          <w:tcPr>
            <w:tcW w:w="3969" w:type="dxa"/>
            <w:vAlign w:val="center"/>
          </w:tcPr>
          <w:p w:rsidR="00361C87" w:rsidRPr="001137AC" w:rsidRDefault="00361C87" w:rsidP="00361C87">
            <w:pPr>
              <w:spacing w:before="60" w:after="60"/>
              <w:rPr>
                <w:rFonts w:ascii="Arial" w:hAnsi="Arial" w:cs="Arial"/>
                <w:sz w:val="20"/>
                <w:szCs w:val="20"/>
              </w:rPr>
            </w:pPr>
            <w:r>
              <w:rPr>
                <w:rFonts w:ascii="Arial" w:hAnsi="Arial" w:cs="Arial"/>
                <w:sz w:val="20"/>
                <w:szCs w:val="20"/>
              </w:rPr>
              <w:t>26 to 50 tonnes</w:t>
            </w:r>
          </w:p>
        </w:tc>
        <w:tc>
          <w:tcPr>
            <w:tcW w:w="1725" w:type="dxa"/>
            <w:vAlign w:val="center"/>
          </w:tcPr>
          <w:p w:rsidR="00361C87" w:rsidRPr="00EF785B" w:rsidRDefault="00361C87" w:rsidP="00361C87">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361C87" w:rsidRPr="00EF785B" w:rsidRDefault="00361C87" w:rsidP="00361C87">
            <w:pPr>
              <w:spacing w:before="60" w:after="60"/>
              <w:jc w:val="center"/>
              <w:rPr>
                <w:rFonts w:ascii="Arial" w:hAnsi="Arial" w:cs="Arial"/>
                <w:sz w:val="20"/>
                <w:szCs w:val="20"/>
              </w:rPr>
            </w:pPr>
            <w:r>
              <w:rPr>
                <w:rFonts w:ascii="Arial" w:hAnsi="Arial" w:cs="Arial"/>
                <w:sz w:val="20"/>
                <w:szCs w:val="20"/>
              </w:rPr>
              <w:t>TBD</w:t>
            </w:r>
          </w:p>
        </w:tc>
      </w:tr>
      <w:tr w:rsidR="00361C87" w:rsidRPr="00EF785B" w:rsidTr="00FA2C75">
        <w:trPr>
          <w:trHeight w:val="70"/>
        </w:trPr>
        <w:tc>
          <w:tcPr>
            <w:tcW w:w="4219" w:type="dxa"/>
            <w:vAlign w:val="center"/>
          </w:tcPr>
          <w:p w:rsidR="00361C87" w:rsidRPr="001137AC" w:rsidRDefault="00361C87" w:rsidP="00361C87">
            <w:pPr>
              <w:spacing w:before="60" w:after="60"/>
              <w:rPr>
                <w:rFonts w:ascii="Arial" w:hAnsi="Arial" w:cs="Arial"/>
                <w:sz w:val="20"/>
                <w:szCs w:val="20"/>
              </w:rPr>
            </w:pPr>
            <w:r>
              <w:rPr>
                <w:rFonts w:ascii="Arial" w:hAnsi="Arial" w:cs="Arial"/>
                <w:sz w:val="20"/>
                <w:szCs w:val="20"/>
              </w:rPr>
              <w:t>51 to 100 tonnes</w:t>
            </w:r>
          </w:p>
        </w:tc>
        <w:tc>
          <w:tcPr>
            <w:tcW w:w="1843" w:type="dxa"/>
            <w:vAlign w:val="center"/>
          </w:tcPr>
          <w:p w:rsidR="00361C87" w:rsidRPr="00EF785B" w:rsidRDefault="00361C87" w:rsidP="00361C87">
            <w:pPr>
              <w:spacing w:before="60" w:after="60"/>
              <w:jc w:val="center"/>
              <w:rPr>
                <w:rFonts w:ascii="Arial" w:hAnsi="Arial" w:cs="Arial"/>
                <w:sz w:val="20"/>
                <w:szCs w:val="20"/>
              </w:rPr>
            </w:pPr>
            <w:r>
              <w:rPr>
                <w:rFonts w:ascii="Arial" w:hAnsi="Arial" w:cs="Arial"/>
                <w:sz w:val="20"/>
                <w:szCs w:val="20"/>
              </w:rPr>
              <w:t>2,868</w:t>
            </w:r>
          </w:p>
        </w:tc>
        <w:tc>
          <w:tcPr>
            <w:tcW w:w="3969" w:type="dxa"/>
            <w:vAlign w:val="center"/>
          </w:tcPr>
          <w:p w:rsidR="00361C87" w:rsidRPr="001137AC" w:rsidRDefault="00361C87" w:rsidP="00361C87">
            <w:pPr>
              <w:spacing w:before="60" w:after="60"/>
              <w:rPr>
                <w:rFonts w:ascii="Arial" w:hAnsi="Arial" w:cs="Arial"/>
                <w:sz w:val="20"/>
                <w:szCs w:val="20"/>
              </w:rPr>
            </w:pPr>
            <w:r>
              <w:rPr>
                <w:rFonts w:ascii="Arial" w:hAnsi="Arial" w:cs="Arial"/>
                <w:sz w:val="20"/>
                <w:szCs w:val="20"/>
              </w:rPr>
              <w:t>51 to 100 tonnes</w:t>
            </w:r>
          </w:p>
        </w:tc>
        <w:tc>
          <w:tcPr>
            <w:tcW w:w="1725" w:type="dxa"/>
            <w:vAlign w:val="center"/>
          </w:tcPr>
          <w:p w:rsidR="00361C87" w:rsidRPr="00EF785B" w:rsidRDefault="00361C87" w:rsidP="00361C87">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361C87" w:rsidRPr="00EF785B" w:rsidRDefault="00361C87" w:rsidP="00361C87">
            <w:pPr>
              <w:spacing w:before="60" w:after="60"/>
              <w:jc w:val="center"/>
              <w:rPr>
                <w:rFonts w:ascii="Arial" w:hAnsi="Arial" w:cs="Arial"/>
                <w:sz w:val="20"/>
                <w:szCs w:val="20"/>
              </w:rPr>
            </w:pPr>
            <w:r>
              <w:rPr>
                <w:rFonts w:ascii="Arial" w:hAnsi="Arial" w:cs="Arial"/>
                <w:sz w:val="20"/>
                <w:szCs w:val="20"/>
              </w:rPr>
              <w:t>TBD</w:t>
            </w:r>
          </w:p>
        </w:tc>
      </w:tr>
      <w:tr w:rsidR="00361C87" w:rsidRPr="00EF785B" w:rsidTr="00FA2C75">
        <w:trPr>
          <w:trHeight w:val="70"/>
        </w:trPr>
        <w:tc>
          <w:tcPr>
            <w:tcW w:w="4219" w:type="dxa"/>
            <w:vAlign w:val="center"/>
          </w:tcPr>
          <w:p w:rsidR="00361C87" w:rsidRPr="001137AC" w:rsidRDefault="00361C87" w:rsidP="00361C87">
            <w:pPr>
              <w:spacing w:before="60" w:after="60"/>
              <w:rPr>
                <w:rFonts w:ascii="Arial" w:hAnsi="Arial" w:cs="Arial"/>
                <w:sz w:val="20"/>
                <w:szCs w:val="20"/>
              </w:rPr>
            </w:pPr>
            <w:r>
              <w:rPr>
                <w:rFonts w:ascii="Arial" w:hAnsi="Arial" w:cs="Arial"/>
                <w:sz w:val="20"/>
                <w:szCs w:val="20"/>
              </w:rPr>
              <w:t>101 to 200 tonnes</w:t>
            </w:r>
          </w:p>
        </w:tc>
        <w:tc>
          <w:tcPr>
            <w:tcW w:w="1843" w:type="dxa"/>
            <w:vAlign w:val="center"/>
          </w:tcPr>
          <w:p w:rsidR="00361C87" w:rsidRPr="00EF785B" w:rsidRDefault="00361C87" w:rsidP="00361C87">
            <w:pPr>
              <w:spacing w:before="60" w:after="60"/>
              <w:jc w:val="center"/>
              <w:rPr>
                <w:rFonts w:ascii="Arial" w:hAnsi="Arial" w:cs="Arial"/>
                <w:sz w:val="20"/>
                <w:szCs w:val="20"/>
              </w:rPr>
            </w:pPr>
            <w:r>
              <w:rPr>
                <w:rFonts w:ascii="Arial" w:hAnsi="Arial" w:cs="Arial"/>
                <w:sz w:val="20"/>
                <w:szCs w:val="20"/>
              </w:rPr>
              <w:t>6,151</w:t>
            </w:r>
          </w:p>
        </w:tc>
        <w:tc>
          <w:tcPr>
            <w:tcW w:w="3969" w:type="dxa"/>
            <w:vAlign w:val="center"/>
          </w:tcPr>
          <w:p w:rsidR="00361C87" w:rsidRPr="001137AC" w:rsidRDefault="00361C87" w:rsidP="00361C87">
            <w:pPr>
              <w:spacing w:before="60" w:after="60"/>
              <w:rPr>
                <w:rFonts w:ascii="Arial" w:hAnsi="Arial" w:cs="Arial"/>
                <w:sz w:val="20"/>
                <w:szCs w:val="20"/>
              </w:rPr>
            </w:pPr>
            <w:r>
              <w:rPr>
                <w:rFonts w:ascii="Arial" w:hAnsi="Arial" w:cs="Arial"/>
                <w:sz w:val="20"/>
                <w:szCs w:val="20"/>
              </w:rPr>
              <w:t>101 to 200 tonnes</w:t>
            </w:r>
          </w:p>
        </w:tc>
        <w:tc>
          <w:tcPr>
            <w:tcW w:w="1725" w:type="dxa"/>
            <w:vAlign w:val="center"/>
          </w:tcPr>
          <w:p w:rsidR="00361C87" w:rsidRPr="00EF785B" w:rsidRDefault="00361C87" w:rsidP="00361C87">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361C87" w:rsidRPr="00EF785B" w:rsidRDefault="00361C87" w:rsidP="00361C87">
            <w:pPr>
              <w:spacing w:before="60" w:after="60"/>
              <w:jc w:val="center"/>
              <w:rPr>
                <w:rFonts w:ascii="Arial" w:hAnsi="Arial" w:cs="Arial"/>
                <w:sz w:val="20"/>
                <w:szCs w:val="20"/>
              </w:rPr>
            </w:pPr>
            <w:r>
              <w:rPr>
                <w:rFonts w:ascii="Arial" w:hAnsi="Arial" w:cs="Arial"/>
                <w:sz w:val="20"/>
                <w:szCs w:val="20"/>
              </w:rPr>
              <w:t>TBD</w:t>
            </w:r>
          </w:p>
        </w:tc>
      </w:tr>
      <w:tr w:rsidR="00361C87" w:rsidRPr="00EF785B" w:rsidTr="00FA2C75">
        <w:trPr>
          <w:trHeight w:val="70"/>
        </w:trPr>
        <w:tc>
          <w:tcPr>
            <w:tcW w:w="4219" w:type="dxa"/>
            <w:vAlign w:val="center"/>
          </w:tcPr>
          <w:p w:rsidR="00361C87" w:rsidRPr="001137AC" w:rsidRDefault="00361C87" w:rsidP="00361C87">
            <w:pPr>
              <w:spacing w:before="60" w:after="60"/>
              <w:rPr>
                <w:rFonts w:ascii="Arial" w:hAnsi="Arial" w:cs="Arial"/>
                <w:sz w:val="20"/>
                <w:szCs w:val="20"/>
              </w:rPr>
            </w:pPr>
            <w:r>
              <w:rPr>
                <w:rFonts w:ascii="Arial" w:hAnsi="Arial" w:cs="Arial"/>
                <w:sz w:val="20"/>
                <w:szCs w:val="20"/>
              </w:rPr>
              <w:t>Over 200 tonnes</w:t>
            </w:r>
          </w:p>
        </w:tc>
        <w:tc>
          <w:tcPr>
            <w:tcW w:w="1843" w:type="dxa"/>
            <w:vAlign w:val="center"/>
          </w:tcPr>
          <w:p w:rsidR="00361C87" w:rsidRPr="00EF785B" w:rsidRDefault="00361C87" w:rsidP="00361C87">
            <w:pPr>
              <w:spacing w:before="60" w:after="60"/>
              <w:jc w:val="center"/>
              <w:rPr>
                <w:rFonts w:ascii="Arial" w:hAnsi="Arial" w:cs="Arial"/>
                <w:sz w:val="20"/>
                <w:szCs w:val="20"/>
              </w:rPr>
            </w:pPr>
            <w:r>
              <w:rPr>
                <w:rFonts w:ascii="Arial" w:hAnsi="Arial" w:cs="Arial"/>
                <w:sz w:val="20"/>
                <w:szCs w:val="20"/>
              </w:rPr>
              <w:t>8,199</w:t>
            </w:r>
          </w:p>
        </w:tc>
        <w:tc>
          <w:tcPr>
            <w:tcW w:w="3969" w:type="dxa"/>
            <w:vAlign w:val="center"/>
          </w:tcPr>
          <w:p w:rsidR="00361C87" w:rsidRPr="001137AC" w:rsidRDefault="00361C87" w:rsidP="00361C87">
            <w:pPr>
              <w:spacing w:before="60" w:after="60"/>
              <w:rPr>
                <w:rFonts w:ascii="Arial" w:hAnsi="Arial" w:cs="Arial"/>
                <w:sz w:val="20"/>
                <w:szCs w:val="20"/>
              </w:rPr>
            </w:pPr>
            <w:r>
              <w:rPr>
                <w:rFonts w:ascii="Arial" w:hAnsi="Arial" w:cs="Arial"/>
                <w:sz w:val="20"/>
                <w:szCs w:val="20"/>
              </w:rPr>
              <w:t>Over 200 tonnes</w:t>
            </w:r>
          </w:p>
        </w:tc>
        <w:tc>
          <w:tcPr>
            <w:tcW w:w="1725" w:type="dxa"/>
            <w:vAlign w:val="center"/>
          </w:tcPr>
          <w:p w:rsidR="00361C87" w:rsidRPr="00EF785B" w:rsidRDefault="00361C87" w:rsidP="00361C87">
            <w:pPr>
              <w:spacing w:before="60" w:after="60"/>
              <w:jc w:val="center"/>
              <w:rPr>
                <w:rFonts w:ascii="Arial" w:hAnsi="Arial" w:cs="Arial"/>
                <w:sz w:val="20"/>
                <w:szCs w:val="20"/>
              </w:rPr>
            </w:pPr>
            <w:r>
              <w:rPr>
                <w:rFonts w:ascii="Arial" w:hAnsi="Arial" w:cs="Arial"/>
                <w:sz w:val="20"/>
                <w:szCs w:val="20"/>
              </w:rPr>
              <w:t>TBD</w:t>
            </w:r>
          </w:p>
        </w:tc>
        <w:tc>
          <w:tcPr>
            <w:tcW w:w="2418" w:type="dxa"/>
            <w:vAlign w:val="center"/>
          </w:tcPr>
          <w:p w:rsidR="00361C87" w:rsidRPr="00EF785B" w:rsidRDefault="00361C87" w:rsidP="00361C87">
            <w:pPr>
              <w:spacing w:before="60" w:after="60"/>
              <w:jc w:val="center"/>
              <w:rPr>
                <w:rFonts w:ascii="Arial" w:hAnsi="Arial" w:cs="Arial"/>
                <w:sz w:val="20"/>
                <w:szCs w:val="20"/>
              </w:rPr>
            </w:pPr>
            <w:r>
              <w:rPr>
                <w:rFonts w:ascii="Arial" w:hAnsi="Arial" w:cs="Arial"/>
                <w:sz w:val="20"/>
                <w:szCs w:val="20"/>
              </w:rPr>
              <w:t>TBD</w:t>
            </w:r>
          </w:p>
        </w:tc>
      </w:tr>
    </w:tbl>
    <w:p w:rsidR="00361C87" w:rsidRDefault="00361C87" w:rsidP="00E30FAF">
      <w:pPr>
        <w:spacing w:after="0" w:line="240" w:lineRule="auto"/>
        <w:rPr>
          <w:rFonts w:ascii="Arial" w:hAnsi="Arial" w:cs="Arial"/>
          <w:b/>
          <w:sz w:val="20"/>
          <w:szCs w:val="20"/>
        </w:rPr>
      </w:pPr>
    </w:p>
    <w:p w:rsidR="00361C87" w:rsidRDefault="00361C87" w:rsidP="00E30FAF">
      <w:pPr>
        <w:spacing w:after="0" w:line="240" w:lineRule="auto"/>
        <w:rPr>
          <w:rFonts w:ascii="Arial" w:hAnsi="Arial" w:cs="Arial"/>
          <w:b/>
          <w:sz w:val="20"/>
          <w:szCs w:val="20"/>
        </w:rPr>
      </w:pPr>
    </w:p>
    <w:p w:rsidR="00FB4919" w:rsidRPr="00FC6804" w:rsidRDefault="00085209" w:rsidP="00E30FAF">
      <w:pPr>
        <w:spacing w:after="0" w:line="240" w:lineRule="auto"/>
        <w:rPr>
          <w:rFonts w:ascii="Arial" w:hAnsi="Arial" w:cs="Arial"/>
          <w:sz w:val="18"/>
          <w:szCs w:val="18"/>
        </w:rPr>
      </w:pPr>
      <w:r w:rsidRPr="00FC6804">
        <w:rPr>
          <w:rFonts w:ascii="Arial" w:hAnsi="Arial" w:cs="Arial"/>
          <w:sz w:val="18"/>
          <w:szCs w:val="18"/>
        </w:rPr>
        <w:t>Note:</w:t>
      </w:r>
    </w:p>
    <w:p w:rsidR="001508B7" w:rsidRDefault="00085209" w:rsidP="00FB4919">
      <w:pPr>
        <w:pStyle w:val="ListParagraph"/>
        <w:numPr>
          <w:ilvl w:val="0"/>
          <w:numId w:val="38"/>
        </w:numPr>
        <w:spacing w:after="0" w:line="240" w:lineRule="auto"/>
        <w:rPr>
          <w:rFonts w:ascii="Arial" w:hAnsi="Arial" w:cs="Arial"/>
          <w:sz w:val="18"/>
          <w:szCs w:val="18"/>
        </w:rPr>
      </w:pPr>
      <w:r w:rsidRPr="00FC6804">
        <w:rPr>
          <w:rFonts w:ascii="Arial" w:hAnsi="Arial" w:cs="Arial"/>
          <w:sz w:val="18"/>
          <w:szCs w:val="18"/>
        </w:rPr>
        <w:t xml:space="preserve">Seafood processing fees </w:t>
      </w:r>
      <w:r w:rsidR="00EC0F7F" w:rsidRPr="00FC6804">
        <w:rPr>
          <w:rFonts w:ascii="Arial" w:hAnsi="Arial" w:cs="Arial"/>
          <w:sz w:val="18"/>
          <w:szCs w:val="18"/>
        </w:rPr>
        <w:t xml:space="preserve">and “other meat” category fees </w:t>
      </w:r>
      <w:r w:rsidRPr="00FC6804">
        <w:rPr>
          <w:rFonts w:ascii="Arial" w:hAnsi="Arial" w:cs="Arial"/>
          <w:sz w:val="18"/>
          <w:szCs w:val="18"/>
        </w:rPr>
        <w:t xml:space="preserve">will be increased in 2016-17 by the indexation rate </w:t>
      </w:r>
      <w:r w:rsidR="000669E0" w:rsidRPr="00FC6804">
        <w:rPr>
          <w:rFonts w:ascii="Arial" w:hAnsi="Arial" w:cs="Arial"/>
          <w:sz w:val="18"/>
          <w:szCs w:val="18"/>
        </w:rPr>
        <w:t>set</w:t>
      </w:r>
      <w:r w:rsidRPr="00FC6804">
        <w:rPr>
          <w:rFonts w:ascii="Arial" w:hAnsi="Arial" w:cs="Arial"/>
          <w:sz w:val="18"/>
          <w:szCs w:val="18"/>
        </w:rPr>
        <w:t xml:space="preserve"> by the </w:t>
      </w:r>
      <w:r w:rsidR="000669E0" w:rsidRPr="00FC6804">
        <w:rPr>
          <w:rFonts w:ascii="Arial" w:hAnsi="Arial" w:cs="Arial"/>
          <w:sz w:val="18"/>
          <w:szCs w:val="18"/>
        </w:rPr>
        <w:t xml:space="preserve">Department of Treasury and Finance in the budget context. </w:t>
      </w:r>
      <w:r w:rsidRPr="00FC6804">
        <w:rPr>
          <w:rFonts w:ascii="Arial" w:hAnsi="Arial" w:cs="Arial"/>
          <w:sz w:val="18"/>
          <w:szCs w:val="18"/>
        </w:rPr>
        <w:t>As this rate has not been announced to date, the specific fees that will apply in this area cannot yet be calculated.</w:t>
      </w:r>
    </w:p>
    <w:p w:rsidR="00EF785B" w:rsidRPr="00361C87" w:rsidRDefault="00361C87" w:rsidP="00E30FAF">
      <w:pPr>
        <w:pStyle w:val="ListParagraph"/>
        <w:numPr>
          <w:ilvl w:val="0"/>
          <w:numId w:val="38"/>
        </w:numPr>
        <w:spacing w:after="0" w:line="240" w:lineRule="auto"/>
        <w:rPr>
          <w:rFonts w:ascii="Arial" w:hAnsi="Arial" w:cs="Arial"/>
          <w:sz w:val="18"/>
          <w:szCs w:val="18"/>
        </w:rPr>
        <w:sectPr w:rsidR="00EF785B" w:rsidRPr="00361C87" w:rsidSect="00EF785B">
          <w:pgSz w:w="16838" w:h="11906" w:orient="landscape" w:code="9"/>
          <w:pgMar w:top="1440" w:right="1440" w:bottom="1440" w:left="1440" w:header="567" w:footer="567" w:gutter="0"/>
          <w:cols w:space="708"/>
          <w:docGrid w:linePitch="360"/>
        </w:sectPr>
      </w:pPr>
      <w:r>
        <w:rPr>
          <w:rFonts w:ascii="Arial" w:hAnsi="Arial" w:cs="Arial"/>
          <w:sz w:val="18"/>
          <w:szCs w:val="18"/>
        </w:rPr>
        <w:t>* Seafood processing facilities supervised by the Department of Agriculture (DA) where the DA accepts responsibility for all products placed on the domestic market will be required to pay a licence fee in accordance with the fee schedule up to a maximum fee of $1,850.</w:t>
      </w:r>
      <w:r w:rsidR="00FA2C75">
        <w:rPr>
          <w:rFonts w:ascii="Arial" w:hAnsi="Arial" w:cs="Arial"/>
          <w:sz w:val="18"/>
          <w:szCs w:val="18"/>
        </w:rPr>
        <w:t xml:space="preserve">  This fee cap  would replace the existing fee cap in respect of these facilities of $1,566</w:t>
      </w:r>
    </w:p>
    <w:p w:rsidR="00DE222F" w:rsidRPr="00FC6804" w:rsidRDefault="000669E0" w:rsidP="000669E0">
      <w:pPr>
        <w:pStyle w:val="Heading2"/>
        <w:rPr>
          <w:rFonts w:cs="Arial"/>
          <w:b/>
          <w:szCs w:val="20"/>
        </w:rPr>
      </w:pPr>
      <w:bookmarkStart w:id="19" w:name="_Toc443915354"/>
      <w:r w:rsidRPr="00FC6804">
        <w:rPr>
          <w:rFonts w:cs="Arial"/>
          <w:b/>
          <w:szCs w:val="20"/>
        </w:rPr>
        <w:t>9</w:t>
      </w:r>
      <w:r w:rsidR="00256763" w:rsidRPr="00FC6804">
        <w:rPr>
          <w:rFonts w:cs="Arial"/>
          <w:b/>
          <w:szCs w:val="20"/>
        </w:rPr>
        <w:t>.2</w:t>
      </w:r>
      <w:r w:rsidR="00256763" w:rsidRPr="00FC6804">
        <w:rPr>
          <w:rFonts w:cs="Arial"/>
          <w:b/>
          <w:szCs w:val="20"/>
        </w:rPr>
        <w:tab/>
      </w:r>
      <w:r w:rsidR="00FD08A6" w:rsidRPr="00FC6804">
        <w:rPr>
          <w:rFonts w:cs="Arial"/>
          <w:b/>
          <w:szCs w:val="20"/>
        </w:rPr>
        <w:t xml:space="preserve">Expected benefits of Option </w:t>
      </w:r>
      <w:r w:rsidR="006D3A19" w:rsidRPr="00FC6804">
        <w:rPr>
          <w:rFonts w:cs="Arial"/>
          <w:b/>
          <w:szCs w:val="20"/>
        </w:rPr>
        <w:t>2</w:t>
      </w:r>
      <w:bookmarkEnd w:id="19"/>
    </w:p>
    <w:p w:rsidR="00FD08A6" w:rsidRPr="00FC6804" w:rsidRDefault="00FD08A6" w:rsidP="00E30FAF">
      <w:pPr>
        <w:spacing w:after="0" w:line="240" w:lineRule="auto"/>
        <w:rPr>
          <w:rFonts w:ascii="Arial" w:hAnsi="Arial" w:cs="Arial"/>
          <w:sz w:val="20"/>
          <w:szCs w:val="20"/>
        </w:rPr>
      </w:pPr>
    </w:p>
    <w:p w:rsidR="000D32E3" w:rsidRPr="00FC6804" w:rsidRDefault="000D32E3" w:rsidP="00E30FAF">
      <w:pPr>
        <w:spacing w:after="0" w:line="240" w:lineRule="auto"/>
        <w:rPr>
          <w:rFonts w:ascii="Arial" w:hAnsi="Arial" w:cs="Arial"/>
          <w:sz w:val="20"/>
          <w:szCs w:val="20"/>
        </w:rPr>
      </w:pPr>
      <w:r w:rsidRPr="00FC6804">
        <w:rPr>
          <w:rFonts w:ascii="Arial" w:hAnsi="Arial" w:cs="Arial"/>
          <w:sz w:val="20"/>
          <w:szCs w:val="20"/>
        </w:rPr>
        <w:t xml:space="preserve">Option </w:t>
      </w:r>
      <w:r w:rsidR="006D3A19" w:rsidRPr="00FC6804">
        <w:rPr>
          <w:rFonts w:ascii="Arial" w:hAnsi="Arial" w:cs="Arial"/>
          <w:sz w:val="20"/>
          <w:szCs w:val="20"/>
        </w:rPr>
        <w:t xml:space="preserve">2 </w:t>
      </w:r>
      <w:r w:rsidRPr="00FC6804">
        <w:rPr>
          <w:rFonts w:ascii="Arial" w:hAnsi="Arial" w:cs="Arial"/>
          <w:sz w:val="20"/>
          <w:szCs w:val="20"/>
        </w:rPr>
        <w:t xml:space="preserve">would address the need to increase </w:t>
      </w:r>
      <w:r w:rsidR="000669E0" w:rsidRPr="00FC6804">
        <w:rPr>
          <w:rFonts w:ascii="Arial" w:hAnsi="Arial" w:cs="Arial"/>
          <w:sz w:val="20"/>
          <w:szCs w:val="20"/>
        </w:rPr>
        <w:t>PrimeSafe</w:t>
      </w:r>
      <w:r w:rsidRPr="00FC6804">
        <w:rPr>
          <w:rFonts w:ascii="Arial" w:hAnsi="Arial" w:cs="Arial"/>
          <w:sz w:val="20"/>
          <w:szCs w:val="20"/>
        </w:rPr>
        <w:t xml:space="preserve"> fee revenue by a sufficient amount to preserve its self-funding status in the context of the expected 25</w:t>
      </w:r>
      <w:r w:rsidR="000669E0" w:rsidRPr="00FC6804">
        <w:rPr>
          <w:rFonts w:ascii="Arial" w:hAnsi="Arial" w:cs="Arial"/>
          <w:sz w:val="20"/>
          <w:szCs w:val="20"/>
        </w:rPr>
        <w:t xml:space="preserve">% increase in regulatory costs. </w:t>
      </w:r>
      <w:r w:rsidRPr="00FC6804">
        <w:rPr>
          <w:rFonts w:ascii="Arial" w:hAnsi="Arial" w:cs="Arial"/>
          <w:sz w:val="20"/>
          <w:szCs w:val="20"/>
        </w:rPr>
        <w:t xml:space="preserve">Total revenue in 2016-7 would be approximately $0.5 million higher than in </w:t>
      </w:r>
      <w:r w:rsidR="000669E0" w:rsidRPr="00FC6804">
        <w:rPr>
          <w:rFonts w:ascii="Arial" w:hAnsi="Arial" w:cs="Arial"/>
          <w:sz w:val="20"/>
          <w:szCs w:val="20"/>
        </w:rPr>
        <w:t xml:space="preserve">2014-5 under this option. </w:t>
      </w:r>
      <w:r w:rsidRPr="00FC6804">
        <w:rPr>
          <w:rFonts w:ascii="Arial" w:hAnsi="Arial" w:cs="Arial"/>
          <w:sz w:val="20"/>
          <w:szCs w:val="20"/>
        </w:rPr>
        <w:t xml:space="preserve">Table </w:t>
      </w:r>
      <w:r w:rsidR="000669E0" w:rsidRPr="00FC6804">
        <w:rPr>
          <w:rFonts w:ascii="Arial" w:hAnsi="Arial" w:cs="Arial"/>
          <w:sz w:val="20"/>
          <w:szCs w:val="20"/>
        </w:rPr>
        <w:t>9</w:t>
      </w:r>
      <w:r w:rsidRPr="00FC6804">
        <w:rPr>
          <w:rFonts w:ascii="Arial" w:hAnsi="Arial" w:cs="Arial"/>
          <w:sz w:val="20"/>
          <w:szCs w:val="20"/>
        </w:rPr>
        <w:t xml:space="preserve">.2 below shows that around </w:t>
      </w:r>
      <w:r w:rsidR="00216540" w:rsidRPr="00FC6804">
        <w:rPr>
          <w:rFonts w:ascii="Arial" w:hAnsi="Arial" w:cs="Arial"/>
          <w:sz w:val="20"/>
          <w:szCs w:val="20"/>
        </w:rPr>
        <w:t>75</w:t>
      </w:r>
      <w:r w:rsidRPr="00FC6804">
        <w:rPr>
          <w:rFonts w:ascii="Arial" w:hAnsi="Arial" w:cs="Arial"/>
          <w:sz w:val="20"/>
          <w:szCs w:val="20"/>
        </w:rPr>
        <w:t>% of this additional revenue, or $0.4 million, would derive from the imposition of higher fees on l</w:t>
      </w:r>
      <w:r w:rsidR="000669E0" w:rsidRPr="00FC6804">
        <w:rPr>
          <w:rFonts w:ascii="Arial" w:hAnsi="Arial" w:cs="Arial"/>
          <w:sz w:val="20"/>
          <w:szCs w:val="20"/>
        </w:rPr>
        <w:t xml:space="preserve">arger meat transport vehicles. </w:t>
      </w:r>
      <w:r w:rsidRPr="00FC6804">
        <w:rPr>
          <w:rFonts w:ascii="Arial" w:hAnsi="Arial" w:cs="Arial"/>
          <w:sz w:val="20"/>
          <w:szCs w:val="20"/>
        </w:rPr>
        <w:t>Smaller revenue increases would accrue as a by-product of the rationalisation of output</w:t>
      </w:r>
      <w:r w:rsidR="00E30E3F">
        <w:rPr>
          <w:rFonts w:ascii="Arial" w:hAnsi="Arial" w:cs="Arial"/>
          <w:sz w:val="20"/>
          <w:szCs w:val="20"/>
        </w:rPr>
        <w:t xml:space="preserve"> </w:t>
      </w:r>
      <w:r w:rsidRPr="00FC6804">
        <w:rPr>
          <w:rFonts w:ascii="Arial" w:hAnsi="Arial" w:cs="Arial"/>
          <w:sz w:val="20"/>
          <w:szCs w:val="20"/>
        </w:rPr>
        <w:t>based fee categories for abattoirs, further meat processing facilities and poultry processing facilities.</w:t>
      </w:r>
    </w:p>
    <w:p w:rsidR="000669E0" w:rsidRPr="00FC6804" w:rsidRDefault="000669E0" w:rsidP="00E30FAF">
      <w:pPr>
        <w:spacing w:after="0" w:line="240" w:lineRule="auto"/>
        <w:rPr>
          <w:rFonts w:ascii="Arial" w:hAnsi="Arial" w:cs="Arial"/>
          <w:sz w:val="20"/>
          <w:szCs w:val="20"/>
        </w:rPr>
      </w:pPr>
    </w:p>
    <w:p w:rsidR="000D32E3" w:rsidRPr="00FC6804" w:rsidRDefault="000D32E3" w:rsidP="00E30FAF">
      <w:pPr>
        <w:spacing w:after="0" w:line="240" w:lineRule="auto"/>
        <w:rPr>
          <w:rFonts w:ascii="Arial" w:hAnsi="Arial" w:cs="Arial"/>
          <w:sz w:val="20"/>
          <w:szCs w:val="20"/>
        </w:rPr>
      </w:pPr>
      <w:r w:rsidRPr="00FC6804">
        <w:rPr>
          <w:rFonts w:ascii="Arial" w:hAnsi="Arial" w:cs="Arial"/>
          <w:sz w:val="20"/>
          <w:szCs w:val="20"/>
        </w:rPr>
        <w:t xml:space="preserve">As noted in Table </w:t>
      </w:r>
      <w:r w:rsidR="000669E0" w:rsidRPr="00FC6804">
        <w:rPr>
          <w:rFonts w:ascii="Arial" w:hAnsi="Arial" w:cs="Arial"/>
          <w:sz w:val="20"/>
          <w:szCs w:val="20"/>
        </w:rPr>
        <w:t>9</w:t>
      </w:r>
      <w:r w:rsidRPr="00FC6804">
        <w:rPr>
          <w:rFonts w:ascii="Arial" w:hAnsi="Arial" w:cs="Arial"/>
          <w:sz w:val="20"/>
          <w:szCs w:val="20"/>
        </w:rPr>
        <w:t xml:space="preserve">.1, Option </w:t>
      </w:r>
      <w:r w:rsidR="006D3A19" w:rsidRPr="00FC6804">
        <w:rPr>
          <w:rFonts w:ascii="Arial" w:hAnsi="Arial" w:cs="Arial"/>
          <w:sz w:val="20"/>
          <w:szCs w:val="20"/>
        </w:rPr>
        <w:t xml:space="preserve">2 </w:t>
      </w:r>
      <w:r w:rsidRPr="00FC6804">
        <w:rPr>
          <w:rFonts w:ascii="Arial" w:hAnsi="Arial" w:cs="Arial"/>
          <w:sz w:val="20"/>
          <w:szCs w:val="20"/>
        </w:rPr>
        <w:t>involves a staged increase in fees for the proposed new category of retail butcher shops that undertake smallgoods manufacture, with a second increase to occur in 2017-18. Thus, while incremental revenue from retail butcher shops is expected to be only $22,584 in 2016-17, an additional $77,908 would be expected to be raised in 2017-18 under this option.</w:t>
      </w:r>
    </w:p>
    <w:p w:rsidR="000D32E3" w:rsidRPr="00FC6804" w:rsidRDefault="000D32E3" w:rsidP="00E30FAF">
      <w:pPr>
        <w:spacing w:after="0" w:line="240" w:lineRule="auto"/>
        <w:rPr>
          <w:rFonts w:ascii="Arial" w:hAnsi="Arial" w:cs="Arial"/>
          <w:sz w:val="20"/>
          <w:szCs w:val="20"/>
        </w:rPr>
      </w:pPr>
    </w:p>
    <w:p w:rsidR="000669E0" w:rsidRPr="00FC6804" w:rsidRDefault="000669E0" w:rsidP="00E30FAF">
      <w:pPr>
        <w:spacing w:after="0" w:line="240" w:lineRule="auto"/>
        <w:rPr>
          <w:rFonts w:ascii="Arial" w:hAnsi="Arial" w:cs="Arial"/>
          <w:sz w:val="20"/>
          <w:szCs w:val="20"/>
        </w:rPr>
      </w:pPr>
    </w:p>
    <w:p w:rsidR="000D32E3" w:rsidRPr="00FC6804" w:rsidRDefault="000D32E3" w:rsidP="00E30FAF">
      <w:pPr>
        <w:spacing w:after="0" w:line="240" w:lineRule="auto"/>
        <w:rPr>
          <w:rFonts w:ascii="Arial" w:hAnsi="Arial" w:cs="Arial"/>
          <w:b/>
          <w:color w:val="1F4E79" w:themeColor="accent1" w:themeShade="80"/>
          <w:sz w:val="20"/>
          <w:szCs w:val="20"/>
        </w:rPr>
      </w:pPr>
      <w:r w:rsidRPr="00FC6804">
        <w:rPr>
          <w:rFonts w:ascii="Arial" w:hAnsi="Arial" w:cs="Arial"/>
          <w:b/>
          <w:color w:val="1F4E79" w:themeColor="accent1" w:themeShade="80"/>
          <w:sz w:val="20"/>
          <w:szCs w:val="20"/>
        </w:rPr>
        <w:t xml:space="preserve">Table </w:t>
      </w:r>
      <w:r w:rsidR="00C925E2">
        <w:rPr>
          <w:rFonts w:ascii="Arial" w:hAnsi="Arial" w:cs="Arial"/>
          <w:b/>
          <w:color w:val="1F4E79" w:themeColor="accent1" w:themeShade="80"/>
          <w:sz w:val="20"/>
          <w:szCs w:val="20"/>
        </w:rPr>
        <w:t>9</w:t>
      </w:r>
      <w:r w:rsidRPr="00FC6804">
        <w:rPr>
          <w:rFonts w:ascii="Arial" w:hAnsi="Arial" w:cs="Arial"/>
          <w:b/>
          <w:color w:val="1F4E79" w:themeColor="accent1" w:themeShade="80"/>
          <w:sz w:val="20"/>
          <w:szCs w:val="20"/>
        </w:rPr>
        <w:t xml:space="preserve">.2: Incremental revenue from Option </w:t>
      </w:r>
      <w:r w:rsidR="006D3A19" w:rsidRPr="00FC6804">
        <w:rPr>
          <w:rFonts w:ascii="Arial" w:hAnsi="Arial" w:cs="Arial"/>
          <w:b/>
          <w:color w:val="1F4E79" w:themeColor="accent1" w:themeShade="80"/>
          <w:sz w:val="20"/>
          <w:szCs w:val="20"/>
        </w:rPr>
        <w:t>2</w:t>
      </w:r>
      <w:r w:rsidRPr="00FC6804">
        <w:rPr>
          <w:rFonts w:ascii="Arial" w:hAnsi="Arial" w:cs="Arial"/>
          <w:b/>
          <w:color w:val="1F4E79" w:themeColor="accent1" w:themeShade="80"/>
          <w:sz w:val="20"/>
          <w:szCs w:val="20"/>
        </w:rPr>
        <w:t>: 2016-17 vs 2014-15</w:t>
      </w:r>
    </w:p>
    <w:p w:rsidR="001C6566" w:rsidRPr="00FC6804" w:rsidRDefault="001C6566" w:rsidP="00E30FAF">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4621"/>
        <w:gridCol w:w="4621"/>
      </w:tblGrid>
      <w:tr w:rsidR="001C6566" w:rsidRPr="00FC6804" w:rsidTr="009E63BE">
        <w:tc>
          <w:tcPr>
            <w:tcW w:w="4621" w:type="dxa"/>
            <w:shd w:val="clear" w:color="auto" w:fill="F2F2F2" w:themeFill="background1" w:themeFillShade="F2"/>
          </w:tcPr>
          <w:p w:rsidR="001C6566" w:rsidRPr="00FC6804" w:rsidRDefault="001C6566" w:rsidP="001C6566">
            <w:pPr>
              <w:spacing w:before="60" w:after="60"/>
              <w:jc w:val="center"/>
              <w:rPr>
                <w:rFonts w:ascii="Arial" w:hAnsi="Arial" w:cs="Arial"/>
                <w:b/>
                <w:sz w:val="20"/>
                <w:szCs w:val="20"/>
                <w:u w:val="single"/>
              </w:rPr>
            </w:pPr>
            <w:r w:rsidRPr="00FC6804">
              <w:rPr>
                <w:rFonts w:ascii="Arial" w:eastAsia="Times New Roman" w:hAnsi="Arial" w:cs="Arial"/>
                <w:b/>
                <w:sz w:val="20"/>
                <w:szCs w:val="20"/>
                <w:lang w:eastAsia="en-AU"/>
              </w:rPr>
              <w:t>Licence Category</w:t>
            </w:r>
          </w:p>
        </w:tc>
        <w:tc>
          <w:tcPr>
            <w:tcW w:w="4621" w:type="dxa"/>
            <w:shd w:val="clear" w:color="auto" w:fill="F2F2F2" w:themeFill="background1" w:themeFillShade="F2"/>
            <w:vAlign w:val="bottom"/>
          </w:tcPr>
          <w:p w:rsidR="007906BB" w:rsidRDefault="007906BB" w:rsidP="001C6566">
            <w:pPr>
              <w:spacing w:before="60" w:after="60"/>
              <w:jc w:val="center"/>
              <w:rPr>
                <w:rFonts w:ascii="Arial" w:eastAsia="Times New Roman" w:hAnsi="Arial" w:cs="Arial"/>
                <w:b/>
                <w:color w:val="000000"/>
                <w:sz w:val="20"/>
                <w:szCs w:val="20"/>
                <w:lang w:eastAsia="en-AU"/>
              </w:rPr>
            </w:pPr>
            <w:r>
              <w:rPr>
                <w:rFonts w:ascii="Arial" w:eastAsia="Times New Roman" w:hAnsi="Arial" w:cs="Arial"/>
                <w:b/>
                <w:color w:val="000000"/>
                <w:sz w:val="20"/>
                <w:szCs w:val="20"/>
                <w:lang w:eastAsia="en-AU"/>
              </w:rPr>
              <w:t>Incremental Revenue</w:t>
            </w:r>
          </w:p>
          <w:p w:rsidR="001C6566" w:rsidRPr="00FC6804" w:rsidRDefault="001C6566" w:rsidP="001C6566">
            <w:pPr>
              <w:spacing w:before="60" w:after="60"/>
              <w:jc w:val="center"/>
              <w:rPr>
                <w:rFonts w:ascii="Arial" w:hAnsi="Arial" w:cs="Arial"/>
                <w:b/>
                <w:sz w:val="20"/>
                <w:szCs w:val="20"/>
                <w:u w:val="single"/>
              </w:rPr>
            </w:pPr>
            <w:r w:rsidRPr="00FC6804">
              <w:rPr>
                <w:rFonts w:ascii="Arial" w:eastAsia="Times New Roman" w:hAnsi="Arial" w:cs="Arial"/>
                <w:b/>
                <w:color w:val="000000"/>
                <w:sz w:val="20"/>
                <w:szCs w:val="20"/>
                <w:lang w:eastAsia="en-AU"/>
              </w:rPr>
              <w:t>($)</w:t>
            </w:r>
          </w:p>
        </w:tc>
      </w:tr>
      <w:tr w:rsidR="006E45EF" w:rsidRPr="00FC6804" w:rsidTr="00DE466A">
        <w:tc>
          <w:tcPr>
            <w:tcW w:w="4621" w:type="dxa"/>
          </w:tcPr>
          <w:p w:rsidR="006E45EF" w:rsidRPr="00FC6804" w:rsidRDefault="006E45EF" w:rsidP="006E45EF">
            <w:pPr>
              <w:spacing w:before="60" w:after="60"/>
              <w:jc w:val="center"/>
              <w:rPr>
                <w:rFonts w:ascii="Arial" w:hAnsi="Arial" w:cs="Arial"/>
                <w:b/>
                <w:sz w:val="20"/>
                <w:szCs w:val="20"/>
                <w:u w:val="single"/>
              </w:rPr>
            </w:pPr>
            <w:r w:rsidRPr="00FC6804">
              <w:rPr>
                <w:rFonts w:ascii="Arial" w:eastAsia="Times New Roman" w:hAnsi="Arial" w:cs="Arial"/>
                <w:sz w:val="20"/>
                <w:szCs w:val="20"/>
                <w:lang w:eastAsia="en-AU"/>
              </w:rPr>
              <w:t>Abattoir (Export)</w:t>
            </w:r>
          </w:p>
        </w:tc>
        <w:tc>
          <w:tcPr>
            <w:tcW w:w="4621" w:type="dxa"/>
            <w:vAlign w:val="bottom"/>
          </w:tcPr>
          <w:p w:rsidR="006E45EF" w:rsidRPr="00FC6804" w:rsidRDefault="006E45EF" w:rsidP="006E45EF">
            <w:pPr>
              <w:spacing w:before="60" w:after="60"/>
              <w:jc w:val="center"/>
              <w:rPr>
                <w:rFonts w:ascii="Arial" w:hAnsi="Arial" w:cs="Arial"/>
                <w:b/>
                <w:sz w:val="20"/>
                <w:szCs w:val="20"/>
                <w:u w:val="single"/>
              </w:rPr>
            </w:pPr>
            <w:r w:rsidRPr="00FC6804">
              <w:rPr>
                <w:rFonts w:ascii="Arial" w:eastAsia="Times New Roman" w:hAnsi="Arial" w:cs="Arial"/>
                <w:color w:val="000000"/>
                <w:sz w:val="20"/>
                <w:szCs w:val="20"/>
                <w:lang w:eastAsia="en-AU"/>
              </w:rPr>
              <w:t>6,174</w:t>
            </w:r>
          </w:p>
        </w:tc>
      </w:tr>
      <w:tr w:rsidR="006E45EF" w:rsidRPr="00FC6804" w:rsidTr="00DE466A">
        <w:tc>
          <w:tcPr>
            <w:tcW w:w="4621" w:type="dxa"/>
          </w:tcPr>
          <w:p w:rsidR="006E45EF" w:rsidRPr="00FC6804" w:rsidRDefault="006E45EF" w:rsidP="006E45EF">
            <w:pPr>
              <w:spacing w:before="60" w:after="60"/>
              <w:jc w:val="center"/>
              <w:rPr>
                <w:rFonts w:ascii="Arial" w:hAnsi="Arial" w:cs="Arial"/>
                <w:b/>
                <w:sz w:val="20"/>
                <w:szCs w:val="20"/>
                <w:u w:val="single"/>
              </w:rPr>
            </w:pPr>
            <w:r w:rsidRPr="00FC6804">
              <w:rPr>
                <w:rFonts w:ascii="Arial" w:eastAsia="Times New Roman" w:hAnsi="Arial" w:cs="Arial"/>
                <w:sz w:val="20"/>
                <w:szCs w:val="20"/>
                <w:lang w:eastAsia="en-AU"/>
              </w:rPr>
              <w:t>Abattoir (Domestic)</w:t>
            </w:r>
          </w:p>
        </w:tc>
        <w:tc>
          <w:tcPr>
            <w:tcW w:w="4621" w:type="dxa"/>
            <w:vAlign w:val="bottom"/>
          </w:tcPr>
          <w:p w:rsidR="006E45EF" w:rsidRPr="00FC6804" w:rsidRDefault="006E45EF" w:rsidP="006E45EF">
            <w:pPr>
              <w:spacing w:before="60" w:after="60"/>
              <w:jc w:val="center"/>
              <w:rPr>
                <w:rFonts w:ascii="Arial" w:hAnsi="Arial" w:cs="Arial"/>
                <w:b/>
                <w:sz w:val="20"/>
                <w:szCs w:val="20"/>
                <w:u w:val="single"/>
              </w:rPr>
            </w:pPr>
            <w:r w:rsidRPr="00FC6804">
              <w:rPr>
                <w:rFonts w:ascii="Arial" w:eastAsia="Times New Roman" w:hAnsi="Arial" w:cs="Arial"/>
                <w:color w:val="000000"/>
                <w:sz w:val="20"/>
                <w:szCs w:val="20"/>
                <w:lang w:eastAsia="en-AU"/>
              </w:rPr>
              <w:t>9,758</w:t>
            </w:r>
          </w:p>
        </w:tc>
      </w:tr>
      <w:tr w:rsidR="006E45EF" w:rsidRPr="00FC6804" w:rsidTr="00DE466A">
        <w:tc>
          <w:tcPr>
            <w:tcW w:w="4621" w:type="dxa"/>
          </w:tcPr>
          <w:p w:rsidR="006E45EF" w:rsidRPr="00FC6804" w:rsidRDefault="006E45EF" w:rsidP="006E45EF">
            <w:pPr>
              <w:spacing w:before="60" w:after="60"/>
              <w:jc w:val="center"/>
              <w:rPr>
                <w:rFonts w:ascii="Arial" w:eastAsia="Times New Roman" w:hAnsi="Arial" w:cs="Arial"/>
                <w:sz w:val="20"/>
                <w:szCs w:val="20"/>
                <w:lang w:eastAsia="en-AU"/>
              </w:rPr>
            </w:pPr>
            <w:r w:rsidRPr="00FC6804">
              <w:rPr>
                <w:rFonts w:ascii="Arial" w:eastAsia="Times New Roman" w:hAnsi="Arial" w:cs="Arial"/>
                <w:sz w:val="20"/>
                <w:szCs w:val="20"/>
                <w:lang w:eastAsia="en-AU"/>
              </w:rPr>
              <w:t>Poultry Processing</w:t>
            </w:r>
          </w:p>
        </w:tc>
        <w:tc>
          <w:tcPr>
            <w:tcW w:w="4621" w:type="dxa"/>
            <w:vAlign w:val="bottom"/>
          </w:tcPr>
          <w:p w:rsidR="006E45EF" w:rsidRPr="00FC6804" w:rsidRDefault="006E45EF" w:rsidP="006E45EF">
            <w:pPr>
              <w:spacing w:before="60" w:after="60"/>
              <w:jc w:val="center"/>
              <w:rPr>
                <w:rFonts w:ascii="Arial" w:eastAsia="Times New Roman" w:hAnsi="Arial" w:cs="Arial"/>
                <w:color w:val="000000"/>
                <w:sz w:val="20"/>
                <w:szCs w:val="20"/>
                <w:lang w:eastAsia="en-AU"/>
              </w:rPr>
            </w:pPr>
            <w:r w:rsidRPr="00FC6804">
              <w:rPr>
                <w:rFonts w:ascii="Arial" w:eastAsia="Times New Roman" w:hAnsi="Arial" w:cs="Arial"/>
                <w:color w:val="000000"/>
                <w:sz w:val="20"/>
                <w:szCs w:val="20"/>
                <w:lang w:eastAsia="en-AU"/>
              </w:rPr>
              <w:t>13,648</w:t>
            </w:r>
          </w:p>
        </w:tc>
      </w:tr>
      <w:tr w:rsidR="006E45EF" w:rsidRPr="00FC6804" w:rsidTr="00DE466A">
        <w:tc>
          <w:tcPr>
            <w:tcW w:w="4621" w:type="dxa"/>
          </w:tcPr>
          <w:p w:rsidR="006E45EF" w:rsidRPr="00FC6804" w:rsidRDefault="006E45EF" w:rsidP="006E45EF">
            <w:pPr>
              <w:spacing w:before="60" w:after="60"/>
              <w:jc w:val="center"/>
              <w:rPr>
                <w:rFonts w:ascii="Arial" w:eastAsia="Times New Roman" w:hAnsi="Arial" w:cs="Arial"/>
                <w:sz w:val="20"/>
                <w:szCs w:val="20"/>
                <w:lang w:eastAsia="en-AU"/>
              </w:rPr>
            </w:pPr>
            <w:r w:rsidRPr="00FC6804">
              <w:rPr>
                <w:rFonts w:ascii="Arial" w:eastAsia="Times New Roman" w:hAnsi="Arial" w:cs="Arial"/>
                <w:sz w:val="20"/>
                <w:szCs w:val="20"/>
                <w:lang w:eastAsia="en-AU"/>
              </w:rPr>
              <w:t>Further Meat Processing</w:t>
            </w:r>
          </w:p>
        </w:tc>
        <w:tc>
          <w:tcPr>
            <w:tcW w:w="4621" w:type="dxa"/>
            <w:vAlign w:val="bottom"/>
          </w:tcPr>
          <w:p w:rsidR="006E45EF" w:rsidRPr="00FC6804" w:rsidRDefault="006E45EF" w:rsidP="006E45EF">
            <w:pPr>
              <w:spacing w:before="60" w:after="60"/>
              <w:jc w:val="center"/>
              <w:rPr>
                <w:rFonts w:ascii="Arial" w:eastAsia="Times New Roman" w:hAnsi="Arial" w:cs="Arial"/>
                <w:color w:val="000000"/>
                <w:sz w:val="20"/>
                <w:szCs w:val="20"/>
                <w:lang w:eastAsia="en-AU"/>
              </w:rPr>
            </w:pPr>
            <w:r w:rsidRPr="00FC6804">
              <w:rPr>
                <w:rFonts w:ascii="Arial" w:eastAsia="Times New Roman" w:hAnsi="Arial" w:cs="Arial"/>
                <w:color w:val="000000"/>
                <w:sz w:val="20"/>
                <w:szCs w:val="20"/>
                <w:lang w:eastAsia="en-AU"/>
              </w:rPr>
              <w:t>44,181</w:t>
            </w:r>
          </w:p>
        </w:tc>
      </w:tr>
      <w:tr w:rsidR="006E45EF" w:rsidRPr="00FC6804" w:rsidTr="00DE466A">
        <w:tc>
          <w:tcPr>
            <w:tcW w:w="4621" w:type="dxa"/>
          </w:tcPr>
          <w:p w:rsidR="006E45EF" w:rsidRPr="00FC6804" w:rsidRDefault="006E45EF" w:rsidP="006E45EF">
            <w:pPr>
              <w:spacing w:before="60" w:after="60"/>
              <w:jc w:val="center"/>
              <w:rPr>
                <w:rFonts w:ascii="Arial" w:eastAsia="Times New Roman" w:hAnsi="Arial" w:cs="Arial"/>
                <w:sz w:val="20"/>
                <w:szCs w:val="20"/>
                <w:lang w:eastAsia="en-AU"/>
              </w:rPr>
            </w:pPr>
            <w:r w:rsidRPr="00FC6804">
              <w:rPr>
                <w:rFonts w:ascii="Arial" w:eastAsia="Times New Roman" w:hAnsi="Arial" w:cs="Arial"/>
                <w:sz w:val="20"/>
                <w:szCs w:val="20"/>
                <w:lang w:eastAsia="en-AU"/>
              </w:rPr>
              <w:t>Retail Butcher Shop</w:t>
            </w:r>
          </w:p>
        </w:tc>
        <w:tc>
          <w:tcPr>
            <w:tcW w:w="4621" w:type="dxa"/>
            <w:vAlign w:val="bottom"/>
          </w:tcPr>
          <w:p w:rsidR="006E45EF" w:rsidRPr="00FC6804" w:rsidRDefault="006E45EF" w:rsidP="006E45EF">
            <w:pPr>
              <w:spacing w:before="60" w:after="60"/>
              <w:jc w:val="center"/>
              <w:rPr>
                <w:rFonts w:ascii="Arial" w:eastAsia="Times New Roman" w:hAnsi="Arial" w:cs="Arial"/>
                <w:color w:val="000000"/>
                <w:sz w:val="20"/>
                <w:szCs w:val="20"/>
                <w:lang w:eastAsia="en-AU"/>
              </w:rPr>
            </w:pPr>
            <w:r w:rsidRPr="00FC6804">
              <w:rPr>
                <w:rFonts w:ascii="Arial" w:eastAsia="Times New Roman" w:hAnsi="Arial" w:cs="Arial"/>
                <w:color w:val="000000"/>
                <w:sz w:val="20"/>
                <w:szCs w:val="20"/>
                <w:lang w:eastAsia="en-AU"/>
              </w:rPr>
              <w:t>22,584</w:t>
            </w:r>
          </w:p>
        </w:tc>
      </w:tr>
      <w:tr w:rsidR="006E45EF" w:rsidRPr="00FC6804" w:rsidTr="00DE466A">
        <w:tc>
          <w:tcPr>
            <w:tcW w:w="4621" w:type="dxa"/>
          </w:tcPr>
          <w:p w:rsidR="006E45EF" w:rsidRPr="00FC6804" w:rsidRDefault="006E45EF" w:rsidP="006E45EF">
            <w:pPr>
              <w:spacing w:before="60" w:after="60"/>
              <w:jc w:val="center"/>
              <w:rPr>
                <w:rFonts w:ascii="Arial" w:eastAsia="Times New Roman" w:hAnsi="Arial" w:cs="Arial"/>
                <w:sz w:val="20"/>
                <w:szCs w:val="20"/>
                <w:lang w:eastAsia="en-AU"/>
              </w:rPr>
            </w:pPr>
            <w:r w:rsidRPr="00FC6804">
              <w:rPr>
                <w:rFonts w:ascii="Arial" w:eastAsia="Times New Roman" w:hAnsi="Arial" w:cs="Arial"/>
                <w:sz w:val="20"/>
                <w:szCs w:val="20"/>
                <w:lang w:eastAsia="en-AU"/>
              </w:rPr>
              <w:t>Game Meat</w:t>
            </w:r>
          </w:p>
        </w:tc>
        <w:tc>
          <w:tcPr>
            <w:tcW w:w="4621" w:type="dxa"/>
            <w:vAlign w:val="bottom"/>
          </w:tcPr>
          <w:p w:rsidR="006E45EF" w:rsidRPr="00FC6804" w:rsidRDefault="006E45EF" w:rsidP="006E45EF">
            <w:pPr>
              <w:spacing w:before="60" w:after="60"/>
              <w:jc w:val="center"/>
              <w:rPr>
                <w:rFonts w:ascii="Arial" w:eastAsia="Times New Roman" w:hAnsi="Arial" w:cs="Arial"/>
                <w:color w:val="000000"/>
                <w:sz w:val="20"/>
                <w:szCs w:val="20"/>
                <w:lang w:eastAsia="en-AU"/>
              </w:rPr>
            </w:pPr>
            <w:r w:rsidRPr="00FC6804">
              <w:rPr>
                <w:rFonts w:ascii="Arial" w:eastAsia="Times New Roman" w:hAnsi="Arial" w:cs="Arial"/>
                <w:color w:val="000000"/>
                <w:sz w:val="20"/>
                <w:szCs w:val="20"/>
                <w:lang w:eastAsia="en-AU"/>
              </w:rPr>
              <w:t>0</w:t>
            </w:r>
          </w:p>
        </w:tc>
      </w:tr>
      <w:tr w:rsidR="006E45EF" w:rsidRPr="00FC6804" w:rsidTr="00DE466A">
        <w:tc>
          <w:tcPr>
            <w:tcW w:w="4621" w:type="dxa"/>
          </w:tcPr>
          <w:p w:rsidR="006E45EF" w:rsidRPr="00FC6804" w:rsidRDefault="006E45EF" w:rsidP="006E45EF">
            <w:pPr>
              <w:spacing w:before="60" w:after="60"/>
              <w:jc w:val="center"/>
              <w:rPr>
                <w:rFonts w:ascii="Arial" w:eastAsia="Times New Roman" w:hAnsi="Arial" w:cs="Arial"/>
                <w:sz w:val="20"/>
                <w:szCs w:val="20"/>
                <w:lang w:eastAsia="en-AU"/>
              </w:rPr>
            </w:pPr>
            <w:r w:rsidRPr="00FC6804">
              <w:rPr>
                <w:rFonts w:ascii="Arial" w:eastAsia="Times New Roman" w:hAnsi="Arial" w:cs="Arial"/>
                <w:sz w:val="20"/>
                <w:szCs w:val="20"/>
                <w:lang w:eastAsia="en-AU"/>
              </w:rPr>
              <w:t>Prime Tallow Processing</w:t>
            </w:r>
          </w:p>
        </w:tc>
        <w:tc>
          <w:tcPr>
            <w:tcW w:w="4621" w:type="dxa"/>
            <w:vAlign w:val="bottom"/>
          </w:tcPr>
          <w:p w:rsidR="006E45EF" w:rsidRPr="00FC6804" w:rsidRDefault="006E45EF" w:rsidP="006E45EF">
            <w:pPr>
              <w:spacing w:before="60" w:after="60"/>
              <w:jc w:val="center"/>
              <w:rPr>
                <w:rFonts w:ascii="Arial" w:eastAsia="Times New Roman" w:hAnsi="Arial" w:cs="Arial"/>
                <w:color w:val="000000"/>
                <w:sz w:val="20"/>
                <w:szCs w:val="20"/>
                <w:lang w:eastAsia="en-AU"/>
              </w:rPr>
            </w:pPr>
            <w:r w:rsidRPr="00FC6804">
              <w:rPr>
                <w:rFonts w:ascii="Arial" w:eastAsia="Times New Roman" w:hAnsi="Arial" w:cs="Arial"/>
                <w:color w:val="000000"/>
                <w:sz w:val="20"/>
                <w:szCs w:val="20"/>
                <w:lang w:eastAsia="en-AU"/>
              </w:rPr>
              <w:t>0</w:t>
            </w:r>
          </w:p>
        </w:tc>
      </w:tr>
      <w:tr w:rsidR="006E45EF" w:rsidRPr="00FC6804" w:rsidTr="00DE466A">
        <w:tc>
          <w:tcPr>
            <w:tcW w:w="4621" w:type="dxa"/>
          </w:tcPr>
          <w:p w:rsidR="006E45EF" w:rsidRPr="00FC6804" w:rsidRDefault="006E45EF" w:rsidP="006E45EF">
            <w:pPr>
              <w:spacing w:before="60" w:after="60"/>
              <w:jc w:val="center"/>
              <w:rPr>
                <w:rFonts w:ascii="Arial" w:eastAsia="Times New Roman" w:hAnsi="Arial" w:cs="Arial"/>
                <w:sz w:val="20"/>
                <w:szCs w:val="20"/>
                <w:lang w:eastAsia="en-AU"/>
              </w:rPr>
            </w:pPr>
            <w:r w:rsidRPr="00FC6804">
              <w:rPr>
                <w:rFonts w:ascii="Arial" w:eastAsia="Times New Roman" w:hAnsi="Arial" w:cs="Arial"/>
                <w:sz w:val="20"/>
                <w:szCs w:val="20"/>
                <w:lang w:eastAsia="en-AU"/>
              </w:rPr>
              <w:t>Inedible Rendering</w:t>
            </w:r>
          </w:p>
        </w:tc>
        <w:tc>
          <w:tcPr>
            <w:tcW w:w="4621" w:type="dxa"/>
            <w:vAlign w:val="bottom"/>
          </w:tcPr>
          <w:p w:rsidR="006E45EF" w:rsidRPr="00FC6804" w:rsidRDefault="006E45EF" w:rsidP="006E45EF">
            <w:pPr>
              <w:spacing w:before="60" w:after="60"/>
              <w:jc w:val="center"/>
              <w:rPr>
                <w:rFonts w:ascii="Arial" w:eastAsia="Times New Roman" w:hAnsi="Arial" w:cs="Arial"/>
                <w:color w:val="000000"/>
                <w:sz w:val="20"/>
                <w:szCs w:val="20"/>
                <w:lang w:eastAsia="en-AU"/>
              </w:rPr>
            </w:pPr>
            <w:r w:rsidRPr="00FC6804">
              <w:rPr>
                <w:rFonts w:ascii="Arial" w:eastAsia="Times New Roman" w:hAnsi="Arial" w:cs="Arial"/>
                <w:color w:val="000000"/>
                <w:sz w:val="20"/>
                <w:szCs w:val="20"/>
                <w:lang w:eastAsia="en-AU"/>
              </w:rPr>
              <w:t>0</w:t>
            </w:r>
          </w:p>
        </w:tc>
      </w:tr>
      <w:tr w:rsidR="006E45EF" w:rsidRPr="00FC6804" w:rsidTr="00DE466A">
        <w:tc>
          <w:tcPr>
            <w:tcW w:w="4621" w:type="dxa"/>
          </w:tcPr>
          <w:p w:rsidR="006E45EF" w:rsidRPr="00FC6804" w:rsidRDefault="006E45EF" w:rsidP="006E45EF">
            <w:pPr>
              <w:spacing w:before="60" w:after="60"/>
              <w:jc w:val="center"/>
              <w:rPr>
                <w:rFonts w:ascii="Arial" w:eastAsia="Times New Roman" w:hAnsi="Arial" w:cs="Arial"/>
                <w:sz w:val="20"/>
                <w:szCs w:val="20"/>
                <w:lang w:eastAsia="en-AU"/>
              </w:rPr>
            </w:pPr>
            <w:r w:rsidRPr="00FC6804">
              <w:rPr>
                <w:rFonts w:ascii="Arial" w:eastAsia="Times New Roman" w:hAnsi="Arial" w:cs="Arial"/>
                <w:sz w:val="20"/>
                <w:szCs w:val="20"/>
                <w:lang w:eastAsia="en-AU"/>
              </w:rPr>
              <w:t>Pet Meat Processing</w:t>
            </w:r>
          </w:p>
        </w:tc>
        <w:tc>
          <w:tcPr>
            <w:tcW w:w="4621" w:type="dxa"/>
            <w:vAlign w:val="bottom"/>
          </w:tcPr>
          <w:p w:rsidR="006E45EF" w:rsidRPr="00FC6804" w:rsidRDefault="006E45EF" w:rsidP="006E45EF">
            <w:pPr>
              <w:spacing w:before="60" w:after="60"/>
              <w:jc w:val="center"/>
              <w:rPr>
                <w:rFonts w:ascii="Arial" w:eastAsia="Times New Roman" w:hAnsi="Arial" w:cs="Arial"/>
                <w:color w:val="000000"/>
                <w:sz w:val="20"/>
                <w:szCs w:val="20"/>
                <w:lang w:eastAsia="en-AU"/>
              </w:rPr>
            </w:pPr>
            <w:r w:rsidRPr="00FC6804">
              <w:rPr>
                <w:rFonts w:ascii="Arial" w:eastAsia="Times New Roman" w:hAnsi="Arial" w:cs="Arial"/>
                <w:color w:val="000000"/>
                <w:sz w:val="20"/>
                <w:szCs w:val="20"/>
                <w:lang w:eastAsia="en-AU"/>
              </w:rPr>
              <w:t>0</w:t>
            </w:r>
          </w:p>
        </w:tc>
      </w:tr>
      <w:tr w:rsidR="006E45EF" w:rsidRPr="00FC6804" w:rsidTr="00DE466A">
        <w:tc>
          <w:tcPr>
            <w:tcW w:w="4621" w:type="dxa"/>
          </w:tcPr>
          <w:p w:rsidR="006E45EF" w:rsidRPr="00FC6804" w:rsidRDefault="006E45EF" w:rsidP="006E45EF">
            <w:pPr>
              <w:spacing w:before="60" w:after="60"/>
              <w:jc w:val="center"/>
              <w:rPr>
                <w:rFonts w:ascii="Arial" w:eastAsia="Times New Roman" w:hAnsi="Arial" w:cs="Arial"/>
                <w:sz w:val="20"/>
                <w:szCs w:val="20"/>
                <w:lang w:eastAsia="en-AU"/>
              </w:rPr>
            </w:pPr>
            <w:r w:rsidRPr="00FC6804">
              <w:rPr>
                <w:rFonts w:ascii="Arial" w:eastAsia="Times New Roman" w:hAnsi="Arial" w:cs="Arial"/>
                <w:sz w:val="20"/>
                <w:szCs w:val="20"/>
                <w:lang w:eastAsia="en-AU"/>
              </w:rPr>
              <w:t>Pet Food Establishment</w:t>
            </w:r>
          </w:p>
        </w:tc>
        <w:tc>
          <w:tcPr>
            <w:tcW w:w="4621" w:type="dxa"/>
            <w:vAlign w:val="bottom"/>
          </w:tcPr>
          <w:p w:rsidR="006E45EF" w:rsidRPr="00FC6804" w:rsidRDefault="006E45EF" w:rsidP="006E45EF">
            <w:pPr>
              <w:spacing w:before="60" w:after="60"/>
              <w:jc w:val="center"/>
              <w:rPr>
                <w:rFonts w:ascii="Arial" w:eastAsia="Times New Roman" w:hAnsi="Arial" w:cs="Arial"/>
                <w:color w:val="000000"/>
                <w:sz w:val="20"/>
                <w:szCs w:val="20"/>
                <w:lang w:eastAsia="en-AU"/>
              </w:rPr>
            </w:pPr>
            <w:r w:rsidRPr="00FC6804">
              <w:rPr>
                <w:rFonts w:ascii="Arial" w:eastAsia="Times New Roman" w:hAnsi="Arial" w:cs="Arial"/>
                <w:color w:val="000000"/>
                <w:sz w:val="20"/>
                <w:szCs w:val="20"/>
                <w:lang w:eastAsia="en-AU"/>
              </w:rPr>
              <w:t>0</w:t>
            </w:r>
          </w:p>
        </w:tc>
      </w:tr>
      <w:tr w:rsidR="006E45EF" w:rsidRPr="00FC6804" w:rsidTr="00DE466A">
        <w:tc>
          <w:tcPr>
            <w:tcW w:w="4621" w:type="dxa"/>
          </w:tcPr>
          <w:p w:rsidR="006E45EF" w:rsidRPr="00FC6804" w:rsidRDefault="006E45EF" w:rsidP="006E45EF">
            <w:pPr>
              <w:spacing w:before="60" w:after="60"/>
              <w:jc w:val="center"/>
              <w:rPr>
                <w:rFonts w:ascii="Arial" w:eastAsia="Times New Roman" w:hAnsi="Arial" w:cs="Arial"/>
                <w:sz w:val="20"/>
                <w:szCs w:val="20"/>
                <w:lang w:eastAsia="en-AU"/>
              </w:rPr>
            </w:pPr>
            <w:r w:rsidRPr="00FC6804">
              <w:rPr>
                <w:rFonts w:ascii="Arial" w:eastAsia="Times New Roman" w:hAnsi="Arial" w:cs="Arial"/>
                <w:sz w:val="20"/>
                <w:szCs w:val="20"/>
                <w:lang w:eastAsia="en-AU"/>
              </w:rPr>
              <w:t>Meat Transport Vehicle</w:t>
            </w:r>
          </w:p>
        </w:tc>
        <w:tc>
          <w:tcPr>
            <w:tcW w:w="4621" w:type="dxa"/>
            <w:vAlign w:val="bottom"/>
          </w:tcPr>
          <w:p w:rsidR="006E45EF" w:rsidRPr="00FC6804" w:rsidRDefault="006E45EF" w:rsidP="006E45EF">
            <w:pPr>
              <w:spacing w:before="60" w:after="60"/>
              <w:jc w:val="center"/>
              <w:rPr>
                <w:rFonts w:ascii="Arial" w:eastAsia="Times New Roman" w:hAnsi="Arial" w:cs="Arial"/>
                <w:color w:val="000000"/>
                <w:sz w:val="20"/>
                <w:szCs w:val="20"/>
                <w:lang w:eastAsia="en-AU"/>
              </w:rPr>
            </w:pPr>
            <w:r w:rsidRPr="00FC6804">
              <w:rPr>
                <w:rFonts w:ascii="Arial" w:eastAsia="Times New Roman" w:hAnsi="Arial" w:cs="Arial"/>
                <w:color w:val="000000"/>
                <w:sz w:val="20"/>
                <w:szCs w:val="20"/>
                <w:lang w:eastAsia="en-AU"/>
              </w:rPr>
              <w:t>396,458</w:t>
            </w:r>
          </w:p>
        </w:tc>
      </w:tr>
      <w:tr w:rsidR="006E45EF" w:rsidRPr="00FC6804" w:rsidTr="00DE466A">
        <w:tc>
          <w:tcPr>
            <w:tcW w:w="4621" w:type="dxa"/>
          </w:tcPr>
          <w:p w:rsidR="006E45EF" w:rsidRPr="00FC6804" w:rsidRDefault="006E45EF" w:rsidP="006E45EF">
            <w:pPr>
              <w:spacing w:before="60" w:after="60"/>
              <w:jc w:val="center"/>
              <w:rPr>
                <w:rFonts w:ascii="Arial" w:hAnsi="Arial" w:cs="Arial"/>
                <w:b/>
                <w:sz w:val="20"/>
                <w:szCs w:val="20"/>
                <w:u w:val="single"/>
              </w:rPr>
            </w:pPr>
            <w:r w:rsidRPr="00FC6804">
              <w:rPr>
                <w:rFonts w:ascii="Arial" w:eastAsia="Times New Roman" w:hAnsi="Arial" w:cs="Arial"/>
                <w:sz w:val="20"/>
                <w:szCs w:val="20"/>
                <w:lang w:eastAsia="en-AU"/>
              </w:rPr>
              <w:t>Pre-licensing advice</w:t>
            </w:r>
          </w:p>
        </w:tc>
        <w:tc>
          <w:tcPr>
            <w:tcW w:w="4621" w:type="dxa"/>
            <w:vAlign w:val="bottom"/>
          </w:tcPr>
          <w:p w:rsidR="006E45EF" w:rsidRPr="00FC6804" w:rsidRDefault="006E45EF" w:rsidP="006E45EF">
            <w:pPr>
              <w:spacing w:before="60" w:after="60"/>
              <w:jc w:val="center"/>
              <w:rPr>
                <w:rFonts w:ascii="Arial" w:hAnsi="Arial" w:cs="Arial"/>
                <w:b/>
                <w:sz w:val="20"/>
                <w:szCs w:val="20"/>
                <w:u w:val="single"/>
              </w:rPr>
            </w:pPr>
            <w:r w:rsidRPr="00FC6804">
              <w:rPr>
                <w:rFonts w:ascii="Arial" w:eastAsia="Times New Roman" w:hAnsi="Arial" w:cs="Arial"/>
                <w:color w:val="000000"/>
                <w:sz w:val="20"/>
                <w:szCs w:val="20"/>
                <w:lang w:eastAsia="en-AU"/>
              </w:rPr>
              <w:t>30,000</w:t>
            </w:r>
            <w:r w:rsidRPr="00FC6804">
              <w:rPr>
                <w:rStyle w:val="FootnoteReference"/>
                <w:rFonts w:ascii="Arial" w:eastAsia="Times New Roman" w:hAnsi="Arial" w:cs="Arial"/>
                <w:color w:val="000000"/>
                <w:sz w:val="20"/>
                <w:szCs w:val="20"/>
                <w:lang w:eastAsia="en-AU"/>
              </w:rPr>
              <w:footnoteReference w:id="26"/>
            </w:r>
          </w:p>
        </w:tc>
      </w:tr>
      <w:tr w:rsidR="006E45EF" w:rsidRPr="00FC6804" w:rsidTr="00DE466A">
        <w:tc>
          <w:tcPr>
            <w:tcW w:w="4621" w:type="dxa"/>
          </w:tcPr>
          <w:p w:rsidR="006E45EF" w:rsidRPr="00FC6804" w:rsidRDefault="006E45EF" w:rsidP="006E45EF">
            <w:pPr>
              <w:spacing w:before="60" w:after="60"/>
              <w:jc w:val="center"/>
              <w:rPr>
                <w:rFonts w:ascii="Arial" w:eastAsia="Times New Roman" w:hAnsi="Arial" w:cs="Arial"/>
                <w:sz w:val="20"/>
                <w:szCs w:val="20"/>
                <w:lang w:eastAsia="en-AU"/>
              </w:rPr>
            </w:pPr>
            <w:r w:rsidRPr="00FC6804">
              <w:rPr>
                <w:rFonts w:ascii="Arial" w:eastAsia="Times New Roman" w:hAnsi="Arial" w:cs="Arial"/>
                <w:b/>
                <w:bCs/>
                <w:sz w:val="20"/>
                <w:szCs w:val="20"/>
                <w:lang w:eastAsia="en-AU"/>
              </w:rPr>
              <w:t>Total Meat</w:t>
            </w:r>
          </w:p>
        </w:tc>
        <w:tc>
          <w:tcPr>
            <w:tcW w:w="4621" w:type="dxa"/>
          </w:tcPr>
          <w:p w:rsidR="006E45EF" w:rsidRPr="00FC6804" w:rsidRDefault="006E45EF" w:rsidP="006E45EF">
            <w:pPr>
              <w:spacing w:before="60" w:after="60"/>
              <w:jc w:val="center"/>
              <w:rPr>
                <w:rFonts w:ascii="Arial" w:eastAsia="Times New Roman" w:hAnsi="Arial" w:cs="Arial"/>
                <w:color w:val="000000"/>
                <w:sz w:val="20"/>
                <w:szCs w:val="20"/>
                <w:lang w:eastAsia="en-AU"/>
              </w:rPr>
            </w:pPr>
            <w:r w:rsidRPr="00FC6804">
              <w:rPr>
                <w:rFonts w:ascii="Arial" w:eastAsia="Times New Roman" w:hAnsi="Arial" w:cs="Arial"/>
                <w:b/>
                <w:bCs/>
                <w:sz w:val="20"/>
                <w:szCs w:val="20"/>
                <w:lang w:eastAsia="en-AU"/>
              </w:rPr>
              <w:t>522,803</w:t>
            </w:r>
          </w:p>
        </w:tc>
      </w:tr>
    </w:tbl>
    <w:p w:rsidR="000D32E3" w:rsidRPr="00FC6804" w:rsidRDefault="000D32E3" w:rsidP="00E30FAF">
      <w:pPr>
        <w:spacing w:after="0" w:line="240" w:lineRule="auto"/>
        <w:rPr>
          <w:rFonts w:ascii="Arial" w:hAnsi="Arial" w:cs="Arial"/>
          <w:sz w:val="20"/>
          <w:szCs w:val="20"/>
        </w:rPr>
      </w:pPr>
    </w:p>
    <w:p w:rsidR="00E876B6" w:rsidRPr="00FC6804" w:rsidRDefault="004E50A1" w:rsidP="00E30FAF">
      <w:pPr>
        <w:spacing w:after="0" w:line="240" w:lineRule="auto"/>
        <w:rPr>
          <w:rFonts w:ascii="Arial" w:hAnsi="Arial" w:cs="Arial"/>
          <w:sz w:val="20"/>
          <w:szCs w:val="20"/>
        </w:rPr>
      </w:pPr>
      <w:r w:rsidRPr="00FC6804">
        <w:rPr>
          <w:rFonts w:ascii="Arial" w:hAnsi="Arial" w:cs="Arial"/>
          <w:sz w:val="20"/>
          <w:szCs w:val="20"/>
        </w:rPr>
        <w:t>In addition to raising sufficient revenue to cover the expected costs of acquitting Prime</w:t>
      </w:r>
      <w:r w:rsidR="001C6566" w:rsidRPr="00FC6804">
        <w:rPr>
          <w:rFonts w:ascii="Arial" w:hAnsi="Arial" w:cs="Arial"/>
          <w:sz w:val="20"/>
          <w:szCs w:val="20"/>
        </w:rPr>
        <w:t>S</w:t>
      </w:r>
      <w:r w:rsidRPr="00FC6804">
        <w:rPr>
          <w:rFonts w:ascii="Arial" w:hAnsi="Arial" w:cs="Arial"/>
          <w:sz w:val="20"/>
          <w:szCs w:val="20"/>
        </w:rPr>
        <w:t xml:space="preserve">afe’s broader range of functions in 2016-17 and beyond, </w:t>
      </w:r>
      <w:r w:rsidR="0058030C">
        <w:rPr>
          <w:rFonts w:ascii="Arial" w:hAnsi="Arial" w:cs="Arial"/>
          <w:sz w:val="20"/>
          <w:szCs w:val="20"/>
        </w:rPr>
        <w:t>O</w:t>
      </w:r>
      <w:r w:rsidRPr="00FC6804">
        <w:rPr>
          <w:rFonts w:ascii="Arial" w:hAnsi="Arial" w:cs="Arial"/>
          <w:sz w:val="20"/>
          <w:szCs w:val="20"/>
        </w:rPr>
        <w:t xml:space="preserve">ption </w:t>
      </w:r>
      <w:r w:rsidR="0005227D" w:rsidRPr="00FC6804">
        <w:rPr>
          <w:rFonts w:ascii="Arial" w:hAnsi="Arial" w:cs="Arial"/>
          <w:sz w:val="20"/>
          <w:szCs w:val="20"/>
        </w:rPr>
        <w:t xml:space="preserve">2 </w:t>
      </w:r>
      <w:r w:rsidRPr="00FC6804">
        <w:rPr>
          <w:rFonts w:ascii="Arial" w:hAnsi="Arial" w:cs="Arial"/>
          <w:sz w:val="20"/>
          <w:szCs w:val="20"/>
        </w:rPr>
        <w:t xml:space="preserve">would improve the degree of matching of regulatory fees and costs </w:t>
      </w:r>
      <w:r w:rsidR="0058030C">
        <w:rPr>
          <w:rFonts w:ascii="Arial" w:hAnsi="Arial" w:cs="Arial"/>
          <w:sz w:val="20"/>
          <w:szCs w:val="20"/>
        </w:rPr>
        <w:t>in relation to</w:t>
      </w:r>
      <w:r w:rsidRPr="00FC6804">
        <w:rPr>
          <w:rFonts w:ascii="Arial" w:hAnsi="Arial" w:cs="Arial"/>
          <w:sz w:val="20"/>
          <w:szCs w:val="20"/>
        </w:rPr>
        <w:t xml:space="preserve"> the current fees arrangem</w:t>
      </w:r>
      <w:r w:rsidR="001C6566" w:rsidRPr="00FC6804">
        <w:rPr>
          <w:rFonts w:ascii="Arial" w:hAnsi="Arial" w:cs="Arial"/>
          <w:sz w:val="20"/>
          <w:szCs w:val="20"/>
        </w:rPr>
        <w:t xml:space="preserve">ents. </w:t>
      </w:r>
      <w:r w:rsidRPr="00FC6804">
        <w:rPr>
          <w:rFonts w:ascii="Arial" w:hAnsi="Arial" w:cs="Arial"/>
          <w:sz w:val="20"/>
          <w:szCs w:val="20"/>
        </w:rPr>
        <w:t xml:space="preserve">In particular, </w:t>
      </w:r>
      <w:r w:rsidR="00DD659E" w:rsidRPr="00FC6804">
        <w:rPr>
          <w:rFonts w:ascii="Arial" w:hAnsi="Arial" w:cs="Arial"/>
          <w:sz w:val="20"/>
          <w:szCs w:val="20"/>
        </w:rPr>
        <w:t xml:space="preserve">full cost recovery would be achieved in respect of meat transport vehicles – the most numerous licence category – for the first time, while </w:t>
      </w:r>
      <w:r w:rsidRPr="00FC6804">
        <w:rPr>
          <w:rFonts w:ascii="Arial" w:hAnsi="Arial" w:cs="Arial"/>
          <w:sz w:val="20"/>
          <w:szCs w:val="20"/>
        </w:rPr>
        <w:t xml:space="preserve">cost recovery levels for retail butcher shops – the </w:t>
      </w:r>
      <w:r w:rsidR="00DD659E" w:rsidRPr="00FC6804">
        <w:rPr>
          <w:rFonts w:ascii="Arial" w:hAnsi="Arial" w:cs="Arial"/>
          <w:sz w:val="20"/>
          <w:szCs w:val="20"/>
        </w:rPr>
        <w:t xml:space="preserve">second </w:t>
      </w:r>
      <w:r w:rsidRPr="00FC6804">
        <w:rPr>
          <w:rFonts w:ascii="Arial" w:hAnsi="Arial" w:cs="Arial"/>
          <w:sz w:val="20"/>
          <w:szCs w:val="20"/>
        </w:rPr>
        <w:t>most numerous licence category and one currently characterised by among the lowest levels of cost recovery at present – would rise significantly, from around 30% at p</w:t>
      </w:r>
      <w:r w:rsidR="001C6566" w:rsidRPr="00FC6804">
        <w:rPr>
          <w:rFonts w:ascii="Arial" w:hAnsi="Arial" w:cs="Arial"/>
          <w:sz w:val="20"/>
          <w:szCs w:val="20"/>
        </w:rPr>
        <w:t xml:space="preserve">resent to over 40% by 2017-18. </w:t>
      </w:r>
      <w:r w:rsidRPr="00FC6804">
        <w:rPr>
          <w:rFonts w:ascii="Arial" w:hAnsi="Arial" w:cs="Arial"/>
          <w:sz w:val="20"/>
          <w:szCs w:val="20"/>
        </w:rPr>
        <w:t>Moreover, this increase will be achieved in large part by charging significantly higher fees to retail</w:t>
      </w:r>
      <w:r w:rsidR="00632E4D" w:rsidRPr="00FC6804">
        <w:rPr>
          <w:rFonts w:ascii="Arial" w:hAnsi="Arial" w:cs="Arial"/>
          <w:sz w:val="20"/>
          <w:szCs w:val="20"/>
        </w:rPr>
        <w:t xml:space="preserve"> butcher</w:t>
      </w:r>
      <w:r w:rsidR="0058030C">
        <w:rPr>
          <w:rFonts w:ascii="Arial" w:hAnsi="Arial" w:cs="Arial"/>
          <w:sz w:val="20"/>
          <w:szCs w:val="20"/>
        </w:rPr>
        <w:t xml:space="preserve"> shops</w:t>
      </w:r>
      <w:r w:rsidR="00632E4D" w:rsidRPr="00FC6804">
        <w:rPr>
          <w:rFonts w:ascii="Arial" w:hAnsi="Arial" w:cs="Arial"/>
          <w:sz w:val="20"/>
          <w:szCs w:val="20"/>
        </w:rPr>
        <w:t xml:space="preserve"> </w:t>
      </w:r>
      <w:r w:rsidR="0058030C">
        <w:rPr>
          <w:rFonts w:ascii="Arial" w:hAnsi="Arial" w:cs="Arial"/>
          <w:sz w:val="20"/>
          <w:szCs w:val="20"/>
        </w:rPr>
        <w:t>that</w:t>
      </w:r>
      <w:r w:rsidR="00632E4D" w:rsidRPr="00FC6804">
        <w:rPr>
          <w:rFonts w:ascii="Arial" w:hAnsi="Arial" w:cs="Arial"/>
          <w:sz w:val="20"/>
          <w:szCs w:val="20"/>
        </w:rPr>
        <w:t xml:space="preserve"> manufacture small</w:t>
      </w:r>
      <w:r w:rsidRPr="00FC6804">
        <w:rPr>
          <w:rFonts w:ascii="Arial" w:hAnsi="Arial" w:cs="Arial"/>
          <w:sz w:val="20"/>
          <w:szCs w:val="20"/>
        </w:rPr>
        <w:t xml:space="preserve">goods and as a result, pose more significant </w:t>
      </w:r>
      <w:r w:rsidR="0058030C">
        <w:rPr>
          <w:rFonts w:ascii="Arial" w:hAnsi="Arial" w:cs="Arial"/>
          <w:sz w:val="20"/>
          <w:szCs w:val="20"/>
        </w:rPr>
        <w:t xml:space="preserve">food </w:t>
      </w:r>
      <w:r w:rsidRPr="00FC6804">
        <w:rPr>
          <w:rFonts w:ascii="Arial" w:hAnsi="Arial" w:cs="Arial"/>
          <w:sz w:val="20"/>
          <w:szCs w:val="20"/>
        </w:rPr>
        <w:t xml:space="preserve">safety risks.  </w:t>
      </w:r>
    </w:p>
    <w:p w:rsidR="001C6566" w:rsidRPr="00FC6804" w:rsidRDefault="001C6566" w:rsidP="00E30FAF">
      <w:pPr>
        <w:spacing w:after="0" w:line="240" w:lineRule="auto"/>
        <w:rPr>
          <w:rFonts w:ascii="Arial" w:hAnsi="Arial" w:cs="Arial"/>
          <w:sz w:val="20"/>
          <w:szCs w:val="20"/>
        </w:rPr>
      </w:pPr>
    </w:p>
    <w:p w:rsidR="008478BF" w:rsidRPr="00FC6804" w:rsidRDefault="008478BF" w:rsidP="00E30FAF">
      <w:pPr>
        <w:spacing w:after="0" w:line="240" w:lineRule="auto"/>
        <w:rPr>
          <w:rFonts w:ascii="Arial" w:hAnsi="Arial" w:cs="Arial"/>
          <w:sz w:val="20"/>
          <w:szCs w:val="20"/>
        </w:rPr>
      </w:pPr>
      <w:r w:rsidRPr="00FC6804">
        <w:rPr>
          <w:rFonts w:ascii="Arial" w:hAnsi="Arial" w:cs="Arial"/>
          <w:sz w:val="20"/>
          <w:szCs w:val="20"/>
        </w:rPr>
        <w:t>Finally</w:t>
      </w:r>
      <w:r w:rsidR="0058030C">
        <w:rPr>
          <w:rFonts w:ascii="Arial" w:hAnsi="Arial" w:cs="Arial"/>
          <w:sz w:val="20"/>
          <w:szCs w:val="20"/>
        </w:rPr>
        <w:t xml:space="preserve">, the rationalisation of output </w:t>
      </w:r>
      <w:r w:rsidRPr="00FC6804">
        <w:rPr>
          <w:rFonts w:ascii="Arial" w:hAnsi="Arial" w:cs="Arial"/>
          <w:sz w:val="20"/>
          <w:szCs w:val="20"/>
        </w:rPr>
        <w:t>based licence categories in the abattoir, poultry processing and further meat processing sectors will simplify fees administration in thes</w:t>
      </w:r>
      <w:r w:rsidR="0058030C">
        <w:rPr>
          <w:rFonts w:ascii="Arial" w:hAnsi="Arial" w:cs="Arial"/>
          <w:sz w:val="20"/>
          <w:szCs w:val="20"/>
        </w:rPr>
        <w:t xml:space="preserve">e areas and avoid potential fee </w:t>
      </w:r>
      <w:r w:rsidRPr="00FC6804">
        <w:rPr>
          <w:rFonts w:ascii="Arial" w:hAnsi="Arial" w:cs="Arial"/>
          <w:sz w:val="20"/>
          <w:szCs w:val="20"/>
        </w:rPr>
        <w:t xml:space="preserve">based disincentives to business expansion. </w:t>
      </w:r>
    </w:p>
    <w:p w:rsidR="00E876B6" w:rsidRPr="00FC6804" w:rsidRDefault="00E876B6" w:rsidP="00E30FAF">
      <w:pPr>
        <w:spacing w:after="0" w:line="240" w:lineRule="auto"/>
        <w:rPr>
          <w:rFonts w:ascii="Arial" w:hAnsi="Arial" w:cs="Arial"/>
          <w:sz w:val="20"/>
          <w:szCs w:val="20"/>
        </w:rPr>
      </w:pPr>
    </w:p>
    <w:p w:rsidR="00C925E2" w:rsidRPr="00C925E2" w:rsidRDefault="00C925E2" w:rsidP="00C925E2">
      <w:pPr>
        <w:pStyle w:val="ListParagraph"/>
        <w:keepNext/>
        <w:keepLines/>
        <w:numPr>
          <w:ilvl w:val="0"/>
          <w:numId w:val="33"/>
        </w:numPr>
        <w:spacing w:after="0" w:line="240" w:lineRule="auto"/>
        <w:contextualSpacing w:val="0"/>
        <w:outlineLvl w:val="1"/>
        <w:rPr>
          <w:rFonts w:ascii="Arial" w:eastAsiaTheme="majorEastAsia" w:hAnsi="Arial" w:cs="Arial"/>
          <w:b/>
          <w:vanish/>
          <w:color w:val="1F4E79" w:themeColor="accent1" w:themeShade="80"/>
          <w:sz w:val="20"/>
          <w:szCs w:val="20"/>
        </w:rPr>
      </w:pPr>
      <w:bookmarkStart w:id="20" w:name="_Toc443911459"/>
      <w:bookmarkStart w:id="21" w:name="_Toc443914208"/>
      <w:bookmarkStart w:id="22" w:name="_Toc443915355"/>
      <w:bookmarkEnd w:id="20"/>
      <w:bookmarkEnd w:id="21"/>
      <w:bookmarkEnd w:id="22"/>
    </w:p>
    <w:p w:rsidR="00C925E2" w:rsidRPr="00C925E2" w:rsidRDefault="00C925E2" w:rsidP="00C925E2">
      <w:pPr>
        <w:pStyle w:val="ListParagraph"/>
        <w:keepNext/>
        <w:keepLines/>
        <w:numPr>
          <w:ilvl w:val="0"/>
          <w:numId w:val="33"/>
        </w:numPr>
        <w:spacing w:after="0" w:line="240" w:lineRule="auto"/>
        <w:contextualSpacing w:val="0"/>
        <w:outlineLvl w:val="1"/>
        <w:rPr>
          <w:rFonts w:ascii="Arial" w:eastAsiaTheme="majorEastAsia" w:hAnsi="Arial" w:cs="Arial"/>
          <w:b/>
          <w:vanish/>
          <w:color w:val="1F4E79" w:themeColor="accent1" w:themeShade="80"/>
          <w:sz w:val="20"/>
          <w:szCs w:val="20"/>
        </w:rPr>
      </w:pPr>
      <w:bookmarkStart w:id="23" w:name="_Toc443911460"/>
      <w:bookmarkStart w:id="24" w:name="_Toc443914209"/>
      <w:bookmarkStart w:id="25" w:name="_Toc443915356"/>
      <w:bookmarkEnd w:id="23"/>
      <w:bookmarkEnd w:id="24"/>
      <w:bookmarkEnd w:id="25"/>
    </w:p>
    <w:p w:rsidR="00C925E2" w:rsidRPr="00C925E2" w:rsidRDefault="00C925E2" w:rsidP="00C925E2">
      <w:pPr>
        <w:pStyle w:val="ListParagraph"/>
        <w:keepNext/>
        <w:keepLines/>
        <w:numPr>
          <w:ilvl w:val="0"/>
          <w:numId w:val="33"/>
        </w:numPr>
        <w:spacing w:after="0" w:line="240" w:lineRule="auto"/>
        <w:contextualSpacing w:val="0"/>
        <w:outlineLvl w:val="1"/>
        <w:rPr>
          <w:rFonts w:ascii="Arial" w:eastAsiaTheme="majorEastAsia" w:hAnsi="Arial" w:cs="Arial"/>
          <w:b/>
          <w:vanish/>
          <w:color w:val="1F4E79" w:themeColor="accent1" w:themeShade="80"/>
          <w:sz w:val="20"/>
          <w:szCs w:val="20"/>
        </w:rPr>
      </w:pPr>
      <w:bookmarkStart w:id="26" w:name="_Toc443911461"/>
      <w:bookmarkStart w:id="27" w:name="_Toc443914210"/>
      <w:bookmarkStart w:id="28" w:name="_Toc443915357"/>
      <w:bookmarkEnd w:id="26"/>
      <w:bookmarkEnd w:id="27"/>
      <w:bookmarkEnd w:id="28"/>
    </w:p>
    <w:p w:rsidR="0093016A" w:rsidRPr="00FC6804" w:rsidRDefault="00C556B8" w:rsidP="00C925E2">
      <w:pPr>
        <w:pStyle w:val="Heading2"/>
        <w:numPr>
          <w:ilvl w:val="1"/>
          <w:numId w:val="33"/>
        </w:numPr>
        <w:ind w:left="567" w:hanging="567"/>
        <w:rPr>
          <w:rFonts w:cs="Arial"/>
          <w:b/>
          <w:szCs w:val="20"/>
        </w:rPr>
      </w:pPr>
      <w:bookmarkStart w:id="29" w:name="_Toc443915358"/>
      <w:r w:rsidRPr="00FC6804">
        <w:rPr>
          <w:rFonts w:cs="Arial"/>
          <w:b/>
          <w:szCs w:val="20"/>
        </w:rPr>
        <w:t xml:space="preserve">Expected costs of Option </w:t>
      </w:r>
      <w:r w:rsidR="006D3A19" w:rsidRPr="00FC6804">
        <w:rPr>
          <w:rFonts w:cs="Arial"/>
          <w:b/>
          <w:szCs w:val="20"/>
        </w:rPr>
        <w:t>2</w:t>
      </w:r>
      <w:bookmarkEnd w:id="29"/>
    </w:p>
    <w:p w:rsidR="004E50A1" w:rsidRPr="00FC6804" w:rsidRDefault="004E50A1" w:rsidP="00E30FAF">
      <w:pPr>
        <w:spacing w:after="0" w:line="240" w:lineRule="auto"/>
        <w:rPr>
          <w:rFonts w:ascii="Arial" w:hAnsi="Arial" w:cs="Arial"/>
          <w:sz w:val="20"/>
          <w:szCs w:val="20"/>
        </w:rPr>
      </w:pPr>
    </w:p>
    <w:p w:rsidR="008478BF" w:rsidRPr="00FC6804" w:rsidRDefault="008478BF" w:rsidP="00E30FAF">
      <w:pPr>
        <w:spacing w:after="0" w:line="240" w:lineRule="auto"/>
        <w:rPr>
          <w:rFonts w:ascii="Arial" w:hAnsi="Arial" w:cs="Arial"/>
          <w:sz w:val="20"/>
          <w:szCs w:val="20"/>
        </w:rPr>
      </w:pPr>
      <w:r w:rsidRPr="00FC6804">
        <w:rPr>
          <w:rFonts w:ascii="Arial" w:hAnsi="Arial" w:cs="Arial"/>
          <w:sz w:val="20"/>
          <w:szCs w:val="20"/>
        </w:rPr>
        <w:t xml:space="preserve">The main cost of Option </w:t>
      </w:r>
      <w:r w:rsidR="006D3A19" w:rsidRPr="00FC6804">
        <w:rPr>
          <w:rFonts w:ascii="Arial" w:hAnsi="Arial" w:cs="Arial"/>
          <w:sz w:val="20"/>
          <w:szCs w:val="20"/>
        </w:rPr>
        <w:t xml:space="preserve">2 </w:t>
      </w:r>
      <w:r w:rsidRPr="00FC6804">
        <w:rPr>
          <w:rFonts w:ascii="Arial" w:hAnsi="Arial" w:cs="Arial"/>
          <w:sz w:val="20"/>
          <w:szCs w:val="20"/>
        </w:rPr>
        <w:t xml:space="preserve">is that it would </w:t>
      </w:r>
      <w:r w:rsidR="00DD659E" w:rsidRPr="00FC6804">
        <w:rPr>
          <w:rFonts w:ascii="Arial" w:hAnsi="Arial" w:cs="Arial"/>
          <w:sz w:val="20"/>
          <w:szCs w:val="20"/>
        </w:rPr>
        <w:t>only partly address</w:t>
      </w:r>
      <w:r w:rsidRPr="00FC6804">
        <w:rPr>
          <w:rFonts w:ascii="Arial" w:hAnsi="Arial" w:cs="Arial"/>
          <w:sz w:val="20"/>
          <w:szCs w:val="20"/>
        </w:rPr>
        <w:t xml:space="preserve"> the current situation in which cost recovery levels differ substantiall</w:t>
      </w:r>
      <w:r w:rsidR="00D41723" w:rsidRPr="00FC6804">
        <w:rPr>
          <w:rFonts w:ascii="Arial" w:hAnsi="Arial" w:cs="Arial"/>
          <w:sz w:val="20"/>
          <w:szCs w:val="20"/>
        </w:rPr>
        <w:t xml:space="preserve">y for different licence types. </w:t>
      </w:r>
      <w:r w:rsidRPr="00FC6804">
        <w:rPr>
          <w:rFonts w:ascii="Arial" w:hAnsi="Arial" w:cs="Arial"/>
          <w:sz w:val="20"/>
          <w:szCs w:val="20"/>
        </w:rPr>
        <w:t xml:space="preserve">While some significant improvements will occur in the areas noted above, substantial over-recovery of costs will continue in the licence categories dominated by larger </w:t>
      </w:r>
      <w:r w:rsidR="0058030C">
        <w:rPr>
          <w:rFonts w:ascii="Arial" w:hAnsi="Arial" w:cs="Arial"/>
          <w:sz w:val="20"/>
          <w:szCs w:val="20"/>
        </w:rPr>
        <w:t>processors</w:t>
      </w:r>
      <w:r w:rsidRPr="00FC6804">
        <w:rPr>
          <w:rFonts w:ascii="Arial" w:hAnsi="Arial" w:cs="Arial"/>
          <w:sz w:val="20"/>
          <w:szCs w:val="20"/>
        </w:rPr>
        <w:t xml:space="preserve"> including abattoirs, further meat processing facilities and poultry processing facilities</w:t>
      </w:r>
      <w:r w:rsidR="00DD659E" w:rsidRPr="00FC6804">
        <w:rPr>
          <w:rFonts w:ascii="Arial" w:hAnsi="Arial" w:cs="Arial"/>
          <w:sz w:val="20"/>
          <w:szCs w:val="20"/>
        </w:rPr>
        <w:t>, while significan</w:t>
      </w:r>
      <w:r w:rsidR="0058030C">
        <w:rPr>
          <w:rFonts w:ascii="Arial" w:hAnsi="Arial" w:cs="Arial"/>
          <w:sz w:val="20"/>
          <w:szCs w:val="20"/>
        </w:rPr>
        <w:t>t under-recovery would continue</w:t>
      </w:r>
      <w:r w:rsidR="00DD659E" w:rsidRPr="00FC6804">
        <w:rPr>
          <w:rFonts w:ascii="Arial" w:hAnsi="Arial" w:cs="Arial"/>
          <w:sz w:val="20"/>
          <w:szCs w:val="20"/>
        </w:rPr>
        <w:t xml:space="preserve"> particularly in relation to retail butcher</w:t>
      </w:r>
      <w:r w:rsidR="0058030C">
        <w:rPr>
          <w:rFonts w:ascii="Arial" w:hAnsi="Arial" w:cs="Arial"/>
          <w:sz w:val="20"/>
          <w:szCs w:val="20"/>
        </w:rPr>
        <w:t xml:space="preserve"> </w:t>
      </w:r>
      <w:r w:rsidR="00DD659E" w:rsidRPr="00FC6804">
        <w:rPr>
          <w:rFonts w:ascii="Arial" w:hAnsi="Arial" w:cs="Arial"/>
          <w:sz w:val="20"/>
          <w:szCs w:val="20"/>
        </w:rPr>
        <w:t>s</w:t>
      </w:r>
      <w:r w:rsidR="0058030C">
        <w:rPr>
          <w:rFonts w:ascii="Arial" w:hAnsi="Arial" w:cs="Arial"/>
          <w:sz w:val="20"/>
          <w:szCs w:val="20"/>
        </w:rPr>
        <w:t>hops</w:t>
      </w:r>
      <w:r w:rsidR="00DD659E" w:rsidRPr="00FC6804">
        <w:rPr>
          <w:rFonts w:ascii="Arial" w:hAnsi="Arial" w:cs="Arial"/>
          <w:sz w:val="20"/>
          <w:szCs w:val="20"/>
        </w:rPr>
        <w:t xml:space="preserve"> as noted above, and meat inspectors</w:t>
      </w:r>
      <w:r w:rsidRPr="00FC6804">
        <w:rPr>
          <w:rFonts w:ascii="Arial" w:hAnsi="Arial" w:cs="Arial"/>
          <w:sz w:val="20"/>
          <w:szCs w:val="20"/>
        </w:rPr>
        <w:t xml:space="preserve">.  </w:t>
      </w:r>
    </w:p>
    <w:p w:rsidR="0058030C" w:rsidRPr="00FC6804" w:rsidRDefault="0058030C" w:rsidP="00E30FAF">
      <w:pPr>
        <w:spacing w:after="0" w:line="240" w:lineRule="auto"/>
        <w:rPr>
          <w:rFonts w:ascii="Arial" w:hAnsi="Arial" w:cs="Arial"/>
          <w:sz w:val="20"/>
          <w:szCs w:val="20"/>
        </w:rPr>
      </w:pPr>
    </w:p>
    <w:p w:rsidR="00F46109" w:rsidRDefault="008478BF" w:rsidP="00E30FAF">
      <w:pPr>
        <w:spacing w:after="0" w:line="240" w:lineRule="auto"/>
        <w:rPr>
          <w:rFonts w:ascii="Arial" w:hAnsi="Arial" w:cs="Arial"/>
          <w:sz w:val="20"/>
          <w:szCs w:val="20"/>
        </w:rPr>
      </w:pPr>
      <w:r w:rsidRPr="00FC6804">
        <w:rPr>
          <w:rFonts w:ascii="Arial" w:hAnsi="Arial" w:cs="Arial"/>
          <w:sz w:val="20"/>
          <w:szCs w:val="20"/>
        </w:rPr>
        <w:t xml:space="preserve">Moreover, the net result of the proposed changes in the structure </w:t>
      </w:r>
      <w:r w:rsidR="00A77CF5">
        <w:rPr>
          <w:rFonts w:ascii="Arial" w:hAnsi="Arial" w:cs="Arial"/>
          <w:sz w:val="20"/>
          <w:szCs w:val="20"/>
        </w:rPr>
        <w:t xml:space="preserve">of output </w:t>
      </w:r>
      <w:r w:rsidRPr="00FC6804">
        <w:rPr>
          <w:rFonts w:ascii="Arial" w:hAnsi="Arial" w:cs="Arial"/>
          <w:sz w:val="20"/>
          <w:szCs w:val="20"/>
        </w:rPr>
        <w:t>based fee categories for the</w:t>
      </w:r>
      <w:r w:rsidR="00DD659E" w:rsidRPr="00FC6804">
        <w:rPr>
          <w:rFonts w:ascii="Arial" w:hAnsi="Arial" w:cs="Arial"/>
          <w:sz w:val="20"/>
          <w:szCs w:val="20"/>
        </w:rPr>
        <w:t xml:space="preserve"> affected</w:t>
      </w:r>
      <w:r w:rsidRPr="00FC6804">
        <w:rPr>
          <w:rFonts w:ascii="Arial" w:hAnsi="Arial" w:cs="Arial"/>
          <w:sz w:val="20"/>
          <w:szCs w:val="20"/>
        </w:rPr>
        <w:t xml:space="preserve"> licence types, when combined with the propo</w:t>
      </w:r>
      <w:r w:rsidR="00A77CF5">
        <w:rPr>
          <w:rFonts w:ascii="Arial" w:hAnsi="Arial" w:cs="Arial"/>
          <w:sz w:val="20"/>
          <w:szCs w:val="20"/>
        </w:rPr>
        <w:t xml:space="preserve">sed fee changes for each output </w:t>
      </w:r>
      <w:r w:rsidRPr="00FC6804">
        <w:rPr>
          <w:rFonts w:ascii="Arial" w:hAnsi="Arial" w:cs="Arial"/>
          <w:sz w:val="20"/>
          <w:szCs w:val="20"/>
        </w:rPr>
        <w:t>based category, will be that total revenue will increase in real terms in each category, notwithstanding the current over-recovery of cost</w:t>
      </w:r>
      <w:r w:rsidR="00D41723" w:rsidRPr="00FC6804">
        <w:rPr>
          <w:rFonts w:ascii="Arial" w:hAnsi="Arial" w:cs="Arial"/>
          <w:sz w:val="20"/>
          <w:szCs w:val="20"/>
        </w:rPr>
        <w:t xml:space="preserve">s. </w:t>
      </w:r>
      <w:r w:rsidRPr="00FC6804">
        <w:rPr>
          <w:rFonts w:ascii="Arial" w:hAnsi="Arial" w:cs="Arial"/>
          <w:sz w:val="20"/>
          <w:szCs w:val="20"/>
        </w:rPr>
        <w:t>That said, the</w:t>
      </w:r>
      <w:r w:rsidR="00A77CF5">
        <w:rPr>
          <w:rFonts w:ascii="Arial" w:hAnsi="Arial" w:cs="Arial"/>
          <w:sz w:val="20"/>
          <w:szCs w:val="20"/>
        </w:rPr>
        <w:t xml:space="preserve"> increase in total revenue (and</w:t>
      </w:r>
      <w:r w:rsidRPr="00FC6804">
        <w:rPr>
          <w:rFonts w:ascii="Arial" w:hAnsi="Arial" w:cs="Arial"/>
          <w:sz w:val="20"/>
          <w:szCs w:val="20"/>
        </w:rPr>
        <w:t xml:space="preserve"> therefore in average fees paid) in each of these licence categories will, in all cases, be lower than the proposed overall revenue increase of 25%</w:t>
      </w:r>
      <w:r w:rsidR="00D165C9" w:rsidRPr="00FC6804">
        <w:rPr>
          <w:rStyle w:val="FootnoteReference"/>
          <w:rFonts w:ascii="Arial" w:hAnsi="Arial" w:cs="Arial"/>
          <w:sz w:val="20"/>
          <w:szCs w:val="20"/>
        </w:rPr>
        <w:footnoteReference w:id="27"/>
      </w:r>
      <w:r w:rsidRPr="00FC6804">
        <w:rPr>
          <w:rFonts w:ascii="Arial" w:hAnsi="Arial" w:cs="Arial"/>
          <w:sz w:val="20"/>
          <w:szCs w:val="20"/>
        </w:rPr>
        <w:t>.</w:t>
      </w:r>
      <w:r w:rsidR="00F46109" w:rsidRPr="00FC6804">
        <w:rPr>
          <w:rFonts w:ascii="Arial" w:hAnsi="Arial" w:cs="Arial"/>
          <w:sz w:val="20"/>
          <w:szCs w:val="20"/>
        </w:rPr>
        <w:t xml:space="preserve"> </w:t>
      </w:r>
    </w:p>
    <w:p w:rsidR="00836041" w:rsidRDefault="00836041" w:rsidP="00E30FAF">
      <w:pPr>
        <w:spacing w:after="0" w:line="240" w:lineRule="auto"/>
        <w:rPr>
          <w:rFonts w:ascii="Arial" w:hAnsi="Arial" w:cs="Arial"/>
          <w:sz w:val="20"/>
          <w:szCs w:val="20"/>
        </w:rPr>
      </w:pPr>
    </w:p>
    <w:p w:rsidR="00836041" w:rsidRDefault="00836041" w:rsidP="00E30FAF">
      <w:pPr>
        <w:spacing w:after="0" w:line="240" w:lineRule="auto"/>
        <w:rPr>
          <w:rFonts w:ascii="Arial" w:hAnsi="Arial" w:cs="Arial"/>
          <w:sz w:val="20"/>
          <w:szCs w:val="20"/>
        </w:rPr>
      </w:pPr>
    </w:p>
    <w:p w:rsidR="00836041" w:rsidRPr="00FC6804" w:rsidRDefault="00836041" w:rsidP="00E30FAF">
      <w:pPr>
        <w:spacing w:after="0" w:line="240" w:lineRule="auto"/>
        <w:rPr>
          <w:rFonts w:ascii="Arial" w:hAnsi="Arial" w:cs="Arial"/>
          <w:sz w:val="20"/>
          <w:szCs w:val="20"/>
        </w:rPr>
        <w:sectPr w:rsidR="00836041" w:rsidRPr="00FC6804" w:rsidSect="00EF785B">
          <w:pgSz w:w="11906" w:h="16838" w:code="9"/>
          <w:pgMar w:top="1440" w:right="1440" w:bottom="1440" w:left="1440" w:header="567" w:footer="567" w:gutter="0"/>
          <w:cols w:space="708"/>
          <w:docGrid w:linePitch="360"/>
        </w:sectPr>
      </w:pPr>
    </w:p>
    <w:p w:rsidR="00C556B8" w:rsidRPr="00FC6804" w:rsidRDefault="00C556B8" w:rsidP="0026792B">
      <w:pPr>
        <w:pStyle w:val="Heading1"/>
      </w:pPr>
      <w:bookmarkStart w:id="30" w:name="_Toc443915359"/>
      <w:r w:rsidRPr="00FC6804">
        <w:t xml:space="preserve">Option </w:t>
      </w:r>
      <w:r w:rsidR="006D3A19" w:rsidRPr="00FC6804">
        <w:t>3</w:t>
      </w:r>
      <w:r w:rsidRPr="00FC6804">
        <w:t>: Equalise cost recovery level for all licence categories</w:t>
      </w:r>
      <w:bookmarkEnd w:id="30"/>
    </w:p>
    <w:p w:rsidR="00C556B8" w:rsidRPr="00FC6804" w:rsidRDefault="00C556B8" w:rsidP="00F46109">
      <w:pPr>
        <w:spacing w:after="0" w:line="240" w:lineRule="auto"/>
        <w:rPr>
          <w:rFonts w:ascii="Arial" w:hAnsi="Arial" w:cs="Arial"/>
          <w:sz w:val="20"/>
          <w:szCs w:val="20"/>
        </w:rPr>
      </w:pPr>
    </w:p>
    <w:p w:rsidR="00C556B8" w:rsidRPr="00FC6804" w:rsidRDefault="00C556B8" w:rsidP="00F46109">
      <w:pPr>
        <w:pStyle w:val="Heading2"/>
        <w:numPr>
          <w:ilvl w:val="1"/>
          <w:numId w:val="2"/>
        </w:numPr>
        <w:rPr>
          <w:rFonts w:cs="Arial"/>
          <w:b/>
          <w:szCs w:val="20"/>
        </w:rPr>
      </w:pPr>
      <w:bookmarkStart w:id="31" w:name="_Toc443915360"/>
      <w:r w:rsidRPr="00FC6804">
        <w:rPr>
          <w:rFonts w:cs="Arial"/>
          <w:b/>
          <w:szCs w:val="20"/>
        </w:rPr>
        <w:t>Description of the option</w:t>
      </w:r>
      <w:bookmarkEnd w:id="31"/>
    </w:p>
    <w:p w:rsidR="00C556B8" w:rsidRPr="00FC6804" w:rsidRDefault="00C556B8" w:rsidP="00F46109">
      <w:pPr>
        <w:spacing w:after="0" w:line="240" w:lineRule="auto"/>
        <w:rPr>
          <w:rFonts w:ascii="Arial" w:hAnsi="Arial" w:cs="Arial"/>
          <w:sz w:val="20"/>
          <w:szCs w:val="20"/>
        </w:rPr>
      </w:pPr>
    </w:p>
    <w:p w:rsidR="00C556B8" w:rsidRPr="00FC6804" w:rsidRDefault="00C556B8" w:rsidP="00F46109">
      <w:pPr>
        <w:spacing w:after="0" w:line="240" w:lineRule="auto"/>
        <w:rPr>
          <w:rFonts w:ascii="Arial" w:hAnsi="Arial" w:cs="Arial"/>
          <w:sz w:val="20"/>
          <w:szCs w:val="20"/>
        </w:rPr>
      </w:pPr>
      <w:r w:rsidRPr="00FC6804">
        <w:rPr>
          <w:rFonts w:ascii="Arial" w:hAnsi="Arial" w:cs="Arial"/>
          <w:sz w:val="20"/>
          <w:szCs w:val="20"/>
        </w:rPr>
        <w:t xml:space="preserve">This option would involve major changes to the current fee structure that would ensure </w:t>
      </w:r>
      <w:r w:rsidR="00740FC8">
        <w:rPr>
          <w:rFonts w:ascii="Arial" w:hAnsi="Arial" w:cs="Arial"/>
          <w:sz w:val="20"/>
          <w:szCs w:val="20"/>
        </w:rPr>
        <w:t xml:space="preserve">that </w:t>
      </w:r>
      <w:r w:rsidRPr="00FC6804">
        <w:rPr>
          <w:rFonts w:ascii="Arial" w:hAnsi="Arial" w:cs="Arial"/>
          <w:sz w:val="20"/>
          <w:szCs w:val="20"/>
        </w:rPr>
        <w:t>a close match between regulatory costs and fee revenue was achieved</w:t>
      </w:r>
      <w:r w:rsidR="00740FC8">
        <w:rPr>
          <w:rFonts w:ascii="Arial" w:hAnsi="Arial" w:cs="Arial"/>
          <w:sz w:val="20"/>
          <w:szCs w:val="20"/>
        </w:rPr>
        <w:t xml:space="preserve"> for each category of licence. </w:t>
      </w:r>
      <w:r w:rsidRPr="00FC6804">
        <w:rPr>
          <w:rFonts w:ascii="Arial" w:hAnsi="Arial" w:cs="Arial"/>
          <w:sz w:val="20"/>
          <w:szCs w:val="20"/>
        </w:rPr>
        <w:t xml:space="preserve">Table </w:t>
      </w:r>
      <w:r w:rsidR="00DE5C8C" w:rsidRPr="00FC6804">
        <w:rPr>
          <w:rFonts w:ascii="Arial" w:hAnsi="Arial" w:cs="Arial"/>
          <w:sz w:val="20"/>
          <w:szCs w:val="20"/>
        </w:rPr>
        <w:t>10</w:t>
      </w:r>
      <w:r w:rsidRPr="00FC6804">
        <w:rPr>
          <w:rFonts w:ascii="Arial" w:hAnsi="Arial" w:cs="Arial"/>
          <w:sz w:val="20"/>
          <w:szCs w:val="20"/>
        </w:rPr>
        <w:t xml:space="preserve">.1 summarises, in broad terms, the fees that would be charged under Option </w:t>
      </w:r>
      <w:r w:rsidR="006D3A19" w:rsidRPr="00FC6804">
        <w:rPr>
          <w:rFonts w:ascii="Arial" w:hAnsi="Arial" w:cs="Arial"/>
          <w:sz w:val="20"/>
          <w:szCs w:val="20"/>
        </w:rPr>
        <w:t>3</w:t>
      </w:r>
      <w:r w:rsidRPr="00FC6804">
        <w:rPr>
          <w:rFonts w:ascii="Arial" w:hAnsi="Arial" w:cs="Arial"/>
          <w:sz w:val="20"/>
          <w:szCs w:val="20"/>
        </w:rPr>
        <w:t>.</w:t>
      </w:r>
    </w:p>
    <w:p w:rsidR="00C556B8" w:rsidRPr="00FC6804" w:rsidRDefault="00C556B8" w:rsidP="00F46109">
      <w:pPr>
        <w:spacing w:after="0" w:line="240" w:lineRule="auto"/>
        <w:rPr>
          <w:rFonts w:ascii="Arial" w:hAnsi="Arial" w:cs="Arial"/>
          <w:sz w:val="20"/>
          <w:szCs w:val="20"/>
        </w:rPr>
      </w:pPr>
    </w:p>
    <w:p w:rsidR="00C556B8" w:rsidRPr="00FC6804" w:rsidRDefault="00C556B8" w:rsidP="00F46109">
      <w:pPr>
        <w:spacing w:after="0" w:line="240" w:lineRule="auto"/>
        <w:rPr>
          <w:rFonts w:ascii="Arial" w:hAnsi="Arial" w:cs="Arial"/>
          <w:b/>
          <w:color w:val="1F4E79" w:themeColor="accent1" w:themeShade="80"/>
          <w:sz w:val="20"/>
          <w:szCs w:val="20"/>
        </w:rPr>
      </w:pPr>
      <w:r w:rsidRPr="00FC6804">
        <w:rPr>
          <w:rFonts w:ascii="Arial" w:hAnsi="Arial" w:cs="Arial"/>
          <w:b/>
          <w:color w:val="1F4E79" w:themeColor="accent1" w:themeShade="80"/>
          <w:sz w:val="20"/>
          <w:szCs w:val="20"/>
        </w:rPr>
        <w:t xml:space="preserve">Table </w:t>
      </w:r>
      <w:r w:rsidR="001703D1" w:rsidRPr="00FC6804">
        <w:rPr>
          <w:rFonts w:ascii="Arial" w:hAnsi="Arial" w:cs="Arial"/>
          <w:b/>
          <w:color w:val="1F4E79" w:themeColor="accent1" w:themeShade="80"/>
          <w:sz w:val="20"/>
          <w:szCs w:val="20"/>
        </w:rPr>
        <w:t>8</w:t>
      </w:r>
      <w:r w:rsidRPr="00FC6804">
        <w:rPr>
          <w:rFonts w:ascii="Arial" w:hAnsi="Arial" w:cs="Arial"/>
          <w:b/>
          <w:color w:val="1F4E79" w:themeColor="accent1" w:themeShade="80"/>
          <w:sz w:val="20"/>
          <w:szCs w:val="20"/>
        </w:rPr>
        <w:t xml:space="preserve">.1: Fees by licence type – Option </w:t>
      </w:r>
      <w:r w:rsidR="006D3A19" w:rsidRPr="00FC6804">
        <w:rPr>
          <w:rFonts w:ascii="Arial" w:hAnsi="Arial" w:cs="Arial"/>
          <w:b/>
          <w:color w:val="1F4E79" w:themeColor="accent1" w:themeShade="80"/>
          <w:sz w:val="20"/>
          <w:szCs w:val="20"/>
        </w:rPr>
        <w:t>3</w:t>
      </w:r>
    </w:p>
    <w:p w:rsidR="00730780" w:rsidRPr="00FC6804" w:rsidRDefault="00730780" w:rsidP="00F46109">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3369"/>
        <w:gridCol w:w="1957"/>
        <w:gridCol w:w="1958"/>
        <w:gridCol w:w="1958"/>
      </w:tblGrid>
      <w:tr w:rsidR="006A6788" w:rsidRPr="00FC6804" w:rsidTr="009E63BE">
        <w:tc>
          <w:tcPr>
            <w:tcW w:w="3369" w:type="dxa"/>
            <w:shd w:val="clear" w:color="auto" w:fill="F2F2F2" w:themeFill="background1" w:themeFillShade="F2"/>
          </w:tcPr>
          <w:p w:rsidR="006A6788" w:rsidRPr="00FC6804" w:rsidRDefault="006A6788" w:rsidP="006A6788">
            <w:pPr>
              <w:spacing w:before="60" w:after="60"/>
              <w:jc w:val="center"/>
              <w:rPr>
                <w:rFonts w:ascii="Arial" w:hAnsi="Arial" w:cs="Arial"/>
                <w:b/>
                <w:sz w:val="20"/>
                <w:szCs w:val="20"/>
                <w:u w:val="single"/>
              </w:rPr>
            </w:pPr>
            <w:r w:rsidRPr="00FC6804">
              <w:rPr>
                <w:rFonts w:ascii="Arial" w:eastAsia="Times New Roman" w:hAnsi="Arial" w:cs="Arial"/>
                <w:b/>
                <w:color w:val="000000"/>
                <w:sz w:val="20"/>
                <w:szCs w:val="20"/>
                <w:lang w:eastAsia="en-AU"/>
              </w:rPr>
              <w:t>Licence category</w:t>
            </w:r>
          </w:p>
        </w:tc>
        <w:tc>
          <w:tcPr>
            <w:tcW w:w="1957" w:type="dxa"/>
            <w:shd w:val="clear" w:color="auto" w:fill="F2F2F2" w:themeFill="background1" w:themeFillShade="F2"/>
          </w:tcPr>
          <w:p w:rsidR="006A6788" w:rsidRDefault="006A6788" w:rsidP="00740FC8">
            <w:pPr>
              <w:spacing w:before="60" w:after="60"/>
              <w:jc w:val="center"/>
              <w:rPr>
                <w:rFonts w:ascii="Arial" w:hAnsi="Arial" w:cs="Arial"/>
                <w:b/>
                <w:sz w:val="20"/>
                <w:szCs w:val="20"/>
              </w:rPr>
            </w:pPr>
            <w:r w:rsidRPr="00FC6804">
              <w:rPr>
                <w:rFonts w:ascii="Arial" w:hAnsi="Arial" w:cs="Arial"/>
                <w:b/>
                <w:sz w:val="20"/>
                <w:szCs w:val="20"/>
              </w:rPr>
              <w:t xml:space="preserve">Current </w:t>
            </w:r>
            <w:r w:rsidR="00740FC8">
              <w:rPr>
                <w:rFonts w:ascii="Arial" w:hAnsi="Arial" w:cs="Arial"/>
                <w:b/>
                <w:sz w:val="20"/>
                <w:szCs w:val="20"/>
              </w:rPr>
              <w:t>F</w:t>
            </w:r>
            <w:r w:rsidRPr="00FC6804">
              <w:rPr>
                <w:rFonts w:ascii="Arial" w:hAnsi="Arial" w:cs="Arial"/>
                <w:b/>
                <w:sz w:val="20"/>
                <w:szCs w:val="20"/>
              </w:rPr>
              <w:t>ee</w:t>
            </w:r>
            <w:r w:rsidRPr="00FC6804">
              <w:rPr>
                <w:rStyle w:val="FootnoteReference"/>
                <w:rFonts w:ascii="Arial" w:hAnsi="Arial" w:cs="Arial"/>
                <w:b/>
                <w:sz w:val="20"/>
                <w:szCs w:val="20"/>
              </w:rPr>
              <w:footnoteReference w:id="28"/>
            </w:r>
          </w:p>
          <w:p w:rsidR="00740FC8" w:rsidRPr="00FC6804" w:rsidRDefault="00740FC8" w:rsidP="00740FC8">
            <w:pPr>
              <w:spacing w:before="60" w:after="60"/>
              <w:jc w:val="center"/>
              <w:rPr>
                <w:rFonts w:ascii="Arial" w:hAnsi="Arial" w:cs="Arial"/>
                <w:b/>
                <w:sz w:val="20"/>
                <w:szCs w:val="20"/>
                <w:u w:val="single"/>
              </w:rPr>
            </w:pPr>
            <w:r>
              <w:rPr>
                <w:rFonts w:ascii="Arial" w:hAnsi="Arial" w:cs="Arial"/>
                <w:b/>
                <w:sz w:val="20"/>
                <w:szCs w:val="20"/>
              </w:rPr>
              <w:t>$</w:t>
            </w:r>
          </w:p>
        </w:tc>
        <w:tc>
          <w:tcPr>
            <w:tcW w:w="1958" w:type="dxa"/>
            <w:shd w:val="clear" w:color="auto" w:fill="F2F2F2" w:themeFill="background1" w:themeFillShade="F2"/>
          </w:tcPr>
          <w:p w:rsidR="006A6788" w:rsidRDefault="006A6788" w:rsidP="006A6788">
            <w:pPr>
              <w:spacing w:before="60" w:after="60"/>
              <w:jc w:val="center"/>
              <w:rPr>
                <w:rFonts w:ascii="Arial" w:hAnsi="Arial" w:cs="Arial"/>
                <w:b/>
                <w:sz w:val="20"/>
                <w:szCs w:val="20"/>
              </w:rPr>
            </w:pPr>
            <w:r w:rsidRPr="00FC6804">
              <w:rPr>
                <w:rFonts w:ascii="Arial" w:hAnsi="Arial" w:cs="Arial"/>
                <w:b/>
                <w:sz w:val="20"/>
                <w:szCs w:val="20"/>
              </w:rPr>
              <w:t>Option 3 Fee</w:t>
            </w:r>
          </w:p>
          <w:p w:rsidR="00740FC8" w:rsidRPr="00FC6804" w:rsidRDefault="00740FC8" w:rsidP="006A6788">
            <w:pPr>
              <w:spacing w:before="60" w:after="60"/>
              <w:jc w:val="center"/>
              <w:rPr>
                <w:rFonts w:ascii="Arial" w:hAnsi="Arial" w:cs="Arial"/>
                <w:b/>
                <w:sz w:val="20"/>
                <w:szCs w:val="20"/>
                <w:u w:val="single"/>
              </w:rPr>
            </w:pPr>
            <w:r>
              <w:rPr>
                <w:rFonts w:ascii="Arial" w:hAnsi="Arial" w:cs="Arial"/>
                <w:b/>
                <w:sz w:val="20"/>
                <w:szCs w:val="20"/>
              </w:rPr>
              <w:t>$</w:t>
            </w:r>
          </w:p>
        </w:tc>
        <w:tc>
          <w:tcPr>
            <w:tcW w:w="1958" w:type="dxa"/>
            <w:shd w:val="clear" w:color="auto" w:fill="F2F2F2" w:themeFill="background1" w:themeFillShade="F2"/>
          </w:tcPr>
          <w:p w:rsidR="006A6788" w:rsidRPr="00FC6804" w:rsidRDefault="006A6788" w:rsidP="006A6788">
            <w:pPr>
              <w:spacing w:before="60" w:after="60"/>
              <w:jc w:val="center"/>
              <w:rPr>
                <w:rFonts w:ascii="Arial" w:hAnsi="Arial" w:cs="Arial"/>
                <w:b/>
                <w:sz w:val="20"/>
                <w:szCs w:val="20"/>
                <w:u w:val="single"/>
              </w:rPr>
            </w:pPr>
            <w:r w:rsidRPr="00FC6804">
              <w:rPr>
                <w:rFonts w:ascii="Arial" w:hAnsi="Arial" w:cs="Arial"/>
                <w:b/>
                <w:sz w:val="20"/>
                <w:szCs w:val="20"/>
              </w:rPr>
              <w:t>Change (%)</w:t>
            </w:r>
          </w:p>
        </w:tc>
      </w:tr>
      <w:tr w:rsidR="006A6788" w:rsidRPr="00FC6804" w:rsidTr="006A6788">
        <w:tc>
          <w:tcPr>
            <w:tcW w:w="3369" w:type="dxa"/>
          </w:tcPr>
          <w:p w:rsidR="006A6788" w:rsidRPr="00FC6804" w:rsidRDefault="006A6788" w:rsidP="00DE5C8C">
            <w:pPr>
              <w:spacing w:before="60" w:after="60"/>
              <w:rPr>
                <w:rFonts w:ascii="Arial" w:hAnsi="Arial" w:cs="Arial"/>
                <w:b/>
                <w:sz w:val="20"/>
                <w:szCs w:val="20"/>
                <w:u w:val="single"/>
              </w:rPr>
            </w:pPr>
            <w:r w:rsidRPr="00FC6804">
              <w:rPr>
                <w:rFonts w:ascii="Arial" w:eastAsia="Times New Roman" w:hAnsi="Arial" w:cs="Arial"/>
                <w:color w:val="000000"/>
                <w:sz w:val="20"/>
                <w:szCs w:val="20"/>
                <w:lang w:eastAsia="en-AU"/>
              </w:rPr>
              <w:t>Abattoir (Export)</w:t>
            </w:r>
          </w:p>
        </w:tc>
        <w:tc>
          <w:tcPr>
            <w:tcW w:w="1957" w:type="dxa"/>
          </w:tcPr>
          <w:p w:rsidR="006A6788" w:rsidRPr="00FC6804" w:rsidRDefault="006A6788" w:rsidP="006A6788">
            <w:pPr>
              <w:spacing w:before="60" w:after="60"/>
              <w:jc w:val="center"/>
              <w:rPr>
                <w:rFonts w:ascii="Arial" w:hAnsi="Arial" w:cs="Arial"/>
                <w:b/>
                <w:sz w:val="20"/>
                <w:szCs w:val="20"/>
                <w:u w:val="single"/>
              </w:rPr>
            </w:pPr>
            <w:r w:rsidRPr="00FC6804">
              <w:rPr>
                <w:rFonts w:ascii="Arial" w:hAnsi="Arial" w:cs="Arial"/>
                <w:sz w:val="20"/>
                <w:szCs w:val="20"/>
              </w:rPr>
              <w:t>1,335</w:t>
            </w:r>
          </w:p>
        </w:tc>
        <w:tc>
          <w:tcPr>
            <w:tcW w:w="1958" w:type="dxa"/>
          </w:tcPr>
          <w:p w:rsidR="006A6788" w:rsidRPr="00FC6804" w:rsidRDefault="006A6788" w:rsidP="006A6788">
            <w:pPr>
              <w:spacing w:before="60" w:after="60"/>
              <w:jc w:val="center"/>
              <w:rPr>
                <w:rFonts w:ascii="Arial" w:hAnsi="Arial" w:cs="Arial"/>
                <w:b/>
                <w:sz w:val="20"/>
                <w:szCs w:val="20"/>
                <w:u w:val="single"/>
              </w:rPr>
            </w:pPr>
            <w:r w:rsidRPr="00FC6804">
              <w:rPr>
                <w:rFonts w:ascii="Arial" w:hAnsi="Arial" w:cs="Arial"/>
                <w:sz w:val="20"/>
                <w:szCs w:val="20"/>
              </w:rPr>
              <w:t>671.65</w:t>
            </w:r>
          </w:p>
        </w:tc>
        <w:tc>
          <w:tcPr>
            <w:tcW w:w="1958" w:type="dxa"/>
            <w:vAlign w:val="bottom"/>
          </w:tcPr>
          <w:p w:rsidR="006A6788" w:rsidRPr="00FC6804" w:rsidRDefault="006A6788" w:rsidP="006A6788">
            <w:pPr>
              <w:spacing w:before="60" w:after="60"/>
              <w:jc w:val="center"/>
              <w:rPr>
                <w:rFonts w:ascii="Arial" w:hAnsi="Arial" w:cs="Arial"/>
                <w:b/>
                <w:sz w:val="20"/>
                <w:szCs w:val="20"/>
                <w:u w:val="single"/>
              </w:rPr>
            </w:pPr>
            <w:r w:rsidRPr="00FC6804">
              <w:rPr>
                <w:rFonts w:ascii="Arial" w:hAnsi="Arial" w:cs="Arial"/>
                <w:color w:val="000000"/>
                <w:sz w:val="20"/>
                <w:szCs w:val="20"/>
              </w:rPr>
              <w:t>-49.7%</w:t>
            </w:r>
          </w:p>
        </w:tc>
      </w:tr>
      <w:tr w:rsidR="006A6788" w:rsidRPr="00FC6804" w:rsidTr="006A6788">
        <w:tc>
          <w:tcPr>
            <w:tcW w:w="3369" w:type="dxa"/>
          </w:tcPr>
          <w:p w:rsidR="006A6788" w:rsidRPr="00FC6804" w:rsidRDefault="006A6788" w:rsidP="00DE5C8C">
            <w:pPr>
              <w:spacing w:before="60" w:after="60"/>
              <w:rPr>
                <w:rFonts w:ascii="Arial" w:hAnsi="Arial" w:cs="Arial"/>
                <w:b/>
                <w:sz w:val="20"/>
                <w:szCs w:val="20"/>
                <w:u w:val="single"/>
              </w:rPr>
            </w:pPr>
            <w:r w:rsidRPr="00FC6804">
              <w:rPr>
                <w:rFonts w:ascii="Arial" w:eastAsia="Times New Roman" w:hAnsi="Arial" w:cs="Arial"/>
                <w:color w:val="000000"/>
                <w:sz w:val="20"/>
                <w:szCs w:val="20"/>
                <w:lang w:eastAsia="en-AU"/>
              </w:rPr>
              <w:t>Abattoir (Domestic)</w:t>
            </w:r>
          </w:p>
        </w:tc>
        <w:tc>
          <w:tcPr>
            <w:tcW w:w="1957" w:type="dxa"/>
          </w:tcPr>
          <w:p w:rsidR="006A6788" w:rsidRPr="00FC6804" w:rsidRDefault="006A6788" w:rsidP="006A6788">
            <w:pPr>
              <w:spacing w:before="60" w:after="60"/>
              <w:jc w:val="center"/>
              <w:rPr>
                <w:rFonts w:ascii="Arial" w:hAnsi="Arial" w:cs="Arial"/>
                <w:b/>
                <w:sz w:val="20"/>
                <w:szCs w:val="20"/>
                <w:u w:val="single"/>
              </w:rPr>
            </w:pPr>
            <w:r w:rsidRPr="00FC6804">
              <w:rPr>
                <w:rFonts w:ascii="Arial" w:hAnsi="Arial" w:cs="Arial"/>
                <w:sz w:val="20"/>
                <w:szCs w:val="20"/>
              </w:rPr>
              <w:t>5,728</w:t>
            </w:r>
          </w:p>
        </w:tc>
        <w:tc>
          <w:tcPr>
            <w:tcW w:w="1958" w:type="dxa"/>
          </w:tcPr>
          <w:p w:rsidR="006A6788" w:rsidRPr="00FC6804" w:rsidRDefault="006A6788" w:rsidP="006A6788">
            <w:pPr>
              <w:spacing w:before="60" w:after="60"/>
              <w:jc w:val="center"/>
              <w:rPr>
                <w:rFonts w:ascii="Arial" w:hAnsi="Arial" w:cs="Arial"/>
                <w:b/>
                <w:sz w:val="20"/>
                <w:szCs w:val="20"/>
                <w:u w:val="single"/>
              </w:rPr>
            </w:pPr>
            <w:r w:rsidRPr="00FC6804">
              <w:rPr>
                <w:rFonts w:ascii="Arial" w:hAnsi="Arial" w:cs="Arial"/>
                <w:sz w:val="20"/>
                <w:szCs w:val="20"/>
              </w:rPr>
              <w:t>3,694.22</w:t>
            </w:r>
          </w:p>
        </w:tc>
        <w:tc>
          <w:tcPr>
            <w:tcW w:w="1958" w:type="dxa"/>
            <w:vAlign w:val="bottom"/>
          </w:tcPr>
          <w:p w:rsidR="006A6788" w:rsidRPr="00FC6804" w:rsidRDefault="006A6788" w:rsidP="006A6788">
            <w:pPr>
              <w:spacing w:before="60" w:after="60"/>
              <w:jc w:val="center"/>
              <w:rPr>
                <w:rFonts w:ascii="Arial" w:hAnsi="Arial" w:cs="Arial"/>
                <w:b/>
                <w:sz w:val="20"/>
                <w:szCs w:val="20"/>
                <w:u w:val="single"/>
              </w:rPr>
            </w:pPr>
            <w:r w:rsidRPr="00FC6804">
              <w:rPr>
                <w:rFonts w:ascii="Arial" w:hAnsi="Arial" w:cs="Arial"/>
                <w:color w:val="000000"/>
                <w:sz w:val="20"/>
                <w:szCs w:val="20"/>
              </w:rPr>
              <w:t>-35.5%</w:t>
            </w:r>
          </w:p>
        </w:tc>
      </w:tr>
      <w:tr w:rsidR="006A6788" w:rsidRPr="00FC6804" w:rsidTr="006A6788">
        <w:tc>
          <w:tcPr>
            <w:tcW w:w="3369" w:type="dxa"/>
          </w:tcPr>
          <w:p w:rsidR="006A6788" w:rsidRPr="00FC6804" w:rsidRDefault="006A6788" w:rsidP="00DE5C8C">
            <w:pPr>
              <w:spacing w:before="60" w:after="60"/>
              <w:rPr>
                <w:rFonts w:ascii="Arial" w:hAnsi="Arial" w:cs="Arial"/>
                <w:b/>
                <w:sz w:val="20"/>
                <w:szCs w:val="20"/>
                <w:u w:val="single"/>
              </w:rPr>
            </w:pPr>
            <w:r w:rsidRPr="00FC6804">
              <w:rPr>
                <w:rFonts w:ascii="Arial" w:eastAsia="Times New Roman" w:hAnsi="Arial" w:cs="Arial"/>
                <w:color w:val="000000"/>
                <w:sz w:val="20"/>
                <w:szCs w:val="20"/>
                <w:lang w:eastAsia="en-AU"/>
              </w:rPr>
              <w:t>Poultry Processing</w:t>
            </w:r>
          </w:p>
        </w:tc>
        <w:tc>
          <w:tcPr>
            <w:tcW w:w="1957" w:type="dxa"/>
          </w:tcPr>
          <w:p w:rsidR="006A6788" w:rsidRPr="00FC6804" w:rsidRDefault="006A6788" w:rsidP="006A6788">
            <w:pPr>
              <w:spacing w:before="60" w:after="60"/>
              <w:jc w:val="center"/>
              <w:rPr>
                <w:rFonts w:ascii="Arial" w:hAnsi="Arial" w:cs="Arial"/>
                <w:b/>
                <w:sz w:val="20"/>
                <w:szCs w:val="20"/>
                <w:u w:val="single"/>
              </w:rPr>
            </w:pPr>
            <w:r w:rsidRPr="00FC6804">
              <w:rPr>
                <w:rFonts w:ascii="Arial" w:hAnsi="Arial" w:cs="Arial"/>
                <w:sz w:val="20"/>
                <w:szCs w:val="20"/>
              </w:rPr>
              <w:t>4,104</w:t>
            </w:r>
          </w:p>
        </w:tc>
        <w:tc>
          <w:tcPr>
            <w:tcW w:w="1958" w:type="dxa"/>
          </w:tcPr>
          <w:p w:rsidR="006A6788" w:rsidRPr="00FC6804" w:rsidRDefault="006A6788" w:rsidP="006A6788">
            <w:pPr>
              <w:spacing w:before="60" w:after="60"/>
              <w:jc w:val="center"/>
              <w:rPr>
                <w:rFonts w:ascii="Arial" w:hAnsi="Arial" w:cs="Arial"/>
                <w:b/>
                <w:sz w:val="20"/>
                <w:szCs w:val="20"/>
                <w:u w:val="single"/>
              </w:rPr>
            </w:pPr>
            <w:r w:rsidRPr="00FC6804">
              <w:rPr>
                <w:rFonts w:ascii="Arial" w:hAnsi="Arial" w:cs="Arial"/>
                <w:sz w:val="20"/>
                <w:szCs w:val="20"/>
              </w:rPr>
              <w:t>2,928.87</w:t>
            </w:r>
          </w:p>
        </w:tc>
        <w:tc>
          <w:tcPr>
            <w:tcW w:w="1958" w:type="dxa"/>
            <w:vAlign w:val="bottom"/>
          </w:tcPr>
          <w:p w:rsidR="006A6788" w:rsidRPr="00FC6804" w:rsidRDefault="006A6788" w:rsidP="006A6788">
            <w:pPr>
              <w:spacing w:before="60" w:after="60"/>
              <w:jc w:val="center"/>
              <w:rPr>
                <w:rFonts w:ascii="Arial" w:hAnsi="Arial" w:cs="Arial"/>
                <w:b/>
                <w:sz w:val="20"/>
                <w:szCs w:val="20"/>
                <w:u w:val="single"/>
              </w:rPr>
            </w:pPr>
            <w:r w:rsidRPr="00FC6804">
              <w:rPr>
                <w:rFonts w:ascii="Arial" w:hAnsi="Arial" w:cs="Arial"/>
                <w:color w:val="000000"/>
                <w:sz w:val="20"/>
                <w:szCs w:val="20"/>
              </w:rPr>
              <w:t>-28.6%</w:t>
            </w:r>
          </w:p>
        </w:tc>
      </w:tr>
      <w:tr w:rsidR="006A6788" w:rsidRPr="00FC6804" w:rsidTr="006A6788">
        <w:tc>
          <w:tcPr>
            <w:tcW w:w="3369" w:type="dxa"/>
          </w:tcPr>
          <w:p w:rsidR="006A6788" w:rsidRPr="00FC6804" w:rsidRDefault="006A6788" w:rsidP="00DE5C8C">
            <w:pPr>
              <w:spacing w:before="60" w:after="60"/>
              <w:rPr>
                <w:rFonts w:ascii="Arial" w:hAnsi="Arial" w:cs="Arial"/>
                <w:b/>
                <w:sz w:val="20"/>
                <w:szCs w:val="20"/>
                <w:u w:val="single"/>
              </w:rPr>
            </w:pPr>
            <w:r w:rsidRPr="00FC6804">
              <w:rPr>
                <w:rFonts w:ascii="Arial" w:eastAsia="Times New Roman" w:hAnsi="Arial" w:cs="Arial"/>
                <w:color w:val="000000"/>
                <w:sz w:val="20"/>
                <w:szCs w:val="20"/>
                <w:lang w:eastAsia="en-AU"/>
              </w:rPr>
              <w:t>Further Meat Processing</w:t>
            </w:r>
          </w:p>
        </w:tc>
        <w:tc>
          <w:tcPr>
            <w:tcW w:w="1957" w:type="dxa"/>
          </w:tcPr>
          <w:p w:rsidR="006A6788" w:rsidRPr="00FC6804" w:rsidRDefault="006A6788" w:rsidP="006A6788">
            <w:pPr>
              <w:spacing w:before="60" w:after="60"/>
              <w:jc w:val="center"/>
              <w:rPr>
                <w:rFonts w:ascii="Arial" w:hAnsi="Arial" w:cs="Arial"/>
                <w:b/>
                <w:sz w:val="20"/>
                <w:szCs w:val="20"/>
                <w:u w:val="single"/>
              </w:rPr>
            </w:pPr>
            <w:r w:rsidRPr="00FC6804">
              <w:rPr>
                <w:rFonts w:ascii="Arial" w:hAnsi="Arial" w:cs="Arial"/>
                <w:sz w:val="20"/>
                <w:szCs w:val="20"/>
              </w:rPr>
              <w:t>911</w:t>
            </w:r>
          </w:p>
        </w:tc>
        <w:tc>
          <w:tcPr>
            <w:tcW w:w="1958" w:type="dxa"/>
          </w:tcPr>
          <w:p w:rsidR="006A6788" w:rsidRPr="00FC6804" w:rsidRDefault="006A6788" w:rsidP="006A6788">
            <w:pPr>
              <w:spacing w:before="60" w:after="60"/>
              <w:jc w:val="center"/>
              <w:rPr>
                <w:rFonts w:ascii="Arial" w:hAnsi="Arial" w:cs="Arial"/>
                <w:b/>
                <w:sz w:val="20"/>
                <w:szCs w:val="20"/>
                <w:u w:val="single"/>
              </w:rPr>
            </w:pPr>
            <w:r w:rsidRPr="00FC6804">
              <w:rPr>
                <w:rFonts w:ascii="Arial" w:hAnsi="Arial" w:cs="Arial"/>
                <w:sz w:val="20"/>
                <w:szCs w:val="20"/>
              </w:rPr>
              <w:t>564.51</w:t>
            </w:r>
          </w:p>
        </w:tc>
        <w:tc>
          <w:tcPr>
            <w:tcW w:w="1958" w:type="dxa"/>
            <w:vAlign w:val="bottom"/>
          </w:tcPr>
          <w:p w:rsidR="006A6788" w:rsidRPr="00FC6804" w:rsidRDefault="006A6788" w:rsidP="006A6788">
            <w:pPr>
              <w:spacing w:before="60" w:after="60"/>
              <w:jc w:val="center"/>
              <w:rPr>
                <w:rFonts w:ascii="Arial" w:hAnsi="Arial" w:cs="Arial"/>
                <w:b/>
                <w:sz w:val="20"/>
                <w:szCs w:val="20"/>
                <w:u w:val="single"/>
              </w:rPr>
            </w:pPr>
            <w:r w:rsidRPr="00FC6804">
              <w:rPr>
                <w:rFonts w:ascii="Arial" w:hAnsi="Arial" w:cs="Arial"/>
                <w:color w:val="000000"/>
                <w:sz w:val="20"/>
                <w:szCs w:val="20"/>
              </w:rPr>
              <w:t>-38.0%</w:t>
            </w:r>
          </w:p>
        </w:tc>
      </w:tr>
      <w:tr w:rsidR="006A6788" w:rsidRPr="00FC6804" w:rsidTr="006A6788">
        <w:tc>
          <w:tcPr>
            <w:tcW w:w="3369" w:type="dxa"/>
          </w:tcPr>
          <w:p w:rsidR="006A6788" w:rsidRPr="00FC6804" w:rsidRDefault="006A6788" w:rsidP="00DE5C8C">
            <w:pPr>
              <w:spacing w:before="60" w:after="60"/>
              <w:rPr>
                <w:rFonts w:ascii="Arial" w:eastAsia="Times New Roman" w:hAnsi="Arial" w:cs="Arial"/>
                <w:color w:val="000000"/>
                <w:sz w:val="20"/>
                <w:szCs w:val="20"/>
                <w:lang w:eastAsia="en-AU"/>
              </w:rPr>
            </w:pPr>
            <w:r w:rsidRPr="00FC6804">
              <w:rPr>
                <w:rFonts w:ascii="Arial" w:eastAsia="Times New Roman" w:hAnsi="Arial" w:cs="Arial"/>
                <w:color w:val="000000"/>
                <w:sz w:val="20"/>
                <w:szCs w:val="20"/>
                <w:lang w:eastAsia="en-AU"/>
              </w:rPr>
              <w:t>Retail Butcher Shop</w:t>
            </w:r>
          </w:p>
        </w:tc>
        <w:tc>
          <w:tcPr>
            <w:tcW w:w="1957" w:type="dxa"/>
          </w:tcPr>
          <w:p w:rsidR="006A6788" w:rsidRPr="00FC6804" w:rsidRDefault="006A6788" w:rsidP="006A6788">
            <w:pPr>
              <w:spacing w:before="60" w:after="60"/>
              <w:jc w:val="center"/>
              <w:rPr>
                <w:rFonts w:ascii="Arial" w:hAnsi="Arial" w:cs="Arial"/>
                <w:sz w:val="20"/>
                <w:szCs w:val="20"/>
              </w:rPr>
            </w:pPr>
            <w:r w:rsidRPr="00FC6804">
              <w:rPr>
                <w:rFonts w:ascii="Arial" w:hAnsi="Arial" w:cs="Arial"/>
                <w:sz w:val="20"/>
                <w:szCs w:val="20"/>
              </w:rPr>
              <w:t>266</w:t>
            </w:r>
          </w:p>
        </w:tc>
        <w:tc>
          <w:tcPr>
            <w:tcW w:w="1958" w:type="dxa"/>
          </w:tcPr>
          <w:p w:rsidR="006A6788" w:rsidRPr="00FC6804" w:rsidRDefault="006A6788" w:rsidP="006A6788">
            <w:pPr>
              <w:spacing w:before="60" w:after="60"/>
              <w:jc w:val="center"/>
              <w:rPr>
                <w:rFonts w:ascii="Arial" w:hAnsi="Arial" w:cs="Arial"/>
                <w:sz w:val="20"/>
                <w:szCs w:val="20"/>
              </w:rPr>
            </w:pPr>
            <w:r w:rsidRPr="00FC6804">
              <w:rPr>
                <w:rFonts w:ascii="Arial" w:hAnsi="Arial" w:cs="Arial"/>
                <w:sz w:val="20"/>
                <w:szCs w:val="20"/>
              </w:rPr>
              <w:t>1,005.76</w:t>
            </w:r>
          </w:p>
        </w:tc>
        <w:tc>
          <w:tcPr>
            <w:tcW w:w="1958" w:type="dxa"/>
            <w:vAlign w:val="bottom"/>
          </w:tcPr>
          <w:p w:rsidR="006A6788" w:rsidRPr="00FC6804" w:rsidRDefault="006A6788" w:rsidP="006A6788">
            <w:pPr>
              <w:spacing w:before="60" w:after="60"/>
              <w:jc w:val="center"/>
              <w:rPr>
                <w:rFonts w:ascii="Arial" w:hAnsi="Arial" w:cs="Arial"/>
                <w:color w:val="000000"/>
                <w:sz w:val="20"/>
                <w:szCs w:val="20"/>
              </w:rPr>
            </w:pPr>
            <w:r w:rsidRPr="00FC6804">
              <w:rPr>
                <w:rFonts w:ascii="Arial" w:hAnsi="Arial" w:cs="Arial"/>
                <w:color w:val="000000"/>
                <w:sz w:val="20"/>
                <w:szCs w:val="20"/>
              </w:rPr>
              <w:t>278.1%</w:t>
            </w:r>
          </w:p>
        </w:tc>
      </w:tr>
      <w:tr w:rsidR="006A6788" w:rsidRPr="00FC6804" w:rsidTr="006A6788">
        <w:tc>
          <w:tcPr>
            <w:tcW w:w="3369" w:type="dxa"/>
          </w:tcPr>
          <w:p w:rsidR="006A6788" w:rsidRPr="00FC6804" w:rsidRDefault="006A6788" w:rsidP="00DE5C8C">
            <w:pPr>
              <w:spacing w:before="60" w:after="60"/>
              <w:rPr>
                <w:rFonts w:ascii="Arial" w:eastAsia="Times New Roman" w:hAnsi="Arial" w:cs="Arial"/>
                <w:color w:val="000000"/>
                <w:sz w:val="20"/>
                <w:szCs w:val="20"/>
                <w:lang w:eastAsia="en-AU"/>
              </w:rPr>
            </w:pPr>
            <w:r w:rsidRPr="00FC6804">
              <w:rPr>
                <w:rFonts w:ascii="Arial" w:eastAsia="Times New Roman" w:hAnsi="Arial" w:cs="Arial"/>
                <w:color w:val="000000"/>
                <w:sz w:val="20"/>
                <w:szCs w:val="20"/>
                <w:lang w:eastAsia="en-AU"/>
              </w:rPr>
              <w:t>Prime Tallow</w:t>
            </w:r>
          </w:p>
        </w:tc>
        <w:tc>
          <w:tcPr>
            <w:tcW w:w="1957" w:type="dxa"/>
          </w:tcPr>
          <w:p w:rsidR="006A6788" w:rsidRPr="00FC6804" w:rsidRDefault="006A6788" w:rsidP="006A6788">
            <w:pPr>
              <w:spacing w:before="60" w:after="60"/>
              <w:jc w:val="center"/>
              <w:rPr>
                <w:rFonts w:ascii="Arial" w:hAnsi="Arial" w:cs="Arial"/>
                <w:sz w:val="20"/>
                <w:szCs w:val="20"/>
              </w:rPr>
            </w:pPr>
            <w:r w:rsidRPr="00FC6804">
              <w:rPr>
                <w:rFonts w:ascii="Arial" w:hAnsi="Arial" w:cs="Arial"/>
                <w:bCs/>
                <w:sz w:val="20"/>
                <w:szCs w:val="20"/>
              </w:rPr>
              <w:t>3,053</w:t>
            </w:r>
          </w:p>
        </w:tc>
        <w:tc>
          <w:tcPr>
            <w:tcW w:w="1958" w:type="dxa"/>
          </w:tcPr>
          <w:p w:rsidR="006A6788" w:rsidRPr="00FC6804" w:rsidRDefault="006A6788" w:rsidP="006A6788">
            <w:pPr>
              <w:spacing w:before="60" w:after="60"/>
              <w:jc w:val="center"/>
              <w:rPr>
                <w:rFonts w:ascii="Arial" w:hAnsi="Arial" w:cs="Arial"/>
                <w:sz w:val="20"/>
                <w:szCs w:val="20"/>
              </w:rPr>
            </w:pPr>
            <w:r w:rsidRPr="00FC6804">
              <w:rPr>
                <w:rFonts w:ascii="Arial" w:hAnsi="Arial" w:cs="Arial"/>
                <w:sz w:val="20"/>
                <w:szCs w:val="20"/>
              </w:rPr>
              <w:t>222.55</w:t>
            </w:r>
          </w:p>
        </w:tc>
        <w:tc>
          <w:tcPr>
            <w:tcW w:w="1958" w:type="dxa"/>
            <w:vAlign w:val="bottom"/>
          </w:tcPr>
          <w:p w:rsidR="006A6788" w:rsidRPr="00FC6804" w:rsidRDefault="006A6788" w:rsidP="006A6788">
            <w:pPr>
              <w:spacing w:before="60" w:after="60"/>
              <w:jc w:val="center"/>
              <w:rPr>
                <w:rFonts w:ascii="Arial" w:hAnsi="Arial" w:cs="Arial"/>
                <w:color w:val="000000"/>
                <w:sz w:val="20"/>
                <w:szCs w:val="20"/>
              </w:rPr>
            </w:pPr>
            <w:r w:rsidRPr="00FC6804">
              <w:rPr>
                <w:rFonts w:ascii="Arial" w:hAnsi="Arial" w:cs="Arial"/>
                <w:color w:val="000000"/>
                <w:sz w:val="20"/>
                <w:szCs w:val="20"/>
              </w:rPr>
              <w:t>-92.7%</w:t>
            </w:r>
          </w:p>
        </w:tc>
      </w:tr>
      <w:tr w:rsidR="006A6788" w:rsidRPr="00FC6804" w:rsidTr="006A6788">
        <w:tc>
          <w:tcPr>
            <w:tcW w:w="3369" w:type="dxa"/>
          </w:tcPr>
          <w:p w:rsidR="006A6788" w:rsidRPr="00FC6804" w:rsidRDefault="006A6788" w:rsidP="00DE5C8C">
            <w:pPr>
              <w:spacing w:before="60" w:after="60"/>
              <w:rPr>
                <w:rFonts w:ascii="Arial" w:eastAsia="Times New Roman" w:hAnsi="Arial" w:cs="Arial"/>
                <w:color w:val="000000"/>
                <w:sz w:val="20"/>
                <w:szCs w:val="20"/>
                <w:lang w:eastAsia="en-AU"/>
              </w:rPr>
            </w:pPr>
            <w:r w:rsidRPr="00FC6804">
              <w:rPr>
                <w:rFonts w:ascii="Arial" w:eastAsia="Times New Roman" w:hAnsi="Arial" w:cs="Arial"/>
                <w:color w:val="000000"/>
                <w:sz w:val="20"/>
                <w:szCs w:val="20"/>
                <w:lang w:eastAsia="en-AU"/>
              </w:rPr>
              <w:t>Game Meat</w:t>
            </w:r>
          </w:p>
        </w:tc>
        <w:tc>
          <w:tcPr>
            <w:tcW w:w="1957" w:type="dxa"/>
          </w:tcPr>
          <w:p w:rsidR="006A6788" w:rsidRPr="00FC6804" w:rsidRDefault="006A6788" w:rsidP="006A6788">
            <w:pPr>
              <w:spacing w:before="60" w:after="60"/>
              <w:jc w:val="center"/>
              <w:rPr>
                <w:rFonts w:ascii="Arial" w:hAnsi="Arial" w:cs="Arial"/>
                <w:bCs/>
                <w:sz w:val="20"/>
                <w:szCs w:val="20"/>
              </w:rPr>
            </w:pPr>
            <w:r w:rsidRPr="00FC6804">
              <w:rPr>
                <w:rFonts w:ascii="Arial" w:hAnsi="Arial" w:cs="Arial"/>
                <w:bCs/>
                <w:sz w:val="20"/>
                <w:szCs w:val="20"/>
              </w:rPr>
              <w:t>821</w:t>
            </w:r>
          </w:p>
        </w:tc>
        <w:tc>
          <w:tcPr>
            <w:tcW w:w="1958" w:type="dxa"/>
          </w:tcPr>
          <w:p w:rsidR="006A6788" w:rsidRPr="00FC6804" w:rsidRDefault="006A6788" w:rsidP="006A6788">
            <w:pPr>
              <w:spacing w:before="60" w:after="60"/>
              <w:jc w:val="center"/>
              <w:rPr>
                <w:rFonts w:ascii="Arial" w:hAnsi="Arial" w:cs="Arial"/>
                <w:sz w:val="20"/>
                <w:szCs w:val="20"/>
              </w:rPr>
            </w:pPr>
            <w:r w:rsidRPr="00FC6804">
              <w:rPr>
                <w:rFonts w:ascii="Arial" w:hAnsi="Arial" w:cs="Arial"/>
                <w:sz w:val="20"/>
                <w:szCs w:val="20"/>
              </w:rPr>
              <w:t>157.17</w:t>
            </w:r>
          </w:p>
        </w:tc>
        <w:tc>
          <w:tcPr>
            <w:tcW w:w="1958" w:type="dxa"/>
            <w:vAlign w:val="bottom"/>
          </w:tcPr>
          <w:p w:rsidR="006A6788" w:rsidRPr="00FC6804" w:rsidRDefault="006A6788" w:rsidP="006A6788">
            <w:pPr>
              <w:spacing w:before="60" w:after="60"/>
              <w:jc w:val="center"/>
              <w:rPr>
                <w:rFonts w:ascii="Arial" w:hAnsi="Arial" w:cs="Arial"/>
                <w:color w:val="000000"/>
                <w:sz w:val="20"/>
                <w:szCs w:val="20"/>
              </w:rPr>
            </w:pPr>
            <w:r w:rsidRPr="00FC6804">
              <w:rPr>
                <w:rFonts w:ascii="Arial" w:hAnsi="Arial" w:cs="Arial"/>
                <w:color w:val="000000"/>
                <w:sz w:val="20"/>
                <w:szCs w:val="20"/>
              </w:rPr>
              <w:t>-80.9%</w:t>
            </w:r>
          </w:p>
        </w:tc>
      </w:tr>
      <w:tr w:rsidR="006A6788" w:rsidRPr="00FC6804" w:rsidTr="006A6788">
        <w:tc>
          <w:tcPr>
            <w:tcW w:w="3369" w:type="dxa"/>
          </w:tcPr>
          <w:p w:rsidR="006A6788" w:rsidRPr="00FC6804" w:rsidRDefault="006A6788" w:rsidP="00DE5C8C">
            <w:pPr>
              <w:spacing w:before="60" w:after="60"/>
              <w:rPr>
                <w:rFonts w:ascii="Arial" w:eastAsia="Times New Roman" w:hAnsi="Arial" w:cs="Arial"/>
                <w:color w:val="000000"/>
                <w:sz w:val="20"/>
                <w:szCs w:val="20"/>
                <w:lang w:eastAsia="en-AU"/>
              </w:rPr>
            </w:pPr>
            <w:r w:rsidRPr="00FC6804">
              <w:rPr>
                <w:rFonts w:ascii="Arial" w:eastAsia="Times New Roman" w:hAnsi="Arial" w:cs="Arial"/>
                <w:color w:val="000000"/>
                <w:sz w:val="20"/>
                <w:szCs w:val="20"/>
                <w:lang w:eastAsia="en-AU"/>
              </w:rPr>
              <w:t>Inedible Rendering</w:t>
            </w:r>
          </w:p>
        </w:tc>
        <w:tc>
          <w:tcPr>
            <w:tcW w:w="1957" w:type="dxa"/>
          </w:tcPr>
          <w:p w:rsidR="006A6788" w:rsidRPr="00FC6804" w:rsidRDefault="006A6788" w:rsidP="006A6788">
            <w:pPr>
              <w:spacing w:before="60" w:after="60"/>
              <w:jc w:val="center"/>
              <w:rPr>
                <w:rFonts w:ascii="Arial" w:hAnsi="Arial" w:cs="Arial"/>
                <w:bCs/>
                <w:sz w:val="20"/>
                <w:szCs w:val="20"/>
              </w:rPr>
            </w:pPr>
            <w:r w:rsidRPr="00FC6804">
              <w:rPr>
                <w:rFonts w:ascii="Arial" w:hAnsi="Arial" w:cs="Arial"/>
                <w:sz w:val="20"/>
                <w:szCs w:val="20"/>
              </w:rPr>
              <w:t>2,287</w:t>
            </w:r>
          </w:p>
        </w:tc>
        <w:tc>
          <w:tcPr>
            <w:tcW w:w="1958" w:type="dxa"/>
          </w:tcPr>
          <w:p w:rsidR="006A6788" w:rsidRPr="00FC6804" w:rsidRDefault="006A6788" w:rsidP="006A6788">
            <w:pPr>
              <w:spacing w:before="60" w:after="60"/>
              <w:jc w:val="center"/>
              <w:rPr>
                <w:rFonts w:ascii="Arial" w:hAnsi="Arial" w:cs="Arial"/>
                <w:sz w:val="20"/>
                <w:szCs w:val="20"/>
              </w:rPr>
            </w:pPr>
            <w:r w:rsidRPr="00FC6804">
              <w:rPr>
                <w:rFonts w:ascii="Arial" w:hAnsi="Arial" w:cs="Arial"/>
                <w:sz w:val="20"/>
                <w:szCs w:val="20"/>
              </w:rPr>
              <w:t>222.55</w:t>
            </w:r>
          </w:p>
        </w:tc>
        <w:tc>
          <w:tcPr>
            <w:tcW w:w="1958" w:type="dxa"/>
            <w:vAlign w:val="bottom"/>
          </w:tcPr>
          <w:p w:rsidR="006A6788" w:rsidRPr="00FC6804" w:rsidRDefault="006A6788" w:rsidP="006A6788">
            <w:pPr>
              <w:spacing w:before="60" w:after="60"/>
              <w:jc w:val="center"/>
              <w:rPr>
                <w:rFonts w:ascii="Arial" w:hAnsi="Arial" w:cs="Arial"/>
                <w:color w:val="000000"/>
                <w:sz w:val="20"/>
                <w:szCs w:val="20"/>
              </w:rPr>
            </w:pPr>
            <w:r w:rsidRPr="00FC6804">
              <w:rPr>
                <w:rFonts w:ascii="Arial" w:hAnsi="Arial" w:cs="Arial"/>
                <w:color w:val="000000"/>
                <w:sz w:val="20"/>
                <w:szCs w:val="20"/>
              </w:rPr>
              <w:t>-90.3%</w:t>
            </w:r>
          </w:p>
        </w:tc>
      </w:tr>
      <w:tr w:rsidR="006A6788" w:rsidRPr="00FC6804" w:rsidTr="006A6788">
        <w:tc>
          <w:tcPr>
            <w:tcW w:w="3369" w:type="dxa"/>
          </w:tcPr>
          <w:p w:rsidR="006A6788" w:rsidRPr="00FC6804" w:rsidRDefault="006A6788" w:rsidP="00DE5C8C">
            <w:pPr>
              <w:spacing w:before="60" w:after="60"/>
              <w:rPr>
                <w:rFonts w:ascii="Arial" w:eastAsia="Times New Roman" w:hAnsi="Arial" w:cs="Arial"/>
                <w:color w:val="000000"/>
                <w:sz w:val="20"/>
                <w:szCs w:val="20"/>
                <w:lang w:eastAsia="en-AU"/>
              </w:rPr>
            </w:pPr>
            <w:r w:rsidRPr="00FC6804">
              <w:rPr>
                <w:rFonts w:ascii="Arial" w:eastAsia="Times New Roman" w:hAnsi="Arial" w:cs="Arial"/>
                <w:color w:val="000000"/>
                <w:sz w:val="20"/>
                <w:szCs w:val="20"/>
                <w:lang w:eastAsia="en-AU"/>
              </w:rPr>
              <w:t>Pet Meat Processing</w:t>
            </w:r>
          </w:p>
        </w:tc>
        <w:tc>
          <w:tcPr>
            <w:tcW w:w="1957" w:type="dxa"/>
          </w:tcPr>
          <w:p w:rsidR="006A6788" w:rsidRPr="00FC6804" w:rsidRDefault="006A6788" w:rsidP="006A6788">
            <w:pPr>
              <w:spacing w:before="60" w:after="60"/>
              <w:jc w:val="center"/>
              <w:rPr>
                <w:rFonts w:ascii="Arial" w:hAnsi="Arial" w:cs="Arial"/>
                <w:sz w:val="20"/>
                <w:szCs w:val="20"/>
              </w:rPr>
            </w:pPr>
            <w:r w:rsidRPr="00FC6804">
              <w:rPr>
                <w:rFonts w:ascii="Arial" w:hAnsi="Arial" w:cs="Arial"/>
                <w:sz w:val="20"/>
                <w:szCs w:val="20"/>
              </w:rPr>
              <w:t>2,175</w:t>
            </w:r>
          </w:p>
        </w:tc>
        <w:tc>
          <w:tcPr>
            <w:tcW w:w="1958" w:type="dxa"/>
          </w:tcPr>
          <w:p w:rsidR="006A6788" w:rsidRPr="00FC6804" w:rsidRDefault="006A6788" w:rsidP="006A6788">
            <w:pPr>
              <w:spacing w:before="60" w:after="60"/>
              <w:jc w:val="center"/>
              <w:rPr>
                <w:rFonts w:ascii="Arial" w:hAnsi="Arial" w:cs="Arial"/>
                <w:sz w:val="20"/>
                <w:szCs w:val="20"/>
              </w:rPr>
            </w:pPr>
            <w:r w:rsidRPr="00FC6804">
              <w:rPr>
                <w:rFonts w:ascii="Arial" w:hAnsi="Arial" w:cs="Arial"/>
                <w:sz w:val="20"/>
                <w:szCs w:val="20"/>
              </w:rPr>
              <w:t>2,707.23</w:t>
            </w:r>
          </w:p>
        </w:tc>
        <w:tc>
          <w:tcPr>
            <w:tcW w:w="1958" w:type="dxa"/>
            <w:vAlign w:val="bottom"/>
          </w:tcPr>
          <w:p w:rsidR="006A6788" w:rsidRPr="00FC6804" w:rsidRDefault="006A6788" w:rsidP="006A6788">
            <w:pPr>
              <w:spacing w:before="60" w:after="60"/>
              <w:jc w:val="center"/>
              <w:rPr>
                <w:rFonts w:ascii="Arial" w:hAnsi="Arial" w:cs="Arial"/>
                <w:color w:val="000000"/>
                <w:sz w:val="20"/>
                <w:szCs w:val="20"/>
              </w:rPr>
            </w:pPr>
            <w:r w:rsidRPr="00FC6804">
              <w:rPr>
                <w:rFonts w:ascii="Arial" w:hAnsi="Arial" w:cs="Arial"/>
                <w:color w:val="000000"/>
                <w:sz w:val="20"/>
                <w:szCs w:val="20"/>
              </w:rPr>
              <w:t>24.5%</w:t>
            </w:r>
          </w:p>
        </w:tc>
      </w:tr>
      <w:tr w:rsidR="006A6788" w:rsidRPr="00FC6804" w:rsidTr="006A6788">
        <w:tc>
          <w:tcPr>
            <w:tcW w:w="3369" w:type="dxa"/>
          </w:tcPr>
          <w:p w:rsidR="006A6788" w:rsidRPr="00FC6804" w:rsidRDefault="006A6788" w:rsidP="00DE5C8C">
            <w:pPr>
              <w:spacing w:before="60" w:after="60"/>
              <w:rPr>
                <w:rFonts w:ascii="Arial" w:eastAsia="Times New Roman" w:hAnsi="Arial" w:cs="Arial"/>
                <w:color w:val="000000"/>
                <w:sz w:val="20"/>
                <w:szCs w:val="20"/>
                <w:lang w:eastAsia="en-AU"/>
              </w:rPr>
            </w:pPr>
            <w:r w:rsidRPr="00FC6804">
              <w:rPr>
                <w:rFonts w:ascii="Arial" w:eastAsia="Times New Roman" w:hAnsi="Arial" w:cs="Arial"/>
                <w:color w:val="000000"/>
                <w:sz w:val="20"/>
                <w:szCs w:val="20"/>
                <w:lang w:eastAsia="en-AU"/>
              </w:rPr>
              <w:t>Pet Food Establishment</w:t>
            </w:r>
          </w:p>
        </w:tc>
        <w:tc>
          <w:tcPr>
            <w:tcW w:w="1957" w:type="dxa"/>
          </w:tcPr>
          <w:p w:rsidR="006A6788" w:rsidRPr="00FC6804" w:rsidRDefault="006A6788" w:rsidP="006A6788">
            <w:pPr>
              <w:spacing w:before="60" w:after="60"/>
              <w:jc w:val="center"/>
              <w:rPr>
                <w:rFonts w:ascii="Arial" w:hAnsi="Arial" w:cs="Arial"/>
                <w:sz w:val="20"/>
                <w:szCs w:val="20"/>
              </w:rPr>
            </w:pPr>
            <w:r w:rsidRPr="00FC6804">
              <w:rPr>
                <w:rFonts w:ascii="Arial" w:hAnsi="Arial" w:cs="Arial"/>
                <w:bCs/>
                <w:sz w:val="20"/>
                <w:szCs w:val="20"/>
              </w:rPr>
              <w:t>742</w:t>
            </w:r>
          </w:p>
        </w:tc>
        <w:tc>
          <w:tcPr>
            <w:tcW w:w="1958" w:type="dxa"/>
          </w:tcPr>
          <w:p w:rsidR="006A6788" w:rsidRPr="00FC6804" w:rsidRDefault="006A6788" w:rsidP="006A6788">
            <w:pPr>
              <w:spacing w:before="60" w:after="60"/>
              <w:jc w:val="center"/>
              <w:rPr>
                <w:rFonts w:ascii="Arial" w:hAnsi="Arial" w:cs="Arial"/>
                <w:sz w:val="20"/>
                <w:szCs w:val="20"/>
              </w:rPr>
            </w:pPr>
            <w:r w:rsidRPr="00FC6804">
              <w:rPr>
                <w:rFonts w:ascii="Arial" w:hAnsi="Arial" w:cs="Arial"/>
                <w:sz w:val="20"/>
                <w:szCs w:val="20"/>
              </w:rPr>
              <w:t>802.70</w:t>
            </w:r>
          </w:p>
        </w:tc>
        <w:tc>
          <w:tcPr>
            <w:tcW w:w="1958" w:type="dxa"/>
            <w:vAlign w:val="bottom"/>
          </w:tcPr>
          <w:p w:rsidR="006A6788" w:rsidRPr="00FC6804" w:rsidRDefault="006A6788" w:rsidP="006A6788">
            <w:pPr>
              <w:spacing w:before="60" w:after="60"/>
              <w:jc w:val="center"/>
              <w:rPr>
                <w:rFonts w:ascii="Arial" w:hAnsi="Arial" w:cs="Arial"/>
                <w:color w:val="000000"/>
                <w:sz w:val="20"/>
                <w:szCs w:val="20"/>
              </w:rPr>
            </w:pPr>
            <w:r w:rsidRPr="00FC6804">
              <w:rPr>
                <w:rFonts w:ascii="Arial" w:hAnsi="Arial" w:cs="Arial"/>
                <w:color w:val="000000"/>
                <w:sz w:val="20"/>
                <w:szCs w:val="20"/>
              </w:rPr>
              <w:t>8.2%</w:t>
            </w:r>
          </w:p>
        </w:tc>
      </w:tr>
      <w:tr w:rsidR="006A6788" w:rsidRPr="00FC6804" w:rsidTr="006A6788">
        <w:tc>
          <w:tcPr>
            <w:tcW w:w="3369" w:type="dxa"/>
          </w:tcPr>
          <w:p w:rsidR="006A6788" w:rsidRPr="00FC6804" w:rsidRDefault="006A6788" w:rsidP="00DE5C8C">
            <w:pPr>
              <w:spacing w:before="60" w:after="60"/>
              <w:rPr>
                <w:rFonts w:ascii="Arial" w:eastAsia="Times New Roman" w:hAnsi="Arial" w:cs="Arial"/>
                <w:color w:val="000000"/>
                <w:sz w:val="20"/>
                <w:szCs w:val="20"/>
                <w:lang w:eastAsia="en-AU"/>
              </w:rPr>
            </w:pPr>
            <w:r w:rsidRPr="00FC6804">
              <w:rPr>
                <w:rFonts w:ascii="Arial" w:eastAsia="Times New Roman" w:hAnsi="Arial" w:cs="Arial"/>
                <w:color w:val="000000"/>
                <w:sz w:val="20"/>
                <w:szCs w:val="20"/>
                <w:lang w:eastAsia="en-AU"/>
              </w:rPr>
              <w:t>Meat Transport Vehicle</w:t>
            </w:r>
          </w:p>
        </w:tc>
        <w:tc>
          <w:tcPr>
            <w:tcW w:w="1957" w:type="dxa"/>
          </w:tcPr>
          <w:p w:rsidR="006A6788" w:rsidRPr="00FC6804" w:rsidRDefault="006A6788" w:rsidP="006A6788">
            <w:pPr>
              <w:spacing w:before="60" w:after="60"/>
              <w:jc w:val="center"/>
              <w:rPr>
                <w:rFonts w:ascii="Arial" w:hAnsi="Arial" w:cs="Arial"/>
                <w:bCs/>
                <w:sz w:val="20"/>
                <w:szCs w:val="20"/>
              </w:rPr>
            </w:pPr>
            <w:r w:rsidRPr="00FC6804">
              <w:rPr>
                <w:rFonts w:ascii="Arial" w:hAnsi="Arial" w:cs="Arial"/>
                <w:sz w:val="20"/>
                <w:szCs w:val="20"/>
              </w:rPr>
              <w:t>114</w:t>
            </w:r>
          </w:p>
        </w:tc>
        <w:tc>
          <w:tcPr>
            <w:tcW w:w="1958" w:type="dxa"/>
          </w:tcPr>
          <w:p w:rsidR="006A6788" w:rsidRPr="00FC6804" w:rsidRDefault="006A6788" w:rsidP="006A6788">
            <w:pPr>
              <w:spacing w:before="60" w:after="60"/>
              <w:jc w:val="center"/>
              <w:rPr>
                <w:rFonts w:ascii="Arial" w:hAnsi="Arial" w:cs="Arial"/>
                <w:sz w:val="20"/>
                <w:szCs w:val="20"/>
              </w:rPr>
            </w:pPr>
            <w:r w:rsidRPr="00FC6804">
              <w:rPr>
                <w:rFonts w:ascii="Arial" w:hAnsi="Arial" w:cs="Arial"/>
                <w:sz w:val="20"/>
                <w:szCs w:val="20"/>
              </w:rPr>
              <w:t>157.17</w:t>
            </w:r>
          </w:p>
        </w:tc>
        <w:tc>
          <w:tcPr>
            <w:tcW w:w="1958" w:type="dxa"/>
            <w:vAlign w:val="bottom"/>
          </w:tcPr>
          <w:p w:rsidR="006A6788" w:rsidRPr="00FC6804" w:rsidRDefault="006A6788" w:rsidP="006A6788">
            <w:pPr>
              <w:spacing w:before="60" w:after="60"/>
              <w:jc w:val="center"/>
              <w:rPr>
                <w:rFonts w:ascii="Arial" w:hAnsi="Arial" w:cs="Arial"/>
                <w:color w:val="000000"/>
                <w:sz w:val="20"/>
                <w:szCs w:val="20"/>
              </w:rPr>
            </w:pPr>
            <w:r w:rsidRPr="00FC6804">
              <w:rPr>
                <w:rFonts w:ascii="Arial" w:hAnsi="Arial" w:cs="Arial"/>
                <w:color w:val="000000"/>
                <w:sz w:val="20"/>
                <w:szCs w:val="20"/>
              </w:rPr>
              <w:t>37.9%</w:t>
            </w:r>
          </w:p>
        </w:tc>
      </w:tr>
      <w:tr w:rsidR="006A6788" w:rsidRPr="00FC6804" w:rsidTr="006A6788">
        <w:tc>
          <w:tcPr>
            <w:tcW w:w="3369" w:type="dxa"/>
          </w:tcPr>
          <w:p w:rsidR="006A6788" w:rsidRPr="00FC6804" w:rsidRDefault="006A6788" w:rsidP="00DE5C8C">
            <w:pPr>
              <w:spacing w:before="60" w:after="60"/>
              <w:rPr>
                <w:rFonts w:ascii="Arial" w:eastAsia="Times New Roman" w:hAnsi="Arial" w:cs="Arial"/>
                <w:color w:val="000000"/>
                <w:sz w:val="20"/>
                <w:szCs w:val="20"/>
                <w:lang w:eastAsia="en-AU"/>
              </w:rPr>
            </w:pPr>
            <w:r w:rsidRPr="00FC6804">
              <w:rPr>
                <w:rFonts w:ascii="Arial" w:eastAsia="Times New Roman" w:hAnsi="Arial" w:cs="Arial"/>
                <w:color w:val="000000"/>
                <w:sz w:val="20"/>
                <w:szCs w:val="20"/>
                <w:lang w:eastAsia="en-AU"/>
              </w:rPr>
              <w:t>Seafood Processing</w:t>
            </w:r>
          </w:p>
        </w:tc>
        <w:tc>
          <w:tcPr>
            <w:tcW w:w="1957" w:type="dxa"/>
          </w:tcPr>
          <w:p w:rsidR="006A6788" w:rsidRPr="00FC6804" w:rsidRDefault="006A6788" w:rsidP="006A6788">
            <w:pPr>
              <w:spacing w:before="60" w:after="60"/>
              <w:jc w:val="center"/>
              <w:rPr>
                <w:rFonts w:ascii="Arial" w:hAnsi="Arial" w:cs="Arial"/>
                <w:sz w:val="20"/>
                <w:szCs w:val="20"/>
              </w:rPr>
            </w:pPr>
            <w:r w:rsidRPr="00FC6804">
              <w:rPr>
                <w:rFonts w:ascii="Arial" w:hAnsi="Arial" w:cs="Arial"/>
                <w:sz w:val="20"/>
                <w:szCs w:val="20"/>
              </w:rPr>
              <w:t>1,889</w:t>
            </w:r>
          </w:p>
        </w:tc>
        <w:tc>
          <w:tcPr>
            <w:tcW w:w="1958" w:type="dxa"/>
          </w:tcPr>
          <w:p w:rsidR="006A6788" w:rsidRPr="00FC6804" w:rsidRDefault="006A6788" w:rsidP="006A6788">
            <w:pPr>
              <w:spacing w:before="60" w:after="60"/>
              <w:jc w:val="center"/>
              <w:rPr>
                <w:rFonts w:ascii="Arial" w:hAnsi="Arial" w:cs="Arial"/>
                <w:sz w:val="20"/>
                <w:szCs w:val="20"/>
              </w:rPr>
            </w:pPr>
            <w:r w:rsidRPr="00FC6804">
              <w:rPr>
                <w:rFonts w:ascii="Arial" w:hAnsi="Arial" w:cs="Arial"/>
                <w:sz w:val="20"/>
                <w:szCs w:val="20"/>
              </w:rPr>
              <w:t>571.31</w:t>
            </w:r>
          </w:p>
        </w:tc>
        <w:tc>
          <w:tcPr>
            <w:tcW w:w="1958" w:type="dxa"/>
            <w:vAlign w:val="bottom"/>
          </w:tcPr>
          <w:p w:rsidR="006A6788" w:rsidRPr="00FC6804" w:rsidRDefault="006A6788" w:rsidP="006A6788">
            <w:pPr>
              <w:spacing w:before="60" w:after="60"/>
              <w:jc w:val="center"/>
              <w:rPr>
                <w:rFonts w:ascii="Arial" w:hAnsi="Arial" w:cs="Arial"/>
                <w:color w:val="000000"/>
                <w:sz w:val="20"/>
                <w:szCs w:val="20"/>
              </w:rPr>
            </w:pPr>
            <w:r w:rsidRPr="00FC6804">
              <w:rPr>
                <w:rFonts w:ascii="Arial" w:hAnsi="Arial" w:cs="Arial"/>
                <w:color w:val="000000"/>
                <w:sz w:val="20"/>
                <w:szCs w:val="20"/>
              </w:rPr>
              <w:t>-69.8%</w:t>
            </w:r>
          </w:p>
        </w:tc>
      </w:tr>
      <w:tr w:rsidR="006A6788" w:rsidRPr="00FC6804" w:rsidTr="006A6788">
        <w:tc>
          <w:tcPr>
            <w:tcW w:w="3369" w:type="dxa"/>
          </w:tcPr>
          <w:p w:rsidR="006A6788" w:rsidRPr="00FC6804" w:rsidRDefault="006A6788" w:rsidP="00DE5C8C">
            <w:pPr>
              <w:spacing w:before="60" w:after="60"/>
              <w:rPr>
                <w:rFonts w:ascii="Arial" w:eastAsia="Times New Roman" w:hAnsi="Arial" w:cs="Arial"/>
                <w:color w:val="000000"/>
                <w:sz w:val="20"/>
                <w:szCs w:val="20"/>
                <w:lang w:eastAsia="en-AU"/>
              </w:rPr>
            </w:pPr>
            <w:r w:rsidRPr="00FC6804">
              <w:rPr>
                <w:rFonts w:ascii="Arial" w:eastAsia="Times New Roman" w:hAnsi="Arial" w:cs="Arial"/>
                <w:color w:val="000000"/>
                <w:sz w:val="20"/>
                <w:szCs w:val="20"/>
                <w:lang w:eastAsia="en-AU"/>
              </w:rPr>
              <w:t>Seafood Retailer</w:t>
            </w:r>
          </w:p>
        </w:tc>
        <w:tc>
          <w:tcPr>
            <w:tcW w:w="1957" w:type="dxa"/>
          </w:tcPr>
          <w:p w:rsidR="006A6788" w:rsidRPr="00FC6804" w:rsidRDefault="006A6788" w:rsidP="006A6788">
            <w:pPr>
              <w:spacing w:before="60" w:after="60"/>
              <w:jc w:val="center"/>
              <w:rPr>
                <w:rFonts w:ascii="Arial" w:hAnsi="Arial" w:cs="Arial"/>
                <w:sz w:val="20"/>
                <w:szCs w:val="20"/>
              </w:rPr>
            </w:pPr>
            <w:r w:rsidRPr="00FC6804">
              <w:rPr>
                <w:rFonts w:ascii="Arial" w:hAnsi="Arial" w:cs="Arial"/>
                <w:bCs/>
                <w:sz w:val="20"/>
                <w:szCs w:val="20"/>
              </w:rPr>
              <w:t>626</w:t>
            </w:r>
          </w:p>
        </w:tc>
        <w:tc>
          <w:tcPr>
            <w:tcW w:w="1958" w:type="dxa"/>
          </w:tcPr>
          <w:p w:rsidR="006A6788" w:rsidRPr="00FC6804" w:rsidRDefault="006A6788" w:rsidP="006A6788">
            <w:pPr>
              <w:spacing w:before="60" w:after="60"/>
              <w:jc w:val="center"/>
              <w:rPr>
                <w:rFonts w:ascii="Arial" w:hAnsi="Arial" w:cs="Arial"/>
                <w:sz w:val="20"/>
                <w:szCs w:val="20"/>
              </w:rPr>
            </w:pPr>
            <w:r w:rsidRPr="00FC6804">
              <w:rPr>
                <w:rFonts w:ascii="Arial" w:hAnsi="Arial" w:cs="Arial"/>
                <w:sz w:val="20"/>
                <w:szCs w:val="20"/>
              </w:rPr>
              <w:t>559.45</w:t>
            </w:r>
          </w:p>
        </w:tc>
        <w:tc>
          <w:tcPr>
            <w:tcW w:w="1958" w:type="dxa"/>
            <w:vAlign w:val="bottom"/>
          </w:tcPr>
          <w:p w:rsidR="006A6788" w:rsidRPr="00FC6804" w:rsidRDefault="006A6788" w:rsidP="006A6788">
            <w:pPr>
              <w:spacing w:before="60" w:after="60"/>
              <w:jc w:val="center"/>
              <w:rPr>
                <w:rFonts w:ascii="Arial" w:hAnsi="Arial" w:cs="Arial"/>
                <w:color w:val="000000"/>
                <w:sz w:val="20"/>
                <w:szCs w:val="20"/>
              </w:rPr>
            </w:pPr>
            <w:r w:rsidRPr="00FC6804">
              <w:rPr>
                <w:rFonts w:ascii="Arial" w:hAnsi="Arial" w:cs="Arial"/>
                <w:color w:val="000000"/>
                <w:sz w:val="20"/>
                <w:szCs w:val="20"/>
              </w:rPr>
              <w:t>-10.6%</w:t>
            </w:r>
          </w:p>
        </w:tc>
      </w:tr>
      <w:tr w:rsidR="006A6788" w:rsidRPr="00FC6804" w:rsidTr="006A6788">
        <w:tc>
          <w:tcPr>
            <w:tcW w:w="3369" w:type="dxa"/>
          </w:tcPr>
          <w:p w:rsidR="006A6788" w:rsidRPr="00FC6804" w:rsidRDefault="006A6788" w:rsidP="00DE5C8C">
            <w:pPr>
              <w:spacing w:before="60" w:after="60"/>
              <w:rPr>
                <w:rFonts w:ascii="Arial" w:eastAsia="Times New Roman" w:hAnsi="Arial" w:cs="Arial"/>
                <w:color w:val="000000"/>
                <w:sz w:val="20"/>
                <w:szCs w:val="20"/>
                <w:lang w:eastAsia="en-AU"/>
              </w:rPr>
            </w:pPr>
            <w:r w:rsidRPr="00FC6804">
              <w:rPr>
                <w:rFonts w:ascii="Arial" w:eastAsia="Times New Roman" w:hAnsi="Arial" w:cs="Arial"/>
                <w:color w:val="000000"/>
                <w:sz w:val="20"/>
                <w:szCs w:val="20"/>
                <w:lang w:eastAsia="en-AU"/>
              </w:rPr>
              <w:t>Wildcatch</w:t>
            </w:r>
          </w:p>
        </w:tc>
        <w:tc>
          <w:tcPr>
            <w:tcW w:w="1957" w:type="dxa"/>
          </w:tcPr>
          <w:p w:rsidR="006A6788" w:rsidRPr="00FC6804" w:rsidRDefault="006A6788" w:rsidP="006A6788">
            <w:pPr>
              <w:spacing w:before="60" w:after="60"/>
              <w:jc w:val="center"/>
              <w:rPr>
                <w:rFonts w:ascii="Arial" w:hAnsi="Arial" w:cs="Arial"/>
                <w:bCs/>
                <w:sz w:val="20"/>
                <w:szCs w:val="20"/>
              </w:rPr>
            </w:pPr>
            <w:r w:rsidRPr="00FC6804">
              <w:rPr>
                <w:rFonts w:ascii="Arial" w:hAnsi="Arial" w:cs="Arial"/>
                <w:sz w:val="20"/>
                <w:szCs w:val="20"/>
              </w:rPr>
              <w:t>555</w:t>
            </w:r>
          </w:p>
        </w:tc>
        <w:tc>
          <w:tcPr>
            <w:tcW w:w="1958" w:type="dxa"/>
          </w:tcPr>
          <w:p w:rsidR="006A6788" w:rsidRPr="00FC6804" w:rsidRDefault="006A6788" w:rsidP="006A6788">
            <w:pPr>
              <w:spacing w:before="60" w:after="60"/>
              <w:jc w:val="center"/>
              <w:rPr>
                <w:rFonts w:ascii="Arial" w:hAnsi="Arial" w:cs="Arial"/>
                <w:sz w:val="20"/>
                <w:szCs w:val="20"/>
              </w:rPr>
            </w:pPr>
            <w:r w:rsidRPr="00FC6804">
              <w:rPr>
                <w:rFonts w:ascii="Arial" w:hAnsi="Arial" w:cs="Arial"/>
                <w:sz w:val="20"/>
                <w:szCs w:val="20"/>
              </w:rPr>
              <w:t>393.10</w:t>
            </w:r>
          </w:p>
        </w:tc>
        <w:tc>
          <w:tcPr>
            <w:tcW w:w="1958" w:type="dxa"/>
            <w:vAlign w:val="bottom"/>
          </w:tcPr>
          <w:p w:rsidR="006A6788" w:rsidRPr="00FC6804" w:rsidRDefault="006A6788" w:rsidP="006A6788">
            <w:pPr>
              <w:spacing w:before="60" w:after="60"/>
              <w:jc w:val="center"/>
              <w:rPr>
                <w:rFonts w:ascii="Arial" w:hAnsi="Arial" w:cs="Arial"/>
                <w:color w:val="000000"/>
                <w:sz w:val="20"/>
                <w:szCs w:val="20"/>
              </w:rPr>
            </w:pPr>
            <w:r w:rsidRPr="00FC6804">
              <w:rPr>
                <w:rFonts w:ascii="Arial" w:hAnsi="Arial" w:cs="Arial"/>
                <w:color w:val="000000"/>
                <w:sz w:val="20"/>
                <w:szCs w:val="20"/>
              </w:rPr>
              <w:t>-29.2%</w:t>
            </w:r>
          </w:p>
        </w:tc>
      </w:tr>
      <w:tr w:rsidR="006A6788" w:rsidRPr="00FC6804" w:rsidTr="006A6788">
        <w:tc>
          <w:tcPr>
            <w:tcW w:w="3369" w:type="dxa"/>
          </w:tcPr>
          <w:p w:rsidR="006A6788" w:rsidRPr="00FC6804" w:rsidRDefault="006A6788" w:rsidP="00DE5C8C">
            <w:pPr>
              <w:spacing w:before="60" w:after="60"/>
              <w:rPr>
                <w:rFonts w:ascii="Arial" w:eastAsia="Times New Roman" w:hAnsi="Arial" w:cs="Arial"/>
                <w:color w:val="000000"/>
                <w:sz w:val="20"/>
                <w:szCs w:val="20"/>
                <w:lang w:eastAsia="en-AU"/>
              </w:rPr>
            </w:pPr>
            <w:r w:rsidRPr="00FC6804">
              <w:rPr>
                <w:rFonts w:ascii="Arial" w:eastAsia="Times New Roman" w:hAnsi="Arial" w:cs="Arial"/>
                <w:color w:val="000000"/>
                <w:sz w:val="20"/>
                <w:szCs w:val="20"/>
                <w:lang w:eastAsia="en-AU"/>
              </w:rPr>
              <w:t>Aquaculture</w:t>
            </w:r>
          </w:p>
        </w:tc>
        <w:tc>
          <w:tcPr>
            <w:tcW w:w="1957" w:type="dxa"/>
          </w:tcPr>
          <w:p w:rsidR="006A6788" w:rsidRPr="00FC6804" w:rsidRDefault="006A6788" w:rsidP="006A6788">
            <w:pPr>
              <w:spacing w:before="60" w:after="60"/>
              <w:jc w:val="center"/>
              <w:rPr>
                <w:rFonts w:ascii="Arial" w:hAnsi="Arial" w:cs="Arial"/>
                <w:sz w:val="20"/>
                <w:szCs w:val="20"/>
              </w:rPr>
            </w:pPr>
            <w:r w:rsidRPr="00FC6804">
              <w:rPr>
                <w:rFonts w:ascii="Arial" w:hAnsi="Arial" w:cs="Arial"/>
                <w:sz w:val="20"/>
                <w:szCs w:val="20"/>
              </w:rPr>
              <w:t>464</w:t>
            </w:r>
          </w:p>
        </w:tc>
        <w:tc>
          <w:tcPr>
            <w:tcW w:w="1958" w:type="dxa"/>
          </w:tcPr>
          <w:p w:rsidR="006A6788" w:rsidRPr="00FC6804" w:rsidRDefault="006A6788" w:rsidP="006A6788">
            <w:pPr>
              <w:spacing w:before="60" w:after="60"/>
              <w:jc w:val="center"/>
              <w:rPr>
                <w:rFonts w:ascii="Arial" w:hAnsi="Arial" w:cs="Arial"/>
                <w:sz w:val="20"/>
                <w:szCs w:val="20"/>
              </w:rPr>
            </w:pPr>
            <w:r w:rsidRPr="00FC6804">
              <w:rPr>
                <w:rFonts w:ascii="Arial" w:hAnsi="Arial" w:cs="Arial"/>
                <w:sz w:val="20"/>
                <w:szCs w:val="20"/>
              </w:rPr>
              <w:t>1,212.67</w:t>
            </w:r>
          </w:p>
        </w:tc>
        <w:tc>
          <w:tcPr>
            <w:tcW w:w="1958" w:type="dxa"/>
            <w:vAlign w:val="bottom"/>
          </w:tcPr>
          <w:p w:rsidR="006A6788" w:rsidRPr="00FC6804" w:rsidRDefault="006A6788" w:rsidP="006A6788">
            <w:pPr>
              <w:spacing w:before="60" w:after="60"/>
              <w:jc w:val="center"/>
              <w:rPr>
                <w:rFonts w:ascii="Arial" w:hAnsi="Arial" w:cs="Arial"/>
                <w:color w:val="000000"/>
                <w:sz w:val="20"/>
                <w:szCs w:val="20"/>
              </w:rPr>
            </w:pPr>
            <w:r w:rsidRPr="00FC6804">
              <w:rPr>
                <w:rFonts w:ascii="Arial" w:hAnsi="Arial" w:cs="Arial"/>
                <w:color w:val="000000"/>
                <w:sz w:val="20"/>
                <w:szCs w:val="20"/>
              </w:rPr>
              <w:t>161.4%</w:t>
            </w:r>
          </w:p>
        </w:tc>
      </w:tr>
      <w:tr w:rsidR="006A6788" w:rsidRPr="00FC6804" w:rsidTr="006A6788">
        <w:tc>
          <w:tcPr>
            <w:tcW w:w="3369" w:type="dxa"/>
          </w:tcPr>
          <w:p w:rsidR="006A6788" w:rsidRPr="00FC6804" w:rsidRDefault="006A6788" w:rsidP="00DE5C8C">
            <w:pPr>
              <w:spacing w:before="60" w:after="60"/>
              <w:rPr>
                <w:rFonts w:ascii="Arial" w:eastAsia="Times New Roman" w:hAnsi="Arial" w:cs="Arial"/>
                <w:color w:val="000000"/>
                <w:sz w:val="20"/>
                <w:szCs w:val="20"/>
                <w:lang w:eastAsia="en-AU"/>
              </w:rPr>
            </w:pPr>
            <w:r w:rsidRPr="00FC6804">
              <w:rPr>
                <w:rFonts w:ascii="Arial" w:eastAsia="Times New Roman" w:hAnsi="Arial" w:cs="Arial"/>
                <w:color w:val="000000"/>
                <w:sz w:val="20"/>
                <w:szCs w:val="20"/>
                <w:lang w:eastAsia="en-AU"/>
              </w:rPr>
              <w:t>Meat Inspectors</w:t>
            </w:r>
          </w:p>
        </w:tc>
        <w:tc>
          <w:tcPr>
            <w:tcW w:w="1957" w:type="dxa"/>
          </w:tcPr>
          <w:p w:rsidR="006A6788" w:rsidRPr="00FC6804" w:rsidRDefault="006A6788" w:rsidP="006A6788">
            <w:pPr>
              <w:spacing w:before="60" w:after="60"/>
              <w:jc w:val="center"/>
              <w:rPr>
                <w:rFonts w:ascii="Arial" w:hAnsi="Arial" w:cs="Arial"/>
                <w:sz w:val="20"/>
                <w:szCs w:val="20"/>
              </w:rPr>
            </w:pPr>
            <w:r w:rsidRPr="00FC6804">
              <w:rPr>
                <w:rFonts w:ascii="Arial" w:hAnsi="Arial" w:cs="Arial"/>
                <w:bCs/>
                <w:sz w:val="20"/>
                <w:szCs w:val="20"/>
              </w:rPr>
              <w:t>10</w:t>
            </w:r>
          </w:p>
        </w:tc>
        <w:tc>
          <w:tcPr>
            <w:tcW w:w="1958" w:type="dxa"/>
          </w:tcPr>
          <w:p w:rsidR="006A6788" w:rsidRPr="00FC6804" w:rsidRDefault="006A6788" w:rsidP="006A6788">
            <w:pPr>
              <w:spacing w:before="60" w:after="60"/>
              <w:jc w:val="center"/>
              <w:rPr>
                <w:rFonts w:ascii="Arial" w:hAnsi="Arial" w:cs="Arial"/>
                <w:sz w:val="20"/>
                <w:szCs w:val="20"/>
              </w:rPr>
            </w:pPr>
            <w:r w:rsidRPr="00FC6804">
              <w:rPr>
                <w:rFonts w:ascii="Arial" w:hAnsi="Arial" w:cs="Arial"/>
                <w:sz w:val="20"/>
                <w:szCs w:val="20"/>
              </w:rPr>
              <w:t>157.17</w:t>
            </w:r>
          </w:p>
        </w:tc>
        <w:tc>
          <w:tcPr>
            <w:tcW w:w="1958" w:type="dxa"/>
            <w:vAlign w:val="bottom"/>
          </w:tcPr>
          <w:p w:rsidR="006A6788" w:rsidRPr="00FC6804" w:rsidRDefault="006A6788" w:rsidP="006A6788">
            <w:pPr>
              <w:spacing w:before="60" w:after="60"/>
              <w:jc w:val="center"/>
              <w:rPr>
                <w:rFonts w:ascii="Arial" w:hAnsi="Arial" w:cs="Arial"/>
                <w:color w:val="000000"/>
                <w:sz w:val="20"/>
                <w:szCs w:val="20"/>
              </w:rPr>
            </w:pPr>
            <w:r w:rsidRPr="00FC6804">
              <w:rPr>
                <w:rFonts w:ascii="Arial" w:hAnsi="Arial" w:cs="Arial"/>
                <w:color w:val="000000"/>
                <w:sz w:val="20"/>
                <w:szCs w:val="20"/>
              </w:rPr>
              <w:t>1471.7%</w:t>
            </w:r>
          </w:p>
        </w:tc>
      </w:tr>
    </w:tbl>
    <w:p w:rsidR="001703D1" w:rsidRPr="00FC6804" w:rsidRDefault="001703D1" w:rsidP="00F46109">
      <w:pPr>
        <w:spacing w:after="0" w:line="240" w:lineRule="auto"/>
        <w:rPr>
          <w:rFonts w:ascii="Arial" w:hAnsi="Arial" w:cs="Arial"/>
          <w:sz w:val="20"/>
          <w:szCs w:val="20"/>
        </w:rPr>
      </w:pPr>
    </w:p>
    <w:p w:rsidR="00DA29F1" w:rsidRPr="00FC6804" w:rsidRDefault="00DA29F1" w:rsidP="00F46109">
      <w:pPr>
        <w:spacing w:after="0" w:line="240" w:lineRule="auto"/>
        <w:rPr>
          <w:rFonts w:ascii="Arial" w:hAnsi="Arial" w:cs="Arial"/>
          <w:sz w:val="20"/>
          <w:szCs w:val="20"/>
        </w:rPr>
      </w:pPr>
      <w:r w:rsidRPr="00FC6804">
        <w:rPr>
          <w:rFonts w:ascii="Arial" w:hAnsi="Arial" w:cs="Arial"/>
          <w:sz w:val="20"/>
          <w:szCs w:val="20"/>
        </w:rPr>
        <w:t xml:space="preserve">Table </w:t>
      </w:r>
      <w:r w:rsidR="00DE5C8C" w:rsidRPr="00FC6804">
        <w:rPr>
          <w:rFonts w:ascii="Arial" w:hAnsi="Arial" w:cs="Arial"/>
          <w:sz w:val="20"/>
          <w:szCs w:val="20"/>
        </w:rPr>
        <w:t>10</w:t>
      </w:r>
      <w:r w:rsidRPr="00FC6804">
        <w:rPr>
          <w:rFonts w:ascii="Arial" w:hAnsi="Arial" w:cs="Arial"/>
          <w:sz w:val="20"/>
          <w:szCs w:val="20"/>
        </w:rPr>
        <w:t xml:space="preserve">.1 shows that there would be very substantial changes to the existing fee structure were </w:t>
      </w:r>
      <w:r w:rsidR="00740FC8">
        <w:rPr>
          <w:rFonts w:ascii="Arial" w:hAnsi="Arial" w:cs="Arial"/>
          <w:sz w:val="20"/>
          <w:szCs w:val="20"/>
        </w:rPr>
        <w:t>O</w:t>
      </w:r>
      <w:r w:rsidRPr="00FC6804">
        <w:rPr>
          <w:rFonts w:ascii="Arial" w:hAnsi="Arial" w:cs="Arial"/>
          <w:sz w:val="20"/>
          <w:szCs w:val="20"/>
        </w:rPr>
        <w:t xml:space="preserve">ption </w:t>
      </w:r>
      <w:r w:rsidR="006D3A19" w:rsidRPr="00FC6804">
        <w:rPr>
          <w:rFonts w:ascii="Arial" w:hAnsi="Arial" w:cs="Arial"/>
          <w:sz w:val="20"/>
          <w:szCs w:val="20"/>
        </w:rPr>
        <w:t xml:space="preserve">3 </w:t>
      </w:r>
      <w:r w:rsidR="00740FC8">
        <w:rPr>
          <w:rFonts w:ascii="Arial" w:hAnsi="Arial" w:cs="Arial"/>
          <w:sz w:val="20"/>
          <w:szCs w:val="20"/>
        </w:rPr>
        <w:t xml:space="preserve">be adopted. </w:t>
      </w:r>
      <w:r w:rsidR="004D53CE" w:rsidRPr="00FC6804">
        <w:rPr>
          <w:rFonts w:ascii="Arial" w:hAnsi="Arial" w:cs="Arial"/>
          <w:sz w:val="20"/>
          <w:szCs w:val="20"/>
        </w:rPr>
        <w:t xml:space="preserve">In particular, this option would result in very large increases in the fees paid by small businesses and </w:t>
      </w:r>
      <w:r w:rsidR="00DE5C8C" w:rsidRPr="00FC6804">
        <w:rPr>
          <w:rFonts w:ascii="Arial" w:hAnsi="Arial" w:cs="Arial"/>
          <w:sz w:val="20"/>
          <w:szCs w:val="20"/>
        </w:rPr>
        <w:t xml:space="preserve">individuals in the short-term. </w:t>
      </w:r>
      <w:r w:rsidR="004D53CE" w:rsidRPr="00FC6804">
        <w:rPr>
          <w:rFonts w:ascii="Arial" w:hAnsi="Arial" w:cs="Arial"/>
          <w:sz w:val="20"/>
          <w:szCs w:val="20"/>
        </w:rPr>
        <w:t>Meat inspectors would see their annual licence fee rise almost 1,500% from $10 to around $157, while retail butcher shops would see a fee increase of 278% from $266 at present to over $1,000</w:t>
      </w:r>
      <w:r w:rsidR="00216540" w:rsidRPr="00FC6804">
        <w:rPr>
          <w:rStyle w:val="FootnoteReference"/>
          <w:rFonts w:ascii="Arial" w:hAnsi="Arial" w:cs="Arial"/>
          <w:sz w:val="20"/>
          <w:szCs w:val="20"/>
        </w:rPr>
        <w:footnoteReference w:id="29"/>
      </w:r>
      <w:r w:rsidR="00DE5C8C" w:rsidRPr="00FC6804">
        <w:rPr>
          <w:rFonts w:ascii="Arial" w:hAnsi="Arial" w:cs="Arial"/>
          <w:sz w:val="20"/>
          <w:szCs w:val="20"/>
        </w:rPr>
        <w:t xml:space="preserve">. </w:t>
      </w:r>
      <w:r w:rsidR="004D53CE" w:rsidRPr="00FC6804">
        <w:rPr>
          <w:rFonts w:ascii="Arial" w:hAnsi="Arial" w:cs="Arial"/>
          <w:sz w:val="20"/>
          <w:szCs w:val="20"/>
        </w:rPr>
        <w:t xml:space="preserve">Aquaculture </w:t>
      </w:r>
      <w:r w:rsidR="00D219D5">
        <w:rPr>
          <w:rFonts w:ascii="Arial" w:hAnsi="Arial" w:cs="Arial"/>
          <w:sz w:val="20"/>
          <w:szCs w:val="20"/>
        </w:rPr>
        <w:t>businesses</w:t>
      </w:r>
      <w:r w:rsidR="004D53CE" w:rsidRPr="00FC6804">
        <w:rPr>
          <w:rFonts w:ascii="Arial" w:hAnsi="Arial" w:cs="Arial"/>
          <w:sz w:val="20"/>
          <w:szCs w:val="20"/>
        </w:rPr>
        <w:t xml:space="preserve"> would also see a rise in their licence fees of 161% from $464 to over $1,200.</w:t>
      </w:r>
    </w:p>
    <w:p w:rsidR="00DE5C8C" w:rsidRDefault="00DE5C8C" w:rsidP="00F46109">
      <w:pPr>
        <w:spacing w:after="0" w:line="240" w:lineRule="auto"/>
        <w:rPr>
          <w:rFonts w:ascii="Arial" w:hAnsi="Arial" w:cs="Arial"/>
          <w:sz w:val="20"/>
          <w:szCs w:val="20"/>
        </w:rPr>
      </w:pPr>
    </w:p>
    <w:p w:rsidR="00D219D5" w:rsidRDefault="00D219D5" w:rsidP="00F46109">
      <w:pPr>
        <w:spacing w:after="0" w:line="240" w:lineRule="auto"/>
        <w:rPr>
          <w:rFonts w:ascii="Arial" w:hAnsi="Arial" w:cs="Arial"/>
          <w:sz w:val="20"/>
          <w:szCs w:val="20"/>
        </w:rPr>
      </w:pPr>
    </w:p>
    <w:p w:rsidR="00D219D5" w:rsidRDefault="00D219D5" w:rsidP="00F46109">
      <w:pPr>
        <w:spacing w:after="0" w:line="240" w:lineRule="auto"/>
        <w:rPr>
          <w:rFonts w:ascii="Arial" w:hAnsi="Arial" w:cs="Arial"/>
          <w:sz w:val="20"/>
          <w:szCs w:val="20"/>
        </w:rPr>
      </w:pPr>
    </w:p>
    <w:p w:rsidR="00D219D5" w:rsidRDefault="00D219D5" w:rsidP="00F46109">
      <w:pPr>
        <w:spacing w:after="0" w:line="240" w:lineRule="auto"/>
        <w:rPr>
          <w:rFonts w:ascii="Arial" w:hAnsi="Arial" w:cs="Arial"/>
          <w:sz w:val="20"/>
          <w:szCs w:val="20"/>
        </w:rPr>
      </w:pPr>
    </w:p>
    <w:p w:rsidR="00D219D5" w:rsidRPr="00FC6804" w:rsidRDefault="00D219D5" w:rsidP="00F46109">
      <w:pPr>
        <w:spacing w:after="0" w:line="240" w:lineRule="auto"/>
        <w:rPr>
          <w:rFonts w:ascii="Arial" w:hAnsi="Arial" w:cs="Arial"/>
          <w:sz w:val="20"/>
          <w:szCs w:val="20"/>
        </w:rPr>
      </w:pPr>
    </w:p>
    <w:p w:rsidR="00962E51" w:rsidRPr="00FC6804" w:rsidRDefault="004D53CE" w:rsidP="00F46109">
      <w:pPr>
        <w:spacing w:after="0" w:line="240" w:lineRule="auto"/>
        <w:rPr>
          <w:rFonts w:ascii="Arial" w:hAnsi="Arial" w:cs="Arial"/>
          <w:sz w:val="20"/>
          <w:szCs w:val="20"/>
        </w:rPr>
      </w:pPr>
      <w:r w:rsidRPr="00FC6804">
        <w:rPr>
          <w:rFonts w:ascii="Arial" w:hAnsi="Arial" w:cs="Arial"/>
          <w:sz w:val="20"/>
          <w:szCs w:val="20"/>
        </w:rPr>
        <w:t xml:space="preserve">Conversely, the average fees charged in the major licence categories of abattoirs, poultry processing </w:t>
      </w:r>
      <w:r w:rsidR="00D219D5">
        <w:rPr>
          <w:rFonts w:ascii="Arial" w:hAnsi="Arial" w:cs="Arial"/>
          <w:sz w:val="20"/>
          <w:szCs w:val="20"/>
        </w:rPr>
        <w:t xml:space="preserve">facilities </w:t>
      </w:r>
      <w:r w:rsidRPr="00FC6804">
        <w:rPr>
          <w:rFonts w:ascii="Arial" w:hAnsi="Arial" w:cs="Arial"/>
          <w:sz w:val="20"/>
          <w:szCs w:val="20"/>
        </w:rPr>
        <w:t xml:space="preserve">and further meat processing </w:t>
      </w:r>
      <w:r w:rsidR="00D219D5">
        <w:rPr>
          <w:rFonts w:ascii="Arial" w:hAnsi="Arial" w:cs="Arial"/>
          <w:sz w:val="20"/>
          <w:szCs w:val="20"/>
        </w:rPr>
        <w:t xml:space="preserve">facilities </w:t>
      </w:r>
      <w:r w:rsidRPr="00FC6804">
        <w:rPr>
          <w:rFonts w:ascii="Arial" w:hAnsi="Arial" w:cs="Arial"/>
          <w:sz w:val="20"/>
          <w:szCs w:val="20"/>
        </w:rPr>
        <w:t>would decline significantly, as would those charged in some smaller sectors including rendering, game meat proc</w:t>
      </w:r>
      <w:r w:rsidR="00962E51" w:rsidRPr="00FC6804">
        <w:rPr>
          <w:rFonts w:ascii="Arial" w:hAnsi="Arial" w:cs="Arial"/>
          <w:sz w:val="20"/>
          <w:szCs w:val="20"/>
        </w:rPr>
        <w:t xml:space="preserve">essing and seafood processing. </w:t>
      </w:r>
      <w:r w:rsidRPr="00FC6804">
        <w:rPr>
          <w:rFonts w:ascii="Arial" w:hAnsi="Arial" w:cs="Arial"/>
          <w:sz w:val="20"/>
          <w:szCs w:val="20"/>
        </w:rPr>
        <w:t>The impact on individual businesses within the sectors with output based fee differentials would be dependent on decisions as to how the reductions in overall fee revenue should be allocated</w:t>
      </w:r>
      <w:r w:rsidR="00962E51" w:rsidRPr="00FC6804">
        <w:rPr>
          <w:rFonts w:ascii="Arial" w:hAnsi="Arial" w:cs="Arial"/>
          <w:sz w:val="20"/>
          <w:szCs w:val="20"/>
        </w:rPr>
        <w:t xml:space="preserve"> within each licence category. </w:t>
      </w:r>
    </w:p>
    <w:p w:rsidR="00D219D5" w:rsidRDefault="00D219D5" w:rsidP="00F46109">
      <w:pPr>
        <w:spacing w:after="0" w:line="240" w:lineRule="auto"/>
        <w:rPr>
          <w:rFonts w:ascii="Arial" w:hAnsi="Arial" w:cs="Arial"/>
          <w:sz w:val="20"/>
          <w:szCs w:val="20"/>
        </w:rPr>
      </w:pPr>
    </w:p>
    <w:p w:rsidR="004D53CE" w:rsidRPr="00FC6804" w:rsidRDefault="004D53CE" w:rsidP="00F46109">
      <w:pPr>
        <w:spacing w:after="0" w:line="240" w:lineRule="auto"/>
        <w:rPr>
          <w:rFonts w:ascii="Arial" w:hAnsi="Arial" w:cs="Arial"/>
          <w:sz w:val="20"/>
          <w:szCs w:val="20"/>
        </w:rPr>
      </w:pPr>
      <w:r w:rsidRPr="00FC6804">
        <w:rPr>
          <w:rFonts w:ascii="Arial" w:hAnsi="Arial" w:cs="Arial"/>
          <w:sz w:val="20"/>
          <w:szCs w:val="20"/>
        </w:rPr>
        <w:t xml:space="preserve">However, given the logic of Option </w:t>
      </w:r>
      <w:r w:rsidR="006D3A19" w:rsidRPr="00FC6804">
        <w:rPr>
          <w:rFonts w:ascii="Arial" w:hAnsi="Arial" w:cs="Arial"/>
          <w:sz w:val="20"/>
          <w:szCs w:val="20"/>
        </w:rPr>
        <w:t>3</w:t>
      </w:r>
      <w:r w:rsidRPr="00FC6804">
        <w:rPr>
          <w:rFonts w:ascii="Arial" w:hAnsi="Arial" w:cs="Arial"/>
          <w:sz w:val="20"/>
          <w:szCs w:val="20"/>
        </w:rPr>
        <w:t>, which seeks to match fees and costs closely, it can be anticipated that the largest</w:t>
      </w:r>
      <w:r w:rsidR="00D219D5">
        <w:rPr>
          <w:rFonts w:ascii="Arial" w:hAnsi="Arial" w:cs="Arial"/>
          <w:sz w:val="20"/>
          <w:szCs w:val="20"/>
        </w:rPr>
        <w:t xml:space="preserve"> </w:t>
      </w:r>
      <w:r w:rsidRPr="00FC6804">
        <w:rPr>
          <w:rFonts w:ascii="Arial" w:hAnsi="Arial" w:cs="Arial"/>
          <w:sz w:val="20"/>
          <w:szCs w:val="20"/>
        </w:rPr>
        <w:t>scale businesses would reap large</w:t>
      </w:r>
      <w:r w:rsidR="00962E51" w:rsidRPr="00FC6804">
        <w:rPr>
          <w:rFonts w:ascii="Arial" w:hAnsi="Arial" w:cs="Arial"/>
          <w:sz w:val="20"/>
          <w:szCs w:val="20"/>
        </w:rPr>
        <w:t xml:space="preserve">r than average fee reductions. </w:t>
      </w:r>
      <w:r w:rsidRPr="00FC6804">
        <w:rPr>
          <w:rFonts w:ascii="Arial" w:hAnsi="Arial" w:cs="Arial"/>
          <w:sz w:val="20"/>
          <w:szCs w:val="20"/>
        </w:rPr>
        <w:t xml:space="preserve">This reflects the fact that, while precise data </w:t>
      </w:r>
      <w:r w:rsidR="00D219D5">
        <w:rPr>
          <w:rFonts w:ascii="Arial" w:hAnsi="Arial" w:cs="Arial"/>
          <w:sz w:val="20"/>
          <w:szCs w:val="20"/>
        </w:rPr>
        <w:t>is</w:t>
      </w:r>
      <w:r w:rsidRPr="00FC6804">
        <w:rPr>
          <w:rFonts w:ascii="Arial" w:hAnsi="Arial" w:cs="Arial"/>
          <w:sz w:val="20"/>
          <w:szCs w:val="20"/>
        </w:rPr>
        <w:t xml:space="preserve"> unavailable, </w:t>
      </w:r>
      <w:r w:rsidR="00962E51" w:rsidRPr="00FC6804">
        <w:rPr>
          <w:rFonts w:ascii="Arial" w:hAnsi="Arial" w:cs="Arial"/>
          <w:sz w:val="20"/>
          <w:szCs w:val="20"/>
        </w:rPr>
        <w:t>PrimeSafe</w:t>
      </w:r>
      <w:r w:rsidRPr="00FC6804">
        <w:rPr>
          <w:rFonts w:ascii="Arial" w:hAnsi="Arial" w:cs="Arial"/>
          <w:sz w:val="20"/>
          <w:szCs w:val="20"/>
        </w:rPr>
        <w:t xml:space="preserve"> believes that its regulatory costs are not closely related to the output levels of businesses in these sectors</w:t>
      </w:r>
      <w:r w:rsidR="00962E51" w:rsidRPr="00FC6804">
        <w:rPr>
          <w:rFonts w:ascii="Arial" w:hAnsi="Arial" w:cs="Arial"/>
          <w:sz w:val="20"/>
          <w:szCs w:val="20"/>
        </w:rPr>
        <w:t xml:space="preserve">. </w:t>
      </w:r>
      <w:r w:rsidR="00CA5EFF" w:rsidRPr="00FC6804">
        <w:rPr>
          <w:rFonts w:ascii="Arial" w:hAnsi="Arial" w:cs="Arial"/>
          <w:sz w:val="20"/>
          <w:szCs w:val="20"/>
        </w:rPr>
        <w:t xml:space="preserve">This is partly due to the existence of fixed or quasi-fixed costs in the inspection process (e.g. in reviewing systems) and in part because larger businesses are generally better able to address compliance issues themselves, or by contracting external assistance privately, whereas </w:t>
      </w:r>
      <w:r w:rsidR="00962E51" w:rsidRPr="00FC6804">
        <w:rPr>
          <w:rFonts w:ascii="Arial" w:hAnsi="Arial" w:cs="Arial"/>
          <w:sz w:val="20"/>
          <w:szCs w:val="20"/>
        </w:rPr>
        <w:t>PrimeSafe</w:t>
      </w:r>
      <w:r w:rsidR="00CA5EFF" w:rsidRPr="00FC6804">
        <w:rPr>
          <w:rFonts w:ascii="Arial" w:hAnsi="Arial" w:cs="Arial"/>
          <w:sz w:val="20"/>
          <w:szCs w:val="20"/>
        </w:rPr>
        <w:t xml:space="preserve"> is frequently required to undertake more substantial inputs in relation to smaller </w:t>
      </w:r>
      <w:r w:rsidR="00D219D5">
        <w:rPr>
          <w:rFonts w:ascii="Arial" w:hAnsi="Arial" w:cs="Arial"/>
          <w:sz w:val="20"/>
          <w:szCs w:val="20"/>
        </w:rPr>
        <w:t>businesses</w:t>
      </w:r>
      <w:r w:rsidR="00CA5EFF" w:rsidRPr="00FC6804">
        <w:rPr>
          <w:rFonts w:ascii="Arial" w:hAnsi="Arial" w:cs="Arial"/>
          <w:sz w:val="20"/>
          <w:szCs w:val="20"/>
        </w:rPr>
        <w:t xml:space="preserve"> to advise and assist them in achieving compliance</w:t>
      </w:r>
      <w:r w:rsidRPr="00FC6804">
        <w:rPr>
          <w:rFonts w:ascii="Arial" w:hAnsi="Arial" w:cs="Arial"/>
          <w:sz w:val="20"/>
          <w:szCs w:val="20"/>
        </w:rPr>
        <w:t>.</w:t>
      </w:r>
    </w:p>
    <w:p w:rsidR="004D53CE" w:rsidRPr="00FC6804" w:rsidRDefault="004D53CE" w:rsidP="00F46109">
      <w:pPr>
        <w:spacing w:after="0" w:line="240" w:lineRule="auto"/>
        <w:rPr>
          <w:rFonts w:ascii="Arial" w:hAnsi="Arial" w:cs="Arial"/>
          <w:sz w:val="20"/>
          <w:szCs w:val="20"/>
        </w:rPr>
      </w:pPr>
    </w:p>
    <w:p w:rsidR="004D53CE" w:rsidRPr="00FC6804" w:rsidRDefault="00F841A8" w:rsidP="00F46109">
      <w:pPr>
        <w:pStyle w:val="Heading2"/>
        <w:numPr>
          <w:ilvl w:val="1"/>
          <w:numId w:val="2"/>
        </w:numPr>
        <w:rPr>
          <w:rFonts w:cs="Arial"/>
          <w:b/>
          <w:szCs w:val="20"/>
        </w:rPr>
      </w:pPr>
      <w:bookmarkStart w:id="32" w:name="_Toc443915361"/>
      <w:r w:rsidRPr="00FC6804">
        <w:rPr>
          <w:rFonts w:cs="Arial"/>
          <w:b/>
          <w:szCs w:val="20"/>
        </w:rPr>
        <w:t xml:space="preserve">Expected benefits of Option </w:t>
      </w:r>
      <w:r w:rsidR="006D3A19" w:rsidRPr="00FC6804">
        <w:rPr>
          <w:rFonts w:cs="Arial"/>
          <w:b/>
          <w:szCs w:val="20"/>
        </w:rPr>
        <w:t>3</w:t>
      </w:r>
      <w:bookmarkEnd w:id="32"/>
    </w:p>
    <w:p w:rsidR="004D53CE" w:rsidRPr="00FC6804" w:rsidRDefault="004D53CE" w:rsidP="00F46109">
      <w:pPr>
        <w:spacing w:after="0" w:line="240" w:lineRule="auto"/>
        <w:rPr>
          <w:rFonts w:ascii="Arial" w:hAnsi="Arial" w:cs="Arial"/>
          <w:sz w:val="20"/>
          <w:szCs w:val="20"/>
        </w:rPr>
      </w:pPr>
    </w:p>
    <w:p w:rsidR="00C059A0" w:rsidRPr="00FC6804" w:rsidRDefault="008478BF" w:rsidP="00F46109">
      <w:pPr>
        <w:spacing w:after="0" w:line="240" w:lineRule="auto"/>
        <w:rPr>
          <w:rFonts w:ascii="Arial" w:hAnsi="Arial" w:cs="Arial"/>
          <w:sz w:val="20"/>
          <w:szCs w:val="20"/>
        </w:rPr>
      </w:pPr>
      <w:r w:rsidRPr="00FC6804">
        <w:rPr>
          <w:rFonts w:ascii="Arial" w:hAnsi="Arial" w:cs="Arial"/>
          <w:sz w:val="20"/>
          <w:szCs w:val="20"/>
        </w:rPr>
        <w:t xml:space="preserve">Option </w:t>
      </w:r>
      <w:r w:rsidR="006D3A19" w:rsidRPr="00FC6804">
        <w:rPr>
          <w:rFonts w:ascii="Arial" w:hAnsi="Arial" w:cs="Arial"/>
          <w:sz w:val="20"/>
          <w:szCs w:val="20"/>
        </w:rPr>
        <w:t xml:space="preserve">3 </w:t>
      </w:r>
      <w:r w:rsidRPr="00FC6804">
        <w:rPr>
          <w:rFonts w:ascii="Arial" w:hAnsi="Arial" w:cs="Arial"/>
          <w:sz w:val="20"/>
          <w:szCs w:val="20"/>
        </w:rPr>
        <w:t xml:space="preserve">would, in common with </w:t>
      </w:r>
      <w:r w:rsidR="00CA09BF" w:rsidRPr="00FC6804">
        <w:rPr>
          <w:rFonts w:ascii="Arial" w:hAnsi="Arial" w:cs="Arial"/>
          <w:sz w:val="20"/>
          <w:szCs w:val="20"/>
        </w:rPr>
        <w:t>all of the other feasible o</w:t>
      </w:r>
      <w:r w:rsidRPr="00FC6804">
        <w:rPr>
          <w:rFonts w:ascii="Arial" w:hAnsi="Arial" w:cs="Arial"/>
          <w:sz w:val="20"/>
          <w:szCs w:val="20"/>
        </w:rPr>
        <w:t>ption</w:t>
      </w:r>
      <w:r w:rsidR="00CA09BF" w:rsidRPr="00FC6804">
        <w:rPr>
          <w:rFonts w:ascii="Arial" w:hAnsi="Arial" w:cs="Arial"/>
          <w:sz w:val="20"/>
          <w:szCs w:val="20"/>
        </w:rPr>
        <w:t>s</w:t>
      </w:r>
      <w:r w:rsidRPr="00FC6804">
        <w:rPr>
          <w:rFonts w:ascii="Arial" w:hAnsi="Arial" w:cs="Arial"/>
          <w:sz w:val="20"/>
          <w:szCs w:val="20"/>
        </w:rPr>
        <w:t xml:space="preserve">, ensure that </w:t>
      </w:r>
      <w:r w:rsidR="00962E51" w:rsidRPr="00FC6804">
        <w:rPr>
          <w:rFonts w:ascii="Arial" w:hAnsi="Arial" w:cs="Arial"/>
          <w:sz w:val="20"/>
          <w:szCs w:val="20"/>
        </w:rPr>
        <w:t>PrimeSafe</w:t>
      </w:r>
      <w:r w:rsidRPr="00FC6804">
        <w:rPr>
          <w:rFonts w:ascii="Arial" w:hAnsi="Arial" w:cs="Arial"/>
          <w:sz w:val="20"/>
          <w:szCs w:val="20"/>
        </w:rPr>
        <w:t xml:space="preserve"> generated sufficient fee revenue to fund the proposed exp</w:t>
      </w:r>
      <w:r w:rsidR="00D219D5">
        <w:rPr>
          <w:rFonts w:ascii="Arial" w:hAnsi="Arial" w:cs="Arial"/>
          <w:sz w:val="20"/>
          <w:szCs w:val="20"/>
        </w:rPr>
        <w:t xml:space="preserve">ansion in its regulatory role. </w:t>
      </w:r>
      <w:r w:rsidRPr="00FC6804">
        <w:rPr>
          <w:rFonts w:ascii="Arial" w:hAnsi="Arial" w:cs="Arial"/>
          <w:sz w:val="20"/>
          <w:szCs w:val="20"/>
        </w:rPr>
        <w:t>In addition, it would ensure equity between licence types by achieving a close matching of fee revenue and regulatory costs incurred for each individual</w:t>
      </w:r>
      <w:r w:rsidR="00962E51" w:rsidRPr="00FC6804">
        <w:rPr>
          <w:rFonts w:ascii="Arial" w:hAnsi="Arial" w:cs="Arial"/>
          <w:sz w:val="20"/>
          <w:szCs w:val="20"/>
        </w:rPr>
        <w:t xml:space="preserve"> licence category. </w:t>
      </w:r>
      <w:r w:rsidRPr="00FC6804">
        <w:rPr>
          <w:rFonts w:ascii="Arial" w:hAnsi="Arial" w:cs="Arial"/>
          <w:sz w:val="20"/>
          <w:szCs w:val="20"/>
        </w:rPr>
        <w:t>This would end the current arrangement, under which significant cross-subsidies exist between licence categories.</w:t>
      </w:r>
      <w:r w:rsidR="00962E51" w:rsidRPr="00FC6804">
        <w:rPr>
          <w:rFonts w:ascii="Arial" w:hAnsi="Arial" w:cs="Arial"/>
          <w:sz w:val="20"/>
          <w:szCs w:val="20"/>
        </w:rPr>
        <w:t xml:space="preserve"> </w:t>
      </w:r>
      <w:r w:rsidR="00C059A0" w:rsidRPr="00FC6804">
        <w:rPr>
          <w:rFonts w:ascii="Arial" w:hAnsi="Arial" w:cs="Arial"/>
          <w:sz w:val="20"/>
          <w:szCs w:val="20"/>
        </w:rPr>
        <w:t xml:space="preserve">Option </w:t>
      </w:r>
      <w:r w:rsidR="006D3A19" w:rsidRPr="00FC6804">
        <w:rPr>
          <w:rFonts w:ascii="Arial" w:hAnsi="Arial" w:cs="Arial"/>
          <w:sz w:val="20"/>
          <w:szCs w:val="20"/>
        </w:rPr>
        <w:t xml:space="preserve">3 </w:t>
      </w:r>
      <w:r w:rsidR="00C059A0" w:rsidRPr="00FC6804">
        <w:rPr>
          <w:rFonts w:ascii="Arial" w:hAnsi="Arial" w:cs="Arial"/>
          <w:sz w:val="20"/>
          <w:szCs w:val="20"/>
        </w:rPr>
        <w:t xml:space="preserve">differs significantly from Option </w:t>
      </w:r>
      <w:r w:rsidR="00867B1B" w:rsidRPr="00FC6804">
        <w:rPr>
          <w:rFonts w:ascii="Arial" w:hAnsi="Arial" w:cs="Arial"/>
          <w:sz w:val="20"/>
          <w:szCs w:val="20"/>
        </w:rPr>
        <w:t xml:space="preserve">2 </w:t>
      </w:r>
      <w:r w:rsidR="00C059A0" w:rsidRPr="00FC6804">
        <w:rPr>
          <w:rFonts w:ascii="Arial" w:hAnsi="Arial" w:cs="Arial"/>
          <w:sz w:val="20"/>
          <w:szCs w:val="20"/>
        </w:rPr>
        <w:t xml:space="preserve">in this respect, as the adoption of Option </w:t>
      </w:r>
      <w:r w:rsidR="006D3A19" w:rsidRPr="00FC6804">
        <w:rPr>
          <w:rFonts w:ascii="Arial" w:hAnsi="Arial" w:cs="Arial"/>
          <w:sz w:val="20"/>
          <w:szCs w:val="20"/>
        </w:rPr>
        <w:t xml:space="preserve">2 </w:t>
      </w:r>
      <w:r w:rsidR="00C059A0" w:rsidRPr="00FC6804">
        <w:rPr>
          <w:rFonts w:ascii="Arial" w:hAnsi="Arial" w:cs="Arial"/>
          <w:sz w:val="20"/>
          <w:szCs w:val="20"/>
        </w:rPr>
        <w:t>would imply a continuing cross-subsidy of $0.57 million to retail butcher</w:t>
      </w:r>
      <w:r w:rsidR="00D219D5">
        <w:rPr>
          <w:rFonts w:ascii="Arial" w:hAnsi="Arial" w:cs="Arial"/>
          <w:sz w:val="20"/>
          <w:szCs w:val="20"/>
        </w:rPr>
        <w:t xml:space="preserve"> </w:t>
      </w:r>
      <w:r w:rsidR="00C059A0" w:rsidRPr="00FC6804">
        <w:rPr>
          <w:rFonts w:ascii="Arial" w:hAnsi="Arial" w:cs="Arial"/>
          <w:sz w:val="20"/>
          <w:szCs w:val="20"/>
        </w:rPr>
        <w:t>s</w:t>
      </w:r>
      <w:r w:rsidR="00D219D5">
        <w:rPr>
          <w:rFonts w:ascii="Arial" w:hAnsi="Arial" w:cs="Arial"/>
          <w:sz w:val="20"/>
          <w:szCs w:val="20"/>
        </w:rPr>
        <w:t>hops</w:t>
      </w:r>
      <w:r w:rsidR="00C059A0" w:rsidRPr="00FC6804">
        <w:rPr>
          <w:rFonts w:ascii="Arial" w:hAnsi="Arial" w:cs="Arial"/>
          <w:sz w:val="20"/>
          <w:szCs w:val="20"/>
        </w:rPr>
        <w:t xml:space="preserve"> which would be funded from above-cost recovery fees paid by seafood processors ($0.2 </w:t>
      </w:r>
      <w:r w:rsidR="00216540" w:rsidRPr="00FC6804">
        <w:rPr>
          <w:rFonts w:ascii="Arial" w:hAnsi="Arial" w:cs="Arial"/>
          <w:sz w:val="20"/>
          <w:szCs w:val="20"/>
        </w:rPr>
        <w:t>million</w:t>
      </w:r>
      <w:r w:rsidR="00C059A0" w:rsidRPr="00FC6804">
        <w:rPr>
          <w:rFonts w:ascii="Arial" w:hAnsi="Arial" w:cs="Arial"/>
          <w:sz w:val="20"/>
          <w:szCs w:val="20"/>
        </w:rPr>
        <w:t>), meat transport vehicle operators ($0.19 million) and further meat processi</w:t>
      </w:r>
      <w:r w:rsidR="00962E51" w:rsidRPr="00FC6804">
        <w:rPr>
          <w:rFonts w:ascii="Arial" w:hAnsi="Arial" w:cs="Arial"/>
          <w:sz w:val="20"/>
          <w:szCs w:val="20"/>
        </w:rPr>
        <w:t xml:space="preserve">ng facilities ($0.17 million). </w:t>
      </w:r>
      <w:r w:rsidR="00C059A0" w:rsidRPr="00FC6804">
        <w:rPr>
          <w:rFonts w:ascii="Arial" w:hAnsi="Arial" w:cs="Arial"/>
          <w:sz w:val="20"/>
          <w:szCs w:val="20"/>
        </w:rPr>
        <w:t xml:space="preserve">Fees paid by abattoirs and poultry processing facilities would also be around $0.1 million lower under Option </w:t>
      </w:r>
      <w:r w:rsidR="006D3A19" w:rsidRPr="00FC6804">
        <w:rPr>
          <w:rFonts w:ascii="Arial" w:hAnsi="Arial" w:cs="Arial"/>
          <w:sz w:val="20"/>
          <w:szCs w:val="20"/>
        </w:rPr>
        <w:t xml:space="preserve">3 </w:t>
      </w:r>
      <w:r w:rsidR="00C059A0" w:rsidRPr="00FC6804">
        <w:rPr>
          <w:rFonts w:ascii="Arial" w:hAnsi="Arial" w:cs="Arial"/>
          <w:sz w:val="20"/>
          <w:szCs w:val="20"/>
        </w:rPr>
        <w:t xml:space="preserve">than Option </w:t>
      </w:r>
      <w:r w:rsidR="006D3A19" w:rsidRPr="00FC6804">
        <w:rPr>
          <w:rFonts w:ascii="Arial" w:hAnsi="Arial" w:cs="Arial"/>
          <w:sz w:val="20"/>
          <w:szCs w:val="20"/>
        </w:rPr>
        <w:t>2</w:t>
      </w:r>
      <w:r w:rsidR="00C059A0" w:rsidRPr="00FC6804">
        <w:rPr>
          <w:rFonts w:ascii="Arial" w:hAnsi="Arial" w:cs="Arial"/>
          <w:sz w:val="20"/>
          <w:szCs w:val="20"/>
        </w:rPr>
        <w:t>, as they would also be set to reflect regulatory costs</w:t>
      </w:r>
      <w:r w:rsidR="00C059A0" w:rsidRPr="00FC6804">
        <w:rPr>
          <w:rStyle w:val="FootnoteReference"/>
          <w:rFonts w:ascii="Arial" w:hAnsi="Arial" w:cs="Arial"/>
          <w:sz w:val="20"/>
          <w:szCs w:val="20"/>
        </w:rPr>
        <w:footnoteReference w:id="30"/>
      </w:r>
      <w:r w:rsidR="00C059A0" w:rsidRPr="00FC6804">
        <w:rPr>
          <w:rFonts w:ascii="Arial" w:hAnsi="Arial" w:cs="Arial"/>
          <w:sz w:val="20"/>
          <w:szCs w:val="20"/>
        </w:rPr>
        <w:t>.</w:t>
      </w:r>
    </w:p>
    <w:p w:rsidR="00C059A0" w:rsidRPr="00FC6804" w:rsidRDefault="00C059A0" w:rsidP="00F46109">
      <w:pPr>
        <w:spacing w:after="0" w:line="240" w:lineRule="auto"/>
        <w:rPr>
          <w:rFonts w:ascii="Arial" w:hAnsi="Arial" w:cs="Arial"/>
          <w:sz w:val="20"/>
          <w:szCs w:val="20"/>
        </w:rPr>
      </w:pPr>
    </w:p>
    <w:p w:rsidR="00CA09BF" w:rsidRPr="00FC6804" w:rsidRDefault="00CA09BF" w:rsidP="00F46109">
      <w:pPr>
        <w:pStyle w:val="Heading2"/>
        <w:numPr>
          <w:ilvl w:val="1"/>
          <w:numId w:val="2"/>
        </w:numPr>
        <w:rPr>
          <w:rFonts w:cs="Arial"/>
          <w:b/>
          <w:szCs w:val="20"/>
        </w:rPr>
      </w:pPr>
      <w:bookmarkStart w:id="33" w:name="_Toc443915362"/>
      <w:r w:rsidRPr="00FC6804">
        <w:rPr>
          <w:rFonts w:cs="Arial"/>
          <w:b/>
          <w:szCs w:val="20"/>
        </w:rPr>
        <w:t>Expected costs of Option 3</w:t>
      </w:r>
      <w:bookmarkEnd w:id="33"/>
    </w:p>
    <w:p w:rsidR="004B44C3" w:rsidRPr="00FC6804" w:rsidRDefault="004B44C3" w:rsidP="00F46109">
      <w:pPr>
        <w:spacing w:after="0" w:line="240" w:lineRule="auto"/>
        <w:rPr>
          <w:rFonts w:ascii="Arial" w:hAnsi="Arial" w:cs="Arial"/>
          <w:color w:val="FF0000"/>
          <w:sz w:val="20"/>
          <w:szCs w:val="20"/>
        </w:rPr>
      </w:pPr>
    </w:p>
    <w:p w:rsidR="00054C02" w:rsidRPr="00FC6804" w:rsidRDefault="00CA09BF" w:rsidP="00F46109">
      <w:pPr>
        <w:spacing w:after="0" w:line="240" w:lineRule="auto"/>
        <w:rPr>
          <w:rFonts w:ascii="Arial" w:hAnsi="Arial" w:cs="Arial"/>
          <w:sz w:val="20"/>
          <w:szCs w:val="20"/>
        </w:rPr>
      </w:pPr>
      <w:r w:rsidRPr="00FC6804">
        <w:rPr>
          <w:rFonts w:ascii="Arial" w:hAnsi="Arial" w:cs="Arial"/>
          <w:sz w:val="20"/>
          <w:szCs w:val="20"/>
        </w:rPr>
        <w:t xml:space="preserve">The major potential cost associated with Option 3 reflects the fact that it contemplates making substantial realignments of the current fee structure on the basis of a limited database on respect of the distribution of </w:t>
      </w:r>
      <w:r w:rsidR="00962E51" w:rsidRPr="00FC6804">
        <w:rPr>
          <w:rFonts w:ascii="Arial" w:hAnsi="Arial" w:cs="Arial"/>
          <w:sz w:val="20"/>
          <w:szCs w:val="20"/>
        </w:rPr>
        <w:t>PrimeSafe</w:t>
      </w:r>
      <w:r w:rsidRPr="00FC6804">
        <w:rPr>
          <w:rFonts w:ascii="Arial" w:hAnsi="Arial" w:cs="Arial"/>
          <w:sz w:val="20"/>
          <w:szCs w:val="20"/>
        </w:rPr>
        <w:t xml:space="preserve"> costs between and within licen</w:t>
      </w:r>
      <w:r w:rsidR="00962E51" w:rsidRPr="00FC6804">
        <w:rPr>
          <w:rFonts w:ascii="Arial" w:hAnsi="Arial" w:cs="Arial"/>
          <w:sz w:val="20"/>
          <w:szCs w:val="20"/>
        </w:rPr>
        <w:t xml:space="preserve">ce categories as noted above. </w:t>
      </w:r>
      <w:r w:rsidRPr="00FC6804">
        <w:rPr>
          <w:rFonts w:ascii="Arial" w:hAnsi="Arial" w:cs="Arial"/>
          <w:sz w:val="20"/>
          <w:szCs w:val="20"/>
        </w:rPr>
        <w:t xml:space="preserve">Given this, there is a significant risk that </w:t>
      </w:r>
      <w:r w:rsidR="00CA5EFF" w:rsidRPr="00FC6804">
        <w:rPr>
          <w:rFonts w:ascii="Arial" w:hAnsi="Arial" w:cs="Arial"/>
          <w:sz w:val="20"/>
          <w:szCs w:val="20"/>
        </w:rPr>
        <w:t>some large fee increases may not be fully justified and may need to be reversed in the medium term, when be</w:t>
      </w:r>
      <w:r w:rsidR="00962E51" w:rsidRPr="00FC6804">
        <w:rPr>
          <w:rFonts w:ascii="Arial" w:hAnsi="Arial" w:cs="Arial"/>
          <w:sz w:val="20"/>
          <w:szCs w:val="20"/>
        </w:rPr>
        <w:t xml:space="preserve">tter information is available. </w:t>
      </w:r>
      <w:r w:rsidR="00CA5EFF" w:rsidRPr="00FC6804">
        <w:rPr>
          <w:rFonts w:ascii="Arial" w:hAnsi="Arial" w:cs="Arial"/>
          <w:sz w:val="20"/>
          <w:szCs w:val="20"/>
        </w:rPr>
        <w:t>Should this occur, there would be a lack of certainty and transparency for affected licence</w:t>
      </w:r>
      <w:r w:rsidR="00D219D5">
        <w:rPr>
          <w:rFonts w:ascii="Arial" w:hAnsi="Arial" w:cs="Arial"/>
          <w:sz w:val="20"/>
          <w:szCs w:val="20"/>
        </w:rPr>
        <w:t xml:space="preserve"> </w:t>
      </w:r>
      <w:r w:rsidR="00CA5EFF" w:rsidRPr="00FC6804">
        <w:rPr>
          <w:rFonts w:ascii="Arial" w:hAnsi="Arial" w:cs="Arial"/>
          <w:sz w:val="20"/>
          <w:szCs w:val="20"/>
        </w:rPr>
        <w:t>holders and a potential loss of confidence in Prime</w:t>
      </w:r>
      <w:r w:rsidR="00962E51" w:rsidRPr="00FC6804">
        <w:rPr>
          <w:rFonts w:ascii="Arial" w:hAnsi="Arial" w:cs="Arial"/>
          <w:sz w:val="20"/>
          <w:szCs w:val="20"/>
        </w:rPr>
        <w:t>S</w:t>
      </w:r>
      <w:r w:rsidR="00CA5EFF" w:rsidRPr="00FC6804">
        <w:rPr>
          <w:rFonts w:ascii="Arial" w:hAnsi="Arial" w:cs="Arial"/>
          <w:sz w:val="20"/>
          <w:szCs w:val="20"/>
        </w:rPr>
        <w:t>afe’s approach to fee</w:t>
      </w:r>
      <w:r w:rsidR="00D219D5">
        <w:rPr>
          <w:rFonts w:ascii="Arial" w:hAnsi="Arial" w:cs="Arial"/>
          <w:sz w:val="20"/>
          <w:szCs w:val="20"/>
        </w:rPr>
        <w:t xml:space="preserve"> </w:t>
      </w:r>
      <w:r w:rsidR="00CA5EFF" w:rsidRPr="00FC6804">
        <w:rPr>
          <w:rFonts w:ascii="Arial" w:hAnsi="Arial" w:cs="Arial"/>
          <w:sz w:val="20"/>
          <w:szCs w:val="20"/>
        </w:rPr>
        <w:t>setting.</w:t>
      </w:r>
    </w:p>
    <w:p w:rsidR="00962E51" w:rsidRPr="00FC6804" w:rsidRDefault="00962E51" w:rsidP="00F46109">
      <w:pPr>
        <w:spacing w:after="0" w:line="240" w:lineRule="auto"/>
        <w:rPr>
          <w:rFonts w:ascii="Arial" w:hAnsi="Arial" w:cs="Arial"/>
          <w:sz w:val="20"/>
          <w:szCs w:val="20"/>
        </w:rPr>
      </w:pPr>
    </w:p>
    <w:p w:rsidR="00F46109" w:rsidRPr="00FC6804" w:rsidRDefault="00CA5EFF" w:rsidP="00F46109">
      <w:pPr>
        <w:spacing w:after="0" w:line="240" w:lineRule="auto"/>
        <w:rPr>
          <w:rFonts w:ascii="Arial" w:hAnsi="Arial" w:cs="Arial"/>
          <w:sz w:val="20"/>
          <w:szCs w:val="20"/>
        </w:rPr>
        <w:sectPr w:rsidR="00F46109" w:rsidRPr="00FC6804" w:rsidSect="00245D1C">
          <w:pgSz w:w="11906" w:h="16838" w:code="9"/>
          <w:pgMar w:top="1440" w:right="1440" w:bottom="1440" w:left="1440" w:header="567" w:footer="567" w:gutter="0"/>
          <w:cols w:space="708"/>
          <w:docGrid w:linePitch="360"/>
        </w:sectPr>
      </w:pPr>
      <w:r w:rsidRPr="00FC6804">
        <w:rPr>
          <w:rFonts w:ascii="Arial" w:hAnsi="Arial" w:cs="Arial"/>
          <w:sz w:val="20"/>
          <w:szCs w:val="20"/>
        </w:rPr>
        <w:t>A second significant cost in relation to Option 3 is that the large fee increases contemplated in some licence categories could have real negative effects on the affordability of licence fees for small business.</w:t>
      </w:r>
    </w:p>
    <w:p w:rsidR="00054C02" w:rsidRPr="00FC6804" w:rsidRDefault="00054C02" w:rsidP="0026792B">
      <w:pPr>
        <w:pStyle w:val="Heading1"/>
      </w:pPr>
      <w:bookmarkStart w:id="34" w:name="_Toc443915363"/>
      <w:r w:rsidRPr="00FC6804">
        <w:t xml:space="preserve">Option </w:t>
      </w:r>
      <w:r w:rsidR="006D3A19" w:rsidRPr="00FC6804">
        <w:t>4</w:t>
      </w:r>
      <w:r w:rsidRPr="00FC6804">
        <w:t xml:space="preserve">: Equalise cost recovery levels across licence </w:t>
      </w:r>
      <w:r w:rsidR="00070DA4" w:rsidRPr="00FC6804">
        <w:t>types</w:t>
      </w:r>
      <w:r w:rsidRPr="00FC6804">
        <w:t xml:space="preserve"> while adopting a </w:t>
      </w:r>
      <w:r w:rsidR="00070DA4" w:rsidRPr="00FC6804">
        <w:t xml:space="preserve">more </w:t>
      </w:r>
      <w:r w:rsidRPr="00FC6804">
        <w:t xml:space="preserve">risk-based approach to regulatory </w:t>
      </w:r>
      <w:r w:rsidR="00002693" w:rsidRPr="00FC6804">
        <w:t>surveillance</w:t>
      </w:r>
      <w:bookmarkEnd w:id="34"/>
    </w:p>
    <w:p w:rsidR="00002693" w:rsidRPr="00FC6804" w:rsidRDefault="00002693" w:rsidP="00C64456">
      <w:pPr>
        <w:spacing w:after="0" w:line="240" w:lineRule="auto"/>
        <w:rPr>
          <w:rFonts w:ascii="Arial" w:hAnsi="Arial" w:cs="Arial"/>
          <w:sz w:val="20"/>
          <w:szCs w:val="20"/>
        </w:rPr>
      </w:pPr>
    </w:p>
    <w:p w:rsidR="00231E41" w:rsidRPr="00FC6804" w:rsidRDefault="00231E41" w:rsidP="00C64456">
      <w:pPr>
        <w:pStyle w:val="Heading2"/>
        <w:numPr>
          <w:ilvl w:val="1"/>
          <w:numId w:val="2"/>
        </w:numPr>
        <w:rPr>
          <w:rFonts w:cs="Arial"/>
          <w:b/>
          <w:szCs w:val="20"/>
        </w:rPr>
      </w:pPr>
      <w:bookmarkStart w:id="35" w:name="_Toc443915364"/>
      <w:r w:rsidRPr="00FC6804">
        <w:rPr>
          <w:rFonts w:cs="Arial"/>
          <w:b/>
          <w:szCs w:val="20"/>
        </w:rPr>
        <w:t>Description of the option</w:t>
      </w:r>
      <w:bookmarkEnd w:id="35"/>
    </w:p>
    <w:p w:rsidR="00231E41" w:rsidRPr="00FC6804" w:rsidRDefault="00231E41" w:rsidP="00C64456">
      <w:pPr>
        <w:spacing w:after="0" w:line="240" w:lineRule="auto"/>
        <w:rPr>
          <w:rFonts w:ascii="Arial" w:hAnsi="Arial" w:cs="Arial"/>
          <w:sz w:val="20"/>
          <w:szCs w:val="20"/>
        </w:rPr>
      </w:pPr>
    </w:p>
    <w:p w:rsidR="00070DA4" w:rsidRPr="00FC6804" w:rsidRDefault="00231E41" w:rsidP="00C64456">
      <w:pPr>
        <w:spacing w:after="0" w:line="240" w:lineRule="auto"/>
        <w:rPr>
          <w:rFonts w:ascii="Arial" w:hAnsi="Arial" w:cs="Arial"/>
          <w:sz w:val="20"/>
          <w:szCs w:val="20"/>
        </w:rPr>
      </w:pPr>
      <w:r w:rsidRPr="00FC6804">
        <w:rPr>
          <w:rFonts w:ascii="Arial" w:hAnsi="Arial" w:cs="Arial"/>
          <w:sz w:val="20"/>
          <w:szCs w:val="20"/>
        </w:rPr>
        <w:t>Risk-based approaches to regulatory inspection and enforcement activity are increasingly widely accepted as constituting best practice in a</w:t>
      </w:r>
      <w:r w:rsidR="00B713D1" w:rsidRPr="00FC6804">
        <w:rPr>
          <w:rFonts w:ascii="Arial" w:hAnsi="Arial" w:cs="Arial"/>
          <w:sz w:val="20"/>
          <w:szCs w:val="20"/>
        </w:rPr>
        <w:t xml:space="preserve"> range of regulatory contexts. </w:t>
      </w:r>
      <w:r w:rsidRPr="00FC6804">
        <w:rPr>
          <w:rFonts w:ascii="Arial" w:hAnsi="Arial" w:cs="Arial"/>
          <w:sz w:val="20"/>
          <w:szCs w:val="20"/>
        </w:rPr>
        <w:t>Designing inspection programs that take account of risk, including by responding to the past performance of individual regulated entities, can maintain and improve regulatory outcomes while reducing the costs of these activities, particularly when risk-based inspection is supported by an appropriately tailored enforcement and sanctions regime.</w:t>
      </w:r>
    </w:p>
    <w:p w:rsidR="00B713D1" w:rsidRPr="00FC6804" w:rsidRDefault="00B713D1" w:rsidP="00C64456">
      <w:pPr>
        <w:spacing w:after="0" w:line="240" w:lineRule="auto"/>
        <w:rPr>
          <w:rFonts w:ascii="Arial" w:hAnsi="Arial" w:cs="Arial"/>
          <w:sz w:val="20"/>
          <w:szCs w:val="20"/>
        </w:rPr>
      </w:pPr>
    </w:p>
    <w:p w:rsidR="00E43DEF" w:rsidRPr="00FC6804" w:rsidRDefault="00231E41" w:rsidP="00C64456">
      <w:pPr>
        <w:spacing w:after="0" w:line="240" w:lineRule="auto"/>
        <w:rPr>
          <w:rFonts w:ascii="Arial" w:hAnsi="Arial" w:cs="Arial"/>
          <w:sz w:val="20"/>
          <w:szCs w:val="20"/>
        </w:rPr>
      </w:pPr>
      <w:r w:rsidRPr="00FC6804">
        <w:rPr>
          <w:rFonts w:ascii="Arial" w:hAnsi="Arial" w:cs="Arial"/>
          <w:sz w:val="20"/>
          <w:szCs w:val="20"/>
        </w:rPr>
        <w:t>This option would involve adopting a greater degree of risk-based targeting in Prime</w:t>
      </w:r>
      <w:r w:rsidR="00B713D1" w:rsidRPr="00FC6804">
        <w:rPr>
          <w:rFonts w:ascii="Arial" w:hAnsi="Arial" w:cs="Arial"/>
          <w:sz w:val="20"/>
          <w:szCs w:val="20"/>
        </w:rPr>
        <w:t>S</w:t>
      </w:r>
      <w:r w:rsidRPr="00FC6804">
        <w:rPr>
          <w:rFonts w:ascii="Arial" w:hAnsi="Arial" w:cs="Arial"/>
          <w:sz w:val="20"/>
          <w:szCs w:val="20"/>
        </w:rPr>
        <w:t>afe’s inspect</w:t>
      </w:r>
      <w:r w:rsidR="00B713D1" w:rsidRPr="00FC6804">
        <w:rPr>
          <w:rFonts w:ascii="Arial" w:hAnsi="Arial" w:cs="Arial"/>
          <w:sz w:val="20"/>
          <w:szCs w:val="20"/>
        </w:rPr>
        <w:t xml:space="preserve">ion and enforcement activities. </w:t>
      </w:r>
      <w:r w:rsidRPr="00FC6804">
        <w:rPr>
          <w:rFonts w:ascii="Arial" w:hAnsi="Arial" w:cs="Arial"/>
          <w:sz w:val="20"/>
          <w:szCs w:val="20"/>
        </w:rPr>
        <w:t>While PrimeSafe currently adopts risk-based approaches in these areas to a significant extent, opportunities remain to increa</w:t>
      </w:r>
      <w:r w:rsidR="00B713D1" w:rsidRPr="00FC6804">
        <w:rPr>
          <w:rFonts w:ascii="Arial" w:hAnsi="Arial" w:cs="Arial"/>
          <w:sz w:val="20"/>
          <w:szCs w:val="20"/>
        </w:rPr>
        <w:t xml:space="preserve">se the use of these approaches. </w:t>
      </w:r>
      <w:r w:rsidR="00E43DEF" w:rsidRPr="00FC6804">
        <w:rPr>
          <w:rFonts w:ascii="Arial" w:hAnsi="Arial" w:cs="Arial"/>
          <w:sz w:val="20"/>
          <w:szCs w:val="20"/>
        </w:rPr>
        <w:t>Two key areas in this regard are the program of inspections of retail butcher shops for the presence of sulphur dioxide, and the program of animal welfare</w:t>
      </w:r>
      <w:r w:rsidR="00D219D5">
        <w:rPr>
          <w:rFonts w:ascii="Arial" w:hAnsi="Arial" w:cs="Arial"/>
          <w:sz w:val="20"/>
          <w:szCs w:val="20"/>
        </w:rPr>
        <w:t xml:space="preserve"> </w:t>
      </w:r>
      <w:r w:rsidR="00E43DEF" w:rsidRPr="00FC6804">
        <w:rPr>
          <w:rFonts w:ascii="Arial" w:hAnsi="Arial" w:cs="Arial"/>
          <w:sz w:val="20"/>
          <w:szCs w:val="20"/>
        </w:rPr>
        <w:t xml:space="preserve">inspections of abattoirs, poultry processing facilities, and pet meat processing facilities. </w:t>
      </w:r>
    </w:p>
    <w:p w:rsidR="00B713D1" w:rsidRPr="00FC6804" w:rsidRDefault="00B713D1" w:rsidP="00C64456">
      <w:pPr>
        <w:spacing w:after="0" w:line="240" w:lineRule="auto"/>
        <w:rPr>
          <w:rFonts w:ascii="Arial" w:hAnsi="Arial" w:cs="Arial"/>
          <w:b/>
          <w:sz w:val="20"/>
          <w:szCs w:val="20"/>
        </w:rPr>
      </w:pPr>
    </w:p>
    <w:p w:rsidR="00E43DEF" w:rsidRPr="00FC6804" w:rsidRDefault="00E43DEF" w:rsidP="00C64456">
      <w:pPr>
        <w:spacing w:after="0" w:line="240" w:lineRule="auto"/>
        <w:rPr>
          <w:rFonts w:ascii="Arial" w:hAnsi="Arial" w:cs="Arial"/>
          <w:b/>
          <w:sz w:val="20"/>
          <w:szCs w:val="20"/>
        </w:rPr>
      </w:pPr>
      <w:r w:rsidRPr="00FC6804">
        <w:rPr>
          <w:rFonts w:ascii="Arial" w:hAnsi="Arial" w:cs="Arial"/>
          <w:b/>
          <w:sz w:val="20"/>
          <w:szCs w:val="20"/>
        </w:rPr>
        <w:t>Animal welfare inspections</w:t>
      </w:r>
    </w:p>
    <w:p w:rsidR="00B713D1" w:rsidRPr="00FC6804" w:rsidRDefault="00B713D1" w:rsidP="00C64456">
      <w:pPr>
        <w:spacing w:after="0" w:line="240" w:lineRule="auto"/>
        <w:rPr>
          <w:rFonts w:ascii="Arial" w:hAnsi="Arial" w:cs="Arial"/>
          <w:sz w:val="20"/>
          <w:szCs w:val="20"/>
        </w:rPr>
      </w:pPr>
    </w:p>
    <w:p w:rsidR="00E43DEF" w:rsidRPr="00FC6804" w:rsidRDefault="00E43DEF" w:rsidP="00C64456">
      <w:pPr>
        <w:spacing w:after="0" w:line="240" w:lineRule="auto"/>
        <w:rPr>
          <w:rFonts w:ascii="Arial" w:hAnsi="Arial" w:cs="Arial"/>
          <w:sz w:val="20"/>
          <w:szCs w:val="20"/>
        </w:rPr>
      </w:pPr>
      <w:r w:rsidRPr="00FC6804">
        <w:rPr>
          <w:rFonts w:ascii="Arial" w:hAnsi="Arial" w:cs="Arial"/>
          <w:sz w:val="20"/>
          <w:szCs w:val="20"/>
        </w:rPr>
        <w:t>112, or 10.4%, of the 1</w:t>
      </w:r>
      <w:r w:rsidR="00B713D1" w:rsidRPr="00FC6804">
        <w:rPr>
          <w:rFonts w:ascii="Arial" w:hAnsi="Arial" w:cs="Arial"/>
          <w:sz w:val="20"/>
          <w:szCs w:val="20"/>
        </w:rPr>
        <w:t>,</w:t>
      </w:r>
      <w:r w:rsidRPr="00FC6804">
        <w:rPr>
          <w:rFonts w:ascii="Arial" w:hAnsi="Arial" w:cs="Arial"/>
          <w:sz w:val="20"/>
          <w:szCs w:val="20"/>
        </w:rPr>
        <w:t>082 inspections condu</w:t>
      </w:r>
      <w:r w:rsidR="00B713D1" w:rsidRPr="00FC6804">
        <w:rPr>
          <w:rFonts w:ascii="Arial" w:hAnsi="Arial" w:cs="Arial"/>
          <w:sz w:val="20"/>
          <w:szCs w:val="20"/>
        </w:rPr>
        <w:t>cted by PrimeSafe during 2014-</w:t>
      </w:r>
      <w:r w:rsidRPr="00FC6804">
        <w:rPr>
          <w:rFonts w:ascii="Arial" w:hAnsi="Arial" w:cs="Arial"/>
          <w:sz w:val="20"/>
          <w:szCs w:val="20"/>
        </w:rPr>
        <w:t xml:space="preserve">15 were carried out as part of the </w:t>
      </w:r>
      <w:r w:rsidR="00D219D5">
        <w:rPr>
          <w:rFonts w:ascii="Arial" w:hAnsi="Arial" w:cs="Arial"/>
          <w:sz w:val="20"/>
          <w:szCs w:val="20"/>
        </w:rPr>
        <w:t xml:space="preserve">animal </w:t>
      </w:r>
      <w:r w:rsidRPr="00FC6804">
        <w:rPr>
          <w:rFonts w:ascii="Arial" w:hAnsi="Arial" w:cs="Arial"/>
          <w:sz w:val="20"/>
          <w:szCs w:val="20"/>
        </w:rPr>
        <w:t>welfare program. Under this program</w:t>
      </w:r>
      <w:r w:rsidR="00D219D5">
        <w:rPr>
          <w:rFonts w:ascii="Arial" w:hAnsi="Arial" w:cs="Arial"/>
          <w:sz w:val="20"/>
          <w:szCs w:val="20"/>
        </w:rPr>
        <w:t>,</w:t>
      </w:r>
      <w:r w:rsidRPr="00FC6804">
        <w:rPr>
          <w:rFonts w:ascii="Arial" w:hAnsi="Arial" w:cs="Arial"/>
          <w:sz w:val="20"/>
          <w:szCs w:val="20"/>
        </w:rPr>
        <w:t xml:space="preserve"> all domesti</w:t>
      </w:r>
      <w:r w:rsidR="00D219D5">
        <w:rPr>
          <w:rFonts w:ascii="Arial" w:hAnsi="Arial" w:cs="Arial"/>
          <w:sz w:val="20"/>
          <w:szCs w:val="20"/>
        </w:rPr>
        <w:t xml:space="preserve">c abattoirs, poultry processing facilities </w:t>
      </w:r>
      <w:r w:rsidRPr="00FC6804">
        <w:rPr>
          <w:rFonts w:ascii="Arial" w:hAnsi="Arial" w:cs="Arial"/>
          <w:sz w:val="20"/>
          <w:szCs w:val="20"/>
        </w:rPr>
        <w:t xml:space="preserve">and pet meat </w:t>
      </w:r>
      <w:r w:rsidR="00D219D5">
        <w:rPr>
          <w:rFonts w:ascii="Arial" w:hAnsi="Arial" w:cs="Arial"/>
          <w:sz w:val="20"/>
          <w:szCs w:val="20"/>
        </w:rPr>
        <w:t>processing facilities</w:t>
      </w:r>
      <w:r w:rsidRPr="00FC6804">
        <w:rPr>
          <w:rFonts w:ascii="Arial" w:hAnsi="Arial" w:cs="Arial"/>
          <w:sz w:val="20"/>
          <w:szCs w:val="20"/>
        </w:rPr>
        <w:t xml:space="preserve"> are inspected twice annually to ensure that animal welfare standards are being met. Under option </w:t>
      </w:r>
      <w:r w:rsidR="006D3A19" w:rsidRPr="00FC6804">
        <w:rPr>
          <w:rFonts w:ascii="Arial" w:hAnsi="Arial" w:cs="Arial"/>
          <w:sz w:val="20"/>
          <w:szCs w:val="20"/>
        </w:rPr>
        <w:t>4</w:t>
      </w:r>
      <w:r w:rsidRPr="00FC6804">
        <w:rPr>
          <w:rFonts w:ascii="Arial" w:hAnsi="Arial" w:cs="Arial"/>
          <w:sz w:val="20"/>
          <w:szCs w:val="20"/>
        </w:rPr>
        <w:t>, an alternative, risk-based approach would be taken</w:t>
      </w:r>
      <w:r w:rsidR="00B713D1" w:rsidRPr="00FC6804">
        <w:rPr>
          <w:rFonts w:ascii="Arial" w:hAnsi="Arial" w:cs="Arial"/>
          <w:sz w:val="20"/>
          <w:szCs w:val="20"/>
        </w:rPr>
        <w:t xml:space="preserve"> to animal welfare inspections. </w:t>
      </w:r>
      <w:r w:rsidRPr="00FC6804">
        <w:rPr>
          <w:rFonts w:ascii="Arial" w:hAnsi="Arial" w:cs="Arial"/>
          <w:sz w:val="20"/>
          <w:szCs w:val="20"/>
        </w:rPr>
        <w:t>This would imply that a less frequent inspection regime would be adopted in respect of facilities that had not been found to have any significant animal welfare related issues during one or more prior inspections. Where a significant animal welfare issue was subsequent</w:t>
      </w:r>
      <w:r w:rsidR="00D219D5">
        <w:rPr>
          <w:rFonts w:ascii="Arial" w:hAnsi="Arial" w:cs="Arial"/>
          <w:sz w:val="20"/>
          <w:szCs w:val="20"/>
        </w:rPr>
        <w:t>ly</w:t>
      </w:r>
      <w:r w:rsidRPr="00FC6804">
        <w:rPr>
          <w:rFonts w:ascii="Arial" w:hAnsi="Arial" w:cs="Arial"/>
          <w:sz w:val="20"/>
          <w:szCs w:val="20"/>
        </w:rPr>
        <w:t xml:space="preserve"> be discovered, a more frequent inspection regime would be implemented over the next </w:t>
      </w:r>
      <w:r w:rsidR="00B713D1" w:rsidRPr="00FC6804">
        <w:rPr>
          <w:rFonts w:ascii="Arial" w:hAnsi="Arial" w:cs="Arial"/>
          <w:sz w:val="20"/>
          <w:szCs w:val="20"/>
        </w:rPr>
        <w:t>one</w:t>
      </w:r>
      <w:r w:rsidRPr="00FC6804">
        <w:rPr>
          <w:rFonts w:ascii="Arial" w:hAnsi="Arial" w:cs="Arial"/>
          <w:sz w:val="20"/>
          <w:szCs w:val="20"/>
        </w:rPr>
        <w:t xml:space="preserve"> to </w:t>
      </w:r>
      <w:r w:rsidR="00B713D1" w:rsidRPr="00FC6804">
        <w:rPr>
          <w:rFonts w:ascii="Arial" w:hAnsi="Arial" w:cs="Arial"/>
          <w:sz w:val="20"/>
          <w:szCs w:val="20"/>
        </w:rPr>
        <w:t>two</w:t>
      </w:r>
      <w:r w:rsidRPr="00FC6804">
        <w:rPr>
          <w:rFonts w:ascii="Arial" w:hAnsi="Arial" w:cs="Arial"/>
          <w:sz w:val="20"/>
          <w:szCs w:val="20"/>
        </w:rPr>
        <w:t xml:space="preserve"> years, until sustained compliance was again demonstrated.</w:t>
      </w:r>
    </w:p>
    <w:p w:rsidR="00B713D1" w:rsidRPr="00FC6804" w:rsidRDefault="00B713D1" w:rsidP="00C64456">
      <w:pPr>
        <w:spacing w:after="0" w:line="240" w:lineRule="auto"/>
        <w:rPr>
          <w:rFonts w:ascii="Arial" w:hAnsi="Arial" w:cs="Arial"/>
          <w:b/>
          <w:sz w:val="20"/>
          <w:szCs w:val="20"/>
        </w:rPr>
      </w:pPr>
    </w:p>
    <w:p w:rsidR="00E43DEF" w:rsidRPr="00FC6804" w:rsidRDefault="00E43DEF" w:rsidP="00C64456">
      <w:pPr>
        <w:spacing w:after="0" w:line="240" w:lineRule="auto"/>
        <w:rPr>
          <w:rFonts w:ascii="Arial" w:hAnsi="Arial" w:cs="Arial"/>
          <w:b/>
          <w:sz w:val="20"/>
          <w:szCs w:val="20"/>
        </w:rPr>
      </w:pPr>
      <w:r w:rsidRPr="00FC6804">
        <w:rPr>
          <w:rFonts w:ascii="Arial" w:hAnsi="Arial" w:cs="Arial"/>
          <w:b/>
          <w:sz w:val="20"/>
          <w:szCs w:val="20"/>
        </w:rPr>
        <w:t>Sulphur dioxide inspection program</w:t>
      </w:r>
    </w:p>
    <w:p w:rsidR="00B713D1" w:rsidRPr="00FC6804" w:rsidRDefault="00B713D1" w:rsidP="00C64456">
      <w:pPr>
        <w:spacing w:after="0" w:line="240" w:lineRule="auto"/>
        <w:rPr>
          <w:rFonts w:ascii="Arial" w:hAnsi="Arial" w:cs="Arial"/>
          <w:sz w:val="20"/>
          <w:szCs w:val="20"/>
        </w:rPr>
      </w:pPr>
    </w:p>
    <w:p w:rsidR="00594EF6" w:rsidRPr="00FC6804" w:rsidRDefault="00231E41" w:rsidP="00C64456">
      <w:pPr>
        <w:spacing w:after="0" w:line="240" w:lineRule="auto"/>
        <w:rPr>
          <w:rFonts w:ascii="Arial" w:hAnsi="Arial" w:cs="Arial"/>
          <w:sz w:val="20"/>
          <w:szCs w:val="20"/>
        </w:rPr>
      </w:pPr>
      <w:r w:rsidRPr="00FC6804">
        <w:rPr>
          <w:rFonts w:ascii="Arial" w:hAnsi="Arial" w:cs="Arial"/>
          <w:sz w:val="20"/>
          <w:szCs w:val="20"/>
        </w:rPr>
        <w:t>400</w:t>
      </w:r>
      <w:r w:rsidR="00E43DEF" w:rsidRPr="00FC6804">
        <w:rPr>
          <w:rFonts w:ascii="Arial" w:hAnsi="Arial" w:cs="Arial"/>
          <w:sz w:val="20"/>
          <w:szCs w:val="20"/>
        </w:rPr>
        <w:t>, or 37.0%, of the total of 1</w:t>
      </w:r>
      <w:r w:rsidR="00B713D1" w:rsidRPr="00FC6804">
        <w:rPr>
          <w:rFonts w:ascii="Arial" w:hAnsi="Arial" w:cs="Arial"/>
          <w:sz w:val="20"/>
          <w:szCs w:val="20"/>
        </w:rPr>
        <w:t>,</w:t>
      </w:r>
      <w:r w:rsidR="00E43DEF" w:rsidRPr="00FC6804">
        <w:rPr>
          <w:rFonts w:ascii="Arial" w:hAnsi="Arial" w:cs="Arial"/>
          <w:sz w:val="20"/>
          <w:szCs w:val="20"/>
        </w:rPr>
        <w:t>082</w:t>
      </w:r>
      <w:r w:rsidRPr="00FC6804">
        <w:rPr>
          <w:rFonts w:ascii="Arial" w:hAnsi="Arial" w:cs="Arial"/>
          <w:sz w:val="20"/>
          <w:szCs w:val="20"/>
        </w:rPr>
        <w:t xml:space="preserve"> inspections</w:t>
      </w:r>
      <w:r w:rsidR="00B713D1" w:rsidRPr="00FC6804">
        <w:rPr>
          <w:rFonts w:ascii="Arial" w:hAnsi="Arial" w:cs="Arial"/>
          <w:sz w:val="20"/>
          <w:szCs w:val="20"/>
        </w:rPr>
        <w:t xml:space="preserve"> carried out in 2014-</w:t>
      </w:r>
      <w:r w:rsidR="00E43DEF" w:rsidRPr="00FC6804">
        <w:rPr>
          <w:rFonts w:ascii="Arial" w:hAnsi="Arial" w:cs="Arial"/>
          <w:sz w:val="20"/>
          <w:szCs w:val="20"/>
        </w:rPr>
        <w:t>15 were conducted in ret</w:t>
      </w:r>
      <w:r w:rsidRPr="00FC6804">
        <w:rPr>
          <w:rFonts w:ascii="Arial" w:hAnsi="Arial" w:cs="Arial"/>
          <w:sz w:val="20"/>
          <w:szCs w:val="20"/>
        </w:rPr>
        <w:t>ail butcher shops as part of a program to ensure that sulphur dioxide is not used in meat. This implies that slightly more than 40% of the</w:t>
      </w:r>
      <w:r w:rsidR="00E43DEF" w:rsidRPr="00FC6804">
        <w:rPr>
          <w:rFonts w:ascii="Arial" w:hAnsi="Arial" w:cs="Arial"/>
          <w:sz w:val="20"/>
          <w:szCs w:val="20"/>
        </w:rPr>
        <w:t xml:space="preserve"> 957 </w:t>
      </w:r>
      <w:r w:rsidRPr="00FC6804">
        <w:rPr>
          <w:rFonts w:ascii="Arial" w:hAnsi="Arial" w:cs="Arial"/>
          <w:sz w:val="20"/>
          <w:szCs w:val="20"/>
        </w:rPr>
        <w:t>licensed retail butcher shops</w:t>
      </w:r>
      <w:r w:rsidR="00E43DEF" w:rsidRPr="00FC6804">
        <w:rPr>
          <w:rFonts w:ascii="Arial" w:hAnsi="Arial" w:cs="Arial"/>
          <w:sz w:val="20"/>
          <w:szCs w:val="20"/>
        </w:rPr>
        <w:t xml:space="preserve"> were </w:t>
      </w:r>
      <w:r w:rsidRPr="00FC6804">
        <w:rPr>
          <w:rFonts w:ascii="Arial" w:hAnsi="Arial" w:cs="Arial"/>
          <w:sz w:val="20"/>
          <w:szCs w:val="20"/>
        </w:rPr>
        <w:t>randomly inspected eac</w:t>
      </w:r>
      <w:r w:rsidR="00D219D5">
        <w:rPr>
          <w:rFonts w:ascii="Arial" w:hAnsi="Arial" w:cs="Arial"/>
          <w:sz w:val="20"/>
          <w:szCs w:val="20"/>
        </w:rPr>
        <w:t xml:space="preserve">h year as part of this program. </w:t>
      </w:r>
      <w:r w:rsidR="00E43DEF" w:rsidRPr="00FC6804">
        <w:rPr>
          <w:rFonts w:ascii="Arial" w:hAnsi="Arial" w:cs="Arial"/>
          <w:sz w:val="20"/>
          <w:szCs w:val="20"/>
        </w:rPr>
        <w:t xml:space="preserve">Conversely, only one </w:t>
      </w:r>
      <w:r w:rsidR="00594EF6" w:rsidRPr="00FC6804">
        <w:rPr>
          <w:rFonts w:ascii="Arial" w:hAnsi="Arial" w:cs="Arial"/>
          <w:sz w:val="20"/>
          <w:szCs w:val="20"/>
        </w:rPr>
        <w:t xml:space="preserve">butcher shop was found to have used sulphur dioxide, a </w:t>
      </w:r>
      <w:r w:rsidR="00CA5787" w:rsidRPr="00FC6804">
        <w:rPr>
          <w:rFonts w:ascii="Arial" w:hAnsi="Arial" w:cs="Arial"/>
          <w:sz w:val="20"/>
          <w:szCs w:val="20"/>
        </w:rPr>
        <w:t>non-</w:t>
      </w:r>
      <w:r w:rsidR="00594EF6" w:rsidRPr="00FC6804">
        <w:rPr>
          <w:rFonts w:ascii="Arial" w:hAnsi="Arial" w:cs="Arial"/>
          <w:sz w:val="20"/>
          <w:szCs w:val="20"/>
        </w:rPr>
        <w:t>compliance rate of 0.25%. This very high compliance rate has been maintained over a number of years.</w:t>
      </w:r>
    </w:p>
    <w:p w:rsidR="00B713D1" w:rsidRPr="00FC6804" w:rsidRDefault="00B713D1" w:rsidP="00C64456">
      <w:pPr>
        <w:spacing w:after="0" w:line="240" w:lineRule="auto"/>
        <w:rPr>
          <w:rFonts w:ascii="Arial" w:hAnsi="Arial" w:cs="Arial"/>
          <w:sz w:val="20"/>
          <w:szCs w:val="20"/>
        </w:rPr>
      </w:pPr>
    </w:p>
    <w:p w:rsidR="00CC58A2" w:rsidRPr="00FC6804" w:rsidRDefault="00594EF6" w:rsidP="00C64456">
      <w:pPr>
        <w:spacing w:after="0" w:line="240" w:lineRule="auto"/>
        <w:rPr>
          <w:rFonts w:ascii="Arial" w:hAnsi="Arial" w:cs="Arial"/>
          <w:sz w:val="20"/>
          <w:szCs w:val="20"/>
        </w:rPr>
      </w:pPr>
      <w:r w:rsidRPr="00FC6804">
        <w:rPr>
          <w:rFonts w:ascii="Arial" w:hAnsi="Arial" w:cs="Arial"/>
          <w:sz w:val="20"/>
          <w:szCs w:val="20"/>
        </w:rPr>
        <w:t xml:space="preserve">Given the high compliance rate, </w:t>
      </w:r>
      <w:r w:rsidR="00D219D5">
        <w:rPr>
          <w:rFonts w:ascii="Arial" w:hAnsi="Arial" w:cs="Arial"/>
          <w:sz w:val="20"/>
          <w:szCs w:val="20"/>
        </w:rPr>
        <w:t>O</w:t>
      </w:r>
      <w:r w:rsidRPr="00FC6804">
        <w:rPr>
          <w:rFonts w:ascii="Arial" w:hAnsi="Arial" w:cs="Arial"/>
          <w:sz w:val="20"/>
          <w:szCs w:val="20"/>
        </w:rPr>
        <w:t xml:space="preserve">ption </w:t>
      </w:r>
      <w:r w:rsidR="006D3A19" w:rsidRPr="00FC6804">
        <w:rPr>
          <w:rFonts w:ascii="Arial" w:hAnsi="Arial" w:cs="Arial"/>
          <w:sz w:val="20"/>
          <w:szCs w:val="20"/>
        </w:rPr>
        <w:t xml:space="preserve">4 </w:t>
      </w:r>
      <w:r w:rsidRPr="00FC6804">
        <w:rPr>
          <w:rFonts w:ascii="Arial" w:hAnsi="Arial" w:cs="Arial"/>
          <w:sz w:val="20"/>
          <w:szCs w:val="20"/>
        </w:rPr>
        <w:t xml:space="preserve">would imply a significant </w:t>
      </w:r>
      <w:r w:rsidR="00D219D5">
        <w:rPr>
          <w:rFonts w:ascii="Arial" w:hAnsi="Arial" w:cs="Arial"/>
          <w:sz w:val="20"/>
          <w:szCs w:val="20"/>
        </w:rPr>
        <w:t>reduction of the</w:t>
      </w:r>
      <w:r w:rsidRPr="00FC6804">
        <w:rPr>
          <w:rFonts w:ascii="Arial" w:hAnsi="Arial" w:cs="Arial"/>
          <w:sz w:val="20"/>
          <w:szCs w:val="20"/>
        </w:rPr>
        <w:t xml:space="preserve"> number of random inspections carried out under this program to around 10% </w:t>
      </w:r>
      <w:r w:rsidR="00B713D1" w:rsidRPr="00FC6804">
        <w:rPr>
          <w:rFonts w:ascii="Arial" w:hAnsi="Arial" w:cs="Arial"/>
          <w:sz w:val="20"/>
          <w:szCs w:val="20"/>
        </w:rPr>
        <w:t>to</w:t>
      </w:r>
      <w:r w:rsidRPr="00FC6804">
        <w:rPr>
          <w:rFonts w:ascii="Arial" w:hAnsi="Arial" w:cs="Arial"/>
          <w:sz w:val="20"/>
          <w:szCs w:val="20"/>
        </w:rPr>
        <w:t xml:space="preserve"> 15% of licensed retail butcher</w:t>
      </w:r>
      <w:r w:rsidR="00D219D5">
        <w:rPr>
          <w:rFonts w:ascii="Arial" w:hAnsi="Arial" w:cs="Arial"/>
          <w:sz w:val="20"/>
          <w:szCs w:val="20"/>
        </w:rPr>
        <w:t xml:space="preserve"> </w:t>
      </w:r>
      <w:r w:rsidRPr="00FC6804">
        <w:rPr>
          <w:rFonts w:ascii="Arial" w:hAnsi="Arial" w:cs="Arial"/>
          <w:sz w:val="20"/>
          <w:szCs w:val="20"/>
        </w:rPr>
        <w:t>s</w:t>
      </w:r>
      <w:r w:rsidR="00D219D5">
        <w:rPr>
          <w:rFonts w:ascii="Arial" w:hAnsi="Arial" w:cs="Arial"/>
          <w:sz w:val="20"/>
          <w:szCs w:val="20"/>
        </w:rPr>
        <w:t>hops</w:t>
      </w:r>
      <w:r w:rsidRPr="00FC6804">
        <w:rPr>
          <w:rFonts w:ascii="Arial" w:hAnsi="Arial" w:cs="Arial"/>
          <w:sz w:val="20"/>
          <w:szCs w:val="20"/>
        </w:rPr>
        <w:t>. This lower inspection frequency would be maintained unless and until a significant increase in non-compliance was detected.</w:t>
      </w:r>
      <w:r w:rsidR="00B713D1" w:rsidRPr="00FC6804">
        <w:rPr>
          <w:rFonts w:ascii="Arial" w:hAnsi="Arial" w:cs="Arial"/>
          <w:sz w:val="20"/>
          <w:szCs w:val="20"/>
        </w:rPr>
        <w:t xml:space="preserve"> </w:t>
      </w:r>
      <w:r w:rsidR="00CC58A2" w:rsidRPr="00FC6804">
        <w:rPr>
          <w:rFonts w:ascii="Arial" w:hAnsi="Arial" w:cs="Arial"/>
          <w:sz w:val="20"/>
          <w:szCs w:val="20"/>
        </w:rPr>
        <w:t>The current sanctioning arrangements, applicable where the use of sulphur dioxide is detected, would be maintained. Under these, the business is subject to sub</w:t>
      </w:r>
      <w:r w:rsidR="00D219D5">
        <w:rPr>
          <w:rFonts w:ascii="Arial" w:hAnsi="Arial" w:cs="Arial"/>
          <w:sz w:val="20"/>
          <w:szCs w:val="20"/>
        </w:rPr>
        <w:t>-</w:t>
      </w:r>
      <w:r w:rsidR="00CC58A2" w:rsidRPr="00FC6804">
        <w:rPr>
          <w:rFonts w:ascii="Arial" w:hAnsi="Arial" w:cs="Arial"/>
          <w:sz w:val="20"/>
          <w:szCs w:val="20"/>
        </w:rPr>
        <w:t xml:space="preserve">immediate closure, a need to amend its food safety program and provide a written submission demonstrating its commitment to meeting it, and a requirement that it be subject to an intensive, weekly third-party audit program for at least four weeks after reopening. </w:t>
      </w:r>
    </w:p>
    <w:p w:rsidR="00B713D1" w:rsidRPr="00FC6804" w:rsidRDefault="00B713D1" w:rsidP="00C64456">
      <w:pPr>
        <w:spacing w:after="0" w:line="240" w:lineRule="auto"/>
        <w:rPr>
          <w:rFonts w:ascii="Arial" w:hAnsi="Arial" w:cs="Arial"/>
          <w:sz w:val="20"/>
          <w:szCs w:val="20"/>
        </w:rPr>
      </w:pPr>
    </w:p>
    <w:p w:rsidR="00594EF6" w:rsidRPr="00FC6804" w:rsidRDefault="00CC58A2" w:rsidP="00C64456">
      <w:pPr>
        <w:spacing w:after="0" w:line="240" w:lineRule="auto"/>
        <w:rPr>
          <w:rFonts w:ascii="Arial" w:hAnsi="Arial" w:cs="Arial"/>
          <w:sz w:val="20"/>
          <w:szCs w:val="20"/>
        </w:rPr>
      </w:pPr>
      <w:r w:rsidRPr="00FC6804">
        <w:rPr>
          <w:rFonts w:ascii="Arial" w:hAnsi="Arial" w:cs="Arial"/>
          <w:sz w:val="20"/>
          <w:szCs w:val="20"/>
        </w:rPr>
        <w:t xml:space="preserve">Other elements of the </w:t>
      </w:r>
      <w:r w:rsidR="00D219D5">
        <w:rPr>
          <w:rFonts w:ascii="Arial" w:hAnsi="Arial" w:cs="Arial"/>
          <w:sz w:val="20"/>
          <w:szCs w:val="20"/>
        </w:rPr>
        <w:t>PrimeS</w:t>
      </w:r>
      <w:r w:rsidRPr="00FC6804">
        <w:rPr>
          <w:rFonts w:ascii="Arial" w:hAnsi="Arial" w:cs="Arial"/>
          <w:sz w:val="20"/>
          <w:szCs w:val="20"/>
        </w:rPr>
        <w:t xml:space="preserve">afe inspection program would be unchanged under </w:t>
      </w:r>
      <w:r w:rsidR="00D219D5">
        <w:rPr>
          <w:rFonts w:ascii="Arial" w:hAnsi="Arial" w:cs="Arial"/>
          <w:sz w:val="20"/>
          <w:szCs w:val="20"/>
        </w:rPr>
        <w:t>O</w:t>
      </w:r>
      <w:r w:rsidRPr="00FC6804">
        <w:rPr>
          <w:rFonts w:ascii="Arial" w:hAnsi="Arial" w:cs="Arial"/>
          <w:sz w:val="20"/>
          <w:szCs w:val="20"/>
        </w:rPr>
        <w:t xml:space="preserve">ption </w:t>
      </w:r>
      <w:r w:rsidR="006D3A19" w:rsidRPr="00FC6804">
        <w:rPr>
          <w:rFonts w:ascii="Arial" w:hAnsi="Arial" w:cs="Arial"/>
          <w:sz w:val="20"/>
          <w:szCs w:val="20"/>
        </w:rPr>
        <w:t>4</w:t>
      </w:r>
      <w:r w:rsidRPr="00FC6804">
        <w:rPr>
          <w:rFonts w:ascii="Arial" w:hAnsi="Arial" w:cs="Arial"/>
          <w:sz w:val="20"/>
          <w:szCs w:val="20"/>
        </w:rPr>
        <w:t>. This reflects the fact that there is little or no scope to adopt risk-based principles in other areas in respect of other major inspection categories, such as pre-licensing and post-licence cancellation inspections or complaints-based inspections.</w:t>
      </w:r>
    </w:p>
    <w:p w:rsidR="00B713D1" w:rsidRPr="00FC6804" w:rsidRDefault="00B713D1" w:rsidP="00C64456">
      <w:pPr>
        <w:spacing w:after="0" w:line="240" w:lineRule="auto"/>
        <w:rPr>
          <w:rFonts w:ascii="Arial" w:hAnsi="Arial" w:cs="Arial"/>
          <w:sz w:val="20"/>
          <w:szCs w:val="20"/>
        </w:rPr>
      </w:pPr>
    </w:p>
    <w:p w:rsidR="00CC58A2" w:rsidRPr="00FC6804" w:rsidRDefault="00CC58A2" w:rsidP="00C64456">
      <w:pPr>
        <w:spacing w:after="0" w:line="240" w:lineRule="auto"/>
        <w:rPr>
          <w:rFonts w:ascii="Arial" w:hAnsi="Arial" w:cs="Arial"/>
          <w:sz w:val="20"/>
          <w:szCs w:val="20"/>
        </w:rPr>
      </w:pPr>
    </w:p>
    <w:p w:rsidR="00CC58A2" w:rsidRPr="00FC6804" w:rsidRDefault="00CC58A2" w:rsidP="00C64456">
      <w:pPr>
        <w:pStyle w:val="Heading2"/>
        <w:numPr>
          <w:ilvl w:val="1"/>
          <w:numId w:val="2"/>
        </w:numPr>
        <w:rPr>
          <w:rFonts w:cs="Arial"/>
          <w:b/>
          <w:szCs w:val="20"/>
        </w:rPr>
      </w:pPr>
      <w:bookmarkStart w:id="36" w:name="_Toc443915365"/>
      <w:r w:rsidRPr="00FC6804">
        <w:rPr>
          <w:rFonts w:cs="Arial"/>
          <w:b/>
          <w:szCs w:val="20"/>
        </w:rPr>
        <w:t>Expected benefits of the option</w:t>
      </w:r>
      <w:bookmarkEnd w:id="36"/>
    </w:p>
    <w:p w:rsidR="00CC58A2" w:rsidRPr="00FC6804" w:rsidRDefault="00CC58A2" w:rsidP="00C64456">
      <w:pPr>
        <w:spacing w:after="0" w:line="240" w:lineRule="auto"/>
        <w:rPr>
          <w:rFonts w:ascii="Arial" w:hAnsi="Arial" w:cs="Arial"/>
          <w:sz w:val="20"/>
          <w:szCs w:val="20"/>
        </w:rPr>
      </w:pPr>
    </w:p>
    <w:p w:rsidR="00CC58A2" w:rsidRPr="00FC6804" w:rsidRDefault="00CC58A2" w:rsidP="00C64456">
      <w:pPr>
        <w:spacing w:after="0" w:line="240" w:lineRule="auto"/>
        <w:rPr>
          <w:rFonts w:ascii="Arial" w:hAnsi="Arial" w:cs="Arial"/>
          <w:sz w:val="20"/>
          <w:szCs w:val="20"/>
        </w:rPr>
      </w:pPr>
      <w:r w:rsidRPr="00FC6804">
        <w:rPr>
          <w:rFonts w:ascii="Arial" w:hAnsi="Arial" w:cs="Arial"/>
          <w:sz w:val="20"/>
          <w:szCs w:val="20"/>
        </w:rPr>
        <w:t xml:space="preserve">Adopting risk-based approaches in the areas highlighted above would provide the potential to reduce </w:t>
      </w:r>
      <w:r w:rsidR="003A7D82">
        <w:rPr>
          <w:rFonts w:ascii="Arial" w:hAnsi="Arial" w:cs="Arial"/>
          <w:sz w:val="20"/>
          <w:szCs w:val="20"/>
        </w:rPr>
        <w:t>PrimeS</w:t>
      </w:r>
      <w:r w:rsidRPr="00FC6804">
        <w:rPr>
          <w:rFonts w:ascii="Arial" w:hAnsi="Arial" w:cs="Arial"/>
          <w:sz w:val="20"/>
          <w:szCs w:val="20"/>
        </w:rPr>
        <w:t>afe’s regulatory costs and as a consequen</w:t>
      </w:r>
      <w:r w:rsidR="00B713D1" w:rsidRPr="00FC6804">
        <w:rPr>
          <w:rFonts w:ascii="Arial" w:hAnsi="Arial" w:cs="Arial"/>
          <w:sz w:val="20"/>
          <w:szCs w:val="20"/>
        </w:rPr>
        <w:t xml:space="preserve">ce, licence fees in some areas. </w:t>
      </w:r>
      <w:r w:rsidRPr="00FC6804">
        <w:rPr>
          <w:rFonts w:ascii="Arial" w:hAnsi="Arial" w:cs="Arial"/>
          <w:sz w:val="20"/>
          <w:szCs w:val="20"/>
        </w:rPr>
        <w:t xml:space="preserve">Of particular importance would be the impact on retail butcher shops. As noted above, charging a full cost recovery based licence fee for </w:t>
      </w:r>
      <w:r w:rsidR="003A7D82">
        <w:rPr>
          <w:rFonts w:ascii="Arial" w:hAnsi="Arial" w:cs="Arial"/>
          <w:sz w:val="20"/>
          <w:szCs w:val="20"/>
        </w:rPr>
        <w:t xml:space="preserve">retail </w:t>
      </w:r>
      <w:r w:rsidRPr="00FC6804">
        <w:rPr>
          <w:rFonts w:ascii="Arial" w:hAnsi="Arial" w:cs="Arial"/>
          <w:sz w:val="20"/>
          <w:szCs w:val="20"/>
        </w:rPr>
        <w:t xml:space="preserve">butcher shops as </w:t>
      </w:r>
      <w:r w:rsidR="003A7D82">
        <w:rPr>
          <w:rFonts w:ascii="Arial" w:hAnsi="Arial" w:cs="Arial"/>
          <w:sz w:val="20"/>
          <w:szCs w:val="20"/>
        </w:rPr>
        <w:t>proposed</w:t>
      </w:r>
      <w:r w:rsidRPr="00FC6804">
        <w:rPr>
          <w:rFonts w:ascii="Arial" w:hAnsi="Arial" w:cs="Arial"/>
          <w:sz w:val="20"/>
          <w:szCs w:val="20"/>
        </w:rPr>
        <w:t xml:space="preserve"> under </w:t>
      </w:r>
      <w:r w:rsidR="00B713D1" w:rsidRPr="00FC6804">
        <w:rPr>
          <w:rFonts w:ascii="Arial" w:hAnsi="Arial" w:cs="Arial"/>
          <w:sz w:val="20"/>
          <w:szCs w:val="20"/>
        </w:rPr>
        <w:t>O</w:t>
      </w:r>
      <w:r w:rsidRPr="00FC6804">
        <w:rPr>
          <w:rFonts w:ascii="Arial" w:hAnsi="Arial" w:cs="Arial"/>
          <w:sz w:val="20"/>
          <w:szCs w:val="20"/>
        </w:rPr>
        <w:t xml:space="preserve">ption </w:t>
      </w:r>
      <w:r w:rsidR="00E32FDD">
        <w:rPr>
          <w:rFonts w:ascii="Arial" w:hAnsi="Arial" w:cs="Arial"/>
          <w:sz w:val="20"/>
          <w:szCs w:val="20"/>
        </w:rPr>
        <w:t>3</w:t>
      </w:r>
      <w:r w:rsidRPr="00FC6804">
        <w:rPr>
          <w:rFonts w:ascii="Arial" w:hAnsi="Arial" w:cs="Arial"/>
          <w:sz w:val="20"/>
          <w:szCs w:val="20"/>
        </w:rPr>
        <w:t>, would imply a cost of approximately $1</w:t>
      </w:r>
      <w:r w:rsidR="00B713D1" w:rsidRPr="00FC6804">
        <w:rPr>
          <w:rFonts w:ascii="Arial" w:hAnsi="Arial" w:cs="Arial"/>
          <w:sz w:val="20"/>
          <w:szCs w:val="20"/>
        </w:rPr>
        <w:t>,</w:t>
      </w:r>
      <w:r w:rsidRPr="00FC6804">
        <w:rPr>
          <w:rFonts w:ascii="Arial" w:hAnsi="Arial" w:cs="Arial"/>
          <w:sz w:val="20"/>
          <w:szCs w:val="20"/>
        </w:rPr>
        <w:t xml:space="preserve">000 per annum. However, if the proportion of </w:t>
      </w:r>
      <w:r w:rsidR="003A7D82">
        <w:rPr>
          <w:rFonts w:ascii="Arial" w:hAnsi="Arial" w:cs="Arial"/>
          <w:sz w:val="20"/>
          <w:szCs w:val="20"/>
        </w:rPr>
        <w:t xml:space="preserve">retail </w:t>
      </w:r>
      <w:r w:rsidRPr="00FC6804">
        <w:rPr>
          <w:rFonts w:ascii="Arial" w:hAnsi="Arial" w:cs="Arial"/>
          <w:sz w:val="20"/>
          <w:szCs w:val="20"/>
        </w:rPr>
        <w:t xml:space="preserve">butcher shops inspected under the sulphur dioxide program were reduced to 15%, this would enable licence fees to be reduced to approximately $770, while continuing to achieve a full cost recovery outcome. A further reduction in inspections to 10% of </w:t>
      </w:r>
      <w:r w:rsidR="00B713D1" w:rsidRPr="00FC6804">
        <w:rPr>
          <w:rFonts w:ascii="Arial" w:hAnsi="Arial" w:cs="Arial"/>
          <w:sz w:val="20"/>
          <w:szCs w:val="20"/>
        </w:rPr>
        <w:t>licensed retail</w:t>
      </w:r>
      <w:r w:rsidRPr="00FC6804">
        <w:rPr>
          <w:rFonts w:ascii="Arial" w:hAnsi="Arial" w:cs="Arial"/>
          <w:sz w:val="20"/>
          <w:szCs w:val="20"/>
        </w:rPr>
        <w:t xml:space="preserve"> butcher shops would result in a full cost recovery based licence fee of $720 per annum</w:t>
      </w:r>
      <w:r w:rsidR="00335DE8" w:rsidRPr="00FC6804">
        <w:rPr>
          <w:rStyle w:val="FootnoteReference"/>
          <w:rFonts w:ascii="Arial" w:hAnsi="Arial" w:cs="Arial"/>
          <w:sz w:val="20"/>
          <w:szCs w:val="20"/>
        </w:rPr>
        <w:footnoteReference w:id="31"/>
      </w:r>
      <w:r w:rsidRPr="00FC6804">
        <w:rPr>
          <w:rFonts w:ascii="Arial" w:hAnsi="Arial" w:cs="Arial"/>
          <w:sz w:val="20"/>
          <w:szCs w:val="20"/>
        </w:rPr>
        <w:t xml:space="preserve"> – representing a 28% reduction on the fee that would be imposed under </w:t>
      </w:r>
      <w:r w:rsidR="00B713D1" w:rsidRPr="009E5574">
        <w:rPr>
          <w:rFonts w:ascii="Arial" w:hAnsi="Arial" w:cs="Arial"/>
          <w:sz w:val="20"/>
          <w:szCs w:val="20"/>
        </w:rPr>
        <w:t>O</w:t>
      </w:r>
      <w:r w:rsidRPr="009E5574">
        <w:rPr>
          <w:rFonts w:ascii="Arial" w:hAnsi="Arial" w:cs="Arial"/>
          <w:sz w:val="20"/>
          <w:szCs w:val="20"/>
        </w:rPr>
        <w:t xml:space="preserve">ption </w:t>
      </w:r>
      <w:r w:rsidR="00E32FDD">
        <w:rPr>
          <w:rFonts w:ascii="Arial" w:hAnsi="Arial" w:cs="Arial"/>
          <w:sz w:val="20"/>
          <w:szCs w:val="20"/>
        </w:rPr>
        <w:t>3</w:t>
      </w:r>
      <w:r w:rsidRPr="009E5574">
        <w:rPr>
          <w:rFonts w:ascii="Arial" w:hAnsi="Arial" w:cs="Arial"/>
          <w:sz w:val="20"/>
          <w:szCs w:val="20"/>
        </w:rPr>
        <w:t>.</w:t>
      </w:r>
    </w:p>
    <w:p w:rsidR="00B713D1" w:rsidRPr="00FC6804" w:rsidRDefault="00B713D1" w:rsidP="00C64456">
      <w:pPr>
        <w:spacing w:after="0" w:line="240" w:lineRule="auto"/>
        <w:rPr>
          <w:rFonts w:ascii="Arial" w:hAnsi="Arial" w:cs="Arial"/>
          <w:sz w:val="20"/>
          <w:szCs w:val="20"/>
        </w:rPr>
      </w:pPr>
    </w:p>
    <w:p w:rsidR="00231E41" w:rsidRPr="00FC6804" w:rsidRDefault="00CC58A2" w:rsidP="00C64456">
      <w:pPr>
        <w:spacing w:after="0" w:line="240" w:lineRule="auto"/>
        <w:rPr>
          <w:rFonts w:ascii="Arial" w:hAnsi="Arial" w:cs="Arial"/>
          <w:sz w:val="20"/>
          <w:szCs w:val="20"/>
        </w:rPr>
      </w:pPr>
      <w:r w:rsidRPr="00FC6804">
        <w:rPr>
          <w:rFonts w:ascii="Arial" w:hAnsi="Arial" w:cs="Arial"/>
          <w:sz w:val="20"/>
          <w:szCs w:val="20"/>
        </w:rPr>
        <w:t>The impact of</w:t>
      </w:r>
      <w:r w:rsidR="001524D3" w:rsidRPr="00FC6804">
        <w:rPr>
          <w:rFonts w:ascii="Arial" w:hAnsi="Arial" w:cs="Arial"/>
          <w:sz w:val="20"/>
          <w:szCs w:val="20"/>
        </w:rPr>
        <w:t xml:space="preserve"> reducing the number of animal welfare inspections on the licence fees payable </w:t>
      </w:r>
      <w:r w:rsidR="00DC5C86">
        <w:rPr>
          <w:rFonts w:ascii="Arial" w:hAnsi="Arial" w:cs="Arial"/>
          <w:sz w:val="20"/>
          <w:szCs w:val="20"/>
        </w:rPr>
        <w:t>by abattoirs, poultry processing facilities and pet meat processing facilities</w:t>
      </w:r>
      <w:r w:rsidR="001524D3" w:rsidRPr="00FC6804">
        <w:rPr>
          <w:rFonts w:ascii="Arial" w:hAnsi="Arial" w:cs="Arial"/>
          <w:sz w:val="20"/>
          <w:szCs w:val="20"/>
        </w:rPr>
        <w:t xml:space="preserve"> would be similar. For example, if the current program of two inspections per annum were replaced by a risk-based program entailing an average of one inspection per annum per premises, the average full cost recovery fee for </w:t>
      </w:r>
      <w:r w:rsidR="00DC5C86">
        <w:rPr>
          <w:rFonts w:ascii="Arial" w:hAnsi="Arial" w:cs="Arial"/>
          <w:sz w:val="20"/>
          <w:szCs w:val="20"/>
        </w:rPr>
        <w:t xml:space="preserve">a </w:t>
      </w:r>
      <w:r w:rsidR="001524D3" w:rsidRPr="00FC6804">
        <w:rPr>
          <w:rFonts w:ascii="Arial" w:hAnsi="Arial" w:cs="Arial"/>
          <w:sz w:val="20"/>
          <w:szCs w:val="20"/>
        </w:rPr>
        <w:t>domestic abattoir would be reduced from</w:t>
      </w:r>
      <w:r w:rsidR="004A2911" w:rsidRPr="00FC6804">
        <w:rPr>
          <w:rFonts w:ascii="Arial" w:hAnsi="Arial" w:cs="Arial"/>
          <w:sz w:val="20"/>
          <w:szCs w:val="20"/>
        </w:rPr>
        <w:t xml:space="preserve"> approximately $3</w:t>
      </w:r>
      <w:r w:rsidR="00B713D1" w:rsidRPr="00FC6804">
        <w:rPr>
          <w:rFonts w:ascii="Arial" w:hAnsi="Arial" w:cs="Arial"/>
          <w:sz w:val="20"/>
          <w:szCs w:val="20"/>
        </w:rPr>
        <w:t>,</w:t>
      </w:r>
      <w:r w:rsidR="004A2911" w:rsidRPr="00FC6804">
        <w:rPr>
          <w:rFonts w:ascii="Arial" w:hAnsi="Arial" w:cs="Arial"/>
          <w:sz w:val="20"/>
          <w:szCs w:val="20"/>
        </w:rPr>
        <w:t xml:space="preserve">700, under </w:t>
      </w:r>
      <w:r w:rsidR="00DC5C86">
        <w:rPr>
          <w:rFonts w:ascii="Arial" w:hAnsi="Arial" w:cs="Arial"/>
          <w:sz w:val="20"/>
          <w:szCs w:val="20"/>
        </w:rPr>
        <w:t>O</w:t>
      </w:r>
      <w:r w:rsidR="004A2911" w:rsidRPr="00FC6804">
        <w:rPr>
          <w:rFonts w:ascii="Arial" w:hAnsi="Arial" w:cs="Arial"/>
          <w:sz w:val="20"/>
          <w:szCs w:val="20"/>
        </w:rPr>
        <w:t xml:space="preserve">ption </w:t>
      </w:r>
      <w:r w:rsidR="00E32FDD">
        <w:rPr>
          <w:rFonts w:ascii="Arial" w:hAnsi="Arial" w:cs="Arial"/>
          <w:sz w:val="20"/>
          <w:szCs w:val="20"/>
        </w:rPr>
        <w:t>3</w:t>
      </w:r>
      <w:r w:rsidR="004A2911" w:rsidRPr="00FC6804">
        <w:rPr>
          <w:rFonts w:ascii="Arial" w:hAnsi="Arial" w:cs="Arial"/>
          <w:sz w:val="20"/>
          <w:szCs w:val="20"/>
        </w:rPr>
        <w:t>, to around $2</w:t>
      </w:r>
      <w:r w:rsidR="00B713D1" w:rsidRPr="00FC6804">
        <w:rPr>
          <w:rFonts w:ascii="Arial" w:hAnsi="Arial" w:cs="Arial"/>
          <w:sz w:val="20"/>
          <w:szCs w:val="20"/>
        </w:rPr>
        <w:t>,</w:t>
      </w:r>
      <w:r w:rsidR="004A2911" w:rsidRPr="00FC6804">
        <w:rPr>
          <w:rFonts w:ascii="Arial" w:hAnsi="Arial" w:cs="Arial"/>
          <w:sz w:val="20"/>
          <w:szCs w:val="20"/>
        </w:rPr>
        <w:t>780. Similarly, ave</w:t>
      </w:r>
      <w:r w:rsidR="00DC5C86">
        <w:rPr>
          <w:rFonts w:ascii="Arial" w:hAnsi="Arial" w:cs="Arial"/>
          <w:sz w:val="20"/>
          <w:szCs w:val="20"/>
        </w:rPr>
        <w:t>rage fees for poultry processing facilities</w:t>
      </w:r>
      <w:r w:rsidR="004A2911" w:rsidRPr="00FC6804">
        <w:rPr>
          <w:rFonts w:ascii="Arial" w:hAnsi="Arial" w:cs="Arial"/>
          <w:sz w:val="20"/>
          <w:szCs w:val="20"/>
        </w:rPr>
        <w:t xml:space="preserve"> would fall from around $2</w:t>
      </w:r>
      <w:r w:rsidR="00DC5C86">
        <w:rPr>
          <w:rFonts w:ascii="Arial" w:hAnsi="Arial" w:cs="Arial"/>
          <w:sz w:val="20"/>
          <w:szCs w:val="20"/>
        </w:rPr>
        <w:t>,</w:t>
      </w:r>
      <w:r w:rsidR="004A2911" w:rsidRPr="00FC6804">
        <w:rPr>
          <w:rFonts w:ascii="Arial" w:hAnsi="Arial" w:cs="Arial"/>
          <w:sz w:val="20"/>
          <w:szCs w:val="20"/>
        </w:rPr>
        <w:t>930 to $2</w:t>
      </w:r>
      <w:r w:rsidR="00DC5C86">
        <w:rPr>
          <w:rFonts w:ascii="Arial" w:hAnsi="Arial" w:cs="Arial"/>
          <w:sz w:val="20"/>
          <w:szCs w:val="20"/>
        </w:rPr>
        <w:t>,</w:t>
      </w:r>
      <w:r w:rsidR="004A2911" w:rsidRPr="00FC6804">
        <w:rPr>
          <w:rFonts w:ascii="Arial" w:hAnsi="Arial" w:cs="Arial"/>
          <w:sz w:val="20"/>
          <w:szCs w:val="20"/>
        </w:rPr>
        <w:t xml:space="preserve">020 and average fees for further meat </w:t>
      </w:r>
      <w:r w:rsidR="00DC5C86">
        <w:rPr>
          <w:rFonts w:ascii="Arial" w:hAnsi="Arial" w:cs="Arial"/>
          <w:sz w:val="20"/>
          <w:szCs w:val="20"/>
        </w:rPr>
        <w:t>processing facilities</w:t>
      </w:r>
      <w:r w:rsidR="004A2911" w:rsidRPr="00FC6804">
        <w:rPr>
          <w:rFonts w:ascii="Arial" w:hAnsi="Arial" w:cs="Arial"/>
          <w:sz w:val="20"/>
          <w:szCs w:val="20"/>
        </w:rPr>
        <w:t xml:space="preserve"> would fall from $2</w:t>
      </w:r>
      <w:r w:rsidR="00B713D1" w:rsidRPr="00FC6804">
        <w:rPr>
          <w:rFonts w:ascii="Arial" w:hAnsi="Arial" w:cs="Arial"/>
          <w:sz w:val="20"/>
          <w:szCs w:val="20"/>
        </w:rPr>
        <w:t>,</w:t>
      </w:r>
      <w:r w:rsidR="004A2911" w:rsidRPr="00FC6804">
        <w:rPr>
          <w:rFonts w:ascii="Arial" w:hAnsi="Arial" w:cs="Arial"/>
          <w:sz w:val="20"/>
          <w:szCs w:val="20"/>
        </w:rPr>
        <w:t>710 to around $1</w:t>
      </w:r>
      <w:r w:rsidR="00B713D1" w:rsidRPr="00FC6804">
        <w:rPr>
          <w:rFonts w:ascii="Arial" w:hAnsi="Arial" w:cs="Arial"/>
          <w:sz w:val="20"/>
          <w:szCs w:val="20"/>
        </w:rPr>
        <w:t>,</w:t>
      </w:r>
      <w:r w:rsidR="004A2911" w:rsidRPr="00FC6804">
        <w:rPr>
          <w:rFonts w:ascii="Arial" w:hAnsi="Arial" w:cs="Arial"/>
          <w:sz w:val="20"/>
          <w:szCs w:val="20"/>
        </w:rPr>
        <w:t>795</w:t>
      </w:r>
      <w:r w:rsidR="00FC5E33" w:rsidRPr="00FC6804">
        <w:rPr>
          <w:rStyle w:val="FootnoteReference"/>
          <w:rFonts w:ascii="Arial" w:hAnsi="Arial" w:cs="Arial"/>
          <w:sz w:val="20"/>
          <w:szCs w:val="20"/>
        </w:rPr>
        <w:footnoteReference w:id="32"/>
      </w:r>
      <w:r w:rsidR="004A2911" w:rsidRPr="00FC6804">
        <w:rPr>
          <w:rFonts w:ascii="Arial" w:hAnsi="Arial" w:cs="Arial"/>
          <w:sz w:val="20"/>
          <w:szCs w:val="20"/>
        </w:rPr>
        <w:t>.</w:t>
      </w:r>
    </w:p>
    <w:p w:rsidR="004A2911" w:rsidRPr="00FC6804" w:rsidRDefault="004A2911" w:rsidP="00C64456">
      <w:pPr>
        <w:spacing w:after="0" w:line="240" w:lineRule="auto"/>
        <w:rPr>
          <w:rFonts w:ascii="Arial" w:hAnsi="Arial" w:cs="Arial"/>
          <w:sz w:val="20"/>
          <w:szCs w:val="20"/>
        </w:rPr>
      </w:pPr>
    </w:p>
    <w:p w:rsidR="004A2911" w:rsidRPr="00FC6804" w:rsidRDefault="004A2911" w:rsidP="00C64456">
      <w:pPr>
        <w:pStyle w:val="Heading2"/>
        <w:numPr>
          <w:ilvl w:val="1"/>
          <w:numId w:val="2"/>
        </w:numPr>
        <w:rPr>
          <w:rFonts w:cs="Arial"/>
          <w:b/>
          <w:szCs w:val="20"/>
        </w:rPr>
      </w:pPr>
      <w:bookmarkStart w:id="37" w:name="_Toc443915366"/>
      <w:r w:rsidRPr="00FC6804">
        <w:rPr>
          <w:rFonts w:cs="Arial"/>
          <w:b/>
          <w:szCs w:val="20"/>
        </w:rPr>
        <w:t>Expected costs of the option</w:t>
      </w:r>
      <w:bookmarkEnd w:id="37"/>
    </w:p>
    <w:p w:rsidR="004A2911" w:rsidRPr="00FC6804" w:rsidRDefault="004A2911" w:rsidP="00C64456">
      <w:pPr>
        <w:spacing w:after="0" w:line="240" w:lineRule="auto"/>
        <w:rPr>
          <w:rFonts w:ascii="Arial" w:hAnsi="Arial" w:cs="Arial"/>
          <w:sz w:val="20"/>
          <w:szCs w:val="20"/>
        </w:rPr>
      </w:pPr>
    </w:p>
    <w:p w:rsidR="004A2911" w:rsidRPr="00FC6804" w:rsidRDefault="0034689C" w:rsidP="00C64456">
      <w:pPr>
        <w:spacing w:after="0" w:line="240" w:lineRule="auto"/>
        <w:rPr>
          <w:rFonts w:ascii="Arial" w:hAnsi="Arial" w:cs="Arial"/>
          <w:sz w:val="20"/>
          <w:szCs w:val="20"/>
        </w:rPr>
      </w:pPr>
      <w:r w:rsidRPr="00FC6804">
        <w:rPr>
          <w:rFonts w:ascii="Arial" w:hAnsi="Arial" w:cs="Arial"/>
          <w:sz w:val="20"/>
          <w:szCs w:val="20"/>
        </w:rPr>
        <w:t xml:space="preserve">A poorly designed risk-based inspection and enforcement program has the potential to compromise the achievement of regulatory outcomes. In the context of the sulphur oxide program, the impact on public health is limited, primarily relating to a minority of asthmatics whose sensitivity to the </w:t>
      </w:r>
      <w:r w:rsidR="00960CC5">
        <w:rPr>
          <w:rFonts w:ascii="Arial" w:hAnsi="Arial" w:cs="Arial"/>
          <w:sz w:val="20"/>
          <w:szCs w:val="20"/>
        </w:rPr>
        <w:t>allergen</w:t>
      </w:r>
      <w:r w:rsidRPr="00FC6804">
        <w:rPr>
          <w:rFonts w:ascii="Arial" w:hAnsi="Arial" w:cs="Arial"/>
          <w:sz w:val="20"/>
          <w:szCs w:val="20"/>
        </w:rPr>
        <w:t xml:space="preserve"> can cause significant exacerbation of their symptoms</w:t>
      </w:r>
      <w:r w:rsidR="00640A87" w:rsidRPr="00FC6804">
        <w:rPr>
          <w:rStyle w:val="FootnoteReference"/>
          <w:rFonts w:ascii="Arial" w:hAnsi="Arial" w:cs="Arial"/>
          <w:sz w:val="20"/>
          <w:szCs w:val="20"/>
        </w:rPr>
        <w:footnoteReference w:id="33"/>
      </w:r>
      <w:r w:rsidRPr="00FC6804">
        <w:rPr>
          <w:rFonts w:ascii="Arial" w:hAnsi="Arial" w:cs="Arial"/>
          <w:sz w:val="20"/>
          <w:szCs w:val="20"/>
        </w:rPr>
        <w:t xml:space="preserve">. However, while sulphur dioxide is typically used in some meat products (notably sausages) the fact that no allowable concentration is declared under the </w:t>
      </w:r>
      <w:r w:rsidR="00960CC5">
        <w:rPr>
          <w:rFonts w:ascii="Arial" w:hAnsi="Arial" w:cs="Arial"/>
          <w:sz w:val="20"/>
          <w:szCs w:val="20"/>
        </w:rPr>
        <w:t>Australia New Zealand F</w:t>
      </w:r>
      <w:r w:rsidRPr="00FC6804">
        <w:rPr>
          <w:rFonts w:ascii="Arial" w:hAnsi="Arial" w:cs="Arial"/>
          <w:sz w:val="20"/>
          <w:szCs w:val="20"/>
        </w:rPr>
        <w:t xml:space="preserve">ood </w:t>
      </w:r>
      <w:r w:rsidR="00960CC5">
        <w:rPr>
          <w:rFonts w:ascii="Arial" w:hAnsi="Arial" w:cs="Arial"/>
          <w:sz w:val="20"/>
          <w:szCs w:val="20"/>
        </w:rPr>
        <w:t>S</w:t>
      </w:r>
      <w:r w:rsidRPr="00FC6804">
        <w:rPr>
          <w:rFonts w:ascii="Arial" w:hAnsi="Arial" w:cs="Arial"/>
          <w:sz w:val="20"/>
          <w:szCs w:val="20"/>
        </w:rPr>
        <w:t xml:space="preserve">tandards </w:t>
      </w:r>
      <w:r w:rsidR="00960CC5">
        <w:rPr>
          <w:rFonts w:ascii="Arial" w:hAnsi="Arial" w:cs="Arial"/>
          <w:sz w:val="20"/>
          <w:szCs w:val="20"/>
        </w:rPr>
        <w:t>C</w:t>
      </w:r>
      <w:r w:rsidRPr="00FC6804">
        <w:rPr>
          <w:rFonts w:ascii="Arial" w:hAnsi="Arial" w:cs="Arial"/>
          <w:sz w:val="20"/>
          <w:szCs w:val="20"/>
        </w:rPr>
        <w:t xml:space="preserve">ode means that it is regarded as a contaminant when present in fresh meat. In the context of the animal welfare inspection program, any deterioration in compliance implies poor animal welfare outcomes for </w:t>
      </w:r>
      <w:r w:rsidR="00960CC5">
        <w:rPr>
          <w:rFonts w:ascii="Arial" w:hAnsi="Arial" w:cs="Arial"/>
          <w:sz w:val="20"/>
          <w:szCs w:val="20"/>
        </w:rPr>
        <w:t>live</w:t>
      </w:r>
      <w:r w:rsidRPr="00FC6804">
        <w:rPr>
          <w:rFonts w:ascii="Arial" w:hAnsi="Arial" w:cs="Arial"/>
          <w:sz w:val="20"/>
          <w:szCs w:val="20"/>
        </w:rPr>
        <w:t xml:space="preserve"> animals during the slaughter process.</w:t>
      </w:r>
    </w:p>
    <w:p w:rsidR="00BC6957" w:rsidRPr="00FC6804" w:rsidRDefault="00BC6957" w:rsidP="00C64456">
      <w:pPr>
        <w:spacing w:after="0" w:line="240" w:lineRule="auto"/>
        <w:rPr>
          <w:rFonts w:ascii="Arial" w:hAnsi="Arial" w:cs="Arial"/>
          <w:sz w:val="20"/>
          <w:szCs w:val="20"/>
        </w:rPr>
      </w:pPr>
    </w:p>
    <w:p w:rsidR="0034689C" w:rsidRPr="00FC6804" w:rsidRDefault="0034689C" w:rsidP="00C64456">
      <w:pPr>
        <w:spacing w:after="0" w:line="240" w:lineRule="auto"/>
        <w:rPr>
          <w:rFonts w:ascii="Arial" w:hAnsi="Arial" w:cs="Arial"/>
          <w:sz w:val="20"/>
          <w:szCs w:val="20"/>
        </w:rPr>
      </w:pPr>
      <w:r w:rsidRPr="00FC6804">
        <w:rPr>
          <w:rFonts w:ascii="Arial" w:hAnsi="Arial" w:cs="Arial"/>
          <w:sz w:val="20"/>
          <w:szCs w:val="20"/>
        </w:rPr>
        <w:t>A further potential cost is that of a loss of public confidence. If a risk-based program is not well understood and accepted by the public, perceived outcomes may be less positive, even in the absence of any objective reductions in the standards achieved. This could potentially lead to reductions in consumer demand.</w:t>
      </w:r>
    </w:p>
    <w:p w:rsidR="00BC6957" w:rsidRDefault="00BC6957" w:rsidP="00C64456">
      <w:pPr>
        <w:spacing w:after="0" w:line="240" w:lineRule="auto"/>
        <w:rPr>
          <w:rFonts w:ascii="Arial" w:hAnsi="Arial" w:cs="Arial"/>
          <w:sz w:val="20"/>
          <w:szCs w:val="20"/>
        </w:rPr>
      </w:pPr>
    </w:p>
    <w:p w:rsidR="00C524AA" w:rsidRDefault="00C524AA" w:rsidP="00C64456">
      <w:pPr>
        <w:spacing w:after="0" w:line="240" w:lineRule="auto"/>
        <w:rPr>
          <w:rFonts w:ascii="Arial" w:hAnsi="Arial" w:cs="Arial"/>
          <w:sz w:val="20"/>
          <w:szCs w:val="20"/>
        </w:rPr>
      </w:pPr>
    </w:p>
    <w:p w:rsidR="00C524AA" w:rsidRDefault="00C524AA" w:rsidP="00C64456">
      <w:pPr>
        <w:spacing w:after="0" w:line="240" w:lineRule="auto"/>
        <w:rPr>
          <w:rFonts w:ascii="Arial" w:hAnsi="Arial" w:cs="Arial"/>
          <w:sz w:val="20"/>
          <w:szCs w:val="20"/>
        </w:rPr>
      </w:pPr>
    </w:p>
    <w:p w:rsidR="00C524AA" w:rsidRDefault="00C524AA" w:rsidP="00C64456">
      <w:pPr>
        <w:spacing w:after="0" w:line="240" w:lineRule="auto"/>
        <w:rPr>
          <w:rFonts w:ascii="Arial" w:hAnsi="Arial" w:cs="Arial"/>
          <w:sz w:val="20"/>
          <w:szCs w:val="20"/>
        </w:rPr>
      </w:pPr>
    </w:p>
    <w:p w:rsidR="00C524AA" w:rsidRPr="00FC6804" w:rsidRDefault="00C524AA" w:rsidP="00C64456">
      <w:pPr>
        <w:spacing w:after="0" w:line="240" w:lineRule="auto"/>
        <w:rPr>
          <w:rFonts w:ascii="Arial" w:hAnsi="Arial" w:cs="Arial"/>
          <w:sz w:val="20"/>
          <w:szCs w:val="20"/>
        </w:rPr>
      </w:pPr>
    </w:p>
    <w:p w:rsidR="000B49B2" w:rsidRPr="00FC6804" w:rsidRDefault="00D85335" w:rsidP="00C64456">
      <w:pPr>
        <w:spacing w:after="0" w:line="240" w:lineRule="auto"/>
        <w:rPr>
          <w:rFonts w:ascii="Arial" w:hAnsi="Arial" w:cs="Arial"/>
          <w:sz w:val="20"/>
          <w:szCs w:val="20"/>
        </w:rPr>
        <w:sectPr w:rsidR="000B49B2" w:rsidRPr="00FC6804" w:rsidSect="00245D1C">
          <w:pgSz w:w="11906" w:h="16838" w:code="9"/>
          <w:pgMar w:top="1440" w:right="1440" w:bottom="1440" w:left="1440" w:header="567" w:footer="567" w:gutter="0"/>
          <w:cols w:space="708"/>
          <w:docGrid w:linePitch="360"/>
        </w:sectPr>
      </w:pPr>
      <w:r w:rsidRPr="00FC6804">
        <w:rPr>
          <w:rFonts w:ascii="Arial" w:hAnsi="Arial" w:cs="Arial"/>
          <w:sz w:val="20"/>
          <w:szCs w:val="20"/>
        </w:rPr>
        <w:t xml:space="preserve">At present, </w:t>
      </w:r>
      <w:r w:rsidR="00BC6957" w:rsidRPr="00FC6804">
        <w:rPr>
          <w:rFonts w:ascii="Arial" w:hAnsi="Arial" w:cs="Arial"/>
          <w:sz w:val="20"/>
          <w:szCs w:val="20"/>
        </w:rPr>
        <w:t>PrimeSafe</w:t>
      </w:r>
      <w:r w:rsidRPr="00FC6804">
        <w:rPr>
          <w:rFonts w:ascii="Arial" w:hAnsi="Arial" w:cs="Arial"/>
          <w:sz w:val="20"/>
          <w:szCs w:val="20"/>
        </w:rPr>
        <w:t xml:space="preserve"> is reviewing its current sulphur dioxide testing program and considering the potential for changes to be implemented that will reduce costs of the program without compromising the achievement of the current very high levels of compliance with regulatory requirements in this area. However, pending the completion of this review, it is not possible to put forward a well-considered alternative program in this area that can be expected, with a high level of confidence, to achieve these dual objectives. </w:t>
      </w:r>
    </w:p>
    <w:p w:rsidR="000D5065" w:rsidRPr="00FC6804" w:rsidRDefault="000D5065" w:rsidP="0026792B">
      <w:pPr>
        <w:pStyle w:val="Heading1"/>
      </w:pPr>
      <w:bookmarkStart w:id="38" w:name="_Toc443915367"/>
      <w:r w:rsidRPr="00FC6804">
        <w:t>Conclusion</w:t>
      </w:r>
      <w:bookmarkEnd w:id="38"/>
    </w:p>
    <w:p w:rsidR="000D5065" w:rsidRPr="00FC6804" w:rsidRDefault="000D5065" w:rsidP="009F4596">
      <w:pPr>
        <w:spacing w:after="0" w:line="240" w:lineRule="auto"/>
        <w:rPr>
          <w:rFonts w:ascii="Arial" w:hAnsi="Arial" w:cs="Arial"/>
          <w:sz w:val="20"/>
          <w:szCs w:val="20"/>
        </w:rPr>
      </w:pPr>
    </w:p>
    <w:p w:rsidR="002D6CC2" w:rsidRPr="00FC6804" w:rsidRDefault="002D6CC2" w:rsidP="009F4596">
      <w:pPr>
        <w:pStyle w:val="Heading2"/>
        <w:numPr>
          <w:ilvl w:val="1"/>
          <w:numId w:val="2"/>
        </w:numPr>
        <w:rPr>
          <w:rFonts w:cs="Arial"/>
          <w:b/>
          <w:szCs w:val="20"/>
        </w:rPr>
      </w:pPr>
      <w:bookmarkStart w:id="39" w:name="_Toc443915368"/>
      <w:r w:rsidRPr="00FC6804">
        <w:rPr>
          <w:rFonts w:cs="Arial"/>
          <w:b/>
          <w:szCs w:val="20"/>
        </w:rPr>
        <w:t>Overview</w:t>
      </w:r>
      <w:bookmarkEnd w:id="39"/>
    </w:p>
    <w:p w:rsidR="002D6CC2" w:rsidRPr="00FC6804" w:rsidRDefault="002D6CC2" w:rsidP="009F4596">
      <w:pPr>
        <w:spacing w:after="0" w:line="240" w:lineRule="auto"/>
        <w:rPr>
          <w:rFonts w:ascii="Arial" w:hAnsi="Arial" w:cs="Arial"/>
          <w:sz w:val="20"/>
          <w:szCs w:val="20"/>
        </w:rPr>
      </w:pPr>
    </w:p>
    <w:p w:rsidR="00725207" w:rsidRPr="00FC6804" w:rsidRDefault="00725207" w:rsidP="009F4596">
      <w:pPr>
        <w:spacing w:after="0" w:line="240" w:lineRule="auto"/>
        <w:rPr>
          <w:rFonts w:ascii="Arial" w:hAnsi="Arial" w:cs="Arial"/>
          <w:sz w:val="20"/>
          <w:szCs w:val="20"/>
        </w:rPr>
      </w:pPr>
      <w:r w:rsidRPr="00FC6804">
        <w:rPr>
          <w:rFonts w:ascii="Arial" w:hAnsi="Arial" w:cs="Arial"/>
          <w:sz w:val="20"/>
          <w:szCs w:val="20"/>
        </w:rPr>
        <w:t>All of the proposed options discussed meet the first of the identified objectives, that of ensuring that sufficient revenue is generated to fund Prime</w:t>
      </w:r>
      <w:r w:rsidR="009F4596" w:rsidRPr="00FC6804">
        <w:rPr>
          <w:rFonts w:ascii="Arial" w:hAnsi="Arial" w:cs="Arial"/>
          <w:sz w:val="20"/>
          <w:szCs w:val="20"/>
        </w:rPr>
        <w:t>S</w:t>
      </w:r>
      <w:r w:rsidRPr="00FC6804">
        <w:rPr>
          <w:rFonts w:ascii="Arial" w:hAnsi="Arial" w:cs="Arial"/>
          <w:sz w:val="20"/>
          <w:szCs w:val="20"/>
        </w:rPr>
        <w:t xml:space="preserve">afe’s </w:t>
      </w:r>
      <w:r w:rsidR="009F4596" w:rsidRPr="00FC6804">
        <w:rPr>
          <w:rFonts w:ascii="Arial" w:hAnsi="Arial" w:cs="Arial"/>
          <w:sz w:val="20"/>
          <w:szCs w:val="20"/>
        </w:rPr>
        <w:t xml:space="preserve">budgeted regulatory activities. </w:t>
      </w:r>
      <w:r w:rsidRPr="00FC6804">
        <w:rPr>
          <w:rFonts w:ascii="Arial" w:hAnsi="Arial" w:cs="Arial"/>
          <w:sz w:val="20"/>
          <w:szCs w:val="20"/>
        </w:rPr>
        <w:t xml:space="preserve">Given the legislative requirement for </w:t>
      </w:r>
      <w:r w:rsidR="009F4596" w:rsidRPr="00FC6804">
        <w:rPr>
          <w:rFonts w:ascii="Arial" w:hAnsi="Arial" w:cs="Arial"/>
          <w:sz w:val="20"/>
          <w:szCs w:val="20"/>
        </w:rPr>
        <w:t>PrimeSafe</w:t>
      </w:r>
      <w:r w:rsidRPr="00FC6804">
        <w:rPr>
          <w:rFonts w:ascii="Arial" w:hAnsi="Arial" w:cs="Arial"/>
          <w:sz w:val="20"/>
          <w:szCs w:val="20"/>
        </w:rPr>
        <w:t xml:space="preserve"> to be self-funding, this is a fundamental requirement.</w:t>
      </w:r>
    </w:p>
    <w:p w:rsidR="009F4596" w:rsidRPr="00FC6804" w:rsidRDefault="009F4596" w:rsidP="009F4596">
      <w:pPr>
        <w:spacing w:after="0" w:line="240" w:lineRule="auto"/>
        <w:rPr>
          <w:rFonts w:ascii="Arial" w:hAnsi="Arial" w:cs="Arial"/>
          <w:sz w:val="20"/>
          <w:szCs w:val="20"/>
        </w:rPr>
      </w:pPr>
    </w:p>
    <w:p w:rsidR="00725207" w:rsidRPr="00FC6804" w:rsidRDefault="00725207" w:rsidP="009F4596">
      <w:pPr>
        <w:spacing w:after="0" w:line="240" w:lineRule="auto"/>
        <w:rPr>
          <w:rFonts w:ascii="Arial" w:hAnsi="Arial" w:cs="Arial"/>
          <w:sz w:val="20"/>
          <w:szCs w:val="20"/>
        </w:rPr>
      </w:pPr>
      <w:r w:rsidRPr="00FC6804">
        <w:rPr>
          <w:rFonts w:ascii="Arial" w:hAnsi="Arial" w:cs="Arial"/>
          <w:sz w:val="20"/>
          <w:szCs w:val="20"/>
        </w:rPr>
        <w:t>The options differ in terms of the second identified objective, of improving equity between regulated entities by creating a better alignment between</w:t>
      </w:r>
      <w:r w:rsidR="007B228D" w:rsidRPr="00FC6804">
        <w:rPr>
          <w:rFonts w:ascii="Arial" w:hAnsi="Arial" w:cs="Arial"/>
          <w:sz w:val="20"/>
          <w:szCs w:val="20"/>
        </w:rPr>
        <w:t xml:space="preserve"> fees paid and costs incurred for different licence types. All options </w:t>
      </w:r>
      <w:r w:rsidR="0005227D" w:rsidRPr="00FC6804">
        <w:rPr>
          <w:rFonts w:ascii="Arial" w:hAnsi="Arial" w:cs="Arial"/>
          <w:sz w:val="20"/>
          <w:szCs w:val="20"/>
        </w:rPr>
        <w:t xml:space="preserve">other than Option 1 </w:t>
      </w:r>
      <w:r w:rsidR="007B228D" w:rsidRPr="00FC6804">
        <w:rPr>
          <w:rFonts w:ascii="Arial" w:hAnsi="Arial" w:cs="Arial"/>
          <w:sz w:val="20"/>
          <w:szCs w:val="20"/>
        </w:rPr>
        <w:t>would provide improved equity outcomes in this regard compared with a continuation of the current fee regime. However, the extent of the equity improvement achieved would differ significantly between the options.</w:t>
      </w:r>
    </w:p>
    <w:p w:rsidR="009F4596" w:rsidRPr="00FC6804" w:rsidRDefault="009F4596" w:rsidP="009F4596">
      <w:pPr>
        <w:spacing w:after="0" w:line="240" w:lineRule="auto"/>
        <w:rPr>
          <w:rFonts w:ascii="Arial" w:hAnsi="Arial" w:cs="Arial"/>
          <w:sz w:val="20"/>
          <w:szCs w:val="20"/>
        </w:rPr>
      </w:pPr>
    </w:p>
    <w:p w:rsidR="007B228D" w:rsidRPr="00FC6804" w:rsidRDefault="007B228D" w:rsidP="009F4596">
      <w:pPr>
        <w:spacing w:after="0" w:line="240" w:lineRule="auto"/>
        <w:rPr>
          <w:rFonts w:ascii="Arial" w:hAnsi="Arial" w:cs="Arial"/>
          <w:sz w:val="20"/>
          <w:szCs w:val="20"/>
        </w:rPr>
      </w:pPr>
      <w:r w:rsidRPr="00FC6804">
        <w:rPr>
          <w:rFonts w:ascii="Arial" w:hAnsi="Arial" w:cs="Arial"/>
          <w:sz w:val="20"/>
          <w:szCs w:val="20"/>
        </w:rPr>
        <w:t>Option</w:t>
      </w:r>
      <w:r w:rsidR="00525E32" w:rsidRPr="00FC6804">
        <w:rPr>
          <w:rFonts w:ascii="Arial" w:hAnsi="Arial" w:cs="Arial"/>
          <w:sz w:val="20"/>
          <w:szCs w:val="20"/>
        </w:rPr>
        <w:t>s</w:t>
      </w:r>
      <w:r w:rsidRPr="00FC6804">
        <w:rPr>
          <w:rFonts w:ascii="Arial" w:hAnsi="Arial" w:cs="Arial"/>
          <w:sz w:val="20"/>
          <w:szCs w:val="20"/>
        </w:rPr>
        <w:t xml:space="preserve"> </w:t>
      </w:r>
      <w:r w:rsidR="0005227D" w:rsidRPr="00FC6804">
        <w:rPr>
          <w:rFonts w:ascii="Arial" w:hAnsi="Arial" w:cs="Arial"/>
          <w:sz w:val="20"/>
          <w:szCs w:val="20"/>
        </w:rPr>
        <w:t xml:space="preserve">3 </w:t>
      </w:r>
      <w:r w:rsidR="00525E32" w:rsidRPr="00FC6804">
        <w:rPr>
          <w:rFonts w:ascii="Arial" w:hAnsi="Arial" w:cs="Arial"/>
          <w:sz w:val="20"/>
          <w:szCs w:val="20"/>
        </w:rPr>
        <w:t xml:space="preserve">and </w:t>
      </w:r>
      <w:r w:rsidR="0005227D" w:rsidRPr="00FC6804">
        <w:rPr>
          <w:rFonts w:ascii="Arial" w:hAnsi="Arial" w:cs="Arial"/>
          <w:sz w:val="20"/>
          <w:szCs w:val="20"/>
        </w:rPr>
        <w:t xml:space="preserve">4 </w:t>
      </w:r>
      <w:r w:rsidRPr="00FC6804">
        <w:rPr>
          <w:rFonts w:ascii="Arial" w:hAnsi="Arial" w:cs="Arial"/>
          <w:sz w:val="20"/>
          <w:szCs w:val="20"/>
        </w:rPr>
        <w:t>clearly perform</w:t>
      </w:r>
      <w:r w:rsidR="00525E32" w:rsidRPr="00FC6804">
        <w:rPr>
          <w:rFonts w:ascii="Arial" w:hAnsi="Arial" w:cs="Arial"/>
          <w:sz w:val="20"/>
          <w:szCs w:val="20"/>
        </w:rPr>
        <w:t xml:space="preserve"> better</w:t>
      </w:r>
      <w:r w:rsidRPr="00FC6804">
        <w:rPr>
          <w:rFonts w:ascii="Arial" w:hAnsi="Arial" w:cs="Arial"/>
          <w:sz w:val="20"/>
          <w:szCs w:val="20"/>
        </w:rPr>
        <w:t xml:space="preserve"> against this objective</w:t>
      </w:r>
      <w:r w:rsidR="00525E32" w:rsidRPr="00FC6804">
        <w:rPr>
          <w:rFonts w:ascii="Arial" w:hAnsi="Arial" w:cs="Arial"/>
          <w:sz w:val="20"/>
          <w:szCs w:val="20"/>
        </w:rPr>
        <w:t xml:space="preserve"> than </w:t>
      </w:r>
      <w:r w:rsidR="009F4596" w:rsidRPr="00FC6804">
        <w:rPr>
          <w:rFonts w:ascii="Arial" w:hAnsi="Arial" w:cs="Arial"/>
          <w:sz w:val="20"/>
          <w:szCs w:val="20"/>
        </w:rPr>
        <w:t>O</w:t>
      </w:r>
      <w:r w:rsidR="00525E32" w:rsidRPr="00FC6804">
        <w:rPr>
          <w:rFonts w:ascii="Arial" w:hAnsi="Arial" w:cs="Arial"/>
          <w:sz w:val="20"/>
          <w:szCs w:val="20"/>
        </w:rPr>
        <w:t xml:space="preserve">ption </w:t>
      </w:r>
      <w:r w:rsidR="0005227D" w:rsidRPr="00FC6804">
        <w:rPr>
          <w:rFonts w:ascii="Arial" w:hAnsi="Arial" w:cs="Arial"/>
          <w:sz w:val="20"/>
          <w:szCs w:val="20"/>
        </w:rPr>
        <w:t>2</w:t>
      </w:r>
      <w:r w:rsidRPr="00FC6804">
        <w:rPr>
          <w:rFonts w:ascii="Arial" w:hAnsi="Arial" w:cs="Arial"/>
          <w:sz w:val="20"/>
          <w:szCs w:val="20"/>
        </w:rPr>
        <w:t xml:space="preserve">, as </w:t>
      </w:r>
      <w:r w:rsidR="00525E32" w:rsidRPr="00FC6804">
        <w:rPr>
          <w:rFonts w:ascii="Arial" w:hAnsi="Arial" w:cs="Arial"/>
          <w:sz w:val="20"/>
          <w:szCs w:val="20"/>
        </w:rPr>
        <w:t>each</w:t>
      </w:r>
      <w:r w:rsidRPr="00FC6804">
        <w:rPr>
          <w:rFonts w:ascii="Arial" w:hAnsi="Arial" w:cs="Arial"/>
          <w:sz w:val="20"/>
          <w:szCs w:val="20"/>
        </w:rPr>
        <w:t xml:space="preserve"> would ensure, as far as possible</w:t>
      </w:r>
      <w:r w:rsidR="0005227D" w:rsidRPr="00FC6804">
        <w:rPr>
          <w:rStyle w:val="FootnoteReference"/>
          <w:rFonts w:ascii="Arial" w:hAnsi="Arial" w:cs="Arial"/>
          <w:sz w:val="20"/>
          <w:szCs w:val="20"/>
        </w:rPr>
        <w:footnoteReference w:id="34"/>
      </w:r>
      <w:r w:rsidRPr="00FC6804">
        <w:rPr>
          <w:rFonts w:ascii="Arial" w:hAnsi="Arial" w:cs="Arial"/>
          <w:sz w:val="20"/>
          <w:szCs w:val="20"/>
        </w:rPr>
        <w:t>, that fee revenue and regulatory costs were exactly matched for each licence type. However, this objective would be achieved by implementing very substantial increases in existing fee levels in some cases. Moreover, these fee increases would be concentrated in areas in which concerns would necessarily arise as to the capacity to pay of the licensees</w:t>
      </w:r>
      <w:r w:rsidR="00525E32" w:rsidRPr="00FC6804">
        <w:rPr>
          <w:rFonts w:ascii="Arial" w:hAnsi="Arial" w:cs="Arial"/>
          <w:sz w:val="20"/>
          <w:szCs w:val="20"/>
        </w:rPr>
        <w:t>, particularly where retail butcher shops are concerned</w:t>
      </w:r>
      <w:r w:rsidRPr="00FC6804">
        <w:rPr>
          <w:rFonts w:ascii="Arial" w:hAnsi="Arial" w:cs="Arial"/>
          <w:sz w:val="20"/>
          <w:szCs w:val="20"/>
        </w:rPr>
        <w:t>. This is a necessary corollary of the fact that the fees have historically had regard to capacity to pay issues as well as cost recovery issues</w:t>
      </w:r>
      <w:r w:rsidR="00960CC5">
        <w:rPr>
          <w:rFonts w:ascii="Arial" w:hAnsi="Arial" w:cs="Arial"/>
          <w:sz w:val="20"/>
          <w:szCs w:val="20"/>
        </w:rPr>
        <w:t xml:space="preserve">, and </w:t>
      </w:r>
      <w:r w:rsidR="00525E32" w:rsidRPr="00FC6804">
        <w:rPr>
          <w:rFonts w:ascii="Arial" w:hAnsi="Arial" w:cs="Arial"/>
          <w:sz w:val="20"/>
          <w:szCs w:val="20"/>
        </w:rPr>
        <w:t xml:space="preserve">as part of this concern, that there have been explicit policy decisions taken to limit </w:t>
      </w:r>
      <w:r w:rsidR="00960CC5">
        <w:rPr>
          <w:rFonts w:ascii="Arial" w:hAnsi="Arial" w:cs="Arial"/>
          <w:sz w:val="20"/>
          <w:szCs w:val="20"/>
        </w:rPr>
        <w:t xml:space="preserve">the fees paid by retail butcher shops. </w:t>
      </w:r>
      <w:r w:rsidR="00525E32" w:rsidRPr="00FC6804">
        <w:rPr>
          <w:rFonts w:ascii="Arial" w:hAnsi="Arial" w:cs="Arial"/>
          <w:sz w:val="20"/>
          <w:szCs w:val="20"/>
        </w:rPr>
        <w:t xml:space="preserve">  </w:t>
      </w:r>
    </w:p>
    <w:p w:rsidR="009F4596" w:rsidRPr="00FC6804" w:rsidRDefault="009F4596" w:rsidP="009F4596">
      <w:pPr>
        <w:spacing w:after="0" w:line="240" w:lineRule="auto"/>
        <w:rPr>
          <w:rFonts w:ascii="Arial" w:hAnsi="Arial" w:cs="Arial"/>
          <w:sz w:val="20"/>
          <w:szCs w:val="20"/>
        </w:rPr>
      </w:pPr>
    </w:p>
    <w:p w:rsidR="00525E32" w:rsidRPr="00FC6804" w:rsidRDefault="00525E32" w:rsidP="009F4596">
      <w:pPr>
        <w:spacing w:after="0" w:line="240" w:lineRule="auto"/>
        <w:rPr>
          <w:rFonts w:ascii="Arial" w:hAnsi="Arial" w:cs="Arial"/>
          <w:sz w:val="20"/>
          <w:szCs w:val="20"/>
        </w:rPr>
      </w:pPr>
      <w:r w:rsidRPr="00FC6804">
        <w:rPr>
          <w:rFonts w:ascii="Arial" w:hAnsi="Arial" w:cs="Arial"/>
          <w:sz w:val="20"/>
          <w:szCs w:val="20"/>
        </w:rPr>
        <w:t xml:space="preserve">Option </w:t>
      </w:r>
      <w:r w:rsidR="0005227D" w:rsidRPr="00FC6804">
        <w:rPr>
          <w:rFonts w:ascii="Arial" w:hAnsi="Arial" w:cs="Arial"/>
          <w:sz w:val="20"/>
          <w:szCs w:val="20"/>
        </w:rPr>
        <w:t xml:space="preserve">4 </w:t>
      </w:r>
      <w:r w:rsidRPr="00FC6804">
        <w:rPr>
          <w:rFonts w:ascii="Arial" w:hAnsi="Arial" w:cs="Arial"/>
          <w:sz w:val="20"/>
          <w:szCs w:val="20"/>
        </w:rPr>
        <w:t xml:space="preserve">is less problematic than </w:t>
      </w:r>
      <w:r w:rsidR="009F4596" w:rsidRPr="00FC6804">
        <w:rPr>
          <w:rFonts w:ascii="Arial" w:hAnsi="Arial" w:cs="Arial"/>
          <w:sz w:val="20"/>
          <w:szCs w:val="20"/>
        </w:rPr>
        <w:t>O</w:t>
      </w:r>
      <w:r w:rsidRPr="00FC6804">
        <w:rPr>
          <w:rFonts w:ascii="Arial" w:hAnsi="Arial" w:cs="Arial"/>
          <w:sz w:val="20"/>
          <w:szCs w:val="20"/>
        </w:rPr>
        <w:t xml:space="preserve">ption </w:t>
      </w:r>
      <w:r w:rsidR="0005227D" w:rsidRPr="00FC6804">
        <w:rPr>
          <w:rFonts w:ascii="Arial" w:hAnsi="Arial" w:cs="Arial"/>
          <w:sz w:val="20"/>
          <w:szCs w:val="20"/>
        </w:rPr>
        <w:t xml:space="preserve">3 </w:t>
      </w:r>
      <w:r w:rsidRPr="00FC6804">
        <w:rPr>
          <w:rFonts w:ascii="Arial" w:hAnsi="Arial" w:cs="Arial"/>
          <w:sz w:val="20"/>
          <w:szCs w:val="20"/>
        </w:rPr>
        <w:t>in this regard, since an expected reduction in the level of inspection activity related to the sulphur dioxide program would mean that the size of the cost recovery based fees imposed on retail butcher</w:t>
      </w:r>
      <w:r w:rsidR="00960CC5">
        <w:rPr>
          <w:rFonts w:ascii="Arial" w:hAnsi="Arial" w:cs="Arial"/>
          <w:sz w:val="20"/>
          <w:szCs w:val="20"/>
        </w:rPr>
        <w:t xml:space="preserve"> </w:t>
      </w:r>
      <w:r w:rsidRPr="00FC6804">
        <w:rPr>
          <w:rFonts w:ascii="Arial" w:hAnsi="Arial" w:cs="Arial"/>
          <w:sz w:val="20"/>
          <w:szCs w:val="20"/>
        </w:rPr>
        <w:t>s</w:t>
      </w:r>
      <w:r w:rsidR="00960CC5">
        <w:rPr>
          <w:rFonts w:ascii="Arial" w:hAnsi="Arial" w:cs="Arial"/>
          <w:sz w:val="20"/>
          <w:szCs w:val="20"/>
        </w:rPr>
        <w:t>hops</w:t>
      </w:r>
      <w:r w:rsidRPr="00FC6804">
        <w:rPr>
          <w:rFonts w:ascii="Arial" w:hAnsi="Arial" w:cs="Arial"/>
          <w:sz w:val="20"/>
          <w:szCs w:val="20"/>
        </w:rPr>
        <w:t xml:space="preserve"> would be lower than under </w:t>
      </w:r>
      <w:r w:rsidR="009F4596" w:rsidRPr="00FC6804">
        <w:rPr>
          <w:rFonts w:ascii="Arial" w:hAnsi="Arial" w:cs="Arial"/>
          <w:sz w:val="20"/>
          <w:szCs w:val="20"/>
        </w:rPr>
        <w:t>O</w:t>
      </w:r>
      <w:r w:rsidRPr="00FC6804">
        <w:rPr>
          <w:rFonts w:ascii="Arial" w:hAnsi="Arial" w:cs="Arial"/>
          <w:sz w:val="20"/>
          <w:szCs w:val="20"/>
        </w:rPr>
        <w:t xml:space="preserve">ption </w:t>
      </w:r>
      <w:r w:rsidR="0005227D" w:rsidRPr="00FC6804">
        <w:rPr>
          <w:rFonts w:ascii="Arial" w:hAnsi="Arial" w:cs="Arial"/>
          <w:sz w:val="20"/>
          <w:szCs w:val="20"/>
        </w:rPr>
        <w:t xml:space="preserve">3 </w:t>
      </w:r>
      <w:r w:rsidRPr="00FC6804">
        <w:rPr>
          <w:rFonts w:ascii="Arial" w:hAnsi="Arial" w:cs="Arial"/>
          <w:sz w:val="20"/>
          <w:szCs w:val="20"/>
        </w:rPr>
        <w:t xml:space="preserve">and the extent of the fee increase experienced by this group concomitantly lower. However, as discussed above, there are concerns regarding the implementation of </w:t>
      </w:r>
      <w:r w:rsidR="009F4596" w:rsidRPr="00FC6804">
        <w:rPr>
          <w:rFonts w:ascii="Arial" w:hAnsi="Arial" w:cs="Arial"/>
          <w:sz w:val="20"/>
          <w:szCs w:val="20"/>
        </w:rPr>
        <w:t>O</w:t>
      </w:r>
      <w:r w:rsidRPr="00FC6804">
        <w:rPr>
          <w:rFonts w:ascii="Arial" w:hAnsi="Arial" w:cs="Arial"/>
          <w:sz w:val="20"/>
          <w:szCs w:val="20"/>
        </w:rPr>
        <w:t xml:space="preserve">ption </w:t>
      </w:r>
      <w:r w:rsidR="0005227D" w:rsidRPr="00FC6804">
        <w:rPr>
          <w:rFonts w:ascii="Arial" w:hAnsi="Arial" w:cs="Arial"/>
          <w:sz w:val="20"/>
          <w:szCs w:val="20"/>
        </w:rPr>
        <w:t xml:space="preserve">4 </w:t>
      </w:r>
      <w:r w:rsidRPr="00FC6804">
        <w:rPr>
          <w:rFonts w:ascii="Arial" w:hAnsi="Arial" w:cs="Arial"/>
          <w:sz w:val="20"/>
          <w:szCs w:val="20"/>
        </w:rPr>
        <w:t xml:space="preserve">in the short term, given that PrimeSafe has yet to complete its review of the sulphur dioxide program and develop what it believes to be an appropriately modified approach to inspection and enforcement in this area. There </w:t>
      </w:r>
      <w:r w:rsidR="00216540" w:rsidRPr="00FC6804">
        <w:rPr>
          <w:rFonts w:ascii="Arial" w:hAnsi="Arial" w:cs="Arial"/>
          <w:sz w:val="20"/>
          <w:szCs w:val="20"/>
        </w:rPr>
        <w:t>would</w:t>
      </w:r>
      <w:r w:rsidRPr="00FC6804">
        <w:rPr>
          <w:rFonts w:ascii="Arial" w:hAnsi="Arial" w:cs="Arial"/>
          <w:sz w:val="20"/>
          <w:szCs w:val="20"/>
        </w:rPr>
        <w:t xml:space="preserve"> also be a need to develop a risk-based approach to animal welfare inspections in order to implement </w:t>
      </w:r>
      <w:r w:rsidR="00960CC5">
        <w:rPr>
          <w:rFonts w:ascii="Arial" w:hAnsi="Arial" w:cs="Arial"/>
          <w:sz w:val="20"/>
          <w:szCs w:val="20"/>
        </w:rPr>
        <w:t>O</w:t>
      </w:r>
      <w:r w:rsidRPr="00FC6804">
        <w:rPr>
          <w:rFonts w:ascii="Arial" w:hAnsi="Arial" w:cs="Arial"/>
          <w:sz w:val="20"/>
          <w:szCs w:val="20"/>
        </w:rPr>
        <w:t xml:space="preserve">ption </w:t>
      </w:r>
      <w:r w:rsidR="0005227D" w:rsidRPr="00FC6804">
        <w:rPr>
          <w:rFonts w:ascii="Arial" w:hAnsi="Arial" w:cs="Arial"/>
          <w:sz w:val="20"/>
          <w:szCs w:val="20"/>
        </w:rPr>
        <w:t xml:space="preserve">4 </w:t>
      </w:r>
      <w:r w:rsidRPr="00FC6804">
        <w:rPr>
          <w:rFonts w:ascii="Arial" w:hAnsi="Arial" w:cs="Arial"/>
          <w:sz w:val="20"/>
          <w:szCs w:val="20"/>
        </w:rPr>
        <w:t>effectively.</w:t>
      </w:r>
    </w:p>
    <w:p w:rsidR="009F4596" w:rsidRPr="00FC6804" w:rsidRDefault="009F4596" w:rsidP="009F4596">
      <w:pPr>
        <w:spacing w:after="0" w:line="240" w:lineRule="auto"/>
        <w:rPr>
          <w:rFonts w:ascii="Arial" w:hAnsi="Arial" w:cs="Arial"/>
          <w:sz w:val="20"/>
          <w:szCs w:val="20"/>
        </w:rPr>
      </w:pPr>
    </w:p>
    <w:p w:rsidR="00525E32" w:rsidRPr="00FC6804" w:rsidRDefault="002D6CC2" w:rsidP="009F4596">
      <w:pPr>
        <w:spacing w:after="0" w:line="240" w:lineRule="auto"/>
        <w:rPr>
          <w:rFonts w:ascii="Arial" w:hAnsi="Arial" w:cs="Arial"/>
          <w:sz w:val="20"/>
          <w:szCs w:val="20"/>
        </w:rPr>
      </w:pPr>
      <w:r w:rsidRPr="00FC6804">
        <w:rPr>
          <w:rFonts w:ascii="Arial" w:hAnsi="Arial" w:cs="Arial"/>
          <w:sz w:val="20"/>
          <w:szCs w:val="20"/>
        </w:rPr>
        <w:t xml:space="preserve">Given the range of considerations involved in determining the preferred option </w:t>
      </w:r>
      <w:r w:rsidR="0005227D" w:rsidRPr="00FC6804">
        <w:rPr>
          <w:rFonts w:ascii="Arial" w:hAnsi="Arial" w:cs="Arial"/>
          <w:sz w:val="20"/>
          <w:szCs w:val="20"/>
        </w:rPr>
        <w:t xml:space="preserve">and </w:t>
      </w:r>
      <w:r w:rsidRPr="00FC6804">
        <w:rPr>
          <w:rFonts w:ascii="Arial" w:hAnsi="Arial" w:cs="Arial"/>
          <w:sz w:val="20"/>
          <w:szCs w:val="20"/>
        </w:rPr>
        <w:t>the fact that</w:t>
      </w:r>
      <w:r w:rsidR="00216540" w:rsidRPr="00FC6804">
        <w:rPr>
          <w:rFonts w:ascii="Arial" w:hAnsi="Arial" w:cs="Arial"/>
          <w:sz w:val="20"/>
          <w:szCs w:val="20"/>
        </w:rPr>
        <w:t xml:space="preserve"> not</w:t>
      </w:r>
      <w:r w:rsidRPr="00FC6804">
        <w:rPr>
          <w:rFonts w:ascii="Arial" w:hAnsi="Arial" w:cs="Arial"/>
          <w:sz w:val="20"/>
          <w:szCs w:val="20"/>
        </w:rPr>
        <w:t xml:space="preserve"> all can be quantified in dollar terms, a multi-criteria analysis is presented below to clarify the basis for the choice of the preferred option.</w:t>
      </w:r>
    </w:p>
    <w:p w:rsidR="002D6CC2" w:rsidRPr="00FC6804" w:rsidRDefault="002D6CC2" w:rsidP="009F4596">
      <w:pPr>
        <w:spacing w:after="0" w:line="240" w:lineRule="auto"/>
        <w:rPr>
          <w:rFonts w:ascii="Arial" w:hAnsi="Arial" w:cs="Arial"/>
          <w:sz w:val="20"/>
          <w:szCs w:val="20"/>
        </w:rPr>
      </w:pPr>
    </w:p>
    <w:p w:rsidR="002D6CC2" w:rsidRPr="00FC6804" w:rsidRDefault="002D6CC2" w:rsidP="009F4596">
      <w:pPr>
        <w:pStyle w:val="Heading2"/>
        <w:numPr>
          <w:ilvl w:val="1"/>
          <w:numId w:val="2"/>
        </w:numPr>
        <w:rPr>
          <w:rFonts w:cs="Arial"/>
          <w:b/>
          <w:szCs w:val="20"/>
        </w:rPr>
      </w:pPr>
      <w:bookmarkStart w:id="40" w:name="_Toc443915369"/>
      <w:r w:rsidRPr="00FC6804">
        <w:rPr>
          <w:rFonts w:cs="Arial"/>
          <w:b/>
          <w:szCs w:val="20"/>
        </w:rPr>
        <w:t>Multi-criteria analysis</w:t>
      </w:r>
      <w:bookmarkEnd w:id="40"/>
    </w:p>
    <w:p w:rsidR="002D6CC2" w:rsidRPr="00FC6804" w:rsidRDefault="002D6CC2" w:rsidP="009F4596">
      <w:pPr>
        <w:spacing w:after="0" w:line="240" w:lineRule="auto"/>
        <w:rPr>
          <w:rFonts w:ascii="Arial" w:hAnsi="Arial" w:cs="Arial"/>
          <w:sz w:val="20"/>
          <w:szCs w:val="20"/>
        </w:rPr>
      </w:pPr>
    </w:p>
    <w:p w:rsidR="002D6CC2" w:rsidRPr="00FC6804" w:rsidRDefault="002D6CC2" w:rsidP="009F4596">
      <w:pPr>
        <w:pStyle w:val="Heading3"/>
        <w:numPr>
          <w:ilvl w:val="2"/>
          <w:numId w:val="2"/>
        </w:numPr>
        <w:spacing w:before="0" w:line="240" w:lineRule="auto"/>
        <w:rPr>
          <w:rFonts w:ascii="Arial" w:hAnsi="Arial" w:cs="Arial"/>
          <w:i/>
          <w:sz w:val="20"/>
          <w:szCs w:val="20"/>
        </w:rPr>
      </w:pPr>
      <w:bookmarkStart w:id="41" w:name="_Toc443915370"/>
      <w:r w:rsidRPr="00FC6804">
        <w:rPr>
          <w:rFonts w:ascii="Arial" w:hAnsi="Arial" w:cs="Arial"/>
          <w:i/>
          <w:sz w:val="20"/>
          <w:szCs w:val="20"/>
        </w:rPr>
        <w:t>Assessment criteria</w:t>
      </w:r>
      <w:bookmarkEnd w:id="41"/>
    </w:p>
    <w:p w:rsidR="007851C3" w:rsidRPr="00FC6804" w:rsidRDefault="007851C3" w:rsidP="009F4596">
      <w:pPr>
        <w:spacing w:after="0" w:line="240" w:lineRule="auto"/>
        <w:rPr>
          <w:rFonts w:ascii="Arial" w:hAnsi="Arial" w:cs="Arial"/>
          <w:sz w:val="20"/>
          <w:szCs w:val="20"/>
        </w:rPr>
      </w:pPr>
    </w:p>
    <w:p w:rsidR="0097426E" w:rsidRPr="00FC6804" w:rsidRDefault="0097426E" w:rsidP="009F4596">
      <w:pPr>
        <w:spacing w:after="0" w:line="240" w:lineRule="auto"/>
        <w:rPr>
          <w:rFonts w:ascii="Arial" w:hAnsi="Arial" w:cs="Arial"/>
          <w:sz w:val="20"/>
          <w:szCs w:val="20"/>
        </w:rPr>
      </w:pPr>
      <w:r w:rsidRPr="00FC6804">
        <w:rPr>
          <w:rFonts w:ascii="Arial" w:hAnsi="Arial" w:cs="Arial"/>
          <w:sz w:val="20"/>
          <w:szCs w:val="20"/>
        </w:rPr>
        <w:t xml:space="preserve">Four assessment criteria have been identified, based on the specific objectives set out in Section </w:t>
      </w:r>
      <w:r w:rsidR="00960CC5">
        <w:rPr>
          <w:rFonts w:ascii="Arial" w:hAnsi="Arial" w:cs="Arial"/>
          <w:sz w:val="20"/>
          <w:szCs w:val="20"/>
        </w:rPr>
        <w:t>6</w:t>
      </w:r>
      <w:r w:rsidRPr="00FC6804">
        <w:rPr>
          <w:rFonts w:ascii="Arial" w:hAnsi="Arial" w:cs="Arial"/>
          <w:sz w:val="20"/>
          <w:szCs w:val="20"/>
        </w:rPr>
        <w:t xml:space="preserve"> and the broader regulatory role of </w:t>
      </w:r>
      <w:r w:rsidR="009F4596" w:rsidRPr="00FC6804">
        <w:rPr>
          <w:rFonts w:ascii="Arial" w:hAnsi="Arial" w:cs="Arial"/>
          <w:sz w:val="20"/>
          <w:szCs w:val="20"/>
        </w:rPr>
        <w:t xml:space="preserve">PrimeSafe. </w:t>
      </w:r>
      <w:r w:rsidRPr="00FC6804">
        <w:rPr>
          <w:rFonts w:ascii="Arial" w:hAnsi="Arial" w:cs="Arial"/>
          <w:sz w:val="20"/>
          <w:szCs w:val="20"/>
        </w:rPr>
        <w:t>These are the extent to which the option aligns fees paid and regulatory costs incurred for different groups of licensees, affordability for small business, regulatory cost minimisation and maintenance of public confidence.</w:t>
      </w:r>
    </w:p>
    <w:p w:rsidR="009F4596" w:rsidRPr="00FC6804" w:rsidRDefault="009F4596" w:rsidP="009F4596">
      <w:pPr>
        <w:spacing w:after="0" w:line="240" w:lineRule="auto"/>
        <w:rPr>
          <w:rFonts w:ascii="Arial" w:hAnsi="Arial" w:cs="Arial"/>
          <w:sz w:val="20"/>
          <w:szCs w:val="20"/>
        </w:rPr>
      </w:pPr>
    </w:p>
    <w:p w:rsidR="00D63E56" w:rsidRPr="00FC6804" w:rsidRDefault="00D63E56" w:rsidP="009F4596">
      <w:pPr>
        <w:spacing w:after="0" w:line="240" w:lineRule="auto"/>
        <w:rPr>
          <w:rFonts w:ascii="Arial" w:hAnsi="Arial" w:cs="Arial"/>
          <w:sz w:val="20"/>
          <w:szCs w:val="20"/>
        </w:rPr>
      </w:pPr>
      <w:r w:rsidRPr="00FC6804">
        <w:rPr>
          <w:rFonts w:ascii="Arial" w:hAnsi="Arial" w:cs="Arial"/>
          <w:sz w:val="20"/>
          <w:szCs w:val="20"/>
        </w:rPr>
        <w:t xml:space="preserve">The </w:t>
      </w:r>
      <w:r w:rsidRPr="00FC6804">
        <w:rPr>
          <w:rFonts w:ascii="Arial" w:hAnsi="Arial" w:cs="Arial"/>
          <w:b/>
          <w:i/>
          <w:sz w:val="20"/>
          <w:szCs w:val="20"/>
        </w:rPr>
        <w:t>alignment of fee revenue and regulatory costs</w:t>
      </w:r>
      <w:r w:rsidRPr="00FC6804">
        <w:rPr>
          <w:rFonts w:ascii="Arial" w:hAnsi="Arial" w:cs="Arial"/>
          <w:sz w:val="20"/>
          <w:szCs w:val="20"/>
        </w:rPr>
        <w:t xml:space="preserve"> for individual gr</w:t>
      </w:r>
      <w:r w:rsidR="006C5872" w:rsidRPr="00FC6804">
        <w:rPr>
          <w:rFonts w:ascii="Arial" w:hAnsi="Arial" w:cs="Arial"/>
          <w:sz w:val="20"/>
          <w:szCs w:val="20"/>
        </w:rPr>
        <w:t xml:space="preserve">oups of licensees is both equitable and economically efficient and also reflects government policy, as reflected in the </w:t>
      </w:r>
      <w:r w:rsidRPr="00FC6804">
        <w:rPr>
          <w:rFonts w:ascii="Arial" w:hAnsi="Arial" w:cs="Arial"/>
          <w:sz w:val="20"/>
          <w:szCs w:val="20"/>
        </w:rPr>
        <w:t>Department of Treasury and Finance</w:t>
      </w:r>
      <w:r w:rsidR="006C5872" w:rsidRPr="00FC6804">
        <w:rPr>
          <w:rFonts w:ascii="Arial" w:hAnsi="Arial" w:cs="Arial"/>
          <w:sz w:val="20"/>
          <w:szCs w:val="20"/>
        </w:rPr>
        <w:t xml:space="preserve"> Cost Recovery Guidelines.  </w:t>
      </w:r>
    </w:p>
    <w:p w:rsidR="009F4596" w:rsidRPr="00FC6804" w:rsidRDefault="009F4596" w:rsidP="009F4596">
      <w:pPr>
        <w:spacing w:after="0" w:line="240" w:lineRule="auto"/>
        <w:rPr>
          <w:rFonts w:ascii="Arial" w:hAnsi="Arial" w:cs="Arial"/>
          <w:sz w:val="20"/>
          <w:szCs w:val="20"/>
        </w:rPr>
      </w:pPr>
    </w:p>
    <w:p w:rsidR="006C5872" w:rsidRPr="00FC6804" w:rsidRDefault="006C5872" w:rsidP="009F4596">
      <w:pPr>
        <w:spacing w:after="0" w:line="240" w:lineRule="auto"/>
        <w:rPr>
          <w:rFonts w:ascii="Arial" w:hAnsi="Arial" w:cs="Arial"/>
          <w:sz w:val="20"/>
          <w:szCs w:val="20"/>
        </w:rPr>
      </w:pPr>
      <w:r w:rsidRPr="00FC6804">
        <w:rPr>
          <w:rFonts w:ascii="Arial" w:hAnsi="Arial" w:cs="Arial"/>
          <w:b/>
          <w:i/>
          <w:sz w:val="20"/>
          <w:szCs w:val="20"/>
        </w:rPr>
        <w:t>Affordability for small business</w:t>
      </w:r>
      <w:r w:rsidRPr="00FC6804">
        <w:rPr>
          <w:rFonts w:ascii="Arial" w:hAnsi="Arial" w:cs="Arial"/>
          <w:sz w:val="20"/>
          <w:szCs w:val="20"/>
        </w:rPr>
        <w:t xml:space="preserve"> has historically been an important consideration in Prime</w:t>
      </w:r>
      <w:r w:rsidR="009F4596" w:rsidRPr="00FC6804">
        <w:rPr>
          <w:rFonts w:ascii="Arial" w:hAnsi="Arial" w:cs="Arial"/>
          <w:sz w:val="20"/>
          <w:szCs w:val="20"/>
        </w:rPr>
        <w:t>S</w:t>
      </w:r>
      <w:r w:rsidRPr="00FC6804">
        <w:rPr>
          <w:rFonts w:ascii="Arial" w:hAnsi="Arial" w:cs="Arial"/>
          <w:sz w:val="20"/>
          <w:szCs w:val="20"/>
        </w:rPr>
        <w:t>afe’s fee setting and the continued relevance of this objective is identified in the most recent Ministerial Statement of Expectations, which highlights the scope to reduce the regulatory compliance costs of small business.</w:t>
      </w:r>
    </w:p>
    <w:p w:rsidR="006C5872" w:rsidRPr="00FC6804" w:rsidRDefault="006C5872" w:rsidP="009F4596">
      <w:pPr>
        <w:spacing w:after="0" w:line="240" w:lineRule="auto"/>
        <w:rPr>
          <w:rFonts w:ascii="Arial" w:hAnsi="Arial" w:cs="Arial"/>
          <w:sz w:val="20"/>
          <w:szCs w:val="20"/>
        </w:rPr>
      </w:pPr>
      <w:r w:rsidRPr="00FC6804">
        <w:rPr>
          <w:rFonts w:ascii="Arial" w:hAnsi="Arial" w:cs="Arial"/>
          <w:b/>
          <w:i/>
          <w:sz w:val="20"/>
          <w:szCs w:val="20"/>
        </w:rPr>
        <w:t>Regulatory cost</w:t>
      </w:r>
      <w:r w:rsidR="00FC5E33" w:rsidRPr="00FC6804">
        <w:rPr>
          <w:rFonts w:ascii="Arial" w:hAnsi="Arial" w:cs="Arial"/>
          <w:b/>
          <w:i/>
          <w:sz w:val="20"/>
          <w:szCs w:val="20"/>
        </w:rPr>
        <w:t xml:space="preserve">.  </w:t>
      </w:r>
      <w:r w:rsidR="00FC5E33" w:rsidRPr="00FC6804">
        <w:rPr>
          <w:rFonts w:ascii="Arial" w:hAnsi="Arial" w:cs="Arial"/>
          <w:sz w:val="20"/>
          <w:szCs w:val="20"/>
        </w:rPr>
        <w:t>This criterion</w:t>
      </w:r>
      <w:r w:rsidRPr="00FC6804">
        <w:rPr>
          <w:rFonts w:ascii="Arial" w:hAnsi="Arial" w:cs="Arial"/>
          <w:b/>
          <w:i/>
          <w:sz w:val="20"/>
          <w:szCs w:val="20"/>
        </w:rPr>
        <w:t xml:space="preserve"> </w:t>
      </w:r>
      <w:r w:rsidR="00FC5E33" w:rsidRPr="00FC6804">
        <w:rPr>
          <w:rFonts w:ascii="Arial" w:hAnsi="Arial" w:cs="Arial"/>
          <w:sz w:val="20"/>
          <w:szCs w:val="20"/>
        </w:rPr>
        <w:t xml:space="preserve">reflects the objective, set out in the </w:t>
      </w:r>
      <w:r w:rsidR="007573C0">
        <w:rPr>
          <w:rFonts w:ascii="Arial" w:hAnsi="Arial" w:cs="Arial"/>
          <w:sz w:val="20"/>
          <w:szCs w:val="20"/>
        </w:rPr>
        <w:t>Victorian Guide to Regulation</w:t>
      </w:r>
      <w:r w:rsidR="00FC5E33" w:rsidRPr="00FC6804">
        <w:rPr>
          <w:rFonts w:ascii="Arial" w:hAnsi="Arial" w:cs="Arial"/>
          <w:sz w:val="20"/>
          <w:szCs w:val="20"/>
        </w:rPr>
        <w:t xml:space="preserve">, of ensuring that </w:t>
      </w:r>
      <w:r w:rsidRPr="00FC6804">
        <w:rPr>
          <w:rFonts w:ascii="Arial" w:hAnsi="Arial" w:cs="Arial"/>
          <w:sz w:val="20"/>
          <w:szCs w:val="20"/>
        </w:rPr>
        <w:t xml:space="preserve">that identified regulatory objectives </w:t>
      </w:r>
      <w:r w:rsidR="00FC5E33" w:rsidRPr="00FC6804">
        <w:rPr>
          <w:rFonts w:ascii="Arial" w:hAnsi="Arial" w:cs="Arial"/>
          <w:sz w:val="20"/>
          <w:szCs w:val="20"/>
        </w:rPr>
        <w:t xml:space="preserve">are </w:t>
      </w:r>
      <w:r w:rsidR="00BB2E5A">
        <w:rPr>
          <w:rFonts w:ascii="Arial" w:hAnsi="Arial" w:cs="Arial"/>
          <w:sz w:val="20"/>
          <w:szCs w:val="20"/>
        </w:rPr>
        <w:t xml:space="preserve">to </w:t>
      </w:r>
      <w:r w:rsidRPr="00FC6804">
        <w:rPr>
          <w:rFonts w:ascii="Arial" w:hAnsi="Arial" w:cs="Arial"/>
          <w:sz w:val="20"/>
          <w:szCs w:val="20"/>
        </w:rPr>
        <w:t>be achieve</w:t>
      </w:r>
      <w:r w:rsidR="00BB2E5A">
        <w:rPr>
          <w:rFonts w:ascii="Arial" w:hAnsi="Arial" w:cs="Arial"/>
          <w:sz w:val="20"/>
          <w:szCs w:val="20"/>
        </w:rPr>
        <w:t xml:space="preserve">d at the lowest feasible cost. </w:t>
      </w:r>
      <w:r w:rsidRPr="00FC6804">
        <w:rPr>
          <w:rFonts w:ascii="Arial" w:hAnsi="Arial" w:cs="Arial"/>
          <w:sz w:val="20"/>
          <w:szCs w:val="20"/>
        </w:rPr>
        <w:t xml:space="preserve">This is </w:t>
      </w:r>
      <w:r w:rsidR="00FC5E33" w:rsidRPr="00FC6804">
        <w:rPr>
          <w:rFonts w:ascii="Arial" w:hAnsi="Arial" w:cs="Arial"/>
          <w:sz w:val="20"/>
          <w:szCs w:val="20"/>
        </w:rPr>
        <w:t xml:space="preserve">also </w:t>
      </w:r>
      <w:r w:rsidRPr="00FC6804">
        <w:rPr>
          <w:rFonts w:ascii="Arial" w:hAnsi="Arial" w:cs="Arial"/>
          <w:sz w:val="20"/>
          <w:szCs w:val="20"/>
        </w:rPr>
        <w:t xml:space="preserve">an implicit objective of the Cost Recovery Guidelines, which emphasise that only “efficient costs” should be recovered via regulatory fees.  </w:t>
      </w:r>
    </w:p>
    <w:p w:rsidR="009F4596" w:rsidRPr="00FC6804" w:rsidRDefault="009F4596" w:rsidP="009F4596">
      <w:pPr>
        <w:spacing w:after="0" w:line="240" w:lineRule="auto"/>
        <w:rPr>
          <w:rFonts w:ascii="Arial" w:hAnsi="Arial" w:cs="Arial"/>
          <w:sz w:val="20"/>
          <w:szCs w:val="20"/>
        </w:rPr>
      </w:pPr>
    </w:p>
    <w:p w:rsidR="006C5872" w:rsidRPr="00FC6804" w:rsidRDefault="006C5872" w:rsidP="009F4596">
      <w:pPr>
        <w:spacing w:after="0" w:line="240" w:lineRule="auto"/>
        <w:rPr>
          <w:rFonts w:ascii="Arial" w:hAnsi="Arial" w:cs="Arial"/>
          <w:sz w:val="20"/>
          <w:szCs w:val="20"/>
        </w:rPr>
      </w:pPr>
      <w:r w:rsidRPr="00FC6804">
        <w:rPr>
          <w:rFonts w:ascii="Arial" w:hAnsi="Arial" w:cs="Arial"/>
          <w:b/>
          <w:i/>
          <w:sz w:val="20"/>
          <w:szCs w:val="20"/>
        </w:rPr>
        <w:t xml:space="preserve">Maintenance of public confidence </w:t>
      </w:r>
      <w:r w:rsidRPr="00FC6804">
        <w:rPr>
          <w:rFonts w:ascii="Arial" w:hAnsi="Arial" w:cs="Arial"/>
          <w:sz w:val="20"/>
          <w:szCs w:val="20"/>
        </w:rPr>
        <w:t xml:space="preserve">is essential </w:t>
      </w:r>
      <w:r w:rsidR="007851C3" w:rsidRPr="00FC6804">
        <w:rPr>
          <w:rFonts w:ascii="Arial" w:hAnsi="Arial" w:cs="Arial"/>
          <w:sz w:val="20"/>
          <w:szCs w:val="20"/>
        </w:rPr>
        <w:t>for the continued economic success of the industry, since any concerns about the safety of meat, poultry and seafood would be likely to give rise to a decline in consumption by at least some sections of the community.</w:t>
      </w:r>
    </w:p>
    <w:p w:rsidR="00E6194B" w:rsidRPr="00FC6804" w:rsidRDefault="00E6194B" w:rsidP="009F4596">
      <w:pPr>
        <w:spacing w:after="0" w:line="240" w:lineRule="auto"/>
        <w:rPr>
          <w:rFonts w:ascii="Arial" w:hAnsi="Arial" w:cs="Arial"/>
          <w:sz w:val="20"/>
          <w:szCs w:val="20"/>
        </w:rPr>
      </w:pPr>
    </w:p>
    <w:p w:rsidR="00FC5E33" w:rsidRPr="00FC6804" w:rsidRDefault="00FC5E33" w:rsidP="009F4596">
      <w:pPr>
        <w:spacing w:after="0" w:line="240" w:lineRule="auto"/>
        <w:rPr>
          <w:rFonts w:ascii="Arial" w:hAnsi="Arial" w:cs="Arial"/>
          <w:sz w:val="20"/>
          <w:szCs w:val="20"/>
        </w:rPr>
      </w:pPr>
      <w:r w:rsidRPr="00FC6804">
        <w:rPr>
          <w:rFonts w:ascii="Arial" w:hAnsi="Arial" w:cs="Arial"/>
          <w:sz w:val="20"/>
          <w:szCs w:val="20"/>
        </w:rPr>
        <w:t>All of these criteria have been accorded equal weight, since all are considered to be closely related to the achievement of Prime</w:t>
      </w:r>
      <w:r w:rsidR="00E6194B" w:rsidRPr="00FC6804">
        <w:rPr>
          <w:rFonts w:ascii="Arial" w:hAnsi="Arial" w:cs="Arial"/>
          <w:sz w:val="20"/>
          <w:szCs w:val="20"/>
        </w:rPr>
        <w:t>S</w:t>
      </w:r>
      <w:r w:rsidRPr="00FC6804">
        <w:rPr>
          <w:rFonts w:ascii="Arial" w:hAnsi="Arial" w:cs="Arial"/>
          <w:sz w:val="20"/>
          <w:szCs w:val="20"/>
        </w:rPr>
        <w:t>afe’s regulatory responsibilities and the consequent prosperity of the meat, seafood and poultry industries.</w:t>
      </w:r>
    </w:p>
    <w:p w:rsidR="0097426E" w:rsidRPr="00FC6804" w:rsidRDefault="0097426E" w:rsidP="009F4596">
      <w:pPr>
        <w:spacing w:after="0" w:line="240" w:lineRule="auto"/>
        <w:rPr>
          <w:rFonts w:ascii="Arial" w:hAnsi="Arial" w:cs="Arial"/>
          <w:sz w:val="20"/>
          <w:szCs w:val="20"/>
        </w:rPr>
      </w:pPr>
    </w:p>
    <w:p w:rsidR="00A87983" w:rsidRPr="00FC6804" w:rsidRDefault="007851C3" w:rsidP="009F4596">
      <w:pPr>
        <w:pStyle w:val="Heading3"/>
        <w:numPr>
          <w:ilvl w:val="2"/>
          <w:numId w:val="2"/>
        </w:numPr>
        <w:spacing w:before="0" w:line="240" w:lineRule="auto"/>
        <w:rPr>
          <w:rFonts w:ascii="Arial" w:hAnsi="Arial" w:cs="Arial"/>
          <w:i/>
          <w:sz w:val="20"/>
          <w:szCs w:val="20"/>
        </w:rPr>
      </w:pPr>
      <w:bookmarkStart w:id="42" w:name="_Toc443915371"/>
      <w:r w:rsidRPr="00FC6804">
        <w:rPr>
          <w:rFonts w:ascii="Arial" w:hAnsi="Arial" w:cs="Arial"/>
          <w:i/>
          <w:sz w:val="20"/>
          <w:szCs w:val="20"/>
        </w:rPr>
        <w:t>Assessment of the options against the identified criteria</w:t>
      </w:r>
      <w:bookmarkEnd w:id="42"/>
    </w:p>
    <w:p w:rsidR="0097426E" w:rsidRPr="00FC6804" w:rsidRDefault="0097426E" w:rsidP="009F4596">
      <w:pPr>
        <w:spacing w:after="0" w:line="240" w:lineRule="auto"/>
        <w:rPr>
          <w:rFonts w:ascii="Arial" w:hAnsi="Arial" w:cs="Arial"/>
          <w:sz w:val="20"/>
          <w:szCs w:val="20"/>
        </w:rPr>
      </w:pPr>
    </w:p>
    <w:p w:rsidR="007851C3" w:rsidRPr="00FC6804" w:rsidRDefault="007851C3" w:rsidP="009F4596">
      <w:pPr>
        <w:spacing w:after="0" w:line="240" w:lineRule="auto"/>
        <w:rPr>
          <w:rFonts w:ascii="Arial" w:hAnsi="Arial" w:cs="Arial"/>
          <w:b/>
          <w:i/>
          <w:color w:val="000000" w:themeColor="text1"/>
          <w:sz w:val="20"/>
          <w:szCs w:val="20"/>
        </w:rPr>
      </w:pPr>
      <w:r w:rsidRPr="00FC6804">
        <w:rPr>
          <w:rFonts w:ascii="Arial" w:hAnsi="Arial" w:cs="Arial"/>
          <w:b/>
          <w:i/>
          <w:color w:val="000000" w:themeColor="text1"/>
          <w:sz w:val="20"/>
          <w:szCs w:val="20"/>
        </w:rPr>
        <w:t>Ap</w:t>
      </w:r>
      <w:r w:rsidR="00D85F7D" w:rsidRPr="00FC6804">
        <w:rPr>
          <w:rFonts w:ascii="Arial" w:hAnsi="Arial" w:cs="Arial"/>
          <w:b/>
          <w:i/>
          <w:color w:val="000000" w:themeColor="text1"/>
          <w:sz w:val="20"/>
          <w:szCs w:val="20"/>
        </w:rPr>
        <w:t>propriate alignment bet</w:t>
      </w:r>
      <w:r w:rsidR="00E6194B" w:rsidRPr="00FC6804">
        <w:rPr>
          <w:rFonts w:ascii="Arial" w:hAnsi="Arial" w:cs="Arial"/>
          <w:b/>
          <w:i/>
          <w:color w:val="000000" w:themeColor="text1"/>
          <w:sz w:val="20"/>
          <w:szCs w:val="20"/>
        </w:rPr>
        <w:t>ween regulatory costs and fees</w:t>
      </w:r>
    </w:p>
    <w:p w:rsidR="00E6194B" w:rsidRPr="00FC6804" w:rsidRDefault="00E6194B" w:rsidP="009F4596">
      <w:pPr>
        <w:spacing w:after="0" w:line="240" w:lineRule="auto"/>
        <w:rPr>
          <w:rFonts w:ascii="Arial" w:hAnsi="Arial" w:cs="Arial"/>
          <w:sz w:val="20"/>
          <w:szCs w:val="20"/>
        </w:rPr>
      </w:pPr>
    </w:p>
    <w:p w:rsidR="002D6CC2" w:rsidRPr="00FC6804" w:rsidRDefault="00D85F7D" w:rsidP="009F4596">
      <w:pPr>
        <w:spacing w:after="0" w:line="240" w:lineRule="auto"/>
        <w:rPr>
          <w:rFonts w:ascii="Arial" w:hAnsi="Arial" w:cs="Arial"/>
          <w:sz w:val="20"/>
          <w:szCs w:val="20"/>
        </w:rPr>
      </w:pPr>
      <w:r w:rsidRPr="00FC6804">
        <w:rPr>
          <w:rFonts w:ascii="Arial" w:hAnsi="Arial" w:cs="Arial"/>
          <w:sz w:val="20"/>
          <w:szCs w:val="20"/>
        </w:rPr>
        <w:t xml:space="preserve">As all options necessarily ensure a full cost recovery outcome in the aggregate, </w:t>
      </w:r>
      <w:r w:rsidR="007A5704" w:rsidRPr="00FC6804">
        <w:rPr>
          <w:rFonts w:ascii="Arial" w:hAnsi="Arial" w:cs="Arial"/>
          <w:sz w:val="20"/>
          <w:szCs w:val="20"/>
        </w:rPr>
        <w:t xml:space="preserve">all receive a positive score. </w:t>
      </w:r>
      <w:r w:rsidR="00566188" w:rsidRPr="00FC6804">
        <w:rPr>
          <w:rFonts w:ascii="Arial" w:hAnsi="Arial" w:cs="Arial"/>
          <w:sz w:val="20"/>
          <w:szCs w:val="20"/>
        </w:rPr>
        <w:t>This reflects the fact that the continuation of the status quo would not achieve an alignment of regulatory costs and fees at the aggregate level, whereas all of the feasible options consider</w:t>
      </w:r>
      <w:r w:rsidR="007A5704" w:rsidRPr="00FC6804">
        <w:rPr>
          <w:rFonts w:ascii="Arial" w:hAnsi="Arial" w:cs="Arial"/>
          <w:sz w:val="20"/>
          <w:szCs w:val="20"/>
        </w:rPr>
        <w:t xml:space="preserve">ed would achieve this outcome. </w:t>
      </w:r>
      <w:r w:rsidR="00566188" w:rsidRPr="00FC6804">
        <w:rPr>
          <w:rFonts w:ascii="Arial" w:hAnsi="Arial" w:cs="Arial"/>
          <w:sz w:val="20"/>
          <w:szCs w:val="20"/>
        </w:rPr>
        <w:t xml:space="preserve">The scores of </w:t>
      </w:r>
      <w:r w:rsidRPr="00FC6804">
        <w:rPr>
          <w:rFonts w:ascii="Arial" w:hAnsi="Arial" w:cs="Arial"/>
          <w:sz w:val="20"/>
          <w:szCs w:val="20"/>
        </w:rPr>
        <w:t>the options are</w:t>
      </w:r>
      <w:r w:rsidR="00566188" w:rsidRPr="00FC6804">
        <w:rPr>
          <w:rFonts w:ascii="Arial" w:hAnsi="Arial" w:cs="Arial"/>
          <w:sz w:val="20"/>
          <w:szCs w:val="20"/>
        </w:rPr>
        <w:t xml:space="preserve"> therefore</w:t>
      </w:r>
      <w:r w:rsidRPr="00FC6804">
        <w:rPr>
          <w:rFonts w:ascii="Arial" w:hAnsi="Arial" w:cs="Arial"/>
          <w:sz w:val="20"/>
          <w:szCs w:val="20"/>
        </w:rPr>
        <w:t xml:space="preserve"> distinguished in terms of their performance in aligning regulatory costs and fees at the level of individual licence types.</w:t>
      </w:r>
    </w:p>
    <w:p w:rsidR="007A5704" w:rsidRPr="00FC6804" w:rsidRDefault="007A5704" w:rsidP="009F4596">
      <w:pPr>
        <w:spacing w:after="0" w:line="240" w:lineRule="auto"/>
        <w:rPr>
          <w:rFonts w:ascii="Arial" w:hAnsi="Arial" w:cs="Arial"/>
          <w:sz w:val="20"/>
          <w:szCs w:val="20"/>
        </w:rPr>
      </w:pPr>
    </w:p>
    <w:p w:rsidR="00D85F7D" w:rsidRPr="00FC6804" w:rsidRDefault="003C2840" w:rsidP="009F4596">
      <w:pPr>
        <w:spacing w:after="0" w:line="240" w:lineRule="auto"/>
        <w:rPr>
          <w:rFonts w:ascii="Arial" w:hAnsi="Arial" w:cs="Arial"/>
          <w:sz w:val="20"/>
          <w:szCs w:val="20"/>
        </w:rPr>
      </w:pPr>
      <w:r w:rsidRPr="00FC6804">
        <w:rPr>
          <w:rFonts w:ascii="Arial" w:hAnsi="Arial" w:cs="Arial"/>
          <w:sz w:val="20"/>
          <w:szCs w:val="20"/>
        </w:rPr>
        <w:t xml:space="preserve">Option 1 receives </w:t>
      </w:r>
      <w:r w:rsidR="00566188" w:rsidRPr="00FC6804">
        <w:rPr>
          <w:rFonts w:ascii="Arial" w:hAnsi="Arial" w:cs="Arial"/>
          <w:sz w:val="20"/>
          <w:szCs w:val="20"/>
        </w:rPr>
        <w:t xml:space="preserve">the lowest score </w:t>
      </w:r>
      <w:r w:rsidRPr="00FC6804">
        <w:rPr>
          <w:rFonts w:ascii="Arial" w:hAnsi="Arial" w:cs="Arial"/>
          <w:sz w:val="20"/>
          <w:szCs w:val="20"/>
        </w:rPr>
        <w:t xml:space="preserve">of </w:t>
      </w:r>
      <w:r w:rsidR="00566188" w:rsidRPr="00FC6804">
        <w:rPr>
          <w:rFonts w:ascii="Arial" w:hAnsi="Arial" w:cs="Arial"/>
          <w:sz w:val="20"/>
          <w:szCs w:val="20"/>
        </w:rPr>
        <w:t>+3,</w:t>
      </w:r>
      <w:r w:rsidRPr="00FC6804">
        <w:rPr>
          <w:rFonts w:ascii="Arial" w:hAnsi="Arial" w:cs="Arial"/>
          <w:sz w:val="20"/>
          <w:szCs w:val="20"/>
        </w:rPr>
        <w:t xml:space="preserve"> against this criterion, as it would make no </w:t>
      </w:r>
      <w:r w:rsidR="00566188" w:rsidRPr="00FC6804">
        <w:rPr>
          <w:rFonts w:ascii="Arial" w:hAnsi="Arial" w:cs="Arial"/>
          <w:sz w:val="20"/>
          <w:szCs w:val="20"/>
        </w:rPr>
        <w:t>improvement to the current alignment of fees and costs across licence categories.</w:t>
      </w:r>
      <w:r w:rsidR="007A5704" w:rsidRPr="00FC6804">
        <w:rPr>
          <w:rFonts w:ascii="Arial" w:hAnsi="Arial" w:cs="Arial"/>
          <w:sz w:val="20"/>
          <w:szCs w:val="20"/>
        </w:rPr>
        <w:t xml:space="preserve"> </w:t>
      </w:r>
      <w:r w:rsidRPr="00FC6804">
        <w:rPr>
          <w:rFonts w:ascii="Arial" w:hAnsi="Arial" w:cs="Arial"/>
          <w:sz w:val="20"/>
          <w:szCs w:val="20"/>
        </w:rPr>
        <w:t xml:space="preserve">All the remaining </w:t>
      </w:r>
      <w:r w:rsidR="00D85F7D" w:rsidRPr="00FC6804">
        <w:rPr>
          <w:rFonts w:ascii="Arial" w:hAnsi="Arial" w:cs="Arial"/>
          <w:sz w:val="20"/>
          <w:szCs w:val="20"/>
        </w:rPr>
        <w:t xml:space="preserve">three options </w:t>
      </w:r>
      <w:r w:rsidR="00566188" w:rsidRPr="00FC6804">
        <w:rPr>
          <w:rFonts w:ascii="Arial" w:hAnsi="Arial" w:cs="Arial"/>
          <w:sz w:val="20"/>
          <w:szCs w:val="20"/>
        </w:rPr>
        <w:t xml:space="preserve">receive larger </w:t>
      </w:r>
      <w:r w:rsidR="00D85F7D" w:rsidRPr="00FC6804">
        <w:rPr>
          <w:rFonts w:ascii="Arial" w:hAnsi="Arial" w:cs="Arial"/>
          <w:sz w:val="20"/>
          <w:szCs w:val="20"/>
        </w:rPr>
        <w:t xml:space="preserve">positive scores, since each would lead to a closer alignment between regulatory costs and fees paid than </w:t>
      </w:r>
      <w:r w:rsidR="00566188" w:rsidRPr="00FC6804">
        <w:rPr>
          <w:rFonts w:ascii="Arial" w:hAnsi="Arial" w:cs="Arial"/>
          <w:sz w:val="20"/>
          <w:szCs w:val="20"/>
        </w:rPr>
        <w:t>under Option 1</w:t>
      </w:r>
      <w:r w:rsidR="007A5704" w:rsidRPr="00FC6804">
        <w:rPr>
          <w:rFonts w:ascii="Arial" w:hAnsi="Arial" w:cs="Arial"/>
          <w:sz w:val="20"/>
          <w:szCs w:val="20"/>
        </w:rPr>
        <w:t xml:space="preserve">. </w:t>
      </w:r>
      <w:r w:rsidR="00D85F7D" w:rsidRPr="00FC6804">
        <w:rPr>
          <w:rFonts w:ascii="Arial" w:hAnsi="Arial" w:cs="Arial"/>
          <w:sz w:val="20"/>
          <w:szCs w:val="20"/>
        </w:rPr>
        <w:t xml:space="preserve">Options </w:t>
      </w:r>
      <w:r w:rsidRPr="00FC6804">
        <w:rPr>
          <w:rFonts w:ascii="Arial" w:hAnsi="Arial" w:cs="Arial"/>
          <w:sz w:val="20"/>
          <w:szCs w:val="20"/>
        </w:rPr>
        <w:t xml:space="preserve">3 </w:t>
      </w:r>
      <w:r w:rsidR="00D85F7D" w:rsidRPr="00FC6804">
        <w:rPr>
          <w:rFonts w:ascii="Arial" w:hAnsi="Arial" w:cs="Arial"/>
          <w:sz w:val="20"/>
          <w:szCs w:val="20"/>
        </w:rPr>
        <w:t xml:space="preserve">and </w:t>
      </w:r>
      <w:r w:rsidRPr="00FC6804">
        <w:rPr>
          <w:rFonts w:ascii="Arial" w:hAnsi="Arial" w:cs="Arial"/>
          <w:sz w:val="20"/>
          <w:szCs w:val="20"/>
        </w:rPr>
        <w:t xml:space="preserve">4 </w:t>
      </w:r>
      <w:r w:rsidR="00D85F7D" w:rsidRPr="00FC6804">
        <w:rPr>
          <w:rFonts w:ascii="Arial" w:hAnsi="Arial" w:cs="Arial"/>
          <w:sz w:val="20"/>
          <w:szCs w:val="20"/>
        </w:rPr>
        <w:t>both score +</w:t>
      </w:r>
      <w:r w:rsidR="007A5704" w:rsidRPr="00FC6804">
        <w:rPr>
          <w:rFonts w:ascii="Arial" w:hAnsi="Arial" w:cs="Arial"/>
          <w:sz w:val="20"/>
          <w:szCs w:val="20"/>
        </w:rPr>
        <w:t xml:space="preserve">8. </w:t>
      </w:r>
      <w:r w:rsidR="00A92A21" w:rsidRPr="00FC6804">
        <w:rPr>
          <w:rFonts w:ascii="Arial" w:hAnsi="Arial" w:cs="Arial"/>
          <w:sz w:val="20"/>
          <w:szCs w:val="20"/>
        </w:rPr>
        <w:t>While</w:t>
      </w:r>
      <w:r w:rsidR="00D85F7D" w:rsidRPr="00FC6804">
        <w:rPr>
          <w:rFonts w:ascii="Arial" w:hAnsi="Arial" w:cs="Arial"/>
          <w:sz w:val="20"/>
          <w:szCs w:val="20"/>
        </w:rPr>
        <w:t xml:space="preserve"> each would imply that licence fees for each regulatory type wou</w:t>
      </w:r>
      <w:r w:rsidR="00A92A21" w:rsidRPr="00FC6804">
        <w:rPr>
          <w:rFonts w:ascii="Arial" w:hAnsi="Arial" w:cs="Arial"/>
          <w:sz w:val="20"/>
          <w:szCs w:val="20"/>
        </w:rPr>
        <w:t xml:space="preserve">ld be set at levels which would, as </w:t>
      </w:r>
      <w:r w:rsidR="00D85F7D" w:rsidRPr="00FC6804">
        <w:rPr>
          <w:rFonts w:ascii="Arial" w:hAnsi="Arial" w:cs="Arial"/>
          <w:sz w:val="20"/>
          <w:szCs w:val="20"/>
        </w:rPr>
        <w:t>exactly as possible</w:t>
      </w:r>
      <w:r w:rsidR="00A92A21" w:rsidRPr="00FC6804">
        <w:rPr>
          <w:rFonts w:ascii="Arial" w:hAnsi="Arial" w:cs="Arial"/>
          <w:sz w:val="20"/>
          <w:szCs w:val="20"/>
        </w:rPr>
        <w:t>,</w:t>
      </w:r>
      <w:r w:rsidR="00D85F7D" w:rsidRPr="00FC6804">
        <w:rPr>
          <w:rFonts w:ascii="Arial" w:hAnsi="Arial" w:cs="Arial"/>
          <w:sz w:val="20"/>
          <w:szCs w:val="20"/>
        </w:rPr>
        <w:t xml:space="preserve"> yield sufficient revenue to cover the costs of regulating that group of licensees</w:t>
      </w:r>
      <w:r w:rsidR="00A92A21" w:rsidRPr="00FC6804">
        <w:rPr>
          <w:rFonts w:ascii="Arial" w:hAnsi="Arial" w:cs="Arial"/>
          <w:sz w:val="20"/>
          <w:szCs w:val="20"/>
        </w:rPr>
        <w:t>, these options score</w:t>
      </w:r>
      <w:r w:rsidR="007A5704" w:rsidRPr="00FC6804">
        <w:rPr>
          <w:rFonts w:ascii="Arial" w:hAnsi="Arial" w:cs="Arial"/>
          <w:sz w:val="20"/>
          <w:szCs w:val="20"/>
        </w:rPr>
        <w:t xml:space="preserve"> less than the maximum of +10. </w:t>
      </w:r>
      <w:r w:rsidR="00A92A21" w:rsidRPr="00FC6804">
        <w:rPr>
          <w:rFonts w:ascii="Arial" w:hAnsi="Arial" w:cs="Arial"/>
          <w:sz w:val="20"/>
          <w:szCs w:val="20"/>
        </w:rPr>
        <w:t>This reflects the fact that the currently available management information is insufficiently detailed to allow the costs attributable to regulation of each licence type to</w:t>
      </w:r>
      <w:r w:rsidR="00BB2E5A">
        <w:rPr>
          <w:rFonts w:ascii="Arial" w:hAnsi="Arial" w:cs="Arial"/>
          <w:sz w:val="20"/>
          <w:szCs w:val="20"/>
        </w:rPr>
        <w:t xml:space="preserve"> be determined with precision. </w:t>
      </w:r>
      <w:r w:rsidR="00A92A21" w:rsidRPr="00FC6804">
        <w:rPr>
          <w:rFonts w:ascii="Arial" w:hAnsi="Arial" w:cs="Arial"/>
          <w:sz w:val="20"/>
          <w:szCs w:val="20"/>
        </w:rPr>
        <w:t>For example, little information is available on the average costs of undertaking inspections of different kinds of f</w:t>
      </w:r>
      <w:r w:rsidR="007A5704" w:rsidRPr="00FC6804">
        <w:rPr>
          <w:rFonts w:ascii="Arial" w:hAnsi="Arial" w:cs="Arial"/>
          <w:sz w:val="20"/>
          <w:szCs w:val="20"/>
        </w:rPr>
        <w:t xml:space="preserve">acilities, as discussed above. </w:t>
      </w:r>
      <w:r w:rsidR="00A92A21" w:rsidRPr="00FC6804">
        <w:rPr>
          <w:rFonts w:ascii="Arial" w:hAnsi="Arial" w:cs="Arial"/>
          <w:sz w:val="20"/>
          <w:szCs w:val="20"/>
        </w:rPr>
        <w:t>Thus, more detailed and accurate costing information would need to be available to develop an option that would receive a ma</w:t>
      </w:r>
      <w:r w:rsidR="007A5704" w:rsidRPr="00FC6804">
        <w:rPr>
          <w:rFonts w:ascii="Arial" w:hAnsi="Arial" w:cs="Arial"/>
          <w:sz w:val="20"/>
          <w:szCs w:val="20"/>
        </w:rPr>
        <w:t xml:space="preserve">ximum score on this criterion. </w:t>
      </w:r>
      <w:r w:rsidR="00A92A21" w:rsidRPr="00FC6804">
        <w:rPr>
          <w:rFonts w:ascii="Arial" w:hAnsi="Arial" w:cs="Arial"/>
          <w:sz w:val="20"/>
          <w:szCs w:val="20"/>
        </w:rPr>
        <w:t>O</w:t>
      </w:r>
      <w:r w:rsidR="00D85F7D" w:rsidRPr="00FC6804">
        <w:rPr>
          <w:rFonts w:ascii="Arial" w:hAnsi="Arial" w:cs="Arial"/>
          <w:sz w:val="20"/>
          <w:szCs w:val="20"/>
        </w:rPr>
        <w:t xml:space="preserve">ption </w:t>
      </w:r>
      <w:r w:rsidRPr="00FC6804">
        <w:rPr>
          <w:rFonts w:ascii="Arial" w:hAnsi="Arial" w:cs="Arial"/>
          <w:sz w:val="20"/>
          <w:szCs w:val="20"/>
        </w:rPr>
        <w:t xml:space="preserve">2 </w:t>
      </w:r>
      <w:r w:rsidR="00D85F7D" w:rsidRPr="00FC6804">
        <w:rPr>
          <w:rFonts w:ascii="Arial" w:hAnsi="Arial" w:cs="Arial"/>
          <w:sz w:val="20"/>
          <w:szCs w:val="20"/>
        </w:rPr>
        <w:t>scores lower</w:t>
      </w:r>
      <w:r w:rsidR="00A92A21" w:rsidRPr="00FC6804">
        <w:rPr>
          <w:rFonts w:ascii="Arial" w:hAnsi="Arial" w:cs="Arial"/>
          <w:sz w:val="20"/>
          <w:szCs w:val="20"/>
        </w:rPr>
        <w:t xml:space="preserve"> than either </w:t>
      </w:r>
      <w:r w:rsidR="00013409" w:rsidRPr="00FC6804">
        <w:rPr>
          <w:rFonts w:ascii="Arial" w:hAnsi="Arial" w:cs="Arial"/>
          <w:sz w:val="20"/>
          <w:szCs w:val="20"/>
        </w:rPr>
        <w:t>O</w:t>
      </w:r>
      <w:r w:rsidR="00A92A21" w:rsidRPr="00FC6804">
        <w:rPr>
          <w:rFonts w:ascii="Arial" w:hAnsi="Arial" w:cs="Arial"/>
          <w:sz w:val="20"/>
          <w:szCs w:val="20"/>
        </w:rPr>
        <w:t xml:space="preserve">ptions </w:t>
      </w:r>
      <w:r w:rsidRPr="00FC6804">
        <w:rPr>
          <w:rFonts w:ascii="Arial" w:hAnsi="Arial" w:cs="Arial"/>
          <w:sz w:val="20"/>
          <w:szCs w:val="20"/>
        </w:rPr>
        <w:t xml:space="preserve">3 </w:t>
      </w:r>
      <w:r w:rsidR="00A92A21" w:rsidRPr="00FC6804">
        <w:rPr>
          <w:rFonts w:ascii="Arial" w:hAnsi="Arial" w:cs="Arial"/>
          <w:sz w:val="20"/>
          <w:szCs w:val="20"/>
        </w:rPr>
        <w:t xml:space="preserve">or </w:t>
      </w:r>
      <w:r w:rsidRPr="00FC6804">
        <w:rPr>
          <w:rFonts w:ascii="Arial" w:hAnsi="Arial" w:cs="Arial"/>
          <w:sz w:val="20"/>
          <w:szCs w:val="20"/>
        </w:rPr>
        <w:t>4</w:t>
      </w:r>
      <w:r w:rsidR="00D85F7D" w:rsidRPr="00FC6804">
        <w:rPr>
          <w:rFonts w:ascii="Arial" w:hAnsi="Arial" w:cs="Arial"/>
          <w:sz w:val="20"/>
          <w:szCs w:val="20"/>
        </w:rPr>
        <w:t xml:space="preserve"> at +5</w:t>
      </w:r>
      <w:r w:rsidR="007A5704" w:rsidRPr="00FC6804">
        <w:rPr>
          <w:rFonts w:ascii="Arial" w:hAnsi="Arial" w:cs="Arial"/>
          <w:sz w:val="20"/>
          <w:szCs w:val="20"/>
        </w:rPr>
        <w:t xml:space="preserve">. </w:t>
      </w:r>
      <w:r w:rsidR="00A92A21" w:rsidRPr="00FC6804">
        <w:rPr>
          <w:rFonts w:ascii="Arial" w:hAnsi="Arial" w:cs="Arial"/>
          <w:sz w:val="20"/>
          <w:szCs w:val="20"/>
        </w:rPr>
        <w:t>Its score is positive because it would achieve a better matching of regulatory costs and revenues t</w:t>
      </w:r>
      <w:r w:rsidR="007A5704" w:rsidRPr="00FC6804">
        <w:rPr>
          <w:rFonts w:ascii="Arial" w:hAnsi="Arial" w:cs="Arial"/>
          <w:sz w:val="20"/>
          <w:szCs w:val="20"/>
        </w:rPr>
        <w:t xml:space="preserve">han the current fee structure. </w:t>
      </w:r>
      <w:r w:rsidR="00A92A21" w:rsidRPr="00FC6804">
        <w:rPr>
          <w:rFonts w:ascii="Arial" w:hAnsi="Arial" w:cs="Arial"/>
          <w:sz w:val="20"/>
          <w:szCs w:val="20"/>
        </w:rPr>
        <w:t>However, so</w:t>
      </w:r>
      <w:r w:rsidR="00D85F7D" w:rsidRPr="00FC6804">
        <w:rPr>
          <w:rFonts w:ascii="Arial" w:hAnsi="Arial" w:cs="Arial"/>
          <w:sz w:val="20"/>
          <w:szCs w:val="20"/>
        </w:rPr>
        <w:t>me significant cross subsidies would remain</w:t>
      </w:r>
      <w:r w:rsidR="00A92A21" w:rsidRPr="00FC6804">
        <w:rPr>
          <w:rFonts w:ascii="Arial" w:hAnsi="Arial" w:cs="Arial"/>
          <w:sz w:val="20"/>
          <w:szCs w:val="20"/>
        </w:rPr>
        <w:t xml:space="preserve"> and despite the </w:t>
      </w:r>
      <w:r w:rsidR="00616AF1" w:rsidRPr="00FC6804">
        <w:rPr>
          <w:rFonts w:ascii="Arial" w:hAnsi="Arial" w:cs="Arial"/>
          <w:sz w:val="20"/>
          <w:szCs w:val="20"/>
        </w:rPr>
        <w:t>relative paucity of detailed costing data, it is clear that this option would achieve a less accurate matching of fees and costs than either of the other two options.</w:t>
      </w:r>
    </w:p>
    <w:p w:rsidR="007A5704" w:rsidRPr="00FC6804" w:rsidRDefault="007A5704" w:rsidP="009F4596">
      <w:pPr>
        <w:spacing w:after="0" w:line="240" w:lineRule="auto"/>
        <w:rPr>
          <w:rFonts w:ascii="Arial" w:hAnsi="Arial" w:cs="Arial"/>
          <w:b/>
          <w:sz w:val="20"/>
          <w:szCs w:val="20"/>
        </w:rPr>
      </w:pPr>
    </w:p>
    <w:p w:rsidR="007851C3" w:rsidRPr="00FC6804" w:rsidRDefault="007851C3" w:rsidP="009F4596">
      <w:pPr>
        <w:spacing w:after="0" w:line="240" w:lineRule="auto"/>
        <w:rPr>
          <w:rFonts w:ascii="Arial" w:hAnsi="Arial" w:cs="Arial"/>
          <w:b/>
          <w:i/>
          <w:sz w:val="20"/>
          <w:szCs w:val="20"/>
        </w:rPr>
      </w:pPr>
      <w:r w:rsidRPr="00FC6804">
        <w:rPr>
          <w:rFonts w:ascii="Arial" w:hAnsi="Arial" w:cs="Arial"/>
          <w:b/>
          <w:i/>
          <w:sz w:val="20"/>
          <w:szCs w:val="20"/>
        </w:rPr>
        <w:t>A</w:t>
      </w:r>
      <w:r w:rsidR="00D85F7D" w:rsidRPr="00FC6804">
        <w:rPr>
          <w:rFonts w:ascii="Arial" w:hAnsi="Arial" w:cs="Arial"/>
          <w:b/>
          <w:i/>
          <w:sz w:val="20"/>
          <w:szCs w:val="20"/>
        </w:rPr>
        <w:t>f</w:t>
      </w:r>
      <w:r w:rsidR="007A5704" w:rsidRPr="00FC6804">
        <w:rPr>
          <w:rFonts w:ascii="Arial" w:hAnsi="Arial" w:cs="Arial"/>
          <w:b/>
          <w:i/>
          <w:sz w:val="20"/>
          <w:szCs w:val="20"/>
        </w:rPr>
        <w:t>fordability for small business</w:t>
      </w:r>
    </w:p>
    <w:p w:rsidR="007A5704" w:rsidRPr="00FC6804" w:rsidRDefault="007A5704" w:rsidP="009F4596">
      <w:pPr>
        <w:spacing w:after="0" w:line="240" w:lineRule="auto"/>
        <w:rPr>
          <w:rFonts w:ascii="Arial" w:hAnsi="Arial" w:cs="Arial"/>
          <w:sz w:val="20"/>
          <w:szCs w:val="20"/>
        </w:rPr>
      </w:pPr>
    </w:p>
    <w:p w:rsidR="00D85F7D" w:rsidRPr="00FC6804" w:rsidRDefault="00D85F7D" w:rsidP="009F4596">
      <w:pPr>
        <w:spacing w:after="0" w:line="240" w:lineRule="auto"/>
        <w:rPr>
          <w:rFonts w:ascii="Arial" w:hAnsi="Arial" w:cs="Arial"/>
          <w:sz w:val="20"/>
          <w:szCs w:val="20"/>
        </w:rPr>
      </w:pPr>
      <w:r w:rsidRPr="00FC6804">
        <w:rPr>
          <w:rFonts w:ascii="Arial" w:hAnsi="Arial" w:cs="Arial"/>
          <w:sz w:val="20"/>
          <w:szCs w:val="20"/>
        </w:rPr>
        <w:t>As discussed above, this has been a significant consideration historically and the setting of licence fees continues to be considered as an important factor, as reflected in the most recent Ministerial Statement of Expectations. All options score negatively against this criterion, reflecting the fact that</w:t>
      </w:r>
      <w:r w:rsidR="002D6644" w:rsidRPr="00FC6804">
        <w:rPr>
          <w:rFonts w:ascii="Arial" w:hAnsi="Arial" w:cs="Arial"/>
          <w:sz w:val="20"/>
          <w:szCs w:val="20"/>
        </w:rPr>
        <w:t xml:space="preserve"> there would be a 25% increase in fee revenue received under all options, with at least some of this additional revenue being derived from small busine</w:t>
      </w:r>
      <w:r w:rsidR="007A5704" w:rsidRPr="00FC6804">
        <w:rPr>
          <w:rFonts w:ascii="Arial" w:hAnsi="Arial" w:cs="Arial"/>
          <w:sz w:val="20"/>
          <w:szCs w:val="20"/>
        </w:rPr>
        <w:t xml:space="preserve">ss. </w:t>
      </w:r>
      <w:r w:rsidR="003C2840" w:rsidRPr="00FC6804">
        <w:rPr>
          <w:rFonts w:ascii="Arial" w:hAnsi="Arial" w:cs="Arial"/>
          <w:sz w:val="20"/>
          <w:szCs w:val="20"/>
        </w:rPr>
        <w:t xml:space="preserve">Option 1 scores </w:t>
      </w:r>
      <w:r w:rsidR="002D6644" w:rsidRPr="00FC6804">
        <w:rPr>
          <w:rFonts w:ascii="Arial" w:hAnsi="Arial" w:cs="Arial"/>
          <w:sz w:val="20"/>
          <w:szCs w:val="20"/>
        </w:rPr>
        <w:t xml:space="preserve">best against this criterion at </w:t>
      </w:r>
      <w:r w:rsidR="00BB2E5A">
        <w:rPr>
          <w:rFonts w:ascii="Arial" w:hAnsi="Arial" w:cs="Arial"/>
          <w:sz w:val="20"/>
          <w:szCs w:val="20"/>
        </w:rPr>
        <w:t>-</w:t>
      </w:r>
      <w:r w:rsidR="003C2840" w:rsidRPr="00FC6804">
        <w:rPr>
          <w:rFonts w:ascii="Arial" w:hAnsi="Arial" w:cs="Arial"/>
          <w:sz w:val="20"/>
          <w:szCs w:val="20"/>
        </w:rPr>
        <w:t>2</w:t>
      </w:r>
      <w:r w:rsidR="002D6644" w:rsidRPr="00FC6804">
        <w:rPr>
          <w:rFonts w:ascii="Arial" w:hAnsi="Arial" w:cs="Arial"/>
          <w:sz w:val="20"/>
          <w:szCs w:val="20"/>
        </w:rPr>
        <w:t>, since fee increases for small businesses would be li</w:t>
      </w:r>
      <w:r w:rsidR="00BB2E5A">
        <w:rPr>
          <w:rFonts w:ascii="Arial" w:hAnsi="Arial" w:cs="Arial"/>
          <w:sz w:val="20"/>
          <w:szCs w:val="20"/>
        </w:rPr>
        <w:t xml:space="preserve">mited to the general 25% rise. </w:t>
      </w:r>
      <w:r w:rsidR="0065752C" w:rsidRPr="00FC6804">
        <w:rPr>
          <w:rFonts w:ascii="Arial" w:hAnsi="Arial" w:cs="Arial"/>
          <w:sz w:val="20"/>
          <w:szCs w:val="20"/>
        </w:rPr>
        <w:t xml:space="preserve">The remaining options would all involve increases in fees for a range of small businesses that exceed this amount.  </w:t>
      </w:r>
      <w:r w:rsidR="003C2840" w:rsidRPr="00FC6804">
        <w:rPr>
          <w:rFonts w:ascii="Arial" w:hAnsi="Arial" w:cs="Arial"/>
          <w:sz w:val="20"/>
          <w:szCs w:val="20"/>
        </w:rPr>
        <w:t xml:space="preserve"> Option 2 scores </w:t>
      </w:r>
      <w:r w:rsidR="00BB2E5A">
        <w:rPr>
          <w:rFonts w:ascii="Arial" w:hAnsi="Arial" w:cs="Arial"/>
          <w:sz w:val="20"/>
          <w:szCs w:val="20"/>
        </w:rPr>
        <w:t xml:space="preserve">the </w:t>
      </w:r>
      <w:r w:rsidR="0065752C" w:rsidRPr="00FC6804">
        <w:rPr>
          <w:rFonts w:ascii="Arial" w:hAnsi="Arial" w:cs="Arial"/>
          <w:sz w:val="20"/>
          <w:szCs w:val="20"/>
        </w:rPr>
        <w:t xml:space="preserve">next best </w:t>
      </w:r>
      <w:r w:rsidRPr="00FC6804">
        <w:rPr>
          <w:rFonts w:ascii="Arial" w:hAnsi="Arial" w:cs="Arial"/>
          <w:sz w:val="20"/>
          <w:szCs w:val="20"/>
        </w:rPr>
        <w:t>at -</w:t>
      </w:r>
      <w:r w:rsidR="00F12551" w:rsidRPr="00FC6804">
        <w:rPr>
          <w:rFonts w:ascii="Arial" w:hAnsi="Arial" w:cs="Arial"/>
          <w:sz w:val="20"/>
          <w:szCs w:val="20"/>
        </w:rPr>
        <w:t>3</w:t>
      </w:r>
      <w:r w:rsidRPr="00FC6804">
        <w:rPr>
          <w:rFonts w:ascii="Arial" w:hAnsi="Arial" w:cs="Arial"/>
          <w:sz w:val="20"/>
          <w:szCs w:val="20"/>
        </w:rPr>
        <w:t>, since the expected cost increases for retail butcher</w:t>
      </w:r>
      <w:r w:rsidR="00BB2E5A">
        <w:rPr>
          <w:rFonts w:ascii="Arial" w:hAnsi="Arial" w:cs="Arial"/>
          <w:sz w:val="20"/>
          <w:szCs w:val="20"/>
        </w:rPr>
        <w:t xml:space="preserve"> </w:t>
      </w:r>
      <w:r w:rsidRPr="00FC6804">
        <w:rPr>
          <w:rFonts w:ascii="Arial" w:hAnsi="Arial" w:cs="Arial"/>
          <w:sz w:val="20"/>
          <w:szCs w:val="20"/>
        </w:rPr>
        <w:t>s</w:t>
      </w:r>
      <w:r w:rsidR="00BB2E5A">
        <w:rPr>
          <w:rFonts w:ascii="Arial" w:hAnsi="Arial" w:cs="Arial"/>
          <w:sz w:val="20"/>
          <w:szCs w:val="20"/>
        </w:rPr>
        <w:t>hops</w:t>
      </w:r>
      <w:r w:rsidRPr="00FC6804">
        <w:rPr>
          <w:rFonts w:ascii="Arial" w:hAnsi="Arial" w:cs="Arial"/>
          <w:sz w:val="20"/>
          <w:szCs w:val="20"/>
        </w:rPr>
        <w:t xml:space="preserve"> in particular would be smallest in this case. Option </w:t>
      </w:r>
      <w:r w:rsidR="0065752C" w:rsidRPr="00FC6804">
        <w:rPr>
          <w:rFonts w:ascii="Arial" w:hAnsi="Arial" w:cs="Arial"/>
          <w:sz w:val="20"/>
          <w:szCs w:val="20"/>
        </w:rPr>
        <w:t xml:space="preserve">3 </w:t>
      </w:r>
      <w:r w:rsidRPr="00FC6804">
        <w:rPr>
          <w:rFonts w:ascii="Arial" w:hAnsi="Arial" w:cs="Arial"/>
          <w:sz w:val="20"/>
          <w:szCs w:val="20"/>
        </w:rPr>
        <w:t>scores worst at -</w:t>
      </w:r>
      <w:r w:rsidR="0065752C" w:rsidRPr="00FC6804">
        <w:rPr>
          <w:rFonts w:ascii="Arial" w:hAnsi="Arial" w:cs="Arial"/>
          <w:sz w:val="20"/>
          <w:szCs w:val="20"/>
        </w:rPr>
        <w:t xml:space="preserve"> 8</w:t>
      </w:r>
      <w:r w:rsidRPr="00FC6804">
        <w:rPr>
          <w:rFonts w:ascii="Arial" w:hAnsi="Arial" w:cs="Arial"/>
          <w:sz w:val="20"/>
          <w:szCs w:val="20"/>
        </w:rPr>
        <w:t xml:space="preserve">, while option </w:t>
      </w:r>
      <w:r w:rsidR="00383F52" w:rsidRPr="00FC6804">
        <w:rPr>
          <w:rFonts w:ascii="Arial" w:hAnsi="Arial" w:cs="Arial"/>
          <w:sz w:val="20"/>
          <w:szCs w:val="20"/>
        </w:rPr>
        <w:t xml:space="preserve">4 </w:t>
      </w:r>
      <w:r w:rsidRPr="00FC6804">
        <w:rPr>
          <w:rFonts w:ascii="Arial" w:hAnsi="Arial" w:cs="Arial"/>
          <w:sz w:val="20"/>
          <w:szCs w:val="20"/>
        </w:rPr>
        <w:t>scores -</w:t>
      </w:r>
      <w:r w:rsidR="0065752C" w:rsidRPr="00FC6804">
        <w:rPr>
          <w:rFonts w:ascii="Arial" w:hAnsi="Arial" w:cs="Arial"/>
          <w:sz w:val="20"/>
          <w:szCs w:val="20"/>
        </w:rPr>
        <w:t xml:space="preserve"> </w:t>
      </w:r>
      <w:r w:rsidR="00F12551" w:rsidRPr="00FC6804">
        <w:rPr>
          <w:rFonts w:ascii="Arial" w:hAnsi="Arial" w:cs="Arial"/>
          <w:sz w:val="20"/>
          <w:szCs w:val="20"/>
        </w:rPr>
        <w:t>5</w:t>
      </w:r>
      <w:r w:rsidR="007A5704" w:rsidRPr="00FC6804">
        <w:rPr>
          <w:rFonts w:ascii="Arial" w:hAnsi="Arial" w:cs="Arial"/>
          <w:sz w:val="20"/>
          <w:szCs w:val="20"/>
        </w:rPr>
        <w:t xml:space="preserve">. </w:t>
      </w:r>
      <w:r w:rsidRPr="00FC6804">
        <w:rPr>
          <w:rFonts w:ascii="Arial" w:hAnsi="Arial" w:cs="Arial"/>
          <w:sz w:val="20"/>
          <w:szCs w:val="20"/>
        </w:rPr>
        <w:t xml:space="preserve">Option </w:t>
      </w:r>
      <w:r w:rsidR="00383F52" w:rsidRPr="00FC6804">
        <w:rPr>
          <w:rFonts w:ascii="Arial" w:hAnsi="Arial" w:cs="Arial"/>
          <w:sz w:val="20"/>
          <w:szCs w:val="20"/>
        </w:rPr>
        <w:t xml:space="preserve">4 </w:t>
      </w:r>
      <w:r w:rsidRPr="00FC6804">
        <w:rPr>
          <w:rFonts w:ascii="Arial" w:hAnsi="Arial" w:cs="Arial"/>
          <w:sz w:val="20"/>
          <w:szCs w:val="20"/>
        </w:rPr>
        <w:t xml:space="preserve">scores better than </w:t>
      </w:r>
      <w:r w:rsidR="00013409" w:rsidRPr="00FC6804">
        <w:rPr>
          <w:rFonts w:ascii="Arial" w:hAnsi="Arial" w:cs="Arial"/>
          <w:sz w:val="20"/>
          <w:szCs w:val="20"/>
        </w:rPr>
        <w:t>O</w:t>
      </w:r>
      <w:r w:rsidRPr="00FC6804">
        <w:rPr>
          <w:rFonts w:ascii="Arial" w:hAnsi="Arial" w:cs="Arial"/>
          <w:sz w:val="20"/>
          <w:szCs w:val="20"/>
        </w:rPr>
        <w:t xml:space="preserve">ption </w:t>
      </w:r>
      <w:r w:rsidR="00383F52" w:rsidRPr="00FC6804">
        <w:rPr>
          <w:rFonts w:ascii="Arial" w:hAnsi="Arial" w:cs="Arial"/>
          <w:sz w:val="20"/>
          <w:szCs w:val="20"/>
        </w:rPr>
        <w:t xml:space="preserve">3 </w:t>
      </w:r>
      <w:r w:rsidRPr="00FC6804">
        <w:rPr>
          <w:rFonts w:ascii="Arial" w:hAnsi="Arial" w:cs="Arial"/>
          <w:sz w:val="20"/>
          <w:szCs w:val="20"/>
        </w:rPr>
        <w:t>largely because the adoption of more risk-based inspection and enforcement strategies would serve to limit the size of cost increases falling on retail butcher</w:t>
      </w:r>
      <w:r w:rsidR="00BB2E5A">
        <w:rPr>
          <w:rFonts w:ascii="Arial" w:hAnsi="Arial" w:cs="Arial"/>
          <w:sz w:val="20"/>
          <w:szCs w:val="20"/>
        </w:rPr>
        <w:t xml:space="preserve"> </w:t>
      </w:r>
      <w:r w:rsidRPr="00FC6804">
        <w:rPr>
          <w:rFonts w:ascii="Arial" w:hAnsi="Arial" w:cs="Arial"/>
          <w:sz w:val="20"/>
          <w:szCs w:val="20"/>
        </w:rPr>
        <w:t>s</w:t>
      </w:r>
      <w:r w:rsidR="00BB2E5A">
        <w:rPr>
          <w:rFonts w:ascii="Arial" w:hAnsi="Arial" w:cs="Arial"/>
          <w:sz w:val="20"/>
          <w:szCs w:val="20"/>
        </w:rPr>
        <w:t>hops</w:t>
      </w:r>
      <w:r w:rsidRPr="00FC6804">
        <w:rPr>
          <w:rFonts w:ascii="Arial" w:hAnsi="Arial" w:cs="Arial"/>
          <w:sz w:val="20"/>
          <w:szCs w:val="20"/>
        </w:rPr>
        <w:t xml:space="preserve"> in particular.</w:t>
      </w:r>
    </w:p>
    <w:p w:rsidR="007A5704" w:rsidRPr="00FC6804" w:rsidRDefault="007A5704" w:rsidP="009F4596">
      <w:pPr>
        <w:spacing w:after="0" w:line="240" w:lineRule="auto"/>
        <w:rPr>
          <w:rFonts w:ascii="Arial" w:hAnsi="Arial" w:cs="Arial"/>
          <w:b/>
          <w:sz w:val="20"/>
          <w:szCs w:val="20"/>
        </w:rPr>
      </w:pPr>
    </w:p>
    <w:p w:rsidR="007A5704" w:rsidRPr="00FC6804" w:rsidRDefault="007A5704" w:rsidP="009F4596">
      <w:pPr>
        <w:spacing w:after="0" w:line="240" w:lineRule="auto"/>
        <w:rPr>
          <w:rFonts w:ascii="Arial" w:hAnsi="Arial" w:cs="Arial"/>
          <w:b/>
          <w:sz w:val="20"/>
          <w:szCs w:val="20"/>
        </w:rPr>
      </w:pPr>
    </w:p>
    <w:p w:rsidR="007A5704" w:rsidRPr="00FC6804" w:rsidRDefault="007A5704" w:rsidP="009F4596">
      <w:pPr>
        <w:spacing w:after="0" w:line="240" w:lineRule="auto"/>
        <w:rPr>
          <w:rFonts w:ascii="Arial" w:hAnsi="Arial" w:cs="Arial"/>
          <w:b/>
          <w:sz w:val="20"/>
          <w:szCs w:val="20"/>
        </w:rPr>
      </w:pPr>
    </w:p>
    <w:p w:rsidR="007A5704" w:rsidRPr="00FC6804" w:rsidRDefault="007A5704" w:rsidP="009F4596">
      <w:pPr>
        <w:spacing w:after="0" w:line="240" w:lineRule="auto"/>
        <w:rPr>
          <w:rFonts w:ascii="Arial" w:hAnsi="Arial" w:cs="Arial"/>
          <w:b/>
          <w:sz w:val="20"/>
          <w:szCs w:val="20"/>
        </w:rPr>
      </w:pPr>
    </w:p>
    <w:p w:rsidR="007A5704" w:rsidRPr="00FC6804" w:rsidRDefault="007A5704" w:rsidP="009F4596">
      <w:pPr>
        <w:spacing w:after="0" w:line="240" w:lineRule="auto"/>
        <w:rPr>
          <w:rFonts w:ascii="Arial" w:hAnsi="Arial" w:cs="Arial"/>
          <w:b/>
          <w:sz w:val="20"/>
          <w:szCs w:val="20"/>
        </w:rPr>
      </w:pPr>
    </w:p>
    <w:p w:rsidR="007851C3" w:rsidRPr="00FC6804" w:rsidRDefault="007851C3" w:rsidP="009F4596">
      <w:pPr>
        <w:spacing w:after="0" w:line="240" w:lineRule="auto"/>
        <w:rPr>
          <w:rFonts w:ascii="Arial" w:hAnsi="Arial" w:cs="Arial"/>
          <w:b/>
          <w:i/>
          <w:sz w:val="20"/>
          <w:szCs w:val="20"/>
        </w:rPr>
      </w:pPr>
      <w:r w:rsidRPr="00FC6804">
        <w:rPr>
          <w:rFonts w:ascii="Arial" w:hAnsi="Arial" w:cs="Arial"/>
          <w:b/>
          <w:i/>
          <w:sz w:val="20"/>
          <w:szCs w:val="20"/>
        </w:rPr>
        <w:t>R</w:t>
      </w:r>
      <w:r w:rsidR="00D85F7D" w:rsidRPr="00FC6804">
        <w:rPr>
          <w:rFonts w:ascii="Arial" w:hAnsi="Arial" w:cs="Arial"/>
          <w:b/>
          <w:i/>
          <w:sz w:val="20"/>
          <w:szCs w:val="20"/>
        </w:rPr>
        <w:t xml:space="preserve">egulatory cost </w:t>
      </w:r>
    </w:p>
    <w:p w:rsidR="007A5704" w:rsidRPr="00FC6804" w:rsidRDefault="007A5704" w:rsidP="009F4596">
      <w:pPr>
        <w:spacing w:after="0" w:line="240" w:lineRule="auto"/>
        <w:rPr>
          <w:rFonts w:ascii="Arial" w:hAnsi="Arial" w:cs="Arial"/>
          <w:sz w:val="20"/>
          <w:szCs w:val="20"/>
        </w:rPr>
      </w:pPr>
    </w:p>
    <w:p w:rsidR="00D85F7D" w:rsidRPr="00FC6804" w:rsidRDefault="00D85F7D" w:rsidP="009F4596">
      <w:pPr>
        <w:spacing w:after="0" w:line="240" w:lineRule="auto"/>
        <w:rPr>
          <w:rFonts w:ascii="Arial" w:hAnsi="Arial" w:cs="Arial"/>
          <w:sz w:val="20"/>
          <w:szCs w:val="20"/>
        </w:rPr>
      </w:pPr>
      <w:r w:rsidRPr="00FC6804">
        <w:rPr>
          <w:rFonts w:ascii="Arial" w:hAnsi="Arial" w:cs="Arial"/>
          <w:sz w:val="20"/>
          <w:szCs w:val="20"/>
        </w:rPr>
        <w:t xml:space="preserve">Again, all options considered score negatively on this criterion. This reflects the fact that total regulatory expenditures would increase from the current levels under all three options, largely as a consequence of the additional functions which PrimeSafe has been requested to carry out via the Ministerial Statement of Expectations. </w:t>
      </w:r>
      <w:r w:rsidR="0065752C" w:rsidRPr="00FC6804">
        <w:rPr>
          <w:rFonts w:ascii="Arial" w:hAnsi="Arial" w:cs="Arial"/>
          <w:sz w:val="20"/>
          <w:szCs w:val="20"/>
        </w:rPr>
        <w:t>O</w:t>
      </w:r>
      <w:r w:rsidRPr="00FC6804">
        <w:rPr>
          <w:rFonts w:ascii="Arial" w:hAnsi="Arial" w:cs="Arial"/>
          <w:sz w:val="20"/>
          <w:szCs w:val="20"/>
        </w:rPr>
        <w:t>ption</w:t>
      </w:r>
      <w:r w:rsidR="0065752C" w:rsidRPr="00FC6804">
        <w:rPr>
          <w:rFonts w:ascii="Arial" w:hAnsi="Arial" w:cs="Arial"/>
          <w:sz w:val="20"/>
          <w:szCs w:val="20"/>
        </w:rPr>
        <w:t>s 1, 2 and 3 all r</w:t>
      </w:r>
      <w:r w:rsidRPr="00FC6804">
        <w:rPr>
          <w:rFonts w:ascii="Arial" w:hAnsi="Arial" w:cs="Arial"/>
          <w:sz w:val="20"/>
          <w:szCs w:val="20"/>
        </w:rPr>
        <w:t xml:space="preserve">eceive the same score of -2, against this criterion. This reflects the fact that the total fee revenue to be raised under each option would be identical at $2.5 million. Option </w:t>
      </w:r>
      <w:r w:rsidR="00566188" w:rsidRPr="00FC6804">
        <w:rPr>
          <w:rFonts w:ascii="Arial" w:hAnsi="Arial" w:cs="Arial"/>
          <w:sz w:val="20"/>
          <w:szCs w:val="20"/>
        </w:rPr>
        <w:t xml:space="preserve">4 </w:t>
      </w:r>
      <w:r w:rsidRPr="00FC6804">
        <w:rPr>
          <w:rFonts w:ascii="Arial" w:hAnsi="Arial" w:cs="Arial"/>
          <w:sz w:val="20"/>
          <w:szCs w:val="20"/>
        </w:rPr>
        <w:t xml:space="preserve">scores more highly at -1 because the proposed adoption of more risk-based inspection and enforcement arrangements would yield cost savings in the vicinity of $0.3 million, implying that the increase in total regulatory costs under this option would be limited to around $0.2 million, compared with $0.5 million under either </w:t>
      </w:r>
      <w:r w:rsidR="00013409" w:rsidRPr="00FC6804">
        <w:rPr>
          <w:rFonts w:ascii="Arial" w:hAnsi="Arial" w:cs="Arial"/>
          <w:sz w:val="20"/>
          <w:szCs w:val="20"/>
        </w:rPr>
        <w:t>O</w:t>
      </w:r>
      <w:r w:rsidRPr="00FC6804">
        <w:rPr>
          <w:rFonts w:ascii="Arial" w:hAnsi="Arial" w:cs="Arial"/>
          <w:sz w:val="20"/>
          <w:szCs w:val="20"/>
        </w:rPr>
        <w:t xml:space="preserve">ptions </w:t>
      </w:r>
      <w:r w:rsidR="007851C3" w:rsidRPr="00FC6804">
        <w:rPr>
          <w:rFonts w:ascii="Arial" w:hAnsi="Arial" w:cs="Arial"/>
          <w:sz w:val="20"/>
          <w:szCs w:val="20"/>
        </w:rPr>
        <w:t>1</w:t>
      </w:r>
      <w:r w:rsidRPr="00FC6804">
        <w:rPr>
          <w:rFonts w:ascii="Arial" w:hAnsi="Arial" w:cs="Arial"/>
          <w:sz w:val="20"/>
          <w:szCs w:val="20"/>
        </w:rPr>
        <w:t xml:space="preserve"> or </w:t>
      </w:r>
      <w:r w:rsidR="007851C3" w:rsidRPr="00FC6804">
        <w:rPr>
          <w:rFonts w:ascii="Arial" w:hAnsi="Arial" w:cs="Arial"/>
          <w:sz w:val="20"/>
          <w:szCs w:val="20"/>
        </w:rPr>
        <w:t>2</w:t>
      </w:r>
      <w:r w:rsidRPr="00FC6804">
        <w:rPr>
          <w:rFonts w:ascii="Arial" w:hAnsi="Arial" w:cs="Arial"/>
          <w:sz w:val="20"/>
          <w:szCs w:val="20"/>
        </w:rPr>
        <w:t>.</w:t>
      </w:r>
    </w:p>
    <w:p w:rsidR="00013409" w:rsidRPr="00FC6804" w:rsidRDefault="00013409" w:rsidP="009F4596">
      <w:pPr>
        <w:spacing w:after="0" w:line="240" w:lineRule="auto"/>
        <w:rPr>
          <w:rFonts w:ascii="Arial" w:hAnsi="Arial" w:cs="Arial"/>
          <w:b/>
          <w:sz w:val="20"/>
          <w:szCs w:val="20"/>
        </w:rPr>
      </w:pPr>
    </w:p>
    <w:p w:rsidR="007851C3" w:rsidRPr="00FC6804" w:rsidRDefault="007851C3" w:rsidP="009F4596">
      <w:pPr>
        <w:spacing w:after="0" w:line="240" w:lineRule="auto"/>
        <w:rPr>
          <w:rFonts w:ascii="Arial" w:hAnsi="Arial" w:cs="Arial"/>
          <w:b/>
          <w:sz w:val="20"/>
          <w:szCs w:val="20"/>
        </w:rPr>
      </w:pPr>
      <w:r w:rsidRPr="00FC6804">
        <w:rPr>
          <w:rFonts w:ascii="Arial" w:hAnsi="Arial" w:cs="Arial"/>
          <w:b/>
          <w:sz w:val="20"/>
          <w:szCs w:val="20"/>
        </w:rPr>
        <w:t>Maintenance of public confidence</w:t>
      </w:r>
    </w:p>
    <w:p w:rsidR="00013409" w:rsidRPr="00FC6804" w:rsidRDefault="00013409" w:rsidP="009F4596">
      <w:pPr>
        <w:spacing w:after="0" w:line="240" w:lineRule="auto"/>
        <w:rPr>
          <w:rFonts w:ascii="Arial" w:hAnsi="Arial" w:cs="Arial"/>
          <w:sz w:val="20"/>
          <w:szCs w:val="20"/>
        </w:rPr>
      </w:pPr>
    </w:p>
    <w:p w:rsidR="005C00FF" w:rsidRPr="00FC6804" w:rsidRDefault="007851C3" w:rsidP="009F4596">
      <w:pPr>
        <w:spacing w:after="0" w:line="240" w:lineRule="auto"/>
        <w:rPr>
          <w:rFonts w:ascii="Arial" w:hAnsi="Arial" w:cs="Arial"/>
          <w:sz w:val="20"/>
          <w:szCs w:val="20"/>
        </w:rPr>
      </w:pPr>
      <w:r w:rsidRPr="00FC6804">
        <w:rPr>
          <w:rFonts w:ascii="Arial" w:hAnsi="Arial" w:cs="Arial"/>
          <w:sz w:val="20"/>
          <w:szCs w:val="20"/>
        </w:rPr>
        <w:t>Options 1</w:t>
      </w:r>
      <w:r w:rsidR="00566188" w:rsidRPr="00FC6804">
        <w:rPr>
          <w:rFonts w:ascii="Arial" w:hAnsi="Arial" w:cs="Arial"/>
          <w:sz w:val="20"/>
          <w:szCs w:val="20"/>
        </w:rPr>
        <w:t xml:space="preserve">, </w:t>
      </w:r>
      <w:r w:rsidRPr="00FC6804">
        <w:rPr>
          <w:rFonts w:ascii="Arial" w:hAnsi="Arial" w:cs="Arial"/>
          <w:sz w:val="20"/>
          <w:szCs w:val="20"/>
        </w:rPr>
        <w:t>2</w:t>
      </w:r>
      <w:r w:rsidR="00566188" w:rsidRPr="00FC6804">
        <w:rPr>
          <w:rFonts w:ascii="Arial" w:hAnsi="Arial" w:cs="Arial"/>
          <w:sz w:val="20"/>
          <w:szCs w:val="20"/>
        </w:rPr>
        <w:t xml:space="preserve"> and 3</w:t>
      </w:r>
      <w:r w:rsidRPr="00FC6804">
        <w:rPr>
          <w:rFonts w:ascii="Arial" w:hAnsi="Arial" w:cs="Arial"/>
          <w:sz w:val="20"/>
          <w:szCs w:val="20"/>
        </w:rPr>
        <w:t xml:space="preserve"> receive slightly positive scores on this criterion, in reflection of the fact that </w:t>
      </w:r>
      <w:r w:rsidR="00013409" w:rsidRPr="00FC6804">
        <w:rPr>
          <w:rFonts w:ascii="Arial" w:hAnsi="Arial" w:cs="Arial"/>
          <w:sz w:val="20"/>
          <w:szCs w:val="20"/>
        </w:rPr>
        <w:t>PrimeSafe</w:t>
      </w:r>
      <w:r w:rsidRPr="00FC6804">
        <w:rPr>
          <w:rFonts w:ascii="Arial" w:hAnsi="Arial" w:cs="Arial"/>
          <w:sz w:val="20"/>
          <w:szCs w:val="20"/>
        </w:rPr>
        <w:t xml:space="preserve"> will be increasing its resources and the range of activities that it undertakes in relation to mea</w:t>
      </w:r>
      <w:r w:rsidR="00013409" w:rsidRPr="00FC6804">
        <w:rPr>
          <w:rFonts w:ascii="Arial" w:hAnsi="Arial" w:cs="Arial"/>
          <w:sz w:val="20"/>
          <w:szCs w:val="20"/>
        </w:rPr>
        <w:t xml:space="preserve">t, poultry and seafood safety. </w:t>
      </w:r>
      <w:r w:rsidR="005C00FF" w:rsidRPr="00FC6804">
        <w:rPr>
          <w:rFonts w:ascii="Arial" w:hAnsi="Arial" w:cs="Arial"/>
          <w:sz w:val="20"/>
          <w:szCs w:val="20"/>
        </w:rPr>
        <w:t>The provision of pre-licensing advice, in particular, may contribute to the achievement of slightly improved public confidence, since it should assist new licensees to reach a high level of food processing practice from the outset.</w:t>
      </w:r>
    </w:p>
    <w:p w:rsidR="00013409" w:rsidRPr="00FC6804" w:rsidRDefault="00013409" w:rsidP="009F4596">
      <w:pPr>
        <w:spacing w:after="0" w:line="240" w:lineRule="auto"/>
        <w:rPr>
          <w:rFonts w:ascii="Arial" w:hAnsi="Arial" w:cs="Arial"/>
          <w:sz w:val="20"/>
          <w:szCs w:val="20"/>
        </w:rPr>
      </w:pPr>
    </w:p>
    <w:p w:rsidR="007851C3" w:rsidRPr="00FC6804" w:rsidRDefault="007851C3" w:rsidP="009F4596">
      <w:pPr>
        <w:spacing w:after="0" w:line="240" w:lineRule="auto"/>
        <w:rPr>
          <w:rFonts w:ascii="Arial" w:hAnsi="Arial" w:cs="Arial"/>
          <w:sz w:val="20"/>
          <w:szCs w:val="20"/>
        </w:rPr>
      </w:pPr>
      <w:r w:rsidRPr="00FC6804">
        <w:rPr>
          <w:rFonts w:ascii="Arial" w:hAnsi="Arial" w:cs="Arial"/>
          <w:sz w:val="20"/>
          <w:szCs w:val="20"/>
        </w:rPr>
        <w:t xml:space="preserve">Conversely, Option </w:t>
      </w:r>
      <w:r w:rsidR="00566188" w:rsidRPr="00FC6804">
        <w:rPr>
          <w:rFonts w:ascii="Arial" w:hAnsi="Arial" w:cs="Arial"/>
          <w:sz w:val="20"/>
          <w:szCs w:val="20"/>
        </w:rPr>
        <w:t xml:space="preserve">4 </w:t>
      </w:r>
      <w:r w:rsidRPr="00FC6804">
        <w:rPr>
          <w:rFonts w:ascii="Arial" w:hAnsi="Arial" w:cs="Arial"/>
          <w:sz w:val="20"/>
          <w:szCs w:val="20"/>
        </w:rPr>
        <w:t>sco</w:t>
      </w:r>
      <w:r w:rsidR="00013409" w:rsidRPr="00FC6804">
        <w:rPr>
          <w:rFonts w:ascii="Arial" w:hAnsi="Arial" w:cs="Arial"/>
          <w:sz w:val="20"/>
          <w:szCs w:val="20"/>
        </w:rPr>
        <w:t xml:space="preserve">res a slightly negative score. </w:t>
      </w:r>
      <w:r w:rsidRPr="00FC6804">
        <w:rPr>
          <w:rFonts w:ascii="Arial" w:hAnsi="Arial" w:cs="Arial"/>
          <w:sz w:val="20"/>
          <w:szCs w:val="20"/>
        </w:rPr>
        <w:t>This reflects Prime</w:t>
      </w:r>
      <w:r w:rsidR="00013409" w:rsidRPr="00FC6804">
        <w:rPr>
          <w:rFonts w:ascii="Arial" w:hAnsi="Arial" w:cs="Arial"/>
          <w:sz w:val="20"/>
          <w:szCs w:val="20"/>
        </w:rPr>
        <w:t>S</w:t>
      </w:r>
      <w:r w:rsidRPr="00FC6804">
        <w:rPr>
          <w:rFonts w:ascii="Arial" w:hAnsi="Arial" w:cs="Arial"/>
          <w:sz w:val="20"/>
          <w:szCs w:val="20"/>
        </w:rPr>
        <w:t>afe’s view that the adoption of a risk based approach, entailed a reduced level of inspections, would give rise to some level of public concern if not accompanied by a successful marketing program to explain the rationale for the chan</w:t>
      </w:r>
      <w:r w:rsidR="00013409" w:rsidRPr="00FC6804">
        <w:rPr>
          <w:rFonts w:ascii="Arial" w:hAnsi="Arial" w:cs="Arial"/>
          <w:sz w:val="20"/>
          <w:szCs w:val="20"/>
        </w:rPr>
        <w:t xml:space="preserve">ge and the safeguards adopted. </w:t>
      </w:r>
      <w:r w:rsidRPr="00FC6804">
        <w:rPr>
          <w:rFonts w:ascii="Arial" w:hAnsi="Arial" w:cs="Arial"/>
          <w:sz w:val="20"/>
          <w:szCs w:val="20"/>
        </w:rPr>
        <w:t>In light of the current situation in which work has yet to be undertaken in this area, this is not considered feasible in the short term.</w:t>
      </w:r>
      <w:r w:rsidR="00013409" w:rsidRPr="00FC6804">
        <w:rPr>
          <w:rFonts w:ascii="Arial" w:hAnsi="Arial" w:cs="Arial"/>
          <w:sz w:val="20"/>
          <w:szCs w:val="20"/>
        </w:rPr>
        <w:t xml:space="preserve"> </w:t>
      </w:r>
      <w:r w:rsidR="006D2111" w:rsidRPr="00FC6804">
        <w:rPr>
          <w:rFonts w:ascii="Arial" w:hAnsi="Arial" w:cs="Arial"/>
          <w:sz w:val="20"/>
          <w:szCs w:val="20"/>
        </w:rPr>
        <w:t>Conversely, an assessment of the merits of adopting Option 4 in the medium term would be expected to yield a more positive score against this criterion.</w:t>
      </w:r>
    </w:p>
    <w:p w:rsidR="00013409" w:rsidRPr="00FC6804" w:rsidRDefault="00013409" w:rsidP="009F4596">
      <w:pPr>
        <w:spacing w:after="0" w:line="240" w:lineRule="auto"/>
        <w:rPr>
          <w:rFonts w:ascii="Arial" w:hAnsi="Arial" w:cs="Arial"/>
          <w:sz w:val="20"/>
          <w:szCs w:val="20"/>
        </w:rPr>
      </w:pPr>
    </w:p>
    <w:p w:rsidR="0097426E" w:rsidRPr="00FC6804" w:rsidRDefault="0097426E" w:rsidP="009F4596">
      <w:pPr>
        <w:spacing w:after="0" w:line="240" w:lineRule="auto"/>
        <w:rPr>
          <w:rFonts w:ascii="Arial" w:hAnsi="Arial" w:cs="Arial"/>
          <w:sz w:val="20"/>
          <w:szCs w:val="20"/>
        </w:rPr>
      </w:pPr>
      <w:r w:rsidRPr="00FC6804">
        <w:rPr>
          <w:rFonts w:ascii="Arial" w:hAnsi="Arial" w:cs="Arial"/>
          <w:sz w:val="20"/>
          <w:szCs w:val="20"/>
        </w:rPr>
        <w:t xml:space="preserve">Table </w:t>
      </w:r>
      <w:r w:rsidR="001703D1" w:rsidRPr="00FC6804">
        <w:rPr>
          <w:rFonts w:ascii="Arial" w:hAnsi="Arial" w:cs="Arial"/>
          <w:sz w:val="20"/>
          <w:szCs w:val="20"/>
        </w:rPr>
        <w:t>1</w:t>
      </w:r>
      <w:r w:rsidR="00013409" w:rsidRPr="00FC6804">
        <w:rPr>
          <w:rFonts w:ascii="Arial" w:hAnsi="Arial" w:cs="Arial"/>
          <w:sz w:val="20"/>
          <w:szCs w:val="20"/>
        </w:rPr>
        <w:t>2</w:t>
      </w:r>
      <w:r w:rsidRPr="00FC6804">
        <w:rPr>
          <w:rFonts w:ascii="Arial" w:hAnsi="Arial" w:cs="Arial"/>
          <w:sz w:val="20"/>
          <w:szCs w:val="20"/>
        </w:rPr>
        <w:t>.1 below summarises the scores given to each option in respect of each assessment criterion as discussed above.</w:t>
      </w:r>
    </w:p>
    <w:p w:rsidR="00D85F7D" w:rsidRPr="00FC6804" w:rsidRDefault="006727BC" w:rsidP="00013409">
      <w:pPr>
        <w:spacing w:after="0" w:line="240" w:lineRule="auto"/>
        <w:rPr>
          <w:rFonts w:ascii="Arial" w:hAnsi="Arial" w:cs="Arial"/>
          <w:sz w:val="20"/>
          <w:szCs w:val="20"/>
        </w:rPr>
      </w:pPr>
      <w:r w:rsidRPr="00FC6804">
        <w:rPr>
          <w:rFonts w:ascii="Arial" w:hAnsi="Arial" w:cs="Arial"/>
          <w:sz w:val="20"/>
          <w:szCs w:val="20"/>
        </w:rPr>
        <w:t xml:space="preserve"> </w:t>
      </w:r>
    </w:p>
    <w:p w:rsidR="0097426E" w:rsidRPr="00FC6804" w:rsidRDefault="0097426E" w:rsidP="00013409">
      <w:pPr>
        <w:spacing w:after="0" w:line="240" w:lineRule="auto"/>
        <w:rPr>
          <w:rFonts w:ascii="Arial" w:hAnsi="Arial" w:cs="Arial"/>
          <w:b/>
          <w:color w:val="1F4E79" w:themeColor="accent1" w:themeShade="80"/>
          <w:sz w:val="20"/>
          <w:szCs w:val="20"/>
        </w:rPr>
      </w:pPr>
      <w:r w:rsidRPr="00FC6804">
        <w:rPr>
          <w:rFonts w:ascii="Arial" w:hAnsi="Arial" w:cs="Arial"/>
          <w:b/>
          <w:color w:val="1F4E79" w:themeColor="accent1" w:themeShade="80"/>
          <w:sz w:val="20"/>
          <w:szCs w:val="20"/>
        </w:rPr>
        <w:t xml:space="preserve">Table </w:t>
      </w:r>
      <w:r w:rsidR="001703D1" w:rsidRPr="00FC6804">
        <w:rPr>
          <w:rFonts w:ascii="Arial" w:hAnsi="Arial" w:cs="Arial"/>
          <w:b/>
          <w:color w:val="1F4E79" w:themeColor="accent1" w:themeShade="80"/>
          <w:sz w:val="20"/>
          <w:szCs w:val="20"/>
        </w:rPr>
        <w:t>1</w:t>
      </w:r>
      <w:r w:rsidR="00013409" w:rsidRPr="00FC6804">
        <w:rPr>
          <w:rFonts w:ascii="Arial" w:hAnsi="Arial" w:cs="Arial"/>
          <w:b/>
          <w:color w:val="1F4E79" w:themeColor="accent1" w:themeShade="80"/>
          <w:sz w:val="20"/>
          <w:szCs w:val="20"/>
        </w:rPr>
        <w:t>2</w:t>
      </w:r>
      <w:r w:rsidRPr="00FC6804">
        <w:rPr>
          <w:rFonts w:ascii="Arial" w:hAnsi="Arial" w:cs="Arial"/>
          <w:b/>
          <w:color w:val="1F4E79" w:themeColor="accent1" w:themeShade="80"/>
          <w:sz w:val="20"/>
          <w:szCs w:val="20"/>
        </w:rPr>
        <w:t>.1: Multi-Criteria Analysis Summary Scores</w:t>
      </w:r>
    </w:p>
    <w:p w:rsidR="00013409" w:rsidRPr="00FC6804" w:rsidRDefault="00013409" w:rsidP="00013409">
      <w:pPr>
        <w:spacing w:after="0" w:line="240" w:lineRule="auto"/>
        <w:rPr>
          <w:rFonts w:ascii="Arial" w:hAnsi="Arial" w:cs="Arial"/>
          <w:b/>
          <w:sz w:val="20"/>
          <w:szCs w:val="20"/>
          <w:u w:val="single"/>
        </w:rPr>
      </w:pP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013409" w:rsidRPr="00FC6804" w:rsidTr="009E63BE">
        <w:tc>
          <w:tcPr>
            <w:tcW w:w="1540" w:type="dxa"/>
            <w:shd w:val="clear" w:color="auto" w:fill="F2F2F2" w:themeFill="background1" w:themeFillShade="F2"/>
          </w:tcPr>
          <w:p w:rsidR="00013409" w:rsidRPr="00FC6804" w:rsidRDefault="00013409" w:rsidP="00013409">
            <w:pPr>
              <w:spacing w:before="60" w:after="60"/>
              <w:jc w:val="center"/>
              <w:rPr>
                <w:rFonts w:ascii="Arial" w:hAnsi="Arial" w:cs="Arial"/>
                <w:b/>
                <w:sz w:val="20"/>
                <w:szCs w:val="20"/>
                <w:u w:val="single"/>
              </w:rPr>
            </w:pPr>
            <w:r w:rsidRPr="00FC6804">
              <w:rPr>
                <w:rFonts w:ascii="Arial" w:hAnsi="Arial" w:cs="Arial"/>
                <w:b/>
                <w:sz w:val="20"/>
                <w:szCs w:val="20"/>
              </w:rPr>
              <w:t>Option</w:t>
            </w:r>
          </w:p>
        </w:tc>
        <w:tc>
          <w:tcPr>
            <w:tcW w:w="1540" w:type="dxa"/>
            <w:shd w:val="clear" w:color="auto" w:fill="F2F2F2" w:themeFill="background1" w:themeFillShade="F2"/>
          </w:tcPr>
          <w:p w:rsidR="00013409" w:rsidRPr="00FC6804" w:rsidRDefault="00013409" w:rsidP="00013409">
            <w:pPr>
              <w:spacing w:before="60" w:after="60"/>
              <w:jc w:val="center"/>
              <w:rPr>
                <w:rFonts w:ascii="Arial" w:hAnsi="Arial" w:cs="Arial"/>
                <w:b/>
                <w:sz w:val="20"/>
                <w:szCs w:val="20"/>
                <w:u w:val="single"/>
              </w:rPr>
            </w:pPr>
            <w:r w:rsidRPr="00FC6804">
              <w:rPr>
                <w:rFonts w:ascii="Arial" w:hAnsi="Arial" w:cs="Arial"/>
                <w:b/>
                <w:sz w:val="20"/>
                <w:szCs w:val="20"/>
              </w:rPr>
              <w:t>Alignment of Costs and Fees</w:t>
            </w:r>
          </w:p>
        </w:tc>
        <w:tc>
          <w:tcPr>
            <w:tcW w:w="1540" w:type="dxa"/>
            <w:shd w:val="clear" w:color="auto" w:fill="F2F2F2" w:themeFill="background1" w:themeFillShade="F2"/>
          </w:tcPr>
          <w:p w:rsidR="00013409" w:rsidRPr="00FC6804" w:rsidRDefault="00013409" w:rsidP="00013409">
            <w:pPr>
              <w:spacing w:before="60" w:after="60"/>
              <w:jc w:val="center"/>
              <w:rPr>
                <w:rFonts w:ascii="Arial" w:hAnsi="Arial" w:cs="Arial"/>
                <w:b/>
                <w:sz w:val="20"/>
                <w:szCs w:val="20"/>
                <w:u w:val="single"/>
              </w:rPr>
            </w:pPr>
            <w:r w:rsidRPr="00FC6804">
              <w:rPr>
                <w:rFonts w:ascii="Arial" w:hAnsi="Arial" w:cs="Arial"/>
                <w:b/>
                <w:sz w:val="20"/>
                <w:szCs w:val="20"/>
              </w:rPr>
              <w:t>Affordability for Small Business</w:t>
            </w:r>
          </w:p>
        </w:tc>
        <w:tc>
          <w:tcPr>
            <w:tcW w:w="1540" w:type="dxa"/>
            <w:shd w:val="clear" w:color="auto" w:fill="F2F2F2" w:themeFill="background1" w:themeFillShade="F2"/>
          </w:tcPr>
          <w:p w:rsidR="00013409" w:rsidRPr="00FC6804" w:rsidRDefault="00013409" w:rsidP="00013409">
            <w:pPr>
              <w:spacing w:before="60" w:after="60"/>
              <w:jc w:val="center"/>
              <w:rPr>
                <w:rFonts w:ascii="Arial" w:hAnsi="Arial" w:cs="Arial"/>
                <w:b/>
                <w:sz w:val="20"/>
                <w:szCs w:val="20"/>
                <w:u w:val="single"/>
              </w:rPr>
            </w:pPr>
            <w:r w:rsidRPr="00FC6804">
              <w:rPr>
                <w:rFonts w:ascii="Arial" w:hAnsi="Arial" w:cs="Arial"/>
                <w:b/>
                <w:sz w:val="20"/>
                <w:szCs w:val="20"/>
              </w:rPr>
              <w:t>Regulatory Cost</w:t>
            </w:r>
          </w:p>
        </w:tc>
        <w:tc>
          <w:tcPr>
            <w:tcW w:w="1541" w:type="dxa"/>
            <w:shd w:val="clear" w:color="auto" w:fill="F2F2F2" w:themeFill="background1" w:themeFillShade="F2"/>
          </w:tcPr>
          <w:p w:rsidR="00013409" w:rsidRPr="00FC6804" w:rsidRDefault="00013409" w:rsidP="00013409">
            <w:pPr>
              <w:spacing w:before="60" w:after="60"/>
              <w:jc w:val="center"/>
              <w:rPr>
                <w:rFonts w:ascii="Arial" w:hAnsi="Arial" w:cs="Arial"/>
                <w:b/>
                <w:sz w:val="20"/>
                <w:szCs w:val="20"/>
                <w:u w:val="single"/>
              </w:rPr>
            </w:pPr>
            <w:r w:rsidRPr="00FC6804">
              <w:rPr>
                <w:rFonts w:ascii="Arial" w:hAnsi="Arial" w:cs="Arial"/>
                <w:b/>
                <w:sz w:val="20"/>
                <w:szCs w:val="20"/>
              </w:rPr>
              <w:t>Maintenance of Public Confidence</w:t>
            </w:r>
          </w:p>
        </w:tc>
        <w:tc>
          <w:tcPr>
            <w:tcW w:w="1541" w:type="dxa"/>
            <w:shd w:val="clear" w:color="auto" w:fill="F2F2F2" w:themeFill="background1" w:themeFillShade="F2"/>
          </w:tcPr>
          <w:p w:rsidR="00013409" w:rsidRPr="00FC6804" w:rsidRDefault="00013409" w:rsidP="00013409">
            <w:pPr>
              <w:spacing w:before="60" w:after="60"/>
              <w:jc w:val="center"/>
              <w:rPr>
                <w:rFonts w:ascii="Arial" w:hAnsi="Arial" w:cs="Arial"/>
                <w:b/>
                <w:sz w:val="20"/>
                <w:szCs w:val="20"/>
                <w:u w:val="single"/>
              </w:rPr>
            </w:pPr>
            <w:r w:rsidRPr="00FC6804">
              <w:rPr>
                <w:rFonts w:ascii="Arial" w:hAnsi="Arial" w:cs="Arial"/>
                <w:b/>
                <w:sz w:val="20"/>
                <w:szCs w:val="20"/>
              </w:rPr>
              <w:t>Total</w:t>
            </w:r>
          </w:p>
        </w:tc>
      </w:tr>
      <w:tr w:rsidR="00013409" w:rsidRPr="00FC6804" w:rsidTr="00013409">
        <w:tc>
          <w:tcPr>
            <w:tcW w:w="1540" w:type="dxa"/>
          </w:tcPr>
          <w:p w:rsidR="00013409" w:rsidRPr="00FC6804" w:rsidRDefault="00013409" w:rsidP="00013409">
            <w:pPr>
              <w:spacing w:before="60" w:after="60"/>
              <w:rPr>
                <w:rFonts w:ascii="Arial" w:hAnsi="Arial" w:cs="Arial"/>
                <w:sz w:val="20"/>
                <w:szCs w:val="20"/>
                <w:u w:val="single"/>
              </w:rPr>
            </w:pPr>
            <w:r w:rsidRPr="00FC6804">
              <w:rPr>
                <w:rFonts w:ascii="Arial" w:hAnsi="Arial" w:cs="Arial"/>
                <w:sz w:val="20"/>
                <w:szCs w:val="20"/>
              </w:rPr>
              <w:t>Option 1</w:t>
            </w:r>
          </w:p>
        </w:tc>
        <w:tc>
          <w:tcPr>
            <w:tcW w:w="1540" w:type="dxa"/>
          </w:tcPr>
          <w:p w:rsidR="00013409" w:rsidRPr="00FC6804" w:rsidRDefault="00013409" w:rsidP="00013409">
            <w:pPr>
              <w:spacing w:before="60" w:after="60"/>
              <w:jc w:val="center"/>
              <w:rPr>
                <w:rFonts w:ascii="Arial" w:hAnsi="Arial" w:cs="Arial"/>
                <w:b/>
                <w:sz w:val="20"/>
                <w:szCs w:val="20"/>
                <w:u w:val="single"/>
              </w:rPr>
            </w:pPr>
            <w:r w:rsidRPr="00FC6804">
              <w:rPr>
                <w:rFonts w:ascii="Arial" w:hAnsi="Arial" w:cs="Arial"/>
                <w:sz w:val="20"/>
                <w:szCs w:val="20"/>
              </w:rPr>
              <w:t>+3</w:t>
            </w:r>
          </w:p>
        </w:tc>
        <w:tc>
          <w:tcPr>
            <w:tcW w:w="1540" w:type="dxa"/>
          </w:tcPr>
          <w:p w:rsidR="00013409" w:rsidRPr="00FC6804" w:rsidRDefault="00013409" w:rsidP="00013409">
            <w:pPr>
              <w:spacing w:before="60" w:after="60"/>
              <w:jc w:val="center"/>
              <w:rPr>
                <w:rFonts w:ascii="Arial" w:hAnsi="Arial" w:cs="Arial"/>
                <w:b/>
                <w:sz w:val="20"/>
                <w:szCs w:val="20"/>
                <w:u w:val="single"/>
              </w:rPr>
            </w:pPr>
            <w:r w:rsidRPr="00FC6804">
              <w:rPr>
                <w:rFonts w:ascii="Arial" w:hAnsi="Arial" w:cs="Arial"/>
                <w:sz w:val="20"/>
                <w:szCs w:val="20"/>
              </w:rPr>
              <w:t>-2</w:t>
            </w:r>
          </w:p>
        </w:tc>
        <w:tc>
          <w:tcPr>
            <w:tcW w:w="1540" w:type="dxa"/>
          </w:tcPr>
          <w:p w:rsidR="00013409" w:rsidRPr="00FC6804" w:rsidRDefault="00013409" w:rsidP="00013409">
            <w:pPr>
              <w:spacing w:before="60" w:after="60"/>
              <w:jc w:val="center"/>
              <w:rPr>
                <w:rFonts w:ascii="Arial" w:hAnsi="Arial" w:cs="Arial"/>
                <w:b/>
                <w:sz w:val="20"/>
                <w:szCs w:val="20"/>
                <w:u w:val="single"/>
              </w:rPr>
            </w:pPr>
            <w:r w:rsidRPr="00FC6804">
              <w:rPr>
                <w:rFonts w:ascii="Arial" w:hAnsi="Arial" w:cs="Arial"/>
                <w:sz w:val="20"/>
                <w:szCs w:val="20"/>
              </w:rPr>
              <w:t>-2</w:t>
            </w:r>
          </w:p>
        </w:tc>
        <w:tc>
          <w:tcPr>
            <w:tcW w:w="1541" w:type="dxa"/>
          </w:tcPr>
          <w:p w:rsidR="00013409" w:rsidRPr="00FC6804" w:rsidRDefault="00013409" w:rsidP="00013409">
            <w:pPr>
              <w:spacing w:before="60" w:after="60"/>
              <w:jc w:val="center"/>
              <w:rPr>
                <w:rFonts w:ascii="Arial" w:hAnsi="Arial" w:cs="Arial"/>
                <w:b/>
                <w:sz w:val="20"/>
                <w:szCs w:val="20"/>
                <w:u w:val="single"/>
              </w:rPr>
            </w:pPr>
            <w:r w:rsidRPr="00FC6804">
              <w:rPr>
                <w:rFonts w:ascii="Arial" w:hAnsi="Arial" w:cs="Arial"/>
                <w:sz w:val="20"/>
                <w:szCs w:val="20"/>
              </w:rPr>
              <w:t>2</w:t>
            </w:r>
          </w:p>
        </w:tc>
        <w:tc>
          <w:tcPr>
            <w:tcW w:w="1541" w:type="dxa"/>
          </w:tcPr>
          <w:p w:rsidR="00013409" w:rsidRPr="00FC6804" w:rsidRDefault="00013409" w:rsidP="00013409">
            <w:pPr>
              <w:spacing w:before="60" w:after="60"/>
              <w:jc w:val="center"/>
              <w:rPr>
                <w:rFonts w:ascii="Arial" w:hAnsi="Arial" w:cs="Arial"/>
                <w:b/>
                <w:sz w:val="20"/>
                <w:szCs w:val="20"/>
                <w:u w:val="single"/>
              </w:rPr>
            </w:pPr>
            <w:r w:rsidRPr="00FC6804">
              <w:rPr>
                <w:rFonts w:ascii="Arial" w:hAnsi="Arial" w:cs="Arial"/>
                <w:sz w:val="20"/>
                <w:szCs w:val="20"/>
              </w:rPr>
              <w:t>+1</w:t>
            </w:r>
          </w:p>
        </w:tc>
      </w:tr>
      <w:tr w:rsidR="00013409" w:rsidRPr="00FC6804" w:rsidTr="00013409">
        <w:tc>
          <w:tcPr>
            <w:tcW w:w="1540" w:type="dxa"/>
          </w:tcPr>
          <w:p w:rsidR="00013409" w:rsidRPr="00FC6804" w:rsidRDefault="00013409" w:rsidP="00013409">
            <w:pPr>
              <w:spacing w:before="60" w:after="60"/>
              <w:rPr>
                <w:rFonts w:ascii="Arial" w:hAnsi="Arial" w:cs="Arial"/>
                <w:sz w:val="20"/>
                <w:szCs w:val="20"/>
                <w:u w:val="single"/>
              </w:rPr>
            </w:pPr>
            <w:r w:rsidRPr="00FC6804">
              <w:rPr>
                <w:rFonts w:ascii="Arial" w:hAnsi="Arial" w:cs="Arial"/>
                <w:sz w:val="20"/>
                <w:szCs w:val="20"/>
              </w:rPr>
              <w:t>Option 2</w:t>
            </w:r>
          </w:p>
        </w:tc>
        <w:tc>
          <w:tcPr>
            <w:tcW w:w="1540" w:type="dxa"/>
          </w:tcPr>
          <w:p w:rsidR="00013409" w:rsidRPr="00FC6804" w:rsidRDefault="00013409" w:rsidP="00013409">
            <w:pPr>
              <w:spacing w:before="60" w:after="60"/>
              <w:jc w:val="center"/>
              <w:rPr>
                <w:rFonts w:ascii="Arial" w:hAnsi="Arial" w:cs="Arial"/>
                <w:b/>
                <w:sz w:val="20"/>
                <w:szCs w:val="20"/>
                <w:u w:val="single"/>
              </w:rPr>
            </w:pPr>
            <w:r w:rsidRPr="00FC6804">
              <w:rPr>
                <w:rFonts w:ascii="Arial" w:hAnsi="Arial" w:cs="Arial"/>
                <w:sz w:val="20"/>
                <w:szCs w:val="20"/>
              </w:rPr>
              <w:t>+5</w:t>
            </w:r>
          </w:p>
        </w:tc>
        <w:tc>
          <w:tcPr>
            <w:tcW w:w="1540" w:type="dxa"/>
          </w:tcPr>
          <w:p w:rsidR="00013409" w:rsidRPr="00FC6804" w:rsidRDefault="00013409" w:rsidP="00013409">
            <w:pPr>
              <w:spacing w:before="60" w:after="60"/>
              <w:jc w:val="center"/>
              <w:rPr>
                <w:rFonts w:ascii="Arial" w:hAnsi="Arial" w:cs="Arial"/>
                <w:b/>
                <w:sz w:val="20"/>
                <w:szCs w:val="20"/>
                <w:u w:val="single"/>
              </w:rPr>
            </w:pPr>
            <w:r w:rsidRPr="00FC6804">
              <w:rPr>
                <w:rFonts w:ascii="Arial" w:hAnsi="Arial" w:cs="Arial"/>
                <w:sz w:val="20"/>
                <w:szCs w:val="20"/>
              </w:rPr>
              <w:t>-3</w:t>
            </w:r>
          </w:p>
        </w:tc>
        <w:tc>
          <w:tcPr>
            <w:tcW w:w="1540" w:type="dxa"/>
          </w:tcPr>
          <w:p w:rsidR="00013409" w:rsidRPr="00FC6804" w:rsidRDefault="00013409" w:rsidP="00013409">
            <w:pPr>
              <w:spacing w:before="60" w:after="60"/>
              <w:jc w:val="center"/>
              <w:rPr>
                <w:rFonts w:ascii="Arial" w:hAnsi="Arial" w:cs="Arial"/>
                <w:b/>
                <w:sz w:val="20"/>
                <w:szCs w:val="20"/>
                <w:u w:val="single"/>
              </w:rPr>
            </w:pPr>
            <w:r w:rsidRPr="00FC6804">
              <w:rPr>
                <w:rFonts w:ascii="Arial" w:hAnsi="Arial" w:cs="Arial"/>
                <w:sz w:val="20"/>
                <w:szCs w:val="20"/>
              </w:rPr>
              <w:t>-2</w:t>
            </w:r>
          </w:p>
        </w:tc>
        <w:tc>
          <w:tcPr>
            <w:tcW w:w="1541" w:type="dxa"/>
          </w:tcPr>
          <w:p w:rsidR="00013409" w:rsidRPr="00FC6804" w:rsidRDefault="00013409" w:rsidP="00013409">
            <w:pPr>
              <w:spacing w:before="60" w:after="60"/>
              <w:jc w:val="center"/>
              <w:rPr>
                <w:rFonts w:ascii="Arial" w:hAnsi="Arial" w:cs="Arial"/>
                <w:b/>
                <w:sz w:val="20"/>
                <w:szCs w:val="20"/>
                <w:u w:val="single"/>
              </w:rPr>
            </w:pPr>
            <w:r w:rsidRPr="00FC6804">
              <w:rPr>
                <w:rFonts w:ascii="Arial" w:hAnsi="Arial" w:cs="Arial"/>
                <w:sz w:val="20"/>
                <w:szCs w:val="20"/>
              </w:rPr>
              <w:t>2</w:t>
            </w:r>
          </w:p>
        </w:tc>
        <w:tc>
          <w:tcPr>
            <w:tcW w:w="1541" w:type="dxa"/>
          </w:tcPr>
          <w:p w:rsidR="00013409" w:rsidRPr="00FC6804" w:rsidRDefault="00013409" w:rsidP="00013409">
            <w:pPr>
              <w:spacing w:before="60" w:after="60"/>
              <w:jc w:val="center"/>
              <w:rPr>
                <w:rFonts w:ascii="Arial" w:hAnsi="Arial" w:cs="Arial"/>
                <w:b/>
                <w:sz w:val="20"/>
                <w:szCs w:val="20"/>
                <w:u w:val="single"/>
              </w:rPr>
            </w:pPr>
            <w:r w:rsidRPr="00FC6804">
              <w:rPr>
                <w:rFonts w:ascii="Arial" w:hAnsi="Arial" w:cs="Arial"/>
                <w:sz w:val="20"/>
                <w:szCs w:val="20"/>
              </w:rPr>
              <w:t>+2</w:t>
            </w:r>
          </w:p>
        </w:tc>
      </w:tr>
      <w:tr w:rsidR="00013409" w:rsidRPr="00FC6804" w:rsidTr="00013409">
        <w:tc>
          <w:tcPr>
            <w:tcW w:w="1540" w:type="dxa"/>
          </w:tcPr>
          <w:p w:rsidR="00013409" w:rsidRPr="00FC6804" w:rsidRDefault="00013409" w:rsidP="00013409">
            <w:pPr>
              <w:spacing w:before="60" w:after="60"/>
              <w:rPr>
                <w:rFonts w:ascii="Arial" w:hAnsi="Arial" w:cs="Arial"/>
                <w:sz w:val="20"/>
                <w:szCs w:val="20"/>
                <w:u w:val="single"/>
              </w:rPr>
            </w:pPr>
            <w:r w:rsidRPr="00FC6804">
              <w:rPr>
                <w:rFonts w:ascii="Arial" w:hAnsi="Arial" w:cs="Arial"/>
                <w:sz w:val="20"/>
                <w:szCs w:val="20"/>
              </w:rPr>
              <w:t>Option 3</w:t>
            </w:r>
          </w:p>
        </w:tc>
        <w:tc>
          <w:tcPr>
            <w:tcW w:w="1540" w:type="dxa"/>
          </w:tcPr>
          <w:p w:rsidR="00013409" w:rsidRPr="00FC6804" w:rsidRDefault="00013409" w:rsidP="00013409">
            <w:pPr>
              <w:spacing w:before="60" w:after="60"/>
              <w:jc w:val="center"/>
              <w:rPr>
                <w:rFonts w:ascii="Arial" w:hAnsi="Arial" w:cs="Arial"/>
                <w:b/>
                <w:sz w:val="20"/>
                <w:szCs w:val="20"/>
                <w:u w:val="single"/>
              </w:rPr>
            </w:pPr>
            <w:r w:rsidRPr="00FC6804">
              <w:rPr>
                <w:rFonts w:ascii="Arial" w:hAnsi="Arial" w:cs="Arial"/>
                <w:sz w:val="20"/>
                <w:szCs w:val="20"/>
              </w:rPr>
              <w:t>+8</w:t>
            </w:r>
          </w:p>
        </w:tc>
        <w:tc>
          <w:tcPr>
            <w:tcW w:w="1540" w:type="dxa"/>
          </w:tcPr>
          <w:p w:rsidR="00013409" w:rsidRPr="00FC6804" w:rsidRDefault="00013409" w:rsidP="00013409">
            <w:pPr>
              <w:spacing w:before="60" w:after="60"/>
              <w:jc w:val="center"/>
              <w:rPr>
                <w:rFonts w:ascii="Arial" w:hAnsi="Arial" w:cs="Arial"/>
                <w:b/>
                <w:sz w:val="20"/>
                <w:szCs w:val="20"/>
                <w:u w:val="single"/>
              </w:rPr>
            </w:pPr>
            <w:r w:rsidRPr="00FC6804">
              <w:rPr>
                <w:rFonts w:ascii="Arial" w:hAnsi="Arial" w:cs="Arial"/>
                <w:sz w:val="20"/>
                <w:szCs w:val="20"/>
              </w:rPr>
              <w:t>-8</w:t>
            </w:r>
          </w:p>
        </w:tc>
        <w:tc>
          <w:tcPr>
            <w:tcW w:w="1540" w:type="dxa"/>
          </w:tcPr>
          <w:p w:rsidR="00013409" w:rsidRPr="00FC6804" w:rsidRDefault="00013409" w:rsidP="00013409">
            <w:pPr>
              <w:spacing w:before="60" w:after="60"/>
              <w:jc w:val="center"/>
              <w:rPr>
                <w:rFonts w:ascii="Arial" w:hAnsi="Arial" w:cs="Arial"/>
                <w:b/>
                <w:sz w:val="20"/>
                <w:szCs w:val="20"/>
                <w:u w:val="single"/>
              </w:rPr>
            </w:pPr>
            <w:r w:rsidRPr="00FC6804">
              <w:rPr>
                <w:rFonts w:ascii="Arial" w:hAnsi="Arial" w:cs="Arial"/>
                <w:sz w:val="20"/>
                <w:szCs w:val="20"/>
              </w:rPr>
              <w:t>-2</w:t>
            </w:r>
          </w:p>
        </w:tc>
        <w:tc>
          <w:tcPr>
            <w:tcW w:w="1541" w:type="dxa"/>
          </w:tcPr>
          <w:p w:rsidR="00013409" w:rsidRPr="00FC6804" w:rsidRDefault="00013409" w:rsidP="00013409">
            <w:pPr>
              <w:spacing w:before="60" w:after="60"/>
              <w:jc w:val="center"/>
              <w:rPr>
                <w:rFonts w:ascii="Arial" w:hAnsi="Arial" w:cs="Arial"/>
                <w:b/>
                <w:sz w:val="20"/>
                <w:szCs w:val="20"/>
                <w:u w:val="single"/>
              </w:rPr>
            </w:pPr>
            <w:r w:rsidRPr="00FC6804">
              <w:rPr>
                <w:rFonts w:ascii="Arial" w:hAnsi="Arial" w:cs="Arial"/>
                <w:sz w:val="20"/>
                <w:szCs w:val="20"/>
              </w:rPr>
              <w:t>2</w:t>
            </w:r>
          </w:p>
        </w:tc>
        <w:tc>
          <w:tcPr>
            <w:tcW w:w="1541" w:type="dxa"/>
          </w:tcPr>
          <w:p w:rsidR="00013409" w:rsidRPr="00FC6804" w:rsidRDefault="00013409" w:rsidP="00013409">
            <w:pPr>
              <w:spacing w:before="60" w:after="60"/>
              <w:jc w:val="center"/>
              <w:rPr>
                <w:rFonts w:ascii="Arial" w:hAnsi="Arial" w:cs="Arial"/>
                <w:b/>
                <w:sz w:val="20"/>
                <w:szCs w:val="20"/>
                <w:u w:val="single"/>
              </w:rPr>
            </w:pPr>
            <w:r w:rsidRPr="00FC6804">
              <w:rPr>
                <w:rFonts w:ascii="Arial" w:hAnsi="Arial" w:cs="Arial"/>
                <w:sz w:val="20"/>
                <w:szCs w:val="20"/>
              </w:rPr>
              <w:t>0</w:t>
            </w:r>
          </w:p>
        </w:tc>
      </w:tr>
      <w:tr w:rsidR="00013409" w:rsidRPr="00FC6804" w:rsidTr="00013409">
        <w:tc>
          <w:tcPr>
            <w:tcW w:w="1540" w:type="dxa"/>
          </w:tcPr>
          <w:p w:rsidR="00013409" w:rsidRPr="00FC6804" w:rsidRDefault="00013409" w:rsidP="00013409">
            <w:pPr>
              <w:spacing w:before="60" w:after="60"/>
              <w:rPr>
                <w:rFonts w:ascii="Arial" w:hAnsi="Arial" w:cs="Arial"/>
                <w:sz w:val="20"/>
                <w:szCs w:val="20"/>
              </w:rPr>
            </w:pPr>
            <w:r w:rsidRPr="00FC6804">
              <w:rPr>
                <w:rFonts w:ascii="Arial" w:hAnsi="Arial" w:cs="Arial"/>
                <w:sz w:val="20"/>
                <w:szCs w:val="20"/>
              </w:rPr>
              <w:t>Option 4</w:t>
            </w:r>
          </w:p>
        </w:tc>
        <w:tc>
          <w:tcPr>
            <w:tcW w:w="1540" w:type="dxa"/>
          </w:tcPr>
          <w:p w:rsidR="00013409" w:rsidRPr="00FC6804" w:rsidRDefault="00013409" w:rsidP="00013409">
            <w:pPr>
              <w:spacing w:before="60" w:after="60"/>
              <w:jc w:val="center"/>
              <w:rPr>
                <w:rFonts w:ascii="Arial" w:hAnsi="Arial" w:cs="Arial"/>
                <w:sz w:val="20"/>
                <w:szCs w:val="20"/>
              </w:rPr>
            </w:pPr>
            <w:r w:rsidRPr="00FC6804">
              <w:rPr>
                <w:rFonts w:ascii="Arial" w:hAnsi="Arial" w:cs="Arial"/>
                <w:sz w:val="20"/>
                <w:szCs w:val="20"/>
              </w:rPr>
              <w:t>+8</w:t>
            </w:r>
          </w:p>
        </w:tc>
        <w:tc>
          <w:tcPr>
            <w:tcW w:w="1540" w:type="dxa"/>
          </w:tcPr>
          <w:p w:rsidR="00013409" w:rsidRPr="00FC6804" w:rsidRDefault="00013409" w:rsidP="00013409">
            <w:pPr>
              <w:spacing w:before="60" w:after="60"/>
              <w:jc w:val="center"/>
              <w:rPr>
                <w:rFonts w:ascii="Arial" w:hAnsi="Arial" w:cs="Arial"/>
                <w:sz w:val="20"/>
                <w:szCs w:val="20"/>
              </w:rPr>
            </w:pPr>
            <w:r w:rsidRPr="00FC6804">
              <w:rPr>
                <w:rFonts w:ascii="Arial" w:hAnsi="Arial" w:cs="Arial"/>
                <w:sz w:val="20"/>
                <w:szCs w:val="20"/>
              </w:rPr>
              <w:t>-5</w:t>
            </w:r>
          </w:p>
        </w:tc>
        <w:tc>
          <w:tcPr>
            <w:tcW w:w="1540" w:type="dxa"/>
          </w:tcPr>
          <w:p w:rsidR="00013409" w:rsidRPr="00FC6804" w:rsidRDefault="00013409" w:rsidP="00013409">
            <w:pPr>
              <w:spacing w:before="60" w:after="60"/>
              <w:jc w:val="center"/>
              <w:rPr>
                <w:rFonts w:ascii="Arial" w:hAnsi="Arial" w:cs="Arial"/>
                <w:sz w:val="20"/>
                <w:szCs w:val="20"/>
              </w:rPr>
            </w:pPr>
            <w:r w:rsidRPr="00FC6804">
              <w:rPr>
                <w:rFonts w:ascii="Arial" w:hAnsi="Arial" w:cs="Arial"/>
                <w:sz w:val="20"/>
                <w:szCs w:val="20"/>
              </w:rPr>
              <w:t>-1</w:t>
            </w:r>
          </w:p>
        </w:tc>
        <w:tc>
          <w:tcPr>
            <w:tcW w:w="1541" w:type="dxa"/>
          </w:tcPr>
          <w:p w:rsidR="00013409" w:rsidRPr="00FC6804" w:rsidRDefault="00013409" w:rsidP="00013409">
            <w:pPr>
              <w:spacing w:before="60" w:after="60"/>
              <w:jc w:val="center"/>
              <w:rPr>
                <w:rFonts w:ascii="Arial" w:hAnsi="Arial" w:cs="Arial"/>
                <w:sz w:val="20"/>
                <w:szCs w:val="20"/>
              </w:rPr>
            </w:pPr>
            <w:r w:rsidRPr="00FC6804">
              <w:rPr>
                <w:rFonts w:ascii="Arial" w:hAnsi="Arial" w:cs="Arial"/>
                <w:sz w:val="20"/>
                <w:szCs w:val="20"/>
              </w:rPr>
              <w:t>-1</w:t>
            </w:r>
          </w:p>
        </w:tc>
        <w:tc>
          <w:tcPr>
            <w:tcW w:w="1541" w:type="dxa"/>
          </w:tcPr>
          <w:p w:rsidR="00013409" w:rsidRPr="00FC6804" w:rsidRDefault="00013409" w:rsidP="00013409">
            <w:pPr>
              <w:spacing w:before="60" w:after="60"/>
              <w:jc w:val="center"/>
              <w:rPr>
                <w:rFonts w:ascii="Arial" w:hAnsi="Arial" w:cs="Arial"/>
                <w:sz w:val="20"/>
                <w:szCs w:val="20"/>
              </w:rPr>
            </w:pPr>
            <w:r w:rsidRPr="00FC6804">
              <w:rPr>
                <w:rFonts w:ascii="Arial" w:hAnsi="Arial" w:cs="Arial"/>
                <w:sz w:val="20"/>
                <w:szCs w:val="20"/>
              </w:rPr>
              <w:t>+1</w:t>
            </w:r>
          </w:p>
        </w:tc>
      </w:tr>
    </w:tbl>
    <w:p w:rsidR="0097426E" w:rsidRPr="00FC6804" w:rsidRDefault="0097426E" w:rsidP="00013409">
      <w:pPr>
        <w:spacing w:after="0" w:line="240" w:lineRule="auto"/>
        <w:rPr>
          <w:rFonts w:ascii="Arial" w:hAnsi="Arial" w:cs="Arial"/>
          <w:sz w:val="20"/>
          <w:szCs w:val="20"/>
        </w:rPr>
      </w:pPr>
    </w:p>
    <w:p w:rsidR="00F12551" w:rsidRPr="00FC6804" w:rsidRDefault="0097426E" w:rsidP="00013409">
      <w:pPr>
        <w:spacing w:after="0" w:line="240" w:lineRule="auto"/>
        <w:rPr>
          <w:rFonts w:ascii="Arial" w:hAnsi="Arial" w:cs="Arial"/>
          <w:sz w:val="20"/>
          <w:szCs w:val="20"/>
        </w:rPr>
      </w:pPr>
      <w:r w:rsidRPr="00FC6804">
        <w:rPr>
          <w:rFonts w:ascii="Arial" w:hAnsi="Arial" w:cs="Arial"/>
          <w:sz w:val="20"/>
          <w:szCs w:val="20"/>
        </w:rPr>
        <w:t xml:space="preserve">Table </w:t>
      </w:r>
      <w:r w:rsidR="001703D1" w:rsidRPr="00FC6804">
        <w:rPr>
          <w:rFonts w:ascii="Arial" w:hAnsi="Arial" w:cs="Arial"/>
          <w:sz w:val="20"/>
          <w:szCs w:val="20"/>
        </w:rPr>
        <w:t>1</w:t>
      </w:r>
      <w:r w:rsidR="008335CF" w:rsidRPr="00FC6804">
        <w:rPr>
          <w:rFonts w:ascii="Arial" w:hAnsi="Arial" w:cs="Arial"/>
          <w:sz w:val="20"/>
          <w:szCs w:val="20"/>
        </w:rPr>
        <w:t>2</w:t>
      </w:r>
      <w:r w:rsidRPr="00FC6804">
        <w:rPr>
          <w:rFonts w:ascii="Arial" w:hAnsi="Arial" w:cs="Arial"/>
          <w:sz w:val="20"/>
          <w:szCs w:val="20"/>
        </w:rPr>
        <w:t xml:space="preserve">.1 shows that Option </w:t>
      </w:r>
      <w:r w:rsidR="00566188" w:rsidRPr="00FC6804">
        <w:rPr>
          <w:rFonts w:ascii="Arial" w:hAnsi="Arial" w:cs="Arial"/>
          <w:sz w:val="20"/>
          <w:szCs w:val="20"/>
        </w:rPr>
        <w:t xml:space="preserve">2 </w:t>
      </w:r>
      <w:r w:rsidRPr="00FC6804">
        <w:rPr>
          <w:rFonts w:ascii="Arial" w:hAnsi="Arial" w:cs="Arial"/>
          <w:sz w:val="20"/>
          <w:szCs w:val="20"/>
        </w:rPr>
        <w:t xml:space="preserve">receives the highest score at + </w:t>
      </w:r>
      <w:r w:rsidR="00F12551" w:rsidRPr="00FC6804">
        <w:rPr>
          <w:rFonts w:ascii="Arial" w:hAnsi="Arial" w:cs="Arial"/>
          <w:sz w:val="20"/>
          <w:szCs w:val="20"/>
        </w:rPr>
        <w:t>2</w:t>
      </w:r>
      <w:r w:rsidRPr="00FC6804">
        <w:rPr>
          <w:rFonts w:ascii="Arial" w:hAnsi="Arial" w:cs="Arial"/>
          <w:sz w:val="20"/>
          <w:szCs w:val="20"/>
        </w:rPr>
        <w:t>, while Option</w:t>
      </w:r>
      <w:r w:rsidR="00F12551" w:rsidRPr="00FC6804">
        <w:rPr>
          <w:rFonts w:ascii="Arial" w:hAnsi="Arial" w:cs="Arial"/>
          <w:sz w:val="20"/>
          <w:szCs w:val="20"/>
        </w:rPr>
        <w:t xml:space="preserve">s 1 and 4 both score +1.  All three of these </w:t>
      </w:r>
      <w:r w:rsidR="008335CF" w:rsidRPr="00FC6804">
        <w:rPr>
          <w:rFonts w:ascii="Arial" w:hAnsi="Arial" w:cs="Arial"/>
          <w:sz w:val="20"/>
          <w:szCs w:val="20"/>
        </w:rPr>
        <w:t>options receive</w:t>
      </w:r>
      <w:r w:rsidRPr="00FC6804">
        <w:rPr>
          <w:rFonts w:ascii="Arial" w:hAnsi="Arial" w:cs="Arial"/>
          <w:sz w:val="20"/>
          <w:szCs w:val="20"/>
        </w:rPr>
        <w:t xml:space="preserve"> positive scores, indicating that all are preferable to the maintenance of t</w:t>
      </w:r>
      <w:r w:rsidR="008335CF" w:rsidRPr="00FC6804">
        <w:rPr>
          <w:rFonts w:ascii="Arial" w:hAnsi="Arial" w:cs="Arial"/>
          <w:sz w:val="20"/>
          <w:szCs w:val="20"/>
        </w:rPr>
        <w:t xml:space="preserve">he existing fees arrangements. </w:t>
      </w:r>
      <w:r w:rsidR="00F12551" w:rsidRPr="00FC6804">
        <w:rPr>
          <w:rFonts w:ascii="Arial" w:hAnsi="Arial" w:cs="Arial"/>
          <w:sz w:val="20"/>
          <w:szCs w:val="20"/>
        </w:rPr>
        <w:t xml:space="preserve">Option 3 receives a net score of zero, indicating it ranks equally with the maintenance of the current fees arrangements on balance.  </w:t>
      </w:r>
    </w:p>
    <w:p w:rsidR="008335CF" w:rsidRPr="00FC6804" w:rsidRDefault="008335CF" w:rsidP="00013409">
      <w:pPr>
        <w:spacing w:after="0" w:line="240" w:lineRule="auto"/>
        <w:rPr>
          <w:rFonts w:ascii="Arial" w:hAnsi="Arial" w:cs="Arial"/>
          <w:sz w:val="20"/>
          <w:szCs w:val="20"/>
        </w:rPr>
      </w:pPr>
    </w:p>
    <w:p w:rsidR="00DB789A" w:rsidRPr="00FC6804" w:rsidRDefault="00DB789A" w:rsidP="00013409">
      <w:pPr>
        <w:spacing w:after="0" w:line="240" w:lineRule="auto"/>
        <w:rPr>
          <w:rFonts w:ascii="Arial" w:hAnsi="Arial" w:cs="Arial"/>
          <w:sz w:val="20"/>
          <w:szCs w:val="20"/>
        </w:rPr>
      </w:pPr>
    </w:p>
    <w:p w:rsidR="00DB789A" w:rsidRPr="00FC6804" w:rsidRDefault="00DB789A" w:rsidP="00013409">
      <w:pPr>
        <w:spacing w:after="0" w:line="240" w:lineRule="auto"/>
        <w:rPr>
          <w:rFonts w:ascii="Arial" w:hAnsi="Arial" w:cs="Arial"/>
          <w:sz w:val="20"/>
          <w:szCs w:val="20"/>
        </w:rPr>
      </w:pPr>
    </w:p>
    <w:p w:rsidR="00DB789A" w:rsidRPr="00FC6804" w:rsidRDefault="00DB789A" w:rsidP="00013409">
      <w:pPr>
        <w:spacing w:after="0" w:line="240" w:lineRule="auto"/>
        <w:rPr>
          <w:rFonts w:ascii="Arial" w:hAnsi="Arial" w:cs="Arial"/>
          <w:sz w:val="20"/>
          <w:szCs w:val="20"/>
        </w:rPr>
      </w:pPr>
    </w:p>
    <w:p w:rsidR="00DB789A" w:rsidRPr="00FC6804" w:rsidRDefault="00DB789A" w:rsidP="00013409">
      <w:pPr>
        <w:spacing w:after="0" w:line="240" w:lineRule="auto"/>
        <w:rPr>
          <w:rFonts w:ascii="Arial" w:hAnsi="Arial" w:cs="Arial"/>
          <w:sz w:val="20"/>
          <w:szCs w:val="20"/>
        </w:rPr>
      </w:pPr>
    </w:p>
    <w:p w:rsidR="00DB789A" w:rsidRPr="00FC6804" w:rsidRDefault="00DB789A" w:rsidP="00013409">
      <w:pPr>
        <w:spacing w:after="0" w:line="240" w:lineRule="auto"/>
        <w:rPr>
          <w:rFonts w:ascii="Arial" w:hAnsi="Arial" w:cs="Arial"/>
          <w:sz w:val="20"/>
          <w:szCs w:val="20"/>
        </w:rPr>
      </w:pPr>
    </w:p>
    <w:p w:rsidR="00DB789A" w:rsidRPr="00FC6804" w:rsidRDefault="00DB789A" w:rsidP="00013409">
      <w:pPr>
        <w:spacing w:after="0" w:line="240" w:lineRule="auto"/>
        <w:rPr>
          <w:rFonts w:ascii="Arial" w:hAnsi="Arial" w:cs="Arial"/>
          <w:sz w:val="20"/>
          <w:szCs w:val="20"/>
        </w:rPr>
      </w:pPr>
    </w:p>
    <w:p w:rsidR="00DB789A" w:rsidRPr="00FC6804" w:rsidRDefault="00DB789A" w:rsidP="00013409">
      <w:pPr>
        <w:spacing w:after="0" w:line="240" w:lineRule="auto"/>
        <w:rPr>
          <w:rFonts w:ascii="Arial" w:hAnsi="Arial" w:cs="Arial"/>
          <w:sz w:val="20"/>
          <w:szCs w:val="20"/>
        </w:rPr>
      </w:pPr>
    </w:p>
    <w:p w:rsidR="00DB789A" w:rsidRPr="00FC6804" w:rsidRDefault="00DB789A" w:rsidP="00013409">
      <w:pPr>
        <w:spacing w:after="0" w:line="240" w:lineRule="auto"/>
        <w:rPr>
          <w:rFonts w:ascii="Arial" w:hAnsi="Arial" w:cs="Arial"/>
          <w:sz w:val="20"/>
          <w:szCs w:val="20"/>
        </w:rPr>
      </w:pPr>
    </w:p>
    <w:p w:rsidR="00DB789A" w:rsidRPr="00FC6804" w:rsidRDefault="00DB789A" w:rsidP="00013409">
      <w:pPr>
        <w:spacing w:after="0" w:line="240" w:lineRule="auto"/>
        <w:rPr>
          <w:rFonts w:ascii="Arial" w:hAnsi="Arial" w:cs="Arial"/>
          <w:sz w:val="20"/>
          <w:szCs w:val="20"/>
        </w:rPr>
      </w:pPr>
    </w:p>
    <w:p w:rsidR="0097426E" w:rsidRPr="00FC6804" w:rsidRDefault="00F12551" w:rsidP="00013409">
      <w:pPr>
        <w:spacing w:after="0" w:line="240" w:lineRule="auto"/>
        <w:rPr>
          <w:rFonts w:ascii="Arial" w:hAnsi="Arial" w:cs="Arial"/>
          <w:sz w:val="20"/>
          <w:szCs w:val="20"/>
        </w:rPr>
      </w:pPr>
      <w:r w:rsidRPr="00FC6804">
        <w:rPr>
          <w:rFonts w:ascii="Arial" w:hAnsi="Arial" w:cs="Arial"/>
          <w:sz w:val="20"/>
          <w:szCs w:val="20"/>
        </w:rPr>
        <w:t>T</w:t>
      </w:r>
      <w:r w:rsidR="0097426E" w:rsidRPr="00FC6804">
        <w:rPr>
          <w:rFonts w:ascii="Arial" w:hAnsi="Arial" w:cs="Arial"/>
          <w:sz w:val="20"/>
          <w:szCs w:val="20"/>
        </w:rPr>
        <w:t xml:space="preserve">he scores received by the </w:t>
      </w:r>
      <w:r w:rsidR="00566188" w:rsidRPr="00FC6804">
        <w:rPr>
          <w:rFonts w:ascii="Arial" w:hAnsi="Arial" w:cs="Arial"/>
          <w:sz w:val="20"/>
          <w:szCs w:val="20"/>
        </w:rPr>
        <w:t xml:space="preserve">four </w:t>
      </w:r>
      <w:r w:rsidR="0097426E" w:rsidRPr="00FC6804">
        <w:rPr>
          <w:rFonts w:ascii="Arial" w:hAnsi="Arial" w:cs="Arial"/>
          <w:sz w:val="20"/>
          <w:szCs w:val="20"/>
        </w:rPr>
        <w:t xml:space="preserve">options are similar, suggesting that there is </w:t>
      </w:r>
      <w:r w:rsidR="00566188" w:rsidRPr="00FC6804">
        <w:rPr>
          <w:rFonts w:ascii="Arial" w:hAnsi="Arial" w:cs="Arial"/>
          <w:sz w:val="20"/>
          <w:szCs w:val="20"/>
        </w:rPr>
        <w:t xml:space="preserve">limited </w:t>
      </w:r>
      <w:r w:rsidR="0097426E" w:rsidRPr="00FC6804">
        <w:rPr>
          <w:rFonts w:ascii="Arial" w:hAnsi="Arial" w:cs="Arial"/>
          <w:sz w:val="20"/>
          <w:szCs w:val="20"/>
        </w:rPr>
        <w:t>diffe</w:t>
      </w:r>
      <w:r w:rsidR="000D2311">
        <w:rPr>
          <w:rFonts w:ascii="Arial" w:hAnsi="Arial" w:cs="Arial"/>
          <w:sz w:val="20"/>
          <w:szCs w:val="20"/>
        </w:rPr>
        <w:t xml:space="preserve">rence in their overall merits. </w:t>
      </w:r>
      <w:r w:rsidR="0097426E" w:rsidRPr="00FC6804">
        <w:rPr>
          <w:rFonts w:ascii="Arial" w:hAnsi="Arial" w:cs="Arial"/>
          <w:sz w:val="20"/>
          <w:szCs w:val="20"/>
        </w:rPr>
        <w:t xml:space="preserve">However, while the options receive similar summary scores, there are significant differences in their </w:t>
      </w:r>
      <w:r w:rsidR="008335CF" w:rsidRPr="00FC6804">
        <w:rPr>
          <w:rFonts w:ascii="Arial" w:hAnsi="Arial" w:cs="Arial"/>
          <w:sz w:val="20"/>
          <w:szCs w:val="20"/>
        </w:rPr>
        <w:t xml:space="preserve">feasibility in the short term. </w:t>
      </w:r>
      <w:r w:rsidR="0097426E" w:rsidRPr="00FC6804">
        <w:rPr>
          <w:rFonts w:ascii="Arial" w:hAnsi="Arial" w:cs="Arial"/>
          <w:sz w:val="20"/>
          <w:szCs w:val="20"/>
        </w:rPr>
        <w:t xml:space="preserve">In broad terms, Option </w:t>
      </w:r>
      <w:r w:rsidR="00566188" w:rsidRPr="00FC6804">
        <w:rPr>
          <w:rFonts w:ascii="Arial" w:hAnsi="Arial" w:cs="Arial"/>
          <w:sz w:val="20"/>
          <w:szCs w:val="20"/>
        </w:rPr>
        <w:t xml:space="preserve">2 </w:t>
      </w:r>
      <w:r w:rsidR="0097426E" w:rsidRPr="00FC6804">
        <w:rPr>
          <w:rFonts w:ascii="Arial" w:hAnsi="Arial" w:cs="Arial"/>
          <w:sz w:val="20"/>
          <w:szCs w:val="20"/>
        </w:rPr>
        <w:t xml:space="preserve">is considered to be the preferred option for adoption in the short to medium term, while it is anticipated that movement in the direction of regulatory arrangements and fees structures along the lines set out in Option </w:t>
      </w:r>
      <w:r w:rsidR="00566188" w:rsidRPr="00FC6804">
        <w:rPr>
          <w:rFonts w:ascii="Arial" w:hAnsi="Arial" w:cs="Arial"/>
          <w:sz w:val="20"/>
          <w:szCs w:val="20"/>
        </w:rPr>
        <w:t xml:space="preserve">4 </w:t>
      </w:r>
      <w:r w:rsidR="0097426E" w:rsidRPr="00FC6804">
        <w:rPr>
          <w:rFonts w:ascii="Arial" w:hAnsi="Arial" w:cs="Arial"/>
          <w:sz w:val="20"/>
          <w:szCs w:val="20"/>
        </w:rPr>
        <w:t>will occur</w:t>
      </w:r>
      <w:r w:rsidR="008335CF" w:rsidRPr="00FC6804">
        <w:rPr>
          <w:rFonts w:ascii="Arial" w:hAnsi="Arial" w:cs="Arial"/>
          <w:sz w:val="20"/>
          <w:szCs w:val="20"/>
        </w:rPr>
        <w:t xml:space="preserve"> over time. </w:t>
      </w:r>
      <w:r w:rsidR="0097426E" w:rsidRPr="00FC6804">
        <w:rPr>
          <w:rFonts w:ascii="Arial" w:hAnsi="Arial" w:cs="Arial"/>
          <w:sz w:val="20"/>
          <w:szCs w:val="20"/>
        </w:rPr>
        <w:t xml:space="preserve">As discussed in Section </w:t>
      </w:r>
      <w:r w:rsidR="000D2311">
        <w:rPr>
          <w:rFonts w:ascii="Arial" w:hAnsi="Arial" w:cs="Arial"/>
          <w:sz w:val="20"/>
          <w:szCs w:val="20"/>
        </w:rPr>
        <w:t>9</w:t>
      </w:r>
      <w:r w:rsidR="0097426E" w:rsidRPr="00FC6804">
        <w:rPr>
          <w:rFonts w:ascii="Arial" w:hAnsi="Arial" w:cs="Arial"/>
          <w:sz w:val="20"/>
          <w:szCs w:val="20"/>
        </w:rPr>
        <w:t xml:space="preserve">, </w:t>
      </w:r>
      <w:r w:rsidR="008335CF" w:rsidRPr="00FC6804">
        <w:rPr>
          <w:rFonts w:ascii="Arial" w:hAnsi="Arial" w:cs="Arial"/>
          <w:sz w:val="20"/>
          <w:szCs w:val="20"/>
        </w:rPr>
        <w:t>PrimeSafe</w:t>
      </w:r>
      <w:r w:rsidR="0097426E" w:rsidRPr="00FC6804">
        <w:rPr>
          <w:rFonts w:ascii="Arial" w:hAnsi="Arial" w:cs="Arial"/>
          <w:sz w:val="20"/>
          <w:szCs w:val="20"/>
        </w:rPr>
        <w:t xml:space="preserve"> is currently reviewing its approach to key aspects of its inspections program, with a view to expanding the extent to which risk-based approaches are adopted and thereby both increasing regulatory effectiveness </w:t>
      </w:r>
      <w:r w:rsidR="008335CF" w:rsidRPr="00FC6804">
        <w:rPr>
          <w:rFonts w:ascii="Arial" w:hAnsi="Arial" w:cs="Arial"/>
          <w:sz w:val="20"/>
          <w:szCs w:val="20"/>
        </w:rPr>
        <w:t xml:space="preserve">and reducing regulatory costs. </w:t>
      </w:r>
      <w:r w:rsidR="0097426E" w:rsidRPr="00FC6804">
        <w:rPr>
          <w:rFonts w:ascii="Arial" w:hAnsi="Arial" w:cs="Arial"/>
          <w:sz w:val="20"/>
          <w:szCs w:val="20"/>
        </w:rPr>
        <w:t>In this context, it also anticipates that further progress will be made in reducing the extent of cross-subsidie</w:t>
      </w:r>
      <w:r w:rsidR="008335CF" w:rsidRPr="00FC6804">
        <w:rPr>
          <w:rFonts w:ascii="Arial" w:hAnsi="Arial" w:cs="Arial"/>
          <w:sz w:val="20"/>
          <w:szCs w:val="20"/>
        </w:rPr>
        <w:t xml:space="preserve">s between groups of licensees. </w:t>
      </w:r>
      <w:r w:rsidR="0097426E" w:rsidRPr="00FC6804">
        <w:rPr>
          <w:rFonts w:ascii="Arial" w:hAnsi="Arial" w:cs="Arial"/>
          <w:sz w:val="20"/>
          <w:szCs w:val="20"/>
        </w:rPr>
        <w:t xml:space="preserve">However, further rebalancing of fees to achieve this outcome will need to be based on the development </w:t>
      </w:r>
      <w:r w:rsidR="000D182E" w:rsidRPr="00FC6804">
        <w:rPr>
          <w:rFonts w:ascii="Arial" w:hAnsi="Arial" w:cs="Arial"/>
          <w:sz w:val="20"/>
          <w:szCs w:val="20"/>
        </w:rPr>
        <w:t xml:space="preserve">and analysis </w:t>
      </w:r>
      <w:r w:rsidR="0097426E" w:rsidRPr="00FC6804">
        <w:rPr>
          <w:rFonts w:ascii="Arial" w:hAnsi="Arial" w:cs="Arial"/>
          <w:sz w:val="20"/>
          <w:szCs w:val="20"/>
        </w:rPr>
        <w:t xml:space="preserve">of more detailed information on </w:t>
      </w:r>
      <w:r w:rsidR="000D182E" w:rsidRPr="00FC6804">
        <w:rPr>
          <w:rFonts w:ascii="Arial" w:hAnsi="Arial" w:cs="Arial"/>
          <w:sz w:val="20"/>
          <w:szCs w:val="20"/>
        </w:rPr>
        <w:t>the costs incurred in undertaking specific regulatory activities in respec</w:t>
      </w:r>
      <w:r w:rsidR="000D2311">
        <w:rPr>
          <w:rFonts w:ascii="Arial" w:hAnsi="Arial" w:cs="Arial"/>
          <w:sz w:val="20"/>
          <w:szCs w:val="20"/>
        </w:rPr>
        <w:t xml:space="preserve">t of specific groups of licence </w:t>
      </w:r>
      <w:r w:rsidR="000D182E" w:rsidRPr="00FC6804">
        <w:rPr>
          <w:rFonts w:ascii="Arial" w:hAnsi="Arial" w:cs="Arial"/>
          <w:sz w:val="20"/>
          <w:szCs w:val="20"/>
        </w:rPr>
        <w:t>holders.</w:t>
      </w:r>
    </w:p>
    <w:p w:rsidR="00DB789A" w:rsidRPr="00FC6804" w:rsidRDefault="00DB789A" w:rsidP="00013409">
      <w:pPr>
        <w:spacing w:after="0" w:line="240" w:lineRule="auto"/>
        <w:rPr>
          <w:rFonts w:ascii="Arial" w:hAnsi="Arial" w:cs="Arial"/>
          <w:sz w:val="20"/>
          <w:szCs w:val="20"/>
        </w:rPr>
      </w:pPr>
    </w:p>
    <w:p w:rsidR="006C6347" w:rsidRPr="00FC6804" w:rsidRDefault="000D182E" w:rsidP="00013409">
      <w:pPr>
        <w:spacing w:after="0" w:line="240" w:lineRule="auto"/>
        <w:rPr>
          <w:rFonts w:ascii="Arial" w:hAnsi="Arial" w:cs="Arial"/>
          <w:sz w:val="20"/>
          <w:szCs w:val="20"/>
        </w:rPr>
        <w:sectPr w:rsidR="006C6347" w:rsidRPr="00FC6804" w:rsidSect="00245D1C">
          <w:pgSz w:w="11906" w:h="16838" w:code="9"/>
          <w:pgMar w:top="1440" w:right="1440" w:bottom="1440" w:left="1440" w:header="567" w:footer="567" w:gutter="0"/>
          <w:cols w:space="708"/>
          <w:docGrid w:linePitch="360"/>
        </w:sectPr>
      </w:pPr>
      <w:r w:rsidRPr="00FC6804">
        <w:rPr>
          <w:rFonts w:ascii="Arial" w:hAnsi="Arial" w:cs="Arial"/>
          <w:sz w:val="20"/>
          <w:szCs w:val="20"/>
        </w:rPr>
        <w:t xml:space="preserve">Given the above, it is proposed to proceed with the adoption of a revised fee structure as described in Option </w:t>
      </w:r>
      <w:r w:rsidR="00566188" w:rsidRPr="00FC6804">
        <w:rPr>
          <w:rFonts w:ascii="Arial" w:hAnsi="Arial" w:cs="Arial"/>
          <w:sz w:val="20"/>
          <w:szCs w:val="20"/>
        </w:rPr>
        <w:t>2</w:t>
      </w:r>
      <w:r w:rsidRPr="00FC6804">
        <w:rPr>
          <w:rFonts w:ascii="Arial" w:hAnsi="Arial" w:cs="Arial"/>
          <w:sz w:val="20"/>
          <w:szCs w:val="20"/>
        </w:rPr>
        <w:t>.</w:t>
      </w:r>
      <w:r w:rsidR="006C6347" w:rsidRPr="00FC6804">
        <w:rPr>
          <w:rFonts w:ascii="Arial" w:hAnsi="Arial" w:cs="Arial"/>
          <w:sz w:val="20"/>
          <w:szCs w:val="20"/>
        </w:rPr>
        <w:t xml:space="preserve"> </w:t>
      </w:r>
    </w:p>
    <w:p w:rsidR="000D5065" w:rsidRPr="00FC6804" w:rsidRDefault="000D5065" w:rsidP="0026792B">
      <w:pPr>
        <w:pStyle w:val="Heading1"/>
      </w:pPr>
      <w:bookmarkStart w:id="43" w:name="_Toc443915372"/>
      <w:r w:rsidRPr="00FC6804">
        <w:t>Consultation</w:t>
      </w:r>
      <w:bookmarkEnd w:id="43"/>
    </w:p>
    <w:p w:rsidR="000D5065" w:rsidRPr="00FC6804" w:rsidRDefault="000D5065" w:rsidP="00167873">
      <w:pPr>
        <w:spacing w:after="0" w:line="240" w:lineRule="auto"/>
        <w:rPr>
          <w:rFonts w:ascii="Arial" w:hAnsi="Arial" w:cs="Arial"/>
          <w:sz w:val="20"/>
          <w:szCs w:val="20"/>
        </w:rPr>
      </w:pPr>
    </w:p>
    <w:p w:rsidR="00167873" w:rsidRPr="00FC6804" w:rsidRDefault="00167873" w:rsidP="00167873">
      <w:pPr>
        <w:spacing w:after="0" w:line="240" w:lineRule="auto"/>
        <w:rPr>
          <w:rFonts w:ascii="Arial" w:hAnsi="Arial" w:cs="Arial"/>
          <w:sz w:val="20"/>
          <w:szCs w:val="20"/>
        </w:rPr>
      </w:pPr>
      <w:r w:rsidRPr="00FC6804">
        <w:rPr>
          <w:rFonts w:ascii="Arial" w:hAnsi="Arial" w:cs="Arial"/>
          <w:sz w:val="20"/>
          <w:szCs w:val="20"/>
        </w:rPr>
        <w:t>PrimeSafe</w:t>
      </w:r>
      <w:r w:rsidR="00CE4192" w:rsidRPr="00FC6804">
        <w:rPr>
          <w:rFonts w:ascii="Arial" w:hAnsi="Arial" w:cs="Arial"/>
          <w:sz w:val="20"/>
          <w:szCs w:val="20"/>
        </w:rPr>
        <w:t xml:space="preserve"> has undertaken a substantial consultation program in relation to the proposed f</w:t>
      </w:r>
      <w:r w:rsidRPr="00FC6804">
        <w:rPr>
          <w:rFonts w:ascii="Arial" w:hAnsi="Arial" w:cs="Arial"/>
          <w:sz w:val="20"/>
          <w:szCs w:val="20"/>
        </w:rPr>
        <w:t xml:space="preserve">ee changes over the past year. </w:t>
      </w:r>
      <w:r w:rsidR="00CE4192" w:rsidRPr="00FC6804">
        <w:rPr>
          <w:rFonts w:ascii="Arial" w:hAnsi="Arial" w:cs="Arial"/>
          <w:sz w:val="20"/>
          <w:szCs w:val="20"/>
        </w:rPr>
        <w:t>The consultation program commenced in February 2015, when it sought feedback from a range of industry bodies on the outcomes o</w:t>
      </w:r>
      <w:r w:rsidR="000D2311">
        <w:rPr>
          <w:rFonts w:ascii="Arial" w:hAnsi="Arial" w:cs="Arial"/>
          <w:sz w:val="20"/>
          <w:szCs w:val="20"/>
        </w:rPr>
        <w:t xml:space="preserve">f its internal financial review. </w:t>
      </w:r>
    </w:p>
    <w:p w:rsidR="00167873" w:rsidRPr="00FC6804" w:rsidRDefault="00167873" w:rsidP="00167873">
      <w:pPr>
        <w:spacing w:after="0" w:line="240" w:lineRule="auto"/>
        <w:rPr>
          <w:rFonts w:ascii="Arial" w:hAnsi="Arial" w:cs="Arial"/>
          <w:sz w:val="20"/>
          <w:szCs w:val="20"/>
        </w:rPr>
      </w:pPr>
    </w:p>
    <w:p w:rsidR="00CE4192" w:rsidRPr="00FC6804" w:rsidRDefault="00CE4192" w:rsidP="00167873">
      <w:pPr>
        <w:spacing w:after="0" w:line="240" w:lineRule="auto"/>
        <w:rPr>
          <w:rFonts w:ascii="Arial" w:hAnsi="Arial" w:cs="Arial"/>
          <w:sz w:val="20"/>
          <w:szCs w:val="20"/>
        </w:rPr>
      </w:pPr>
      <w:r w:rsidRPr="00FC6804">
        <w:rPr>
          <w:rFonts w:ascii="Arial" w:hAnsi="Arial" w:cs="Arial"/>
          <w:sz w:val="20"/>
          <w:szCs w:val="20"/>
        </w:rPr>
        <w:t>The bodies from which feedback was initially sought were:</w:t>
      </w:r>
    </w:p>
    <w:p w:rsidR="00167873" w:rsidRPr="00FC6804" w:rsidRDefault="00167873" w:rsidP="00167873">
      <w:pPr>
        <w:spacing w:after="0" w:line="240" w:lineRule="auto"/>
        <w:rPr>
          <w:rFonts w:ascii="Arial" w:hAnsi="Arial" w:cs="Arial"/>
          <w:sz w:val="20"/>
          <w:szCs w:val="20"/>
        </w:rPr>
      </w:pPr>
    </w:p>
    <w:p w:rsidR="00CE4192" w:rsidRPr="00FC6804" w:rsidRDefault="00CE4192" w:rsidP="00167873">
      <w:pPr>
        <w:pStyle w:val="ListParagraph"/>
        <w:numPr>
          <w:ilvl w:val="0"/>
          <w:numId w:val="17"/>
        </w:numPr>
        <w:spacing w:after="0" w:line="240" w:lineRule="auto"/>
        <w:contextualSpacing w:val="0"/>
        <w:rPr>
          <w:rFonts w:ascii="Arial" w:hAnsi="Arial" w:cs="Arial"/>
          <w:sz w:val="20"/>
          <w:szCs w:val="20"/>
        </w:rPr>
      </w:pPr>
      <w:r w:rsidRPr="00FC6804">
        <w:rPr>
          <w:rFonts w:ascii="Arial" w:hAnsi="Arial" w:cs="Arial"/>
          <w:sz w:val="20"/>
          <w:szCs w:val="20"/>
        </w:rPr>
        <w:t>Australian Meat Industry Council;</w:t>
      </w:r>
    </w:p>
    <w:p w:rsidR="001F1618" w:rsidRPr="00FC6804" w:rsidRDefault="001F1618" w:rsidP="001F1618">
      <w:pPr>
        <w:pStyle w:val="ListParagraph"/>
        <w:spacing w:after="0" w:line="240" w:lineRule="auto"/>
        <w:contextualSpacing w:val="0"/>
        <w:rPr>
          <w:rFonts w:ascii="Arial" w:hAnsi="Arial" w:cs="Arial"/>
          <w:sz w:val="20"/>
          <w:szCs w:val="20"/>
        </w:rPr>
      </w:pPr>
    </w:p>
    <w:p w:rsidR="00CE4192" w:rsidRPr="00FC6804" w:rsidRDefault="00CE4192" w:rsidP="00167873">
      <w:pPr>
        <w:pStyle w:val="ListParagraph"/>
        <w:numPr>
          <w:ilvl w:val="0"/>
          <w:numId w:val="17"/>
        </w:numPr>
        <w:spacing w:after="0" w:line="240" w:lineRule="auto"/>
        <w:contextualSpacing w:val="0"/>
        <w:rPr>
          <w:rFonts w:ascii="Arial" w:hAnsi="Arial" w:cs="Arial"/>
          <w:sz w:val="20"/>
          <w:szCs w:val="20"/>
        </w:rPr>
      </w:pPr>
      <w:r w:rsidRPr="00FC6804">
        <w:rPr>
          <w:rFonts w:ascii="Arial" w:hAnsi="Arial" w:cs="Arial"/>
          <w:sz w:val="20"/>
          <w:szCs w:val="20"/>
        </w:rPr>
        <w:t>Seafood Industry Victoria;</w:t>
      </w:r>
    </w:p>
    <w:p w:rsidR="001F1618" w:rsidRPr="00FC6804" w:rsidRDefault="001F1618" w:rsidP="001F1618">
      <w:pPr>
        <w:spacing w:after="0" w:line="240" w:lineRule="auto"/>
        <w:rPr>
          <w:rFonts w:ascii="Arial" w:hAnsi="Arial" w:cs="Arial"/>
          <w:sz w:val="20"/>
          <w:szCs w:val="20"/>
        </w:rPr>
      </w:pPr>
    </w:p>
    <w:p w:rsidR="00CE4192" w:rsidRPr="00FC6804" w:rsidRDefault="00CE4192" w:rsidP="00167873">
      <w:pPr>
        <w:pStyle w:val="ListParagraph"/>
        <w:numPr>
          <w:ilvl w:val="0"/>
          <w:numId w:val="17"/>
        </w:numPr>
        <w:spacing w:after="0" w:line="240" w:lineRule="auto"/>
        <w:contextualSpacing w:val="0"/>
        <w:rPr>
          <w:rFonts w:ascii="Arial" w:hAnsi="Arial" w:cs="Arial"/>
          <w:sz w:val="20"/>
          <w:szCs w:val="20"/>
        </w:rPr>
      </w:pPr>
      <w:r w:rsidRPr="00FC6804">
        <w:rPr>
          <w:rFonts w:ascii="Arial" w:hAnsi="Arial" w:cs="Arial"/>
          <w:sz w:val="20"/>
          <w:szCs w:val="20"/>
        </w:rPr>
        <w:t>Melbourne Seafood Centre; and</w:t>
      </w:r>
    </w:p>
    <w:p w:rsidR="001F1618" w:rsidRPr="00FC6804" w:rsidRDefault="001F1618" w:rsidP="001F1618">
      <w:pPr>
        <w:spacing w:after="0" w:line="240" w:lineRule="auto"/>
        <w:rPr>
          <w:rFonts w:ascii="Arial" w:hAnsi="Arial" w:cs="Arial"/>
          <w:sz w:val="20"/>
          <w:szCs w:val="20"/>
        </w:rPr>
      </w:pPr>
    </w:p>
    <w:p w:rsidR="00CE4192" w:rsidRPr="00FC6804" w:rsidRDefault="00CE4192" w:rsidP="00167873">
      <w:pPr>
        <w:pStyle w:val="ListParagraph"/>
        <w:numPr>
          <w:ilvl w:val="0"/>
          <w:numId w:val="17"/>
        </w:numPr>
        <w:spacing w:after="0" w:line="240" w:lineRule="auto"/>
        <w:contextualSpacing w:val="0"/>
        <w:rPr>
          <w:rFonts w:ascii="Arial" w:hAnsi="Arial" w:cs="Arial"/>
          <w:sz w:val="20"/>
          <w:szCs w:val="20"/>
        </w:rPr>
      </w:pPr>
      <w:r w:rsidRPr="00FC6804">
        <w:rPr>
          <w:rFonts w:ascii="Arial" w:hAnsi="Arial" w:cs="Arial"/>
          <w:sz w:val="20"/>
          <w:szCs w:val="20"/>
        </w:rPr>
        <w:t>Victorian Chicken Meat Council.</w:t>
      </w:r>
    </w:p>
    <w:p w:rsidR="00167873" w:rsidRPr="00FC6804" w:rsidRDefault="00167873" w:rsidP="00167873">
      <w:pPr>
        <w:spacing w:after="0" w:line="240" w:lineRule="auto"/>
        <w:rPr>
          <w:rFonts w:ascii="Arial" w:hAnsi="Arial" w:cs="Arial"/>
          <w:sz w:val="20"/>
          <w:szCs w:val="20"/>
        </w:rPr>
      </w:pPr>
    </w:p>
    <w:p w:rsidR="00CE4192" w:rsidRPr="00FC6804" w:rsidRDefault="00CE4192" w:rsidP="00167873">
      <w:pPr>
        <w:spacing w:after="0" w:line="240" w:lineRule="auto"/>
        <w:rPr>
          <w:rFonts w:ascii="Arial" w:hAnsi="Arial" w:cs="Arial"/>
          <w:sz w:val="20"/>
          <w:szCs w:val="20"/>
        </w:rPr>
      </w:pPr>
      <w:r w:rsidRPr="00FC6804">
        <w:rPr>
          <w:rFonts w:ascii="Arial" w:hAnsi="Arial" w:cs="Arial"/>
          <w:sz w:val="20"/>
          <w:szCs w:val="20"/>
        </w:rPr>
        <w:t xml:space="preserve">Following consideration by </w:t>
      </w:r>
      <w:r w:rsidR="00167873" w:rsidRPr="00FC6804">
        <w:rPr>
          <w:rFonts w:ascii="Arial" w:hAnsi="Arial" w:cs="Arial"/>
          <w:sz w:val="20"/>
          <w:szCs w:val="20"/>
        </w:rPr>
        <w:t>PrimeSafe</w:t>
      </w:r>
      <w:r w:rsidRPr="00FC6804">
        <w:rPr>
          <w:rFonts w:ascii="Arial" w:hAnsi="Arial" w:cs="Arial"/>
          <w:sz w:val="20"/>
          <w:szCs w:val="20"/>
        </w:rPr>
        <w:t xml:space="preserve"> of the initial feedback received from these groups, amended licence categories and fee structures, particularl</w:t>
      </w:r>
      <w:r w:rsidR="000D2311">
        <w:rPr>
          <w:rFonts w:ascii="Arial" w:hAnsi="Arial" w:cs="Arial"/>
          <w:sz w:val="20"/>
          <w:szCs w:val="20"/>
        </w:rPr>
        <w:t xml:space="preserve">y in relation to the throughput based licence categories </w:t>
      </w:r>
      <w:r w:rsidRPr="00FC6804">
        <w:rPr>
          <w:rFonts w:ascii="Arial" w:hAnsi="Arial" w:cs="Arial"/>
          <w:sz w:val="20"/>
          <w:szCs w:val="20"/>
        </w:rPr>
        <w:t>were agreed with the relevant bodies, for implementation over a t</w:t>
      </w:r>
      <w:r w:rsidR="00167873" w:rsidRPr="00FC6804">
        <w:rPr>
          <w:rFonts w:ascii="Arial" w:hAnsi="Arial" w:cs="Arial"/>
          <w:sz w:val="20"/>
          <w:szCs w:val="20"/>
        </w:rPr>
        <w:t xml:space="preserve">wo-year implementation period. </w:t>
      </w:r>
      <w:r w:rsidR="0017593D" w:rsidRPr="00FC6804">
        <w:rPr>
          <w:rFonts w:ascii="Arial" w:hAnsi="Arial" w:cs="Arial"/>
          <w:sz w:val="20"/>
          <w:szCs w:val="20"/>
        </w:rPr>
        <w:t xml:space="preserve">A range of other changes were also endorsed as appropriate by the major stakeholder groups.  </w:t>
      </w:r>
      <w:r w:rsidRPr="00FC6804">
        <w:rPr>
          <w:rFonts w:ascii="Arial" w:hAnsi="Arial" w:cs="Arial"/>
          <w:sz w:val="20"/>
          <w:szCs w:val="20"/>
        </w:rPr>
        <w:t xml:space="preserve">The key changes agreed </w:t>
      </w:r>
      <w:r w:rsidR="0017593D" w:rsidRPr="00FC6804">
        <w:rPr>
          <w:rFonts w:ascii="Arial" w:hAnsi="Arial" w:cs="Arial"/>
          <w:sz w:val="20"/>
          <w:szCs w:val="20"/>
        </w:rPr>
        <w:t xml:space="preserve">by the above stakeholder representative bodies </w:t>
      </w:r>
      <w:r w:rsidRPr="00FC6804">
        <w:rPr>
          <w:rFonts w:ascii="Arial" w:hAnsi="Arial" w:cs="Arial"/>
          <w:sz w:val="20"/>
          <w:szCs w:val="20"/>
        </w:rPr>
        <w:t>in this context were:</w:t>
      </w:r>
    </w:p>
    <w:p w:rsidR="00167873" w:rsidRPr="00FC6804" w:rsidRDefault="00167873" w:rsidP="00167873">
      <w:pPr>
        <w:spacing w:after="0" w:line="240" w:lineRule="auto"/>
        <w:rPr>
          <w:rFonts w:ascii="Arial" w:hAnsi="Arial" w:cs="Arial"/>
          <w:b/>
          <w:sz w:val="20"/>
          <w:szCs w:val="20"/>
        </w:rPr>
      </w:pPr>
    </w:p>
    <w:p w:rsidR="00CE4192" w:rsidRPr="00FC6804" w:rsidRDefault="00CE4192" w:rsidP="00167873">
      <w:pPr>
        <w:spacing w:after="0" w:line="240" w:lineRule="auto"/>
        <w:rPr>
          <w:rFonts w:ascii="Arial" w:hAnsi="Arial" w:cs="Arial"/>
          <w:b/>
          <w:color w:val="1F4E79" w:themeColor="accent1" w:themeShade="80"/>
          <w:sz w:val="20"/>
          <w:szCs w:val="20"/>
        </w:rPr>
      </w:pPr>
      <w:r w:rsidRPr="00FC6804">
        <w:rPr>
          <w:rFonts w:ascii="Arial" w:hAnsi="Arial" w:cs="Arial"/>
          <w:b/>
          <w:color w:val="1F4E79" w:themeColor="accent1" w:themeShade="80"/>
          <w:sz w:val="20"/>
          <w:szCs w:val="20"/>
        </w:rPr>
        <w:t>Throughput-based licence categories</w:t>
      </w:r>
    </w:p>
    <w:p w:rsidR="001F1618" w:rsidRPr="00FC6804" w:rsidRDefault="001F1618" w:rsidP="00167873">
      <w:pPr>
        <w:spacing w:after="0" w:line="240" w:lineRule="auto"/>
        <w:rPr>
          <w:rFonts w:ascii="Arial" w:hAnsi="Arial" w:cs="Arial"/>
          <w:b/>
          <w:sz w:val="20"/>
          <w:szCs w:val="20"/>
        </w:rPr>
      </w:pPr>
    </w:p>
    <w:p w:rsidR="00CE4192" w:rsidRPr="00FC6804" w:rsidRDefault="00CE4192" w:rsidP="00167873">
      <w:pPr>
        <w:pStyle w:val="ListParagraph"/>
        <w:numPr>
          <w:ilvl w:val="0"/>
          <w:numId w:val="18"/>
        </w:numPr>
        <w:spacing w:after="0" w:line="240" w:lineRule="auto"/>
        <w:contextualSpacing w:val="0"/>
        <w:rPr>
          <w:rFonts w:ascii="Arial" w:hAnsi="Arial" w:cs="Arial"/>
          <w:sz w:val="20"/>
          <w:szCs w:val="20"/>
        </w:rPr>
      </w:pPr>
      <w:r w:rsidRPr="00FC6804">
        <w:rPr>
          <w:rFonts w:ascii="Arial" w:hAnsi="Arial" w:cs="Arial"/>
          <w:sz w:val="20"/>
          <w:szCs w:val="20"/>
        </w:rPr>
        <w:t xml:space="preserve">Reduction from </w:t>
      </w:r>
      <w:r w:rsidR="001F1618" w:rsidRPr="00FC6804">
        <w:rPr>
          <w:rFonts w:ascii="Arial" w:hAnsi="Arial" w:cs="Arial"/>
          <w:sz w:val="20"/>
          <w:szCs w:val="20"/>
        </w:rPr>
        <w:t>six</w:t>
      </w:r>
      <w:r w:rsidRPr="00FC6804">
        <w:rPr>
          <w:rFonts w:ascii="Arial" w:hAnsi="Arial" w:cs="Arial"/>
          <w:sz w:val="20"/>
          <w:szCs w:val="20"/>
        </w:rPr>
        <w:t xml:space="preserve"> to </w:t>
      </w:r>
      <w:r w:rsidR="001F1618" w:rsidRPr="00FC6804">
        <w:rPr>
          <w:rFonts w:ascii="Arial" w:hAnsi="Arial" w:cs="Arial"/>
          <w:sz w:val="20"/>
          <w:szCs w:val="20"/>
        </w:rPr>
        <w:t>four</w:t>
      </w:r>
      <w:r w:rsidRPr="00FC6804">
        <w:rPr>
          <w:rFonts w:ascii="Arial" w:hAnsi="Arial" w:cs="Arial"/>
          <w:sz w:val="20"/>
          <w:szCs w:val="20"/>
        </w:rPr>
        <w:t xml:space="preserve"> throughput categories for abattoir licences;</w:t>
      </w:r>
    </w:p>
    <w:p w:rsidR="001F1618" w:rsidRPr="00FC6804" w:rsidRDefault="001F1618" w:rsidP="001F1618">
      <w:pPr>
        <w:pStyle w:val="ListParagraph"/>
        <w:spacing w:after="0" w:line="240" w:lineRule="auto"/>
        <w:contextualSpacing w:val="0"/>
        <w:rPr>
          <w:rFonts w:ascii="Arial" w:hAnsi="Arial" w:cs="Arial"/>
          <w:sz w:val="20"/>
          <w:szCs w:val="20"/>
        </w:rPr>
      </w:pPr>
    </w:p>
    <w:p w:rsidR="00CE4192" w:rsidRPr="00FC6804" w:rsidRDefault="00CE4192" w:rsidP="00167873">
      <w:pPr>
        <w:pStyle w:val="ListParagraph"/>
        <w:numPr>
          <w:ilvl w:val="0"/>
          <w:numId w:val="18"/>
        </w:numPr>
        <w:spacing w:after="0" w:line="240" w:lineRule="auto"/>
        <w:contextualSpacing w:val="0"/>
        <w:rPr>
          <w:rFonts w:ascii="Arial" w:hAnsi="Arial" w:cs="Arial"/>
          <w:sz w:val="20"/>
          <w:szCs w:val="20"/>
        </w:rPr>
      </w:pPr>
      <w:r w:rsidRPr="00FC6804">
        <w:rPr>
          <w:rFonts w:ascii="Arial" w:hAnsi="Arial" w:cs="Arial"/>
          <w:sz w:val="20"/>
          <w:szCs w:val="20"/>
        </w:rPr>
        <w:t xml:space="preserve">Reduction from </w:t>
      </w:r>
      <w:r w:rsidR="001F1618" w:rsidRPr="00FC6804">
        <w:rPr>
          <w:rFonts w:ascii="Arial" w:hAnsi="Arial" w:cs="Arial"/>
          <w:sz w:val="20"/>
          <w:szCs w:val="20"/>
        </w:rPr>
        <w:t>seven</w:t>
      </w:r>
      <w:r w:rsidRPr="00FC6804">
        <w:rPr>
          <w:rFonts w:ascii="Arial" w:hAnsi="Arial" w:cs="Arial"/>
          <w:sz w:val="20"/>
          <w:szCs w:val="20"/>
        </w:rPr>
        <w:t xml:space="preserve"> to </w:t>
      </w:r>
      <w:r w:rsidR="001F1618" w:rsidRPr="00FC6804">
        <w:rPr>
          <w:rFonts w:ascii="Arial" w:hAnsi="Arial" w:cs="Arial"/>
          <w:sz w:val="20"/>
          <w:szCs w:val="20"/>
        </w:rPr>
        <w:t>five</w:t>
      </w:r>
      <w:r w:rsidRPr="00FC6804">
        <w:rPr>
          <w:rFonts w:ascii="Arial" w:hAnsi="Arial" w:cs="Arial"/>
          <w:sz w:val="20"/>
          <w:szCs w:val="20"/>
        </w:rPr>
        <w:t xml:space="preserve"> throughput categories for poultry processing </w:t>
      </w:r>
      <w:r w:rsidR="000D2311">
        <w:rPr>
          <w:rFonts w:ascii="Arial" w:hAnsi="Arial" w:cs="Arial"/>
          <w:sz w:val="20"/>
          <w:szCs w:val="20"/>
        </w:rPr>
        <w:t xml:space="preserve">facility </w:t>
      </w:r>
      <w:r w:rsidRPr="00FC6804">
        <w:rPr>
          <w:rFonts w:ascii="Arial" w:hAnsi="Arial" w:cs="Arial"/>
          <w:sz w:val="20"/>
          <w:szCs w:val="20"/>
        </w:rPr>
        <w:t>licences; and</w:t>
      </w:r>
    </w:p>
    <w:p w:rsidR="001F1618" w:rsidRPr="00FC6804" w:rsidRDefault="001F1618" w:rsidP="001F1618">
      <w:pPr>
        <w:spacing w:after="0" w:line="240" w:lineRule="auto"/>
        <w:rPr>
          <w:rFonts w:ascii="Arial" w:hAnsi="Arial" w:cs="Arial"/>
          <w:sz w:val="20"/>
          <w:szCs w:val="20"/>
        </w:rPr>
      </w:pPr>
    </w:p>
    <w:p w:rsidR="00CE4192" w:rsidRPr="00FC6804" w:rsidRDefault="00CE4192" w:rsidP="00167873">
      <w:pPr>
        <w:pStyle w:val="ListParagraph"/>
        <w:numPr>
          <w:ilvl w:val="0"/>
          <w:numId w:val="18"/>
        </w:numPr>
        <w:spacing w:after="0" w:line="240" w:lineRule="auto"/>
        <w:contextualSpacing w:val="0"/>
        <w:rPr>
          <w:rFonts w:ascii="Arial" w:hAnsi="Arial" w:cs="Arial"/>
          <w:sz w:val="20"/>
          <w:szCs w:val="20"/>
        </w:rPr>
      </w:pPr>
      <w:r w:rsidRPr="00FC6804">
        <w:rPr>
          <w:rFonts w:ascii="Arial" w:hAnsi="Arial" w:cs="Arial"/>
          <w:sz w:val="20"/>
          <w:szCs w:val="20"/>
        </w:rPr>
        <w:t xml:space="preserve">Reduction in throughput categories from </w:t>
      </w:r>
      <w:r w:rsidR="001F1618" w:rsidRPr="00FC6804">
        <w:rPr>
          <w:rFonts w:ascii="Arial" w:hAnsi="Arial" w:cs="Arial"/>
          <w:sz w:val="20"/>
          <w:szCs w:val="20"/>
        </w:rPr>
        <w:t>six</w:t>
      </w:r>
      <w:r w:rsidRPr="00FC6804">
        <w:rPr>
          <w:rFonts w:ascii="Arial" w:hAnsi="Arial" w:cs="Arial"/>
          <w:sz w:val="20"/>
          <w:szCs w:val="20"/>
        </w:rPr>
        <w:t xml:space="preserve"> to </w:t>
      </w:r>
      <w:r w:rsidR="001F1618" w:rsidRPr="00FC6804">
        <w:rPr>
          <w:rFonts w:ascii="Arial" w:hAnsi="Arial" w:cs="Arial"/>
          <w:sz w:val="20"/>
          <w:szCs w:val="20"/>
        </w:rPr>
        <w:t>five</w:t>
      </w:r>
      <w:r w:rsidRPr="00FC6804">
        <w:rPr>
          <w:rFonts w:ascii="Arial" w:hAnsi="Arial" w:cs="Arial"/>
          <w:sz w:val="20"/>
          <w:szCs w:val="20"/>
        </w:rPr>
        <w:t xml:space="preserve"> for further meat processing </w:t>
      </w:r>
      <w:r w:rsidR="000D2311">
        <w:rPr>
          <w:rFonts w:ascii="Arial" w:hAnsi="Arial" w:cs="Arial"/>
          <w:sz w:val="20"/>
          <w:szCs w:val="20"/>
        </w:rPr>
        <w:t xml:space="preserve">facility </w:t>
      </w:r>
      <w:r w:rsidRPr="00FC6804">
        <w:rPr>
          <w:rFonts w:ascii="Arial" w:hAnsi="Arial" w:cs="Arial"/>
          <w:sz w:val="20"/>
          <w:szCs w:val="20"/>
        </w:rPr>
        <w:t>licences.</w:t>
      </w:r>
    </w:p>
    <w:p w:rsidR="001F1618" w:rsidRPr="00FC6804" w:rsidRDefault="001F1618" w:rsidP="00167873">
      <w:pPr>
        <w:spacing w:after="0" w:line="240" w:lineRule="auto"/>
        <w:rPr>
          <w:rFonts w:ascii="Arial" w:hAnsi="Arial" w:cs="Arial"/>
          <w:b/>
          <w:sz w:val="20"/>
          <w:szCs w:val="20"/>
        </w:rPr>
      </w:pPr>
    </w:p>
    <w:p w:rsidR="006801BF" w:rsidRPr="00FC6804" w:rsidRDefault="006801BF" w:rsidP="00167873">
      <w:pPr>
        <w:spacing w:after="0" w:line="240" w:lineRule="auto"/>
        <w:rPr>
          <w:rFonts w:ascii="Arial" w:hAnsi="Arial" w:cs="Arial"/>
          <w:b/>
          <w:color w:val="1F4E79" w:themeColor="accent1" w:themeShade="80"/>
          <w:sz w:val="20"/>
          <w:szCs w:val="20"/>
        </w:rPr>
      </w:pPr>
      <w:r w:rsidRPr="00FC6804">
        <w:rPr>
          <w:rFonts w:ascii="Arial" w:hAnsi="Arial" w:cs="Arial"/>
          <w:b/>
          <w:color w:val="1F4E79" w:themeColor="accent1" w:themeShade="80"/>
          <w:sz w:val="20"/>
          <w:szCs w:val="20"/>
        </w:rPr>
        <w:t xml:space="preserve">Export </w:t>
      </w:r>
      <w:r w:rsidR="0055564C">
        <w:rPr>
          <w:rFonts w:ascii="Arial" w:hAnsi="Arial" w:cs="Arial"/>
          <w:b/>
          <w:color w:val="1F4E79" w:themeColor="accent1" w:themeShade="80"/>
          <w:sz w:val="20"/>
          <w:szCs w:val="20"/>
        </w:rPr>
        <w:t>r</w:t>
      </w:r>
      <w:r w:rsidRPr="00FC6804">
        <w:rPr>
          <w:rFonts w:ascii="Arial" w:hAnsi="Arial" w:cs="Arial"/>
          <w:b/>
          <w:color w:val="1F4E79" w:themeColor="accent1" w:themeShade="80"/>
          <w:sz w:val="20"/>
          <w:szCs w:val="20"/>
        </w:rPr>
        <w:t xml:space="preserve">egistered </w:t>
      </w:r>
      <w:r w:rsidR="0055564C">
        <w:rPr>
          <w:rFonts w:ascii="Arial" w:hAnsi="Arial" w:cs="Arial"/>
          <w:b/>
          <w:color w:val="1F4E79" w:themeColor="accent1" w:themeShade="80"/>
          <w:sz w:val="20"/>
          <w:szCs w:val="20"/>
        </w:rPr>
        <w:t>e</w:t>
      </w:r>
      <w:r w:rsidRPr="00FC6804">
        <w:rPr>
          <w:rFonts w:ascii="Arial" w:hAnsi="Arial" w:cs="Arial"/>
          <w:b/>
          <w:color w:val="1F4E79" w:themeColor="accent1" w:themeShade="80"/>
          <w:sz w:val="20"/>
          <w:szCs w:val="20"/>
        </w:rPr>
        <w:t>stablishments</w:t>
      </w:r>
    </w:p>
    <w:p w:rsidR="001F1618" w:rsidRPr="00FC6804" w:rsidRDefault="001F1618" w:rsidP="00167873">
      <w:pPr>
        <w:spacing w:after="0" w:line="240" w:lineRule="auto"/>
        <w:rPr>
          <w:rFonts w:ascii="Arial" w:hAnsi="Arial" w:cs="Arial"/>
          <w:b/>
          <w:sz w:val="20"/>
          <w:szCs w:val="20"/>
        </w:rPr>
      </w:pPr>
    </w:p>
    <w:p w:rsidR="006801BF" w:rsidRPr="00FC6804" w:rsidRDefault="001F1618" w:rsidP="00167873">
      <w:pPr>
        <w:pStyle w:val="ListParagraph"/>
        <w:numPr>
          <w:ilvl w:val="0"/>
          <w:numId w:val="20"/>
        </w:numPr>
        <w:spacing w:after="0" w:line="240" w:lineRule="auto"/>
        <w:contextualSpacing w:val="0"/>
        <w:rPr>
          <w:rFonts w:ascii="Arial" w:hAnsi="Arial" w:cs="Arial"/>
          <w:sz w:val="20"/>
          <w:szCs w:val="20"/>
        </w:rPr>
      </w:pPr>
      <w:r w:rsidRPr="00FC6804">
        <w:rPr>
          <w:rFonts w:ascii="Arial" w:hAnsi="Arial" w:cs="Arial"/>
          <w:sz w:val="20"/>
          <w:szCs w:val="20"/>
        </w:rPr>
        <w:t xml:space="preserve">Revised fees for export </w:t>
      </w:r>
      <w:r w:rsidR="000D2311">
        <w:rPr>
          <w:rFonts w:ascii="Arial" w:hAnsi="Arial" w:cs="Arial"/>
          <w:sz w:val="20"/>
          <w:szCs w:val="20"/>
        </w:rPr>
        <w:t>registered abattoirs, further meat processing facilities, and seafood processing facilities.</w:t>
      </w:r>
    </w:p>
    <w:p w:rsidR="001F1618" w:rsidRPr="00FC6804" w:rsidRDefault="001F1618" w:rsidP="00167873">
      <w:pPr>
        <w:spacing w:after="0" w:line="240" w:lineRule="auto"/>
        <w:rPr>
          <w:rFonts w:ascii="Arial" w:hAnsi="Arial" w:cs="Arial"/>
          <w:b/>
          <w:sz w:val="20"/>
          <w:szCs w:val="20"/>
        </w:rPr>
      </w:pPr>
    </w:p>
    <w:p w:rsidR="00CE4192" w:rsidRPr="00FC6804" w:rsidRDefault="00CE4192" w:rsidP="00167873">
      <w:pPr>
        <w:spacing w:after="0" w:line="240" w:lineRule="auto"/>
        <w:rPr>
          <w:rFonts w:ascii="Arial" w:hAnsi="Arial" w:cs="Arial"/>
          <w:b/>
          <w:color w:val="1F4E79" w:themeColor="accent1" w:themeShade="80"/>
          <w:sz w:val="20"/>
          <w:szCs w:val="20"/>
        </w:rPr>
      </w:pPr>
      <w:r w:rsidRPr="00FC6804">
        <w:rPr>
          <w:rFonts w:ascii="Arial" w:hAnsi="Arial" w:cs="Arial"/>
          <w:b/>
          <w:color w:val="1F4E79" w:themeColor="accent1" w:themeShade="80"/>
          <w:sz w:val="20"/>
          <w:szCs w:val="20"/>
        </w:rPr>
        <w:t>Retail butcher shop licence</w:t>
      </w:r>
    </w:p>
    <w:p w:rsidR="001F1618" w:rsidRPr="00FC6804" w:rsidRDefault="001F1618" w:rsidP="00167873">
      <w:pPr>
        <w:spacing w:after="0" w:line="240" w:lineRule="auto"/>
        <w:rPr>
          <w:rFonts w:ascii="Arial" w:hAnsi="Arial" w:cs="Arial"/>
          <w:b/>
          <w:sz w:val="20"/>
          <w:szCs w:val="20"/>
        </w:rPr>
      </w:pPr>
    </w:p>
    <w:p w:rsidR="00CE4192" w:rsidRPr="00FC6804" w:rsidRDefault="00CE4192" w:rsidP="00167873">
      <w:pPr>
        <w:pStyle w:val="ListParagraph"/>
        <w:numPr>
          <w:ilvl w:val="0"/>
          <w:numId w:val="19"/>
        </w:numPr>
        <w:spacing w:after="0" w:line="240" w:lineRule="auto"/>
        <w:contextualSpacing w:val="0"/>
        <w:rPr>
          <w:rFonts w:ascii="Arial" w:hAnsi="Arial" w:cs="Arial"/>
          <w:sz w:val="20"/>
          <w:szCs w:val="20"/>
        </w:rPr>
      </w:pPr>
      <w:r w:rsidRPr="00FC6804">
        <w:rPr>
          <w:rFonts w:ascii="Arial" w:hAnsi="Arial" w:cs="Arial"/>
          <w:sz w:val="20"/>
          <w:szCs w:val="20"/>
        </w:rPr>
        <w:t>Creation of a new licence category for retail butcher</w:t>
      </w:r>
      <w:r w:rsidR="000D2311">
        <w:rPr>
          <w:rFonts w:ascii="Arial" w:hAnsi="Arial" w:cs="Arial"/>
          <w:sz w:val="20"/>
          <w:szCs w:val="20"/>
        </w:rPr>
        <w:t xml:space="preserve"> </w:t>
      </w:r>
      <w:r w:rsidRPr="00FC6804">
        <w:rPr>
          <w:rFonts w:ascii="Arial" w:hAnsi="Arial" w:cs="Arial"/>
          <w:sz w:val="20"/>
          <w:szCs w:val="20"/>
        </w:rPr>
        <w:t>s</w:t>
      </w:r>
      <w:r w:rsidR="000D2311">
        <w:rPr>
          <w:rFonts w:ascii="Arial" w:hAnsi="Arial" w:cs="Arial"/>
          <w:sz w:val="20"/>
          <w:szCs w:val="20"/>
        </w:rPr>
        <w:t>hops</w:t>
      </w:r>
      <w:r w:rsidRPr="00FC6804">
        <w:rPr>
          <w:rFonts w:ascii="Arial" w:hAnsi="Arial" w:cs="Arial"/>
          <w:sz w:val="20"/>
          <w:szCs w:val="20"/>
        </w:rPr>
        <w:t xml:space="preserve"> manufacturing smallgoods, to be charged a higher fee, to take account of the significant additional </w:t>
      </w:r>
      <w:r w:rsidR="000D2311">
        <w:rPr>
          <w:rFonts w:ascii="Arial" w:hAnsi="Arial" w:cs="Arial"/>
          <w:sz w:val="20"/>
          <w:szCs w:val="20"/>
        </w:rPr>
        <w:t xml:space="preserve">food safety </w:t>
      </w:r>
      <w:r w:rsidRPr="00FC6804">
        <w:rPr>
          <w:rFonts w:ascii="Arial" w:hAnsi="Arial" w:cs="Arial"/>
          <w:sz w:val="20"/>
          <w:szCs w:val="20"/>
        </w:rPr>
        <w:t>risks involved; and</w:t>
      </w:r>
    </w:p>
    <w:p w:rsidR="001F1618" w:rsidRPr="00FC6804" w:rsidRDefault="001F1618" w:rsidP="001F1618">
      <w:pPr>
        <w:pStyle w:val="ListParagraph"/>
        <w:spacing w:after="0" w:line="240" w:lineRule="auto"/>
        <w:contextualSpacing w:val="0"/>
        <w:rPr>
          <w:rFonts w:ascii="Arial" w:hAnsi="Arial" w:cs="Arial"/>
          <w:sz w:val="20"/>
          <w:szCs w:val="20"/>
        </w:rPr>
      </w:pPr>
    </w:p>
    <w:p w:rsidR="00CE4192" w:rsidRPr="00FC6804" w:rsidRDefault="00CE4192" w:rsidP="00167873">
      <w:pPr>
        <w:pStyle w:val="ListParagraph"/>
        <w:numPr>
          <w:ilvl w:val="0"/>
          <w:numId w:val="18"/>
        </w:numPr>
        <w:spacing w:after="0" w:line="240" w:lineRule="auto"/>
        <w:contextualSpacing w:val="0"/>
        <w:rPr>
          <w:rFonts w:ascii="Arial" w:hAnsi="Arial" w:cs="Arial"/>
          <w:sz w:val="20"/>
          <w:szCs w:val="20"/>
        </w:rPr>
      </w:pPr>
      <w:r w:rsidRPr="00FC6804">
        <w:rPr>
          <w:rFonts w:ascii="Arial" w:hAnsi="Arial" w:cs="Arial"/>
          <w:sz w:val="20"/>
          <w:szCs w:val="20"/>
        </w:rPr>
        <w:t xml:space="preserve">Revised licence fees for existing </w:t>
      </w:r>
      <w:r w:rsidR="001F1618" w:rsidRPr="00FC6804">
        <w:rPr>
          <w:rFonts w:ascii="Arial" w:hAnsi="Arial" w:cs="Arial"/>
          <w:sz w:val="20"/>
          <w:szCs w:val="20"/>
        </w:rPr>
        <w:t xml:space="preserve">retail </w:t>
      </w:r>
      <w:r w:rsidRPr="00FC6804">
        <w:rPr>
          <w:rFonts w:ascii="Arial" w:hAnsi="Arial" w:cs="Arial"/>
          <w:sz w:val="20"/>
          <w:szCs w:val="20"/>
        </w:rPr>
        <w:t>butcher shops.</w:t>
      </w:r>
    </w:p>
    <w:p w:rsidR="001F1618" w:rsidRPr="00FC6804" w:rsidRDefault="001F1618" w:rsidP="00167873">
      <w:pPr>
        <w:spacing w:after="0" w:line="240" w:lineRule="auto"/>
        <w:rPr>
          <w:rFonts w:ascii="Arial" w:hAnsi="Arial" w:cs="Arial"/>
          <w:b/>
          <w:sz w:val="20"/>
          <w:szCs w:val="20"/>
        </w:rPr>
      </w:pPr>
    </w:p>
    <w:p w:rsidR="006801BF" w:rsidRPr="00FC6804" w:rsidRDefault="000D2311" w:rsidP="00167873">
      <w:pPr>
        <w:spacing w:after="0" w:line="240" w:lineRule="auto"/>
        <w:rPr>
          <w:rFonts w:ascii="Arial" w:hAnsi="Arial" w:cs="Arial"/>
          <w:b/>
          <w:color w:val="1F4E79" w:themeColor="accent1" w:themeShade="80"/>
          <w:sz w:val="20"/>
          <w:szCs w:val="20"/>
        </w:rPr>
      </w:pPr>
      <w:r>
        <w:rPr>
          <w:rFonts w:ascii="Arial" w:hAnsi="Arial" w:cs="Arial"/>
          <w:b/>
          <w:color w:val="1F4E79" w:themeColor="accent1" w:themeShade="80"/>
          <w:sz w:val="20"/>
          <w:szCs w:val="20"/>
        </w:rPr>
        <w:t>Meat transport vehicle licence</w:t>
      </w:r>
    </w:p>
    <w:p w:rsidR="001F1618" w:rsidRPr="00FC6804" w:rsidRDefault="001F1618" w:rsidP="001F1618">
      <w:pPr>
        <w:pStyle w:val="ListParagraph"/>
        <w:spacing w:after="0" w:line="240" w:lineRule="auto"/>
        <w:contextualSpacing w:val="0"/>
        <w:rPr>
          <w:rFonts w:ascii="Arial" w:hAnsi="Arial" w:cs="Arial"/>
          <w:sz w:val="20"/>
          <w:szCs w:val="20"/>
        </w:rPr>
      </w:pPr>
    </w:p>
    <w:p w:rsidR="006801BF" w:rsidRPr="00FC6804" w:rsidRDefault="006801BF" w:rsidP="00167873">
      <w:pPr>
        <w:pStyle w:val="ListParagraph"/>
        <w:numPr>
          <w:ilvl w:val="0"/>
          <w:numId w:val="18"/>
        </w:numPr>
        <w:spacing w:after="0" w:line="240" w:lineRule="auto"/>
        <w:contextualSpacing w:val="0"/>
        <w:rPr>
          <w:rFonts w:ascii="Arial" w:hAnsi="Arial" w:cs="Arial"/>
          <w:sz w:val="20"/>
          <w:szCs w:val="20"/>
        </w:rPr>
      </w:pPr>
      <w:r w:rsidRPr="00FC6804">
        <w:rPr>
          <w:rFonts w:ascii="Arial" w:hAnsi="Arial" w:cs="Arial"/>
          <w:sz w:val="20"/>
          <w:szCs w:val="20"/>
        </w:rPr>
        <w:t xml:space="preserve">Establishment of three vehicle categories to replace the previous single MTV licence, with licence categories based on vehicle carrying capacity and differential fees charged for each licence category.  </w:t>
      </w:r>
    </w:p>
    <w:p w:rsidR="000E69E1" w:rsidRPr="00FC6804" w:rsidRDefault="000E69E1" w:rsidP="000E69E1">
      <w:pPr>
        <w:pStyle w:val="ListParagraph"/>
        <w:spacing w:after="0" w:line="240" w:lineRule="auto"/>
        <w:contextualSpacing w:val="0"/>
        <w:rPr>
          <w:rFonts w:ascii="Arial" w:hAnsi="Arial" w:cs="Arial"/>
          <w:sz w:val="20"/>
          <w:szCs w:val="20"/>
        </w:rPr>
      </w:pPr>
    </w:p>
    <w:p w:rsidR="000E69E1" w:rsidRPr="00FC6804" w:rsidRDefault="000E69E1" w:rsidP="000E69E1">
      <w:pPr>
        <w:pStyle w:val="ListParagraph"/>
        <w:spacing w:after="0" w:line="240" w:lineRule="auto"/>
        <w:contextualSpacing w:val="0"/>
        <w:rPr>
          <w:rFonts w:ascii="Arial" w:hAnsi="Arial" w:cs="Arial"/>
          <w:sz w:val="20"/>
          <w:szCs w:val="20"/>
        </w:rPr>
      </w:pPr>
    </w:p>
    <w:p w:rsidR="000E69E1" w:rsidRPr="00FC6804" w:rsidRDefault="000E69E1" w:rsidP="000E69E1">
      <w:pPr>
        <w:pStyle w:val="ListParagraph"/>
        <w:spacing w:after="0" w:line="240" w:lineRule="auto"/>
        <w:contextualSpacing w:val="0"/>
        <w:rPr>
          <w:rFonts w:ascii="Arial" w:hAnsi="Arial" w:cs="Arial"/>
          <w:sz w:val="20"/>
          <w:szCs w:val="20"/>
        </w:rPr>
      </w:pPr>
    </w:p>
    <w:p w:rsidR="000E69E1" w:rsidRPr="00FC6804" w:rsidRDefault="000E69E1" w:rsidP="000E69E1">
      <w:pPr>
        <w:pStyle w:val="ListParagraph"/>
        <w:spacing w:after="0" w:line="240" w:lineRule="auto"/>
        <w:contextualSpacing w:val="0"/>
        <w:rPr>
          <w:rFonts w:ascii="Arial" w:hAnsi="Arial" w:cs="Arial"/>
          <w:sz w:val="20"/>
          <w:szCs w:val="20"/>
        </w:rPr>
      </w:pPr>
    </w:p>
    <w:p w:rsidR="000E69E1" w:rsidRPr="00FC6804" w:rsidRDefault="000E69E1" w:rsidP="000E69E1">
      <w:pPr>
        <w:pStyle w:val="ListParagraph"/>
        <w:spacing w:after="0" w:line="240" w:lineRule="auto"/>
        <w:contextualSpacing w:val="0"/>
        <w:rPr>
          <w:rFonts w:ascii="Arial" w:hAnsi="Arial" w:cs="Arial"/>
          <w:sz w:val="20"/>
          <w:szCs w:val="20"/>
        </w:rPr>
      </w:pPr>
    </w:p>
    <w:p w:rsidR="000E69E1" w:rsidRPr="00FC6804" w:rsidRDefault="000E69E1" w:rsidP="000E69E1">
      <w:pPr>
        <w:pStyle w:val="ListParagraph"/>
        <w:spacing w:after="0" w:line="240" w:lineRule="auto"/>
        <w:contextualSpacing w:val="0"/>
        <w:rPr>
          <w:rFonts w:ascii="Arial" w:hAnsi="Arial" w:cs="Arial"/>
          <w:sz w:val="20"/>
          <w:szCs w:val="20"/>
        </w:rPr>
      </w:pPr>
    </w:p>
    <w:p w:rsidR="000E69E1" w:rsidRPr="00FC6804" w:rsidRDefault="000E69E1" w:rsidP="000E69E1">
      <w:pPr>
        <w:pStyle w:val="ListParagraph"/>
        <w:spacing w:after="0" w:line="240" w:lineRule="auto"/>
        <w:contextualSpacing w:val="0"/>
        <w:rPr>
          <w:rFonts w:ascii="Arial" w:hAnsi="Arial" w:cs="Arial"/>
          <w:sz w:val="20"/>
          <w:szCs w:val="20"/>
        </w:rPr>
      </w:pPr>
    </w:p>
    <w:p w:rsidR="000E69E1" w:rsidRPr="00FC6804" w:rsidRDefault="000E69E1" w:rsidP="000E69E1">
      <w:pPr>
        <w:pStyle w:val="ListParagraph"/>
        <w:spacing w:after="0" w:line="240" w:lineRule="auto"/>
        <w:contextualSpacing w:val="0"/>
        <w:rPr>
          <w:rFonts w:ascii="Arial" w:hAnsi="Arial" w:cs="Arial"/>
          <w:sz w:val="20"/>
          <w:szCs w:val="20"/>
        </w:rPr>
      </w:pPr>
    </w:p>
    <w:p w:rsidR="00AA13BF" w:rsidRPr="00FC6804" w:rsidRDefault="00AA13BF" w:rsidP="00167873">
      <w:pPr>
        <w:spacing w:after="0" w:line="240" w:lineRule="auto"/>
        <w:rPr>
          <w:rFonts w:ascii="Arial" w:hAnsi="Arial" w:cs="Arial"/>
          <w:b/>
          <w:color w:val="1F4E79" w:themeColor="accent1" w:themeShade="80"/>
          <w:sz w:val="20"/>
          <w:szCs w:val="20"/>
        </w:rPr>
      </w:pPr>
      <w:r w:rsidRPr="00FC6804">
        <w:rPr>
          <w:rFonts w:ascii="Arial" w:hAnsi="Arial" w:cs="Arial"/>
          <w:b/>
          <w:color w:val="1F4E79" w:themeColor="accent1" w:themeShade="80"/>
          <w:sz w:val="20"/>
          <w:szCs w:val="20"/>
        </w:rPr>
        <w:t xml:space="preserve">Seafood </w:t>
      </w:r>
      <w:r w:rsidR="000D2311">
        <w:rPr>
          <w:rFonts w:ascii="Arial" w:hAnsi="Arial" w:cs="Arial"/>
          <w:b/>
          <w:color w:val="1F4E79" w:themeColor="accent1" w:themeShade="80"/>
          <w:sz w:val="20"/>
          <w:szCs w:val="20"/>
        </w:rPr>
        <w:t>p</w:t>
      </w:r>
      <w:r w:rsidRPr="00FC6804">
        <w:rPr>
          <w:rFonts w:ascii="Arial" w:hAnsi="Arial" w:cs="Arial"/>
          <w:b/>
          <w:color w:val="1F4E79" w:themeColor="accent1" w:themeShade="80"/>
          <w:sz w:val="20"/>
          <w:szCs w:val="20"/>
        </w:rPr>
        <w:t xml:space="preserve">rocessing </w:t>
      </w:r>
      <w:r w:rsidR="000D2311">
        <w:rPr>
          <w:rFonts w:ascii="Arial" w:hAnsi="Arial" w:cs="Arial"/>
          <w:b/>
          <w:color w:val="1F4E79" w:themeColor="accent1" w:themeShade="80"/>
          <w:sz w:val="20"/>
          <w:szCs w:val="20"/>
        </w:rPr>
        <w:t xml:space="preserve">facility </w:t>
      </w:r>
      <w:r w:rsidRPr="00FC6804">
        <w:rPr>
          <w:rFonts w:ascii="Arial" w:hAnsi="Arial" w:cs="Arial"/>
          <w:b/>
          <w:color w:val="1F4E79" w:themeColor="accent1" w:themeShade="80"/>
          <w:sz w:val="20"/>
          <w:szCs w:val="20"/>
        </w:rPr>
        <w:t>licence</w:t>
      </w:r>
    </w:p>
    <w:p w:rsidR="001B3F09" w:rsidRPr="00FC6804" w:rsidRDefault="001B3F09" w:rsidP="00167873">
      <w:pPr>
        <w:spacing w:after="0" w:line="240" w:lineRule="auto"/>
        <w:rPr>
          <w:rFonts w:ascii="Arial" w:hAnsi="Arial" w:cs="Arial"/>
          <w:b/>
          <w:color w:val="1F4E79" w:themeColor="accent1" w:themeShade="80"/>
          <w:sz w:val="20"/>
          <w:szCs w:val="20"/>
        </w:rPr>
      </w:pPr>
    </w:p>
    <w:p w:rsidR="00167873" w:rsidRPr="00D51AC8" w:rsidRDefault="001558C2" w:rsidP="00167873">
      <w:pPr>
        <w:pStyle w:val="ListParagraph"/>
        <w:numPr>
          <w:ilvl w:val="0"/>
          <w:numId w:val="21"/>
        </w:numPr>
        <w:spacing w:after="0" w:line="240" w:lineRule="auto"/>
        <w:contextualSpacing w:val="0"/>
      </w:pPr>
      <w:r w:rsidRPr="00FA2C75">
        <w:rPr>
          <w:rFonts w:ascii="Arial" w:hAnsi="Arial" w:cs="Arial"/>
          <w:sz w:val="20"/>
          <w:szCs w:val="20"/>
        </w:rPr>
        <w:t>The seafood industry presented a proposed fee structure in response to Prime</w:t>
      </w:r>
      <w:r w:rsidR="001B3F09" w:rsidRPr="00FA2C75">
        <w:rPr>
          <w:rFonts w:ascii="Arial" w:hAnsi="Arial" w:cs="Arial"/>
          <w:sz w:val="20"/>
          <w:szCs w:val="20"/>
        </w:rPr>
        <w:t>S</w:t>
      </w:r>
      <w:r w:rsidRPr="00FA2C75">
        <w:rPr>
          <w:rFonts w:ascii="Arial" w:hAnsi="Arial" w:cs="Arial"/>
          <w:sz w:val="20"/>
          <w:szCs w:val="20"/>
        </w:rPr>
        <w:t>afe’s initial fee proposals which would have removed the Category B licence category and as a result, would have yielded significantly less revenue fro</w:t>
      </w:r>
      <w:r w:rsidR="001B3F09" w:rsidRPr="00FA2C75">
        <w:rPr>
          <w:rFonts w:ascii="Arial" w:hAnsi="Arial" w:cs="Arial"/>
          <w:sz w:val="20"/>
          <w:szCs w:val="20"/>
        </w:rPr>
        <w:t>m this sector than at present. PrimeSafe</w:t>
      </w:r>
      <w:r w:rsidRPr="00FA2C75">
        <w:rPr>
          <w:rFonts w:ascii="Arial" w:hAnsi="Arial" w:cs="Arial"/>
          <w:sz w:val="20"/>
          <w:szCs w:val="20"/>
        </w:rPr>
        <w:t xml:space="preserve"> does not consider this proposal viable</w:t>
      </w:r>
      <w:r w:rsidR="000A5AFB" w:rsidRPr="00FA2C75">
        <w:rPr>
          <w:rFonts w:ascii="Arial" w:hAnsi="Arial" w:cs="Arial"/>
          <w:sz w:val="20"/>
          <w:szCs w:val="20"/>
        </w:rPr>
        <w:t xml:space="preserve"> in a context in which most licensees will necessarily experience a significant increase in fees, since its adoption would create a further revenue shortfall that would need to be addressed through still higher fee increases in the meat and poultry sector</w:t>
      </w:r>
      <w:r w:rsidR="000D2311" w:rsidRPr="00FA2C75">
        <w:rPr>
          <w:rFonts w:ascii="Arial" w:hAnsi="Arial" w:cs="Arial"/>
          <w:sz w:val="20"/>
          <w:szCs w:val="20"/>
        </w:rPr>
        <w:t>s</w:t>
      </w:r>
      <w:r w:rsidR="000E69E1" w:rsidRPr="00FA2C75">
        <w:rPr>
          <w:rFonts w:ascii="Arial" w:hAnsi="Arial" w:cs="Arial"/>
          <w:sz w:val="20"/>
          <w:szCs w:val="20"/>
        </w:rPr>
        <w:t xml:space="preserve">. </w:t>
      </w:r>
      <w:r w:rsidRPr="00FA2C75">
        <w:rPr>
          <w:rFonts w:ascii="Arial" w:hAnsi="Arial" w:cs="Arial"/>
          <w:sz w:val="20"/>
          <w:szCs w:val="20"/>
        </w:rPr>
        <w:t>Pending further discussion with the seafood industry</w:t>
      </w:r>
      <w:r w:rsidR="000D2311" w:rsidRPr="00FA2C75">
        <w:rPr>
          <w:rFonts w:ascii="Arial" w:hAnsi="Arial" w:cs="Arial"/>
          <w:sz w:val="20"/>
          <w:szCs w:val="20"/>
        </w:rPr>
        <w:t>,</w:t>
      </w:r>
      <w:r w:rsidRPr="00FA2C75">
        <w:rPr>
          <w:rFonts w:ascii="Arial" w:hAnsi="Arial" w:cs="Arial"/>
          <w:sz w:val="20"/>
          <w:szCs w:val="20"/>
        </w:rPr>
        <w:t xml:space="preserve"> no change to licence arrangements or fees is currently proposed for the seafood sector, other than indexation of the current fees by the rate approved by the </w:t>
      </w:r>
      <w:r w:rsidR="000D2311" w:rsidRPr="00FA2C75">
        <w:rPr>
          <w:rFonts w:ascii="Arial" w:hAnsi="Arial" w:cs="Arial"/>
          <w:sz w:val="20"/>
          <w:szCs w:val="20"/>
        </w:rPr>
        <w:t>Treasurer</w:t>
      </w:r>
      <w:r w:rsidR="00FA2C75">
        <w:rPr>
          <w:rFonts w:ascii="Arial" w:hAnsi="Arial" w:cs="Arial"/>
          <w:sz w:val="20"/>
          <w:szCs w:val="20"/>
        </w:rPr>
        <w:t xml:space="preserve"> </w:t>
      </w:r>
      <w:r w:rsidR="00FA2C75" w:rsidRPr="00D51AC8">
        <w:rPr>
          <w:rFonts w:ascii="Arial" w:hAnsi="Arial" w:cs="Arial"/>
          <w:sz w:val="20"/>
          <w:szCs w:val="20"/>
        </w:rPr>
        <w:t>and an increase in the fee cap for exporting seafood processors, from $1,566 to $1,850, consistent with the changes proposed in respect of exporting abattoirs and further meat processing facilities</w:t>
      </w:r>
      <w:r w:rsidR="001B3F09" w:rsidRPr="00D51AC8">
        <w:rPr>
          <w:rFonts w:ascii="Arial" w:hAnsi="Arial" w:cs="Arial"/>
          <w:sz w:val="20"/>
          <w:szCs w:val="20"/>
        </w:rPr>
        <w:t>.</w:t>
      </w:r>
    </w:p>
    <w:p w:rsidR="000D2311" w:rsidRDefault="000D2311" w:rsidP="000D2311">
      <w:pPr>
        <w:spacing w:after="0" w:line="240" w:lineRule="auto"/>
      </w:pPr>
    </w:p>
    <w:p w:rsidR="000D2311" w:rsidRPr="00FC6804" w:rsidRDefault="000D2311" w:rsidP="000D2311">
      <w:pPr>
        <w:spacing w:after="0" w:line="240" w:lineRule="auto"/>
        <w:sectPr w:rsidR="000D2311" w:rsidRPr="00FC6804" w:rsidSect="00245D1C">
          <w:pgSz w:w="11906" w:h="16838" w:code="9"/>
          <w:pgMar w:top="1440" w:right="1440" w:bottom="1440" w:left="1440" w:header="567" w:footer="567" w:gutter="0"/>
          <w:cols w:space="708"/>
          <w:docGrid w:linePitch="360"/>
        </w:sectPr>
      </w:pPr>
    </w:p>
    <w:p w:rsidR="007B0C10" w:rsidRPr="00FC6804" w:rsidRDefault="007B0C10" w:rsidP="0026792B">
      <w:pPr>
        <w:pStyle w:val="Heading1"/>
      </w:pPr>
      <w:bookmarkStart w:id="44" w:name="_Toc443915373"/>
      <w:r w:rsidRPr="00FC6804">
        <w:t xml:space="preserve">Statement of compliance with </w:t>
      </w:r>
      <w:r w:rsidR="005A2260" w:rsidRPr="00FC6804">
        <w:t xml:space="preserve">the </w:t>
      </w:r>
      <w:r w:rsidRPr="00FC6804">
        <w:t>National Competition Policy</w:t>
      </w:r>
      <w:bookmarkEnd w:id="44"/>
    </w:p>
    <w:p w:rsidR="007B0C10" w:rsidRPr="00FC6804" w:rsidRDefault="007B0C10" w:rsidP="005A2260">
      <w:pPr>
        <w:spacing w:after="0" w:line="240" w:lineRule="auto"/>
        <w:rPr>
          <w:rFonts w:ascii="Arial" w:hAnsi="Arial" w:cs="Arial"/>
          <w:sz w:val="20"/>
          <w:szCs w:val="20"/>
        </w:rPr>
      </w:pPr>
    </w:p>
    <w:p w:rsidR="007B0C10" w:rsidRPr="00FC6804" w:rsidRDefault="007B0C10" w:rsidP="005A2260">
      <w:pPr>
        <w:pStyle w:val="Normal-TimesNewRoman"/>
        <w:spacing w:after="0"/>
        <w:jc w:val="left"/>
        <w:rPr>
          <w:rFonts w:ascii="Arial" w:hAnsi="Arial" w:cs="Arial"/>
          <w:sz w:val="20"/>
          <w:szCs w:val="20"/>
        </w:rPr>
      </w:pPr>
      <w:r w:rsidRPr="00FC6804">
        <w:rPr>
          <w:rFonts w:ascii="Arial" w:hAnsi="Arial" w:cs="Arial"/>
          <w:sz w:val="20"/>
          <w:szCs w:val="20"/>
        </w:rPr>
        <w:t xml:space="preserve">The National Competition Policy </w:t>
      </w:r>
      <w:r w:rsidR="002150C0">
        <w:rPr>
          <w:rFonts w:ascii="Arial" w:hAnsi="Arial" w:cs="Arial"/>
          <w:sz w:val="20"/>
          <w:szCs w:val="20"/>
        </w:rPr>
        <w:t>a</w:t>
      </w:r>
      <w:r w:rsidRPr="00FC6804">
        <w:rPr>
          <w:rFonts w:ascii="Arial" w:hAnsi="Arial" w:cs="Arial"/>
          <w:sz w:val="20"/>
          <w:szCs w:val="20"/>
        </w:rPr>
        <w:t>greements set out specific requirements with regard to all new legislation adopted by jurisdictions tha</w:t>
      </w:r>
      <w:r w:rsidR="005A2260" w:rsidRPr="00FC6804">
        <w:rPr>
          <w:rFonts w:ascii="Arial" w:hAnsi="Arial" w:cs="Arial"/>
          <w:sz w:val="20"/>
          <w:szCs w:val="20"/>
        </w:rPr>
        <w:t xml:space="preserve">t are party to the agreements. </w:t>
      </w:r>
      <w:r w:rsidRPr="00FC6804">
        <w:rPr>
          <w:rFonts w:ascii="Arial" w:hAnsi="Arial" w:cs="Arial"/>
          <w:sz w:val="20"/>
          <w:szCs w:val="20"/>
        </w:rPr>
        <w:t>Clause 5(1) of the Competition Principles Agreement sets out the basic principle that must be applied to both existing legislation, under the legislative review process, and to proposed legislation:</w:t>
      </w:r>
    </w:p>
    <w:p w:rsidR="005A2260" w:rsidRPr="00FC6804" w:rsidRDefault="005A2260" w:rsidP="005A2260">
      <w:pPr>
        <w:pStyle w:val="Normal-TimesNewRoman"/>
        <w:spacing w:after="0"/>
        <w:ind w:left="851"/>
        <w:jc w:val="left"/>
        <w:rPr>
          <w:rFonts w:ascii="Arial" w:hAnsi="Arial" w:cs="Arial"/>
          <w:i/>
          <w:sz w:val="20"/>
          <w:szCs w:val="20"/>
        </w:rPr>
      </w:pPr>
    </w:p>
    <w:p w:rsidR="007B0C10" w:rsidRPr="00FC6804" w:rsidRDefault="007B0C10" w:rsidP="005A2260">
      <w:pPr>
        <w:pStyle w:val="Normal-TimesNewRoman"/>
        <w:spacing w:after="0"/>
        <w:ind w:left="851"/>
        <w:jc w:val="left"/>
        <w:rPr>
          <w:rFonts w:ascii="Arial" w:hAnsi="Arial" w:cs="Arial"/>
          <w:i/>
          <w:sz w:val="20"/>
          <w:szCs w:val="20"/>
        </w:rPr>
      </w:pPr>
      <w:r w:rsidRPr="00FC6804">
        <w:rPr>
          <w:rFonts w:ascii="Arial" w:hAnsi="Arial" w:cs="Arial"/>
          <w:i/>
          <w:sz w:val="20"/>
          <w:szCs w:val="20"/>
        </w:rPr>
        <w:t>The guiding principle is that legislati</w:t>
      </w:r>
      <w:r w:rsidR="005A2260" w:rsidRPr="00FC6804">
        <w:rPr>
          <w:rFonts w:ascii="Arial" w:hAnsi="Arial" w:cs="Arial"/>
          <w:i/>
          <w:sz w:val="20"/>
          <w:szCs w:val="20"/>
        </w:rPr>
        <w:t xml:space="preserve">on (including Acts, enactments, </w:t>
      </w:r>
      <w:r w:rsidRPr="00FC6804">
        <w:rPr>
          <w:rFonts w:ascii="Arial" w:hAnsi="Arial" w:cs="Arial"/>
          <w:i/>
          <w:sz w:val="20"/>
          <w:szCs w:val="20"/>
        </w:rPr>
        <w:t>Ordinances or Regulations) should not restrict competition unless it can be demonstrated that:</w:t>
      </w:r>
    </w:p>
    <w:p w:rsidR="007B0C10" w:rsidRPr="00FC6804" w:rsidRDefault="007B0C10" w:rsidP="005A2260">
      <w:pPr>
        <w:pStyle w:val="Normal-TimesNewRoman"/>
        <w:spacing w:after="0"/>
        <w:ind w:left="1440" w:hanging="589"/>
        <w:jc w:val="left"/>
        <w:rPr>
          <w:rFonts w:ascii="Arial" w:hAnsi="Arial" w:cs="Arial"/>
          <w:i/>
          <w:sz w:val="20"/>
          <w:szCs w:val="20"/>
        </w:rPr>
      </w:pPr>
      <w:r w:rsidRPr="00FC6804">
        <w:rPr>
          <w:rFonts w:ascii="Arial" w:hAnsi="Arial" w:cs="Arial"/>
          <w:i/>
          <w:sz w:val="20"/>
          <w:szCs w:val="20"/>
        </w:rPr>
        <w:t>(a)</w:t>
      </w:r>
      <w:r w:rsidRPr="00FC6804">
        <w:rPr>
          <w:rFonts w:ascii="Arial" w:hAnsi="Arial" w:cs="Arial"/>
          <w:i/>
          <w:sz w:val="20"/>
          <w:szCs w:val="20"/>
        </w:rPr>
        <w:tab/>
        <w:t>The benefits of the restriction to the community as a whole outweigh the costs; and</w:t>
      </w:r>
    </w:p>
    <w:p w:rsidR="007B0C10" w:rsidRPr="00FC6804" w:rsidRDefault="007B0C10" w:rsidP="005A2260">
      <w:pPr>
        <w:pStyle w:val="Normal-TimesNewRoman"/>
        <w:spacing w:after="0"/>
        <w:ind w:left="1440" w:hanging="589"/>
        <w:jc w:val="left"/>
        <w:rPr>
          <w:rFonts w:ascii="Arial" w:hAnsi="Arial" w:cs="Arial"/>
          <w:i/>
          <w:sz w:val="20"/>
          <w:szCs w:val="20"/>
        </w:rPr>
      </w:pPr>
      <w:r w:rsidRPr="00FC6804">
        <w:rPr>
          <w:rFonts w:ascii="Arial" w:hAnsi="Arial" w:cs="Arial"/>
          <w:i/>
          <w:sz w:val="20"/>
          <w:szCs w:val="20"/>
        </w:rPr>
        <w:t>(b)</w:t>
      </w:r>
      <w:r w:rsidRPr="00FC6804">
        <w:rPr>
          <w:rFonts w:ascii="Arial" w:hAnsi="Arial" w:cs="Arial"/>
          <w:i/>
          <w:sz w:val="20"/>
          <w:szCs w:val="20"/>
        </w:rPr>
        <w:tab/>
        <w:t>The objectives of the regulation can only be achieved by restricting competition.</w:t>
      </w:r>
    </w:p>
    <w:p w:rsidR="005A2260" w:rsidRPr="00FC6804" w:rsidRDefault="005A2260" w:rsidP="005A2260">
      <w:pPr>
        <w:pStyle w:val="Normal-TimesNewRoman"/>
        <w:spacing w:after="0"/>
        <w:jc w:val="left"/>
        <w:rPr>
          <w:rFonts w:ascii="Arial" w:hAnsi="Arial" w:cs="Arial"/>
          <w:sz w:val="20"/>
          <w:szCs w:val="20"/>
        </w:rPr>
      </w:pPr>
    </w:p>
    <w:p w:rsidR="007B0C10" w:rsidRPr="00FC6804" w:rsidRDefault="007B0C10" w:rsidP="005A2260">
      <w:pPr>
        <w:pStyle w:val="Normal-TimesNewRoman"/>
        <w:spacing w:after="0"/>
        <w:jc w:val="left"/>
        <w:rPr>
          <w:rFonts w:ascii="Arial" w:hAnsi="Arial" w:cs="Arial"/>
          <w:sz w:val="20"/>
          <w:szCs w:val="20"/>
        </w:rPr>
      </w:pPr>
      <w:r w:rsidRPr="00FC6804">
        <w:rPr>
          <w:rFonts w:ascii="Arial" w:hAnsi="Arial" w:cs="Arial"/>
          <w:sz w:val="20"/>
          <w:szCs w:val="20"/>
        </w:rPr>
        <w:t>Clause 5(5) provides a specific obligation on parties to the agreement with regard to newly proposed legislation:</w:t>
      </w:r>
    </w:p>
    <w:p w:rsidR="005A2260" w:rsidRPr="00FC6804" w:rsidRDefault="005A2260" w:rsidP="005A2260">
      <w:pPr>
        <w:pStyle w:val="Normal-TimesNewRoman"/>
        <w:spacing w:after="0"/>
        <w:jc w:val="left"/>
        <w:rPr>
          <w:rFonts w:ascii="Arial" w:hAnsi="Arial" w:cs="Arial"/>
          <w:sz w:val="20"/>
          <w:szCs w:val="20"/>
        </w:rPr>
      </w:pPr>
    </w:p>
    <w:p w:rsidR="007B0C10" w:rsidRPr="00FC6804" w:rsidRDefault="007B0C10" w:rsidP="005A2260">
      <w:pPr>
        <w:pStyle w:val="Normal-TimesNewRoman"/>
        <w:spacing w:after="0"/>
        <w:ind w:left="851"/>
        <w:jc w:val="left"/>
        <w:rPr>
          <w:rFonts w:ascii="Arial" w:hAnsi="Arial" w:cs="Arial"/>
          <w:i/>
          <w:sz w:val="20"/>
          <w:szCs w:val="20"/>
        </w:rPr>
      </w:pPr>
      <w:r w:rsidRPr="00FC6804">
        <w:rPr>
          <w:rFonts w:ascii="Arial" w:hAnsi="Arial" w:cs="Arial"/>
          <w:i/>
          <w:sz w:val="20"/>
          <w:szCs w:val="20"/>
        </w:rPr>
        <w:t>Each party will require proposals for new legislation that restricts competition to be accompanied by evidence that the restriction is consistent with the principle set out in sub-clause (1).</w:t>
      </w:r>
      <w:r w:rsidRPr="00FC6804">
        <w:rPr>
          <w:rStyle w:val="FootnoteReference"/>
          <w:rFonts w:ascii="Arial" w:eastAsia="Calibri" w:hAnsi="Arial" w:cs="Arial"/>
          <w:i/>
          <w:sz w:val="20"/>
          <w:szCs w:val="20"/>
        </w:rPr>
        <w:footnoteReference w:id="35"/>
      </w:r>
    </w:p>
    <w:p w:rsidR="005A2260" w:rsidRPr="00FC6804" w:rsidRDefault="005A2260" w:rsidP="005A2260">
      <w:pPr>
        <w:pStyle w:val="Header"/>
        <w:rPr>
          <w:rFonts w:ascii="Arial" w:hAnsi="Arial" w:cs="Arial"/>
          <w:sz w:val="20"/>
          <w:szCs w:val="20"/>
        </w:rPr>
      </w:pPr>
    </w:p>
    <w:p w:rsidR="007B0C10" w:rsidRPr="00FC6804" w:rsidRDefault="007B0C10" w:rsidP="005A2260">
      <w:pPr>
        <w:pStyle w:val="Header"/>
        <w:rPr>
          <w:rFonts w:ascii="Arial" w:hAnsi="Arial" w:cs="Arial"/>
          <w:sz w:val="20"/>
          <w:szCs w:val="20"/>
        </w:rPr>
      </w:pPr>
      <w:r w:rsidRPr="00FC6804">
        <w:rPr>
          <w:rFonts w:ascii="Arial" w:hAnsi="Arial" w:cs="Arial"/>
          <w:sz w:val="20"/>
          <w:szCs w:val="20"/>
        </w:rPr>
        <w:t xml:space="preserve">Therefore, all </w:t>
      </w:r>
      <w:r w:rsidR="002150C0">
        <w:rPr>
          <w:rFonts w:ascii="Arial" w:hAnsi="Arial" w:cs="Arial"/>
          <w:sz w:val="20"/>
          <w:szCs w:val="20"/>
        </w:rPr>
        <w:t>Regulatory Impact Statements</w:t>
      </w:r>
      <w:r w:rsidRPr="00FC6804">
        <w:rPr>
          <w:rFonts w:ascii="Arial" w:hAnsi="Arial" w:cs="Arial"/>
          <w:sz w:val="20"/>
          <w:szCs w:val="20"/>
        </w:rPr>
        <w:t xml:space="preserve"> must provide evidence that the proposed regulatory instrument is consistent with these National C</w:t>
      </w:r>
      <w:r w:rsidR="005A2260" w:rsidRPr="00FC6804">
        <w:rPr>
          <w:rFonts w:ascii="Arial" w:hAnsi="Arial" w:cs="Arial"/>
          <w:sz w:val="20"/>
          <w:szCs w:val="20"/>
        </w:rPr>
        <w:t xml:space="preserve">ompetition Policy obligations. </w:t>
      </w:r>
      <w:r w:rsidRPr="00FC6804">
        <w:rPr>
          <w:rFonts w:ascii="Arial" w:hAnsi="Arial" w:cs="Arial"/>
          <w:sz w:val="20"/>
          <w:szCs w:val="20"/>
        </w:rPr>
        <w:t xml:space="preserve">The </w:t>
      </w:r>
      <w:r w:rsidR="007573C0">
        <w:rPr>
          <w:rFonts w:ascii="Arial" w:hAnsi="Arial" w:cs="Arial"/>
          <w:sz w:val="20"/>
          <w:szCs w:val="20"/>
        </w:rPr>
        <w:t>Organisation for Economic Cooperation and Development</w:t>
      </w:r>
      <w:r w:rsidRPr="00FC6804">
        <w:rPr>
          <w:rFonts w:ascii="Arial" w:hAnsi="Arial" w:cs="Arial"/>
          <w:sz w:val="20"/>
          <w:szCs w:val="20"/>
        </w:rPr>
        <w:t xml:space="preserve"> </w:t>
      </w:r>
      <w:r w:rsidRPr="00FC6804">
        <w:rPr>
          <w:rFonts w:ascii="Arial" w:hAnsi="Arial" w:cs="Arial"/>
          <w:i/>
          <w:sz w:val="20"/>
          <w:szCs w:val="20"/>
        </w:rPr>
        <w:t>Competition Assessment Toolkit</w:t>
      </w:r>
      <w:r w:rsidRPr="00FC6804">
        <w:rPr>
          <w:rStyle w:val="FootnoteReference"/>
          <w:rFonts w:ascii="Arial" w:hAnsi="Arial" w:cs="Arial"/>
          <w:sz w:val="20"/>
          <w:szCs w:val="20"/>
        </w:rPr>
        <w:footnoteReference w:id="36"/>
      </w:r>
      <w:r w:rsidRPr="00FC6804">
        <w:rPr>
          <w:rFonts w:ascii="Arial" w:hAnsi="Arial" w:cs="Arial"/>
          <w:sz w:val="20"/>
          <w:szCs w:val="20"/>
        </w:rPr>
        <w:t xml:space="preserve"> provides a checklist for identifying potentially significant negative impact on competition in the </w:t>
      </w:r>
      <w:r w:rsidR="007573C0">
        <w:rPr>
          <w:rFonts w:ascii="Arial" w:hAnsi="Arial" w:cs="Arial"/>
          <w:sz w:val="20"/>
          <w:szCs w:val="20"/>
        </w:rPr>
        <w:t>Regulatory Impact Assessment</w:t>
      </w:r>
      <w:r w:rsidR="00C477E4">
        <w:rPr>
          <w:rFonts w:ascii="Arial" w:hAnsi="Arial" w:cs="Arial"/>
          <w:sz w:val="20"/>
          <w:szCs w:val="20"/>
        </w:rPr>
        <w:t xml:space="preserve"> context. </w:t>
      </w:r>
      <w:r w:rsidRPr="00FC6804">
        <w:rPr>
          <w:rFonts w:ascii="Arial" w:hAnsi="Arial" w:cs="Arial"/>
          <w:sz w:val="20"/>
          <w:szCs w:val="20"/>
        </w:rPr>
        <w:t>This is based on the following four questions:</w:t>
      </w:r>
    </w:p>
    <w:p w:rsidR="007B0C10" w:rsidRPr="00FC6804" w:rsidRDefault="007B0C10" w:rsidP="005A2260">
      <w:pPr>
        <w:pStyle w:val="Header"/>
        <w:rPr>
          <w:rFonts w:ascii="Arial" w:hAnsi="Arial" w:cs="Arial"/>
          <w:sz w:val="20"/>
          <w:szCs w:val="20"/>
        </w:rPr>
      </w:pPr>
    </w:p>
    <w:p w:rsidR="007B0C10" w:rsidRPr="00FC6804" w:rsidRDefault="007B0C10" w:rsidP="005A2260">
      <w:pPr>
        <w:pStyle w:val="Header"/>
        <w:numPr>
          <w:ilvl w:val="0"/>
          <w:numId w:val="11"/>
        </w:numPr>
        <w:tabs>
          <w:tab w:val="clear" w:pos="4513"/>
          <w:tab w:val="clear" w:pos="9026"/>
          <w:tab w:val="center" w:pos="4320"/>
          <w:tab w:val="right" w:pos="8640"/>
        </w:tabs>
        <w:ind w:left="540" w:hanging="540"/>
        <w:rPr>
          <w:rFonts w:ascii="Arial" w:hAnsi="Arial" w:cs="Arial"/>
          <w:sz w:val="20"/>
          <w:szCs w:val="20"/>
        </w:rPr>
      </w:pPr>
      <w:r w:rsidRPr="00FC6804">
        <w:rPr>
          <w:rFonts w:ascii="Arial" w:hAnsi="Arial" w:cs="Arial"/>
          <w:sz w:val="20"/>
          <w:szCs w:val="20"/>
        </w:rPr>
        <w:t>Does the proposed regulation limit the number or range of suppliers?</w:t>
      </w:r>
    </w:p>
    <w:p w:rsidR="005A2260" w:rsidRPr="00FC6804" w:rsidRDefault="005A2260" w:rsidP="005A2260">
      <w:pPr>
        <w:pStyle w:val="Header"/>
        <w:tabs>
          <w:tab w:val="clear" w:pos="4513"/>
          <w:tab w:val="clear" w:pos="9026"/>
          <w:tab w:val="center" w:pos="4320"/>
          <w:tab w:val="right" w:pos="8640"/>
        </w:tabs>
        <w:ind w:left="540"/>
        <w:rPr>
          <w:rFonts w:ascii="Arial" w:hAnsi="Arial" w:cs="Arial"/>
          <w:sz w:val="20"/>
          <w:szCs w:val="20"/>
        </w:rPr>
      </w:pPr>
    </w:p>
    <w:p w:rsidR="007B0C10" w:rsidRPr="00FC6804" w:rsidRDefault="007B0C10" w:rsidP="005A2260">
      <w:pPr>
        <w:pStyle w:val="Header"/>
        <w:numPr>
          <w:ilvl w:val="0"/>
          <w:numId w:val="11"/>
        </w:numPr>
        <w:tabs>
          <w:tab w:val="clear" w:pos="4513"/>
          <w:tab w:val="clear" w:pos="9026"/>
          <w:tab w:val="center" w:pos="4320"/>
          <w:tab w:val="right" w:pos="8640"/>
        </w:tabs>
        <w:ind w:left="540" w:hanging="540"/>
        <w:rPr>
          <w:rFonts w:ascii="Arial" w:hAnsi="Arial" w:cs="Arial"/>
          <w:sz w:val="20"/>
          <w:szCs w:val="20"/>
        </w:rPr>
      </w:pPr>
      <w:r w:rsidRPr="00FC6804">
        <w:rPr>
          <w:rFonts w:ascii="Arial" w:hAnsi="Arial" w:cs="Arial"/>
          <w:sz w:val="20"/>
          <w:szCs w:val="20"/>
        </w:rPr>
        <w:t>Does the proposed regulation limit the ability of suppliers to complete?</w:t>
      </w:r>
    </w:p>
    <w:p w:rsidR="005A2260" w:rsidRPr="00FC6804" w:rsidRDefault="005A2260" w:rsidP="005A2260">
      <w:pPr>
        <w:pStyle w:val="Header"/>
        <w:tabs>
          <w:tab w:val="clear" w:pos="4513"/>
          <w:tab w:val="clear" w:pos="9026"/>
          <w:tab w:val="center" w:pos="4320"/>
          <w:tab w:val="right" w:pos="8640"/>
        </w:tabs>
        <w:rPr>
          <w:rFonts w:ascii="Arial" w:hAnsi="Arial" w:cs="Arial"/>
          <w:sz w:val="20"/>
          <w:szCs w:val="20"/>
        </w:rPr>
      </w:pPr>
    </w:p>
    <w:p w:rsidR="007B0C10" w:rsidRPr="00FC6804" w:rsidRDefault="007B0C10" w:rsidP="005A2260">
      <w:pPr>
        <w:pStyle w:val="Header"/>
        <w:numPr>
          <w:ilvl w:val="0"/>
          <w:numId w:val="11"/>
        </w:numPr>
        <w:tabs>
          <w:tab w:val="clear" w:pos="4513"/>
          <w:tab w:val="clear" w:pos="9026"/>
          <w:tab w:val="center" w:pos="4320"/>
          <w:tab w:val="right" w:pos="8640"/>
        </w:tabs>
        <w:ind w:left="540" w:hanging="540"/>
        <w:rPr>
          <w:rFonts w:ascii="Arial" w:hAnsi="Arial" w:cs="Arial"/>
          <w:sz w:val="20"/>
          <w:szCs w:val="20"/>
        </w:rPr>
      </w:pPr>
      <w:r w:rsidRPr="00FC6804">
        <w:rPr>
          <w:rFonts w:ascii="Arial" w:hAnsi="Arial" w:cs="Arial"/>
          <w:sz w:val="20"/>
          <w:szCs w:val="20"/>
        </w:rPr>
        <w:t>Does the proposed regulation limit to the incentives for suppliers to compete?</w:t>
      </w:r>
    </w:p>
    <w:p w:rsidR="005A2260" w:rsidRPr="00FC6804" w:rsidRDefault="005A2260" w:rsidP="005A2260">
      <w:pPr>
        <w:pStyle w:val="Header"/>
        <w:tabs>
          <w:tab w:val="clear" w:pos="4513"/>
          <w:tab w:val="clear" w:pos="9026"/>
          <w:tab w:val="center" w:pos="4320"/>
          <w:tab w:val="right" w:pos="8640"/>
        </w:tabs>
        <w:rPr>
          <w:rFonts w:ascii="Arial" w:hAnsi="Arial" w:cs="Arial"/>
          <w:sz w:val="20"/>
          <w:szCs w:val="20"/>
        </w:rPr>
      </w:pPr>
    </w:p>
    <w:p w:rsidR="007B0C10" w:rsidRPr="00FC6804" w:rsidRDefault="007B0C10" w:rsidP="005A2260">
      <w:pPr>
        <w:pStyle w:val="Header"/>
        <w:numPr>
          <w:ilvl w:val="0"/>
          <w:numId w:val="11"/>
        </w:numPr>
        <w:tabs>
          <w:tab w:val="clear" w:pos="4513"/>
          <w:tab w:val="clear" w:pos="9026"/>
          <w:tab w:val="center" w:pos="4320"/>
          <w:tab w:val="right" w:pos="8640"/>
        </w:tabs>
        <w:ind w:left="540" w:hanging="540"/>
        <w:rPr>
          <w:rFonts w:ascii="Arial" w:hAnsi="Arial" w:cs="Arial"/>
          <w:sz w:val="20"/>
          <w:szCs w:val="20"/>
        </w:rPr>
      </w:pPr>
      <w:r w:rsidRPr="00FC6804">
        <w:rPr>
          <w:rFonts w:ascii="Arial" w:hAnsi="Arial" w:cs="Arial"/>
          <w:sz w:val="20"/>
          <w:szCs w:val="20"/>
        </w:rPr>
        <w:t>Does the proposed regulation limit the choices and information available to consumers?</w:t>
      </w:r>
    </w:p>
    <w:p w:rsidR="007B0C10" w:rsidRPr="00FC6804" w:rsidRDefault="007B0C10" w:rsidP="005A2260">
      <w:pPr>
        <w:spacing w:after="0" w:line="240" w:lineRule="auto"/>
        <w:rPr>
          <w:rFonts w:ascii="Arial" w:hAnsi="Arial" w:cs="Arial"/>
          <w:sz w:val="20"/>
          <w:szCs w:val="20"/>
        </w:rPr>
      </w:pPr>
    </w:p>
    <w:p w:rsidR="007B0C10" w:rsidRPr="00FC6804" w:rsidRDefault="007B0C10" w:rsidP="005A2260">
      <w:pPr>
        <w:spacing w:after="0" w:line="240" w:lineRule="auto"/>
        <w:rPr>
          <w:rFonts w:ascii="Arial" w:hAnsi="Arial" w:cs="Arial"/>
          <w:sz w:val="20"/>
          <w:szCs w:val="20"/>
        </w:rPr>
      </w:pPr>
      <w:r w:rsidRPr="00FC6804">
        <w:rPr>
          <w:rFonts w:ascii="Arial" w:hAnsi="Arial" w:cs="Arial"/>
          <w:sz w:val="20"/>
          <w:szCs w:val="20"/>
        </w:rPr>
        <w:t xml:space="preserve">According to the </w:t>
      </w:r>
      <w:r w:rsidR="007573C0">
        <w:rPr>
          <w:rFonts w:ascii="Arial" w:hAnsi="Arial" w:cs="Arial"/>
          <w:sz w:val="20"/>
          <w:szCs w:val="20"/>
        </w:rPr>
        <w:t>Organisation for Economic Cooperation and Development</w:t>
      </w:r>
      <w:r w:rsidRPr="00FC6804">
        <w:rPr>
          <w:rFonts w:ascii="Arial" w:hAnsi="Arial" w:cs="Arial"/>
          <w:sz w:val="20"/>
          <w:szCs w:val="20"/>
        </w:rPr>
        <w:t xml:space="preserve">, if all four of these questions can be answered in the negative, it is unlikely that the proposed regulations will have any significant negative impact on competition and further investigation of competition impacts is not likely to be warranted.  </w:t>
      </w:r>
    </w:p>
    <w:p w:rsidR="005A2260" w:rsidRPr="00FC6804" w:rsidRDefault="005A2260" w:rsidP="005A2260">
      <w:pPr>
        <w:spacing w:after="0" w:line="240" w:lineRule="auto"/>
        <w:rPr>
          <w:rFonts w:ascii="Arial" w:hAnsi="Arial" w:cs="Arial"/>
          <w:sz w:val="20"/>
          <w:szCs w:val="20"/>
        </w:rPr>
      </w:pPr>
    </w:p>
    <w:p w:rsidR="005A2260" w:rsidRPr="00FC6804" w:rsidRDefault="00413C89" w:rsidP="005A2260">
      <w:pPr>
        <w:spacing w:after="0" w:line="240" w:lineRule="auto"/>
        <w:rPr>
          <w:rFonts w:ascii="Arial" w:hAnsi="Arial" w:cs="Arial"/>
          <w:sz w:val="20"/>
          <w:szCs w:val="20"/>
        </w:rPr>
        <w:sectPr w:rsidR="005A2260" w:rsidRPr="00FC6804" w:rsidSect="00245D1C">
          <w:pgSz w:w="11906" w:h="16838" w:code="9"/>
          <w:pgMar w:top="1440" w:right="1440" w:bottom="1440" w:left="1440" w:header="567" w:footer="567" w:gutter="0"/>
          <w:cols w:space="708"/>
          <w:docGrid w:linePitch="360"/>
        </w:sectPr>
      </w:pPr>
      <w:r w:rsidRPr="00FC6804">
        <w:rPr>
          <w:rFonts w:ascii="Arial" w:hAnsi="Arial" w:cs="Arial"/>
          <w:sz w:val="20"/>
          <w:szCs w:val="20"/>
        </w:rPr>
        <w:t xml:space="preserve">The proposed fees order is limited to establishing regulatory fees at levels that recover the costs incurred by </w:t>
      </w:r>
      <w:r w:rsidR="005A2260" w:rsidRPr="00FC6804">
        <w:rPr>
          <w:rFonts w:ascii="Arial" w:hAnsi="Arial" w:cs="Arial"/>
          <w:sz w:val="20"/>
          <w:szCs w:val="20"/>
        </w:rPr>
        <w:t>PrimeSafe</w:t>
      </w:r>
      <w:r w:rsidRPr="00FC6804">
        <w:rPr>
          <w:rFonts w:ascii="Arial" w:hAnsi="Arial" w:cs="Arial"/>
          <w:sz w:val="20"/>
          <w:szCs w:val="20"/>
        </w:rPr>
        <w:t xml:space="preserve"> in exercis</w:t>
      </w:r>
      <w:r w:rsidR="005A2260" w:rsidRPr="00FC6804">
        <w:rPr>
          <w:rFonts w:ascii="Arial" w:hAnsi="Arial" w:cs="Arial"/>
          <w:sz w:val="20"/>
          <w:szCs w:val="20"/>
        </w:rPr>
        <w:t xml:space="preserve">ing its legislative functions. </w:t>
      </w:r>
      <w:r w:rsidRPr="00FC6804">
        <w:rPr>
          <w:rFonts w:ascii="Arial" w:hAnsi="Arial" w:cs="Arial"/>
          <w:sz w:val="20"/>
          <w:szCs w:val="20"/>
        </w:rPr>
        <w:t>Thus, it is clear that none of the above questions ca</w:t>
      </w:r>
      <w:r w:rsidR="00C477E4">
        <w:rPr>
          <w:rFonts w:ascii="Arial" w:hAnsi="Arial" w:cs="Arial"/>
          <w:sz w:val="20"/>
          <w:szCs w:val="20"/>
        </w:rPr>
        <w:t xml:space="preserve">n be answered in the positive. </w:t>
      </w:r>
      <w:r w:rsidR="00CA5787" w:rsidRPr="00FC6804">
        <w:rPr>
          <w:rFonts w:ascii="Arial" w:hAnsi="Arial" w:cs="Arial"/>
          <w:sz w:val="20"/>
          <w:szCs w:val="20"/>
        </w:rPr>
        <w:t>In particular, given that the fees charged in all cases represent a very small proportion of overall turnover – in part due to the ongoing subsidy towards small business entailed within the proposed fees – it is not considered that these proposed fee changes will have any negative impact on the number of suppliers in the industry and hence</w:t>
      </w:r>
      <w:r w:rsidR="005A2260" w:rsidRPr="00FC6804">
        <w:rPr>
          <w:rFonts w:ascii="Arial" w:hAnsi="Arial" w:cs="Arial"/>
          <w:sz w:val="20"/>
          <w:szCs w:val="20"/>
        </w:rPr>
        <w:t xml:space="preserve">, on the level of competition. </w:t>
      </w:r>
      <w:r w:rsidRPr="00FC6804">
        <w:rPr>
          <w:rFonts w:ascii="Arial" w:hAnsi="Arial" w:cs="Arial"/>
          <w:sz w:val="20"/>
          <w:szCs w:val="20"/>
        </w:rPr>
        <w:t>Consequently, the proposed fees order is considered to be fully consistent with the National Competition Policy.</w:t>
      </w:r>
    </w:p>
    <w:p w:rsidR="006D2111" w:rsidRPr="00FC6804" w:rsidRDefault="006D2111" w:rsidP="0026792B">
      <w:pPr>
        <w:pStyle w:val="Heading1"/>
      </w:pPr>
      <w:bookmarkStart w:id="45" w:name="_Toc443915374"/>
      <w:r w:rsidRPr="00FC6804">
        <w:t>Implementation plan</w:t>
      </w:r>
      <w:bookmarkEnd w:id="45"/>
    </w:p>
    <w:p w:rsidR="006D2111" w:rsidRPr="00FC6804" w:rsidRDefault="006D2111" w:rsidP="00FC6804">
      <w:pPr>
        <w:spacing w:after="0" w:line="240" w:lineRule="auto"/>
        <w:rPr>
          <w:rFonts w:ascii="Arial" w:hAnsi="Arial" w:cs="Arial"/>
          <w:sz w:val="20"/>
          <w:szCs w:val="20"/>
        </w:rPr>
      </w:pPr>
    </w:p>
    <w:p w:rsidR="006D2111" w:rsidRPr="00FC6804" w:rsidRDefault="006D2111" w:rsidP="00FC6804">
      <w:pPr>
        <w:spacing w:after="0" w:line="240" w:lineRule="auto"/>
        <w:rPr>
          <w:rFonts w:ascii="Arial" w:hAnsi="Arial" w:cs="Arial"/>
          <w:sz w:val="20"/>
          <w:szCs w:val="20"/>
        </w:rPr>
      </w:pPr>
      <w:r w:rsidRPr="00FC6804">
        <w:rPr>
          <w:rFonts w:ascii="Arial" w:hAnsi="Arial" w:cs="Arial"/>
          <w:sz w:val="20"/>
          <w:szCs w:val="20"/>
        </w:rPr>
        <w:t xml:space="preserve">The proposed </w:t>
      </w:r>
      <w:r w:rsidR="000056D1" w:rsidRPr="00FC6804">
        <w:rPr>
          <w:rFonts w:ascii="Arial" w:hAnsi="Arial" w:cs="Arial"/>
          <w:sz w:val="20"/>
          <w:szCs w:val="20"/>
        </w:rPr>
        <w:t>fees</w:t>
      </w:r>
      <w:r w:rsidRPr="00FC6804">
        <w:rPr>
          <w:rFonts w:ascii="Arial" w:hAnsi="Arial" w:cs="Arial"/>
          <w:sz w:val="20"/>
          <w:szCs w:val="20"/>
        </w:rPr>
        <w:t xml:space="preserve"> are expected to be </w:t>
      </w:r>
      <w:r w:rsidR="00C477E4">
        <w:rPr>
          <w:rFonts w:ascii="Arial" w:hAnsi="Arial" w:cs="Arial"/>
          <w:sz w:val="20"/>
          <w:szCs w:val="20"/>
        </w:rPr>
        <w:t xml:space="preserve">adopted effective 1 July 2016. </w:t>
      </w:r>
      <w:r w:rsidRPr="00FC6804">
        <w:rPr>
          <w:rFonts w:ascii="Arial" w:hAnsi="Arial" w:cs="Arial"/>
          <w:sz w:val="20"/>
          <w:szCs w:val="20"/>
        </w:rPr>
        <w:t>The one exception relates to the fee for the new category of retail butc</w:t>
      </w:r>
      <w:r w:rsidR="00FC6804">
        <w:rPr>
          <w:rFonts w:ascii="Arial" w:hAnsi="Arial" w:cs="Arial"/>
          <w:sz w:val="20"/>
          <w:szCs w:val="20"/>
        </w:rPr>
        <w:t>her</w:t>
      </w:r>
      <w:r w:rsidR="00C477E4">
        <w:rPr>
          <w:rFonts w:ascii="Arial" w:hAnsi="Arial" w:cs="Arial"/>
          <w:sz w:val="20"/>
          <w:szCs w:val="20"/>
        </w:rPr>
        <w:t xml:space="preserve"> </w:t>
      </w:r>
      <w:r w:rsidR="00FC6804">
        <w:rPr>
          <w:rFonts w:ascii="Arial" w:hAnsi="Arial" w:cs="Arial"/>
          <w:sz w:val="20"/>
          <w:szCs w:val="20"/>
        </w:rPr>
        <w:t>s</w:t>
      </w:r>
      <w:r w:rsidR="00C477E4">
        <w:rPr>
          <w:rFonts w:ascii="Arial" w:hAnsi="Arial" w:cs="Arial"/>
          <w:sz w:val="20"/>
          <w:szCs w:val="20"/>
        </w:rPr>
        <w:t>hops</w:t>
      </w:r>
      <w:r w:rsidR="00FC6804">
        <w:rPr>
          <w:rFonts w:ascii="Arial" w:hAnsi="Arial" w:cs="Arial"/>
          <w:sz w:val="20"/>
          <w:szCs w:val="20"/>
        </w:rPr>
        <w:t xml:space="preserve"> manufacturing smallgoods. </w:t>
      </w:r>
      <w:r w:rsidRPr="00FC6804">
        <w:rPr>
          <w:rFonts w:ascii="Arial" w:hAnsi="Arial" w:cs="Arial"/>
          <w:sz w:val="20"/>
          <w:szCs w:val="20"/>
        </w:rPr>
        <w:t xml:space="preserve">The differential fee for this licence category will not come </w:t>
      </w:r>
      <w:r w:rsidR="00C477E4">
        <w:rPr>
          <w:rFonts w:ascii="Arial" w:hAnsi="Arial" w:cs="Arial"/>
          <w:sz w:val="20"/>
          <w:szCs w:val="20"/>
        </w:rPr>
        <w:t xml:space="preserve">into effect until 1 July 2017. </w:t>
      </w:r>
      <w:r w:rsidRPr="00FC6804">
        <w:rPr>
          <w:rFonts w:ascii="Arial" w:hAnsi="Arial" w:cs="Arial"/>
          <w:sz w:val="20"/>
          <w:szCs w:val="20"/>
        </w:rPr>
        <w:t>This reflects the substantial size of the fee increase proposed and the fact that a large proportion of the affected licensees are small businesses.  The provision of an addition 12 months’ notice prior to the charging of this fee will enable these businesses to consider whether they wish to continue or expand their smallgoods operations in light of the higher fee that will be payable.</w:t>
      </w:r>
    </w:p>
    <w:p w:rsidR="00FC6804" w:rsidRDefault="00FC6804" w:rsidP="00FC6804">
      <w:pPr>
        <w:spacing w:after="0" w:line="240" w:lineRule="auto"/>
        <w:rPr>
          <w:rFonts w:ascii="Arial" w:hAnsi="Arial" w:cs="Arial"/>
          <w:sz w:val="20"/>
          <w:szCs w:val="20"/>
        </w:rPr>
      </w:pPr>
    </w:p>
    <w:p w:rsidR="006D2111" w:rsidRPr="00FC6804" w:rsidRDefault="006D2111" w:rsidP="00FC6804">
      <w:pPr>
        <w:spacing w:after="0" w:line="240" w:lineRule="auto"/>
        <w:rPr>
          <w:rFonts w:ascii="Arial" w:hAnsi="Arial" w:cs="Arial"/>
          <w:sz w:val="20"/>
          <w:szCs w:val="20"/>
        </w:rPr>
      </w:pPr>
      <w:r w:rsidRPr="00FC6804">
        <w:rPr>
          <w:rFonts w:ascii="Arial" w:hAnsi="Arial" w:cs="Arial"/>
          <w:sz w:val="20"/>
          <w:szCs w:val="20"/>
        </w:rPr>
        <w:t>The proposed fees have been the subject of substantial consultation with all relevant stakeholder groups carried out during 2015, as d</w:t>
      </w:r>
      <w:r w:rsidR="00FC6804">
        <w:rPr>
          <w:rFonts w:ascii="Arial" w:hAnsi="Arial" w:cs="Arial"/>
          <w:sz w:val="20"/>
          <w:szCs w:val="20"/>
        </w:rPr>
        <w:t>iscussed in Section 1</w:t>
      </w:r>
      <w:r w:rsidR="00C477E4">
        <w:rPr>
          <w:rFonts w:ascii="Arial" w:hAnsi="Arial" w:cs="Arial"/>
          <w:sz w:val="20"/>
          <w:szCs w:val="20"/>
        </w:rPr>
        <w:t>3</w:t>
      </w:r>
      <w:r w:rsidR="00FC6804">
        <w:rPr>
          <w:rFonts w:ascii="Arial" w:hAnsi="Arial" w:cs="Arial"/>
          <w:sz w:val="20"/>
          <w:szCs w:val="20"/>
        </w:rPr>
        <w:t xml:space="preserve">. </w:t>
      </w:r>
      <w:r w:rsidRPr="00FC6804">
        <w:rPr>
          <w:rFonts w:ascii="Arial" w:hAnsi="Arial" w:cs="Arial"/>
          <w:sz w:val="20"/>
          <w:szCs w:val="20"/>
        </w:rPr>
        <w:t>Consequently, there is a high level of knowledge of the proposed changes among licensees and a high level of accep</w:t>
      </w:r>
      <w:r w:rsidR="00FC6804">
        <w:rPr>
          <w:rFonts w:ascii="Arial" w:hAnsi="Arial" w:cs="Arial"/>
          <w:sz w:val="20"/>
          <w:szCs w:val="20"/>
        </w:rPr>
        <w:t xml:space="preserve">tance of the proposed changes. </w:t>
      </w:r>
      <w:r w:rsidR="00FC6804" w:rsidRPr="00FC6804">
        <w:rPr>
          <w:rFonts w:ascii="Arial" w:hAnsi="Arial" w:cs="Arial"/>
          <w:sz w:val="20"/>
          <w:szCs w:val="20"/>
        </w:rPr>
        <w:t>PrimeSafe</w:t>
      </w:r>
      <w:r w:rsidRPr="00FC6804">
        <w:rPr>
          <w:rFonts w:ascii="Arial" w:hAnsi="Arial" w:cs="Arial"/>
          <w:sz w:val="20"/>
          <w:szCs w:val="20"/>
        </w:rPr>
        <w:t xml:space="preserve"> will continue its communications with </w:t>
      </w:r>
      <w:r w:rsidR="00C477E4">
        <w:rPr>
          <w:rFonts w:ascii="Arial" w:hAnsi="Arial" w:cs="Arial"/>
          <w:sz w:val="20"/>
          <w:szCs w:val="20"/>
        </w:rPr>
        <w:t>industries</w:t>
      </w:r>
      <w:r w:rsidRPr="00FC6804">
        <w:rPr>
          <w:rFonts w:ascii="Arial" w:hAnsi="Arial" w:cs="Arial"/>
          <w:sz w:val="20"/>
          <w:szCs w:val="20"/>
        </w:rPr>
        <w:t xml:space="preserve"> to ensure that stakeholders are aware of the details of the</w:t>
      </w:r>
      <w:r w:rsidR="00C477E4">
        <w:rPr>
          <w:rFonts w:ascii="Arial" w:hAnsi="Arial" w:cs="Arial"/>
          <w:sz w:val="20"/>
          <w:szCs w:val="20"/>
        </w:rPr>
        <w:t xml:space="preserve"> implementation of the new fee structure.</w:t>
      </w:r>
    </w:p>
    <w:p w:rsidR="00FC6804" w:rsidRDefault="00FC6804" w:rsidP="00FC6804">
      <w:pPr>
        <w:spacing w:after="0" w:line="240" w:lineRule="auto"/>
        <w:rPr>
          <w:rFonts w:ascii="Arial" w:hAnsi="Arial" w:cs="Arial"/>
          <w:sz w:val="20"/>
          <w:szCs w:val="20"/>
        </w:rPr>
      </w:pPr>
    </w:p>
    <w:p w:rsidR="000056D1" w:rsidRPr="00FC6804" w:rsidRDefault="000056D1" w:rsidP="00FC6804">
      <w:pPr>
        <w:spacing w:after="0" w:line="240" w:lineRule="auto"/>
        <w:rPr>
          <w:rFonts w:ascii="Arial" w:hAnsi="Arial" w:cs="Arial"/>
          <w:sz w:val="20"/>
          <w:szCs w:val="20"/>
        </w:rPr>
      </w:pPr>
      <w:r w:rsidRPr="00FC6804">
        <w:rPr>
          <w:rFonts w:ascii="Arial" w:hAnsi="Arial" w:cs="Arial"/>
          <w:sz w:val="20"/>
          <w:szCs w:val="20"/>
        </w:rPr>
        <w:t>The revised fees will be implemented via Prime</w:t>
      </w:r>
      <w:r w:rsidR="00FC6804">
        <w:rPr>
          <w:rFonts w:ascii="Arial" w:hAnsi="Arial" w:cs="Arial"/>
          <w:sz w:val="20"/>
          <w:szCs w:val="20"/>
        </w:rPr>
        <w:t>S</w:t>
      </w:r>
      <w:r w:rsidRPr="00FC6804">
        <w:rPr>
          <w:rFonts w:ascii="Arial" w:hAnsi="Arial" w:cs="Arial"/>
          <w:sz w:val="20"/>
          <w:szCs w:val="20"/>
        </w:rPr>
        <w:t xml:space="preserve">afe’s current administration </w:t>
      </w:r>
      <w:r w:rsidR="00C477E4">
        <w:rPr>
          <w:rFonts w:ascii="Arial" w:hAnsi="Arial" w:cs="Arial"/>
          <w:sz w:val="20"/>
          <w:szCs w:val="20"/>
        </w:rPr>
        <w:t xml:space="preserve">systems. </w:t>
      </w:r>
      <w:r w:rsidRPr="00FC6804">
        <w:rPr>
          <w:rFonts w:ascii="Arial" w:hAnsi="Arial" w:cs="Arial"/>
          <w:sz w:val="20"/>
          <w:szCs w:val="20"/>
        </w:rPr>
        <w:t>Since only one new fee is being adopted, minimal changes are expected to be required.</w:t>
      </w:r>
    </w:p>
    <w:p w:rsidR="00FC6804" w:rsidRDefault="00FC6804" w:rsidP="00FC6804">
      <w:pPr>
        <w:spacing w:after="0" w:line="240" w:lineRule="auto"/>
        <w:rPr>
          <w:rFonts w:ascii="Arial" w:hAnsi="Arial" w:cs="Arial"/>
          <w:sz w:val="20"/>
          <w:szCs w:val="20"/>
        </w:rPr>
      </w:pPr>
    </w:p>
    <w:p w:rsidR="00A36D71" w:rsidRDefault="006D2111" w:rsidP="00FC6804">
      <w:pPr>
        <w:spacing w:after="0" w:line="240" w:lineRule="auto"/>
        <w:rPr>
          <w:rFonts w:ascii="Arial" w:hAnsi="Arial" w:cs="Arial"/>
          <w:sz w:val="20"/>
          <w:szCs w:val="20"/>
        </w:rPr>
        <w:sectPr w:rsidR="00A36D71" w:rsidSect="00245D1C">
          <w:pgSz w:w="11906" w:h="16838" w:code="9"/>
          <w:pgMar w:top="1440" w:right="1440" w:bottom="1440" w:left="1440" w:header="567" w:footer="567" w:gutter="0"/>
          <w:cols w:space="708"/>
          <w:docGrid w:linePitch="360"/>
        </w:sectPr>
      </w:pPr>
      <w:r w:rsidRPr="00FC6804">
        <w:rPr>
          <w:rFonts w:ascii="Arial" w:hAnsi="Arial" w:cs="Arial"/>
          <w:sz w:val="20"/>
          <w:szCs w:val="20"/>
        </w:rPr>
        <w:t xml:space="preserve">Fees made under the authority conferred by the </w:t>
      </w:r>
      <w:r w:rsidRPr="00FC6804">
        <w:rPr>
          <w:rFonts w:ascii="Arial" w:hAnsi="Arial" w:cs="Arial"/>
          <w:i/>
          <w:sz w:val="20"/>
          <w:szCs w:val="20"/>
        </w:rPr>
        <w:t xml:space="preserve">Meat Industry </w:t>
      </w:r>
      <w:r w:rsidR="00C477E4">
        <w:rPr>
          <w:rFonts w:ascii="Arial" w:hAnsi="Arial" w:cs="Arial"/>
          <w:i/>
          <w:sz w:val="20"/>
          <w:szCs w:val="20"/>
        </w:rPr>
        <w:t>A</w:t>
      </w:r>
      <w:r w:rsidRPr="00FC6804">
        <w:rPr>
          <w:rFonts w:ascii="Arial" w:hAnsi="Arial" w:cs="Arial"/>
          <w:i/>
          <w:sz w:val="20"/>
          <w:szCs w:val="20"/>
        </w:rPr>
        <w:t>ct 1993</w:t>
      </w:r>
      <w:r w:rsidRPr="00FC6804">
        <w:rPr>
          <w:rFonts w:ascii="Arial" w:hAnsi="Arial" w:cs="Arial"/>
          <w:sz w:val="20"/>
          <w:szCs w:val="20"/>
        </w:rPr>
        <w:t xml:space="preserve"> are not limited in duration. </w:t>
      </w:r>
      <w:r w:rsidR="000056D1" w:rsidRPr="00FC6804">
        <w:rPr>
          <w:rFonts w:ascii="Arial" w:hAnsi="Arial" w:cs="Arial"/>
          <w:sz w:val="20"/>
          <w:szCs w:val="20"/>
        </w:rPr>
        <w:t xml:space="preserve">  </w:t>
      </w:r>
      <w:r w:rsidR="00FC6804" w:rsidRPr="00FC6804">
        <w:rPr>
          <w:rFonts w:ascii="Arial" w:hAnsi="Arial" w:cs="Arial"/>
          <w:sz w:val="20"/>
          <w:szCs w:val="20"/>
        </w:rPr>
        <w:t>PrimeSafe</w:t>
      </w:r>
      <w:r w:rsidR="000056D1" w:rsidRPr="00FC6804">
        <w:rPr>
          <w:rFonts w:ascii="Arial" w:hAnsi="Arial" w:cs="Arial"/>
          <w:sz w:val="20"/>
          <w:szCs w:val="20"/>
        </w:rPr>
        <w:t xml:space="preserve"> expects to increase the fees by the rate published by the Treasurer </w:t>
      </w:r>
      <w:r w:rsidR="00C477E4">
        <w:rPr>
          <w:rFonts w:ascii="Arial" w:hAnsi="Arial" w:cs="Arial"/>
          <w:sz w:val="20"/>
          <w:szCs w:val="20"/>
        </w:rPr>
        <w:t xml:space="preserve">for 2017-18. </w:t>
      </w:r>
      <w:r w:rsidR="000056D1" w:rsidRPr="00FC6804">
        <w:rPr>
          <w:rFonts w:ascii="Arial" w:hAnsi="Arial" w:cs="Arial"/>
          <w:sz w:val="20"/>
          <w:szCs w:val="20"/>
        </w:rPr>
        <w:t xml:space="preserve">In the medium term, further reconsideration of the fees will be undertaken in the light of moves toward more risk-based regulatory approaches and the acquisition of better data on the specific regulatory costs attributable to </w:t>
      </w:r>
      <w:r w:rsidR="00E01169">
        <w:rPr>
          <w:rFonts w:ascii="Arial" w:hAnsi="Arial" w:cs="Arial"/>
          <w:sz w:val="20"/>
          <w:szCs w:val="20"/>
        </w:rPr>
        <w:t xml:space="preserve">different groups of licensees. </w:t>
      </w:r>
      <w:r w:rsidR="000056D1" w:rsidRPr="00FC6804">
        <w:rPr>
          <w:rFonts w:ascii="Arial" w:hAnsi="Arial" w:cs="Arial"/>
          <w:sz w:val="20"/>
          <w:szCs w:val="20"/>
        </w:rPr>
        <w:t xml:space="preserve">This is likely to lead to a further realignment of the fee structure. </w:t>
      </w:r>
    </w:p>
    <w:p w:rsidR="000056D1" w:rsidRPr="00FC6804" w:rsidRDefault="000056D1" w:rsidP="0026792B">
      <w:pPr>
        <w:pStyle w:val="Heading1"/>
      </w:pPr>
      <w:bookmarkStart w:id="46" w:name="_Toc443915375"/>
      <w:r w:rsidRPr="00FC6804">
        <w:t>Evaluation strategy</w:t>
      </w:r>
      <w:bookmarkEnd w:id="46"/>
    </w:p>
    <w:p w:rsidR="000056D1" w:rsidRPr="00A36D71" w:rsidRDefault="000056D1" w:rsidP="00A36D71">
      <w:pPr>
        <w:spacing w:after="0" w:line="240" w:lineRule="auto"/>
        <w:rPr>
          <w:rFonts w:ascii="Arial" w:hAnsi="Arial" w:cs="Arial"/>
          <w:sz w:val="20"/>
          <w:szCs w:val="20"/>
        </w:rPr>
      </w:pPr>
    </w:p>
    <w:p w:rsidR="008F00DB" w:rsidRPr="00A36D71" w:rsidRDefault="0072666E" w:rsidP="00A36D71">
      <w:pPr>
        <w:spacing w:after="0" w:line="240" w:lineRule="auto"/>
        <w:rPr>
          <w:rFonts w:ascii="Arial" w:hAnsi="Arial" w:cs="Arial"/>
          <w:sz w:val="20"/>
          <w:szCs w:val="20"/>
        </w:rPr>
      </w:pPr>
      <w:r>
        <w:rPr>
          <w:rFonts w:ascii="Arial" w:hAnsi="Arial" w:cs="Arial"/>
          <w:sz w:val="20"/>
          <w:szCs w:val="20"/>
        </w:rPr>
        <w:t>A</w:t>
      </w:r>
      <w:r w:rsidR="000056D1" w:rsidRPr="00A36D71">
        <w:rPr>
          <w:rFonts w:ascii="Arial" w:hAnsi="Arial" w:cs="Arial"/>
          <w:sz w:val="20"/>
          <w:szCs w:val="20"/>
        </w:rPr>
        <w:t xml:space="preserve"> key task to be undertaken by </w:t>
      </w:r>
      <w:r w:rsidR="00A36D71" w:rsidRPr="00A36D71">
        <w:rPr>
          <w:rFonts w:ascii="Arial" w:hAnsi="Arial" w:cs="Arial"/>
          <w:sz w:val="20"/>
          <w:szCs w:val="20"/>
        </w:rPr>
        <w:t>PrimeSafe</w:t>
      </w:r>
      <w:r w:rsidR="000056D1" w:rsidRPr="00A36D71">
        <w:rPr>
          <w:rFonts w:ascii="Arial" w:hAnsi="Arial" w:cs="Arial"/>
          <w:sz w:val="20"/>
          <w:szCs w:val="20"/>
        </w:rPr>
        <w:t xml:space="preserve"> in connection with the proposed fees is to improve its understanding of the costs incurred by it in undertaking a range of specific regulatory activities in relation to a range of different licensee groups.  </w:t>
      </w:r>
    </w:p>
    <w:p w:rsidR="00A36D71" w:rsidRDefault="00A36D71" w:rsidP="00A36D71">
      <w:pPr>
        <w:spacing w:after="0" w:line="240" w:lineRule="auto"/>
        <w:rPr>
          <w:rFonts w:ascii="Arial" w:hAnsi="Arial" w:cs="Arial"/>
          <w:sz w:val="20"/>
          <w:szCs w:val="20"/>
        </w:rPr>
      </w:pPr>
    </w:p>
    <w:p w:rsidR="00937579" w:rsidRPr="00A36D71" w:rsidRDefault="000056D1" w:rsidP="00A36D71">
      <w:pPr>
        <w:spacing w:after="0" w:line="240" w:lineRule="auto"/>
        <w:rPr>
          <w:rFonts w:ascii="Arial" w:hAnsi="Arial" w:cs="Arial"/>
          <w:sz w:val="20"/>
          <w:szCs w:val="20"/>
        </w:rPr>
      </w:pPr>
      <w:r w:rsidRPr="00A36D71">
        <w:rPr>
          <w:rFonts w:ascii="Arial" w:hAnsi="Arial" w:cs="Arial"/>
          <w:sz w:val="20"/>
          <w:szCs w:val="20"/>
        </w:rPr>
        <w:t>This will be done</w:t>
      </w:r>
      <w:r w:rsidR="008F00DB" w:rsidRPr="00A36D71">
        <w:rPr>
          <w:rFonts w:ascii="Arial" w:hAnsi="Arial" w:cs="Arial"/>
          <w:sz w:val="20"/>
          <w:szCs w:val="20"/>
        </w:rPr>
        <w:t xml:space="preserve"> in the context of </w:t>
      </w:r>
      <w:r w:rsidR="000510D4" w:rsidRPr="00A36D71">
        <w:rPr>
          <w:rFonts w:ascii="Arial" w:hAnsi="Arial" w:cs="Arial"/>
          <w:sz w:val="20"/>
          <w:szCs w:val="20"/>
        </w:rPr>
        <w:t xml:space="preserve">broader </w:t>
      </w:r>
      <w:r w:rsidR="008F00DB" w:rsidRPr="00A36D71">
        <w:rPr>
          <w:rFonts w:ascii="Arial" w:hAnsi="Arial" w:cs="Arial"/>
          <w:sz w:val="20"/>
          <w:szCs w:val="20"/>
        </w:rPr>
        <w:t>reviews currently being commenced of its inspection and surveillance program</w:t>
      </w:r>
      <w:r w:rsidR="000510D4" w:rsidRPr="00A36D71">
        <w:rPr>
          <w:rFonts w:ascii="Arial" w:hAnsi="Arial" w:cs="Arial"/>
          <w:sz w:val="20"/>
          <w:szCs w:val="20"/>
        </w:rPr>
        <w:t>s and will form an important element of these</w:t>
      </w:r>
      <w:r w:rsidR="00A36D71">
        <w:rPr>
          <w:rFonts w:ascii="Arial" w:hAnsi="Arial" w:cs="Arial"/>
          <w:sz w:val="20"/>
          <w:szCs w:val="20"/>
        </w:rPr>
        <w:t xml:space="preserve"> reviews. </w:t>
      </w:r>
      <w:r w:rsidR="00937579" w:rsidRPr="00A36D71">
        <w:rPr>
          <w:rFonts w:ascii="Arial" w:hAnsi="Arial" w:cs="Arial"/>
          <w:sz w:val="20"/>
          <w:szCs w:val="20"/>
        </w:rPr>
        <w:t xml:space="preserve">In line with normal </w:t>
      </w:r>
      <w:r w:rsidR="00A36D71" w:rsidRPr="00A36D71">
        <w:rPr>
          <w:rFonts w:ascii="Arial" w:hAnsi="Arial" w:cs="Arial"/>
          <w:sz w:val="20"/>
          <w:szCs w:val="20"/>
        </w:rPr>
        <w:t>PrimeSafe</w:t>
      </w:r>
      <w:r w:rsidR="00937579" w:rsidRPr="00A36D71">
        <w:rPr>
          <w:rFonts w:ascii="Arial" w:hAnsi="Arial" w:cs="Arial"/>
          <w:sz w:val="20"/>
          <w:szCs w:val="20"/>
        </w:rPr>
        <w:t xml:space="preserve"> practice, this review activity will be undertaken in full consultation with stakeholders, who will have opportunities to engage in dialogue on both the issue of inspection and surveillance and that of appropriate future fee structures.</w:t>
      </w:r>
    </w:p>
    <w:p w:rsidR="00A36D71" w:rsidRDefault="00A36D71" w:rsidP="00A36D71">
      <w:pPr>
        <w:spacing w:after="0" w:line="240" w:lineRule="auto"/>
        <w:rPr>
          <w:rFonts w:ascii="Arial" w:hAnsi="Arial" w:cs="Arial"/>
          <w:sz w:val="20"/>
          <w:szCs w:val="20"/>
        </w:rPr>
      </w:pPr>
    </w:p>
    <w:p w:rsidR="000510D4" w:rsidRPr="00A36D71" w:rsidRDefault="00CB5AD6" w:rsidP="00A36D71">
      <w:pPr>
        <w:spacing w:after="0" w:line="240" w:lineRule="auto"/>
        <w:rPr>
          <w:rFonts w:ascii="Arial" w:hAnsi="Arial" w:cs="Arial"/>
          <w:sz w:val="20"/>
          <w:szCs w:val="20"/>
        </w:rPr>
      </w:pPr>
      <w:r w:rsidRPr="00A36D71">
        <w:rPr>
          <w:rFonts w:ascii="Arial" w:hAnsi="Arial" w:cs="Arial"/>
          <w:sz w:val="20"/>
          <w:szCs w:val="20"/>
        </w:rPr>
        <w:t>A</w:t>
      </w:r>
      <w:r w:rsidR="000510D4" w:rsidRPr="00A36D71">
        <w:rPr>
          <w:rFonts w:ascii="Arial" w:hAnsi="Arial" w:cs="Arial"/>
          <w:sz w:val="20"/>
          <w:szCs w:val="20"/>
        </w:rPr>
        <w:t>s a result of the reviews, there will</w:t>
      </w:r>
      <w:r w:rsidRPr="00A36D71">
        <w:rPr>
          <w:rFonts w:ascii="Arial" w:hAnsi="Arial" w:cs="Arial"/>
          <w:sz w:val="20"/>
          <w:szCs w:val="20"/>
        </w:rPr>
        <w:t xml:space="preserve"> likely</w:t>
      </w:r>
      <w:r w:rsidR="000510D4" w:rsidRPr="00A36D71">
        <w:rPr>
          <w:rFonts w:ascii="Arial" w:hAnsi="Arial" w:cs="Arial"/>
          <w:sz w:val="20"/>
          <w:szCs w:val="20"/>
        </w:rPr>
        <w:t xml:space="preserve"> be a significant reorientation of Prime</w:t>
      </w:r>
      <w:r w:rsidR="00A36D71">
        <w:rPr>
          <w:rFonts w:ascii="Arial" w:hAnsi="Arial" w:cs="Arial"/>
          <w:sz w:val="20"/>
          <w:szCs w:val="20"/>
        </w:rPr>
        <w:t xml:space="preserve">Safe’s inspection activities. </w:t>
      </w:r>
      <w:r w:rsidR="000510D4" w:rsidRPr="00A36D71">
        <w:rPr>
          <w:rFonts w:ascii="Arial" w:hAnsi="Arial" w:cs="Arial"/>
          <w:sz w:val="20"/>
          <w:szCs w:val="20"/>
        </w:rPr>
        <w:t xml:space="preserve">While the resources devoted to the inspection function will </w:t>
      </w:r>
      <w:r w:rsidRPr="00A36D71">
        <w:rPr>
          <w:rFonts w:ascii="Arial" w:hAnsi="Arial" w:cs="Arial"/>
          <w:sz w:val="20"/>
          <w:szCs w:val="20"/>
        </w:rPr>
        <w:t xml:space="preserve">not </w:t>
      </w:r>
      <w:r w:rsidR="000510D4" w:rsidRPr="00A36D71">
        <w:rPr>
          <w:rFonts w:ascii="Arial" w:hAnsi="Arial" w:cs="Arial"/>
          <w:sz w:val="20"/>
          <w:szCs w:val="20"/>
        </w:rPr>
        <w:t>be reduced, the focus of the inspection activity is expected to shift in some areas, notably through replacing the current strong focus on SO</w:t>
      </w:r>
      <w:r w:rsidR="000510D4" w:rsidRPr="00A36D71">
        <w:rPr>
          <w:rFonts w:ascii="Arial" w:hAnsi="Arial" w:cs="Arial"/>
          <w:sz w:val="20"/>
          <w:szCs w:val="20"/>
          <w:vertAlign w:val="subscript"/>
        </w:rPr>
        <w:t>2</w:t>
      </w:r>
      <w:r w:rsidR="000510D4" w:rsidRPr="00A36D71">
        <w:rPr>
          <w:rFonts w:ascii="Arial" w:hAnsi="Arial" w:cs="Arial"/>
          <w:sz w:val="20"/>
          <w:szCs w:val="20"/>
        </w:rPr>
        <w:t xml:space="preserve"> with approaches that targ</w:t>
      </w:r>
      <w:r w:rsidR="00A36D71">
        <w:rPr>
          <w:rFonts w:ascii="Arial" w:hAnsi="Arial" w:cs="Arial"/>
          <w:sz w:val="20"/>
          <w:szCs w:val="20"/>
        </w:rPr>
        <w:t xml:space="preserve">et a wider range of allergens. </w:t>
      </w:r>
      <w:r w:rsidR="000510D4" w:rsidRPr="00A36D71">
        <w:rPr>
          <w:rFonts w:ascii="Arial" w:hAnsi="Arial" w:cs="Arial"/>
          <w:sz w:val="20"/>
          <w:szCs w:val="20"/>
        </w:rPr>
        <w:t>This may mean that a smaller number of more complex or detail</w:t>
      </w:r>
      <w:r w:rsidR="00A36D71">
        <w:rPr>
          <w:rFonts w:ascii="Arial" w:hAnsi="Arial" w:cs="Arial"/>
          <w:sz w:val="20"/>
          <w:szCs w:val="20"/>
        </w:rPr>
        <w:t xml:space="preserve">ed inspections are undertaken. </w:t>
      </w:r>
      <w:r w:rsidR="000510D4" w:rsidRPr="00A36D71">
        <w:rPr>
          <w:rFonts w:ascii="Arial" w:hAnsi="Arial" w:cs="Arial"/>
          <w:sz w:val="20"/>
          <w:szCs w:val="20"/>
        </w:rPr>
        <w:t xml:space="preserve">As </w:t>
      </w:r>
      <w:r w:rsidR="0072666E">
        <w:rPr>
          <w:rFonts w:ascii="Arial" w:hAnsi="Arial" w:cs="Arial"/>
          <w:sz w:val="20"/>
          <w:szCs w:val="20"/>
        </w:rPr>
        <w:t xml:space="preserve">previously </w:t>
      </w:r>
      <w:r w:rsidR="000510D4" w:rsidRPr="00A36D71">
        <w:rPr>
          <w:rFonts w:ascii="Arial" w:hAnsi="Arial" w:cs="Arial"/>
          <w:sz w:val="20"/>
          <w:szCs w:val="20"/>
        </w:rPr>
        <w:t>noted, an increase in the use of risk assessments as the basis for directing this activity will drive these changes to a significant extent</w:t>
      </w:r>
      <w:r w:rsidRPr="00A36D71">
        <w:rPr>
          <w:rFonts w:ascii="Arial" w:hAnsi="Arial" w:cs="Arial"/>
          <w:sz w:val="20"/>
          <w:szCs w:val="20"/>
        </w:rPr>
        <w:t xml:space="preserve"> and can be expected to achieve improved outcomes</w:t>
      </w:r>
      <w:r w:rsidR="000510D4" w:rsidRPr="00A36D71">
        <w:rPr>
          <w:rFonts w:ascii="Arial" w:hAnsi="Arial" w:cs="Arial"/>
          <w:sz w:val="20"/>
          <w:szCs w:val="20"/>
        </w:rPr>
        <w:t>.</w:t>
      </w:r>
    </w:p>
    <w:p w:rsidR="00A36D71" w:rsidRDefault="00A36D71" w:rsidP="00A36D71">
      <w:pPr>
        <w:spacing w:after="0" w:line="240" w:lineRule="auto"/>
        <w:rPr>
          <w:rFonts w:ascii="Arial" w:hAnsi="Arial" w:cs="Arial"/>
          <w:sz w:val="20"/>
          <w:szCs w:val="20"/>
        </w:rPr>
      </w:pPr>
    </w:p>
    <w:p w:rsidR="000510D4" w:rsidRPr="00A36D71" w:rsidRDefault="000510D4" w:rsidP="00A36D71">
      <w:pPr>
        <w:spacing w:after="0" w:line="240" w:lineRule="auto"/>
        <w:rPr>
          <w:rFonts w:ascii="Arial" w:hAnsi="Arial" w:cs="Arial"/>
          <w:sz w:val="20"/>
          <w:szCs w:val="20"/>
        </w:rPr>
      </w:pPr>
      <w:r w:rsidRPr="00A36D71">
        <w:rPr>
          <w:rFonts w:ascii="Arial" w:hAnsi="Arial" w:cs="Arial"/>
          <w:sz w:val="20"/>
          <w:szCs w:val="20"/>
        </w:rPr>
        <w:t>Ensuring a sound understanding of the costs involved in carrying out inspections in different contexts and for different purposes will be essential in enabling a significantly revised inspection program to be</w:t>
      </w:r>
      <w:r w:rsidR="0072666E">
        <w:rPr>
          <w:rFonts w:ascii="Arial" w:hAnsi="Arial" w:cs="Arial"/>
          <w:sz w:val="20"/>
          <w:szCs w:val="20"/>
        </w:rPr>
        <w:t xml:space="preserve"> undertaken. </w:t>
      </w:r>
      <w:r w:rsidRPr="00A36D71">
        <w:rPr>
          <w:rFonts w:ascii="Arial" w:hAnsi="Arial" w:cs="Arial"/>
          <w:sz w:val="20"/>
          <w:szCs w:val="20"/>
        </w:rPr>
        <w:t>This implies that the cost analysis underpinning fee</w:t>
      </w:r>
      <w:r w:rsidR="0072666E">
        <w:rPr>
          <w:rFonts w:ascii="Arial" w:hAnsi="Arial" w:cs="Arial"/>
          <w:sz w:val="20"/>
          <w:szCs w:val="20"/>
        </w:rPr>
        <w:t xml:space="preserve"> </w:t>
      </w:r>
      <w:r w:rsidRPr="00A36D71">
        <w:rPr>
          <w:rFonts w:ascii="Arial" w:hAnsi="Arial" w:cs="Arial"/>
          <w:sz w:val="20"/>
          <w:szCs w:val="20"/>
        </w:rPr>
        <w:t xml:space="preserve">setting will be more detailed and accurate than that reported in the current </w:t>
      </w:r>
      <w:r w:rsidR="0072666E">
        <w:rPr>
          <w:rFonts w:ascii="Arial" w:hAnsi="Arial" w:cs="Arial"/>
          <w:sz w:val="20"/>
          <w:szCs w:val="20"/>
        </w:rPr>
        <w:t>Regulatory Impact Statement</w:t>
      </w:r>
      <w:r w:rsidRPr="00A36D71">
        <w:rPr>
          <w:rFonts w:ascii="Arial" w:hAnsi="Arial" w:cs="Arial"/>
          <w:sz w:val="20"/>
          <w:szCs w:val="20"/>
        </w:rPr>
        <w:t xml:space="preserve">.  </w:t>
      </w:r>
    </w:p>
    <w:p w:rsidR="00A36D71" w:rsidRDefault="00A36D71" w:rsidP="00A36D71">
      <w:pPr>
        <w:spacing w:after="0" w:line="240" w:lineRule="auto"/>
        <w:rPr>
          <w:rFonts w:ascii="Arial" w:hAnsi="Arial" w:cs="Arial"/>
          <w:sz w:val="20"/>
          <w:szCs w:val="20"/>
        </w:rPr>
      </w:pPr>
    </w:p>
    <w:p w:rsidR="00B2479C" w:rsidRPr="00A36D71" w:rsidRDefault="00CB5AD6" w:rsidP="00A36D71">
      <w:pPr>
        <w:spacing w:after="0" w:line="240" w:lineRule="auto"/>
        <w:rPr>
          <w:rFonts w:ascii="Arial" w:hAnsi="Arial" w:cs="Arial"/>
          <w:sz w:val="20"/>
          <w:szCs w:val="20"/>
        </w:rPr>
      </w:pPr>
      <w:r w:rsidRPr="00A36D71">
        <w:rPr>
          <w:rFonts w:ascii="Arial" w:hAnsi="Arial" w:cs="Arial"/>
          <w:sz w:val="20"/>
          <w:szCs w:val="20"/>
        </w:rPr>
        <w:t>A</w:t>
      </w:r>
      <w:r w:rsidR="000510D4" w:rsidRPr="00A36D71">
        <w:rPr>
          <w:rFonts w:ascii="Arial" w:hAnsi="Arial" w:cs="Arial"/>
          <w:sz w:val="20"/>
          <w:szCs w:val="20"/>
        </w:rPr>
        <w:t xml:space="preserve"> more disaggregated analysis of the activities which make up the “CEO/</w:t>
      </w:r>
      <w:r w:rsidR="005D029C" w:rsidRPr="00A36D71">
        <w:rPr>
          <w:rFonts w:ascii="Arial" w:hAnsi="Arial" w:cs="Arial"/>
          <w:sz w:val="20"/>
          <w:szCs w:val="20"/>
        </w:rPr>
        <w:t>Administration</w:t>
      </w:r>
      <w:r w:rsidR="000510D4" w:rsidRPr="00A36D71">
        <w:rPr>
          <w:rFonts w:ascii="Arial" w:hAnsi="Arial" w:cs="Arial"/>
          <w:sz w:val="20"/>
          <w:szCs w:val="20"/>
        </w:rPr>
        <w:t xml:space="preserve">” cost category will </w:t>
      </w:r>
      <w:r w:rsidRPr="00A36D71">
        <w:rPr>
          <w:rFonts w:ascii="Arial" w:hAnsi="Arial" w:cs="Arial"/>
          <w:sz w:val="20"/>
          <w:szCs w:val="20"/>
        </w:rPr>
        <w:t xml:space="preserve">also </w:t>
      </w:r>
      <w:r w:rsidR="00A36D71">
        <w:rPr>
          <w:rFonts w:ascii="Arial" w:hAnsi="Arial" w:cs="Arial"/>
          <w:sz w:val="20"/>
          <w:szCs w:val="20"/>
        </w:rPr>
        <w:t xml:space="preserve">be undertaken. </w:t>
      </w:r>
      <w:r w:rsidRPr="00A36D71">
        <w:rPr>
          <w:rFonts w:ascii="Arial" w:hAnsi="Arial" w:cs="Arial"/>
          <w:sz w:val="20"/>
          <w:szCs w:val="20"/>
        </w:rPr>
        <w:t>T</w:t>
      </w:r>
      <w:r w:rsidR="000510D4" w:rsidRPr="00A36D71">
        <w:rPr>
          <w:rFonts w:ascii="Arial" w:hAnsi="Arial" w:cs="Arial"/>
          <w:sz w:val="20"/>
          <w:szCs w:val="20"/>
        </w:rPr>
        <w:t>his will provide data to support consideration of different allocations of elements of this cost category, in preference to the current approach which simply distributes this cost</w:t>
      </w:r>
      <w:r w:rsidR="00A36D71">
        <w:rPr>
          <w:rFonts w:ascii="Arial" w:hAnsi="Arial" w:cs="Arial"/>
          <w:sz w:val="20"/>
          <w:szCs w:val="20"/>
        </w:rPr>
        <w:t xml:space="preserve"> equally across all licensees. </w:t>
      </w:r>
      <w:r w:rsidR="000510D4" w:rsidRPr="00A36D71">
        <w:rPr>
          <w:rFonts w:ascii="Arial" w:hAnsi="Arial" w:cs="Arial"/>
          <w:sz w:val="20"/>
          <w:szCs w:val="20"/>
        </w:rPr>
        <w:t>This reflects the view that, while there are significant fixed costs associated with the regulatory function, not all items currently included in the CEO/Administration category are likely</w:t>
      </w:r>
      <w:r w:rsidR="00A36D71">
        <w:rPr>
          <w:rFonts w:ascii="Arial" w:hAnsi="Arial" w:cs="Arial"/>
          <w:sz w:val="20"/>
          <w:szCs w:val="20"/>
        </w:rPr>
        <w:t xml:space="preserve"> to fall within this category. </w:t>
      </w:r>
      <w:r w:rsidR="000510D4" w:rsidRPr="00A36D71">
        <w:rPr>
          <w:rFonts w:ascii="Arial" w:hAnsi="Arial" w:cs="Arial"/>
          <w:sz w:val="20"/>
          <w:szCs w:val="20"/>
        </w:rPr>
        <w:t>An example is given by the production of guidance materials</w:t>
      </w:r>
      <w:r w:rsidR="00B2479C" w:rsidRPr="00A36D71">
        <w:rPr>
          <w:rFonts w:ascii="Arial" w:hAnsi="Arial" w:cs="Arial"/>
          <w:sz w:val="20"/>
          <w:szCs w:val="20"/>
        </w:rPr>
        <w:t xml:space="preserve"> on the production of dry-aged beef, highlighted in Section </w:t>
      </w:r>
      <w:r w:rsidR="0072666E">
        <w:rPr>
          <w:rFonts w:ascii="Arial" w:hAnsi="Arial" w:cs="Arial"/>
          <w:sz w:val="20"/>
          <w:szCs w:val="20"/>
        </w:rPr>
        <w:t>5</w:t>
      </w:r>
      <w:r w:rsidR="00B2479C" w:rsidRPr="00A36D71">
        <w:rPr>
          <w:rFonts w:ascii="Arial" w:hAnsi="Arial" w:cs="Arial"/>
          <w:sz w:val="20"/>
          <w:szCs w:val="20"/>
        </w:rPr>
        <w:t>.2.</w:t>
      </w:r>
      <w:r w:rsidR="00A36D71">
        <w:rPr>
          <w:rFonts w:ascii="Arial" w:hAnsi="Arial" w:cs="Arial"/>
          <w:sz w:val="20"/>
          <w:szCs w:val="20"/>
        </w:rPr>
        <w:t xml:space="preserve"> </w:t>
      </w:r>
      <w:r w:rsidR="00F32064" w:rsidRPr="00A36D71">
        <w:rPr>
          <w:rFonts w:ascii="Arial" w:hAnsi="Arial" w:cs="Arial"/>
          <w:sz w:val="20"/>
          <w:szCs w:val="20"/>
        </w:rPr>
        <w:t>This process will be facilitated by the adoption of a new integrated licensee database, which is currently being sourced.</w:t>
      </w:r>
    </w:p>
    <w:p w:rsidR="00A36D71" w:rsidRDefault="00A36D71" w:rsidP="00A36D71">
      <w:pPr>
        <w:spacing w:after="0" w:line="240" w:lineRule="auto"/>
        <w:rPr>
          <w:rFonts w:ascii="Arial" w:hAnsi="Arial" w:cs="Arial"/>
          <w:sz w:val="20"/>
          <w:szCs w:val="20"/>
        </w:rPr>
      </w:pPr>
    </w:p>
    <w:p w:rsidR="001149D8" w:rsidRDefault="00B2479C" w:rsidP="00A36D71">
      <w:pPr>
        <w:spacing w:after="0" w:line="240" w:lineRule="auto"/>
        <w:rPr>
          <w:rFonts w:asciiTheme="majorHAnsi" w:eastAsiaTheme="majorEastAsia" w:hAnsiTheme="majorHAnsi" w:cstheme="majorBidi"/>
          <w:color w:val="2E74B5" w:themeColor="accent1" w:themeShade="BF"/>
          <w:sz w:val="32"/>
          <w:szCs w:val="32"/>
        </w:rPr>
        <w:sectPr w:rsidR="001149D8" w:rsidSect="00245D1C">
          <w:pgSz w:w="11906" w:h="16838" w:code="9"/>
          <w:pgMar w:top="1440" w:right="1440" w:bottom="1440" w:left="1440" w:header="567" w:footer="567" w:gutter="0"/>
          <w:cols w:space="708"/>
          <w:docGrid w:linePitch="360"/>
        </w:sectPr>
      </w:pPr>
      <w:r w:rsidRPr="00A36D71">
        <w:rPr>
          <w:rFonts w:ascii="Arial" w:hAnsi="Arial" w:cs="Arial"/>
          <w:sz w:val="20"/>
          <w:szCs w:val="20"/>
        </w:rPr>
        <w:t>Given the significant changes to Prime</w:t>
      </w:r>
      <w:r w:rsidR="00A36D71">
        <w:rPr>
          <w:rFonts w:ascii="Arial" w:hAnsi="Arial" w:cs="Arial"/>
          <w:sz w:val="20"/>
          <w:szCs w:val="20"/>
        </w:rPr>
        <w:t>S</w:t>
      </w:r>
      <w:r w:rsidRPr="00A36D71">
        <w:rPr>
          <w:rFonts w:ascii="Arial" w:hAnsi="Arial" w:cs="Arial"/>
          <w:sz w:val="20"/>
          <w:szCs w:val="20"/>
        </w:rPr>
        <w:t>afe’s operations likely to arise as a result of the above-mentioned reviews, as well as the need to consider the impact of the fee changes currently proposed, Prime</w:t>
      </w:r>
      <w:r w:rsidR="00A36D71">
        <w:rPr>
          <w:rFonts w:ascii="Arial" w:hAnsi="Arial" w:cs="Arial"/>
          <w:sz w:val="20"/>
          <w:szCs w:val="20"/>
        </w:rPr>
        <w:t>S</w:t>
      </w:r>
      <w:r w:rsidRPr="00A36D71">
        <w:rPr>
          <w:rFonts w:ascii="Arial" w:hAnsi="Arial" w:cs="Arial"/>
          <w:sz w:val="20"/>
          <w:szCs w:val="20"/>
        </w:rPr>
        <w:t xml:space="preserve">afe </w:t>
      </w:r>
      <w:r w:rsidR="00CB5AD6" w:rsidRPr="00A36D71">
        <w:rPr>
          <w:rFonts w:ascii="Arial" w:hAnsi="Arial" w:cs="Arial"/>
          <w:sz w:val="20"/>
          <w:szCs w:val="20"/>
        </w:rPr>
        <w:t>will undertake</w:t>
      </w:r>
      <w:r w:rsidRPr="00A36D71">
        <w:rPr>
          <w:rFonts w:ascii="Arial" w:hAnsi="Arial" w:cs="Arial"/>
          <w:sz w:val="20"/>
          <w:szCs w:val="20"/>
        </w:rPr>
        <w:t xml:space="preserve"> a substantive reconsideration of its fee structure within the next two to three years.</w:t>
      </w:r>
      <w:r w:rsidR="00A36D71">
        <w:rPr>
          <w:rFonts w:ascii="Arial" w:hAnsi="Arial" w:cs="Arial"/>
          <w:sz w:val="20"/>
          <w:szCs w:val="20"/>
        </w:rPr>
        <w:t xml:space="preserve"> </w:t>
      </w:r>
      <w:r w:rsidR="00937579" w:rsidRPr="00A36D71">
        <w:rPr>
          <w:rFonts w:ascii="Arial" w:hAnsi="Arial" w:cs="Arial"/>
          <w:sz w:val="20"/>
          <w:szCs w:val="20"/>
        </w:rPr>
        <w:t>This will aim to ensure that it meets the requirement of the Ministerial Statement of Expectations that it ensure “</w:t>
      </w:r>
      <w:r w:rsidR="00937579" w:rsidRPr="00A36D71">
        <w:rPr>
          <w:rFonts w:ascii="Arial" w:hAnsi="Arial" w:cs="Arial"/>
          <w:i/>
          <w:sz w:val="20"/>
          <w:szCs w:val="20"/>
        </w:rPr>
        <w:t>fee structures and compliance and enforcement policies are appropriate, proportionate and transparent, regardless of business size or sector</w:t>
      </w:r>
      <w:r w:rsidR="00937579" w:rsidRPr="00A36D71">
        <w:rPr>
          <w:rFonts w:ascii="Arial" w:hAnsi="Arial" w:cs="Arial"/>
          <w:sz w:val="20"/>
          <w:szCs w:val="20"/>
        </w:rPr>
        <w:t>”.</w:t>
      </w:r>
      <w:r w:rsidRPr="00FC6804">
        <w:t xml:space="preserve"> </w:t>
      </w:r>
      <w:r w:rsidR="000510D4" w:rsidRPr="00FC6804">
        <w:rPr>
          <w:rFonts w:asciiTheme="majorHAnsi" w:eastAsiaTheme="majorEastAsia" w:hAnsiTheme="majorHAnsi" w:cstheme="majorBidi"/>
          <w:color w:val="2E74B5" w:themeColor="accent1" w:themeShade="BF"/>
          <w:sz w:val="32"/>
          <w:szCs w:val="32"/>
        </w:rPr>
        <w:t xml:space="preserve">  </w:t>
      </w:r>
    </w:p>
    <w:p w:rsidR="00E75994" w:rsidRPr="00FC6804" w:rsidRDefault="008C4F65" w:rsidP="0026792B">
      <w:pPr>
        <w:pStyle w:val="Heading1"/>
      </w:pPr>
      <w:bookmarkStart w:id="47" w:name="_Toc443915376"/>
      <w:r w:rsidRPr="00FC6804">
        <w:t xml:space="preserve">Appendix 1: </w:t>
      </w:r>
      <w:r w:rsidR="00E75994" w:rsidRPr="00FC6804">
        <w:t xml:space="preserve">Proposed </w:t>
      </w:r>
      <w:r w:rsidR="001149D8" w:rsidRPr="00FC6804">
        <w:t>PrimeSafe</w:t>
      </w:r>
      <w:r w:rsidR="00E75994" w:rsidRPr="00FC6804">
        <w:t xml:space="preserve"> </w:t>
      </w:r>
      <w:r w:rsidR="008E452E">
        <w:t>f</w:t>
      </w:r>
      <w:r w:rsidR="00E75994" w:rsidRPr="00FC6804">
        <w:t xml:space="preserve">ee </w:t>
      </w:r>
      <w:r w:rsidR="008E452E">
        <w:t>s</w:t>
      </w:r>
      <w:r w:rsidR="00E75994" w:rsidRPr="00FC6804">
        <w:t>chedule</w:t>
      </w:r>
      <w:bookmarkEnd w:id="47"/>
    </w:p>
    <w:p w:rsidR="00E75994" w:rsidRPr="001149D8" w:rsidRDefault="00E75994" w:rsidP="001149D8">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2935"/>
        <w:gridCol w:w="3410"/>
        <w:gridCol w:w="1516"/>
        <w:gridCol w:w="1381"/>
      </w:tblGrid>
      <w:tr w:rsidR="00E75994" w:rsidRPr="00FC6804" w:rsidTr="00851F2E">
        <w:tc>
          <w:tcPr>
            <w:tcW w:w="2935" w:type="dxa"/>
            <w:shd w:val="clear" w:color="auto" w:fill="F2F2F2" w:themeFill="background1" w:themeFillShade="F2"/>
            <w:vAlign w:val="center"/>
          </w:tcPr>
          <w:p w:rsidR="00E75994" w:rsidRPr="001149D8" w:rsidRDefault="00E75994" w:rsidP="00383F52">
            <w:pPr>
              <w:spacing w:before="60" w:after="60"/>
              <w:jc w:val="center"/>
              <w:rPr>
                <w:rFonts w:ascii="Arial" w:hAnsi="Arial" w:cs="Arial"/>
                <w:b/>
                <w:sz w:val="20"/>
                <w:szCs w:val="20"/>
              </w:rPr>
            </w:pPr>
            <w:r w:rsidRPr="001149D8">
              <w:rPr>
                <w:rFonts w:ascii="Arial" w:hAnsi="Arial" w:cs="Arial"/>
                <w:b/>
                <w:sz w:val="20"/>
                <w:szCs w:val="20"/>
              </w:rPr>
              <w:t>Licence Category</w:t>
            </w:r>
          </w:p>
        </w:tc>
        <w:tc>
          <w:tcPr>
            <w:tcW w:w="3410" w:type="dxa"/>
            <w:shd w:val="clear" w:color="auto" w:fill="F2F2F2" w:themeFill="background1" w:themeFillShade="F2"/>
            <w:vAlign w:val="center"/>
          </w:tcPr>
          <w:p w:rsidR="00E75994" w:rsidRPr="001149D8" w:rsidRDefault="00E75994" w:rsidP="00383F52">
            <w:pPr>
              <w:spacing w:before="60" w:after="60"/>
              <w:jc w:val="center"/>
              <w:rPr>
                <w:rFonts w:ascii="Arial" w:hAnsi="Arial" w:cs="Arial"/>
                <w:b/>
                <w:sz w:val="20"/>
                <w:szCs w:val="20"/>
              </w:rPr>
            </w:pPr>
            <w:r w:rsidRPr="001149D8">
              <w:rPr>
                <w:rFonts w:ascii="Arial" w:hAnsi="Arial" w:cs="Arial"/>
                <w:b/>
                <w:sz w:val="20"/>
                <w:szCs w:val="20"/>
              </w:rPr>
              <w:t>Annual Throughput</w:t>
            </w:r>
          </w:p>
        </w:tc>
        <w:tc>
          <w:tcPr>
            <w:tcW w:w="1516" w:type="dxa"/>
            <w:shd w:val="clear" w:color="auto" w:fill="F2F2F2" w:themeFill="background1" w:themeFillShade="F2"/>
            <w:vAlign w:val="center"/>
          </w:tcPr>
          <w:p w:rsidR="00E75994" w:rsidRPr="001149D8" w:rsidRDefault="00E75994" w:rsidP="00383F52">
            <w:pPr>
              <w:spacing w:before="60" w:after="60"/>
              <w:jc w:val="center"/>
              <w:rPr>
                <w:rFonts w:ascii="Arial" w:hAnsi="Arial" w:cs="Arial"/>
                <w:b/>
                <w:sz w:val="20"/>
                <w:szCs w:val="20"/>
              </w:rPr>
            </w:pPr>
            <w:r w:rsidRPr="001149D8">
              <w:rPr>
                <w:rFonts w:ascii="Arial" w:hAnsi="Arial" w:cs="Arial"/>
                <w:b/>
                <w:sz w:val="20"/>
                <w:szCs w:val="20"/>
              </w:rPr>
              <w:t>Application Fee (Payable with first annual fee only)</w:t>
            </w:r>
          </w:p>
          <w:p w:rsidR="00E75994" w:rsidRPr="001149D8" w:rsidRDefault="00E75994" w:rsidP="00383F52">
            <w:pPr>
              <w:spacing w:before="60" w:after="60"/>
              <w:jc w:val="center"/>
              <w:rPr>
                <w:rFonts w:ascii="Arial" w:hAnsi="Arial" w:cs="Arial"/>
                <w:b/>
                <w:sz w:val="20"/>
                <w:szCs w:val="20"/>
              </w:rPr>
            </w:pPr>
            <w:r w:rsidRPr="001149D8">
              <w:rPr>
                <w:rFonts w:ascii="Arial" w:hAnsi="Arial" w:cs="Arial"/>
                <w:b/>
                <w:sz w:val="20"/>
                <w:szCs w:val="20"/>
              </w:rPr>
              <w:t>($)</w:t>
            </w:r>
          </w:p>
        </w:tc>
        <w:tc>
          <w:tcPr>
            <w:tcW w:w="1381" w:type="dxa"/>
            <w:shd w:val="clear" w:color="auto" w:fill="F2F2F2" w:themeFill="background1" w:themeFillShade="F2"/>
            <w:vAlign w:val="center"/>
          </w:tcPr>
          <w:p w:rsidR="00E75994" w:rsidRPr="001149D8" w:rsidRDefault="00E75994" w:rsidP="00383F52">
            <w:pPr>
              <w:spacing w:before="60" w:after="60"/>
              <w:jc w:val="center"/>
              <w:rPr>
                <w:rFonts w:ascii="Arial" w:hAnsi="Arial" w:cs="Arial"/>
                <w:b/>
                <w:sz w:val="20"/>
                <w:szCs w:val="20"/>
              </w:rPr>
            </w:pPr>
            <w:r w:rsidRPr="001149D8">
              <w:rPr>
                <w:rFonts w:ascii="Arial" w:hAnsi="Arial" w:cs="Arial"/>
                <w:b/>
                <w:sz w:val="20"/>
                <w:szCs w:val="20"/>
              </w:rPr>
              <w:t>Annual Fee</w:t>
            </w:r>
          </w:p>
          <w:p w:rsidR="00E75994" w:rsidRPr="001149D8" w:rsidRDefault="00E75994" w:rsidP="00383F52">
            <w:pPr>
              <w:spacing w:before="60" w:after="60"/>
              <w:jc w:val="center"/>
              <w:rPr>
                <w:rFonts w:ascii="Arial" w:hAnsi="Arial" w:cs="Arial"/>
                <w:b/>
                <w:sz w:val="20"/>
                <w:szCs w:val="20"/>
              </w:rPr>
            </w:pPr>
            <w:r w:rsidRPr="001149D8">
              <w:rPr>
                <w:rFonts w:ascii="Arial" w:hAnsi="Arial" w:cs="Arial"/>
                <w:b/>
                <w:sz w:val="20"/>
                <w:szCs w:val="20"/>
              </w:rPr>
              <w:t>($)</w:t>
            </w:r>
          </w:p>
        </w:tc>
      </w:tr>
      <w:tr w:rsidR="00E75994" w:rsidRPr="00FC6804" w:rsidTr="009738C5">
        <w:tc>
          <w:tcPr>
            <w:tcW w:w="2935" w:type="dxa"/>
          </w:tcPr>
          <w:p w:rsidR="00E75994" w:rsidRPr="001149D8" w:rsidRDefault="009738C5" w:rsidP="00383F52">
            <w:pPr>
              <w:spacing w:before="60"/>
              <w:rPr>
                <w:rFonts w:ascii="Arial" w:hAnsi="Arial" w:cs="Arial"/>
                <w:b/>
                <w:sz w:val="20"/>
                <w:szCs w:val="20"/>
              </w:rPr>
            </w:pPr>
            <w:r>
              <w:rPr>
                <w:rFonts w:ascii="Arial" w:hAnsi="Arial" w:cs="Arial"/>
                <w:b/>
                <w:sz w:val="20"/>
                <w:szCs w:val="20"/>
              </w:rPr>
              <w:t>Abattoir</w:t>
            </w:r>
            <w:r w:rsidRPr="009738C5">
              <w:rPr>
                <w:rFonts w:ascii="Arial" w:hAnsi="Arial" w:cs="Arial"/>
                <w:b/>
                <w:sz w:val="20"/>
                <w:szCs w:val="20"/>
                <w:vertAlign w:val="superscript"/>
              </w:rPr>
              <w:t>1</w:t>
            </w:r>
          </w:p>
          <w:p w:rsidR="00E75994" w:rsidRPr="009738C5" w:rsidRDefault="00E75994" w:rsidP="00383F52">
            <w:pPr>
              <w:spacing w:before="60"/>
              <w:rPr>
                <w:rFonts w:ascii="Arial" w:hAnsi="Arial" w:cs="Arial"/>
                <w:b/>
                <w:sz w:val="16"/>
                <w:szCs w:val="16"/>
              </w:rPr>
            </w:pPr>
          </w:p>
          <w:p w:rsidR="00E75994" w:rsidRPr="009738C5" w:rsidRDefault="00E75994" w:rsidP="00383F52">
            <w:pPr>
              <w:rPr>
                <w:rFonts w:ascii="Arial" w:hAnsi="Arial" w:cs="Arial"/>
                <w:sz w:val="16"/>
                <w:szCs w:val="16"/>
              </w:rPr>
            </w:pPr>
            <w:r w:rsidRPr="009738C5">
              <w:rPr>
                <w:rFonts w:ascii="Arial" w:hAnsi="Arial" w:cs="Arial"/>
                <w:sz w:val="16"/>
                <w:szCs w:val="16"/>
              </w:rPr>
              <w:t>To calculate number of units of throughput:</w:t>
            </w:r>
          </w:p>
          <w:p w:rsidR="00E75994" w:rsidRPr="009738C5" w:rsidRDefault="00E75994" w:rsidP="00383F52">
            <w:pPr>
              <w:spacing w:before="60"/>
              <w:rPr>
                <w:rFonts w:ascii="Arial" w:hAnsi="Arial" w:cs="Arial"/>
                <w:sz w:val="16"/>
                <w:szCs w:val="16"/>
              </w:rPr>
            </w:pPr>
            <w:r w:rsidRPr="009738C5">
              <w:rPr>
                <w:rFonts w:ascii="Arial" w:hAnsi="Arial" w:cs="Arial"/>
                <w:sz w:val="16"/>
                <w:szCs w:val="16"/>
              </w:rPr>
              <w:t>1 cattle = 5 units</w:t>
            </w:r>
          </w:p>
          <w:p w:rsidR="00E75994" w:rsidRPr="009738C5" w:rsidRDefault="00E75994" w:rsidP="00383F52">
            <w:pPr>
              <w:rPr>
                <w:rFonts w:ascii="Arial" w:hAnsi="Arial" w:cs="Arial"/>
                <w:sz w:val="16"/>
                <w:szCs w:val="16"/>
              </w:rPr>
            </w:pPr>
            <w:r w:rsidRPr="009738C5">
              <w:rPr>
                <w:rFonts w:ascii="Arial" w:hAnsi="Arial" w:cs="Arial"/>
                <w:sz w:val="16"/>
                <w:szCs w:val="16"/>
              </w:rPr>
              <w:t>1 rabbit = 0.2 units</w:t>
            </w:r>
          </w:p>
          <w:p w:rsidR="00E75994" w:rsidRPr="001149D8" w:rsidRDefault="00E75994" w:rsidP="00383F52">
            <w:pPr>
              <w:spacing w:after="60"/>
              <w:rPr>
                <w:rFonts w:ascii="Arial" w:hAnsi="Arial" w:cs="Arial"/>
                <w:sz w:val="20"/>
                <w:szCs w:val="20"/>
              </w:rPr>
            </w:pPr>
            <w:r w:rsidRPr="009738C5">
              <w:rPr>
                <w:rFonts w:ascii="Arial" w:hAnsi="Arial" w:cs="Arial"/>
                <w:sz w:val="16"/>
                <w:szCs w:val="16"/>
              </w:rPr>
              <w:t>1 other stock = 1 unit</w:t>
            </w:r>
          </w:p>
        </w:tc>
        <w:tc>
          <w:tcPr>
            <w:tcW w:w="3410" w:type="dxa"/>
          </w:tcPr>
          <w:p w:rsidR="00E75994" w:rsidRPr="001149D8" w:rsidRDefault="00E75994" w:rsidP="00383F52">
            <w:pPr>
              <w:spacing w:before="60"/>
              <w:rPr>
                <w:rFonts w:ascii="Arial" w:hAnsi="Arial" w:cs="Arial"/>
                <w:sz w:val="20"/>
                <w:szCs w:val="20"/>
              </w:rPr>
            </w:pPr>
            <w:r w:rsidRPr="001149D8">
              <w:rPr>
                <w:rFonts w:ascii="Arial" w:hAnsi="Arial" w:cs="Arial"/>
                <w:sz w:val="20"/>
                <w:szCs w:val="20"/>
              </w:rPr>
              <w:t>Up to 15,000 units</w:t>
            </w:r>
          </w:p>
          <w:p w:rsidR="00E75994" w:rsidRPr="001149D8" w:rsidRDefault="00E75994" w:rsidP="00383F52">
            <w:pPr>
              <w:rPr>
                <w:rFonts w:ascii="Arial" w:hAnsi="Arial" w:cs="Arial"/>
                <w:sz w:val="20"/>
                <w:szCs w:val="20"/>
              </w:rPr>
            </w:pPr>
            <w:r w:rsidRPr="001149D8">
              <w:rPr>
                <w:rFonts w:ascii="Arial" w:hAnsi="Arial" w:cs="Arial"/>
                <w:sz w:val="20"/>
                <w:szCs w:val="20"/>
              </w:rPr>
              <w:t>15,001 to 200,000 units</w:t>
            </w:r>
          </w:p>
          <w:p w:rsidR="00E75994" w:rsidRPr="001149D8" w:rsidRDefault="00E75994" w:rsidP="00383F52">
            <w:pPr>
              <w:rPr>
                <w:rFonts w:ascii="Arial" w:hAnsi="Arial" w:cs="Arial"/>
                <w:sz w:val="20"/>
                <w:szCs w:val="20"/>
              </w:rPr>
            </w:pPr>
            <w:r w:rsidRPr="001149D8">
              <w:rPr>
                <w:rFonts w:ascii="Arial" w:hAnsi="Arial" w:cs="Arial"/>
                <w:sz w:val="20"/>
                <w:szCs w:val="20"/>
              </w:rPr>
              <w:t>200,001 to 500,000 units</w:t>
            </w:r>
          </w:p>
          <w:p w:rsidR="00E75994" w:rsidRPr="001149D8" w:rsidRDefault="00E75994" w:rsidP="00383F52">
            <w:pPr>
              <w:rPr>
                <w:rFonts w:ascii="Arial" w:hAnsi="Arial" w:cs="Arial"/>
                <w:sz w:val="20"/>
                <w:szCs w:val="20"/>
              </w:rPr>
            </w:pPr>
            <w:r w:rsidRPr="001149D8">
              <w:rPr>
                <w:rFonts w:ascii="Arial" w:hAnsi="Arial" w:cs="Arial"/>
                <w:sz w:val="20"/>
                <w:szCs w:val="20"/>
              </w:rPr>
              <w:t>Over 500,000 units</w:t>
            </w:r>
          </w:p>
          <w:p w:rsidR="00E75994" w:rsidRPr="001149D8" w:rsidRDefault="00E75994" w:rsidP="00383F52">
            <w:pPr>
              <w:rPr>
                <w:rFonts w:ascii="Arial" w:hAnsi="Arial" w:cs="Arial"/>
                <w:sz w:val="20"/>
                <w:szCs w:val="20"/>
              </w:rPr>
            </w:pPr>
          </w:p>
          <w:p w:rsidR="00E75994" w:rsidRPr="001149D8" w:rsidRDefault="00E75994" w:rsidP="00383F52">
            <w:pPr>
              <w:spacing w:after="60"/>
              <w:rPr>
                <w:rFonts w:ascii="Arial" w:hAnsi="Arial" w:cs="Arial"/>
                <w:sz w:val="20"/>
                <w:szCs w:val="20"/>
              </w:rPr>
            </w:pPr>
          </w:p>
        </w:tc>
        <w:tc>
          <w:tcPr>
            <w:tcW w:w="1516" w:type="dxa"/>
          </w:tcPr>
          <w:p w:rsidR="00E75994" w:rsidRPr="001149D8" w:rsidRDefault="00E75994" w:rsidP="00383F52">
            <w:pPr>
              <w:spacing w:before="60"/>
              <w:jc w:val="center"/>
              <w:rPr>
                <w:rFonts w:ascii="Arial" w:hAnsi="Arial" w:cs="Arial"/>
                <w:sz w:val="20"/>
                <w:szCs w:val="20"/>
              </w:rPr>
            </w:pPr>
            <w:r w:rsidRPr="001149D8">
              <w:rPr>
                <w:rFonts w:ascii="Arial" w:hAnsi="Arial" w:cs="Arial"/>
                <w:sz w:val="20"/>
                <w:szCs w:val="20"/>
              </w:rPr>
              <w:t>932</w:t>
            </w:r>
          </w:p>
          <w:p w:rsidR="00E75994" w:rsidRPr="001149D8" w:rsidRDefault="00E75994" w:rsidP="00383F52">
            <w:pPr>
              <w:jc w:val="center"/>
              <w:rPr>
                <w:rFonts w:ascii="Arial" w:hAnsi="Arial" w:cs="Arial"/>
                <w:sz w:val="20"/>
                <w:szCs w:val="20"/>
              </w:rPr>
            </w:pPr>
            <w:r w:rsidRPr="001149D8">
              <w:rPr>
                <w:rFonts w:ascii="Arial" w:hAnsi="Arial" w:cs="Arial"/>
                <w:sz w:val="20"/>
                <w:szCs w:val="20"/>
              </w:rPr>
              <w:t>1,665</w:t>
            </w:r>
          </w:p>
          <w:p w:rsidR="00E75994" w:rsidRPr="001149D8" w:rsidRDefault="00E75994" w:rsidP="00383F52">
            <w:pPr>
              <w:jc w:val="center"/>
              <w:rPr>
                <w:rFonts w:ascii="Arial" w:hAnsi="Arial" w:cs="Arial"/>
                <w:sz w:val="20"/>
                <w:szCs w:val="20"/>
              </w:rPr>
            </w:pPr>
            <w:r w:rsidRPr="001149D8">
              <w:rPr>
                <w:rFonts w:ascii="Arial" w:hAnsi="Arial" w:cs="Arial"/>
                <w:sz w:val="20"/>
                <w:szCs w:val="20"/>
              </w:rPr>
              <w:t>3,332</w:t>
            </w:r>
          </w:p>
          <w:p w:rsidR="00E75994" w:rsidRPr="001149D8" w:rsidRDefault="00E75994" w:rsidP="00383F52">
            <w:pPr>
              <w:jc w:val="center"/>
              <w:rPr>
                <w:rFonts w:ascii="Arial" w:hAnsi="Arial" w:cs="Arial"/>
                <w:sz w:val="20"/>
                <w:szCs w:val="20"/>
              </w:rPr>
            </w:pPr>
            <w:r w:rsidRPr="001149D8">
              <w:rPr>
                <w:rFonts w:ascii="Arial" w:hAnsi="Arial" w:cs="Arial"/>
                <w:sz w:val="20"/>
                <w:szCs w:val="20"/>
              </w:rPr>
              <w:t>4,864</w:t>
            </w:r>
          </w:p>
        </w:tc>
        <w:tc>
          <w:tcPr>
            <w:tcW w:w="1381" w:type="dxa"/>
          </w:tcPr>
          <w:p w:rsidR="00E75994" w:rsidRPr="001149D8" w:rsidRDefault="00E75994" w:rsidP="00383F52">
            <w:pPr>
              <w:spacing w:before="60"/>
              <w:jc w:val="center"/>
              <w:rPr>
                <w:rFonts w:ascii="Arial" w:hAnsi="Arial" w:cs="Arial"/>
                <w:sz w:val="20"/>
                <w:szCs w:val="20"/>
              </w:rPr>
            </w:pPr>
            <w:r w:rsidRPr="001149D8">
              <w:rPr>
                <w:rFonts w:ascii="Arial" w:hAnsi="Arial" w:cs="Arial"/>
                <w:sz w:val="20"/>
                <w:szCs w:val="20"/>
              </w:rPr>
              <w:t>1,864</w:t>
            </w:r>
          </w:p>
          <w:p w:rsidR="00E75994" w:rsidRPr="001149D8" w:rsidRDefault="00E75994" w:rsidP="00383F52">
            <w:pPr>
              <w:jc w:val="center"/>
              <w:rPr>
                <w:rFonts w:ascii="Arial" w:hAnsi="Arial" w:cs="Arial"/>
                <w:sz w:val="20"/>
                <w:szCs w:val="20"/>
              </w:rPr>
            </w:pPr>
            <w:r w:rsidRPr="001149D8">
              <w:rPr>
                <w:rFonts w:ascii="Arial" w:hAnsi="Arial" w:cs="Arial"/>
                <w:sz w:val="20"/>
                <w:szCs w:val="20"/>
              </w:rPr>
              <w:t>3,330</w:t>
            </w:r>
          </w:p>
          <w:p w:rsidR="00E75994" w:rsidRPr="001149D8" w:rsidRDefault="00E75994" w:rsidP="00383F52">
            <w:pPr>
              <w:jc w:val="center"/>
              <w:rPr>
                <w:rFonts w:ascii="Arial" w:hAnsi="Arial" w:cs="Arial"/>
                <w:sz w:val="20"/>
                <w:szCs w:val="20"/>
              </w:rPr>
            </w:pPr>
            <w:r w:rsidRPr="001149D8">
              <w:rPr>
                <w:rFonts w:ascii="Arial" w:hAnsi="Arial" w:cs="Arial"/>
                <w:sz w:val="20"/>
                <w:szCs w:val="20"/>
              </w:rPr>
              <w:t>6,664</w:t>
            </w:r>
          </w:p>
          <w:p w:rsidR="00E75994" w:rsidRPr="001149D8" w:rsidRDefault="00E75994" w:rsidP="00383F52">
            <w:pPr>
              <w:jc w:val="center"/>
              <w:rPr>
                <w:rFonts w:ascii="Arial" w:hAnsi="Arial" w:cs="Arial"/>
                <w:sz w:val="20"/>
                <w:szCs w:val="20"/>
              </w:rPr>
            </w:pPr>
            <w:r w:rsidRPr="001149D8">
              <w:rPr>
                <w:rFonts w:ascii="Arial" w:hAnsi="Arial" w:cs="Arial"/>
                <w:sz w:val="20"/>
                <w:szCs w:val="20"/>
              </w:rPr>
              <w:t>9,728</w:t>
            </w:r>
          </w:p>
        </w:tc>
      </w:tr>
      <w:tr w:rsidR="00E75994" w:rsidRPr="00FC6804" w:rsidTr="009738C5">
        <w:tc>
          <w:tcPr>
            <w:tcW w:w="2935" w:type="dxa"/>
          </w:tcPr>
          <w:p w:rsidR="00E75994" w:rsidRPr="001149D8" w:rsidRDefault="00E75994" w:rsidP="00383F52">
            <w:pPr>
              <w:spacing w:before="60"/>
              <w:rPr>
                <w:rFonts w:ascii="Arial" w:hAnsi="Arial" w:cs="Arial"/>
                <w:b/>
                <w:sz w:val="20"/>
                <w:szCs w:val="20"/>
              </w:rPr>
            </w:pPr>
            <w:r w:rsidRPr="001149D8">
              <w:rPr>
                <w:rFonts w:ascii="Arial" w:hAnsi="Arial" w:cs="Arial"/>
                <w:b/>
                <w:sz w:val="20"/>
                <w:szCs w:val="20"/>
              </w:rPr>
              <w:t>Poultry Processing</w:t>
            </w:r>
          </w:p>
          <w:p w:rsidR="00E75994" w:rsidRPr="009738C5" w:rsidRDefault="00E75994" w:rsidP="00383F52">
            <w:pPr>
              <w:spacing w:before="60"/>
              <w:rPr>
                <w:rFonts w:ascii="Arial" w:hAnsi="Arial" w:cs="Arial"/>
                <w:b/>
                <w:sz w:val="16"/>
                <w:szCs w:val="16"/>
              </w:rPr>
            </w:pPr>
          </w:p>
          <w:p w:rsidR="00E75994" w:rsidRPr="009738C5" w:rsidRDefault="00E75994" w:rsidP="00383F52">
            <w:pPr>
              <w:rPr>
                <w:rFonts w:ascii="Arial" w:hAnsi="Arial" w:cs="Arial"/>
                <w:sz w:val="16"/>
                <w:szCs w:val="16"/>
              </w:rPr>
            </w:pPr>
            <w:r w:rsidRPr="009738C5">
              <w:rPr>
                <w:rFonts w:ascii="Arial" w:hAnsi="Arial" w:cs="Arial"/>
                <w:sz w:val="16"/>
                <w:szCs w:val="16"/>
              </w:rPr>
              <w:t>To calculate number of units of throughput:</w:t>
            </w:r>
          </w:p>
          <w:p w:rsidR="00E75994" w:rsidRPr="009738C5" w:rsidRDefault="00E75994" w:rsidP="00383F52">
            <w:pPr>
              <w:spacing w:before="60"/>
              <w:rPr>
                <w:rFonts w:ascii="Arial" w:hAnsi="Arial" w:cs="Arial"/>
                <w:sz w:val="16"/>
                <w:szCs w:val="16"/>
              </w:rPr>
            </w:pPr>
            <w:r w:rsidRPr="009738C5">
              <w:rPr>
                <w:rFonts w:ascii="Arial" w:hAnsi="Arial" w:cs="Arial"/>
                <w:sz w:val="16"/>
                <w:szCs w:val="16"/>
              </w:rPr>
              <w:t>1 bird = 1 unit</w:t>
            </w:r>
          </w:p>
          <w:p w:rsidR="00E75994" w:rsidRPr="001149D8" w:rsidRDefault="00E75994" w:rsidP="00383F52">
            <w:pPr>
              <w:spacing w:after="60"/>
              <w:rPr>
                <w:rFonts w:ascii="Arial" w:hAnsi="Arial" w:cs="Arial"/>
                <w:b/>
                <w:sz w:val="20"/>
                <w:szCs w:val="20"/>
              </w:rPr>
            </w:pPr>
            <w:r w:rsidRPr="009738C5">
              <w:rPr>
                <w:rFonts w:ascii="Arial" w:hAnsi="Arial" w:cs="Arial"/>
                <w:sz w:val="16"/>
                <w:szCs w:val="16"/>
              </w:rPr>
              <w:t>1 rabbit = 1 unit</w:t>
            </w:r>
          </w:p>
        </w:tc>
        <w:tc>
          <w:tcPr>
            <w:tcW w:w="3410" w:type="dxa"/>
          </w:tcPr>
          <w:p w:rsidR="00E75994" w:rsidRPr="001149D8" w:rsidRDefault="00E75994" w:rsidP="00383F52">
            <w:pPr>
              <w:spacing w:before="60"/>
              <w:rPr>
                <w:rFonts w:ascii="Arial" w:hAnsi="Arial" w:cs="Arial"/>
                <w:sz w:val="20"/>
                <w:szCs w:val="20"/>
              </w:rPr>
            </w:pPr>
            <w:r w:rsidRPr="001149D8">
              <w:rPr>
                <w:rFonts w:ascii="Arial" w:hAnsi="Arial" w:cs="Arial"/>
                <w:sz w:val="20"/>
                <w:szCs w:val="20"/>
              </w:rPr>
              <w:t>Up to 50,000 units (8,001 to 25,000kg)</w:t>
            </w:r>
          </w:p>
          <w:p w:rsidR="00E75994" w:rsidRPr="001149D8" w:rsidRDefault="00E75994" w:rsidP="00383F52">
            <w:pPr>
              <w:rPr>
                <w:rFonts w:ascii="Arial" w:hAnsi="Arial" w:cs="Arial"/>
                <w:sz w:val="20"/>
                <w:szCs w:val="20"/>
              </w:rPr>
            </w:pPr>
            <w:r w:rsidRPr="001149D8">
              <w:rPr>
                <w:rFonts w:ascii="Arial" w:hAnsi="Arial" w:cs="Arial"/>
                <w:sz w:val="20"/>
                <w:szCs w:val="20"/>
              </w:rPr>
              <w:t>50,001 to 500,000 units</w:t>
            </w:r>
          </w:p>
          <w:p w:rsidR="00E75994" w:rsidRPr="001149D8" w:rsidRDefault="00E75994" w:rsidP="00383F52">
            <w:pPr>
              <w:rPr>
                <w:rFonts w:ascii="Arial" w:hAnsi="Arial" w:cs="Arial"/>
                <w:sz w:val="20"/>
                <w:szCs w:val="20"/>
              </w:rPr>
            </w:pPr>
            <w:r w:rsidRPr="001149D8">
              <w:rPr>
                <w:rFonts w:ascii="Arial" w:hAnsi="Arial" w:cs="Arial"/>
                <w:sz w:val="20"/>
                <w:szCs w:val="20"/>
              </w:rPr>
              <w:t>500,001 to 2,500,000 units</w:t>
            </w:r>
          </w:p>
          <w:p w:rsidR="00E75994" w:rsidRPr="001149D8" w:rsidRDefault="00E75994" w:rsidP="00383F52">
            <w:pPr>
              <w:rPr>
                <w:rFonts w:ascii="Arial" w:hAnsi="Arial" w:cs="Arial"/>
                <w:sz w:val="20"/>
                <w:szCs w:val="20"/>
              </w:rPr>
            </w:pPr>
            <w:r w:rsidRPr="001149D8">
              <w:rPr>
                <w:rFonts w:ascii="Arial" w:hAnsi="Arial" w:cs="Arial"/>
                <w:sz w:val="20"/>
                <w:szCs w:val="20"/>
              </w:rPr>
              <w:t>2,500,001 to 5,000,000 units</w:t>
            </w:r>
          </w:p>
          <w:p w:rsidR="00E75994" w:rsidRPr="001149D8" w:rsidRDefault="00E75994" w:rsidP="00383F52">
            <w:pPr>
              <w:rPr>
                <w:rFonts w:ascii="Arial" w:hAnsi="Arial" w:cs="Arial"/>
                <w:sz w:val="20"/>
                <w:szCs w:val="20"/>
              </w:rPr>
            </w:pPr>
            <w:r w:rsidRPr="001149D8">
              <w:rPr>
                <w:rFonts w:ascii="Arial" w:hAnsi="Arial" w:cs="Arial"/>
                <w:sz w:val="20"/>
                <w:szCs w:val="20"/>
              </w:rPr>
              <w:t>Over 5,000,000 units</w:t>
            </w:r>
          </w:p>
        </w:tc>
        <w:tc>
          <w:tcPr>
            <w:tcW w:w="1516" w:type="dxa"/>
          </w:tcPr>
          <w:p w:rsidR="00E75994" w:rsidRPr="001149D8" w:rsidRDefault="00E75994" w:rsidP="00383F52">
            <w:pPr>
              <w:spacing w:before="60"/>
              <w:jc w:val="center"/>
              <w:rPr>
                <w:rFonts w:ascii="Arial" w:hAnsi="Arial" w:cs="Arial"/>
                <w:sz w:val="20"/>
                <w:szCs w:val="20"/>
              </w:rPr>
            </w:pPr>
            <w:r w:rsidRPr="001149D8">
              <w:rPr>
                <w:rFonts w:ascii="Arial" w:hAnsi="Arial" w:cs="Arial"/>
                <w:sz w:val="20"/>
                <w:szCs w:val="20"/>
              </w:rPr>
              <w:t>883</w:t>
            </w:r>
          </w:p>
          <w:p w:rsidR="00E75994" w:rsidRPr="001149D8" w:rsidRDefault="00E75994" w:rsidP="00383F52">
            <w:pPr>
              <w:jc w:val="center"/>
              <w:rPr>
                <w:rFonts w:ascii="Arial" w:hAnsi="Arial" w:cs="Arial"/>
                <w:sz w:val="20"/>
                <w:szCs w:val="20"/>
              </w:rPr>
            </w:pPr>
            <w:r w:rsidRPr="001149D8">
              <w:rPr>
                <w:rFonts w:ascii="Arial" w:hAnsi="Arial" w:cs="Arial"/>
                <w:sz w:val="20"/>
                <w:szCs w:val="20"/>
              </w:rPr>
              <w:t>1,207</w:t>
            </w:r>
          </w:p>
          <w:p w:rsidR="00E75994" w:rsidRPr="001149D8" w:rsidRDefault="00E75994" w:rsidP="00383F52">
            <w:pPr>
              <w:jc w:val="center"/>
              <w:rPr>
                <w:rFonts w:ascii="Arial" w:hAnsi="Arial" w:cs="Arial"/>
                <w:sz w:val="20"/>
                <w:szCs w:val="20"/>
              </w:rPr>
            </w:pPr>
            <w:r w:rsidRPr="001149D8">
              <w:rPr>
                <w:rFonts w:ascii="Arial" w:hAnsi="Arial" w:cs="Arial"/>
                <w:sz w:val="20"/>
                <w:szCs w:val="20"/>
              </w:rPr>
              <w:t>1,849</w:t>
            </w:r>
          </w:p>
          <w:p w:rsidR="00E75994" w:rsidRPr="001149D8" w:rsidRDefault="00E75994" w:rsidP="00383F52">
            <w:pPr>
              <w:jc w:val="center"/>
              <w:rPr>
                <w:rFonts w:ascii="Arial" w:hAnsi="Arial" w:cs="Arial"/>
                <w:sz w:val="20"/>
                <w:szCs w:val="20"/>
              </w:rPr>
            </w:pPr>
            <w:r w:rsidRPr="001149D8">
              <w:rPr>
                <w:rFonts w:ascii="Arial" w:hAnsi="Arial" w:cs="Arial"/>
                <w:sz w:val="20"/>
                <w:szCs w:val="20"/>
              </w:rPr>
              <w:t>3,172</w:t>
            </w:r>
          </w:p>
          <w:p w:rsidR="00E75994" w:rsidRPr="001149D8" w:rsidRDefault="00E75994" w:rsidP="00383F52">
            <w:pPr>
              <w:jc w:val="center"/>
              <w:rPr>
                <w:rFonts w:ascii="Arial" w:hAnsi="Arial" w:cs="Arial"/>
                <w:sz w:val="20"/>
                <w:szCs w:val="20"/>
              </w:rPr>
            </w:pPr>
            <w:r w:rsidRPr="001149D8">
              <w:rPr>
                <w:rFonts w:ascii="Arial" w:hAnsi="Arial" w:cs="Arial"/>
                <w:sz w:val="20"/>
                <w:szCs w:val="20"/>
              </w:rPr>
              <w:t>5,712</w:t>
            </w:r>
          </w:p>
        </w:tc>
        <w:tc>
          <w:tcPr>
            <w:tcW w:w="1381" w:type="dxa"/>
          </w:tcPr>
          <w:p w:rsidR="00E75994" w:rsidRPr="001149D8" w:rsidRDefault="00E75994" w:rsidP="00383F52">
            <w:pPr>
              <w:spacing w:before="60"/>
              <w:jc w:val="center"/>
              <w:rPr>
                <w:rFonts w:ascii="Arial" w:hAnsi="Arial" w:cs="Arial"/>
                <w:sz w:val="20"/>
                <w:szCs w:val="20"/>
              </w:rPr>
            </w:pPr>
            <w:r w:rsidRPr="001149D8">
              <w:rPr>
                <w:rFonts w:ascii="Arial" w:hAnsi="Arial" w:cs="Arial"/>
                <w:sz w:val="20"/>
                <w:szCs w:val="20"/>
              </w:rPr>
              <w:t>1,766</w:t>
            </w:r>
          </w:p>
          <w:p w:rsidR="00E75994" w:rsidRPr="001149D8" w:rsidRDefault="00E75994" w:rsidP="00383F52">
            <w:pPr>
              <w:jc w:val="center"/>
              <w:rPr>
                <w:rFonts w:ascii="Arial" w:hAnsi="Arial" w:cs="Arial"/>
                <w:sz w:val="20"/>
                <w:szCs w:val="20"/>
              </w:rPr>
            </w:pPr>
            <w:r w:rsidRPr="001149D8">
              <w:rPr>
                <w:rFonts w:ascii="Arial" w:hAnsi="Arial" w:cs="Arial"/>
                <w:sz w:val="20"/>
                <w:szCs w:val="20"/>
              </w:rPr>
              <w:t>2,413</w:t>
            </w:r>
          </w:p>
          <w:p w:rsidR="00E75994" w:rsidRPr="001149D8" w:rsidRDefault="00E75994" w:rsidP="00383F52">
            <w:pPr>
              <w:jc w:val="center"/>
              <w:rPr>
                <w:rFonts w:ascii="Arial" w:hAnsi="Arial" w:cs="Arial"/>
                <w:sz w:val="20"/>
                <w:szCs w:val="20"/>
              </w:rPr>
            </w:pPr>
            <w:r w:rsidRPr="001149D8">
              <w:rPr>
                <w:rFonts w:ascii="Arial" w:hAnsi="Arial" w:cs="Arial"/>
                <w:sz w:val="20"/>
                <w:szCs w:val="20"/>
              </w:rPr>
              <w:t>3,697</w:t>
            </w:r>
          </w:p>
          <w:p w:rsidR="00E75994" w:rsidRPr="001149D8" w:rsidRDefault="00E75994" w:rsidP="00383F52">
            <w:pPr>
              <w:jc w:val="center"/>
              <w:rPr>
                <w:rFonts w:ascii="Arial" w:hAnsi="Arial" w:cs="Arial"/>
                <w:sz w:val="20"/>
                <w:szCs w:val="20"/>
              </w:rPr>
            </w:pPr>
            <w:r w:rsidRPr="001149D8">
              <w:rPr>
                <w:rFonts w:ascii="Arial" w:hAnsi="Arial" w:cs="Arial"/>
                <w:sz w:val="20"/>
                <w:szCs w:val="20"/>
              </w:rPr>
              <w:t>6,343</w:t>
            </w:r>
          </w:p>
          <w:p w:rsidR="00E75994" w:rsidRPr="001149D8" w:rsidRDefault="00E75994" w:rsidP="00383F52">
            <w:pPr>
              <w:jc w:val="center"/>
              <w:rPr>
                <w:rFonts w:ascii="Arial" w:hAnsi="Arial" w:cs="Arial"/>
                <w:sz w:val="20"/>
                <w:szCs w:val="20"/>
              </w:rPr>
            </w:pPr>
            <w:r w:rsidRPr="001149D8">
              <w:rPr>
                <w:rFonts w:ascii="Arial" w:hAnsi="Arial" w:cs="Arial"/>
                <w:sz w:val="20"/>
                <w:szCs w:val="20"/>
              </w:rPr>
              <w:t>11,424</w:t>
            </w:r>
          </w:p>
        </w:tc>
      </w:tr>
      <w:tr w:rsidR="00E75994" w:rsidRPr="00FC6804" w:rsidTr="009738C5">
        <w:tc>
          <w:tcPr>
            <w:tcW w:w="2935" w:type="dxa"/>
          </w:tcPr>
          <w:p w:rsidR="00E75994" w:rsidRPr="001149D8" w:rsidRDefault="009738C5" w:rsidP="008B2F1F">
            <w:pPr>
              <w:spacing w:before="60"/>
              <w:rPr>
                <w:rFonts w:ascii="Arial" w:hAnsi="Arial" w:cs="Arial"/>
                <w:sz w:val="20"/>
                <w:szCs w:val="20"/>
              </w:rPr>
            </w:pPr>
            <w:r>
              <w:rPr>
                <w:rFonts w:ascii="Arial" w:hAnsi="Arial" w:cs="Arial"/>
                <w:b/>
                <w:sz w:val="20"/>
                <w:szCs w:val="20"/>
              </w:rPr>
              <w:t>Further Meat Processing</w:t>
            </w:r>
            <w:r w:rsidRPr="009738C5">
              <w:rPr>
                <w:rFonts w:ascii="Arial" w:hAnsi="Arial" w:cs="Arial"/>
                <w:b/>
                <w:sz w:val="20"/>
                <w:szCs w:val="20"/>
                <w:vertAlign w:val="superscript"/>
              </w:rPr>
              <w:t>2</w:t>
            </w:r>
            <w:r w:rsidR="00E75994" w:rsidRPr="009738C5">
              <w:rPr>
                <w:rFonts w:ascii="Arial" w:hAnsi="Arial" w:cs="Arial"/>
                <w:sz w:val="20"/>
                <w:szCs w:val="20"/>
                <w:vertAlign w:val="superscript"/>
              </w:rPr>
              <w:t xml:space="preserve"> </w:t>
            </w:r>
            <w:r w:rsidR="00E75994" w:rsidRPr="001149D8">
              <w:rPr>
                <w:rFonts w:ascii="Arial" w:hAnsi="Arial" w:cs="Arial"/>
                <w:sz w:val="20"/>
                <w:szCs w:val="20"/>
              </w:rPr>
              <w:t xml:space="preserve">(includes poultry meat &amp; smallgoods) </w:t>
            </w:r>
          </w:p>
        </w:tc>
        <w:tc>
          <w:tcPr>
            <w:tcW w:w="3410" w:type="dxa"/>
          </w:tcPr>
          <w:p w:rsidR="00E75994" w:rsidRPr="001149D8" w:rsidRDefault="00E75994" w:rsidP="00383F52">
            <w:pPr>
              <w:tabs>
                <w:tab w:val="left" w:pos="2115"/>
              </w:tabs>
              <w:spacing w:before="60"/>
              <w:rPr>
                <w:rFonts w:ascii="Arial" w:hAnsi="Arial" w:cs="Arial"/>
                <w:sz w:val="20"/>
                <w:szCs w:val="20"/>
              </w:rPr>
            </w:pPr>
            <w:r w:rsidRPr="001149D8">
              <w:rPr>
                <w:rFonts w:ascii="Arial" w:hAnsi="Arial" w:cs="Arial"/>
                <w:sz w:val="20"/>
                <w:szCs w:val="20"/>
              </w:rPr>
              <w:t>Up to 250 tonnes</w:t>
            </w:r>
            <w:r w:rsidRPr="001149D8">
              <w:rPr>
                <w:rFonts w:ascii="Arial" w:hAnsi="Arial" w:cs="Arial"/>
                <w:sz w:val="20"/>
                <w:szCs w:val="20"/>
              </w:rPr>
              <w:tab/>
            </w:r>
          </w:p>
          <w:p w:rsidR="00E75994" w:rsidRPr="001149D8" w:rsidRDefault="00E75994" w:rsidP="00383F52">
            <w:pPr>
              <w:rPr>
                <w:rFonts w:ascii="Arial" w:hAnsi="Arial" w:cs="Arial"/>
                <w:sz w:val="20"/>
                <w:szCs w:val="20"/>
              </w:rPr>
            </w:pPr>
            <w:r w:rsidRPr="001149D8">
              <w:rPr>
                <w:rFonts w:ascii="Arial" w:hAnsi="Arial" w:cs="Arial"/>
                <w:sz w:val="20"/>
                <w:szCs w:val="20"/>
              </w:rPr>
              <w:t>251 to 500 tonnes</w:t>
            </w:r>
          </w:p>
          <w:p w:rsidR="00E75994" w:rsidRPr="001149D8" w:rsidRDefault="00E75994" w:rsidP="00383F52">
            <w:pPr>
              <w:rPr>
                <w:rFonts w:ascii="Arial" w:hAnsi="Arial" w:cs="Arial"/>
                <w:sz w:val="20"/>
                <w:szCs w:val="20"/>
              </w:rPr>
            </w:pPr>
            <w:r w:rsidRPr="001149D8">
              <w:rPr>
                <w:rFonts w:ascii="Arial" w:hAnsi="Arial" w:cs="Arial"/>
                <w:sz w:val="20"/>
                <w:szCs w:val="20"/>
              </w:rPr>
              <w:t>501 to 2,500 tonnes</w:t>
            </w:r>
          </w:p>
          <w:p w:rsidR="00E75994" w:rsidRPr="001149D8" w:rsidRDefault="00E75994" w:rsidP="00383F52">
            <w:pPr>
              <w:rPr>
                <w:rFonts w:ascii="Arial" w:hAnsi="Arial" w:cs="Arial"/>
                <w:sz w:val="20"/>
                <w:szCs w:val="20"/>
              </w:rPr>
            </w:pPr>
            <w:r w:rsidRPr="001149D8">
              <w:rPr>
                <w:rFonts w:ascii="Arial" w:hAnsi="Arial" w:cs="Arial"/>
                <w:sz w:val="20"/>
                <w:szCs w:val="20"/>
              </w:rPr>
              <w:t>2,501 to 5,000 tonnes</w:t>
            </w:r>
          </w:p>
          <w:p w:rsidR="00E75994" w:rsidRPr="001149D8" w:rsidRDefault="00E75994" w:rsidP="00383F52">
            <w:pPr>
              <w:spacing w:after="60"/>
              <w:rPr>
                <w:rFonts w:ascii="Arial" w:hAnsi="Arial" w:cs="Arial"/>
                <w:sz w:val="20"/>
                <w:szCs w:val="20"/>
              </w:rPr>
            </w:pPr>
            <w:r w:rsidRPr="001149D8">
              <w:rPr>
                <w:rFonts w:ascii="Arial" w:hAnsi="Arial" w:cs="Arial"/>
                <w:sz w:val="20"/>
                <w:szCs w:val="20"/>
              </w:rPr>
              <w:t>Over 5,000 tonnes</w:t>
            </w:r>
          </w:p>
        </w:tc>
        <w:tc>
          <w:tcPr>
            <w:tcW w:w="1516" w:type="dxa"/>
          </w:tcPr>
          <w:p w:rsidR="00E75994" w:rsidRPr="001149D8" w:rsidRDefault="00E75994" w:rsidP="00383F52">
            <w:pPr>
              <w:spacing w:before="60"/>
              <w:jc w:val="center"/>
              <w:rPr>
                <w:rFonts w:ascii="Arial" w:hAnsi="Arial" w:cs="Arial"/>
                <w:sz w:val="20"/>
                <w:szCs w:val="20"/>
              </w:rPr>
            </w:pPr>
            <w:r w:rsidRPr="001149D8">
              <w:rPr>
                <w:rFonts w:ascii="Arial" w:hAnsi="Arial" w:cs="Arial"/>
                <w:sz w:val="20"/>
                <w:szCs w:val="20"/>
              </w:rPr>
              <w:t>321</w:t>
            </w:r>
          </w:p>
          <w:p w:rsidR="00E75994" w:rsidRPr="001149D8" w:rsidRDefault="00E75994" w:rsidP="00383F52">
            <w:pPr>
              <w:jc w:val="center"/>
              <w:rPr>
                <w:rFonts w:ascii="Arial" w:hAnsi="Arial" w:cs="Arial"/>
                <w:sz w:val="20"/>
                <w:szCs w:val="20"/>
              </w:rPr>
            </w:pPr>
            <w:r w:rsidRPr="001149D8">
              <w:rPr>
                <w:rFonts w:ascii="Arial" w:hAnsi="Arial" w:cs="Arial"/>
                <w:sz w:val="20"/>
                <w:szCs w:val="20"/>
              </w:rPr>
              <w:t>371</w:t>
            </w:r>
          </w:p>
          <w:p w:rsidR="00E75994" w:rsidRPr="001149D8" w:rsidRDefault="00E75994" w:rsidP="00383F52">
            <w:pPr>
              <w:jc w:val="center"/>
              <w:rPr>
                <w:rFonts w:ascii="Arial" w:hAnsi="Arial" w:cs="Arial"/>
                <w:sz w:val="20"/>
                <w:szCs w:val="20"/>
              </w:rPr>
            </w:pPr>
            <w:r w:rsidRPr="001149D8">
              <w:rPr>
                <w:rFonts w:ascii="Arial" w:hAnsi="Arial" w:cs="Arial"/>
                <w:sz w:val="20"/>
                <w:szCs w:val="20"/>
              </w:rPr>
              <w:t>744</w:t>
            </w:r>
          </w:p>
          <w:p w:rsidR="00E75994" w:rsidRPr="001149D8" w:rsidRDefault="00E75994" w:rsidP="00383F52">
            <w:pPr>
              <w:jc w:val="center"/>
              <w:rPr>
                <w:rFonts w:ascii="Arial" w:hAnsi="Arial" w:cs="Arial"/>
                <w:sz w:val="20"/>
                <w:szCs w:val="20"/>
              </w:rPr>
            </w:pPr>
            <w:r w:rsidRPr="001149D8">
              <w:rPr>
                <w:rFonts w:ascii="Arial" w:hAnsi="Arial" w:cs="Arial"/>
                <w:sz w:val="20"/>
                <w:szCs w:val="20"/>
              </w:rPr>
              <w:t>1,118</w:t>
            </w:r>
          </w:p>
          <w:p w:rsidR="00E75994" w:rsidRPr="001149D8" w:rsidRDefault="00E75994" w:rsidP="00383F52">
            <w:pPr>
              <w:jc w:val="center"/>
              <w:rPr>
                <w:rFonts w:ascii="Arial" w:hAnsi="Arial" w:cs="Arial"/>
                <w:sz w:val="20"/>
                <w:szCs w:val="20"/>
              </w:rPr>
            </w:pPr>
            <w:r w:rsidRPr="001149D8">
              <w:rPr>
                <w:rFonts w:ascii="Arial" w:hAnsi="Arial" w:cs="Arial"/>
                <w:sz w:val="20"/>
                <w:szCs w:val="20"/>
              </w:rPr>
              <w:t>1,360</w:t>
            </w:r>
          </w:p>
        </w:tc>
        <w:tc>
          <w:tcPr>
            <w:tcW w:w="1381" w:type="dxa"/>
          </w:tcPr>
          <w:p w:rsidR="00E75994" w:rsidRPr="001149D8" w:rsidRDefault="00E75994" w:rsidP="00383F52">
            <w:pPr>
              <w:spacing w:before="60"/>
              <w:jc w:val="center"/>
              <w:rPr>
                <w:rFonts w:ascii="Arial" w:hAnsi="Arial" w:cs="Arial"/>
                <w:sz w:val="20"/>
                <w:szCs w:val="20"/>
              </w:rPr>
            </w:pPr>
            <w:r w:rsidRPr="001149D8">
              <w:rPr>
                <w:rFonts w:ascii="Arial" w:hAnsi="Arial" w:cs="Arial"/>
                <w:sz w:val="20"/>
                <w:szCs w:val="20"/>
              </w:rPr>
              <w:t>641</w:t>
            </w:r>
          </w:p>
          <w:p w:rsidR="00E75994" w:rsidRPr="001149D8" w:rsidRDefault="00E75994" w:rsidP="00383F52">
            <w:pPr>
              <w:jc w:val="center"/>
              <w:rPr>
                <w:rFonts w:ascii="Arial" w:hAnsi="Arial" w:cs="Arial"/>
                <w:sz w:val="20"/>
                <w:szCs w:val="20"/>
              </w:rPr>
            </w:pPr>
            <w:r w:rsidRPr="001149D8">
              <w:rPr>
                <w:rFonts w:ascii="Arial" w:hAnsi="Arial" w:cs="Arial"/>
                <w:sz w:val="20"/>
                <w:szCs w:val="20"/>
              </w:rPr>
              <w:t>742</w:t>
            </w:r>
          </w:p>
          <w:p w:rsidR="00E75994" w:rsidRPr="001149D8" w:rsidRDefault="00E75994" w:rsidP="00383F52">
            <w:pPr>
              <w:jc w:val="center"/>
              <w:rPr>
                <w:rFonts w:ascii="Arial" w:hAnsi="Arial" w:cs="Arial"/>
                <w:sz w:val="20"/>
                <w:szCs w:val="20"/>
              </w:rPr>
            </w:pPr>
            <w:r w:rsidRPr="001149D8">
              <w:rPr>
                <w:rFonts w:ascii="Arial" w:hAnsi="Arial" w:cs="Arial"/>
                <w:sz w:val="20"/>
                <w:szCs w:val="20"/>
              </w:rPr>
              <w:t>1,488</w:t>
            </w:r>
          </w:p>
          <w:p w:rsidR="00E75994" w:rsidRPr="001149D8" w:rsidRDefault="00E75994" w:rsidP="00383F52">
            <w:pPr>
              <w:jc w:val="center"/>
              <w:rPr>
                <w:rFonts w:ascii="Arial" w:hAnsi="Arial" w:cs="Arial"/>
                <w:sz w:val="20"/>
                <w:szCs w:val="20"/>
              </w:rPr>
            </w:pPr>
            <w:r w:rsidRPr="001149D8">
              <w:rPr>
                <w:rFonts w:ascii="Arial" w:hAnsi="Arial" w:cs="Arial"/>
                <w:sz w:val="20"/>
                <w:szCs w:val="20"/>
              </w:rPr>
              <w:t>2,235</w:t>
            </w:r>
          </w:p>
          <w:p w:rsidR="00E75994" w:rsidRPr="001149D8" w:rsidRDefault="00E75994" w:rsidP="00383F52">
            <w:pPr>
              <w:jc w:val="center"/>
              <w:rPr>
                <w:rFonts w:ascii="Arial" w:hAnsi="Arial" w:cs="Arial"/>
                <w:sz w:val="20"/>
                <w:szCs w:val="20"/>
              </w:rPr>
            </w:pPr>
            <w:r w:rsidRPr="001149D8">
              <w:rPr>
                <w:rFonts w:ascii="Arial" w:hAnsi="Arial" w:cs="Arial"/>
                <w:sz w:val="20"/>
                <w:szCs w:val="20"/>
              </w:rPr>
              <w:t>2,719</w:t>
            </w:r>
          </w:p>
        </w:tc>
      </w:tr>
      <w:tr w:rsidR="00E75994" w:rsidRPr="00FC6804" w:rsidTr="009738C5">
        <w:tc>
          <w:tcPr>
            <w:tcW w:w="2935" w:type="dxa"/>
          </w:tcPr>
          <w:p w:rsidR="00E75994" w:rsidRPr="001149D8" w:rsidRDefault="00E75994" w:rsidP="00383F52">
            <w:pPr>
              <w:spacing w:before="60" w:after="60"/>
              <w:rPr>
                <w:rFonts w:ascii="Arial" w:hAnsi="Arial" w:cs="Arial"/>
                <w:b/>
                <w:sz w:val="20"/>
                <w:szCs w:val="20"/>
              </w:rPr>
            </w:pPr>
            <w:r w:rsidRPr="001149D8">
              <w:rPr>
                <w:rFonts w:ascii="Arial" w:hAnsi="Arial" w:cs="Arial"/>
                <w:b/>
                <w:sz w:val="20"/>
                <w:szCs w:val="20"/>
              </w:rPr>
              <w:t>Retail Butcher Shop</w:t>
            </w:r>
          </w:p>
          <w:p w:rsidR="00E75994" w:rsidRPr="001149D8" w:rsidRDefault="00E75994" w:rsidP="00383F52">
            <w:pPr>
              <w:spacing w:before="60" w:after="60"/>
              <w:rPr>
                <w:rFonts w:ascii="Arial" w:hAnsi="Arial" w:cs="Arial"/>
                <w:sz w:val="20"/>
                <w:szCs w:val="20"/>
              </w:rPr>
            </w:pPr>
            <w:r w:rsidRPr="001149D8">
              <w:rPr>
                <w:rFonts w:ascii="Arial" w:hAnsi="Arial" w:cs="Arial"/>
                <w:sz w:val="20"/>
                <w:szCs w:val="20"/>
              </w:rPr>
              <w:t>(meat/poultry only)</w:t>
            </w:r>
          </w:p>
        </w:tc>
        <w:tc>
          <w:tcPr>
            <w:tcW w:w="3410" w:type="dxa"/>
          </w:tcPr>
          <w:p w:rsidR="00E75994" w:rsidRPr="001149D8" w:rsidRDefault="00E75994" w:rsidP="00383F52">
            <w:pPr>
              <w:spacing w:before="60" w:after="60"/>
              <w:rPr>
                <w:rFonts w:ascii="Arial" w:hAnsi="Arial" w:cs="Arial"/>
                <w:sz w:val="20"/>
                <w:szCs w:val="20"/>
              </w:rPr>
            </w:pPr>
            <w:r w:rsidRPr="001149D8">
              <w:rPr>
                <w:rFonts w:ascii="Arial" w:hAnsi="Arial" w:cs="Arial"/>
                <w:sz w:val="20"/>
                <w:szCs w:val="20"/>
              </w:rPr>
              <w:t>Not applicable</w:t>
            </w:r>
          </w:p>
          <w:p w:rsidR="00E75994" w:rsidRPr="001149D8" w:rsidRDefault="00E75994" w:rsidP="00383F52">
            <w:pPr>
              <w:spacing w:before="60" w:after="60"/>
              <w:rPr>
                <w:rFonts w:ascii="Arial" w:hAnsi="Arial" w:cs="Arial"/>
                <w:sz w:val="20"/>
                <w:szCs w:val="20"/>
              </w:rPr>
            </w:pPr>
            <w:r w:rsidRPr="001149D8">
              <w:rPr>
                <w:rFonts w:ascii="Arial" w:hAnsi="Arial" w:cs="Arial"/>
                <w:sz w:val="20"/>
                <w:szCs w:val="20"/>
              </w:rPr>
              <w:t>(Wholesale up to 50 tonnes)</w:t>
            </w:r>
          </w:p>
        </w:tc>
        <w:tc>
          <w:tcPr>
            <w:tcW w:w="1516" w:type="dxa"/>
          </w:tcPr>
          <w:p w:rsidR="00E75994" w:rsidRPr="001149D8" w:rsidRDefault="00E75994" w:rsidP="00383F52">
            <w:pPr>
              <w:spacing w:before="60" w:after="60"/>
              <w:jc w:val="center"/>
              <w:rPr>
                <w:rFonts w:ascii="Arial" w:hAnsi="Arial" w:cs="Arial"/>
                <w:sz w:val="20"/>
                <w:szCs w:val="20"/>
              </w:rPr>
            </w:pPr>
            <w:r w:rsidRPr="001149D8">
              <w:rPr>
                <w:rFonts w:ascii="Arial" w:hAnsi="Arial" w:cs="Arial"/>
                <w:sz w:val="20"/>
                <w:szCs w:val="20"/>
              </w:rPr>
              <w:t>160</w:t>
            </w:r>
          </w:p>
          <w:p w:rsidR="00E75994" w:rsidRPr="001149D8" w:rsidRDefault="00E75994" w:rsidP="00383F52">
            <w:pPr>
              <w:spacing w:before="60" w:after="60"/>
              <w:jc w:val="center"/>
              <w:rPr>
                <w:rFonts w:ascii="Arial" w:hAnsi="Arial" w:cs="Arial"/>
                <w:sz w:val="20"/>
                <w:szCs w:val="20"/>
              </w:rPr>
            </w:pPr>
          </w:p>
        </w:tc>
        <w:tc>
          <w:tcPr>
            <w:tcW w:w="1381" w:type="dxa"/>
          </w:tcPr>
          <w:p w:rsidR="00E75994" w:rsidRPr="001149D8" w:rsidRDefault="00E75994" w:rsidP="00383F52">
            <w:pPr>
              <w:spacing w:before="60" w:after="60"/>
              <w:jc w:val="center"/>
              <w:rPr>
                <w:rFonts w:ascii="Arial" w:hAnsi="Arial" w:cs="Arial"/>
                <w:sz w:val="20"/>
                <w:szCs w:val="20"/>
              </w:rPr>
            </w:pPr>
            <w:r w:rsidRPr="001149D8">
              <w:rPr>
                <w:rFonts w:ascii="Arial" w:hAnsi="Arial" w:cs="Arial"/>
                <w:sz w:val="20"/>
                <w:szCs w:val="20"/>
              </w:rPr>
              <w:t>320</w:t>
            </w:r>
          </w:p>
          <w:p w:rsidR="00E75994" w:rsidRPr="001149D8" w:rsidRDefault="00E75994" w:rsidP="00383F52">
            <w:pPr>
              <w:spacing w:before="60" w:after="60"/>
              <w:jc w:val="center"/>
              <w:rPr>
                <w:rFonts w:ascii="Arial" w:hAnsi="Arial" w:cs="Arial"/>
                <w:sz w:val="20"/>
                <w:szCs w:val="20"/>
              </w:rPr>
            </w:pPr>
          </w:p>
        </w:tc>
      </w:tr>
      <w:tr w:rsidR="00E75994" w:rsidRPr="00FC6804" w:rsidTr="009738C5">
        <w:tc>
          <w:tcPr>
            <w:tcW w:w="2935" w:type="dxa"/>
          </w:tcPr>
          <w:p w:rsidR="00E75994" w:rsidRPr="001149D8" w:rsidRDefault="00E75994" w:rsidP="00383F52">
            <w:pPr>
              <w:spacing w:before="60" w:after="60"/>
              <w:rPr>
                <w:rFonts w:ascii="Arial" w:hAnsi="Arial" w:cs="Arial"/>
                <w:b/>
                <w:sz w:val="20"/>
                <w:szCs w:val="20"/>
              </w:rPr>
            </w:pPr>
            <w:r w:rsidRPr="001149D8">
              <w:rPr>
                <w:rFonts w:ascii="Arial" w:hAnsi="Arial" w:cs="Arial"/>
                <w:b/>
                <w:sz w:val="20"/>
                <w:szCs w:val="20"/>
              </w:rPr>
              <w:t>Retail Butcher Shop (Smallgoods)</w:t>
            </w:r>
            <w:r w:rsidR="009738C5" w:rsidRPr="009738C5">
              <w:rPr>
                <w:rFonts w:ascii="Arial" w:hAnsi="Arial" w:cs="Arial"/>
                <w:b/>
                <w:sz w:val="20"/>
                <w:szCs w:val="20"/>
                <w:vertAlign w:val="superscript"/>
              </w:rPr>
              <w:t>3</w:t>
            </w:r>
          </w:p>
          <w:p w:rsidR="00E75994" w:rsidRPr="001149D8" w:rsidRDefault="00E75994" w:rsidP="00383F52">
            <w:pPr>
              <w:spacing w:before="60" w:after="60"/>
              <w:rPr>
                <w:rFonts w:ascii="Arial" w:hAnsi="Arial" w:cs="Arial"/>
                <w:sz w:val="20"/>
                <w:szCs w:val="20"/>
              </w:rPr>
            </w:pPr>
            <w:r w:rsidRPr="001149D8">
              <w:rPr>
                <w:rFonts w:ascii="Arial" w:hAnsi="Arial" w:cs="Arial"/>
                <w:sz w:val="20"/>
                <w:szCs w:val="20"/>
              </w:rPr>
              <w:t>(meat/poultry and smallgoods)</w:t>
            </w:r>
          </w:p>
        </w:tc>
        <w:tc>
          <w:tcPr>
            <w:tcW w:w="3410" w:type="dxa"/>
          </w:tcPr>
          <w:p w:rsidR="00E75994" w:rsidRPr="001149D8" w:rsidRDefault="00E75994" w:rsidP="00383F52">
            <w:pPr>
              <w:spacing w:before="60" w:after="60"/>
              <w:rPr>
                <w:rFonts w:ascii="Arial" w:hAnsi="Arial" w:cs="Arial"/>
                <w:sz w:val="20"/>
                <w:szCs w:val="20"/>
              </w:rPr>
            </w:pPr>
            <w:r w:rsidRPr="001149D8">
              <w:rPr>
                <w:rFonts w:ascii="Arial" w:hAnsi="Arial" w:cs="Arial"/>
                <w:sz w:val="20"/>
                <w:szCs w:val="20"/>
              </w:rPr>
              <w:t>Not applicable</w:t>
            </w:r>
          </w:p>
          <w:p w:rsidR="00E75994" w:rsidRPr="001149D8" w:rsidRDefault="00E75994" w:rsidP="00383F52">
            <w:pPr>
              <w:spacing w:before="60" w:after="60"/>
              <w:rPr>
                <w:rFonts w:ascii="Arial" w:hAnsi="Arial" w:cs="Arial"/>
                <w:sz w:val="20"/>
                <w:szCs w:val="20"/>
              </w:rPr>
            </w:pPr>
            <w:r w:rsidRPr="001149D8">
              <w:rPr>
                <w:rFonts w:ascii="Arial" w:hAnsi="Arial" w:cs="Arial"/>
                <w:sz w:val="20"/>
                <w:szCs w:val="20"/>
              </w:rPr>
              <w:t>(Wholesale up to 50 tonnes)</w:t>
            </w:r>
          </w:p>
        </w:tc>
        <w:tc>
          <w:tcPr>
            <w:tcW w:w="1516" w:type="dxa"/>
          </w:tcPr>
          <w:p w:rsidR="00E75994" w:rsidRPr="001149D8" w:rsidRDefault="00E75994" w:rsidP="00383F52">
            <w:pPr>
              <w:spacing w:before="60" w:after="60"/>
              <w:jc w:val="center"/>
              <w:rPr>
                <w:rFonts w:ascii="Arial" w:hAnsi="Arial" w:cs="Arial"/>
                <w:sz w:val="20"/>
                <w:szCs w:val="20"/>
              </w:rPr>
            </w:pPr>
            <w:r w:rsidRPr="001149D8">
              <w:rPr>
                <w:rFonts w:ascii="Arial" w:hAnsi="Arial" w:cs="Arial"/>
                <w:sz w:val="20"/>
                <w:szCs w:val="20"/>
              </w:rPr>
              <w:t>160</w:t>
            </w:r>
          </w:p>
        </w:tc>
        <w:tc>
          <w:tcPr>
            <w:tcW w:w="1381" w:type="dxa"/>
          </w:tcPr>
          <w:p w:rsidR="00E75994" w:rsidRPr="001149D8" w:rsidRDefault="00E75994" w:rsidP="00383F52">
            <w:pPr>
              <w:spacing w:before="60" w:after="60"/>
              <w:jc w:val="center"/>
              <w:rPr>
                <w:rFonts w:ascii="Arial" w:hAnsi="Arial" w:cs="Arial"/>
                <w:sz w:val="20"/>
                <w:szCs w:val="20"/>
              </w:rPr>
            </w:pPr>
            <w:r w:rsidRPr="001149D8">
              <w:rPr>
                <w:rFonts w:ascii="Arial" w:hAnsi="Arial" w:cs="Arial"/>
                <w:sz w:val="20"/>
                <w:szCs w:val="20"/>
              </w:rPr>
              <w:t>320</w:t>
            </w:r>
          </w:p>
        </w:tc>
      </w:tr>
      <w:tr w:rsidR="00E75994" w:rsidRPr="00FC6804" w:rsidTr="009738C5">
        <w:tc>
          <w:tcPr>
            <w:tcW w:w="2935" w:type="dxa"/>
          </w:tcPr>
          <w:p w:rsidR="00E75994" w:rsidRPr="001149D8" w:rsidRDefault="00E75994" w:rsidP="00383F52">
            <w:pPr>
              <w:spacing w:before="60" w:after="60"/>
              <w:rPr>
                <w:rFonts w:ascii="Arial" w:hAnsi="Arial" w:cs="Arial"/>
                <w:b/>
                <w:sz w:val="20"/>
                <w:szCs w:val="20"/>
              </w:rPr>
            </w:pPr>
            <w:r w:rsidRPr="001149D8">
              <w:rPr>
                <w:rFonts w:ascii="Arial" w:hAnsi="Arial" w:cs="Arial"/>
                <w:b/>
                <w:sz w:val="20"/>
                <w:szCs w:val="20"/>
              </w:rPr>
              <w:t>Prime Tallow Processing</w:t>
            </w:r>
          </w:p>
        </w:tc>
        <w:tc>
          <w:tcPr>
            <w:tcW w:w="3410" w:type="dxa"/>
          </w:tcPr>
          <w:p w:rsidR="00E75994" w:rsidRPr="001149D8" w:rsidRDefault="00E75994" w:rsidP="00383F52">
            <w:pPr>
              <w:spacing w:before="60" w:after="60"/>
              <w:rPr>
                <w:rFonts w:ascii="Arial" w:hAnsi="Arial" w:cs="Arial"/>
                <w:sz w:val="20"/>
                <w:szCs w:val="20"/>
              </w:rPr>
            </w:pPr>
            <w:r w:rsidRPr="001149D8">
              <w:rPr>
                <w:rFonts w:ascii="Arial" w:hAnsi="Arial" w:cs="Arial"/>
                <w:sz w:val="20"/>
                <w:szCs w:val="20"/>
              </w:rPr>
              <w:t>Not applicable</w:t>
            </w:r>
          </w:p>
        </w:tc>
        <w:tc>
          <w:tcPr>
            <w:tcW w:w="1516" w:type="dxa"/>
          </w:tcPr>
          <w:p w:rsidR="00E75994" w:rsidRPr="001149D8" w:rsidRDefault="00E75994" w:rsidP="008B2F1F">
            <w:pPr>
              <w:spacing w:before="60" w:after="60"/>
              <w:jc w:val="center"/>
              <w:rPr>
                <w:rFonts w:ascii="Arial" w:hAnsi="Arial" w:cs="Arial"/>
                <w:color w:val="000000" w:themeColor="text1"/>
                <w:sz w:val="20"/>
                <w:szCs w:val="20"/>
              </w:rPr>
            </w:pPr>
            <w:r w:rsidRPr="001149D8">
              <w:rPr>
                <w:rFonts w:ascii="Arial" w:hAnsi="Arial" w:cs="Arial"/>
                <w:color w:val="000000" w:themeColor="text1"/>
                <w:sz w:val="20"/>
                <w:szCs w:val="20"/>
              </w:rPr>
              <w:t>TBD</w:t>
            </w:r>
            <w:r w:rsidR="009738C5" w:rsidRPr="009738C5">
              <w:rPr>
                <w:rFonts w:ascii="Arial" w:hAnsi="Arial" w:cs="Arial"/>
                <w:color w:val="000000" w:themeColor="text1"/>
                <w:sz w:val="20"/>
                <w:szCs w:val="20"/>
                <w:vertAlign w:val="superscript"/>
              </w:rPr>
              <w:t>4</w:t>
            </w:r>
          </w:p>
        </w:tc>
        <w:tc>
          <w:tcPr>
            <w:tcW w:w="1381" w:type="dxa"/>
          </w:tcPr>
          <w:p w:rsidR="00E75994" w:rsidRPr="001149D8" w:rsidRDefault="00E75994" w:rsidP="00383F52">
            <w:pPr>
              <w:spacing w:before="60" w:after="60"/>
              <w:jc w:val="center"/>
              <w:rPr>
                <w:rFonts w:ascii="Arial" w:hAnsi="Arial" w:cs="Arial"/>
                <w:color w:val="000000" w:themeColor="text1"/>
                <w:sz w:val="20"/>
                <w:szCs w:val="20"/>
              </w:rPr>
            </w:pPr>
            <w:r w:rsidRPr="001149D8">
              <w:rPr>
                <w:rFonts w:ascii="Arial" w:hAnsi="Arial" w:cs="Arial"/>
                <w:color w:val="000000" w:themeColor="text1"/>
                <w:sz w:val="20"/>
                <w:szCs w:val="20"/>
              </w:rPr>
              <w:t>TBD</w:t>
            </w:r>
          </w:p>
        </w:tc>
      </w:tr>
      <w:tr w:rsidR="00E75994" w:rsidRPr="00FC6804" w:rsidTr="009738C5">
        <w:tc>
          <w:tcPr>
            <w:tcW w:w="2935" w:type="dxa"/>
          </w:tcPr>
          <w:p w:rsidR="00E75994" w:rsidRPr="001149D8" w:rsidRDefault="00E75994" w:rsidP="00383F52">
            <w:pPr>
              <w:spacing w:before="60" w:after="60"/>
              <w:rPr>
                <w:rFonts w:ascii="Arial" w:hAnsi="Arial" w:cs="Arial"/>
                <w:b/>
                <w:sz w:val="20"/>
                <w:szCs w:val="20"/>
              </w:rPr>
            </w:pPr>
            <w:r w:rsidRPr="001149D8">
              <w:rPr>
                <w:rFonts w:ascii="Arial" w:hAnsi="Arial" w:cs="Arial"/>
                <w:b/>
                <w:sz w:val="20"/>
                <w:szCs w:val="20"/>
              </w:rPr>
              <w:t xml:space="preserve">Game Meat </w:t>
            </w:r>
          </w:p>
        </w:tc>
        <w:tc>
          <w:tcPr>
            <w:tcW w:w="3410" w:type="dxa"/>
          </w:tcPr>
          <w:p w:rsidR="00E75994" w:rsidRPr="001149D8" w:rsidRDefault="00E75994" w:rsidP="00383F52">
            <w:pPr>
              <w:spacing w:before="60" w:after="60"/>
              <w:rPr>
                <w:rFonts w:ascii="Arial" w:hAnsi="Arial" w:cs="Arial"/>
                <w:sz w:val="20"/>
                <w:szCs w:val="20"/>
              </w:rPr>
            </w:pPr>
            <w:r w:rsidRPr="001149D8">
              <w:rPr>
                <w:rFonts w:ascii="Arial" w:hAnsi="Arial" w:cs="Arial"/>
                <w:sz w:val="20"/>
                <w:szCs w:val="20"/>
              </w:rPr>
              <w:t>Not applicable</w:t>
            </w:r>
          </w:p>
        </w:tc>
        <w:tc>
          <w:tcPr>
            <w:tcW w:w="1516" w:type="dxa"/>
          </w:tcPr>
          <w:p w:rsidR="00E75994" w:rsidRPr="001149D8" w:rsidRDefault="00E75994" w:rsidP="00383F52">
            <w:pPr>
              <w:spacing w:before="60" w:after="60"/>
              <w:jc w:val="center"/>
              <w:rPr>
                <w:rFonts w:ascii="Arial" w:hAnsi="Arial" w:cs="Arial"/>
                <w:color w:val="000000" w:themeColor="text1"/>
                <w:sz w:val="20"/>
                <w:szCs w:val="20"/>
              </w:rPr>
            </w:pPr>
            <w:r w:rsidRPr="001149D8">
              <w:rPr>
                <w:rFonts w:ascii="Arial" w:hAnsi="Arial" w:cs="Arial"/>
                <w:color w:val="000000" w:themeColor="text1"/>
                <w:sz w:val="20"/>
                <w:szCs w:val="20"/>
              </w:rPr>
              <w:t>TBD</w:t>
            </w:r>
          </w:p>
        </w:tc>
        <w:tc>
          <w:tcPr>
            <w:tcW w:w="1381" w:type="dxa"/>
          </w:tcPr>
          <w:p w:rsidR="00E75994" w:rsidRPr="001149D8" w:rsidRDefault="00E75994" w:rsidP="00383F52">
            <w:pPr>
              <w:spacing w:before="60" w:after="60"/>
              <w:jc w:val="center"/>
              <w:rPr>
                <w:rFonts w:ascii="Arial" w:hAnsi="Arial" w:cs="Arial"/>
                <w:color w:val="000000" w:themeColor="text1"/>
                <w:sz w:val="20"/>
                <w:szCs w:val="20"/>
              </w:rPr>
            </w:pPr>
            <w:r w:rsidRPr="001149D8">
              <w:rPr>
                <w:rFonts w:ascii="Arial" w:hAnsi="Arial" w:cs="Arial"/>
                <w:color w:val="000000" w:themeColor="text1"/>
                <w:sz w:val="20"/>
                <w:szCs w:val="20"/>
              </w:rPr>
              <w:t>TBD</w:t>
            </w:r>
          </w:p>
        </w:tc>
      </w:tr>
      <w:tr w:rsidR="00E75994" w:rsidRPr="00FC6804" w:rsidTr="009738C5">
        <w:tc>
          <w:tcPr>
            <w:tcW w:w="2935" w:type="dxa"/>
          </w:tcPr>
          <w:p w:rsidR="00E75994" w:rsidRPr="001149D8" w:rsidRDefault="00E75994" w:rsidP="00383F52">
            <w:pPr>
              <w:spacing w:before="60" w:after="60"/>
              <w:rPr>
                <w:rFonts w:ascii="Arial" w:hAnsi="Arial" w:cs="Arial"/>
                <w:b/>
                <w:sz w:val="20"/>
                <w:szCs w:val="20"/>
              </w:rPr>
            </w:pPr>
            <w:r w:rsidRPr="001149D8">
              <w:rPr>
                <w:rFonts w:ascii="Arial" w:hAnsi="Arial" w:cs="Arial"/>
                <w:b/>
                <w:sz w:val="20"/>
                <w:szCs w:val="20"/>
              </w:rPr>
              <w:t>Inedible Rendering</w:t>
            </w:r>
          </w:p>
        </w:tc>
        <w:tc>
          <w:tcPr>
            <w:tcW w:w="3410" w:type="dxa"/>
          </w:tcPr>
          <w:p w:rsidR="00E75994" w:rsidRPr="001149D8" w:rsidRDefault="00E75994" w:rsidP="00383F52">
            <w:pPr>
              <w:spacing w:before="60" w:after="60"/>
              <w:rPr>
                <w:rFonts w:ascii="Arial" w:hAnsi="Arial" w:cs="Arial"/>
                <w:sz w:val="20"/>
                <w:szCs w:val="20"/>
              </w:rPr>
            </w:pPr>
            <w:r w:rsidRPr="001149D8">
              <w:rPr>
                <w:rFonts w:ascii="Arial" w:hAnsi="Arial" w:cs="Arial"/>
                <w:sz w:val="20"/>
                <w:szCs w:val="20"/>
              </w:rPr>
              <w:t>Not applicable</w:t>
            </w:r>
          </w:p>
        </w:tc>
        <w:tc>
          <w:tcPr>
            <w:tcW w:w="1516" w:type="dxa"/>
          </w:tcPr>
          <w:p w:rsidR="00E75994" w:rsidRPr="001149D8" w:rsidRDefault="00E75994" w:rsidP="00383F52">
            <w:pPr>
              <w:spacing w:before="60" w:after="60"/>
              <w:jc w:val="center"/>
              <w:rPr>
                <w:rFonts w:ascii="Arial" w:hAnsi="Arial" w:cs="Arial"/>
                <w:color w:val="000000" w:themeColor="text1"/>
                <w:sz w:val="20"/>
                <w:szCs w:val="20"/>
              </w:rPr>
            </w:pPr>
            <w:r w:rsidRPr="001149D8">
              <w:rPr>
                <w:rFonts w:ascii="Arial" w:hAnsi="Arial" w:cs="Arial"/>
                <w:color w:val="000000" w:themeColor="text1"/>
                <w:sz w:val="20"/>
                <w:szCs w:val="20"/>
              </w:rPr>
              <w:t>TBD</w:t>
            </w:r>
          </w:p>
        </w:tc>
        <w:tc>
          <w:tcPr>
            <w:tcW w:w="1381" w:type="dxa"/>
          </w:tcPr>
          <w:p w:rsidR="00E75994" w:rsidRPr="001149D8" w:rsidRDefault="00E75994" w:rsidP="00383F52">
            <w:pPr>
              <w:spacing w:before="60" w:after="60"/>
              <w:jc w:val="center"/>
              <w:rPr>
                <w:rFonts w:ascii="Arial" w:hAnsi="Arial" w:cs="Arial"/>
                <w:color w:val="000000" w:themeColor="text1"/>
                <w:sz w:val="20"/>
                <w:szCs w:val="20"/>
              </w:rPr>
            </w:pPr>
            <w:r w:rsidRPr="001149D8">
              <w:rPr>
                <w:rFonts w:ascii="Arial" w:hAnsi="Arial" w:cs="Arial"/>
                <w:color w:val="000000" w:themeColor="text1"/>
                <w:sz w:val="20"/>
                <w:szCs w:val="20"/>
              </w:rPr>
              <w:t>TBD</w:t>
            </w:r>
          </w:p>
        </w:tc>
      </w:tr>
      <w:tr w:rsidR="00E75994" w:rsidRPr="00FC6804" w:rsidTr="009738C5">
        <w:tc>
          <w:tcPr>
            <w:tcW w:w="2935" w:type="dxa"/>
          </w:tcPr>
          <w:p w:rsidR="00E75994" w:rsidRPr="001149D8" w:rsidRDefault="00E75994" w:rsidP="00383F52">
            <w:pPr>
              <w:spacing w:before="60" w:after="60"/>
              <w:rPr>
                <w:rFonts w:ascii="Arial" w:hAnsi="Arial" w:cs="Arial"/>
                <w:b/>
                <w:sz w:val="20"/>
                <w:szCs w:val="20"/>
              </w:rPr>
            </w:pPr>
            <w:r w:rsidRPr="001149D8">
              <w:rPr>
                <w:rFonts w:ascii="Arial" w:hAnsi="Arial" w:cs="Arial"/>
                <w:b/>
                <w:sz w:val="20"/>
                <w:szCs w:val="20"/>
              </w:rPr>
              <w:t>Pet Meat Processing Plant</w:t>
            </w:r>
          </w:p>
        </w:tc>
        <w:tc>
          <w:tcPr>
            <w:tcW w:w="3410" w:type="dxa"/>
          </w:tcPr>
          <w:p w:rsidR="00E75994" w:rsidRPr="001149D8" w:rsidRDefault="00E75994" w:rsidP="00383F52">
            <w:pPr>
              <w:spacing w:before="60" w:after="60"/>
              <w:rPr>
                <w:rFonts w:ascii="Arial" w:hAnsi="Arial" w:cs="Arial"/>
                <w:sz w:val="20"/>
                <w:szCs w:val="20"/>
              </w:rPr>
            </w:pPr>
            <w:r w:rsidRPr="001149D8">
              <w:rPr>
                <w:rFonts w:ascii="Arial" w:hAnsi="Arial" w:cs="Arial"/>
                <w:sz w:val="20"/>
                <w:szCs w:val="20"/>
              </w:rPr>
              <w:t>Not applicable</w:t>
            </w:r>
          </w:p>
        </w:tc>
        <w:tc>
          <w:tcPr>
            <w:tcW w:w="1516" w:type="dxa"/>
          </w:tcPr>
          <w:p w:rsidR="00E75994" w:rsidRPr="001149D8" w:rsidRDefault="00E75994" w:rsidP="00383F52">
            <w:pPr>
              <w:spacing w:before="60" w:after="60"/>
              <w:jc w:val="center"/>
              <w:rPr>
                <w:rFonts w:ascii="Arial" w:hAnsi="Arial" w:cs="Arial"/>
                <w:color w:val="000000" w:themeColor="text1"/>
                <w:sz w:val="20"/>
                <w:szCs w:val="20"/>
              </w:rPr>
            </w:pPr>
            <w:r w:rsidRPr="001149D8">
              <w:rPr>
                <w:rFonts w:ascii="Arial" w:hAnsi="Arial" w:cs="Arial"/>
                <w:color w:val="000000" w:themeColor="text1"/>
                <w:sz w:val="20"/>
                <w:szCs w:val="20"/>
              </w:rPr>
              <w:t>TBD</w:t>
            </w:r>
          </w:p>
        </w:tc>
        <w:tc>
          <w:tcPr>
            <w:tcW w:w="1381" w:type="dxa"/>
          </w:tcPr>
          <w:p w:rsidR="00E75994" w:rsidRPr="001149D8" w:rsidRDefault="00E75994" w:rsidP="00383F52">
            <w:pPr>
              <w:spacing w:before="60" w:after="60"/>
              <w:jc w:val="center"/>
              <w:rPr>
                <w:rFonts w:ascii="Arial" w:hAnsi="Arial" w:cs="Arial"/>
                <w:color w:val="000000" w:themeColor="text1"/>
                <w:sz w:val="20"/>
                <w:szCs w:val="20"/>
              </w:rPr>
            </w:pPr>
            <w:r w:rsidRPr="001149D8">
              <w:rPr>
                <w:rFonts w:ascii="Arial" w:hAnsi="Arial" w:cs="Arial"/>
                <w:color w:val="000000" w:themeColor="text1"/>
                <w:sz w:val="20"/>
                <w:szCs w:val="20"/>
              </w:rPr>
              <w:t>TBD</w:t>
            </w:r>
          </w:p>
        </w:tc>
      </w:tr>
      <w:tr w:rsidR="00E75994" w:rsidRPr="00FC6804" w:rsidTr="009738C5">
        <w:tc>
          <w:tcPr>
            <w:tcW w:w="2935" w:type="dxa"/>
          </w:tcPr>
          <w:p w:rsidR="00E75994" w:rsidRPr="001149D8" w:rsidRDefault="00E75994" w:rsidP="00383F52">
            <w:pPr>
              <w:spacing w:before="60"/>
              <w:rPr>
                <w:rFonts w:ascii="Arial" w:hAnsi="Arial" w:cs="Arial"/>
                <w:b/>
                <w:sz w:val="20"/>
                <w:szCs w:val="20"/>
              </w:rPr>
            </w:pPr>
            <w:r w:rsidRPr="001149D8">
              <w:rPr>
                <w:rFonts w:ascii="Arial" w:hAnsi="Arial" w:cs="Arial"/>
                <w:b/>
                <w:sz w:val="20"/>
                <w:szCs w:val="20"/>
              </w:rPr>
              <w:t>Pet Food Establishments</w:t>
            </w:r>
          </w:p>
        </w:tc>
        <w:tc>
          <w:tcPr>
            <w:tcW w:w="3410" w:type="dxa"/>
          </w:tcPr>
          <w:p w:rsidR="00E75994" w:rsidRPr="001149D8" w:rsidRDefault="00E75994" w:rsidP="00383F52">
            <w:pPr>
              <w:spacing w:before="60"/>
              <w:rPr>
                <w:rFonts w:ascii="Arial" w:hAnsi="Arial" w:cs="Arial"/>
                <w:sz w:val="20"/>
                <w:szCs w:val="20"/>
              </w:rPr>
            </w:pPr>
            <w:r w:rsidRPr="001149D8">
              <w:rPr>
                <w:rFonts w:ascii="Arial" w:hAnsi="Arial" w:cs="Arial"/>
                <w:sz w:val="20"/>
                <w:szCs w:val="20"/>
              </w:rPr>
              <w:t>Up to 50 tonnes</w:t>
            </w:r>
          </w:p>
          <w:p w:rsidR="00E75994" w:rsidRPr="001149D8" w:rsidRDefault="00E75994" w:rsidP="00383F52">
            <w:pPr>
              <w:rPr>
                <w:rFonts w:ascii="Arial" w:hAnsi="Arial" w:cs="Arial"/>
                <w:sz w:val="20"/>
                <w:szCs w:val="20"/>
              </w:rPr>
            </w:pPr>
            <w:r w:rsidRPr="001149D8">
              <w:rPr>
                <w:rFonts w:ascii="Arial" w:hAnsi="Arial" w:cs="Arial"/>
                <w:sz w:val="20"/>
                <w:szCs w:val="20"/>
              </w:rPr>
              <w:t>51 to 150 tonnes</w:t>
            </w:r>
          </w:p>
          <w:p w:rsidR="00E75994" w:rsidRPr="001149D8" w:rsidRDefault="00E75994" w:rsidP="00383F52">
            <w:pPr>
              <w:spacing w:after="60"/>
              <w:rPr>
                <w:rFonts w:ascii="Arial" w:hAnsi="Arial" w:cs="Arial"/>
                <w:sz w:val="20"/>
                <w:szCs w:val="20"/>
              </w:rPr>
            </w:pPr>
            <w:r w:rsidRPr="001149D8">
              <w:rPr>
                <w:rFonts w:ascii="Arial" w:hAnsi="Arial" w:cs="Arial"/>
                <w:sz w:val="20"/>
                <w:szCs w:val="20"/>
              </w:rPr>
              <w:t xml:space="preserve">Over 150 tonnes </w:t>
            </w:r>
          </w:p>
        </w:tc>
        <w:tc>
          <w:tcPr>
            <w:tcW w:w="1516" w:type="dxa"/>
          </w:tcPr>
          <w:p w:rsidR="00E75994" w:rsidRPr="001149D8" w:rsidRDefault="00E75994" w:rsidP="00383F52">
            <w:pPr>
              <w:spacing w:before="60"/>
              <w:jc w:val="center"/>
              <w:rPr>
                <w:rFonts w:ascii="Arial" w:hAnsi="Arial" w:cs="Arial"/>
                <w:color w:val="000000" w:themeColor="text1"/>
                <w:sz w:val="20"/>
                <w:szCs w:val="20"/>
              </w:rPr>
            </w:pPr>
            <w:r w:rsidRPr="001149D8">
              <w:rPr>
                <w:rFonts w:ascii="Arial" w:hAnsi="Arial" w:cs="Arial"/>
                <w:color w:val="000000" w:themeColor="text1"/>
                <w:sz w:val="20"/>
                <w:szCs w:val="20"/>
              </w:rPr>
              <w:t>TBD</w:t>
            </w:r>
          </w:p>
          <w:p w:rsidR="00E75994" w:rsidRPr="001149D8" w:rsidRDefault="00E75994" w:rsidP="00383F52">
            <w:pPr>
              <w:jc w:val="center"/>
              <w:rPr>
                <w:rFonts w:ascii="Arial" w:hAnsi="Arial" w:cs="Arial"/>
                <w:color w:val="000000" w:themeColor="text1"/>
                <w:sz w:val="20"/>
                <w:szCs w:val="20"/>
              </w:rPr>
            </w:pPr>
            <w:r w:rsidRPr="001149D8">
              <w:rPr>
                <w:rFonts w:ascii="Arial" w:hAnsi="Arial" w:cs="Arial"/>
                <w:color w:val="000000" w:themeColor="text1"/>
                <w:sz w:val="20"/>
                <w:szCs w:val="20"/>
              </w:rPr>
              <w:t>TBD</w:t>
            </w:r>
          </w:p>
          <w:p w:rsidR="00E75994" w:rsidRPr="001149D8" w:rsidRDefault="00E75994" w:rsidP="00383F52">
            <w:pPr>
              <w:jc w:val="center"/>
              <w:rPr>
                <w:rFonts w:ascii="Arial" w:hAnsi="Arial" w:cs="Arial"/>
                <w:color w:val="000000" w:themeColor="text1"/>
                <w:sz w:val="20"/>
                <w:szCs w:val="20"/>
              </w:rPr>
            </w:pPr>
            <w:r w:rsidRPr="001149D8">
              <w:rPr>
                <w:rFonts w:ascii="Arial" w:hAnsi="Arial" w:cs="Arial"/>
                <w:color w:val="000000" w:themeColor="text1"/>
                <w:sz w:val="20"/>
                <w:szCs w:val="20"/>
              </w:rPr>
              <w:t>TBD</w:t>
            </w:r>
          </w:p>
        </w:tc>
        <w:tc>
          <w:tcPr>
            <w:tcW w:w="1381" w:type="dxa"/>
          </w:tcPr>
          <w:p w:rsidR="00E75994" w:rsidRPr="001149D8" w:rsidRDefault="00E75994" w:rsidP="00383F52">
            <w:pPr>
              <w:spacing w:before="60"/>
              <w:jc w:val="center"/>
              <w:rPr>
                <w:rFonts w:ascii="Arial" w:hAnsi="Arial" w:cs="Arial"/>
                <w:color w:val="000000" w:themeColor="text1"/>
                <w:sz w:val="20"/>
                <w:szCs w:val="20"/>
              </w:rPr>
            </w:pPr>
            <w:r w:rsidRPr="001149D8">
              <w:rPr>
                <w:rFonts w:ascii="Arial" w:hAnsi="Arial" w:cs="Arial"/>
                <w:color w:val="000000" w:themeColor="text1"/>
                <w:sz w:val="20"/>
                <w:szCs w:val="20"/>
              </w:rPr>
              <w:t>TBD</w:t>
            </w:r>
          </w:p>
          <w:p w:rsidR="00E75994" w:rsidRPr="001149D8" w:rsidRDefault="00E75994" w:rsidP="00383F52">
            <w:pPr>
              <w:jc w:val="center"/>
              <w:rPr>
                <w:rFonts w:ascii="Arial" w:hAnsi="Arial" w:cs="Arial"/>
                <w:color w:val="000000" w:themeColor="text1"/>
                <w:sz w:val="20"/>
                <w:szCs w:val="20"/>
              </w:rPr>
            </w:pPr>
            <w:r w:rsidRPr="001149D8">
              <w:rPr>
                <w:rFonts w:ascii="Arial" w:hAnsi="Arial" w:cs="Arial"/>
                <w:color w:val="000000" w:themeColor="text1"/>
                <w:sz w:val="20"/>
                <w:szCs w:val="20"/>
              </w:rPr>
              <w:t>TBD</w:t>
            </w:r>
          </w:p>
          <w:p w:rsidR="00E75994" w:rsidRPr="001149D8" w:rsidRDefault="00E75994" w:rsidP="00383F52">
            <w:pPr>
              <w:jc w:val="center"/>
              <w:rPr>
                <w:rFonts w:ascii="Arial" w:hAnsi="Arial" w:cs="Arial"/>
                <w:color w:val="000000" w:themeColor="text1"/>
                <w:sz w:val="20"/>
                <w:szCs w:val="20"/>
              </w:rPr>
            </w:pPr>
            <w:r w:rsidRPr="001149D8">
              <w:rPr>
                <w:rFonts w:ascii="Arial" w:hAnsi="Arial" w:cs="Arial"/>
                <w:color w:val="000000" w:themeColor="text1"/>
                <w:sz w:val="20"/>
                <w:szCs w:val="20"/>
              </w:rPr>
              <w:t>TBD</w:t>
            </w:r>
          </w:p>
        </w:tc>
      </w:tr>
      <w:tr w:rsidR="00E75994" w:rsidRPr="00FC6804" w:rsidTr="009738C5">
        <w:tc>
          <w:tcPr>
            <w:tcW w:w="2935" w:type="dxa"/>
          </w:tcPr>
          <w:p w:rsidR="00E75994" w:rsidRPr="001149D8" w:rsidRDefault="00E75994" w:rsidP="00383F52">
            <w:pPr>
              <w:spacing w:before="60" w:after="60"/>
              <w:rPr>
                <w:rFonts w:ascii="Arial" w:hAnsi="Arial" w:cs="Arial"/>
                <w:b/>
                <w:sz w:val="20"/>
                <w:szCs w:val="20"/>
              </w:rPr>
            </w:pPr>
            <w:r w:rsidRPr="001149D8">
              <w:rPr>
                <w:rFonts w:ascii="Arial" w:hAnsi="Arial" w:cs="Arial"/>
                <w:b/>
                <w:sz w:val="20"/>
                <w:szCs w:val="20"/>
              </w:rPr>
              <w:t xml:space="preserve">Meat Transport Vehicles </w:t>
            </w:r>
          </w:p>
        </w:tc>
        <w:tc>
          <w:tcPr>
            <w:tcW w:w="3410" w:type="dxa"/>
          </w:tcPr>
          <w:p w:rsidR="00E75994" w:rsidRPr="001149D8" w:rsidRDefault="00E75994" w:rsidP="00383F52">
            <w:pPr>
              <w:spacing w:before="60"/>
              <w:rPr>
                <w:rFonts w:ascii="Arial" w:hAnsi="Arial" w:cs="Arial"/>
                <w:sz w:val="20"/>
                <w:szCs w:val="20"/>
              </w:rPr>
            </w:pPr>
            <w:r w:rsidRPr="001149D8">
              <w:rPr>
                <w:rFonts w:ascii="Arial" w:hAnsi="Arial" w:cs="Arial"/>
                <w:sz w:val="20"/>
                <w:szCs w:val="20"/>
              </w:rPr>
              <w:t>Commercial Van</w:t>
            </w:r>
          </w:p>
          <w:p w:rsidR="00E75994" w:rsidRPr="001149D8" w:rsidRDefault="00E75994" w:rsidP="00383F52">
            <w:pPr>
              <w:rPr>
                <w:rFonts w:ascii="Arial" w:hAnsi="Arial" w:cs="Arial"/>
                <w:sz w:val="20"/>
                <w:szCs w:val="20"/>
              </w:rPr>
            </w:pPr>
            <w:r w:rsidRPr="001149D8">
              <w:rPr>
                <w:rFonts w:ascii="Arial" w:hAnsi="Arial" w:cs="Arial"/>
                <w:sz w:val="20"/>
                <w:szCs w:val="20"/>
              </w:rPr>
              <w:t xml:space="preserve">Truck/Trailer under 4.5 tonnes GVM </w:t>
            </w:r>
          </w:p>
          <w:p w:rsidR="00E75994" w:rsidRPr="001149D8" w:rsidRDefault="00E75994" w:rsidP="00383F52">
            <w:pPr>
              <w:spacing w:after="60"/>
              <w:rPr>
                <w:rFonts w:ascii="Arial" w:hAnsi="Arial" w:cs="Arial"/>
                <w:sz w:val="20"/>
                <w:szCs w:val="20"/>
              </w:rPr>
            </w:pPr>
            <w:r w:rsidRPr="001149D8">
              <w:rPr>
                <w:rFonts w:ascii="Arial" w:hAnsi="Arial" w:cs="Arial"/>
                <w:sz w:val="20"/>
                <w:szCs w:val="20"/>
              </w:rPr>
              <w:t>Truck/Trailer over 4.5 tonnes GVM</w:t>
            </w:r>
          </w:p>
        </w:tc>
        <w:tc>
          <w:tcPr>
            <w:tcW w:w="1516" w:type="dxa"/>
          </w:tcPr>
          <w:p w:rsidR="00E75994" w:rsidRPr="001149D8" w:rsidRDefault="00E75994" w:rsidP="00383F52">
            <w:pPr>
              <w:spacing w:before="60"/>
              <w:jc w:val="center"/>
              <w:rPr>
                <w:rFonts w:ascii="Arial" w:hAnsi="Arial" w:cs="Arial"/>
                <w:sz w:val="20"/>
                <w:szCs w:val="20"/>
              </w:rPr>
            </w:pPr>
            <w:r w:rsidRPr="001149D8">
              <w:rPr>
                <w:rFonts w:ascii="Arial" w:hAnsi="Arial" w:cs="Arial"/>
                <w:sz w:val="20"/>
                <w:szCs w:val="20"/>
              </w:rPr>
              <w:t>-</w:t>
            </w:r>
          </w:p>
          <w:p w:rsidR="00E75994" w:rsidRPr="001149D8" w:rsidRDefault="00E75994" w:rsidP="00383F52">
            <w:pPr>
              <w:jc w:val="center"/>
              <w:rPr>
                <w:rFonts w:ascii="Arial" w:hAnsi="Arial" w:cs="Arial"/>
                <w:sz w:val="20"/>
                <w:szCs w:val="20"/>
              </w:rPr>
            </w:pPr>
            <w:r w:rsidRPr="001149D8">
              <w:rPr>
                <w:rFonts w:ascii="Arial" w:hAnsi="Arial" w:cs="Arial"/>
                <w:sz w:val="20"/>
                <w:szCs w:val="20"/>
              </w:rPr>
              <w:t>-</w:t>
            </w:r>
          </w:p>
          <w:p w:rsidR="00E75994" w:rsidRPr="001149D8" w:rsidRDefault="00E75994" w:rsidP="00383F52">
            <w:pPr>
              <w:jc w:val="center"/>
              <w:rPr>
                <w:rFonts w:ascii="Arial" w:hAnsi="Arial" w:cs="Arial"/>
                <w:sz w:val="20"/>
                <w:szCs w:val="20"/>
              </w:rPr>
            </w:pPr>
            <w:r w:rsidRPr="001149D8">
              <w:rPr>
                <w:rFonts w:ascii="Arial" w:hAnsi="Arial" w:cs="Arial"/>
                <w:sz w:val="20"/>
                <w:szCs w:val="20"/>
              </w:rPr>
              <w:t>-</w:t>
            </w:r>
          </w:p>
        </w:tc>
        <w:tc>
          <w:tcPr>
            <w:tcW w:w="1381" w:type="dxa"/>
          </w:tcPr>
          <w:p w:rsidR="00E75994" w:rsidRPr="001149D8" w:rsidRDefault="00E75994" w:rsidP="00383F52">
            <w:pPr>
              <w:spacing w:before="60"/>
              <w:jc w:val="center"/>
              <w:rPr>
                <w:rFonts w:ascii="Arial" w:hAnsi="Arial" w:cs="Arial"/>
                <w:sz w:val="20"/>
                <w:szCs w:val="20"/>
              </w:rPr>
            </w:pPr>
            <w:r w:rsidRPr="001149D8">
              <w:rPr>
                <w:rFonts w:ascii="Arial" w:hAnsi="Arial" w:cs="Arial"/>
                <w:sz w:val="20"/>
                <w:szCs w:val="20"/>
              </w:rPr>
              <w:t>128</w:t>
            </w:r>
          </w:p>
          <w:p w:rsidR="00E75994" w:rsidRPr="001149D8" w:rsidRDefault="00E75994" w:rsidP="00383F52">
            <w:pPr>
              <w:jc w:val="center"/>
              <w:rPr>
                <w:rFonts w:ascii="Arial" w:hAnsi="Arial" w:cs="Arial"/>
                <w:sz w:val="20"/>
                <w:szCs w:val="20"/>
              </w:rPr>
            </w:pPr>
            <w:r w:rsidRPr="001149D8">
              <w:rPr>
                <w:rFonts w:ascii="Arial" w:hAnsi="Arial" w:cs="Arial"/>
                <w:sz w:val="20"/>
                <w:szCs w:val="20"/>
              </w:rPr>
              <w:t>195</w:t>
            </w:r>
          </w:p>
          <w:p w:rsidR="00E75994" w:rsidRPr="001149D8" w:rsidRDefault="00E75994" w:rsidP="00383F52">
            <w:pPr>
              <w:jc w:val="center"/>
              <w:rPr>
                <w:rFonts w:ascii="Arial" w:hAnsi="Arial" w:cs="Arial"/>
                <w:sz w:val="20"/>
                <w:szCs w:val="20"/>
              </w:rPr>
            </w:pPr>
            <w:r w:rsidRPr="001149D8">
              <w:rPr>
                <w:rFonts w:ascii="Arial" w:hAnsi="Arial" w:cs="Arial"/>
                <w:sz w:val="20"/>
                <w:szCs w:val="20"/>
              </w:rPr>
              <w:t>247</w:t>
            </w:r>
          </w:p>
        </w:tc>
      </w:tr>
    </w:tbl>
    <w:p w:rsidR="00E75994" w:rsidRPr="001149D8" w:rsidRDefault="00E75994" w:rsidP="001149D8">
      <w:pPr>
        <w:spacing w:after="0" w:line="240" w:lineRule="auto"/>
        <w:rPr>
          <w:rFonts w:ascii="Arial" w:hAnsi="Arial" w:cs="Arial"/>
          <w:sz w:val="18"/>
          <w:szCs w:val="18"/>
        </w:rPr>
      </w:pPr>
    </w:p>
    <w:p w:rsidR="001C07A4" w:rsidRPr="001149D8" w:rsidRDefault="00E75994" w:rsidP="001149D8">
      <w:pPr>
        <w:spacing w:after="0" w:line="240" w:lineRule="auto"/>
        <w:jc w:val="both"/>
        <w:rPr>
          <w:rFonts w:ascii="Arial" w:hAnsi="Arial" w:cs="Arial"/>
          <w:sz w:val="18"/>
          <w:szCs w:val="18"/>
        </w:rPr>
      </w:pPr>
      <w:r w:rsidRPr="001149D8">
        <w:rPr>
          <w:rFonts w:ascii="Arial" w:hAnsi="Arial" w:cs="Arial"/>
          <w:sz w:val="18"/>
          <w:szCs w:val="18"/>
        </w:rPr>
        <w:t>Note</w:t>
      </w:r>
      <w:r w:rsidR="001C07A4" w:rsidRPr="001149D8">
        <w:rPr>
          <w:rFonts w:ascii="Arial" w:hAnsi="Arial" w:cs="Arial"/>
          <w:sz w:val="18"/>
          <w:szCs w:val="18"/>
        </w:rPr>
        <w:t>s</w:t>
      </w:r>
      <w:r w:rsidRPr="001149D8">
        <w:rPr>
          <w:rFonts w:ascii="Arial" w:hAnsi="Arial" w:cs="Arial"/>
          <w:sz w:val="18"/>
          <w:szCs w:val="18"/>
        </w:rPr>
        <w:t xml:space="preserve">: </w:t>
      </w:r>
    </w:p>
    <w:p w:rsidR="00C51629" w:rsidRDefault="008B2F1F" w:rsidP="00C51629">
      <w:pPr>
        <w:pStyle w:val="ListParagraph"/>
        <w:numPr>
          <w:ilvl w:val="0"/>
          <w:numId w:val="39"/>
        </w:numPr>
        <w:spacing w:after="0" w:line="240" w:lineRule="auto"/>
        <w:jc w:val="both"/>
        <w:rPr>
          <w:rFonts w:ascii="Arial" w:hAnsi="Arial" w:cs="Arial"/>
          <w:sz w:val="18"/>
          <w:szCs w:val="18"/>
        </w:rPr>
      </w:pPr>
      <w:r w:rsidRPr="001149D8">
        <w:rPr>
          <w:rFonts w:ascii="Arial" w:hAnsi="Arial" w:cs="Arial"/>
          <w:sz w:val="18"/>
          <w:szCs w:val="18"/>
        </w:rPr>
        <w:t xml:space="preserve">Abattoirs </w:t>
      </w:r>
      <w:r w:rsidR="00E75994" w:rsidRPr="001149D8">
        <w:rPr>
          <w:rFonts w:ascii="Arial" w:hAnsi="Arial" w:cs="Arial"/>
          <w:sz w:val="18"/>
          <w:szCs w:val="18"/>
        </w:rPr>
        <w:t xml:space="preserve">supervised by the Department of Agriculture (DA) where DA accepts responsibility for all products placed on the domestic market are required to pay a licence fee in accordance with the fee schedule up to a maximum fee </w:t>
      </w:r>
      <w:r w:rsidR="00E75994" w:rsidRPr="00EC7C5F">
        <w:rPr>
          <w:rFonts w:ascii="Arial" w:hAnsi="Arial" w:cs="Arial"/>
          <w:sz w:val="18"/>
          <w:szCs w:val="18"/>
        </w:rPr>
        <w:t>of $1,850</w:t>
      </w:r>
      <w:r w:rsidR="00EC7C5F">
        <w:rPr>
          <w:rFonts w:ascii="Arial" w:hAnsi="Arial" w:cs="Arial"/>
          <w:sz w:val="18"/>
          <w:szCs w:val="18"/>
        </w:rPr>
        <w:t xml:space="preserve">. </w:t>
      </w:r>
      <w:r w:rsidR="006A5D21" w:rsidRPr="001149D8">
        <w:rPr>
          <w:rFonts w:ascii="Arial" w:hAnsi="Arial" w:cs="Arial"/>
          <w:sz w:val="18"/>
          <w:szCs w:val="18"/>
        </w:rPr>
        <w:t>However, as the minimum fee specified in the schedule under the proposed changes exceeds this “cap”, all abattoirs in this category would p</w:t>
      </w:r>
      <w:r w:rsidR="001149D8">
        <w:rPr>
          <w:rFonts w:ascii="Arial" w:hAnsi="Arial" w:cs="Arial"/>
          <w:sz w:val="18"/>
          <w:szCs w:val="18"/>
        </w:rPr>
        <w:t xml:space="preserve">ay the “capped” fee of $1,850. </w:t>
      </w:r>
      <w:r w:rsidR="00E75994" w:rsidRPr="001149D8">
        <w:rPr>
          <w:rFonts w:ascii="Arial" w:hAnsi="Arial" w:cs="Arial"/>
          <w:sz w:val="18"/>
          <w:szCs w:val="18"/>
        </w:rPr>
        <w:t xml:space="preserve">New licence applications covered by this arrangement will also be required to pay an application fee in accordance with the fee schedule up to a maximum </w:t>
      </w:r>
      <w:r w:rsidR="00E75994" w:rsidRPr="009E63BE">
        <w:rPr>
          <w:rFonts w:ascii="Arial" w:hAnsi="Arial" w:cs="Arial"/>
          <w:sz w:val="18"/>
          <w:szCs w:val="18"/>
        </w:rPr>
        <w:t>of $925.</w:t>
      </w:r>
    </w:p>
    <w:p w:rsidR="00C51629" w:rsidRDefault="00C51629" w:rsidP="00C51629">
      <w:pPr>
        <w:spacing w:after="0" w:line="240" w:lineRule="auto"/>
        <w:jc w:val="both"/>
        <w:rPr>
          <w:rFonts w:ascii="Arial" w:hAnsi="Arial" w:cs="Arial"/>
          <w:sz w:val="18"/>
          <w:szCs w:val="18"/>
        </w:rPr>
      </w:pPr>
    </w:p>
    <w:p w:rsidR="00C51629" w:rsidRDefault="00C51629" w:rsidP="00C51629">
      <w:pPr>
        <w:spacing w:after="0" w:line="240" w:lineRule="auto"/>
        <w:jc w:val="both"/>
        <w:rPr>
          <w:rFonts w:ascii="Arial" w:hAnsi="Arial" w:cs="Arial"/>
          <w:sz w:val="18"/>
          <w:szCs w:val="18"/>
        </w:rPr>
      </w:pPr>
    </w:p>
    <w:p w:rsidR="00C51629" w:rsidRPr="00C51629" w:rsidRDefault="00C51629" w:rsidP="00C51629">
      <w:pPr>
        <w:spacing w:after="0" w:line="240" w:lineRule="auto"/>
        <w:jc w:val="both"/>
        <w:rPr>
          <w:rFonts w:ascii="Arial" w:hAnsi="Arial" w:cs="Arial"/>
          <w:sz w:val="18"/>
          <w:szCs w:val="18"/>
        </w:rPr>
      </w:pPr>
    </w:p>
    <w:p w:rsidR="001149D8" w:rsidRDefault="00EC7C5F" w:rsidP="001149D8">
      <w:pPr>
        <w:pStyle w:val="ListParagraph"/>
        <w:numPr>
          <w:ilvl w:val="0"/>
          <w:numId w:val="39"/>
        </w:numPr>
        <w:spacing w:after="0" w:line="240" w:lineRule="auto"/>
        <w:jc w:val="both"/>
        <w:rPr>
          <w:rFonts w:ascii="Arial" w:hAnsi="Arial" w:cs="Arial"/>
          <w:sz w:val="18"/>
          <w:szCs w:val="18"/>
        </w:rPr>
      </w:pPr>
      <w:r>
        <w:rPr>
          <w:rFonts w:ascii="Arial" w:hAnsi="Arial" w:cs="Arial"/>
          <w:sz w:val="18"/>
          <w:szCs w:val="18"/>
        </w:rPr>
        <w:t>Facilities</w:t>
      </w:r>
      <w:r w:rsidR="001149D8">
        <w:rPr>
          <w:rFonts w:ascii="Arial" w:hAnsi="Arial" w:cs="Arial"/>
          <w:sz w:val="18"/>
          <w:szCs w:val="18"/>
        </w:rPr>
        <w:t xml:space="preserve"> supervised by the D</w:t>
      </w:r>
      <w:r w:rsidR="008B2F1F" w:rsidRPr="001149D8">
        <w:rPr>
          <w:rFonts w:ascii="Arial" w:hAnsi="Arial" w:cs="Arial"/>
          <w:sz w:val="18"/>
          <w:szCs w:val="18"/>
        </w:rPr>
        <w:t>A currently pay a capped maximum fee of $1,566 which would rise to $1,850</w:t>
      </w:r>
      <w:r w:rsidR="00C51629">
        <w:rPr>
          <w:rFonts w:ascii="Arial" w:hAnsi="Arial" w:cs="Arial"/>
          <w:sz w:val="18"/>
          <w:szCs w:val="18"/>
        </w:rPr>
        <w:t xml:space="preserve"> in 2016-17 under this option. </w:t>
      </w:r>
      <w:r w:rsidR="008B2F1F" w:rsidRPr="001149D8">
        <w:rPr>
          <w:rFonts w:ascii="Arial" w:hAnsi="Arial" w:cs="Arial"/>
          <w:sz w:val="18"/>
          <w:szCs w:val="18"/>
        </w:rPr>
        <w:t>The maximum fee is payable only where the throughput level of the processor would otherwise dictate that a higher fee is paya</w:t>
      </w:r>
      <w:r w:rsidR="00C51629">
        <w:rPr>
          <w:rFonts w:ascii="Arial" w:hAnsi="Arial" w:cs="Arial"/>
          <w:sz w:val="18"/>
          <w:szCs w:val="18"/>
        </w:rPr>
        <w:t>ble (i.e. above 2,50</w:t>
      </w:r>
      <w:r>
        <w:rPr>
          <w:rFonts w:ascii="Arial" w:hAnsi="Arial" w:cs="Arial"/>
          <w:sz w:val="18"/>
          <w:szCs w:val="18"/>
        </w:rPr>
        <w:t>0</w:t>
      </w:r>
      <w:r w:rsidR="00C51629">
        <w:rPr>
          <w:rFonts w:ascii="Arial" w:hAnsi="Arial" w:cs="Arial"/>
          <w:sz w:val="18"/>
          <w:szCs w:val="18"/>
        </w:rPr>
        <w:t xml:space="preserve"> tonnes). </w:t>
      </w:r>
      <w:r w:rsidR="008B2F1F" w:rsidRPr="001149D8">
        <w:rPr>
          <w:rFonts w:ascii="Arial" w:hAnsi="Arial" w:cs="Arial"/>
          <w:sz w:val="18"/>
          <w:szCs w:val="18"/>
        </w:rPr>
        <w:t>For lower throughput levels, the fee payable is identical to that paid by processors only serving the domestic market</w:t>
      </w:r>
      <w:r w:rsidR="001149D8">
        <w:rPr>
          <w:rFonts w:ascii="Arial" w:hAnsi="Arial" w:cs="Arial"/>
          <w:sz w:val="18"/>
          <w:szCs w:val="18"/>
        </w:rPr>
        <w:t>.</w:t>
      </w:r>
    </w:p>
    <w:p w:rsidR="001149D8" w:rsidRDefault="008B2F1F" w:rsidP="001149D8">
      <w:pPr>
        <w:pStyle w:val="ListParagraph"/>
        <w:numPr>
          <w:ilvl w:val="0"/>
          <w:numId w:val="39"/>
        </w:numPr>
        <w:spacing w:after="0" w:line="240" w:lineRule="auto"/>
        <w:jc w:val="both"/>
        <w:rPr>
          <w:rFonts w:ascii="Arial" w:hAnsi="Arial" w:cs="Arial"/>
          <w:sz w:val="18"/>
          <w:szCs w:val="18"/>
        </w:rPr>
      </w:pPr>
      <w:r w:rsidRPr="001149D8">
        <w:rPr>
          <w:rFonts w:ascii="Arial" w:hAnsi="Arial" w:cs="Arial"/>
          <w:sz w:val="18"/>
          <w:szCs w:val="18"/>
        </w:rPr>
        <w:t>From 1 July 2017, fees for retail butchers manufacturing smallgoods will be $325 (application) and $650 (annual licence fee).</w:t>
      </w:r>
    </w:p>
    <w:p w:rsidR="008B2F1F" w:rsidRPr="001149D8" w:rsidRDefault="008B2F1F" w:rsidP="001149D8">
      <w:pPr>
        <w:pStyle w:val="ListParagraph"/>
        <w:numPr>
          <w:ilvl w:val="0"/>
          <w:numId w:val="39"/>
        </w:numPr>
        <w:spacing w:after="0" w:line="240" w:lineRule="auto"/>
        <w:jc w:val="both"/>
        <w:rPr>
          <w:rFonts w:ascii="Arial" w:hAnsi="Arial" w:cs="Arial"/>
          <w:sz w:val="18"/>
          <w:szCs w:val="18"/>
        </w:rPr>
      </w:pPr>
      <w:r w:rsidRPr="001149D8">
        <w:rPr>
          <w:rFonts w:ascii="Arial" w:hAnsi="Arial" w:cs="Arial"/>
          <w:sz w:val="18"/>
          <w:szCs w:val="18"/>
        </w:rPr>
        <w:t xml:space="preserve">For all fees listed as </w:t>
      </w:r>
      <w:r w:rsidR="001149D8">
        <w:rPr>
          <w:rFonts w:ascii="Arial" w:hAnsi="Arial" w:cs="Arial"/>
          <w:sz w:val="18"/>
          <w:szCs w:val="18"/>
        </w:rPr>
        <w:t>‘</w:t>
      </w:r>
      <w:r w:rsidRPr="001149D8">
        <w:rPr>
          <w:rFonts w:ascii="Arial" w:hAnsi="Arial" w:cs="Arial"/>
          <w:sz w:val="18"/>
          <w:szCs w:val="18"/>
        </w:rPr>
        <w:t>To Be Determined</w:t>
      </w:r>
      <w:r w:rsidR="001149D8">
        <w:rPr>
          <w:rFonts w:ascii="Arial" w:hAnsi="Arial" w:cs="Arial"/>
          <w:sz w:val="18"/>
          <w:szCs w:val="18"/>
        </w:rPr>
        <w:t>’</w:t>
      </w:r>
      <w:r w:rsidRPr="001149D8">
        <w:rPr>
          <w:rFonts w:ascii="Arial" w:hAnsi="Arial" w:cs="Arial"/>
          <w:sz w:val="18"/>
          <w:szCs w:val="18"/>
        </w:rPr>
        <w:t xml:space="preserve"> (TBD), the existing fees payable by these licensees will be indexed from 1 July 2017 in line with the rate published by the Treasurer</w:t>
      </w:r>
      <w:r w:rsidR="001149D8">
        <w:rPr>
          <w:rFonts w:ascii="Arial" w:hAnsi="Arial" w:cs="Arial"/>
          <w:sz w:val="18"/>
          <w:szCs w:val="18"/>
        </w:rPr>
        <w:t>.</w:t>
      </w:r>
    </w:p>
    <w:p w:rsidR="008B2F1F" w:rsidRPr="001149D8" w:rsidRDefault="008B2F1F" w:rsidP="001149D8">
      <w:pPr>
        <w:spacing w:after="0" w:line="240" w:lineRule="auto"/>
        <w:jc w:val="both"/>
        <w:rPr>
          <w:rFonts w:ascii="Arial" w:hAnsi="Arial" w:cs="Arial"/>
          <w:sz w:val="18"/>
          <w:szCs w:val="18"/>
        </w:rPr>
      </w:pPr>
    </w:p>
    <w:p w:rsidR="00E75994" w:rsidRPr="001149D8" w:rsidRDefault="00E75994" w:rsidP="00E75994">
      <w:pPr>
        <w:rPr>
          <w:rFonts w:ascii="Arial" w:hAnsi="Arial" w:cs="Arial"/>
        </w:rPr>
      </w:pPr>
    </w:p>
    <w:p w:rsidR="00E75994" w:rsidRPr="001149D8" w:rsidRDefault="00E75994" w:rsidP="001C07A4">
      <w:pPr>
        <w:rPr>
          <w:rFonts w:ascii="Arial" w:hAnsi="Arial" w:cs="Arial"/>
        </w:rPr>
      </w:pPr>
    </w:p>
    <w:p w:rsidR="008C4F65" w:rsidRPr="00FC6804" w:rsidRDefault="008C4F65" w:rsidP="008C4F65"/>
    <w:sectPr w:rsidR="008C4F65" w:rsidRPr="00FC6804" w:rsidSect="00245D1C">
      <w:pgSz w:w="11906" w:h="16838" w:code="9"/>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8AE" w:rsidRDefault="00FF08AE" w:rsidP="0000060D">
      <w:pPr>
        <w:spacing w:after="0" w:line="240" w:lineRule="auto"/>
      </w:pPr>
      <w:r>
        <w:separator/>
      </w:r>
    </w:p>
  </w:endnote>
  <w:endnote w:type="continuationSeparator" w:id="0">
    <w:p w:rsidR="00FF08AE" w:rsidRDefault="00FF08AE" w:rsidP="00000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AC8" w:rsidRDefault="00D51A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C75" w:rsidRDefault="00FA2C75">
    <w:pPr>
      <w:pStyle w:val="Footer"/>
      <w:rPr>
        <w:rFonts w:ascii="Arial" w:hAnsi="Arial" w:cs="Arial"/>
        <w:sz w:val="20"/>
        <w:szCs w:val="20"/>
      </w:rPr>
    </w:pPr>
  </w:p>
  <w:p w:rsidR="00FA2C75" w:rsidRPr="0054728D" w:rsidRDefault="00FA2C75">
    <w:pPr>
      <w:pStyle w:val="Footer"/>
      <w:rPr>
        <w:rFonts w:ascii="Arial" w:hAnsi="Arial" w:cs="Arial"/>
        <w:sz w:val="20"/>
        <w:szCs w:val="20"/>
      </w:rPr>
    </w:pPr>
    <w:r w:rsidRPr="0054728D">
      <w:rPr>
        <w:rFonts w:ascii="Arial" w:hAnsi="Arial" w:cs="Arial"/>
        <w:noProof/>
        <w:sz w:val="20"/>
        <w:szCs w:val="20"/>
        <w:lang w:eastAsia="en-AU"/>
      </w:rPr>
      <w:drawing>
        <wp:inline distT="0" distB="0" distL="0" distR="0" wp14:anchorId="4BC99B56" wp14:editId="10592051">
          <wp:extent cx="1276698" cy="552450"/>
          <wp:effectExtent l="0" t="0" r="0" b="0"/>
          <wp:docPr id="1" name="Picture 1" descr="K:\Administration\Logo\PrimeSafe Logo Outline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dministration\Logo\PrimeSafe Logo Outline JP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7830" cy="561594"/>
                  </a:xfrm>
                  <a:prstGeom prst="rect">
                    <a:avLst/>
                  </a:prstGeom>
                  <a:noFill/>
                  <a:ln>
                    <a:noFill/>
                  </a:ln>
                </pic:spPr>
              </pic:pic>
            </a:graphicData>
          </a:graphic>
        </wp:inline>
      </w:drawing>
    </w:r>
    <w:r>
      <w:rPr>
        <w:rFonts w:ascii="Arial" w:hAnsi="Arial" w:cs="Arial"/>
        <w:sz w:val="20"/>
        <w:szCs w:val="20"/>
      </w:rPr>
      <w:t xml:space="preserve"> </w:t>
    </w:r>
    <w:r>
      <w:rPr>
        <w:rFonts w:ascii="Arial" w:hAnsi="Arial" w:cs="Arial"/>
        <w:sz w:val="20"/>
        <w:szCs w:val="20"/>
      </w:rPr>
      <w:tab/>
      <w:t xml:space="preserve">                                                      Regulatory Impact Statement                    </w:t>
    </w:r>
    <w:r w:rsidRPr="0054728D">
      <w:rPr>
        <w:rFonts w:ascii="Arial" w:hAnsi="Arial" w:cs="Arial"/>
        <w:sz w:val="20"/>
        <w:szCs w:val="20"/>
      </w:rPr>
      <w:fldChar w:fldCharType="begin"/>
    </w:r>
    <w:r w:rsidRPr="0054728D">
      <w:rPr>
        <w:rFonts w:ascii="Arial" w:hAnsi="Arial" w:cs="Arial"/>
        <w:sz w:val="20"/>
        <w:szCs w:val="20"/>
      </w:rPr>
      <w:instrText xml:space="preserve"> PAGE   \* MERGEFORMAT </w:instrText>
    </w:r>
    <w:r w:rsidRPr="0054728D">
      <w:rPr>
        <w:rFonts w:ascii="Arial" w:hAnsi="Arial" w:cs="Arial"/>
        <w:sz w:val="20"/>
        <w:szCs w:val="20"/>
      </w:rPr>
      <w:fldChar w:fldCharType="separate"/>
    </w:r>
    <w:r w:rsidR="00162762">
      <w:rPr>
        <w:rFonts w:ascii="Arial" w:hAnsi="Arial" w:cs="Arial"/>
        <w:noProof/>
        <w:sz w:val="20"/>
        <w:szCs w:val="20"/>
      </w:rPr>
      <w:t>2</w:t>
    </w:r>
    <w:r w:rsidRPr="0054728D">
      <w:rPr>
        <w:rFonts w:ascii="Arial" w:hAnsi="Arial" w:cs="Arial"/>
        <w:noProof/>
        <w:sz w:val="20"/>
        <w:szCs w:val="20"/>
      </w:rPr>
      <w:fldChar w:fldCharType="end"/>
    </w:r>
    <w:r>
      <w:rPr>
        <w:rFonts w:ascii="Arial" w:hAnsi="Arial" w:cs="Arial"/>
        <w:sz w:val="20"/>
        <w:szCs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AC8" w:rsidRDefault="00D51A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8AE" w:rsidRDefault="00FF08AE" w:rsidP="0000060D">
      <w:pPr>
        <w:spacing w:after="0" w:line="240" w:lineRule="auto"/>
      </w:pPr>
      <w:r>
        <w:separator/>
      </w:r>
    </w:p>
  </w:footnote>
  <w:footnote w:type="continuationSeparator" w:id="0">
    <w:p w:rsidR="00FF08AE" w:rsidRDefault="00FF08AE" w:rsidP="0000060D">
      <w:pPr>
        <w:spacing w:after="0" w:line="240" w:lineRule="auto"/>
      </w:pPr>
      <w:r>
        <w:continuationSeparator/>
      </w:r>
    </w:p>
  </w:footnote>
  <w:footnote w:id="1">
    <w:p w:rsidR="00FA2C75" w:rsidRPr="00FB2BBF" w:rsidRDefault="00FA2C75" w:rsidP="00576657">
      <w:pPr>
        <w:pStyle w:val="FootnoteText"/>
        <w:rPr>
          <w:rFonts w:ascii="Arial" w:hAnsi="Arial" w:cs="Arial"/>
          <w:sz w:val="18"/>
          <w:szCs w:val="18"/>
        </w:rPr>
      </w:pPr>
      <w:r w:rsidRPr="00FB2BBF">
        <w:rPr>
          <w:rStyle w:val="FootnoteReference"/>
          <w:rFonts w:ascii="Arial" w:hAnsi="Arial" w:cs="Arial"/>
          <w:sz w:val="18"/>
          <w:szCs w:val="18"/>
        </w:rPr>
        <w:footnoteRef/>
      </w:r>
      <w:r w:rsidRPr="00FB2BBF">
        <w:rPr>
          <w:rFonts w:ascii="Arial" w:hAnsi="Arial" w:cs="Arial"/>
          <w:sz w:val="18"/>
          <w:szCs w:val="18"/>
        </w:rPr>
        <w:t xml:space="preserve"> </w:t>
      </w:r>
      <w:r>
        <w:rPr>
          <w:rFonts w:ascii="Arial" w:hAnsi="Arial" w:cs="Arial"/>
          <w:sz w:val="18"/>
          <w:szCs w:val="18"/>
        </w:rPr>
        <w:t>Processors</w:t>
      </w:r>
      <w:r w:rsidRPr="00FB2BBF">
        <w:rPr>
          <w:rFonts w:ascii="Arial" w:hAnsi="Arial" w:cs="Arial"/>
          <w:sz w:val="18"/>
          <w:szCs w:val="18"/>
        </w:rPr>
        <w:t xml:space="preserve"> of between 400,000 and 500,000 units will fall into the new category (200,000 </w:t>
      </w:r>
      <w:r>
        <w:rPr>
          <w:rFonts w:ascii="Arial" w:hAnsi="Arial" w:cs="Arial"/>
          <w:sz w:val="18"/>
          <w:szCs w:val="18"/>
        </w:rPr>
        <w:t>to</w:t>
      </w:r>
      <w:r w:rsidRPr="00FB2BBF">
        <w:rPr>
          <w:rFonts w:ascii="Arial" w:hAnsi="Arial" w:cs="Arial"/>
          <w:sz w:val="18"/>
          <w:szCs w:val="18"/>
        </w:rPr>
        <w:t xml:space="preserve"> 500,000 units) and will experience a fee reduction of 17.8% compared with the fee of $8,107 currently payable by </w:t>
      </w:r>
      <w:r>
        <w:rPr>
          <w:rFonts w:ascii="Arial" w:hAnsi="Arial" w:cs="Arial"/>
          <w:sz w:val="18"/>
          <w:szCs w:val="18"/>
        </w:rPr>
        <w:t>processors</w:t>
      </w:r>
      <w:r w:rsidRPr="00FB2BBF">
        <w:rPr>
          <w:rFonts w:ascii="Arial" w:hAnsi="Arial" w:cs="Arial"/>
          <w:sz w:val="18"/>
          <w:szCs w:val="18"/>
        </w:rPr>
        <w:t xml:space="preserve"> of over 400,000 units.</w:t>
      </w:r>
    </w:p>
  </w:footnote>
  <w:footnote w:id="2">
    <w:p w:rsidR="00FA2C75" w:rsidRPr="00FB2BBF" w:rsidRDefault="00FA2C75" w:rsidP="00576657">
      <w:pPr>
        <w:pStyle w:val="FootnoteText"/>
        <w:rPr>
          <w:rFonts w:ascii="Arial" w:hAnsi="Arial" w:cs="Arial"/>
          <w:sz w:val="18"/>
          <w:szCs w:val="18"/>
        </w:rPr>
      </w:pPr>
      <w:r w:rsidRPr="00FB2BBF">
        <w:rPr>
          <w:rStyle w:val="FootnoteReference"/>
          <w:rFonts w:ascii="Arial" w:hAnsi="Arial" w:cs="Arial"/>
          <w:sz w:val="18"/>
          <w:szCs w:val="18"/>
        </w:rPr>
        <w:footnoteRef/>
      </w:r>
      <w:r w:rsidRPr="00FB2BBF">
        <w:rPr>
          <w:rFonts w:ascii="Arial" w:hAnsi="Arial" w:cs="Arial"/>
          <w:sz w:val="18"/>
          <w:szCs w:val="18"/>
        </w:rPr>
        <w:t xml:space="preserve"> Applies above a new threshold of 500,000 units.</w:t>
      </w:r>
    </w:p>
  </w:footnote>
  <w:footnote w:id="3">
    <w:p w:rsidR="00FA2C75" w:rsidRDefault="00FA2C75" w:rsidP="00576657">
      <w:pPr>
        <w:pStyle w:val="FootnoteText"/>
      </w:pPr>
      <w:r w:rsidRPr="00FB2BBF">
        <w:rPr>
          <w:rStyle w:val="FootnoteReference"/>
          <w:rFonts w:ascii="Arial" w:hAnsi="Arial" w:cs="Arial"/>
          <w:sz w:val="18"/>
          <w:szCs w:val="18"/>
        </w:rPr>
        <w:footnoteRef/>
      </w:r>
      <w:r w:rsidRPr="00FB2BBF">
        <w:rPr>
          <w:rFonts w:ascii="Arial" w:hAnsi="Arial" w:cs="Arial"/>
          <w:sz w:val="18"/>
          <w:szCs w:val="18"/>
        </w:rPr>
        <w:t xml:space="preserve"> Higher fee applies above new threshold of 500,000 units.</w:t>
      </w:r>
    </w:p>
  </w:footnote>
  <w:footnote w:id="4">
    <w:p w:rsidR="00FA2C75" w:rsidRPr="00A449AB" w:rsidRDefault="00FA2C75" w:rsidP="00576657">
      <w:pPr>
        <w:pStyle w:val="FootnoteText"/>
        <w:rPr>
          <w:rFonts w:ascii="Arial" w:hAnsi="Arial" w:cs="Arial"/>
          <w:sz w:val="18"/>
          <w:szCs w:val="18"/>
        </w:rPr>
      </w:pPr>
      <w:r w:rsidRPr="00A449AB">
        <w:rPr>
          <w:rStyle w:val="FootnoteReference"/>
          <w:rFonts w:ascii="Arial" w:hAnsi="Arial" w:cs="Arial"/>
          <w:sz w:val="18"/>
          <w:szCs w:val="18"/>
        </w:rPr>
        <w:footnoteRef/>
      </w:r>
      <w:r>
        <w:rPr>
          <w:rFonts w:ascii="Arial" w:hAnsi="Arial" w:cs="Arial"/>
          <w:sz w:val="18"/>
          <w:szCs w:val="18"/>
        </w:rPr>
        <w:t xml:space="preserve"> Export meat processing facilities</w:t>
      </w:r>
      <w:r w:rsidRPr="00A449AB">
        <w:rPr>
          <w:rFonts w:ascii="Arial" w:hAnsi="Arial" w:cs="Arial"/>
          <w:sz w:val="18"/>
          <w:szCs w:val="18"/>
        </w:rPr>
        <w:t xml:space="preserve"> supervised by the DoA currently pay a capped maximum fee of $1,566, which would rise to $1,850</w:t>
      </w:r>
      <w:r>
        <w:rPr>
          <w:rFonts w:ascii="Arial" w:hAnsi="Arial" w:cs="Arial"/>
          <w:sz w:val="18"/>
          <w:szCs w:val="18"/>
        </w:rPr>
        <w:t xml:space="preserve"> in 2016-17 under this option (18.1% increase). </w:t>
      </w:r>
      <w:r w:rsidRPr="00A449AB">
        <w:rPr>
          <w:rFonts w:ascii="Arial" w:hAnsi="Arial" w:cs="Arial"/>
          <w:sz w:val="18"/>
          <w:szCs w:val="18"/>
        </w:rPr>
        <w:t>The maximum fee is payable only where the throughput level of the processor would otherwise dictate that a higher fee is paya</w:t>
      </w:r>
      <w:r>
        <w:rPr>
          <w:rFonts w:ascii="Arial" w:hAnsi="Arial" w:cs="Arial"/>
          <w:sz w:val="18"/>
          <w:szCs w:val="18"/>
        </w:rPr>
        <w:t xml:space="preserve">ble (i.e. above 2,501 tonnes). </w:t>
      </w:r>
      <w:r w:rsidRPr="00A449AB">
        <w:rPr>
          <w:rFonts w:ascii="Arial" w:hAnsi="Arial" w:cs="Arial"/>
          <w:sz w:val="18"/>
          <w:szCs w:val="18"/>
        </w:rPr>
        <w:t>For lower throughput levels, the fee payable is identical to that paid by processors only serving the domestic market.</w:t>
      </w:r>
    </w:p>
  </w:footnote>
  <w:footnote w:id="5">
    <w:p w:rsidR="00FA2C75" w:rsidRDefault="00FA2C75" w:rsidP="000E3EC7">
      <w:pPr>
        <w:pStyle w:val="FootnoteText"/>
      </w:pPr>
      <w:r w:rsidRPr="00A449AB">
        <w:rPr>
          <w:rStyle w:val="FootnoteReference"/>
          <w:rFonts w:ascii="Arial" w:hAnsi="Arial" w:cs="Arial"/>
          <w:sz w:val="18"/>
          <w:szCs w:val="18"/>
        </w:rPr>
        <w:footnoteRef/>
      </w:r>
      <w:r w:rsidRPr="00A449AB">
        <w:rPr>
          <w:rFonts w:ascii="Arial" w:hAnsi="Arial" w:cs="Arial"/>
          <w:sz w:val="18"/>
          <w:szCs w:val="18"/>
        </w:rPr>
        <w:t xml:space="preserve"> Increase to 2017-18.</w:t>
      </w:r>
    </w:p>
  </w:footnote>
  <w:footnote w:id="6">
    <w:p w:rsidR="00FA2C75" w:rsidRPr="00350954" w:rsidRDefault="00FA2C75">
      <w:pPr>
        <w:pStyle w:val="FootnoteText"/>
        <w:rPr>
          <w:rFonts w:ascii="Arial" w:hAnsi="Arial" w:cs="Arial"/>
          <w:sz w:val="18"/>
          <w:szCs w:val="18"/>
        </w:rPr>
      </w:pPr>
      <w:r w:rsidRPr="00350954">
        <w:rPr>
          <w:rStyle w:val="FootnoteReference"/>
          <w:rFonts w:ascii="Arial" w:hAnsi="Arial" w:cs="Arial"/>
          <w:sz w:val="18"/>
          <w:szCs w:val="18"/>
        </w:rPr>
        <w:footnoteRef/>
      </w:r>
      <w:r w:rsidRPr="00350954">
        <w:rPr>
          <w:rFonts w:ascii="Arial" w:hAnsi="Arial" w:cs="Arial"/>
          <w:sz w:val="18"/>
          <w:szCs w:val="18"/>
        </w:rPr>
        <w:t xml:space="preserve"> A similar authorisation is also contained in the </w:t>
      </w:r>
      <w:r w:rsidRPr="00CB3E13">
        <w:rPr>
          <w:rFonts w:ascii="Arial" w:hAnsi="Arial" w:cs="Arial"/>
          <w:i/>
          <w:sz w:val="18"/>
          <w:szCs w:val="18"/>
        </w:rPr>
        <w:t xml:space="preserve">Seafood </w:t>
      </w:r>
      <w:r>
        <w:rPr>
          <w:rFonts w:ascii="Arial" w:hAnsi="Arial" w:cs="Arial"/>
          <w:i/>
          <w:sz w:val="18"/>
          <w:szCs w:val="18"/>
        </w:rPr>
        <w:t>Safety</w:t>
      </w:r>
      <w:r w:rsidRPr="00CB3E13">
        <w:rPr>
          <w:rFonts w:ascii="Arial" w:hAnsi="Arial" w:cs="Arial"/>
          <w:i/>
          <w:sz w:val="18"/>
          <w:szCs w:val="18"/>
        </w:rPr>
        <w:t xml:space="preserve"> Act</w:t>
      </w:r>
      <w:r>
        <w:rPr>
          <w:rFonts w:ascii="Arial" w:hAnsi="Arial" w:cs="Arial"/>
          <w:i/>
          <w:sz w:val="18"/>
          <w:szCs w:val="18"/>
        </w:rPr>
        <w:t xml:space="preserve"> 2003</w:t>
      </w:r>
      <w:r w:rsidRPr="00350954">
        <w:rPr>
          <w:rFonts w:ascii="Arial" w:hAnsi="Arial" w:cs="Arial"/>
          <w:sz w:val="18"/>
          <w:szCs w:val="18"/>
        </w:rPr>
        <w:t>.</w:t>
      </w:r>
    </w:p>
  </w:footnote>
  <w:footnote w:id="7">
    <w:p w:rsidR="00FA2C75" w:rsidRPr="00DE222F" w:rsidRDefault="00FA2C75">
      <w:pPr>
        <w:pStyle w:val="FootnoteText"/>
        <w:rPr>
          <w:sz w:val="18"/>
          <w:szCs w:val="18"/>
        </w:rPr>
      </w:pPr>
      <w:r w:rsidRPr="00350954">
        <w:rPr>
          <w:rStyle w:val="FootnoteReference"/>
          <w:rFonts w:ascii="Arial" w:hAnsi="Arial" w:cs="Arial"/>
          <w:sz w:val="18"/>
          <w:szCs w:val="18"/>
        </w:rPr>
        <w:footnoteRef/>
      </w:r>
      <w:r w:rsidRPr="00350954">
        <w:rPr>
          <w:rFonts w:ascii="Arial" w:hAnsi="Arial" w:cs="Arial"/>
          <w:sz w:val="18"/>
          <w:szCs w:val="18"/>
        </w:rPr>
        <w:t xml:space="preserve"> These amendments had the effect of expanding the requirement to prepare RIS to cover a wide r</w:t>
      </w:r>
      <w:r>
        <w:rPr>
          <w:rFonts w:ascii="Arial" w:hAnsi="Arial" w:cs="Arial"/>
          <w:sz w:val="18"/>
          <w:szCs w:val="18"/>
        </w:rPr>
        <w:t xml:space="preserve">ange of legislative instruments </w:t>
      </w:r>
      <w:r w:rsidRPr="00350954">
        <w:rPr>
          <w:rFonts w:ascii="Arial" w:hAnsi="Arial" w:cs="Arial"/>
          <w:sz w:val="18"/>
          <w:szCs w:val="18"/>
        </w:rPr>
        <w:t>where this requirement had previously been limited to statutory rules (i.e. “regulations”).  Since 2011, Prime</w:t>
      </w:r>
      <w:r>
        <w:rPr>
          <w:rFonts w:ascii="Arial" w:hAnsi="Arial" w:cs="Arial"/>
          <w:sz w:val="18"/>
          <w:szCs w:val="18"/>
        </w:rPr>
        <w:t>S</w:t>
      </w:r>
      <w:r w:rsidRPr="00350954">
        <w:rPr>
          <w:rFonts w:ascii="Arial" w:hAnsi="Arial" w:cs="Arial"/>
          <w:sz w:val="18"/>
          <w:szCs w:val="18"/>
        </w:rPr>
        <w:t>afe fees have been increased only at the “Treasurer’s rate” announced in the budget context each year and so have not been increased in real (i.e. inflation adjusted) term</w:t>
      </w:r>
      <w:r>
        <w:rPr>
          <w:rFonts w:ascii="Arial" w:hAnsi="Arial" w:cs="Arial"/>
          <w:sz w:val="18"/>
          <w:szCs w:val="18"/>
        </w:rPr>
        <w:t xml:space="preserve">s or subject to restructuring. </w:t>
      </w:r>
      <w:r w:rsidRPr="00350954">
        <w:rPr>
          <w:rFonts w:ascii="Arial" w:hAnsi="Arial" w:cs="Arial"/>
          <w:sz w:val="18"/>
          <w:szCs w:val="18"/>
        </w:rPr>
        <w:t>Thus, the current proposed fee changes are the first to be subject to the RIS process.</w:t>
      </w:r>
    </w:p>
  </w:footnote>
  <w:footnote w:id="8">
    <w:p w:rsidR="00FA2C75" w:rsidRPr="00CB3E13" w:rsidRDefault="00FA2C75">
      <w:pPr>
        <w:pStyle w:val="FootnoteText"/>
        <w:rPr>
          <w:rFonts w:ascii="Arial" w:hAnsi="Arial" w:cs="Arial"/>
          <w:sz w:val="18"/>
          <w:szCs w:val="18"/>
        </w:rPr>
      </w:pPr>
      <w:r w:rsidRPr="00CB3E13">
        <w:rPr>
          <w:rStyle w:val="FootnoteReference"/>
          <w:rFonts w:ascii="Arial" w:hAnsi="Arial" w:cs="Arial"/>
          <w:sz w:val="18"/>
          <w:szCs w:val="18"/>
        </w:rPr>
        <w:footnoteRef/>
      </w:r>
      <w:r w:rsidRPr="00CB3E13">
        <w:rPr>
          <w:rFonts w:ascii="Arial" w:hAnsi="Arial" w:cs="Arial"/>
          <w:sz w:val="18"/>
          <w:szCs w:val="18"/>
        </w:rPr>
        <w:t xml:space="preserve"> </w:t>
      </w:r>
      <w:r w:rsidRPr="00CB3E13">
        <w:rPr>
          <w:rFonts w:ascii="Arial" w:hAnsi="Arial" w:cs="Arial"/>
          <w:sz w:val="18"/>
          <w:szCs w:val="18"/>
          <w:lang w:val="en-GB"/>
        </w:rPr>
        <w:t>In addition, the Act authorises the Minister to direct, if necessary, that the fees it charges be increased to a level sufficient to ensure that this outcome is produced.</w:t>
      </w:r>
    </w:p>
  </w:footnote>
  <w:footnote w:id="9">
    <w:p w:rsidR="00FA2C75" w:rsidRPr="001F4B20" w:rsidRDefault="00FA2C75">
      <w:pPr>
        <w:pStyle w:val="FootnoteText"/>
        <w:rPr>
          <w:rFonts w:ascii="Arial" w:hAnsi="Arial" w:cs="Arial"/>
          <w:sz w:val="18"/>
          <w:szCs w:val="18"/>
        </w:rPr>
      </w:pPr>
      <w:r w:rsidRPr="001F4B20">
        <w:rPr>
          <w:rStyle w:val="FootnoteReference"/>
          <w:rFonts w:ascii="Arial" w:hAnsi="Arial" w:cs="Arial"/>
          <w:sz w:val="18"/>
          <w:szCs w:val="18"/>
        </w:rPr>
        <w:footnoteRef/>
      </w:r>
      <w:r w:rsidRPr="001F4B20">
        <w:rPr>
          <w:rFonts w:ascii="Arial" w:hAnsi="Arial" w:cs="Arial"/>
          <w:sz w:val="18"/>
          <w:szCs w:val="18"/>
        </w:rPr>
        <w:t xml:space="preserve"> See Prime</w:t>
      </w:r>
      <w:r>
        <w:rPr>
          <w:rFonts w:ascii="Arial" w:hAnsi="Arial" w:cs="Arial"/>
          <w:sz w:val="18"/>
          <w:szCs w:val="18"/>
        </w:rPr>
        <w:t>S</w:t>
      </w:r>
      <w:r w:rsidRPr="001F4B20">
        <w:rPr>
          <w:rFonts w:ascii="Arial" w:hAnsi="Arial" w:cs="Arial"/>
          <w:sz w:val="18"/>
          <w:szCs w:val="18"/>
        </w:rPr>
        <w:t xml:space="preserve">afe (2009).  </w:t>
      </w:r>
      <w:r w:rsidRPr="001B0D1B">
        <w:rPr>
          <w:rFonts w:ascii="Arial" w:hAnsi="Arial" w:cs="Arial"/>
          <w:i/>
          <w:sz w:val="18"/>
          <w:szCs w:val="18"/>
        </w:rPr>
        <w:t>Annual Report 2008-09</w:t>
      </w:r>
      <w:r w:rsidRPr="001B0D1B">
        <w:rPr>
          <w:rFonts w:ascii="Arial" w:hAnsi="Arial" w:cs="Arial"/>
          <w:sz w:val="18"/>
          <w:szCs w:val="18"/>
        </w:rPr>
        <w:t>, p 26.</w:t>
      </w:r>
    </w:p>
  </w:footnote>
  <w:footnote w:id="10">
    <w:p w:rsidR="00FA2C75" w:rsidRPr="00C872C0" w:rsidRDefault="00FA2C75">
      <w:pPr>
        <w:pStyle w:val="FootnoteText"/>
        <w:rPr>
          <w:sz w:val="18"/>
          <w:szCs w:val="18"/>
        </w:rPr>
      </w:pPr>
      <w:r w:rsidRPr="001F4B20">
        <w:rPr>
          <w:rStyle w:val="FootnoteReference"/>
          <w:rFonts w:ascii="Arial" w:hAnsi="Arial" w:cs="Arial"/>
          <w:sz w:val="18"/>
          <w:szCs w:val="18"/>
        </w:rPr>
        <w:footnoteRef/>
      </w:r>
      <w:r w:rsidRPr="001F4B20">
        <w:rPr>
          <w:rFonts w:ascii="Arial" w:hAnsi="Arial" w:cs="Arial"/>
          <w:sz w:val="18"/>
          <w:szCs w:val="18"/>
        </w:rPr>
        <w:t xml:space="preserve"> Inflated by the Melbourne CPI All Groups index.</w:t>
      </w:r>
    </w:p>
  </w:footnote>
  <w:footnote w:id="11">
    <w:p w:rsidR="00FA2C75" w:rsidRPr="00B91D57" w:rsidRDefault="00FA2C75">
      <w:pPr>
        <w:pStyle w:val="FootnoteText"/>
        <w:rPr>
          <w:rFonts w:ascii="Arial" w:hAnsi="Arial" w:cs="Arial"/>
          <w:sz w:val="18"/>
          <w:szCs w:val="18"/>
        </w:rPr>
      </w:pPr>
      <w:r w:rsidRPr="00B91D57">
        <w:rPr>
          <w:rStyle w:val="FootnoteReference"/>
          <w:rFonts w:ascii="Arial" w:hAnsi="Arial" w:cs="Arial"/>
          <w:sz w:val="18"/>
          <w:szCs w:val="18"/>
        </w:rPr>
        <w:footnoteRef/>
      </w:r>
      <w:r w:rsidRPr="00B91D57">
        <w:rPr>
          <w:rFonts w:ascii="Arial" w:hAnsi="Arial" w:cs="Arial"/>
          <w:sz w:val="18"/>
          <w:szCs w:val="18"/>
        </w:rPr>
        <w:t xml:space="preserve"> Health Department (2010).  </w:t>
      </w:r>
      <w:r w:rsidRPr="00B91D57">
        <w:rPr>
          <w:rFonts w:ascii="Arial" w:hAnsi="Arial" w:cs="Arial"/>
          <w:i/>
          <w:sz w:val="18"/>
          <w:szCs w:val="18"/>
        </w:rPr>
        <w:t>Food borne Illness in Australia: Annual Incidence Circa 2010</w:t>
      </w:r>
      <w:r w:rsidRPr="00B91D57">
        <w:rPr>
          <w:rFonts w:ascii="Arial" w:hAnsi="Arial" w:cs="Arial"/>
          <w:sz w:val="18"/>
          <w:szCs w:val="18"/>
        </w:rPr>
        <w:t>, p 21</w:t>
      </w:r>
      <w:r w:rsidRPr="00B91D57">
        <w:rPr>
          <w:rFonts w:ascii="Arial" w:hAnsi="Arial" w:cs="Arial"/>
          <w:i/>
          <w:sz w:val="18"/>
          <w:szCs w:val="18"/>
        </w:rPr>
        <w:t xml:space="preserve">.  </w:t>
      </w:r>
      <w:r w:rsidRPr="00B91D57">
        <w:rPr>
          <w:rFonts w:ascii="Arial" w:hAnsi="Arial" w:cs="Arial"/>
          <w:sz w:val="18"/>
          <w:szCs w:val="18"/>
        </w:rPr>
        <w:t>https://www.health.gov.au/internet/main/publishing.nsf/Content/E829FA59A59677C0CA257D6A007D2C97/$File/Foodborne-Illness-Australia-circa-2010.pdf</w:t>
      </w:r>
    </w:p>
  </w:footnote>
  <w:footnote w:id="12">
    <w:p w:rsidR="00FA2C75" w:rsidRPr="00112312" w:rsidRDefault="00FA2C75">
      <w:pPr>
        <w:pStyle w:val="FootnoteText"/>
        <w:rPr>
          <w:rFonts w:ascii="Arial" w:hAnsi="Arial" w:cs="Arial"/>
          <w:sz w:val="18"/>
          <w:szCs w:val="18"/>
        </w:rPr>
      </w:pPr>
      <w:r w:rsidRPr="00112312">
        <w:rPr>
          <w:rStyle w:val="FootnoteReference"/>
          <w:rFonts w:ascii="Arial" w:hAnsi="Arial" w:cs="Arial"/>
          <w:sz w:val="18"/>
          <w:szCs w:val="18"/>
        </w:rPr>
        <w:footnoteRef/>
      </w:r>
      <w:r w:rsidRPr="00112312">
        <w:rPr>
          <w:rFonts w:ascii="Arial" w:hAnsi="Arial" w:cs="Arial"/>
          <w:sz w:val="18"/>
          <w:szCs w:val="18"/>
        </w:rPr>
        <w:t xml:space="preserve"> In particular, a significant proportion of asthma-sufferers are known to experience exacerbation of symptoms when exposed to SO</w:t>
      </w:r>
      <w:r w:rsidRPr="00112312">
        <w:rPr>
          <w:rFonts w:ascii="Arial" w:hAnsi="Arial" w:cs="Arial"/>
          <w:sz w:val="18"/>
          <w:szCs w:val="18"/>
          <w:vertAlign w:val="subscript"/>
        </w:rPr>
        <w:t>2</w:t>
      </w:r>
      <w:r w:rsidRPr="00112312">
        <w:rPr>
          <w:rFonts w:ascii="Arial" w:hAnsi="Arial" w:cs="Arial"/>
          <w:sz w:val="18"/>
          <w:szCs w:val="18"/>
        </w:rPr>
        <w:t>.</w:t>
      </w:r>
    </w:p>
  </w:footnote>
  <w:footnote w:id="13">
    <w:p w:rsidR="00FA2C75" w:rsidRPr="00E461E0" w:rsidRDefault="00FA2C75">
      <w:pPr>
        <w:pStyle w:val="FootnoteText"/>
        <w:rPr>
          <w:rFonts w:ascii="Arial" w:hAnsi="Arial" w:cs="Arial"/>
          <w:sz w:val="18"/>
          <w:szCs w:val="18"/>
        </w:rPr>
      </w:pPr>
      <w:r w:rsidRPr="00E461E0">
        <w:rPr>
          <w:rStyle w:val="FootnoteReference"/>
          <w:rFonts w:ascii="Arial" w:hAnsi="Arial" w:cs="Arial"/>
          <w:sz w:val="18"/>
          <w:szCs w:val="18"/>
        </w:rPr>
        <w:footnoteRef/>
      </w:r>
      <w:r w:rsidRPr="00E461E0">
        <w:rPr>
          <w:rFonts w:ascii="Arial" w:hAnsi="Arial" w:cs="Arial"/>
          <w:sz w:val="18"/>
          <w:szCs w:val="18"/>
        </w:rPr>
        <w:t xml:space="preserve"> See Prime</w:t>
      </w:r>
      <w:r>
        <w:rPr>
          <w:rFonts w:ascii="Arial" w:hAnsi="Arial" w:cs="Arial"/>
          <w:sz w:val="18"/>
          <w:szCs w:val="18"/>
        </w:rPr>
        <w:t>S</w:t>
      </w:r>
      <w:r w:rsidRPr="00E461E0">
        <w:rPr>
          <w:rFonts w:ascii="Arial" w:hAnsi="Arial" w:cs="Arial"/>
          <w:sz w:val="18"/>
          <w:szCs w:val="18"/>
        </w:rPr>
        <w:t>afe Annual Reports for those years.</w:t>
      </w:r>
    </w:p>
  </w:footnote>
  <w:footnote w:id="14">
    <w:p w:rsidR="00FA2C75" w:rsidRPr="00E461E0" w:rsidRDefault="00FA2C75">
      <w:pPr>
        <w:pStyle w:val="FootnoteText"/>
        <w:rPr>
          <w:rFonts w:ascii="Arial" w:hAnsi="Arial" w:cs="Arial"/>
          <w:sz w:val="18"/>
          <w:szCs w:val="18"/>
        </w:rPr>
      </w:pPr>
      <w:r w:rsidRPr="00E461E0">
        <w:rPr>
          <w:rStyle w:val="FootnoteReference"/>
          <w:rFonts w:ascii="Arial" w:hAnsi="Arial" w:cs="Arial"/>
          <w:sz w:val="18"/>
          <w:szCs w:val="18"/>
        </w:rPr>
        <w:footnoteRef/>
      </w:r>
      <w:r w:rsidRPr="00E461E0">
        <w:rPr>
          <w:rFonts w:ascii="Arial" w:hAnsi="Arial" w:cs="Arial"/>
          <w:sz w:val="18"/>
          <w:szCs w:val="18"/>
        </w:rPr>
        <w:t xml:space="preserve"> A total of 334 complaints were received in 2014-15, of which 115, or slightly more than one third w</w:t>
      </w:r>
      <w:r>
        <w:rPr>
          <w:rFonts w:ascii="Arial" w:hAnsi="Arial" w:cs="Arial"/>
          <w:sz w:val="18"/>
          <w:szCs w:val="18"/>
        </w:rPr>
        <w:t xml:space="preserve">ere found to be substantiated. </w:t>
      </w:r>
      <w:r w:rsidRPr="00E461E0">
        <w:rPr>
          <w:rFonts w:ascii="Arial" w:hAnsi="Arial" w:cs="Arial"/>
          <w:sz w:val="18"/>
          <w:szCs w:val="18"/>
        </w:rPr>
        <w:t>The equivalent numbers for 2013-14 are 351 complaints and 128 substantiated.</w:t>
      </w:r>
    </w:p>
  </w:footnote>
  <w:footnote w:id="15">
    <w:p w:rsidR="00FA2C75" w:rsidRPr="00FF03AA" w:rsidRDefault="00FA2C75">
      <w:pPr>
        <w:pStyle w:val="FootnoteText"/>
        <w:rPr>
          <w:rFonts w:ascii="Arial" w:hAnsi="Arial" w:cs="Arial"/>
          <w:sz w:val="18"/>
          <w:szCs w:val="18"/>
        </w:rPr>
      </w:pPr>
      <w:r w:rsidRPr="00FF03AA">
        <w:rPr>
          <w:rStyle w:val="FootnoteReference"/>
          <w:rFonts w:ascii="Arial" w:hAnsi="Arial" w:cs="Arial"/>
          <w:sz w:val="18"/>
          <w:szCs w:val="18"/>
        </w:rPr>
        <w:footnoteRef/>
      </w:r>
      <w:r w:rsidRPr="00FF03AA">
        <w:rPr>
          <w:rFonts w:ascii="Arial" w:hAnsi="Arial" w:cs="Arial"/>
          <w:sz w:val="18"/>
          <w:szCs w:val="18"/>
        </w:rPr>
        <w:t xml:space="preserve"> Estimated 2016-17 cost.</w:t>
      </w:r>
    </w:p>
  </w:footnote>
  <w:footnote w:id="16">
    <w:p w:rsidR="00FA2C75" w:rsidRPr="007647C6" w:rsidRDefault="00FA2C75">
      <w:pPr>
        <w:pStyle w:val="FootnoteText"/>
        <w:rPr>
          <w:rFonts w:ascii="Arial" w:hAnsi="Arial" w:cs="Arial"/>
          <w:sz w:val="18"/>
          <w:szCs w:val="18"/>
        </w:rPr>
      </w:pPr>
      <w:r w:rsidRPr="007647C6">
        <w:rPr>
          <w:rStyle w:val="FootnoteReference"/>
          <w:rFonts w:ascii="Arial" w:hAnsi="Arial" w:cs="Arial"/>
          <w:sz w:val="18"/>
          <w:szCs w:val="18"/>
        </w:rPr>
        <w:footnoteRef/>
      </w:r>
      <w:r w:rsidRPr="007647C6">
        <w:rPr>
          <w:rFonts w:ascii="Arial" w:hAnsi="Arial" w:cs="Arial"/>
          <w:sz w:val="18"/>
          <w:szCs w:val="18"/>
        </w:rPr>
        <w:t xml:space="preserve"> The average fee in each of</w:t>
      </w:r>
      <w:r>
        <w:rPr>
          <w:rFonts w:ascii="Arial" w:hAnsi="Arial" w:cs="Arial"/>
          <w:sz w:val="18"/>
          <w:szCs w:val="18"/>
        </w:rPr>
        <w:t xml:space="preserve"> the categories with throughput </w:t>
      </w:r>
      <w:r w:rsidRPr="007647C6">
        <w:rPr>
          <w:rFonts w:ascii="Arial" w:hAnsi="Arial" w:cs="Arial"/>
          <w:sz w:val="18"/>
          <w:szCs w:val="18"/>
        </w:rPr>
        <w:t>based fee structure is calculated by dividing the total fee revenue received from that category of licen</w:t>
      </w:r>
      <w:r>
        <w:rPr>
          <w:rFonts w:ascii="Arial" w:hAnsi="Arial" w:cs="Arial"/>
          <w:sz w:val="18"/>
          <w:szCs w:val="18"/>
        </w:rPr>
        <w:t>c</w:t>
      </w:r>
      <w:r w:rsidRPr="007647C6">
        <w:rPr>
          <w:rFonts w:ascii="Arial" w:hAnsi="Arial" w:cs="Arial"/>
          <w:sz w:val="18"/>
          <w:szCs w:val="18"/>
        </w:rPr>
        <w:t>e by the number of licensees in the category.</w:t>
      </w:r>
    </w:p>
  </w:footnote>
  <w:footnote w:id="17">
    <w:p w:rsidR="00FA2C75" w:rsidRPr="00E7342D" w:rsidRDefault="00FA2C75" w:rsidP="006D5391">
      <w:pPr>
        <w:pStyle w:val="FootnoteText"/>
        <w:rPr>
          <w:rFonts w:ascii="Arial" w:hAnsi="Arial" w:cs="Arial"/>
          <w:sz w:val="18"/>
          <w:szCs w:val="18"/>
        </w:rPr>
      </w:pPr>
      <w:r w:rsidRPr="00E7342D">
        <w:rPr>
          <w:rStyle w:val="FootnoteReference"/>
          <w:rFonts w:ascii="Arial" w:hAnsi="Arial" w:cs="Arial"/>
          <w:sz w:val="18"/>
          <w:szCs w:val="18"/>
        </w:rPr>
        <w:footnoteRef/>
      </w:r>
      <w:r w:rsidRPr="00E7342D">
        <w:rPr>
          <w:rFonts w:ascii="Arial" w:hAnsi="Arial" w:cs="Arial"/>
          <w:sz w:val="18"/>
          <w:szCs w:val="18"/>
        </w:rPr>
        <w:t xml:space="preserve"> Department of Treasury and Finance (2013).  </w:t>
      </w:r>
      <w:r w:rsidRPr="00E7342D">
        <w:rPr>
          <w:rFonts w:ascii="Arial" w:hAnsi="Arial" w:cs="Arial"/>
          <w:i/>
          <w:sz w:val="18"/>
          <w:szCs w:val="18"/>
        </w:rPr>
        <w:t xml:space="preserve">Cost Recovery Guidelines.  </w:t>
      </w:r>
      <w:hyperlink r:id="rId1" w:history="1">
        <w:r w:rsidRPr="00E7342D">
          <w:rPr>
            <w:rStyle w:val="Hyperlink"/>
            <w:rFonts w:ascii="Arial" w:hAnsi="Arial" w:cs="Arial"/>
            <w:i/>
            <w:sz w:val="18"/>
            <w:szCs w:val="18"/>
          </w:rPr>
          <w:t>http://www.dtf.vic.gov.au/Publications/Victoria-Economy-publications/Cost-recovery-guidelines</w:t>
        </w:r>
      </w:hyperlink>
      <w:r w:rsidRPr="00E7342D">
        <w:rPr>
          <w:rFonts w:ascii="Arial" w:hAnsi="Arial" w:cs="Arial"/>
          <w:i/>
          <w:sz w:val="18"/>
          <w:szCs w:val="18"/>
        </w:rPr>
        <w:t xml:space="preserve"> </w:t>
      </w:r>
    </w:p>
  </w:footnote>
  <w:footnote w:id="18">
    <w:p w:rsidR="00FA2C75" w:rsidRDefault="00FA2C75" w:rsidP="003D2439">
      <w:pPr>
        <w:pStyle w:val="FootnoteText"/>
        <w:spacing w:before="60" w:after="60"/>
      </w:pPr>
      <w:r w:rsidRPr="00E7342D">
        <w:rPr>
          <w:rStyle w:val="FootnoteReference"/>
          <w:rFonts w:ascii="Arial" w:hAnsi="Arial" w:cs="Arial"/>
          <w:sz w:val="18"/>
          <w:szCs w:val="18"/>
        </w:rPr>
        <w:footnoteRef/>
      </w:r>
      <w:r w:rsidRPr="00E7342D">
        <w:rPr>
          <w:rFonts w:ascii="Arial" w:hAnsi="Arial" w:cs="Arial"/>
          <w:sz w:val="18"/>
          <w:szCs w:val="18"/>
        </w:rPr>
        <w:t xml:space="preserve"> For example, the current program of SO</w:t>
      </w:r>
      <w:r w:rsidRPr="00E7342D">
        <w:rPr>
          <w:rFonts w:ascii="Arial" w:hAnsi="Arial" w:cs="Arial"/>
          <w:sz w:val="18"/>
          <w:szCs w:val="18"/>
          <w:vertAlign w:val="subscript"/>
        </w:rPr>
        <w:t>2</w:t>
      </w:r>
      <w:r w:rsidRPr="00E7342D">
        <w:rPr>
          <w:rFonts w:ascii="Arial" w:hAnsi="Arial" w:cs="Arial"/>
          <w:sz w:val="18"/>
          <w:szCs w:val="18"/>
        </w:rPr>
        <w:t xml:space="preserve"> inspections of retail butcher shops is currently under review.</w:t>
      </w:r>
    </w:p>
  </w:footnote>
  <w:footnote w:id="19">
    <w:p w:rsidR="00FA2C75" w:rsidRPr="00E30FAF" w:rsidRDefault="00FA2C75">
      <w:pPr>
        <w:pStyle w:val="FootnoteText"/>
        <w:rPr>
          <w:rFonts w:ascii="Arial" w:hAnsi="Arial" w:cs="Arial"/>
          <w:sz w:val="18"/>
          <w:szCs w:val="18"/>
        </w:rPr>
      </w:pPr>
      <w:r w:rsidRPr="00E30FAF">
        <w:rPr>
          <w:rStyle w:val="FootnoteReference"/>
          <w:rFonts w:ascii="Arial" w:hAnsi="Arial" w:cs="Arial"/>
          <w:sz w:val="18"/>
          <w:szCs w:val="18"/>
        </w:rPr>
        <w:footnoteRef/>
      </w:r>
      <w:r w:rsidRPr="00E30FAF">
        <w:rPr>
          <w:rFonts w:ascii="Arial" w:hAnsi="Arial" w:cs="Arial"/>
          <w:sz w:val="18"/>
          <w:szCs w:val="18"/>
        </w:rPr>
        <w:t xml:space="preserve"> However, as shown in Table </w:t>
      </w:r>
      <w:r>
        <w:rPr>
          <w:rFonts w:ascii="Arial" w:hAnsi="Arial" w:cs="Arial"/>
          <w:sz w:val="18"/>
          <w:szCs w:val="18"/>
        </w:rPr>
        <w:t>9</w:t>
      </w:r>
      <w:r w:rsidRPr="00E30FAF">
        <w:rPr>
          <w:rFonts w:ascii="Arial" w:hAnsi="Arial" w:cs="Arial"/>
          <w:sz w:val="18"/>
          <w:szCs w:val="18"/>
        </w:rPr>
        <w:t>.1, real fee increases would not apply in all throughput categories.</w:t>
      </w:r>
    </w:p>
  </w:footnote>
  <w:footnote w:id="20">
    <w:p w:rsidR="00FA2C75" w:rsidRPr="00E30FAF" w:rsidRDefault="00FA2C75">
      <w:pPr>
        <w:pStyle w:val="FootnoteText"/>
        <w:rPr>
          <w:rFonts w:ascii="Arial" w:hAnsi="Arial" w:cs="Arial"/>
          <w:sz w:val="18"/>
          <w:szCs w:val="18"/>
        </w:rPr>
      </w:pPr>
      <w:r w:rsidRPr="00E30FAF">
        <w:rPr>
          <w:rStyle w:val="FootnoteReference"/>
          <w:rFonts w:ascii="Arial" w:hAnsi="Arial" w:cs="Arial"/>
          <w:sz w:val="18"/>
          <w:szCs w:val="18"/>
        </w:rPr>
        <w:footnoteRef/>
      </w:r>
      <w:r w:rsidRPr="00E30FAF">
        <w:rPr>
          <w:rFonts w:ascii="Arial" w:hAnsi="Arial" w:cs="Arial"/>
          <w:sz w:val="18"/>
          <w:szCs w:val="18"/>
        </w:rPr>
        <w:t xml:space="preserve"> This category comprises a range of meat products that are not for human consumption, plus game meats.</w:t>
      </w:r>
    </w:p>
  </w:footnote>
  <w:footnote w:id="21">
    <w:p w:rsidR="00FA2C75" w:rsidRPr="008D04BA" w:rsidRDefault="00FA2C75" w:rsidP="005E4102">
      <w:pPr>
        <w:pStyle w:val="FootnoteText"/>
        <w:rPr>
          <w:rFonts w:ascii="Arial" w:hAnsi="Arial" w:cs="Arial"/>
          <w:sz w:val="18"/>
          <w:szCs w:val="18"/>
        </w:rPr>
      </w:pPr>
      <w:r w:rsidRPr="008D04BA">
        <w:rPr>
          <w:rStyle w:val="FootnoteReference"/>
          <w:rFonts w:ascii="Arial" w:hAnsi="Arial" w:cs="Arial"/>
          <w:sz w:val="18"/>
          <w:szCs w:val="18"/>
        </w:rPr>
        <w:footnoteRef/>
      </w:r>
      <w:r w:rsidRPr="008D04BA">
        <w:rPr>
          <w:rFonts w:ascii="Arial" w:hAnsi="Arial" w:cs="Arial"/>
          <w:sz w:val="18"/>
          <w:szCs w:val="18"/>
        </w:rPr>
        <w:t xml:space="preserve"> Moreover, the application fees payable in NSW and Queensland, at $378 and $546.50 respectively, are substantially higher than the Victorian application fees which would range from $64 to $123.50 under Option 2.</w:t>
      </w:r>
    </w:p>
  </w:footnote>
  <w:footnote w:id="22">
    <w:p w:rsidR="00FA2C75" w:rsidRPr="00A449AB" w:rsidRDefault="00FA2C75" w:rsidP="00467BE8">
      <w:pPr>
        <w:pStyle w:val="FootnoteText"/>
        <w:rPr>
          <w:rFonts w:ascii="Arial" w:hAnsi="Arial" w:cs="Arial"/>
          <w:sz w:val="18"/>
          <w:szCs w:val="18"/>
        </w:rPr>
      </w:pPr>
      <w:r w:rsidRPr="00A449AB">
        <w:rPr>
          <w:rStyle w:val="FootnoteReference"/>
          <w:rFonts w:ascii="Arial" w:hAnsi="Arial" w:cs="Arial"/>
          <w:sz w:val="18"/>
          <w:szCs w:val="18"/>
        </w:rPr>
        <w:footnoteRef/>
      </w:r>
      <w:r w:rsidRPr="00A449AB">
        <w:rPr>
          <w:rFonts w:ascii="Arial" w:hAnsi="Arial" w:cs="Arial"/>
          <w:sz w:val="18"/>
          <w:szCs w:val="18"/>
        </w:rPr>
        <w:t xml:space="preserve"> </w:t>
      </w:r>
      <w:r>
        <w:rPr>
          <w:rFonts w:ascii="Arial" w:hAnsi="Arial" w:cs="Arial"/>
          <w:sz w:val="18"/>
          <w:szCs w:val="18"/>
        </w:rPr>
        <w:t>Processors</w:t>
      </w:r>
      <w:r w:rsidRPr="00A449AB">
        <w:rPr>
          <w:rFonts w:ascii="Arial" w:hAnsi="Arial" w:cs="Arial"/>
          <w:sz w:val="18"/>
          <w:szCs w:val="18"/>
        </w:rPr>
        <w:t xml:space="preserve"> of between 400,000 and 500,000 units will fall i</w:t>
      </w:r>
      <w:r>
        <w:rPr>
          <w:rFonts w:ascii="Arial" w:hAnsi="Arial" w:cs="Arial"/>
          <w:sz w:val="18"/>
          <w:szCs w:val="18"/>
        </w:rPr>
        <w:t xml:space="preserve">nto the new category (200,000 to </w:t>
      </w:r>
      <w:r w:rsidRPr="00A449AB">
        <w:rPr>
          <w:rFonts w:ascii="Arial" w:hAnsi="Arial" w:cs="Arial"/>
          <w:sz w:val="18"/>
          <w:szCs w:val="18"/>
        </w:rPr>
        <w:t>500,000 units) and will experience a fee reduction of 17.8% compared with the fee of $8</w:t>
      </w:r>
      <w:r>
        <w:rPr>
          <w:rFonts w:ascii="Arial" w:hAnsi="Arial" w:cs="Arial"/>
          <w:sz w:val="18"/>
          <w:szCs w:val="18"/>
        </w:rPr>
        <w:t>,</w:t>
      </w:r>
      <w:r w:rsidRPr="00A449AB">
        <w:rPr>
          <w:rFonts w:ascii="Arial" w:hAnsi="Arial" w:cs="Arial"/>
          <w:sz w:val="18"/>
          <w:szCs w:val="18"/>
        </w:rPr>
        <w:t>107 currently payable by producers of over 400,000 units.</w:t>
      </w:r>
    </w:p>
  </w:footnote>
  <w:footnote w:id="23">
    <w:p w:rsidR="00FA2C75" w:rsidRPr="000669E0" w:rsidRDefault="00FA2C75" w:rsidP="009E6247">
      <w:pPr>
        <w:pStyle w:val="FootnoteText"/>
        <w:rPr>
          <w:rFonts w:ascii="Arial" w:hAnsi="Arial" w:cs="Arial"/>
          <w:sz w:val="18"/>
          <w:szCs w:val="18"/>
        </w:rPr>
      </w:pPr>
      <w:r w:rsidRPr="000669E0">
        <w:rPr>
          <w:rStyle w:val="FootnoteReference"/>
          <w:rFonts w:ascii="Arial" w:hAnsi="Arial" w:cs="Arial"/>
          <w:sz w:val="18"/>
          <w:szCs w:val="18"/>
        </w:rPr>
        <w:footnoteRef/>
      </w:r>
      <w:r w:rsidRPr="000669E0">
        <w:rPr>
          <w:rFonts w:ascii="Arial" w:hAnsi="Arial" w:cs="Arial"/>
          <w:sz w:val="18"/>
          <w:szCs w:val="18"/>
        </w:rPr>
        <w:t xml:space="preserve"> Higher fee applies above new threshold of 500,000 units.</w:t>
      </w:r>
    </w:p>
  </w:footnote>
  <w:footnote w:id="24">
    <w:p w:rsidR="00FA2C75" w:rsidRPr="00A449AB" w:rsidRDefault="00FA2C75" w:rsidP="00B9681C">
      <w:pPr>
        <w:pStyle w:val="FootnoteText"/>
        <w:rPr>
          <w:rFonts w:ascii="Arial" w:hAnsi="Arial" w:cs="Arial"/>
          <w:sz w:val="18"/>
          <w:szCs w:val="18"/>
        </w:rPr>
      </w:pPr>
      <w:r w:rsidRPr="00A449AB">
        <w:rPr>
          <w:rStyle w:val="FootnoteReference"/>
          <w:rFonts w:ascii="Arial" w:hAnsi="Arial" w:cs="Arial"/>
          <w:sz w:val="18"/>
          <w:szCs w:val="18"/>
        </w:rPr>
        <w:footnoteRef/>
      </w:r>
      <w:r>
        <w:rPr>
          <w:rFonts w:ascii="Arial" w:hAnsi="Arial" w:cs="Arial"/>
          <w:sz w:val="18"/>
          <w:szCs w:val="18"/>
        </w:rPr>
        <w:t xml:space="preserve"> Export meat processing facilities</w:t>
      </w:r>
      <w:r w:rsidRPr="00A449AB">
        <w:rPr>
          <w:rFonts w:ascii="Arial" w:hAnsi="Arial" w:cs="Arial"/>
          <w:sz w:val="18"/>
          <w:szCs w:val="18"/>
        </w:rPr>
        <w:t xml:space="preserve"> supervised by the DoA currently pay a capped maximum fee of $1,566, which would rise to $1,850</w:t>
      </w:r>
      <w:r>
        <w:rPr>
          <w:rFonts w:ascii="Arial" w:hAnsi="Arial" w:cs="Arial"/>
          <w:sz w:val="18"/>
          <w:szCs w:val="18"/>
        </w:rPr>
        <w:t xml:space="preserve"> in 2016-17 under this option (18.1% increase). </w:t>
      </w:r>
      <w:r w:rsidRPr="00A449AB">
        <w:rPr>
          <w:rFonts w:ascii="Arial" w:hAnsi="Arial" w:cs="Arial"/>
          <w:sz w:val="18"/>
          <w:szCs w:val="18"/>
        </w:rPr>
        <w:t>The maximum fee is payable only where the throughput level of the processor would otherwise dictate that a higher fee is paya</w:t>
      </w:r>
      <w:r>
        <w:rPr>
          <w:rFonts w:ascii="Arial" w:hAnsi="Arial" w:cs="Arial"/>
          <w:sz w:val="18"/>
          <w:szCs w:val="18"/>
        </w:rPr>
        <w:t xml:space="preserve">ble (i.e. above 2,500 tonnes). </w:t>
      </w:r>
      <w:r w:rsidRPr="00A449AB">
        <w:rPr>
          <w:rFonts w:ascii="Arial" w:hAnsi="Arial" w:cs="Arial"/>
          <w:sz w:val="18"/>
          <w:szCs w:val="18"/>
        </w:rPr>
        <w:t>For lower throughput levels, the fee payable is identical to that paid by processors only serving the domestic market.</w:t>
      </w:r>
    </w:p>
  </w:footnote>
  <w:footnote w:id="25">
    <w:p w:rsidR="00FA2C75" w:rsidRDefault="00FA2C75" w:rsidP="00DC20C1">
      <w:pPr>
        <w:pStyle w:val="FootnoteText"/>
      </w:pPr>
      <w:r w:rsidRPr="00A449AB">
        <w:rPr>
          <w:rStyle w:val="FootnoteReference"/>
          <w:rFonts w:ascii="Arial" w:hAnsi="Arial" w:cs="Arial"/>
          <w:sz w:val="18"/>
          <w:szCs w:val="18"/>
        </w:rPr>
        <w:footnoteRef/>
      </w:r>
      <w:r w:rsidRPr="00A449AB">
        <w:rPr>
          <w:rFonts w:ascii="Arial" w:hAnsi="Arial" w:cs="Arial"/>
          <w:sz w:val="18"/>
          <w:szCs w:val="18"/>
        </w:rPr>
        <w:t xml:space="preserve"> Increase to 2017-18.</w:t>
      </w:r>
    </w:p>
  </w:footnote>
  <w:footnote w:id="26">
    <w:p w:rsidR="00FA2C75" w:rsidRPr="00D41723" w:rsidRDefault="00FA2C75">
      <w:pPr>
        <w:pStyle w:val="FootnoteText"/>
        <w:rPr>
          <w:rFonts w:ascii="Arial" w:hAnsi="Arial" w:cs="Arial"/>
          <w:sz w:val="18"/>
          <w:szCs w:val="18"/>
        </w:rPr>
      </w:pPr>
      <w:r w:rsidRPr="00D41723">
        <w:rPr>
          <w:rStyle w:val="FootnoteReference"/>
          <w:rFonts w:ascii="Arial" w:hAnsi="Arial" w:cs="Arial"/>
          <w:sz w:val="18"/>
          <w:szCs w:val="18"/>
        </w:rPr>
        <w:footnoteRef/>
      </w:r>
      <w:r w:rsidRPr="00D41723">
        <w:rPr>
          <w:rFonts w:ascii="Arial" w:hAnsi="Arial" w:cs="Arial"/>
          <w:sz w:val="18"/>
          <w:szCs w:val="18"/>
        </w:rPr>
        <w:t xml:space="preserve"> Based on an indicative estimate of 10 hours of paid advice being provided per month at $250 per hour</w:t>
      </w:r>
      <w:r>
        <w:rPr>
          <w:rFonts w:ascii="Arial" w:hAnsi="Arial" w:cs="Arial"/>
          <w:sz w:val="18"/>
          <w:szCs w:val="18"/>
        </w:rPr>
        <w:t xml:space="preserve"> (ex GST)</w:t>
      </w:r>
      <w:r w:rsidRPr="00D41723">
        <w:rPr>
          <w:rFonts w:ascii="Arial" w:hAnsi="Arial" w:cs="Arial"/>
          <w:sz w:val="18"/>
          <w:szCs w:val="18"/>
        </w:rPr>
        <w:t>.  This estimate is based on Prime</w:t>
      </w:r>
      <w:r>
        <w:rPr>
          <w:rFonts w:ascii="Arial" w:hAnsi="Arial" w:cs="Arial"/>
          <w:sz w:val="18"/>
          <w:szCs w:val="18"/>
        </w:rPr>
        <w:t>S</w:t>
      </w:r>
      <w:r w:rsidRPr="00D41723">
        <w:rPr>
          <w:rFonts w:ascii="Arial" w:hAnsi="Arial" w:cs="Arial"/>
          <w:sz w:val="18"/>
          <w:szCs w:val="18"/>
        </w:rPr>
        <w:t>afe’s current experience with advice requests and is necessarily subject to uncertainty.</w:t>
      </w:r>
    </w:p>
  </w:footnote>
  <w:footnote w:id="27">
    <w:p w:rsidR="00FA2C75" w:rsidRDefault="00FA2C75">
      <w:pPr>
        <w:pStyle w:val="FootnoteText"/>
      </w:pPr>
      <w:r w:rsidRPr="00D41723">
        <w:rPr>
          <w:rStyle w:val="FootnoteReference"/>
          <w:rFonts w:ascii="Arial" w:hAnsi="Arial" w:cs="Arial"/>
          <w:sz w:val="18"/>
          <w:szCs w:val="18"/>
        </w:rPr>
        <w:footnoteRef/>
      </w:r>
      <w:r w:rsidRPr="00D41723">
        <w:rPr>
          <w:rFonts w:ascii="Arial" w:hAnsi="Arial" w:cs="Arial"/>
          <w:sz w:val="18"/>
          <w:szCs w:val="18"/>
        </w:rPr>
        <w:t>Average fee increases on FY15 are projected to be 9.0% (domestic abattoirs), 15.8% (poultry processing) and 13.7% (further meat processing).</w:t>
      </w:r>
    </w:p>
  </w:footnote>
  <w:footnote w:id="28">
    <w:p w:rsidR="00FA2C75" w:rsidRPr="00DE5C8C" w:rsidRDefault="00FA2C75">
      <w:pPr>
        <w:pStyle w:val="FootnoteText"/>
        <w:rPr>
          <w:rFonts w:ascii="Arial" w:hAnsi="Arial" w:cs="Arial"/>
          <w:sz w:val="18"/>
          <w:szCs w:val="18"/>
        </w:rPr>
      </w:pPr>
      <w:r w:rsidRPr="00DE5C8C">
        <w:rPr>
          <w:rStyle w:val="FootnoteReference"/>
          <w:rFonts w:ascii="Arial" w:hAnsi="Arial" w:cs="Arial"/>
          <w:sz w:val="18"/>
          <w:szCs w:val="18"/>
        </w:rPr>
        <w:footnoteRef/>
      </w:r>
      <w:r w:rsidRPr="00DE5C8C">
        <w:rPr>
          <w:rFonts w:ascii="Arial" w:hAnsi="Arial" w:cs="Arial"/>
          <w:sz w:val="18"/>
          <w:szCs w:val="18"/>
        </w:rPr>
        <w:t xml:space="preserve"> For categories in which output based fees are charged, the average fee paid in 2014-15 and the proposed average fee are cited.</w:t>
      </w:r>
    </w:p>
  </w:footnote>
  <w:footnote w:id="29">
    <w:p w:rsidR="00FA2C75" w:rsidRDefault="00FA2C75">
      <w:pPr>
        <w:pStyle w:val="FootnoteText"/>
      </w:pPr>
      <w:r w:rsidRPr="00DE5C8C">
        <w:rPr>
          <w:rStyle w:val="FootnoteReference"/>
          <w:rFonts w:ascii="Arial" w:hAnsi="Arial" w:cs="Arial"/>
          <w:sz w:val="18"/>
          <w:szCs w:val="18"/>
        </w:rPr>
        <w:footnoteRef/>
      </w:r>
      <w:r w:rsidRPr="00DE5C8C">
        <w:rPr>
          <w:rFonts w:ascii="Arial" w:hAnsi="Arial" w:cs="Arial"/>
          <w:sz w:val="18"/>
          <w:szCs w:val="18"/>
        </w:rPr>
        <w:t xml:space="preserve"> This would be the average fee paid by retail butcher</w:t>
      </w:r>
      <w:r>
        <w:rPr>
          <w:rFonts w:ascii="Arial" w:hAnsi="Arial" w:cs="Arial"/>
          <w:sz w:val="18"/>
          <w:szCs w:val="18"/>
        </w:rPr>
        <w:t xml:space="preserve"> </w:t>
      </w:r>
      <w:r w:rsidRPr="00DE5C8C">
        <w:rPr>
          <w:rFonts w:ascii="Arial" w:hAnsi="Arial" w:cs="Arial"/>
          <w:sz w:val="18"/>
          <w:szCs w:val="18"/>
        </w:rPr>
        <w:t>s</w:t>
      </w:r>
      <w:r>
        <w:rPr>
          <w:rFonts w:ascii="Arial" w:hAnsi="Arial" w:cs="Arial"/>
          <w:sz w:val="18"/>
          <w:szCs w:val="18"/>
        </w:rPr>
        <w:t xml:space="preserve">hops. </w:t>
      </w:r>
      <w:r w:rsidRPr="00DE5C8C">
        <w:rPr>
          <w:rFonts w:ascii="Arial" w:hAnsi="Arial" w:cs="Arial"/>
          <w:sz w:val="18"/>
          <w:szCs w:val="18"/>
        </w:rPr>
        <w:t>Those who fell within the new licence category for retail butcher</w:t>
      </w:r>
      <w:r>
        <w:rPr>
          <w:rFonts w:ascii="Arial" w:hAnsi="Arial" w:cs="Arial"/>
          <w:sz w:val="18"/>
          <w:szCs w:val="18"/>
        </w:rPr>
        <w:t xml:space="preserve"> </w:t>
      </w:r>
      <w:r w:rsidRPr="00DE5C8C">
        <w:rPr>
          <w:rFonts w:ascii="Arial" w:hAnsi="Arial" w:cs="Arial"/>
          <w:sz w:val="18"/>
          <w:szCs w:val="18"/>
        </w:rPr>
        <w:t>s</w:t>
      </w:r>
      <w:r>
        <w:rPr>
          <w:rFonts w:ascii="Arial" w:hAnsi="Arial" w:cs="Arial"/>
          <w:sz w:val="18"/>
          <w:szCs w:val="18"/>
        </w:rPr>
        <w:t>hops manufacturing</w:t>
      </w:r>
      <w:r w:rsidRPr="00DE5C8C">
        <w:rPr>
          <w:rFonts w:ascii="Arial" w:hAnsi="Arial" w:cs="Arial"/>
          <w:sz w:val="18"/>
          <w:szCs w:val="18"/>
        </w:rPr>
        <w:t xml:space="preserve"> smallgoods would pay more than this average amount, while those who do not would pay less.</w:t>
      </w:r>
    </w:p>
  </w:footnote>
  <w:footnote w:id="30">
    <w:p w:rsidR="00FA2C75" w:rsidRPr="00C64456" w:rsidRDefault="00FA2C75">
      <w:pPr>
        <w:pStyle w:val="FootnoteText"/>
        <w:rPr>
          <w:rFonts w:ascii="Arial" w:hAnsi="Arial" w:cs="Arial"/>
          <w:sz w:val="18"/>
          <w:szCs w:val="18"/>
        </w:rPr>
      </w:pPr>
      <w:r w:rsidRPr="00C64456">
        <w:rPr>
          <w:rStyle w:val="FootnoteReference"/>
          <w:rFonts w:ascii="Arial" w:hAnsi="Arial" w:cs="Arial"/>
          <w:sz w:val="18"/>
          <w:szCs w:val="18"/>
        </w:rPr>
        <w:footnoteRef/>
      </w:r>
      <w:r w:rsidRPr="00C64456">
        <w:rPr>
          <w:rFonts w:ascii="Arial" w:hAnsi="Arial" w:cs="Arial"/>
          <w:sz w:val="18"/>
          <w:szCs w:val="18"/>
        </w:rPr>
        <w:t xml:space="preserve"> The incidence of this fee reduction in those categories with output</w:t>
      </w:r>
      <w:r>
        <w:rPr>
          <w:rFonts w:ascii="Arial" w:hAnsi="Arial" w:cs="Arial"/>
          <w:sz w:val="18"/>
          <w:szCs w:val="18"/>
        </w:rPr>
        <w:t xml:space="preserve"> </w:t>
      </w:r>
      <w:r w:rsidRPr="00C64456">
        <w:rPr>
          <w:rFonts w:ascii="Arial" w:hAnsi="Arial" w:cs="Arial"/>
          <w:sz w:val="18"/>
          <w:szCs w:val="18"/>
        </w:rPr>
        <w:t>based fee structures (i.e. ab</w:t>
      </w:r>
      <w:r>
        <w:rPr>
          <w:rFonts w:ascii="Arial" w:hAnsi="Arial" w:cs="Arial"/>
          <w:sz w:val="18"/>
          <w:szCs w:val="18"/>
        </w:rPr>
        <w:t>attoirs, further meat processing facilities, poultry processing facilities</w:t>
      </w:r>
      <w:r w:rsidRPr="00C64456">
        <w:rPr>
          <w:rFonts w:ascii="Arial" w:hAnsi="Arial" w:cs="Arial"/>
          <w:sz w:val="18"/>
          <w:szCs w:val="18"/>
        </w:rPr>
        <w:t xml:space="preserve">) would require consideration under Option 2, as currently available cost information does not clearly distinguish the average regulatory costs incurred in relation to larger and smaller </w:t>
      </w:r>
      <w:r>
        <w:rPr>
          <w:rFonts w:ascii="Arial" w:hAnsi="Arial" w:cs="Arial"/>
          <w:sz w:val="18"/>
          <w:szCs w:val="18"/>
        </w:rPr>
        <w:t>processors</w:t>
      </w:r>
      <w:r w:rsidRPr="00C64456">
        <w:rPr>
          <w:rFonts w:ascii="Arial" w:hAnsi="Arial" w:cs="Arial"/>
          <w:sz w:val="18"/>
          <w:szCs w:val="18"/>
        </w:rPr>
        <w:t xml:space="preserve"> within these categories.</w:t>
      </w:r>
    </w:p>
  </w:footnote>
  <w:footnote w:id="31">
    <w:p w:rsidR="00FA2C75" w:rsidRPr="00BC6957" w:rsidRDefault="00FA2C75">
      <w:pPr>
        <w:pStyle w:val="FootnoteText"/>
        <w:rPr>
          <w:rFonts w:ascii="Arial" w:hAnsi="Arial" w:cs="Arial"/>
          <w:sz w:val="18"/>
          <w:szCs w:val="18"/>
        </w:rPr>
      </w:pPr>
      <w:r w:rsidRPr="00BC6957">
        <w:rPr>
          <w:rStyle w:val="FootnoteReference"/>
          <w:rFonts w:ascii="Arial" w:hAnsi="Arial" w:cs="Arial"/>
          <w:sz w:val="18"/>
          <w:szCs w:val="18"/>
        </w:rPr>
        <w:footnoteRef/>
      </w:r>
      <w:r w:rsidRPr="00BC6957">
        <w:rPr>
          <w:rFonts w:ascii="Arial" w:hAnsi="Arial" w:cs="Arial"/>
          <w:sz w:val="18"/>
          <w:szCs w:val="18"/>
        </w:rPr>
        <w:t xml:space="preserve"> For simplicity, these estimates implicitly assume that the unit cost per inspection would be unaltered in the event that total inspections acti</w:t>
      </w:r>
      <w:r>
        <w:rPr>
          <w:rFonts w:ascii="Arial" w:hAnsi="Arial" w:cs="Arial"/>
          <w:sz w:val="18"/>
          <w:szCs w:val="18"/>
        </w:rPr>
        <w:t xml:space="preserve">vity was reduced, as proposed. </w:t>
      </w:r>
      <w:r w:rsidRPr="00BC6957">
        <w:rPr>
          <w:rFonts w:ascii="Arial" w:hAnsi="Arial" w:cs="Arial"/>
          <w:sz w:val="18"/>
          <w:szCs w:val="18"/>
        </w:rPr>
        <w:t xml:space="preserve">In practice, the existence of some fixed costs, at least in the short </w:t>
      </w:r>
      <w:r>
        <w:rPr>
          <w:rFonts w:ascii="Arial" w:hAnsi="Arial" w:cs="Arial"/>
          <w:sz w:val="18"/>
          <w:szCs w:val="18"/>
        </w:rPr>
        <w:t>term</w:t>
      </w:r>
      <w:r w:rsidRPr="00BC6957">
        <w:rPr>
          <w:rFonts w:ascii="Arial" w:hAnsi="Arial" w:cs="Arial"/>
          <w:sz w:val="18"/>
          <w:szCs w:val="18"/>
        </w:rPr>
        <w:t>, would mean that actual cost reductions would be less than suggested here.</w:t>
      </w:r>
    </w:p>
  </w:footnote>
  <w:footnote w:id="32">
    <w:p w:rsidR="00FA2C75" w:rsidRPr="00BC6957" w:rsidRDefault="00FA2C75">
      <w:pPr>
        <w:pStyle w:val="FootnoteText"/>
        <w:rPr>
          <w:rFonts w:ascii="Arial" w:hAnsi="Arial" w:cs="Arial"/>
          <w:sz w:val="18"/>
          <w:szCs w:val="18"/>
        </w:rPr>
      </w:pPr>
      <w:r w:rsidRPr="00BC6957">
        <w:rPr>
          <w:rStyle w:val="FootnoteReference"/>
          <w:rFonts w:ascii="Arial" w:hAnsi="Arial" w:cs="Arial"/>
          <w:sz w:val="18"/>
          <w:szCs w:val="18"/>
        </w:rPr>
        <w:footnoteRef/>
      </w:r>
      <w:r w:rsidRPr="00BC6957">
        <w:rPr>
          <w:rFonts w:ascii="Arial" w:hAnsi="Arial" w:cs="Arial"/>
          <w:sz w:val="18"/>
          <w:szCs w:val="18"/>
        </w:rPr>
        <w:t xml:space="preserve"> This is an indicative calculation only, based on the current estimated cost per inspection of $912 and an assumption regarding rounding of the relevant fees. In practice, the reduction in fees achievable under such a scenario is likely to be smaller than this estimate would suggest, at least in the short term, due to the presence of quasi-fixed costs associated with the conduct of inspections (i.e. total costs would not fall proportionately with the number of inspections conducted.</w:t>
      </w:r>
    </w:p>
  </w:footnote>
  <w:footnote w:id="33">
    <w:p w:rsidR="00FA2C75" w:rsidRPr="00640A87" w:rsidRDefault="00FA2C75" w:rsidP="00335DE8">
      <w:pPr>
        <w:shd w:val="clear" w:color="auto" w:fill="FFFFFF"/>
        <w:spacing w:line="240" w:lineRule="auto"/>
        <w:rPr>
          <w:rFonts w:cs="Arial"/>
          <w:sz w:val="18"/>
          <w:szCs w:val="18"/>
        </w:rPr>
      </w:pPr>
      <w:r w:rsidRPr="00BC6957">
        <w:rPr>
          <w:rStyle w:val="FootnoteReference"/>
          <w:rFonts w:ascii="Arial" w:hAnsi="Arial" w:cs="Arial"/>
          <w:sz w:val="18"/>
          <w:szCs w:val="18"/>
        </w:rPr>
        <w:footnoteRef/>
      </w:r>
      <w:r w:rsidRPr="00BC6957">
        <w:rPr>
          <w:rFonts w:ascii="Arial" w:hAnsi="Arial" w:cs="Arial"/>
          <w:sz w:val="18"/>
          <w:szCs w:val="18"/>
        </w:rPr>
        <w:t xml:space="preserve">Alvaro R. Garcia-Fuentes , Sabrina Wirtz , Ellen Vos and Hans Verhagen (2015).  </w:t>
      </w:r>
      <w:r w:rsidRPr="00B27A94">
        <w:rPr>
          <w:rFonts w:ascii="Arial" w:hAnsi="Arial" w:cs="Arial"/>
          <w:i/>
          <w:sz w:val="18"/>
          <w:szCs w:val="18"/>
        </w:rPr>
        <w:t>Short Review of Sulphites as Food Additives.</w:t>
      </w:r>
      <w:r w:rsidRPr="00BC6957">
        <w:rPr>
          <w:rFonts w:ascii="Arial" w:hAnsi="Arial" w:cs="Arial"/>
          <w:sz w:val="18"/>
          <w:szCs w:val="18"/>
        </w:rPr>
        <w:t xml:space="preserve">  European Journal of Nutrition &amp; Food Safety 5(2): 113-120, 2015, Article no.EJNFS.2015.010.  See:   </w:t>
      </w:r>
      <w:hyperlink r:id="rId2" w:history="1">
        <w:r w:rsidRPr="00BC6957">
          <w:rPr>
            <w:rStyle w:val="Hyperlink"/>
            <w:rFonts w:ascii="Arial" w:hAnsi="Arial" w:cs="Arial"/>
            <w:color w:val="auto"/>
            <w:sz w:val="18"/>
            <w:szCs w:val="18"/>
          </w:rPr>
          <w:t>https://www.researchgate.net/profile/Hans_Verhagen/publication/273518332_Short_Review_of_Sulphites_as_Food_Additives/links/555c764e08ae6aea081795c4.pdf</w:t>
        </w:r>
      </w:hyperlink>
      <w:r w:rsidRPr="00640A87">
        <w:rPr>
          <w:sz w:val="18"/>
          <w:szCs w:val="18"/>
        </w:rPr>
        <w:t xml:space="preserve"> </w:t>
      </w:r>
      <w:r>
        <w:rPr>
          <w:sz w:val="18"/>
          <w:szCs w:val="18"/>
        </w:rPr>
        <w:t xml:space="preserve">  </w:t>
      </w:r>
    </w:p>
  </w:footnote>
  <w:footnote w:id="34">
    <w:p w:rsidR="00FA2C75" w:rsidRPr="009F4596" w:rsidRDefault="00FA2C75">
      <w:pPr>
        <w:pStyle w:val="FootnoteText"/>
        <w:rPr>
          <w:rFonts w:ascii="Arial" w:hAnsi="Arial" w:cs="Arial"/>
          <w:sz w:val="18"/>
          <w:szCs w:val="18"/>
        </w:rPr>
      </w:pPr>
      <w:r w:rsidRPr="009F4596">
        <w:rPr>
          <w:rStyle w:val="FootnoteReference"/>
          <w:rFonts w:ascii="Arial" w:hAnsi="Arial" w:cs="Arial"/>
          <w:sz w:val="18"/>
          <w:szCs w:val="18"/>
        </w:rPr>
        <w:footnoteRef/>
      </w:r>
      <w:r w:rsidRPr="009F4596">
        <w:rPr>
          <w:rFonts w:ascii="Arial" w:hAnsi="Arial" w:cs="Arial"/>
          <w:sz w:val="18"/>
          <w:szCs w:val="18"/>
        </w:rPr>
        <w:t xml:space="preserve"> As discussed in Section </w:t>
      </w:r>
      <w:r>
        <w:rPr>
          <w:rFonts w:ascii="Arial" w:hAnsi="Arial" w:cs="Arial"/>
          <w:sz w:val="18"/>
          <w:szCs w:val="18"/>
        </w:rPr>
        <w:t>5</w:t>
      </w:r>
      <w:r w:rsidRPr="009F4596">
        <w:rPr>
          <w:rFonts w:ascii="Arial" w:hAnsi="Arial" w:cs="Arial"/>
          <w:sz w:val="18"/>
          <w:szCs w:val="18"/>
        </w:rPr>
        <w:t>, the limitations of the available cost data mean that there is necessarily a significant degree of uncertainty surrounding cost allocations</w:t>
      </w:r>
      <w:r>
        <w:rPr>
          <w:rFonts w:ascii="Arial" w:hAnsi="Arial" w:cs="Arial"/>
          <w:sz w:val="18"/>
          <w:szCs w:val="18"/>
        </w:rPr>
        <w:t xml:space="preserve"> and </w:t>
      </w:r>
      <w:r w:rsidRPr="009F4596">
        <w:rPr>
          <w:rFonts w:ascii="Arial" w:hAnsi="Arial" w:cs="Arial"/>
          <w:sz w:val="18"/>
          <w:szCs w:val="18"/>
        </w:rPr>
        <w:t xml:space="preserve">as a result, conclusions regarding cost-recovery levels under different options. </w:t>
      </w:r>
    </w:p>
  </w:footnote>
  <w:footnote w:id="35">
    <w:p w:rsidR="00FA2C75" w:rsidRPr="00C477E4" w:rsidRDefault="00FA2C75" w:rsidP="007B0C10">
      <w:pPr>
        <w:pStyle w:val="FootnoteText"/>
        <w:rPr>
          <w:rFonts w:ascii="Arial" w:hAnsi="Arial" w:cs="Arial"/>
          <w:sz w:val="18"/>
          <w:szCs w:val="18"/>
        </w:rPr>
      </w:pPr>
      <w:r w:rsidRPr="00C477E4">
        <w:rPr>
          <w:rStyle w:val="FootnoteReference"/>
          <w:rFonts w:ascii="Arial" w:hAnsi="Arial" w:cs="Arial"/>
          <w:sz w:val="18"/>
          <w:szCs w:val="18"/>
        </w:rPr>
        <w:footnoteRef/>
      </w:r>
      <w:r w:rsidRPr="00C477E4">
        <w:rPr>
          <w:rFonts w:ascii="Arial" w:hAnsi="Arial" w:cs="Arial"/>
          <w:sz w:val="18"/>
          <w:szCs w:val="18"/>
        </w:rPr>
        <w:t xml:space="preserve">  </w:t>
      </w:r>
      <w:r w:rsidRPr="00C477E4">
        <w:rPr>
          <w:rFonts w:ascii="Arial" w:hAnsi="Arial" w:cs="Arial"/>
          <w:i/>
          <w:sz w:val="18"/>
          <w:szCs w:val="18"/>
        </w:rPr>
        <w:t>Competition Principles Agreement</w:t>
      </w:r>
      <w:r>
        <w:rPr>
          <w:rFonts w:ascii="Arial" w:hAnsi="Arial" w:cs="Arial"/>
          <w:sz w:val="18"/>
          <w:szCs w:val="18"/>
        </w:rPr>
        <w:t xml:space="preserve">, Clause 5. 1995. See: </w:t>
      </w:r>
      <w:r w:rsidRPr="00C477E4">
        <w:rPr>
          <w:rFonts w:ascii="Arial" w:hAnsi="Arial" w:cs="Arial"/>
          <w:sz w:val="18"/>
          <w:szCs w:val="18"/>
          <w:u w:val="single"/>
        </w:rPr>
        <w:t>www.ncc.gov.au</w:t>
      </w:r>
    </w:p>
  </w:footnote>
  <w:footnote w:id="36">
    <w:p w:rsidR="00FA2C75" w:rsidRPr="00A85D16" w:rsidRDefault="00FA2C75" w:rsidP="007B0C10">
      <w:pPr>
        <w:pStyle w:val="FootnoteText"/>
        <w:rPr>
          <w:lang w:val="fr-FR"/>
        </w:rPr>
      </w:pPr>
      <w:r w:rsidRPr="00C477E4">
        <w:rPr>
          <w:rStyle w:val="FootnoteReference"/>
          <w:rFonts w:ascii="Arial" w:hAnsi="Arial" w:cs="Arial"/>
          <w:sz w:val="18"/>
          <w:szCs w:val="18"/>
        </w:rPr>
        <w:footnoteRef/>
      </w:r>
      <w:r w:rsidRPr="00C477E4">
        <w:rPr>
          <w:rFonts w:ascii="Arial" w:hAnsi="Arial" w:cs="Arial"/>
          <w:sz w:val="18"/>
          <w:szCs w:val="18"/>
        </w:rPr>
        <w:t xml:space="preserve">  See OECD (2011) </w:t>
      </w:r>
      <w:r w:rsidRPr="00C477E4">
        <w:rPr>
          <w:rFonts w:ascii="Arial" w:hAnsi="Arial" w:cs="Arial"/>
          <w:i/>
          <w:sz w:val="18"/>
          <w:szCs w:val="18"/>
        </w:rPr>
        <w:t>C</w:t>
      </w:r>
      <w:r>
        <w:rPr>
          <w:rFonts w:ascii="Arial" w:hAnsi="Arial" w:cs="Arial"/>
          <w:i/>
          <w:sz w:val="18"/>
          <w:szCs w:val="18"/>
        </w:rPr>
        <w:t xml:space="preserve">ompetition Assessment Toolkit. </w:t>
      </w:r>
      <w:r w:rsidRPr="00C477E4">
        <w:rPr>
          <w:rFonts w:ascii="Arial" w:hAnsi="Arial" w:cs="Arial"/>
          <w:i/>
          <w:sz w:val="18"/>
          <w:szCs w:val="18"/>
        </w:rPr>
        <w:t>Volume 1: Principles</w:t>
      </w:r>
      <w:r>
        <w:rPr>
          <w:rFonts w:ascii="Arial" w:hAnsi="Arial" w:cs="Arial"/>
          <w:sz w:val="18"/>
          <w:szCs w:val="18"/>
        </w:rPr>
        <w:t xml:space="preserve">, pp 8-9. </w:t>
      </w:r>
      <w:r w:rsidRPr="00C477E4">
        <w:rPr>
          <w:rFonts w:ascii="Arial" w:hAnsi="Arial" w:cs="Arial"/>
          <w:sz w:val="18"/>
          <w:szCs w:val="18"/>
        </w:rPr>
        <w:t>OECD, Paris, 2011.</w:t>
      </w:r>
      <w:r w:rsidRPr="00A85D16">
        <w:rPr>
          <w:lang w:val="fr-FR"/>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AC8" w:rsidRDefault="00D51A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AC8" w:rsidRDefault="00D51A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AC8" w:rsidRDefault="00D51A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2A16"/>
    <w:multiLevelType w:val="multilevel"/>
    <w:tmpl w:val="450E8DE0"/>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1E54CCC"/>
    <w:multiLevelType w:val="hybridMultilevel"/>
    <w:tmpl w:val="E9F27D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42D54CB"/>
    <w:multiLevelType w:val="hybridMultilevel"/>
    <w:tmpl w:val="489271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4D6390E"/>
    <w:multiLevelType w:val="hybridMultilevel"/>
    <w:tmpl w:val="FF9475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539724C"/>
    <w:multiLevelType w:val="multilevel"/>
    <w:tmpl w:val="6D1AE6D6"/>
    <w:lvl w:ilvl="0">
      <w:start w:val="1"/>
      <w:numFmt w:val="decimal"/>
      <w:pStyle w:val="Heading1"/>
      <w:lvlText w:val="%1."/>
      <w:lvlJc w:val="left"/>
      <w:pPr>
        <w:ind w:left="567" w:hanging="567"/>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186B6B4F"/>
    <w:multiLevelType w:val="hybridMultilevel"/>
    <w:tmpl w:val="0FB0477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1A3F2A05"/>
    <w:multiLevelType w:val="hybridMultilevel"/>
    <w:tmpl w:val="79D684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AF149DC"/>
    <w:multiLevelType w:val="hybridMultilevel"/>
    <w:tmpl w:val="9EB62B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C301903"/>
    <w:multiLevelType w:val="hybridMultilevel"/>
    <w:tmpl w:val="6FCC87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E5C6CA3"/>
    <w:multiLevelType w:val="hybridMultilevel"/>
    <w:tmpl w:val="E1D06F2A"/>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0">
    <w:nsid w:val="260D6CC8"/>
    <w:multiLevelType w:val="hybridMultilevel"/>
    <w:tmpl w:val="FA0E9B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77B53A5"/>
    <w:multiLevelType w:val="hybridMultilevel"/>
    <w:tmpl w:val="3EBE75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1942531"/>
    <w:multiLevelType w:val="hybridMultilevel"/>
    <w:tmpl w:val="29CE3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45017DA"/>
    <w:multiLevelType w:val="hybridMultilevel"/>
    <w:tmpl w:val="62B400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DCD28A0"/>
    <w:multiLevelType w:val="multilevel"/>
    <w:tmpl w:val="619E5974"/>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nsid w:val="3F2B0970"/>
    <w:multiLevelType w:val="hybridMultilevel"/>
    <w:tmpl w:val="CA409372"/>
    <w:lvl w:ilvl="0" w:tplc="8C729AE4">
      <w:start w:val="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14F465D"/>
    <w:multiLevelType w:val="hybridMultilevel"/>
    <w:tmpl w:val="280CBB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nsid w:val="427262C1"/>
    <w:multiLevelType w:val="hybridMultilevel"/>
    <w:tmpl w:val="89C0FD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nsid w:val="42F857E1"/>
    <w:multiLevelType w:val="hybridMultilevel"/>
    <w:tmpl w:val="D9425F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6F61FBE"/>
    <w:multiLevelType w:val="hybridMultilevel"/>
    <w:tmpl w:val="E2CA048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0">
    <w:nsid w:val="47455A09"/>
    <w:multiLevelType w:val="hybridMultilevel"/>
    <w:tmpl w:val="ADF87CB4"/>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21">
    <w:nsid w:val="477E660E"/>
    <w:multiLevelType w:val="hybridMultilevel"/>
    <w:tmpl w:val="DECCF27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nsid w:val="4E3459C8"/>
    <w:multiLevelType w:val="hybridMultilevel"/>
    <w:tmpl w:val="2348C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EAB361C"/>
    <w:multiLevelType w:val="hybridMultilevel"/>
    <w:tmpl w:val="2F3672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0A92AD8"/>
    <w:multiLevelType w:val="hybridMultilevel"/>
    <w:tmpl w:val="9B0EEC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nsid w:val="50CF682D"/>
    <w:multiLevelType w:val="multilevel"/>
    <w:tmpl w:val="CB3413F2"/>
    <w:lvl w:ilvl="0">
      <w:start w:val="8"/>
      <w:numFmt w:val="decimal"/>
      <w:lvlText w:val="%1."/>
      <w:lvlJc w:val="left"/>
      <w:pPr>
        <w:ind w:left="360" w:hanging="360"/>
      </w:pPr>
      <w:rPr>
        <w:rFonts w:asciiTheme="minorHAnsi" w:eastAsiaTheme="minorHAnsi" w:hAnsiTheme="minorHAnsi" w:cstheme="minorBidi" w:hint="default"/>
        <w:b/>
        <w:color w:val="auto"/>
        <w:sz w:val="22"/>
        <w:u w:val="single"/>
      </w:rPr>
    </w:lvl>
    <w:lvl w:ilvl="1">
      <w:start w:val="1"/>
      <w:numFmt w:val="decimal"/>
      <w:lvlText w:val="%1.%2."/>
      <w:lvlJc w:val="left"/>
      <w:pPr>
        <w:ind w:left="360" w:hanging="360"/>
      </w:pPr>
      <w:rPr>
        <w:rFonts w:asciiTheme="minorHAnsi" w:eastAsiaTheme="minorHAnsi" w:hAnsiTheme="minorHAnsi" w:cstheme="minorBidi" w:hint="default"/>
        <w:b/>
        <w:color w:val="auto"/>
        <w:sz w:val="22"/>
        <w:u w:val="single"/>
      </w:rPr>
    </w:lvl>
    <w:lvl w:ilvl="2">
      <w:start w:val="1"/>
      <w:numFmt w:val="decimal"/>
      <w:lvlText w:val="%1.%2.%3."/>
      <w:lvlJc w:val="left"/>
      <w:pPr>
        <w:ind w:left="720" w:hanging="720"/>
      </w:pPr>
      <w:rPr>
        <w:rFonts w:asciiTheme="minorHAnsi" w:eastAsiaTheme="minorHAnsi" w:hAnsiTheme="minorHAnsi" w:cstheme="minorBidi" w:hint="default"/>
        <w:b/>
        <w:color w:val="auto"/>
        <w:sz w:val="22"/>
        <w:u w:val="single"/>
      </w:rPr>
    </w:lvl>
    <w:lvl w:ilvl="3">
      <w:start w:val="1"/>
      <w:numFmt w:val="decimal"/>
      <w:lvlText w:val="%1.%2.%3.%4."/>
      <w:lvlJc w:val="left"/>
      <w:pPr>
        <w:ind w:left="720" w:hanging="720"/>
      </w:pPr>
      <w:rPr>
        <w:rFonts w:asciiTheme="minorHAnsi" w:eastAsiaTheme="minorHAnsi" w:hAnsiTheme="minorHAnsi" w:cstheme="minorBidi" w:hint="default"/>
        <w:b/>
        <w:color w:val="auto"/>
        <w:sz w:val="22"/>
        <w:u w:val="single"/>
      </w:rPr>
    </w:lvl>
    <w:lvl w:ilvl="4">
      <w:start w:val="1"/>
      <w:numFmt w:val="decimal"/>
      <w:lvlText w:val="%1.%2.%3.%4.%5."/>
      <w:lvlJc w:val="left"/>
      <w:pPr>
        <w:ind w:left="1080" w:hanging="1080"/>
      </w:pPr>
      <w:rPr>
        <w:rFonts w:asciiTheme="minorHAnsi" w:eastAsiaTheme="minorHAnsi" w:hAnsiTheme="minorHAnsi" w:cstheme="minorBidi" w:hint="default"/>
        <w:b/>
        <w:color w:val="auto"/>
        <w:sz w:val="22"/>
        <w:u w:val="single"/>
      </w:rPr>
    </w:lvl>
    <w:lvl w:ilvl="5">
      <w:start w:val="1"/>
      <w:numFmt w:val="decimal"/>
      <w:lvlText w:val="%1.%2.%3.%4.%5.%6."/>
      <w:lvlJc w:val="left"/>
      <w:pPr>
        <w:ind w:left="1080" w:hanging="1080"/>
      </w:pPr>
      <w:rPr>
        <w:rFonts w:asciiTheme="minorHAnsi" w:eastAsiaTheme="minorHAnsi" w:hAnsiTheme="minorHAnsi" w:cstheme="minorBidi" w:hint="default"/>
        <w:b/>
        <w:color w:val="auto"/>
        <w:sz w:val="22"/>
        <w:u w:val="single"/>
      </w:rPr>
    </w:lvl>
    <w:lvl w:ilvl="6">
      <w:start w:val="1"/>
      <w:numFmt w:val="decimal"/>
      <w:lvlText w:val="%1.%2.%3.%4.%5.%6.%7."/>
      <w:lvlJc w:val="left"/>
      <w:pPr>
        <w:ind w:left="1440" w:hanging="1440"/>
      </w:pPr>
      <w:rPr>
        <w:rFonts w:asciiTheme="minorHAnsi" w:eastAsiaTheme="minorHAnsi" w:hAnsiTheme="minorHAnsi" w:cstheme="minorBidi" w:hint="default"/>
        <w:b/>
        <w:color w:val="auto"/>
        <w:sz w:val="22"/>
        <w:u w:val="single"/>
      </w:rPr>
    </w:lvl>
    <w:lvl w:ilvl="7">
      <w:start w:val="1"/>
      <w:numFmt w:val="decimal"/>
      <w:lvlText w:val="%1.%2.%3.%4.%5.%6.%7.%8."/>
      <w:lvlJc w:val="left"/>
      <w:pPr>
        <w:ind w:left="1440" w:hanging="1440"/>
      </w:pPr>
      <w:rPr>
        <w:rFonts w:asciiTheme="minorHAnsi" w:eastAsiaTheme="minorHAnsi" w:hAnsiTheme="minorHAnsi" w:cstheme="minorBidi" w:hint="default"/>
        <w:b/>
        <w:color w:val="auto"/>
        <w:sz w:val="22"/>
        <w:u w:val="single"/>
      </w:rPr>
    </w:lvl>
    <w:lvl w:ilvl="8">
      <w:start w:val="1"/>
      <w:numFmt w:val="decimal"/>
      <w:lvlText w:val="%1.%2.%3.%4.%5.%6.%7.%8.%9."/>
      <w:lvlJc w:val="left"/>
      <w:pPr>
        <w:ind w:left="1800" w:hanging="1800"/>
      </w:pPr>
      <w:rPr>
        <w:rFonts w:asciiTheme="minorHAnsi" w:eastAsiaTheme="minorHAnsi" w:hAnsiTheme="minorHAnsi" w:cstheme="minorBidi" w:hint="default"/>
        <w:b/>
        <w:color w:val="auto"/>
        <w:sz w:val="22"/>
        <w:u w:val="single"/>
      </w:rPr>
    </w:lvl>
  </w:abstractNum>
  <w:abstractNum w:abstractNumId="26">
    <w:nsid w:val="51F45466"/>
    <w:multiLevelType w:val="hybridMultilevel"/>
    <w:tmpl w:val="2CDAF5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7">
    <w:nsid w:val="544C2BA9"/>
    <w:multiLevelType w:val="hybridMultilevel"/>
    <w:tmpl w:val="6E02AE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4644124"/>
    <w:multiLevelType w:val="hybridMultilevel"/>
    <w:tmpl w:val="B9B4ACA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9">
    <w:nsid w:val="54BC06E7"/>
    <w:multiLevelType w:val="hybridMultilevel"/>
    <w:tmpl w:val="E19825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4E93CB4"/>
    <w:multiLevelType w:val="hybridMultilevel"/>
    <w:tmpl w:val="03ECC2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nsid w:val="5DCD526E"/>
    <w:multiLevelType w:val="hybridMultilevel"/>
    <w:tmpl w:val="08F607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nsid w:val="5FA33ACB"/>
    <w:multiLevelType w:val="hybridMultilevel"/>
    <w:tmpl w:val="2116C30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nsid w:val="63893C1E"/>
    <w:multiLevelType w:val="hybridMultilevel"/>
    <w:tmpl w:val="2354AA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7BC7430"/>
    <w:multiLevelType w:val="hybridMultilevel"/>
    <w:tmpl w:val="29DC65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2BF57D9"/>
    <w:multiLevelType w:val="hybridMultilevel"/>
    <w:tmpl w:val="587298D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nsid w:val="739C6D2E"/>
    <w:multiLevelType w:val="multilevel"/>
    <w:tmpl w:val="73B6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35425E"/>
    <w:multiLevelType w:val="hybridMultilevel"/>
    <w:tmpl w:val="9C469A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nsid w:val="79FB7135"/>
    <w:multiLevelType w:val="hybridMultilevel"/>
    <w:tmpl w:val="787ED5F6"/>
    <w:lvl w:ilvl="0" w:tplc="04090001">
      <w:start w:val="1"/>
      <w:numFmt w:val="bullet"/>
      <w:lvlText w:val=""/>
      <w:lvlJc w:val="left"/>
      <w:pPr>
        <w:tabs>
          <w:tab w:val="num" w:pos="1560"/>
        </w:tabs>
        <w:ind w:left="1560" w:hanging="360"/>
      </w:pPr>
      <w:rPr>
        <w:rFonts w:ascii="Symbol" w:hAnsi="Symbol" w:hint="default"/>
      </w:rPr>
    </w:lvl>
    <w:lvl w:ilvl="1" w:tplc="04090003" w:tentative="1">
      <w:start w:val="1"/>
      <w:numFmt w:val="bullet"/>
      <w:lvlText w:val="o"/>
      <w:lvlJc w:val="left"/>
      <w:pPr>
        <w:tabs>
          <w:tab w:val="num" w:pos="2280"/>
        </w:tabs>
        <w:ind w:left="2280" w:hanging="360"/>
      </w:pPr>
      <w:rPr>
        <w:rFonts w:ascii="Courier New" w:hAnsi="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39">
    <w:nsid w:val="7AD6368E"/>
    <w:multiLevelType w:val="hybridMultilevel"/>
    <w:tmpl w:val="31249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D8059D3"/>
    <w:multiLevelType w:val="hybridMultilevel"/>
    <w:tmpl w:val="77160EB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36"/>
  </w:num>
  <w:num w:numId="2">
    <w:abstractNumId w:val="4"/>
  </w:num>
  <w:num w:numId="3">
    <w:abstractNumId w:val="19"/>
  </w:num>
  <w:num w:numId="4">
    <w:abstractNumId w:val="26"/>
  </w:num>
  <w:num w:numId="5">
    <w:abstractNumId w:val="3"/>
  </w:num>
  <w:num w:numId="6">
    <w:abstractNumId w:val="0"/>
  </w:num>
  <w:num w:numId="7">
    <w:abstractNumId w:val="29"/>
  </w:num>
  <w:num w:numId="8">
    <w:abstractNumId w:val="39"/>
  </w:num>
  <w:num w:numId="9">
    <w:abstractNumId w:val="23"/>
  </w:num>
  <w:num w:numId="10">
    <w:abstractNumId w:val="20"/>
  </w:num>
  <w:num w:numId="11">
    <w:abstractNumId w:val="38"/>
  </w:num>
  <w:num w:numId="12">
    <w:abstractNumId w:val="2"/>
  </w:num>
  <w:num w:numId="13">
    <w:abstractNumId w:val="12"/>
  </w:num>
  <w:num w:numId="14">
    <w:abstractNumId w:val="22"/>
  </w:num>
  <w:num w:numId="15">
    <w:abstractNumId w:val="7"/>
  </w:num>
  <w:num w:numId="16">
    <w:abstractNumId w:val="15"/>
  </w:num>
  <w:num w:numId="17">
    <w:abstractNumId w:val="13"/>
  </w:num>
  <w:num w:numId="18">
    <w:abstractNumId w:val="18"/>
  </w:num>
  <w:num w:numId="19">
    <w:abstractNumId w:val="11"/>
  </w:num>
  <w:num w:numId="20">
    <w:abstractNumId w:val="34"/>
  </w:num>
  <w:num w:numId="21">
    <w:abstractNumId w:val="27"/>
  </w:num>
  <w:num w:numId="22">
    <w:abstractNumId w:val="32"/>
  </w:num>
  <w:num w:numId="23">
    <w:abstractNumId w:val="17"/>
  </w:num>
  <w:num w:numId="24">
    <w:abstractNumId w:val="16"/>
  </w:num>
  <w:num w:numId="25">
    <w:abstractNumId w:val="37"/>
  </w:num>
  <w:num w:numId="26">
    <w:abstractNumId w:val="24"/>
  </w:num>
  <w:num w:numId="27">
    <w:abstractNumId w:val="33"/>
  </w:num>
  <w:num w:numId="28">
    <w:abstractNumId w:val="1"/>
  </w:num>
  <w:num w:numId="29">
    <w:abstractNumId w:val="10"/>
  </w:num>
  <w:num w:numId="30">
    <w:abstractNumId w:val="8"/>
  </w:num>
  <w:num w:numId="31">
    <w:abstractNumId w:val="6"/>
  </w:num>
  <w:num w:numId="32">
    <w:abstractNumId w:val="25"/>
  </w:num>
  <w:num w:numId="33">
    <w:abstractNumId w:val="14"/>
  </w:num>
  <w:num w:numId="34">
    <w:abstractNumId w:val="35"/>
  </w:num>
  <w:num w:numId="35">
    <w:abstractNumId w:val="9"/>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num>
  <w:num w:numId="38">
    <w:abstractNumId w:val="21"/>
  </w:num>
  <w:num w:numId="39">
    <w:abstractNumId w:val="40"/>
  </w:num>
  <w:num w:numId="40">
    <w:abstractNumId w:val="5"/>
  </w:num>
  <w:num w:numId="41">
    <w:abstractNumId w:val="30"/>
  </w:num>
  <w:num w:numId="42">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x Deighton-Smith">
    <w15:presenceInfo w15:providerId="None" w15:userId="Rex Deighton-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0"/>
  <w:documentProtection w:edit="readOnly" w:enforcement="1" w:cryptProviderType="rsaFull" w:cryptAlgorithmClass="hash" w:cryptAlgorithmType="typeAny" w:cryptAlgorithmSid="4" w:cryptSpinCount="100000" w:hash="RIkmV8JLJ3pFUCkoKJfU4ocYw8c=" w:salt="/QfaXa6hoiaEgy7UwHOxcw=="/>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ADE"/>
    <w:rsid w:val="0000060D"/>
    <w:rsid w:val="00002693"/>
    <w:rsid w:val="000056D1"/>
    <w:rsid w:val="00011859"/>
    <w:rsid w:val="00012D1D"/>
    <w:rsid w:val="00013409"/>
    <w:rsid w:val="00023807"/>
    <w:rsid w:val="00025CE6"/>
    <w:rsid w:val="00026332"/>
    <w:rsid w:val="00026691"/>
    <w:rsid w:val="000351C3"/>
    <w:rsid w:val="000372E0"/>
    <w:rsid w:val="00037A89"/>
    <w:rsid w:val="00041689"/>
    <w:rsid w:val="00043EF3"/>
    <w:rsid w:val="000510D4"/>
    <w:rsid w:val="0005227D"/>
    <w:rsid w:val="00054C02"/>
    <w:rsid w:val="00057B93"/>
    <w:rsid w:val="000669E0"/>
    <w:rsid w:val="000672A0"/>
    <w:rsid w:val="00070B25"/>
    <w:rsid w:val="00070DA4"/>
    <w:rsid w:val="000738F7"/>
    <w:rsid w:val="0007788D"/>
    <w:rsid w:val="00085209"/>
    <w:rsid w:val="000A4CF7"/>
    <w:rsid w:val="000A5AFB"/>
    <w:rsid w:val="000A76A4"/>
    <w:rsid w:val="000B3278"/>
    <w:rsid w:val="000B49B2"/>
    <w:rsid w:val="000B627F"/>
    <w:rsid w:val="000D182E"/>
    <w:rsid w:val="000D2311"/>
    <w:rsid w:val="000D32E3"/>
    <w:rsid w:val="000D5065"/>
    <w:rsid w:val="000E0A15"/>
    <w:rsid w:val="000E303E"/>
    <w:rsid w:val="000E3502"/>
    <w:rsid w:val="000E3EC7"/>
    <w:rsid w:val="000E4979"/>
    <w:rsid w:val="000E69E1"/>
    <w:rsid w:val="000F12BE"/>
    <w:rsid w:val="000F4607"/>
    <w:rsid w:val="00112312"/>
    <w:rsid w:val="001136ED"/>
    <w:rsid w:val="001137AC"/>
    <w:rsid w:val="001149D8"/>
    <w:rsid w:val="001174BA"/>
    <w:rsid w:val="00117FA8"/>
    <w:rsid w:val="00122D48"/>
    <w:rsid w:val="00135371"/>
    <w:rsid w:val="00140213"/>
    <w:rsid w:val="001508B7"/>
    <w:rsid w:val="001524D3"/>
    <w:rsid w:val="00153EFE"/>
    <w:rsid w:val="001558C2"/>
    <w:rsid w:val="00162762"/>
    <w:rsid w:val="00167873"/>
    <w:rsid w:val="001703D1"/>
    <w:rsid w:val="0017593D"/>
    <w:rsid w:val="001841FE"/>
    <w:rsid w:val="00193600"/>
    <w:rsid w:val="001A070F"/>
    <w:rsid w:val="001A080D"/>
    <w:rsid w:val="001A2CED"/>
    <w:rsid w:val="001A3516"/>
    <w:rsid w:val="001A6A12"/>
    <w:rsid w:val="001B0D1B"/>
    <w:rsid w:val="001B3F09"/>
    <w:rsid w:val="001B61F7"/>
    <w:rsid w:val="001C07A4"/>
    <w:rsid w:val="001C6566"/>
    <w:rsid w:val="001C726D"/>
    <w:rsid w:val="001C73F1"/>
    <w:rsid w:val="001D2383"/>
    <w:rsid w:val="001D33AD"/>
    <w:rsid w:val="001D464D"/>
    <w:rsid w:val="001D5C15"/>
    <w:rsid w:val="001D7357"/>
    <w:rsid w:val="001E48C0"/>
    <w:rsid w:val="001E6033"/>
    <w:rsid w:val="001E7008"/>
    <w:rsid w:val="001F1618"/>
    <w:rsid w:val="001F1EE6"/>
    <w:rsid w:val="001F4B20"/>
    <w:rsid w:val="001F5559"/>
    <w:rsid w:val="00213670"/>
    <w:rsid w:val="002150C0"/>
    <w:rsid w:val="00216540"/>
    <w:rsid w:val="002179B3"/>
    <w:rsid w:val="00220A0F"/>
    <w:rsid w:val="00224BAC"/>
    <w:rsid w:val="0022645C"/>
    <w:rsid w:val="00231E41"/>
    <w:rsid w:val="0023204F"/>
    <w:rsid w:val="00235038"/>
    <w:rsid w:val="00235D93"/>
    <w:rsid w:val="0024386A"/>
    <w:rsid w:val="00244DC0"/>
    <w:rsid w:val="00245D1C"/>
    <w:rsid w:val="002547ED"/>
    <w:rsid w:val="00255EDC"/>
    <w:rsid w:val="00256763"/>
    <w:rsid w:val="0026607A"/>
    <w:rsid w:val="0026792B"/>
    <w:rsid w:val="00267FCC"/>
    <w:rsid w:val="0029054D"/>
    <w:rsid w:val="00291C69"/>
    <w:rsid w:val="00293F3A"/>
    <w:rsid w:val="00295006"/>
    <w:rsid w:val="002974C0"/>
    <w:rsid w:val="002B10DF"/>
    <w:rsid w:val="002B3960"/>
    <w:rsid w:val="002B3F40"/>
    <w:rsid w:val="002D573C"/>
    <w:rsid w:val="002D6644"/>
    <w:rsid w:val="002D6CC2"/>
    <w:rsid w:val="002E2148"/>
    <w:rsid w:val="002E2B19"/>
    <w:rsid w:val="002E7BBE"/>
    <w:rsid w:val="002F1AA0"/>
    <w:rsid w:val="002F3443"/>
    <w:rsid w:val="002F703C"/>
    <w:rsid w:val="002F7EA6"/>
    <w:rsid w:val="00317F6B"/>
    <w:rsid w:val="00333374"/>
    <w:rsid w:val="00335DE8"/>
    <w:rsid w:val="00342235"/>
    <w:rsid w:val="0034689C"/>
    <w:rsid w:val="00350954"/>
    <w:rsid w:val="003514E9"/>
    <w:rsid w:val="00353BCC"/>
    <w:rsid w:val="00361C87"/>
    <w:rsid w:val="00361D4F"/>
    <w:rsid w:val="003621FF"/>
    <w:rsid w:val="00383F52"/>
    <w:rsid w:val="00384422"/>
    <w:rsid w:val="00386315"/>
    <w:rsid w:val="00394D4D"/>
    <w:rsid w:val="003957B5"/>
    <w:rsid w:val="00397842"/>
    <w:rsid w:val="003A4CCD"/>
    <w:rsid w:val="003A78C9"/>
    <w:rsid w:val="003A7D82"/>
    <w:rsid w:val="003C2840"/>
    <w:rsid w:val="003D2439"/>
    <w:rsid w:val="003E2AC4"/>
    <w:rsid w:val="003E36BB"/>
    <w:rsid w:val="00413C89"/>
    <w:rsid w:val="00434092"/>
    <w:rsid w:val="00445EFA"/>
    <w:rsid w:val="00451657"/>
    <w:rsid w:val="00452FA1"/>
    <w:rsid w:val="00455176"/>
    <w:rsid w:val="004634B4"/>
    <w:rsid w:val="00467BE8"/>
    <w:rsid w:val="00476353"/>
    <w:rsid w:val="004767BF"/>
    <w:rsid w:val="00486FB9"/>
    <w:rsid w:val="004A2911"/>
    <w:rsid w:val="004A35C3"/>
    <w:rsid w:val="004B3CA2"/>
    <w:rsid w:val="004B44C3"/>
    <w:rsid w:val="004C2FFA"/>
    <w:rsid w:val="004C722C"/>
    <w:rsid w:val="004D197F"/>
    <w:rsid w:val="004D251D"/>
    <w:rsid w:val="004D2F04"/>
    <w:rsid w:val="004D53CE"/>
    <w:rsid w:val="004E25D0"/>
    <w:rsid w:val="004E348B"/>
    <w:rsid w:val="004E50A1"/>
    <w:rsid w:val="004E719B"/>
    <w:rsid w:val="004F4FC3"/>
    <w:rsid w:val="00514142"/>
    <w:rsid w:val="00517FCB"/>
    <w:rsid w:val="00525E32"/>
    <w:rsid w:val="0052669A"/>
    <w:rsid w:val="00534633"/>
    <w:rsid w:val="00537017"/>
    <w:rsid w:val="0054728D"/>
    <w:rsid w:val="0055564C"/>
    <w:rsid w:val="00557ED5"/>
    <w:rsid w:val="00560BE4"/>
    <w:rsid w:val="00566188"/>
    <w:rsid w:val="005706B2"/>
    <w:rsid w:val="00576657"/>
    <w:rsid w:val="0057772D"/>
    <w:rsid w:val="00577A28"/>
    <w:rsid w:val="0058030C"/>
    <w:rsid w:val="005846CF"/>
    <w:rsid w:val="00587659"/>
    <w:rsid w:val="0059330A"/>
    <w:rsid w:val="00594EF6"/>
    <w:rsid w:val="00595602"/>
    <w:rsid w:val="005A2260"/>
    <w:rsid w:val="005A5C2B"/>
    <w:rsid w:val="005C00FF"/>
    <w:rsid w:val="005C1E98"/>
    <w:rsid w:val="005C49FB"/>
    <w:rsid w:val="005D029C"/>
    <w:rsid w:val="005E4102"/>
    <w:rsid w:val="005F41B5"/>
    <w:rsid w:val="005F5051"/>
    <w:rsid w:val="005F5FBD"/>
    <w:rsid w:val="005F74D6"/>
    <w:rsid w:val="006075A5"/>
    <w:rsid w:val="006132FD"/>
    <w:rsid w:val="00613B34"/>
    <w:rsid w:val="00616AF1"/>
    <w:rsid w:val="00627690"/>
    <w:rsid w:val="00632838"/>
    <w:rsid w:val="00632E4D"/>
    <w:rsid w:val="006378CF"/>
    <w:rsid w:val="00640A87"/>
    <w:rsid w:val="00640C59"/>
    <w:rsid w:val="0065401D"/>
    <w:rsid w:val="0065752C"/>
    <w:rsid w:val="00657A2B"/>
    <w:rsid w:val="00661335"/>
    <w:rsid w:val="00661765"/>
    <w:rsid w:val="00666F74"/>
    <w:rsid w:val="006677DB"/>
    <w:rsid w:val="006727BC"/>
    <w:rsid w:val="0067736C"/>
    <w:rsid w:val="006801BF"/>
    <w:rsid w:val="00680A1A"/>
    <w:rsid w:val="00682F0A"/>
    <w:rsid w:val="006925B1"/>
    <w:rsid w:val="0069650A"/>
    <w:rsid w:val="006A1967"/>
    <w:rsid w:val="006A4406"/>
    <w:rsid w:val="006A5D21"/>
    <w:rsid w:val="006A6360"/>
    <w:rsid w:val="006A6788"/>
    <w:rsid w:val="006A7A0B"/>
    <w:rsid w:val="006B0FCF"/>
    <w:rsid w:val="006B1261"/>
    <w:rsid w:val="006B2E34"/>
    <w:rsid w:val="006B4863"/>
    <w:rsid w:val="006C1361"/>
    <w:rsid w:val="006C1AF5"/>
    <w:rsid w:val="006C5872"/>
    <w:rsid w:val="006C6347"/>
    <w:rsid w:val="006D2111"/>
    <w:rsid w:val="006D2F4C"/>
    <w:rsid w:val="006D3A19"/>
    <w:rsid w:val="006D5391"/>
    <w:rsid w:val="006D599E"/>
    <w:rsid w:val="006D6929"/>
    <w:rsid w:val="006E1865"/>
    <w:rsid w:val="006E2019"/>
    <w:rsid w:val="006E3FE3"/>
    <w:rsid w:val="006E45EF"/>
    <w:rsid w:val="006E52F8"/>
    <w:rsid w:val="006E76F1"/>
    <w:rsid w:val="006F07A1"/>
    <w:rsid w:val="006F5D62"/>
    <w:rsid w:val="00701131"/>
    <w:rsid w:val="00702C63"/>
    <w:rsid w:val="007166A2"/>
    <w:rsid w:val="00723C40"/>
    <w:rsid w:val="00723D21"/>
    <w:rsid w:val="00725075"/>
    <w:rsid w:val="00725207"/>
    <w:rsid w:val="0072666E"/>
    <w:rsid w:val="00727A8E"/>
    <w:rsid w:val="00730780"/>
    <w:rsid w:val="00730872"/>
    <w:rsid w:val="00732F34"/>
    <w:rsid w:val="00733DEB"/>
    <w:rsid w:val="007343BC"/>
    <w:rsid w:val="00740FC8"/>
    <w:rsid w:val="00744C61"/>
    <w:rsid w:val="007567A1"/>
    <w:rsid w:val="007573C0"/>
    <w:rsid w:val="0076363E"/>
    <w:rsid w:val="007647C6"/>
    <w:rsid w:val="00770BCA"/>
    <w:rsid w:val="00770D01"/>
    <w:rsid w:val="00772F9F"/>
    <w:rsid w:val="0077430B"/>
    <w:rsid w:val="00775FBB"/>
    <w:rsid w:val="00776B65"/>
    <w:rsid w:val="007851C3"/>
    <w:rsid w:val="00787467"/>
    <w:rsid w:val="00790509"/>
    <w:rsid w:val="007906BB"/>
    <w:rsid w:val="007944F4"/>
    <w:rsid w:val="007A51BB"/>
    <w:rsid w:val="007A5704"/>
    <w:rsid w:val="007B0C10"/>
    <w:rsid w:val="007B228D"/>
    <w:rsid w:val="007B5016"/>
    <w:rsid w:val="007B595C"/>
    <w:rsid w:val="007B6A7D"/>
    <w:rsid w:val="007C501C"/>
    <w:rsid w:val="007C7FE2"/>
    <w:rsid w:val="007D32A8"/>
    <w:rsid w:val="007D48F5"/>
    <w:rsid w:val="007D49A5"/>
    <w:rsid w:val="007E1BD2"/>
    <w:rsid w:val="007F2CB9"/>
    <w:rsid w:val="007F48EC"/>
    <w:rsid w:val="00804420"/>
    <w:rsid w:val="00811AEE"/>
    <w:rsid w:val="008133FC"/>
    <w:rsid w:val="00821883"/>
    <w:rsid w:val="00824A3B"/>
    <w:rsid w:val="00831EE2"/>
    <w:rsid w:val="008335CF"/>
    <w:rsid w:val="00834707"/>
    <w:rsid w:val="00836041"/>
    <w:rsid w:val="008431F4"/>
    <w:rsid w:val="008478BF"/>
    <w:rsid w:val="00851F2E"/>
    <w:rsid w:val="008652B8"/>
    <w:rsid w:val="008658D1"/>
    <w:rsid w:val="00867B1B"/>
    <w:rsid w:val="00871C9B"/>
    <w:rsid w:val="00872277"/>
    <w:rsid w:val="00875394"/>
    <w:rsid w:val="00880B2C"/>
    <w:rsid w:val="00880E36"/>
    <w:rsid w:val="008812C6"/>
    <w:rsid w:val="00882FA9"/>
    <w:rsid w:val="008876E5"/>
    <w:rsid w:val="00895028"/>
    <w:rsid w:val="00897DDA"/>
    <w:rsid w:val="008A1021"/>
    <w:rsid w:val="008A5520"/>
    <w:rsid w:val="008A5A0B"/>
    <w:rsid w:val="008A5C48"/>
    <w:rsid w:val="008B2F1F"/>
    <w:rsid w:val="008B52A9"/>
    <w:rsid w:val="008C4F65"/>
    <w:rsid w:val="008C552B"/>
    <w:rsid w:val="008D04BA"/>
    <w:rsid w:val="008D1118"/>
    <w:rsid w:val="008E452E"/>
    <w:rsid w:val="008E605A"/>
    <w:rsid w:val="008F00DB"/>
    <w:rsid w:val="008F3DF2"/>
    <w:rsid w:val="008F59DB"/>
    <w:rsid w:val="00901858"/>
    <w:rsid w:val="0090494A"/>
    <w:rsid w:val="00911633"/>
    <w:rsid w:val="00923294"/>
    <w:rsid w:val="00924F70"/>
    <w:rsid w:val="0092571F"/>
    <w:rsid w:val="0093016A"/>
    <w:rsid w:val="0093310F"/>
    <w:rsid w:val="00936D3A"/>
    <w:rsid w:val="00937579"/>
    <w:rsid w:val="009429F9"/>
    <w:rsid w:val="00950A39"/>
    <w:rsid w:val="00960CC5"/>
    <w:rsid w:val="00962810"/>
    <w:rsid w:val="00962E51"/>
    <w:rsid w:val="00965027"/>
    <w:rsid w:val="00970B8B"/>
    <w:rsid w:val="009738C5"/>
    <w:rsid w:val="0097426E"/>
    <w:rsid w:val="00976835"/>
    <w:rsid w:val="00984A1A"/>
    <w:rsid w:val="00992C0F"/>
    <w:rsid w:val="009947A6"/>
    <w:rsid w:val="009A19C1"/>
    <w:rsid w:val="009A6560"/>
    <w:rsid w:val="009B04B8"/>
    <w:rsid w:val="009B590C"/>
    <w:rsid w:val="009B6608"/>
    <w:rsid w:val="009B6832"/>
    <w:rsid w:val="009C0CD9"/>
    <w:rsid w:val="009C1448"/>
    <w:rsid w:val="009C332D"/>
    <w:rsid w:val="009D046E"/>
    <w:rsid w:val="009D07EA"/>
    <w:rsid w:val="009D3DA8"/>
    <w:rsid w:val="009D7295"/>
    <w:rsid w:val="009E5574"/>
    <w:rsid w:val="009E6247"/>
    <w:rsid w:val="009E63BE"/>
    <w:rsid w:val="009F0197"/>
    <w:rsid w:val="009F2BB3"/>
    <w:rsid w:val="009F4596"/>
    <w:rsid w:val="00A118DB"/>
    <w:rsid w:val="00A31332"/>
    <w:rsid w:val="00A321F8"/>
    <w:rsid w:val="00A36886"/>
    <w:rsid w:val="00A36D71"/>
    <w:rsid w:val="00A4284F"/>
    <w:rsid w:val="00A449AB"/>
    <w:rsid w:val="00A566AB"/>
    <w:rsid w:val="00A6207C"/>
    <w:rsid w:val="00A67AE2"/>
    <w:rsid w:val="00A77CF5"/>
    <w:rsid w:val="00A81D53"/>
    <w:rsid w:val="00A87983"/>
    <w:rsid w:val="00A92A21"/>
    <w:rsid w:val="00A9665B"/>
    <w:rsid w:val="00A97399"/>
    <w:rsid w:val="00AA0F82"/>
    <w:rsid w:val="00AA13BF"/>
    <w:rsid w:val="00AB069D"/>
    <w:rsid w:val="00AC0E05"/>
    <w:rsid w:val="00AC6789"/>
    <w:rsid w:val="00AD1DDF"/>
    <w:rsid w:val="00AD5906"/>
    <w:rsid w:val="00AD61CF"/>
    <w:rsid w:val="00AD771A"/>
    <w:rsid w:val="00AF186F"/>
    <w:rsid w:val="00AF7DBE"/>
    <w:rsid w:val="00B0450D"/>
    <w:rsid w:val="00B16838"/>
    <w:rsid w:val="00B211EB"/>
    <w:rsid w:val="00B24670"/>
    <w:rsid w:val="00B2479C"/>
    <w:rsid w:val="00B25E5B"/>
    <w:rsid w:val="00B27A94"/>
    <w:rsid w:val="00B27EDC"/>
    <w:rsid w:val="00B30312"/>
    <w:rsid w:val="00B32DA1"/>
    <w:rsid w:val="00B3476B"/>
    <w:rsid w:val="00B34ABB"/>
    <w:rsid w:val="00B4170F"/>
    <w:rsid w:val="00B45819"/>
    <w:rsid w:val="00B47A22"/>
    <w:rsid w:val="00B56AA5"/>
    <w:rsid w:val="00B603A9"/>
    <w:rsid w:val="00B713D1"/>
    <w:rsid w:val="00B87AD4"/>
    <w:rsid w:val="00B902CF"/>
    <w:rsid w:val="00B91D57"/>
    <w:rsid w:val="00B9681C"/>
    <w:rsid w:val="00BA4FA5"/>
    <w:rsid w:val="00BA70FB"/>
    <w:rsid w:val="00BB0770"/>
    <w:rsid w:val="00BB2916"/>
    <w:rsid w:val="00BB2E5A"/>
    <w:rsid w:val="00BB5D16"/>
    <w:rsid w:val="00BB7551"/>
    <w:rsid w:val="00BC09FD"/>
    <w:rsid w:val="00BC44F2"/>
    <w:rsid w:val="00BC6957"/>
    <w:rsid w:val="00BD08F4"/>
    <w:rsid w:val="00BD269C"/>
    <w:rsid w:val="00BD2E36"/>
    <w:rsid w:val="00BD5244"/>
    <w:rsid w:val="00BF0380"/>
    <w:rsid w:val="00C028E0"/>
    <w:rsid w:val="00C02C20"/>
    <w:rsid w:val="00C059A0"/>
    <w:rsid w:val="00C11A36"/>
    <w:rsid w:val="00C42299"/>
    <w:rsid w:val="00C449AD"/>
    <w:rsid w:val="00C45B00"/>
    <w:rsid w:val="00C477E4"/>
    <w:rsid w:val="00C51629"/>
    <w:rsid w:val="00C524AA"/>
    <w:rsid w:val="00C556B8"/>
    <w:rsid w:val="00C62F97"/>
    <w:rsid w:val="00C64456"/>
    <w:rsid w:val="00C65BF0"/>
    <w:rsid w:val="00C709EC"/>
    <w:rsid w:val="00C73C4B"/>
    <w:rsid w:val="00C83B5A"/>
    <w:rsid w:val="00C86397"/>
    <w:rsid w:val="00C872C0"/>
    <w:rsid w:val="00C9023F"/>
    <w:rsid w:val="00C91AC3"/>
    <w:rsid w:val="00C925E2"/>
    <w:rsid w:val="00C92BEE"/>
    <w:rsid w:val="00CA0926"/>
    <w:rsid w:val="00CA09BF"/>
    <w:rsid w:val="00CA4B9C"/>
    <w:rsid w:val="00CA5787"/>
    <w:rsid w:val="00CA5EFF"/>
    <w:rsid w:val="00CB0EF4"/>
    <w:rsid w:val="00CB3A30"/>
    <w:rsid w:val="00CB3E13"/>
    <w:rsid w:val="00CB5AD6"/>
    <w:rsid w:val="00CC58A2"/>
    <w:rsid w:val="00CD18EB"/>
    <w:rsid w:val="00CD2E06"/>
    <w:rsid w:val="00CE0DB5"/>
    <w:rsid w:val="00CE3321"/>
    <w:rsid w:val="00CE4192"/>
    <w:rsid w:val="00CE6427"/>
    <w:rsid w:val="00CE7C14"/>
    <w:rsid w:val="00CF1F26"/>
    <w:rsid w:val="00CF44B0"/>
    <w:rsid w:val="00CF47C5"/>
    <w:rsid w:val="00D165C9"/>
    <w:rsid w:val="00D219D5"/>
    <w:rsid w:val="00D30BF8"/>
    <w:rsid w:val="00D41655"/>
    <w:rsid w:val="00D41723"/>
    <w:rsid w:val="00D42220"/>
    <w:rsid w:val="00D47ADE"/>
    <w:rsid w:val="00D51AC8"/>
    <w:rsid w:val="00D5570D"/>
    <w:rsid w:val="00D63E56"/>
    <w:rsid w:val="00D703A1"/>
    <w:rsid w:val="00D721C6"/>
    <w:rsid w:val="00D77C10"/>
    <w:rsid w:val="00D804CD"/>
    <w:rsid w:val="00D83F2B"/>
    <w:rsid w:val="00D85335"/>
    <w:rsid w:val="00D85F7D"/>
    <w:rsid w:val="00D93D97"/>
    <w:rsid w:val="00D974FE"/>
    <w:rsid w:val="00DA29F1"/>
    <w:rsid w:val="00DB789A"/>
    <w:rsid w:val="00DC1041"/>
    <w:rsid w:val="00DC20C1"/>
    <w:rsid w:val="00DC4ACE"/>
    <w:rsid w:val="00DC5C86"/>
    <w:rsid w:val="00DD0BA0"/>
    <w:rsid w:val="00DD5E5B"/>
    <w:rsid w:val="00DD659E"/>
    <w:rsid w:val="00DE222F"/>
    <w:rsid w:val="00DE466A"/>
    <w:rsid w:val="00DE5C8C"/>
    <w:rsid w:val="00DF2B12"/>
    <w:rsid w:val="00DF2B4E"/>
    <w:rsid w:val="00DF55AF"/>
    <w:rsid w:val="00E01169"/>
    <w:rsid w:val="00E07CE1"/>
    <w:rsid w:val="00E24D27"/>
    <w:rsid w:val="00E2511A"/>
    <w:rsid w:val="00E30E3F"/>
    <w:rsid w:val="00E30FAF"/>
    <w:rsid w:val="00E32C1D"/>
    <w:rsid w:val="00E32FDD"/>
    <w:rsid w:val="00E37E16"/>
    <w:rsid w:val="00E43DEF"/>
    <w:rsid w:val="00E461E0"/>
    <w:rsid w:val="00E4762B"/>
    <w:rsid w:val="00E47C1F"/>
    <w:rsid w:val="00E507F0"/>
    <w:rsid w:val="00E5301B"/>
    <w:rsid w:val="00E6194B"/>
    <w:rsid w:val="00E7342D"/>
    <w:rsid w:val="00E75994"/>
    <w:rsid w:val="00E8768D"/>
    <w:rsid w:val="00E876B6"/>
    <w:rsid w:val="00E87CBB"/>
    <w:rsid w:val="00E95D05"/>
    <w:rsid w:val="00E97624"/>
    <w:rsid w:val="00EA7249"/>
    <w:rsid w:val="00EB224B"/>
    <w:rsid w:val="00EB2F33"/>
    <w:rsid w:val="00EB2F46"/>
    <w:rsid w:val="00EB36AF"/>
    <w:rsid w:val="00EB49D9"/>
    <w:rsid w:val="00EB5F8B"/>
    <w:rsid w:val="00EC0F7F"/>
    <w:rsid w:val="00EC1ADD"/>
    <w:rsid w:val="00EC207B"/>
    <w:rsid w:val="00EC6566"/>
    <w:rsid w:val="00EC7C5F"/>
    <w:rsid w:val="00ED68E5"/>
    <w:rsid w:val="00EE188E"/>
    <w:rsid w:val="00EE2860"/>
    <w:rsid w:val="00EE3E46"/>
    <w:rsid w:val="00EE5F7C"/>
    <w:rsid w:val="00EF785B"/>
    <w:rsid w:val="00F0342E"/>
    <w:rsid w:val="00F12551"/>
    <w:rsid w:val="00F148AD"/>
    <w:rsid w:val="00F14E97"/>
    <w:rsid w:val="00F16C30"/>
    <w:rsid w:val="00F27CDE"/>
    <w:rsid w:val="00F30C7E"/>
    <w:rsid w:val="00F32064"/>
    <w:rsid w:val="00F46109"/>
    <w:rsid w:val="00F52DA3"/>
    <w:rsid w:val="00F6134C"/>
    <w:rsid w:val="00F67E97"/>
    <w:rsid w:val="00F723E9"/>
    <w:rsid w:val="00F76030"/>
    <w:rsid w:val="00F841A8"/>
    <w:rsid w:val="00F909C8"/>
    <w:rsid w:val="00F90CFC"/>
    <w:rsid w:val="00F97D07"/>
    <w:rsid w:val="00FA2C75"/>
    <w:rsid w:val="00FA7EEA"/>
    <w:rsid w:val="00FB1805"/>
    <w:rsid w:val="00FB2BBF"/>
    <w:rsid w:val="00FB4919"/>
    <w:rsid w:val="00FB5927"/>
    <w:rsid w:val="00FC09CE"/>
    <w:rsid w:val="00FC57C7"/>
    <w:rsid w:val="00FC5E33"/>
    <w:rsid w:val="00FC6804"/>
    <w:rsid w:val="00FC7775"/>
    <w:rsid w:val="00FD08A6"/>
    <w:rsid w:val="00FE3A69"/>
    <w:rsid w:val="00FE7BDE"/>
    <w:rsid w:val="00FF03AA"/>
    <w:rsid w:val="00FF08AE"/>
    <w:rsid w:val="00FF0C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7B5"/>
  </w:style>
  <w:style w:type="paragraph" w:styleId="Heading1">
    <w:name w:val="heading 1"/>
    <w:basedOn w:val="Normal"/>
    <w:next w:val="Normal"/>
    <w:link w:val="Heading1Char"/>
    <w:autoRedefine/>
    <w:uiPriority w:val="9"/>
    <w:qFormat/>
    <w:rsid w:val="0026792B"/>
    <w:pPr>
      <w:keepNext/>
      <w:keepLines/>
      <w:numPr>
        <w:numId w:val="2"/>
      </w:numPr>
      <w:tabs>
        <w:tab w:val="left" w:pos="1418"/>
      </w:tabs>
      <w:spacing w:after="0" w:line="240" w:lineRule="auto"/>
      <w:outlineLvl w:val="0"/>
    </w:pPr>
    <w:rPr>
      <w:rFonts w:ascii="Arial" w:eastAsiaTheme="majorEastAsia" w:hAnsi="Arial" w:cs="Arial"/>
      <w:color w:val="ED7D31" w:themeColor="accent2"/>
      <w:sz w:val="36"/>
      <w:szCs w:val="36"/>
      <w:lang w:val="en-GB"/>
    </w:rPr>
  </w:style>
  <w:style w:type="paragraph" w:styleId="Heading2">
    <w:name w:val="heading 2"/>
    <w:basedOn w:val="Normal"/>
    <w:next w:val="Normal"/>
    <w:link w:val="Heading2Char"/>
    <w:uiPriority w:val="9"/>
    <w:unhideWhenUsed/>
    <w:qFormat/>
    <w:rsid w:val="007E1BD2"/>
    <w:pPr>
      <w:keepNext/>
      <w:keepLines/>
      <w:spacing w:after="0" w:line="240" w:lineRule="auto"/>
      <w:outlineLvl w:val="1"/>
    </w:pPr>
    <w:rPr>
      <w:rFonts w:ascii="Arial" w:eastAsiaTheme="majorEastAsia" w:hAnsi="Arial" w:cstheme="majorBidi"/>
      <w:color w:val="1F4E79" w:themeColor="accent1" w:themeShade="80"/>
      <w:sz w:val="20"/>
      <w:szCs w:val="26"/>
    </w:rPr>
  </w:style>
  <w:style w:type="paragraph" w:styleId="Heading3">
    <w:name w:val="heading 3"/>
    <w:basedOn w:val="Normal"/>
    <w:next w:val="Normal"/>
    <w:link w:val="Heading3Char"/>
    <w:uiPriority w:val="9"/>
    <w:unhideWhenUsed/>
    <w:qFormat/>
    <w:rsid w:val="00D47A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1BD2"/>
    <w:rPr>
      <w:rFonts w:ascii="Arial" w:eastAsiaTheme="majorEastAsia" w:hAnsi="Arial" w:cstheme="majorBidi"/>
      <w:color w:val="1F4E79" w:themeColor="accent1" w:themeShade="80"/>
      <w:sz w:val="20"/>
      <w:szCs w:val="26"/>
    </w:rPr>
  </w:style>
  <w:style w:type="character" w:customStyle="1" w:styleId="Heading3Char">
    <w:name w:val="Heading 3 Char"/>
    <w:basedOn w:val="DefaultParagraphFont"/>
    <w:link w:val="Heading3"/>
    <w:uiPriority w:val="9"/>
    <w:rsid w:val="00D47AD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47ADE"/>
    <w:rPr>
      <w:color w:val="0563C1" w:themeColor="hyperlink"/>
      <w:u w:val="single"/>
    </w:rPr>
  </w:style>
  <w:style w:type="character" w:customStyle="1" w:styleId="Heading1Char">
    <w:name w:val="Heading 1 Char"/>
    <w:basedOn w:val="DefaultParagraphFont"/>
    <w:link w:val="Heading1"/>
    <w:uiPriority w:val="9"/>
    <w:rsid w:val="0026792B"/>
    <w:rPr>
      <w:rFonts w:ascii="Arial" w:eastAsiaTheme="majorEastAsia" w:hAnsi="Arial" w:cs="Arial"/>
      <w:color w:val="ED7D31" w:themeColor="accent2"/>
      <w:sz w:val="36"/>
      <w:szCs w:val="36"/>
      <w:lang w:val="en-GB"/>
    </w:rPr>
  </w:style>
  <w:style w:type="paragraph" w:styleId="Header">
    <w:name w:val="header"/>
    <w:basedOn w:val="Normal"/>
    <w:link w:val="HeaderChar"/>
    <w:uiPriority w:val="99"/>
    <w:unhideWhenUsed/>
    <w:rsid w:val="000006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60D"/>
  </w:style>
  <w:style w:type="paragraph" w:styleId="Footer">
    <w:name w:val="footer"/>
    <w:basedOn w:val="Normal"/>
    <w:link w:val="FooterChar"/>
    <w:uiPriority w:val="99"/>
    <w:unhideWhenUsed/>
    <w:rsid w:val="000006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60D"/>
  </w:style>
  <w:style w:type="paragraph" w:styleId="NormalWeb">
    <w:name w:val="Normal (Web)"/>
    <w:basedOn w:val="Normal"/>
    <w:uiPriority w:val="99"/>
    <w:unhideWhenUsed/>
    <w:rsid w:val="00B1683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B16838"/>
  </w:style>
  <w:style w:type="character" w:styleId="Emphasis">
    <w:name w:val="Emphasis"/>
    <w:basedOn w:val="DefaultParagraphFont"/>
    <w:uiPriority w:val="20"/>
    <w:qFormat/>
    <w:rsid w:val="00B16838"/>
    <w:rPr>
      <w:i/>
      <w:iCs/>
    </w:rPr>
  </w:style>
  <w:style w:type="paragraph" w:styleId="FootnoteText">
    <w:name w:val="footnote text"/>
    <w:basedOn w:val="Normal"/>
    <w:link w:val="FootnoteTextChar"/>
    <w:semiHidden/>
    <w:unhideWhenUsed/>
    <w:rsid w:val="00B16838"/>
    <w:pPr>
      <w:spacing w:after="0" w:line="240" w:lineRule="auto"/>
    </w:pPr>
    <w:rPr>
      <w:sz w:val="20"/>
      <w:szCs w:val="20"/>
    </w:rPr>
  </w:style>
  <w:style w:type="character" w:customStyle="1" w:styleId="FootnoteTextChar">
    <w:name w:val="Footnote Text Char"/>
    <w:basedOn w:val="DefaultParagraphFont"/>
    <w:link w:val="FootnoteText"/>
    <w:semiHidden/>
    <w:rsid w:val="00B16838"/>
    <w:rPr>
      <w:sz w:val="20"/>
      <w:szCs w:val="20"/>
    </w:rPr>
  </w:style>
  <w:style w:type="character" w:styleId="FootnoteReference">
    <w:name w:val="footnote reference"/>
    <w:basedOn w:val="DefaultParagraphFont"/>
    <w:semiHidden/>
    <w:unhideWhenUsed/>
    <w:rsid w:val="00B16838"/>
    <w:rPr>
      <w:vertAlign w:val="superscript"/>
    </w:rPr>
  </w:style>
  <w:style w:type="paragraph" w:styleId="ListParagraph">
    <w:name w:val="List Paragraph"/>
    <w:basedOn w:val="Normal"/>
    <w:uiPriority w:val="34"/>
    <w:qFormat/>
    <w:rsid w:val="007166A2"/>
    <w:pPr>
      <w:ind w:left="720"/>
      <w:contextualSpacing/>
    </w:pPr>
  </w:style>
  <w:style w:type="table" w:styleId="TableGrid">
    <w:name w:val="Table Grid"/>
    <w:basedOn w:val="TableNormal"/>
    <w:rsid w:val="00150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82FA9"/>
    <w:rPr>
      <w:sz w:val="16"/>
      <w:szCs w:val="16"/>
    </w:rPr>
  </w:style>
  <w:style w:type="paragraph" w:styleId="CommentText">
    <w:name w:val="annotation text"/>
    <w:basedOn w:val="Normal"/>
    <w:link w:val="CommentTextChar"/>
    <w:uiPriority w:val="99"/>
    <w:semiHidden/>
    <w:unhideWhenUsed/>
    <w:rsid w:val="00882FA9"/>
    <w:pPr>
      <w:spacing w:line="240" w:lineRule="auto"/>
    </w:pPr>
    <w:rPr>
      <w:sz w:val="20"/>
      <w:szCs w:val="20"/>
    </w:rPr>
  </w:style>
  <w:style w:type="character" w:customStyle="1" w:styleId="CommentTextChar">
    <w:name w:val="Comment Text Char"/>
    <w:basedOn w:val="DefaultParagraphFont"/>
    <w:link w:val="CommentText"/>
    <w:uiPriority w:val="99"/>
    <w:semiHidden/>
    <w:rsid w:val="00882FA9"/>
    <w:rPr>
      <w:sz w:val="20"/>
      <w:szCs w:val="20"/>
    </w:rPr>
  </w:style>
  <w:style w:type="paragraph" w:styleId="CommentSubject">
    <w:name w:val="annotation subject"/>
    <w:basedOn w:val="CommentText"/>
    <w:next w:val="CommentText"/>
    <w:link w:val="CommentSubjectChar"/>
    <w:uiPriority w:val="99"/>
    <w:semiHidden/>
    <w:unhideWhenUsed/>
    <w:rsid w:val="00882FA9"/>
    <w:rPr>
      <w:b/>
      <w:bCs/>
    </w:rPr>
  </w:style>
  <w:style w:type="character" w:customStyle="1" w:styleId="CommentSubjectChar">
    <w:name w:val="Comment Subject Char"/>
    <w:basedOn w:val="CommentTextChar"/>
    <w:link w:val="CommentSubject"/>
    <w:uiPriority w:val="99"/>
    <w:semiHidden/>
    <w:rsid w:val="00882FA9"/>
    <w:rPr>
      <w:b/>
      <w:bCs/>
      <w:sz w:val="20"/>
      <w:szCs w:val="20"/>
    </w:rPr>
  </w:style>
  <w:style w:type="paragraph" w:styleId="BalloonText">
    <w:name w:val="Balloon Text"/>
    <w:basedOn w:val="Normal"/>
    <w:link w:val="BalloonTextChar"/>
    <w:uiPriority w:val="99"/>
    <w:semiHidden/>
    <w:unhideWhenUsed/>
    <w:rsid w:val="00882F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FA9"/>
    <w:rPr>
      <w:rFonts w:ascii="Segoe UI" w:hAnsi="Segoe UI" w:cs="Segoe UI"/>
      <w:sz w:val="18"/>
      <w:szCs w:val="18"/>
    </w:rPr>
  </w:style>
  <w:style w:type="paragraph" w:customStyle="1" w:styleId="Normal-TimesNewRoman">
    <w:name w:val="Normal - Times New Roman"/>
    <w:link w:val="Normal-TimesNewRomanChar"/>
    <w:uiPriority w:val="99"/>
    <w:rsid w:val="007B0C10"/>
    <w:pPr>
      <w:spacing w:after="180" w:line="240" w:lineRule="auto"/>
      <w:jc w:val="both"/>
    </w:pPr>
    <w:rPr>
      <w:rFonts w:ascii="Verdana" w:eastAsia="Times New Roman" w:hAnsi="Verdana" w:cs="Times New Roman"/>
      <w:sz w:val="24"/>
      <w:szCs w:val="24"/>
      <w:lang w:eastAsia="zh-CN"/>
    </w:rPr>
  </w:style>
  <w:style w:type="character" w:customStyle="1" w:styleId="Normal-TimesNewRomanChar">
    <w:name w:val="Normal - Times New Roman Char"/>
    <w:basedOn w:val="DefaultParagraphFont"/>
    <w:link w:val="Normal-TimesNewRoman"/>
    <w:uiPriority w:val="99"/>
    <w:locked/>
    <w:rsid w:val="007B0C10"/>
    <w:rPr>
      <w:rFonts w:ascii="Verdana" w:eastAsia="Times New Roman" w:hAnsi="Verdana" w:cs="Times New Roman"/>
      <w:sz w:val="24"/>
      <w:szCs w:val="24"/>
      <w:lang w:eastAsia="zh-CN"/>
    </w:rPr>
  </w:style>
  <w:style w:type="paragraph" w:styleId="TOCHeading">
    <w:name w:val="TOC Heading"/>
    <w:basedOn w:val="Heading1"/>
    <w:next w:val="Normal"/>
    <w:uiPriority w:val="39"/>
    <w:unhideWhenUsed/>
    <w:qFormat/>
    <w:rsid w:val="007B228D"/>
    <w:pPr>
      <w:outlineLvl w:val="9"/>
    </w:pPr>
    <w:rPr>
      <w:lang w:val="en-US"/>
    </w:rPr>
  </w:style>
  <w:style w:type="paragraph" w:styleId="TOC2">
    <w:name w:val="toc 2"/>
    <w:basedOn w:val="Normal"/>
    <w:next w:val="Normal"/>
    <w:autoRedefine/>
    <w:uiPriority w:val="39"/>
    <w:unhideWhenUsed/>
    <w:qFormat/>
    <w:rsid w:val="0026792B"/>
    <w:pPr>
      <w:tabs>
        <w:tab w:val="left" w:pos="1134"/>
        <w:tab w:val="right" w:leader="dot" w:pos="9016"/>
      </w:tabs>
      <w:spacing w:after="100"/>
      <w:ind w:left="220" w:firstLine="206"/>
    </w:pPr>
    <w:rPr>
      <w:rFonts w:ascii="Arial" w:hAnsi="Arial"/>
      <w:color w:val="000000" w:themeColor="text1"/>
      <w:sz w:val="20"/>
    </w:rPr>
  </w:style>
  <w:style w:type="paragraph" w:styleId="TOC3">
    <w:name w:val="toc 3"/>
    <w:basedOn w:val="Normal"/>
    <w:next w:val="Normal"/>
    <w:autoRedefine/>
    <w:uiPriority w:val="39"/>
    <w:unhideWhenUsed/>
    <w:rsid w:val="0026792B"/>
    <w:pPr>
      <w:tabs>
        <w:tab w:val="left" w:pos="1985"/>
        <w:tab w:val="right" w:leader="dot" w:pos="9016"/>
      </w:tabs>
      <w:spacing w:after="100"/>
      <w:ind w:left="1134"/>
    </w:pPr>
    <w:rPr>
      <w:rFonts w:ascii="Arial" w:hAnsi="Arial"/>
      <w:color w:val="000000" w:themeColor="text1"/>
      <w:sz w:val="20"/>
    </w:rPr>
  </w:style>
  <w:style w:type="paragraph" w:styleId="TOC1">
    <w:name w:val="toc 1"/>
    <w:basedOn w:val="Normal"/>
    <w:next w:val="Normal"/>
    <w:autoRedefine/>
    <w:uiPriority w:val="39"/>
    <w:unhideWhenUsed/>
    <w:rsid w:val="0026792B"/>
    <w:pPr>
      <w:tabs>
        <w:tab w:val="left" w:pos="426"/>
        <w:tab w:val="right" w:leader="dot" w:pos="9016"/>
      </w:tabs>
      <w:spacing w:after="100"/>
    </w:pPr>
    <w:rPr>
      <w:rFonts w:ascii="Arial" w:hAnsi="Arial"/>
      <w:color w:val="000000" w:themeColor="text1"/>
      <w:sz w:val="20"/>
    </w:rPr>
  </w:style>
  <w:style w:type="character" w:styleId="Strong">
    <w:name w:val="Strong"/>
    <w:basedOn w:val="DefaultParagraphFont"/>
    <w:uiPriority w:val="22"/>
    <w:qFormat/>
    <w:rsid w:val="008D1118"/>
    <w:rPr>
      <w:b/>
      <w:bCs/>
    </w:rPr>
  </w:style>
  <w:style w:type="paragraph" w:styleId="TOC4">
    <w:name w:val="toc 4"/>
    <w:basedOn w:val="Normal"/>
    <w:next w:val="Normal"/>
    <w:autoRedefine/>
    <w:uiPriority w:val="39"/>
    <w:semiHidden/>
    <w:unhideWhenUsed/>
    <w:rsid w:val="0026792B"/>
    <w:pPr>
      <w:spacing w:after="100"/>
      <w:ind w:left="660"/>
    </w:pPr>
    <w:rPr>
      <w:rFonts w:ascii="Arial" w:hAnsi="Arial"/>
      <w:color w:val="000000" w:themeColor="tex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7B5"/>
  </w:style>
  <w:style w:type="paragraph" w:styleId="Heading1">
    <w:name w:val="heading 1"/>
    <w:basedOn w:val="Normal"/>
    <w:next w:val="Normal"/>
    <w:link w:val="Heading1Char"/>
    <w:autoRedefine/>
    <w:uiPriority w:val="9"/>
    <w:qFormat/>
    <w:rsid w:val="0026792B"/>
    <w:pPr>
      <w:keepNext/>
      <w:keepLines/>
      <w:numPr>
        <w:numId w:val="2"/>
      </w:numPr>
      <w:tabs>
        <w:tab w:val="left" w:pos="1418"/>
      </w:tabs>
      <w:spacing w:after="0" w:line="240" w:lineRule="auto"/>
      <w:outlineLvl w:val="0"/>
    </w:pPr>
    <w:rPr>
      <w:rFonts w:ascii="Arial" w:eastAsiaTheme="majorEastAsia" w:hAnsi="Arial" w:cs="Arial"/>
      <w:color w:val="ED7D31" w:themeColor="accent2"/>
      <w:sz w:val="36"/>
      <w:szCs w:val="36"/>
      <w:lang w:val="en-GB"/>
    </w:rPr>
  </w:style>
  <w:style w:type="paragraph" w:styleId="Heading2">
    <w:name w:val="heading 2"/>
    <w:basedOn w:val="Normal"/>
    <w:next w:val="Normal"/>
    <w:link w:val="Heading2Char"/>
    <w:uiPriority w:val="9"/>
    <w:unhideWhenUsed/>
    <w:qFormat/>
    <w:rsid w:val="007E1BD2"/>
    <w:pPr>
      <w:keepNext/>
      <w:keepLines/>
      <w:spacing w:after="0" w:line="240" w:lineRule="auto"/>
      <w:outlineLvl w:val="1"/>
    </w:pPr>
    <w:rPr>
      <w:rFonts w:ascii="Arial" w:eastAsiaTheme="majorEastAsia" w:hAnsi="Arial" w:cstheme="majorBidi"/>
      <w:color w:val="1F4E79" w:themeColor="accent1" w:themeShade="80"/>
      <w:sz w:val="20"/>
      <w:szCs w:val="26"/>
    </w:rPr>
  </w:style>
  <w:style w:type="paragraph" w:styleId="Heading3">
    <w:name w:val="heading 3"/>
    <w:basedOn w:val="Normal"/>
    <w:next w:val="Normal"/>
    <w:link w:val="Heading3Char"/>
    <w:uiPriority w:val="9"/>
    <w:unhideWhenUsed/>
    <w:qFormat/>
    <w:rsid w:val="00D47A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1BD2"/>
    <w:rPr>
      <w:rFonts w:ascii="Arial" w:eastAsiaTheme="majorEastAsia" w:hAnsi="Arial" w:cstheme="majorBidi"/>
      <w:color w:val="1F4E79" w:themeColor="accent1" w:themeShade="80"/>
      <w:sz w:val="20"/>
      <w:szCs w:val="26"/>
    </w:rPr>
  </w:style>
  <w:style w:type="character" w:customStyle="1" w:styleId="Heading3Char">
    <w:name w:val="Heading 3 Char"/>
    <w:basedOn w:val="DefaultParagraphFont"/>
    <w:link w:val="Heading3"/>
    <w:uiPriority w:val="9"/>
    <w:rsid w:val="00D47AD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47ADE"/>
    <w:rPr>
      <w:color w:val="0563C1" w:themeColor="hyperlink"/>
      <w:u w:val="single"/>
    </w:rPr>
  </w:style>
  <w:style w:type="character" w:customStyle="1" w:styleId="Heading1Char">
    <w:name w:val="Heading 1 Char"/>
    <w:basedOn w:val="DefaultParagraphFont"/>
    <w:link w:val="Heading1"/>
    <w:uiPriority w:val="9"/>
    <w:rsid w:val="0026792B"/>
    <w:rPr>
      <w:rFonts w:ascii="Arial" w:eastAsiaTheme="majorEastAsia" w:hAnsi="Arial" w:cs="Arial"/>
      <w:color w:val="ED7D31" w:themeColor="accent2"/>
      <w:sz w:val="36"/>
      <w:szCs w:val="36"/>
      <w:lang w:val="en-GB"/>
    </w:rPr>
  </w:style>
  <w:style w:type="paragraph" w:styleId="Header">
    <w:name w:val="header"/>
    <w:basedOn w:val="Normal"/>
    <w:link w:val="HeaderChar"/>
    <w:uiPriority w:val="99"/>
    <w:unhideWhenUsed/>
    <w:rsid w:val="000006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60D"/>
  </w:style>
  <w:style w:type="paragraph" w:styleId="Footer">
    <w:name w:val="footer"/>
    <w:basedOn w:val="Normal"/>
    <w:link w:val="FooterChar"/>
    <w:uiPriority w:val="99"/>
    <w:unhideWhenUsed/>
    <w:rsid w:val="000006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60D"/>
  </w:style>
  <w:style w:type="paragraph" w:styleId="NormalWeb">
    <w:name w:val="Normal (Web)"/>
    <w:basedOn w:val="Normal"/>
    <w:uiPriority w:val="99"/>
    <w:unhideWhenUsed/>
    <w:rsid w:val="00B1683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B16838"/>
  </w:style>
  <w:style w:type="character" w:styleId="Emphasis">
    <w:name w:val="Emphasis"/>
    <w:basedOn w:val="DefaultParagraphFont"/>
    <w:uiPriority w:val="20"/>
    <w:qFormat/>
    <w:rsid w:val="00B16838"/>
    <w:rPr>
      <w:i/>
      <w:iCs/>
    </w:rPr>
  </w:style>
  <w:style w:type="paragraph" w:styleId="FootnoteText">
    <w:name w:val="footnote text"/>
    <w:basedOn w:val="Normal"/>
    <w:link w:val="FootnoteTextChar"/>
    <w:semiHidden/>
    <w:unhideWhenUsed/>
    <w:rsid w:val="00B16838"/>
    <w:pPr>
      <w:spacing w:after="0" w:line="240" w:lineRule="auto"/>
    </w:pPr>
    <w:rPr>
      <w:sz w:val="20"/>
      <w:szCs w:val="20"/>
    </w:rPr>
  </w:style>
  <w:style w:type="character" w:customStyle="1" w:styleId="FootnoteTextChar">
    <w:name w:val="Footnote Text Char"/>
    <w:basedOn w:val="DefaultParagraphFont"/>
    <w:link w:val="FootnoteText"/>
    <w:semiHidden/>
    <w:rsid w:val="00B16838"/>
    <w:rPr>
      <w:sz w:val="20"/>
      <w:szCs w:val="20"/>
    </w:rPr>
  </w:style>
  <w:style w:type="character" w:styleId="FootnoteReference">
    <w:name w:val="footnote reference"/>
    <w:basedOn w:val="DefaultParagraphFont"/>
    <w:semiHidden/>
    <w:unhideWhenUsed/>
    <w:rsid w:val="00B16838"/>
    <w:rPr>
      <w:vertAlign w:val="superscript"/>
    </w:rPr>
  </w:style>
  <w:style w:type="paragraph" w:styleId="ListParagraph">
    <w:name w:val="List Paragraph"/>
    <w:basedOn w:val="Normal"/>
    <w:uiPriority w:val="34"/>
    <w:qFormat/>
    <w:rsid w:val="007166A2"/>
    <w:pPr>
      <w:ind w:left="720"/>
      <w:contextualSpacing/>
    </w:pPr>
  </w:style>
  <w:style w:type="table" w:styleId="TableGrid">
    <w:name w:val="Table Grid"/>
    <w:basedOn w:val="TableNormal"/>
    <w:rsid w:val="00150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82FA9"/>
    <w:rPr>
      <w:sz w:val="16"/>
      <w:szCs w:val="16"/>
    </w:rPr>
  </w:style>
  <w:style w:type="paragraph" w:styleId="CommentText">
    <w:name w:val="annotation text"/>
    <w:basedOn w:val="Normal"/>
    <w:link w:val="CommentTextChar"/>
    <w:uiPriority w:val="99"/>
    <w:semiHidden/>
    <w:unhideWhenUsed/>
    <w:rsid w:val="00882FA9"/>
    <w:pPr>
      <w:spacing w:line="240" w:lineRule="auto"/>
    </w:pPr>
    <w:rPr>
      <w:sz w:val="20"/>
      <w:szCs w:val="20"/>
    </w:rPr>
  </w:style>
  <w:style w:type="character" w:customStyle="1" w:styleId="CommentTextChar">
    <w:name w:val="Comment Text Char"/>
    <w:basedOn w:val="DefaultParagraphFont"/>
    <w:link w:val="CommentText"/>
    <w:uiPriority w:val="99"/>
    <w:semiHidden/>
    <w:rsid w:val="00882FA9"/>
    <w:rPr>
      <w:sz w:val="20"/>
      <w:szCs w:val="20"/>
    </w:rPr>
  </w:style>
  <w:style w:type="paragraph" w:styleId="CommentSubject">
    <w:name w:val="annotation subject"/>
    <w:basedOn w:val="CommentText"/>
    <w:next w:val="CommentText"/>
    <w:link w:val="CommentSubjectChar"/>
    <w:uiPriority w:val="99"/>
    <w:semiHidden/>
    <w:unhideWhenUsed/>
    <w:rsid w:val="00882FA9"/>
    <w:rPr>
      <w:b/>
      <w:bCs/>
    </w:rPr>
  </w:style>
  <w:style w:type="character" w:customStyle="1" w:styleId="CommentSubjectChar">
    <w:name w:val="Comment Subject Char"/>
    <w:basedOn w:val="CommentTextChar"/>
    <w:link w:val="CommentSubject"/>
    <w:uiPriority w:val="99"/>
    <w:semiHidden/>
    <w:rsid w:val="00882FA9"/>
    <w:rPr>
      <w:b/>
      <w:bCs/>
      <w:sz w:val="20"/>
      <w:szCs w:val="20"/>
    </w:rPr>
  </w:style>
  <w:style w:type="paragraph" w:styleId="BalloonText">
    <w:name w:val="Balloon Text"/>
    <w:basedOn w:val="Normal"/>
    <w:link w:val="BalloonTextChar"/>
    <w:uiPriority w:val="99"/>
    <w:semiHidden/>
    <w:unhideWhenUsed/>
    <w:rsid w:val="00882F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FA9"/>
    <w:rPr>
      <w:rFonts w:ascii="Segoe UI" w:hAnsi="Segoe UI" w:cs="Segoe UI"/>
      <w:sz w:val="18"/>
      <w:szCs w:val="18"/>
    </w:rPr>
  </w:style>
  <w:style w:type="paragraph" w:customStyle="1" w:styleId="Normal-TimesNewRoman">
    <w:name w:val="Normal - Times New Roman"/>
    <w:link w:val="Normal-TimesNewRomanChar"/>
    <w:uiPriority w:val="99"/>
    <w:rsid w:val="007B0C10"/>
    <w:pPr>
      <w:spacing w:after="180" w:line="240" w:lineRule="auto"/>
      <w:jc w:val="both"/>
    </w:pPr>
    <w:rPr>
      <w:rFonts w:ascii="Verdana" w:eastAsia="Times New Roman" w:hAnsi="Verdana" w:cs="Times New Roman"/>
      <w:sz w:val="24"/>
      <w:szCs w:val="24"/>
      <w:lang w:eastAsia="zh-CN"/>
    </w:rPr>
  </w:style>
  <w:style w:type="character" w:customStyle="1" w:styleId="Normal-TimesNewRomanChar">
    <w:name w:val="Normal - Times New Roman Char"/>
    <w:basedOn w:val="DefaultParagraphFont"/>
    <w:link w:val="Normal-TimesNewRoman"/>
    <w:uiPriority w:val="99"/>
    <w:locked/>
    <w:rsid w:val="007B0C10"/>
    <w:rPr>
      <w:rFonts w:ascii="Verdana" w:eastAsia="Times New Roman" w:hAnsi="Verdana" w:cs="Times New Roman"/>
      <w:sz w:val="24"/>
      <w:szCs w:val="24"/>
      <w:lang w:eastAsia="zh-CN"/>
    </w:rPr>
  </w:style>
  <w:style w:type="paragraph" w:styleId="TOCHeading">
    <w:name w:val="TOC Heading"/>
    <w:basedOn w:val="Heading1"/>
    <w:next w:val="Normal"/>
    <w:uiPriority w:val="39"/>
    <w:unhideWhenUsed/>
    <w:qFormat/>
    <w:rsid w:val="007B228D"/>
    <w:pPr>
      <w:outlineLvl w:val="9"/>
    </w:pPr>
    <w:rPr>
      <w:lang w:val="en-US"/>
    </w:rPr>
  </w:style>
  <w:style w:type="paragraph" w:styleId="TOC2">
    <w:name w:val="toc 2"/>
    <w:basedOn w:val="Normal"/>
    <w:next w:val="Normal"/>
    <w:autoRedefine/>
    <w:uiPriority w:val="39"/>
    <w:unhideWhenUsed/>
    <w:qFormat/>
    <w:rsid w:val="0026792B"/>
    <w:pPr>
      <w:tabs>
        <w:tab w:val="left" w:pos="1134"/>
        <w:tab w:val="right" w:leader="dot" w:pos="9016"/>
      </w:tabs>
      <w:spacing w:after="100"/>
      <w:ind w:left="220" w:firstLine="206"/>
    </w:pPr>
    <w:rPr>
      <w:rFonts w:ascii="Arial" w:hAnsi="Arial"/>
      <w:color w:val="000000" w:themeColor="text1"/>
      <w:sz w:val="20"/>
    </w:rPr>
  </w:style>
  <w:style w:type="paragraph" w:styleId="TOC3">
    <w:name w:val="toc 3"/>
    <w:basedOn w:val="Normal"/>
    <w:next w:val="Normal"/>
    <w:autoRedefine/>
    <w:uiPriority w:val="39"/>
    <w:unhideWhenUsed/>
    <w:rsid w:val="0026792B"/>
    <w:pPr>
      <w:tabs>
        <w:tab w:val="left" w:pos="1985"/>
        <w:tab w:val="right" w:leader="dot" w:pos="9016"/>
      </w:tabs>
      <w:spacing w:after="100"/>
      <w:ind w:left="1134"/>
    </w:pPr>
    <w:rPr>
      <w:rFonts w:ascii="Arial" w:hAnsi="Arial"/>
      <w:color w:val="000000" w:themeColor="text1"/>
      <w:sz w:val="20"/>
    </w:rPr>
  </w:style>
  <w:style w:type="paragraph" w:styleId="TOC1">
    <w:name w:val="toc 1"/>
    <w:basedOn w:val="Normal"/>
    <w:next w:val="Normal"/>
    <w:autoRedefine/>
    <w:uiPriority w:val="39"/>
    <w:unhideWhenUsed/>
    <w:rsid w:val="0026792B"/>
    <w:pPr>
      <w:tabs>
        <w:tab w:val="left" w:pos="426"/>
        <w:tab w:val="right" w:leader="dot" w:pos="9016"/>
      </w:tabs>
      <w:spacing w:after="100"/>
    </w:pPr>
    <w:rPr>
      <w:rFonts w:ascii="Arial" w:hAnsi="Arial"/>
      <w:color w:val="000000" w:themeColor="text1"/>
      <w:sz w:val="20"/>
    </w:rPr>
  </w:style>
  <w:style w:type="character" w:styleId="Strong">
    <w:name w:val="Strong"/>
    <w:basedOn w:val="DefaultParagraphFont"/>
    <w:uiPriority w:val="22"/>
    <w:qFormat/>
    <w:rsid w:val="008D1118"/>
    <w:rPr>
      <w:b/>
      <w:bCs/>
    </w:rPr>
  </w:style>
  <w:style w:type="paragraph" w:styleId="TOC4">
    <w:name w:val="toc 4"/>
    <w:basedOn w:val="Normal"/>
    <w:next w:val="Normal"/>
    <w:autoRedefine/>
    <w:uiPriority w:val="39"/>
    <w:semiHidden/>
    <w:unhideWhenUsed/>
    <w:rsid w:val="0026792B"/>
    <w:pPr>
      <w:spacing w:after="100"/>
      <w:ind w:left="660"/>
    </w:pPr>
    <w:rPr>
      <w:rFonts w:ascii="Arial" w:hAnsi="Arial"/>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2284">
      <w:bodyDiv w:val="1"/>
      <w:marLeft w:val="0"/>
      <w:marRight w:val="0"/>
      <w:marTop w:val="0"/>
      <w:marBottom w:val="0"/>
      <w:divBdr>
        <w:top w:val="none" w:sz="0" w:space="0" w:color="auto"/>
        <w:left w:val="none" w:sz="0" w:space="0" w:color="auto"/>
        <w:bottom w:val="none" w:sz="0" w:space="0" w:color="auto"/>
        <w:right w:val="none" w:sz="0" w:space="0" w:color="auto"/>
      </w:divBdr>
    </w:div>
    <w:div w:id="68164424">
      <w:bodyDiv w:val="1"/>
      <w:marLeft w:val="0"/>
      <w:marRight w:val="0"/>
      <w:marTop w:val="0"/>
      <w:marBottom w:val="0"/>
      <w:divBdr>
        <w:top w:val="none" w:sz="0" w:space="0" w:color="auto"/>
        <w:left w:val="none" w:sz="0" w:space="0" w:color="auto"/>
        <w:bottom w:val="none" w:sz="0" w:space="0" w:color="auto"/>
        <w:right w:val="none" w:sz="0" w:space="0" w:color="auto"/>
      </w:divBdr>
    </w:div>
    <w:div w:id="163127563">
      <w:bodyDiv w:val="1"/>
      <w:marLeft w:val="0"/>
      <w:marRight w:val="0"/>
      <w:marTop w:val="0"/>
      <w:marBottom w:val="0"/>
      <w:divBdr>
        <w:top w:val="none" w:sz="0" w:space="0" w:color="auto"/>
        <w:left w:val="none" w:sz="0" w:space="0" w:color="auto"/>
        <w:bottom w:val="none" w:sz="0" w:space="0" w:color="auto"/>
        <w:right w:val="none" w:sz="0" w:space="0" w:color="auto"/>
      </w:divBdr>
    </w:div>
    <w:div w:id="169149453">
      <w:bodyDiv w:val="1"/>
      <w:marLeft w:val="0"/>
      <w:marRight w:val="0"/>
      <w:marTop w:val="0"/>
      <w:marBottom w:val="0"/>
      <w:divBdr>
        <w:top w:val="none" w:sz="0" w:space="0" w:color="auto"/>
        <w:left w:val="none" w:sz="0" w:space="0" w:color="auto"/>
        <w:bottom w:val="none" w:sz="0" w:space="0" w:color="auto"/>
        <w:right w:val="none" w:sz="0" w:space="0" w:color="auto"/>
      </w:divBdr>
    </w:div>
    <w:div w:id="230771084">
      <w:bodyDiv w:val="1"/>
      <w:marLeft w:val="0"/>
      <w:marRight w:val="0"/>
      <w:marTop w:val="0"/>
      <w:marBottom w:val="0"/>
      <w:divBdr>
        <w:top w:val="none" w:sz="0" w:space="0" w:color="auto"/>
        <w:left w:val="none" w:sz="0" w:space="0" w:color="auto"/>
        <w:bottom w:val="none" w:sz="0" w:space="0" w:color="auto"/>
        <w:right w:val="none" w:sz="0" w:space="0" w:color="auto"/>
      </w:divBdr>
    </w:div>
    <w:div w:id="373388970">
      <w:bodyDiv w:val="1"/>
      <w:marLeft w:val="0"/>
      <w:marRight w:val="0"/>
      <w:marTop w:val="0"/>
      <w:marBottom w:val="0"/>
      <w:divBdr>
        <w:top w:val="none" w:sz="0" w:space="0" w:color="auto"/>
        <w:left w:val="none" w:sz="0" w:space="0" w:color="auto"/>
        <w:bottom w:val="none" w:sz="0" w:space="0" w:color="auto"/>
        <w:right w:val="none" w:sz="0" w:space="0" w:color="auto"/>
      </w:divBdr>
    </w:div>
    <w:div w:id="608970899">
      <w:bodyDiv w:val="1"/>
      <w:marLeft w:val="0"/>
      <w:marRight w:val="0"/>
      <w:marTop w:val="0"/>
      <w:marBottom w:val="0"/>
      <w:divBdr>
        <w:top w:val="none" w:sz="0" w:space="0" w:color="auto"/>
        <w:left w:val="none" w:sz="0" w:space="0" w:color="auto"/>
        <w:bottom w:val="none" w:sz="0" w:space="0" w:color="auto"/>
        <w:right w:val="none" w:sz="0" w:space="0" w:color="auto"/>
      </w:divBdr>
    </w:div>
    <w:div w:id="1567060633">
      <w:bodyDiv w:val="1"/>
      <w:marLeft w:val="0"/>
      <w:marRight w:val="0"/>
      <w:marTop w:val="0"/>
      <w:marBottom w:val="0"/>
      <w:divBdr>
        <w:top w:val="none" w:sz="0" w:space="0" w:color="auto"/>
        <w:left w:val="none" w:sz="0" w:space="0" w:color="auto"/>
        <w:bottom w:val="none" w:sz="0" w:space="0" w:color="auto"/>
        <w:right w:val="none" w:sz="0" w:space="0" w:color="auto"/>
      </w:divBdr>
    </w:div>
    <w:div w:id="1654987192">
      <w:bodyDiv w:val="1"/>
      <w:marLeft w:val="0"/>
      <w:marRight w:val="0"/>
      <w:marTop w:val="0"/>
      <w:marBottom w:val="0"/>
      <w:divBdr>
        <w:top w:val="none" w:sz="0" w:space="0" w:color="auto"/>
        <w:left w:val="none" w:sz="0" w:space="0" w:color="auto"/>
        <w:bottom w:val="none" w:sz="0" w:space="0" w:color="auto"/>
        <w:right w:val="none" w:sz="0" w:space="0" w:color="auto"/>
      </w:divBdr>
      <w:divsChild>
        <w:div w:id="1794669091">
          <w:marLeft w:val="0"/>
          <w:marRight w:val="0"/>
          <w:marTop w:val="0"/>
          <w:marBottom w:val="0"/>
          <w:divBdr>
            <w:top w:val="none" w:sz="0" w:space="0" w:color="auto"/>
            <w:left w:val="none" w:sz="0" w:space="0" w:color="auto"/>
            <w:bottom w:val="none" w:sz="0" w:space="0" w:color="auto"/>
            <w:right w:val="none" w:sz="0" w:space="0" w:color="auto"/>
          </w:divBdr>
          <w:divsChild>
            <w:div w:id="337855105">
              <w:marLeft w:val="4020"/>
              <w:marRight w:val="0"/>
              <w:marTop w:val="0"/>
              <w:marBottom w:val="0"/>
              <w:divBdr>
                <w:top w:val="none" w:sz="0" w:space="0" w:color="auto"/>
                <w:left w:val="none" w:sz="0" w:space="0" w:color="auto"/>
                <w:bottom w:val="none" w:sz="0" w:space="0" w:color="auto"/>
                <w:right w:val="none" w:sz="0" w:space="0" w:color="auto"/>
              </w:divBdr>
              <w:divsChild>
                <w:div w:id="4105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risfeedback@primesafe.vic.gov.a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2" Type="http://schemas.openxmlformats.org/officeDocument/2006/relationships/hyperlink" Target="https://www.researchgate.net/profile/Hans_Verhagen/publication/273518332_Short_Review_of_Sulphites_as_Food_Additives/links/555c764e08ae6aea081795c4.pdf" TargetMode="External"/><Relationship Id="rId1" Type="http://schemas.openxmlformats.org/officeDocument/2006/relationships/hyperlink" Target="http://www.dtf.vic.gov.au/Publications/Victoria-Economy-publications/Cost-recovery-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31360-C46D-4B01-9775-8771B1C49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63</Pages>
  <Words>18775</Words>
  <Characters>107020</Characters>
  <Application>Microsoft Office Word</Application>
  <DocSecurity>8</DocSecurity>
  <Lines>891</Lines>
  <Paragraphs>251</Paragraphs>
  <ScaleCrop>false</ScaleCrop>
  <HeadingPairs>
    <vt:vector size="2" baseType="variant">
      <vt:variant>
        <vt:lpstr>Title</vt:lpstr>
      </vt:variant>
      <vt:variant>
        <vt:i4>1</vt:i4>
      </vt:variant>
    </vt:vector>
  </HeadingPairs>
  <TitlesOfParts>
    <vt:vector size="1" baseType="lpstr">
      <vt:lpstr/>
    </vt:vector>
  </TitlesOfParts>
  <Company>Victorian Government</Company>
  <LinksUpToDate>false</LinksUpToDate>
  <CharactersWithSpaces>125544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 Deighton-Smith</dc:creator>
  <cp:lastModifiedBy>Lisa Clayworth</cp:lastModifiedBy>
  <cp:revision>4</cp:revision>
  <cp:lastPrinted>2016-02-22T03:57:00Z</cp:lastPrinted>
  <dcterms:created xsi:type="dcterms:W3CDTF">2016-05-12T03:53:00Z</dcterms:created>
  <dcterms:modified xsi:type="dcterms:W3CDTF">2016-05-12T05:13:00Z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5e01c918-bec5-4698-924d-eb8fba7538e4</vt:lpwstr>
  </property>
  <property fmtid="{D5CDD505-2E9C-101B-9397-08002B2CF9AE}" pid="3" name="PSPFClassification">
    <vt:lpwstr>Do Not Mark</vt:lpwstr>
  </property>
</Properties>
</file>