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charts/chart3.xml" ContentType="application/vnd.openxmlformats-officedocument.drawingml.chart+xml"/>
  <Override PartName="/word/drawings/drawing1.xml" ContentType="application/vnd.openxmlformats-officedocument.drawingml.chartshapes+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header30.xml" ContentType="application/vnd.openxmlformats-officedocument.wordprocessingml.header+xml"/>
  <Override PartName="/word/footer2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5.xml" ContentType="application/vnd.openxmlformats-officedocument.wordprocessingml.footer+xml"/>
  <Override PartName="/word/header33.xml" ContentType="application/vnd.openxmlformats-officedocument.wordprocessingml.header+xml"/>
  <Override PartName="/word/footer2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EFA21" w14:textId="77777777" w:rsidR="00724C48" w:rsidRPr="0008580A" w:rsidRDefault="00724C48" w:rsidP="006C6C78">
      <w:bookmarkStart w:id="0" w:name="_GoBack"/>
      <w:bookmarkEnd w:id="0"/>
    </w:p>
    <w:p w14:paraId="5BAE94D6" w14:textId="77777777" w:rsidR="00001CA3" w:rsidRPr="0008580A" w:rsidRDefault="00001CA3" w:rsidP="006C6C78"/>
    <w:p w14:paraId="5390AF35" w14:textId="77777777" w:rsidR="00001CA3" w:rsidRPr="0008580A" w:rsidRDefault="00001CA3" w:rsidP="006C6C78"/>
    <w:p w14:paraId="709E5972" w14:textId="77777777" w:rsidR="000039F1" w:rsidRPr="008B5BB5" w:rsidRDefault="000039F1" w:rsidP="006C6C78">
      <w:pPr>
        <w:pStyle w:val="Body"/>
      </w:pPr>
    </w:p>
    <w:p w14:paraId="05DA586A" w14:textId="77777777" w:rsidR="000039F1" w:rsidRDefault="000039F1" w:rsidP="006C6C78">
      <w:pPr>
        <w:pStyle w:val="Body"/>
      </w:pPr>
    </w:p>
    <w:p w14:paraId="247E8080" w14:textId="77777777" w:rsidR="000D2640" w:rsidRPr="000D2640" w:rsidRDefault="000D2640" w:rsidP="000D2640">
      <w:pPr>
        <w:pStyle w:val="CertHBWhite"/>
        <w:rPr>
          <w:color w:val="1F497D" w:themeColor="text2"/>
        </w:rPr>
      </w:pPr>
      <w:r w:rsidRPr="000D2640">
        <w:rPr>
          <w:color w:val="1F497D" w:themeColor="text2"/>
        </w:rPr>
        <w:t>Regulatory Impact Statement</w:t>
      </w:r>
    </w:p>
    <w:p w14:paraId="24146580" w14:textId="77777777" w:rsidR="000D2640" w:rsidRPr="000D2640" w:rsidRDefault="000D2640" w:rsidP="000D2640">
      <w:pPr>
        <w:pStyle w:val="CertHDWhite"/>
        <w:rPr>
          <w:color w:val="1F497D" w:themeColor="text2"/>
        </w:rPr>
      </w:pPr>
    </w:p>
    <w:p w14:paraId="3D869F6A" w14:textId="77777777" w:rsidR="00B3402C" w:rsidRPr="00C63F79" w:rsidRDefault="00C63F79" w:rsidP="000D2640">
      <w:pPr>
        <w:pStyle w:val="Body"/>
        <w:rPr>
          <w:color w:val="1F497D" w:themeColor="text2"/>
          <w:sz w:val="36"/>
        </w:rPr>
      </w:pPr>
      <w:r w:rsidRPr="00C63F79">
        <w:rPr>
          <w:color w:val="1F497D" w:themeColor="text2"/>
          <w:sz w:val="36"/>
        </w:rPr>
        <w:t xml:space="preserve">Recreational Fishery Licence </w:t>
      </w:r>
      <w:r>
        <w:rPr>
          <w:color w:val="1F497D" w:themeColor="text2"/>
          <w:sz w:val="36"/>
        </w:rPr>
        <w:t>F</w:t>
      </w:r>
      <w:r w:rsidRPr="00C63F79">
        <w:rPr>
          <w:color w:val="1F497D" w:themeColor="text2"/>
          <w:sz w:val="36"/>
        </w:rPr>
        <w:t>ees</w:t>
      </w:r>
    </w:p>
    <w:p w14:paraId="709E7D05" w14:textId="77777777" w:rsidR="00B3402C" w:rsidRDefault="00B3402C" w:rsidP="006C6C78">
      <w:pPr>
        <w:pStyle w:val="Body"/>
      </w:pPr>
    </w:p>
    <w:p w14:paraId="0B2F2F04" w14:textId="77777777" w:rsidR="00B3402C" w:rsidRDefault="00B3402C" w:rsidP="006C6C78">
      <w:pPr>
        <w:pStyle w:val="Body"/>
      </w:pPr>
    </w:p>
    <w:p w14:paraId="2C2B6C38" w14:textId="77777777" w:rsidR="00B3402C" w:rsidRDefault="00B3402C" w:rsidP="006C6C78">
      <w:pPr>
        <w:pStyle w:val="Body"/>
      </w:pPr>
    </w:p>
    <w:p w14:paraId="18E369ED" w14:textId="77777777" w:rsidR="00B3402C" w:rsidRDefault="00B3402C" w:rsidP="006C6C78">
      <w:pPr>
        <w:pStyle w:val="Body"/>
      </w:pPr>
    </w:p>
    <w:p w14:paraId="67636ACF" w14:textId="77777777" w:rsidR="00B3402C" w:rsidRDefault="00B3402C" w:rsidP="006C6C78">
      <w:pPr>
        <w:pStyle w:val="Body"/>
      </w:pPr>
    </w:p>
    <w:p w14:paraId="6C056C80" w14:textId="77777777" w:rsidR="00B3402C" w:rsidRDefault="00B3402C" w:rsidP="006C6C78">
      <w:pPr>
        <w:pStyle w:val="Body"/>
      </w:pPr>
    </w:p>
    <w:p w14:paraId="27205A85" w14:textId="77777777" w:rsidR="00B3402C" w:rsidRDefault="00B3402C" w:rsidP="006C6C78">
      <w:pPr>
        <w:pStyle w:val="Body"/>
      </w:pPr>
    </w:p>
    <w:p w14:paraId="1F3D6913" w14:textId="77777777" w:rsidR="00B3402C" w:rsidRDefault="00B3402C" w:rsidP="006C6C78">
      <w:pPr>
        <w:pStyle w:val="Body"/>
      </w:pPr>
    </w:p>
    <w:p w14:paraId="11F4BFB1" w14:textId="77777777" w:rsidR="00B3402C" w:rsidRDefault="00B3402C" w:rsidP="006C6C78">
      <w:pPr>
        <w:pStyle w:val="Body"/>
      </w:pPr>
    </w:p>
    <w:p w14:paraId="756AAF35" w14:textId="77777777" w:rsidR="00B3402C" w:rsidRDefault="00B3402C" w:rsidP="006C6C78">
      <w:pPr>
        <w:pStyle w:val="Body"/>
      </w:pPr>
    </w:p>
    <w:p w14:paraId="18D07027" w14:textId="77777777" w:rsidR="00B3402C" w:rsidRDefault="00B3402C" w:rsidP="006C6C78">
      <w:pPr>
        <w:pStyle w:val="Body"/>
      </w:pPr>
    </w:p>
    <w:p w14:paraId="0F6B513A" w14:textId="77777777" w:rsidR="00B3402C" w:rsidRDefault="00B3402C" w:rsidP="006C6C78">
      <w:pPr>
        <w:pStyle w:val="Body"/>
      </w:pPr>
    </w:p>
    <w:p w14:paraId="2317D55F" w14:textId="77777777" w:rsidR="00B3402C" w:rsidRDefault="00B3402C" w:rsidP="006C6C78">
      <w:pPr>
        <w:pStyle w:val="Body"/>
      </w:pPr>
    </w:p>
    <w:p w14:paraId="646152EF" w14:textId="77777777" w:rsidR="00B3402C" w:rsidRDefault="00B3402C" w:rsidP="006C6C78">
      <w:pPr>
        <w:pStyle w:val="Body"/>
      </w:pPr>
    </w:p>
    <w:p w14:paraId="04B78839" w14:textId="77777777" w:rsidR="00B3402C" w:rsidRDefault="00B3402C" w:rsidP="006C6C78">
      <w:pPr>
        <w:pStyle w:val="Body"/>
      </w:pPr>
    </w:p>
    <w:p w14:paraId="0FF1ADAE" w14:textId="77777777" w:rsidR="00B3402C" w:rsidRDefault="00B3402C" w:rsidP="006C6C78">
      <w:pPr>
        <w:pStyle w:val="Body"/>
      </w:pPr>
    </w:p>
    <w:p w14:paraId="45A09DD0" w14:textId="77777777" w:rsidR="00B3402C" w:rsidRDefault="00B3402C" w:rsidP="006C6C78">
      <w:pPr>
        <w:pStyle w:val="Body"/>
      </w:pPr>
    </w:p>
    <w:p w14:paraId="3DD317D8" w14:textId="77777777" w:rsidR="00B3402C" w:rsidRDefault="00B3402C" w:rsidP="006C6C78">
      <w:pPr>
        <w:pStyle w:val="Body"/>
      </w:pPr>
    </w:p>
    <w:p w14:paraId="664686CB" w14:textId="77777777" w:rsidR="00B3402C" w:rsidRDefault="00B3402C" w:rsidP="006C6C78">
      <w:pPr>
        <w:pStyle w:val="Body"/>
      </w:pPr>
    </w:p>
    <w:p w14:paraId="3AAE04F8" w14:textId="77777777" w:rsidR="00B3402C" w:rsidRDefault="00B3402C" w:rsidP="006C6C78">
      <w:pPr>
        <w:pStyle w:val="Body"/>
      </w:pPr>
    </w:p>
    <w:p w14:paraId="41017529" w14:textId="77777777" w:rsidR="00B3402C" w:rsidRDefault="006C36E2" w:rsidP="00B3402C">
      <w:pPr>
        <w:pStyle w:val="CertHE"/>
        <w:rPr>
          <w:color w:val="auto"/>
          <w:sz w:val="28"/>
          <w:szCs w:val="28"/>
        </w:rPr>
      </w:pPr>
      <w:r>
        <w:rPr>
          <w:color w:val="auto"/>
          <w:sz w:val="28"/>
          <w:szCs w:val="28"/>
        </w:rPr>
        <w:t>March</w:t>
      </w:r>
      <w:r w:rsidR="0004447A">
        <w:rPr>
          <w:color w:val="auto"/>
          <w:sz w:val="28"/>
          <w:szCs w:val="28"/>
        </w:rPr>
        <w:t xml:space="preserve"> </w:t>
      </w:r>
      <w:r w:rsidR="00B3402C" w:rsidRPr="00881464">
        <w:rPr>
          <w:color w:val="auto"/>
          <w:sz w:val="28"/>
          <w:szCs w:val="28"/>
        </w:rPr>
        <w:t>201</w:t>
      </w:r>
      <w:r w:rsidR="000D2640">
        <w:rPr>
          <w:color w:val="auto"/>
          <w:sz w:val="28"/>
          <w:szCs w:val="28"/>
        </w:rPr>
        <w:t>6</w:t>
      </w:r>
    </w:p>
    <w:p w14:paraId="6FF88247" w14:textId="77777777" w:rsidR="00B3402C" w:rsidRPr="00881464" w:rsidRDefault="00B3402C" w:rsidP="00B3402C">
      <w:pPr>
        <w:pStyle w:val="CertHE"/>
        <w:ind w:left="532"/>
        <w:rPr>
          <w:color w:val="auto"/>
          <w:sz w:val="28"/>
          <w:szCs w:val="28"/>
        </w:rPr>
      </w:pPr>
    </w:p>
    <w:p w14:paraId="2BAADC93" w14:textId="77777777" w:rsidR="00B3402C" w:rsidRPr="00881464" w:rsidRDefault="00B3402C" w:rsidP="00B3402C">
      <w:pPr>
        <w:pStyle w:val="Body"/>
      </w:pPr>
      <w:r w:rsidRPr="00881464">
        <w:t>This</w:t>
      </w:r>
      <w:r w:rsidR="00522C99">
        <w:t xml:space="preserve"> </w:t>
      </w:r>
      <w:r w:rsidRPr="00881464">
        <w:t xml:space="preserve">Regulatory Impact Statement has been prepared in accordance with the requirements of the </w:t>
      </w:r>
      <w:r w:rsidRPr="00881464">
        <w:rPr>
          <w:i/>
        </w:rPr>
        <w:t>Subordinate Legislation Act 1994</w:t>
      </w:r>
      <w:r w:rsidRPr="00881464">
        <w:t xml:space="preserve"> and the </w:t>
      </w:r>
      <w:r w:rsidRPr="00881464">
        <w:rPr>
          <w:i/>
        </w:rPr>
        <w:t>Victorian Guide to Regulation</w:t>
      </w:r>
      <w:r w:rsidR="00F35997">
        <w:rPr>
          <w:i/>
        </w:rPr>
        <w:t>.</w:t>
      </w:r>
    </w:p>
    <w:p w14:paraId="54DCB3C4" w14:textId="77777777" w:rsidR="000039F1" w:rsidRDefault="000039F1" w:rsidP="006C6C78">
      <w:pPr>
        <w:pStyle w:val="Body"/>
        <w:sectPr w:rsidR="000039F1" w:rsidSect="00F3009D">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568" w:left="1134" w:header="709" w:footer="709" w:gutter="0"/>
          <w:cols w:space="708"/>
          <w:docGrid w:linePitch="360"/>
        </w:sectPr>
      </w:pPr>
    </w:p>
    <w:tbl>
      <w:tblPr>
        <w:tblW w:w="0" w:type="auto"/>
        <w:tblLook w:val="01E0" w:firstRow="1" w:lastRow="1" w:firstColumn="1" w:lastColumn="1" w:noHBand="0" w:noVBand="0"/>
      </w:tblPr>
      <w:tblGrid>
        <w:gridCol w:w="9855"/>
      </w:tblGrid>
      <w:tr w:rsidR="000039F1" w14:paraId="421C25B7" w14:textId="77777777" w:rsidTr="000039F1">
        <w:trPr>
          <w:trHeight w:val="13912"/>
        </w:trPr>
        <w:tc>
          <w:tcPr>
            <w:tcW w:w="9855" w:type="dxa"/>
            <w:shd w:val="clear" w:color="auto" w:fill="auto"/>
          </w:tcPr>
          <w:p w14:paraId="31E9412B" w14:textId="77777777" w:rsidR="000039F1" w:rsidRDefault="000039F1" w:rsidP="00C63F79">
            <w:pPr>
              <w:jc w:val="center"/>
              <w:rPr>
                <w:sz w:val="16"/>
              </w:rPr>
            </w:pPr>
            <w:r w:rsidRPr="00C63F79">
              <w:rPr>
                <w:sz w:val="16"/>
              </w:rPr>
              <w:lastRenderedPageBreak/>
              <w:t xml:space="preserve">FISHERIES AND FISHERIES (FEES, ROYALTIES AND LEVIES) AMENDMENT </w:t>
            </w:r>
            <w:r w:rsidR="00FF2C43">
              <w:rPr>
                <w:sz w:val="16"/>
              </w:rPr>
              <w:br/>
            </w:r>
            <w:r w:rsidR="00C91FB5">
              <w:rPr>
                <w:sz w:val="16"/>
              </w:rPr>
              <w:t xml:space="preserve">(RECREATIONAL FISHERY LICENCE) </w:t>
            </w:r>
            <w:r w:rsidRPr="00C63F79">
              <w:rPr>
                <w:sz w:val="16"/>
              </w:rPr>
              <w:t>REGULATIONS 201</w:t>
            </w:r>
            <w:r w:rsidR="00C63F79" w:rsidRPr="00C63F79">
              <w:rPr>
                <w:sz w:val="16"/>
              </w:rPr>
              <w:t>6</w:t>
            </w:r>
          </w:p>
          <w:p w14:paraId="5C75D5BA" w14:textId="77777777" w:rsidR="00C63F79" w:rsidRPr="00C63F79" w:rsidRDefault="00C63F79" w:rsidP="00C63F79">
            <w:pPr>
              <w:jc w:val="center"/>
              <w:rPr>
                <w:sz w:val="16"/>
              </w:rPr>
            </w:pPr>
          </w:p>
          <w:p w14:paraId="2F9528DF" w14:textId="77777777" w:rsidR="000039F1" w:rsidRPr="00C63F79" w:rsidRDefault="000039F1" w:rsidP="000039F1">
            <w:pPr>
              <w:pStyle w:val="HA"/>
              <w:spacing w:after="200"/>
              <w:jc w:val="center"/>
              <w:rPr>
                <w:color w:val="1F497D" w:themeColor="text2"/>
                <w:sz w:val="32"/>
              </w:rPr>
            </w:pPr>
            <w:bookmarkStart w:id="1" w:name="_Toc439692278"/>
            <w:bookmarkStart w:id="2" w:name="_Toc441733966"/>
            <w:r w:rsidRPr="00C63F79">
              <w:rPr>
                <w:color w:val="1F497D" w:themeColor="text2"/>
                <w:sz w:val="32"/>
              </w:rPr>
              <w:t>Regulatory Impact Statement</w:t>
            </w:r>
            <w:bookmarkEnd w:id="1"/>
            <w:bookmarkEnd w:id="2"/>
          </w:p>
          <w:tbl>
            <w:tblPr>
              <w:tblpPr w:leftFromText="180" w:rightFromText="180" w:vertAnchor="text" w:horzAnchor="margin" w:tblpXSpec="center" w:tblpY="140"/>
              <w:tblOverlap w:val="never"/>
              <w:tblW w:w="0" w:type="auto"/>
              <w:tblCellMar>
                <w:left w:w="10" w:type="dxa"/>
                <w:right w:w="10" w:type="dxa"/>
              </w:tblCellMar>
              <w:tblLook w:val="0000" w:firstRow="0" w:lastRow="0" w:firstColumn="0" w:lastColumn="0" w:noHBand="0" w:noVBand="0"/>
              <w:tblCaption w:val="Regulatory Impact Statement"/>
              <w:tblDescription w:val="In accordance with the Victorian Guide to Regulation, the Victorian Government seeks to ensure that regulations are well targeted, effective and appropriate, and that they impose the lowest possible burden on Victorian businesses and the community.&#10;&#10;The Regulatory Impact Statement (RIS) process involves an assessment of regulatory proposals and allows members of the community to comment on proposed regulations before they are finalised. Such public input provides valuable information and perspectives, and improves the overall quality of regulations.&#10;&#10;This RIS has been prepared to facilitate public consultation on the proposed Fisheries and Fisheries (Fees, Royalties and Levies) Miscellaneous Amendment Regulations 2014 (the proposed Regulations). The proposed Regulations amend two existing sets of Regulations—the Fisheries Regulations 2009 and the Fisheries (Fees, Royalties and Levies) Regulations 2008. The proposed amendments contain changes to the structure of recreational fishery licence fees and levies, the amount of the fees and levies, and enhanced enforcement arrangements. A copy of the proposed Regulations is attached to this RIS.&#10;&#10;Submissions are now invited on the proposed Regulations. Unless requested by the author, all submissions will be treated as public documents and may be made available to other parties. &#10;&#10;Written comments and submissions should be forwarded by no later than 5:00pm, 28 May 2014 to:&#10;&#10;Recreational Fishery Licence RIS &#10;Fisheries Victoria &#10;Department of Environment and Primary Industries &#10;GPO Box 4440 &#10;Melbourne   Vic   3001&#10;or email:  RFL.RIS@depi.vic.gov.au&#10;"/>
            </w:tblPr>
            <w:tblGrid>
              <w:gridCol w:w="8114"/>
            </w:tblGrid>
            <w:tr w:rsidR="000039F1" w:rsidRPr="0008580A" w14:paraId="225C0B2E" w14:textId="77777777" w:rsidTr="000039F1">
              <w:trPr>
                <w:trHeight w:val="1"/>
              </w:trPr>
              <w:tc>
                <w:tcPr>
                  <w:tcW w:w="8114"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84DC6DC" w14:textId="77777777" w:rsidR="000039F1" w:rsidRPr="00881464" w:rsidRDefault="000039F1" w:rsidP="006C6C78">
                  <w:r w:rsidRPr="0008580A">
                    <w:rPr>
                      <w:sz w:val="22"/>
                      <w:szCs w:val="22"/>
                    </w:rPr>
                    <w:br/>
                  </w:r>
                  <w:r w:rsidRPr="00881464">
                    <w:t xml:space="preserve">In accordance with the </w:t>
                  </w:r>
                  <w:r w:rsidRPr="00881464">
                    <w:rPr>
                      <w:i/>
                    </w:rPr>
                    <w:t>Victorian Guide to Regulation</w:t>
                  </w:r>
                  <w:r w:rsidRPr="00881464">
                    <w:t>, the Victorian Government seeks to ensure that regulations are well targeted, effective and appropriate, and that they impose the lowest possible burden on Victorian businesses and the community.</w:t>
                  </w:r>
                </w:p>
                <w:p w14:paraId="2AD2A337" w14:textId="77777777" w:rsidR="000039F1" w:rsidRPr="00881464" w:rsidRDefault="000039F1" w:rsidP="006C6C78"/>
                <w:p w14:paraId="6DCC3EC8" w14:textId="77777777" w:rsidR="000039F1" w:rsidRPr="00881464" w:rsidRDefault="000039F1" w:rsidP="006C6C78">
                  <w:r w:rsidRPr="00881464">
                    <w:t>The Regulatory Impact Statement (RIS) process involves an assessment of regulatory proposals and allows members of the community to comment on proposed regulations before they are finalised. Such public input provides valuable information and perspectives, and improves the overall quality of regulations.</w:t>
                  </w:r>
                </w:p>
                <w:p w14:paraId="4F917BA3" w14:textId="77777777" w:rsidR="000039F1" w:rsidRPr="00881464" w:rsidRDefault="000039F1" w:rsidP="006C6C78"/>
                <w:p w14:paraId="1B40F528" w14:textId="77777777" w:rsidR="000039F1" w:rsidRPr="00881464" w:rsidRDefault="000039F1" w:rsidP="006C6C78">
                  <w:r w:rsidRPr="00881464">
                    <w:t xml:space="preserve">This RIS has been prepared to facilitate public consultation on the proposed Fisheries and Fisheries (Fees, Royalties and Levies) Amendment </w:t>
                  </w:r>
                  <w:r w:rsidR="00B7040C">
                    <w:t xml:space="preserve">(Recreational Fishery Licence) </w:t>
                  </w:r>
                  <w:r w:rsidRPr="00881464">
                    <w:t>Regulations 201</w:t>
                  </w:r>
                  <w:r w:rsidR="00C63F79">
                    <w:t>6</w:t>
                  </w:r>
                  <w:r w:rsidRPr="00881464">
                    <w:t xml:space="preserve"> (the proposed Regulations). </w:t>
                  </w:r>
                  <w:r w:rsidR="00C63F79" w:rsidRPr="00881464">
                    <w:t xml:space="preserve">The proposed amendments contain changes to the </w:t>
                  </w:r>
                  <w:r w:rsidR="00C63F79">
                    <w:t xml:space="preserve">fees for </w:t>
                  </w:r>
                  <w:r w:rsidR="00C63F79" w:rsidRPr="00881464">
                    <w:t>recreational fishery licence</w:t>
                  </w:r>
                  <w:r w:rsidR="00C63F79">
                    <w:t>s</w:t>
                  </w:r>
                  <w:r w:rsidR="00C63F79" w:rsidRPr="00881464">
                    <w:t xml:space="preserve">. </w:t>
                  </w:r>
                  <w:r w:rsidRPr="00881464">
                    <w:t>The proposed Regulations amend two existing sets of Regulations—the Fisheries (Fees, Royalties and Levies) Regulations 2008</w:t>
                  </w:r>
                  <w:r w:rsidR="00C63F79">
                    <w:t>, which set out the fees for recreational fishery licences, and</w:t>
                  </w:r>
                  <w:r w:rsidR="00C63F79" w:rsidRPr="00881464">
                    <w:t xml:space="preserve"> the Fisheries Regulations 2009</w:t>
                  </w:r>
                  <w:r w:rsidR="00C63F79">
                    <w:t>, which will include some incidental amendments to support better enforcement</w:t>
                  </w:r>
                  <w:r w:rsidRPr="00881464">
                    <w:t xml:space="preserve">. A copy of the proposed Regulations is </w:t>
                  </w:r>
                  <w:r w:rsidR="00C63F79">
                    <w:t>available as part of</w:t>
                  </w:r>
                  <w:r w:rsidRPr="00881464">
                    <w:t xml:space="preserve"> this RIS.</w:t>
                  </w:r>
                  <w:r w:rsidR="00C63F79" w:rsidRPr="00881464">
                    <w:t xml:space="preserve"> </w:t>
                  </w:r>
                </w:p>
                <w:p w14:paraId="2609CA50" w14:textId="77777777" w:rsidR="000039F1" w:rsidRPr="00881464" w:rsidRDefault="000039F1" w:rsidP="006C6C78"/>
                <w:p w14:paraId="60A31D2D" w14:textId="77777777" w:rsidR="000039F1" w:rsidRPr="00881464" w:rsidRDefault="000039F1" w:rsidP="006C6C78">
                  <w:r w:rsidRPr="00881464">
                    <w:t xml:space="preserve">Submissions are now invited on the proposed Regulations. Unless requested by the author, all submissions will be treated as public documents and may be made available to other parties. </w:t>
                  </w:r>
                </w:p>
                <w:p w14:paraId="6CA33770" w14:textId="77777777" w:rsidR="000039F1" w:rsidRPr="00881464" w:rsidRDefault="000039F1" w:rsidP="006C6C78"/>
                <w:p w14:paraId="4C92B9B3" w14:textId="4FBA2340" w:rsidR="000039F1" w:rsidRPr="00881464" w:rsidRDefault="000039F1" w:rsidP="006C6C78">
                  <w:r w:rsidRPr="00881464">
                    <w:t>Written comments and submissions should be forwarded by no later than</w:t>
                  </w:r>
                  <w:r w:rsidR="000B29C0">
                    <w:t xml:space="preserve"> </w:t>
                  </w:r>
                  <w:r w:rsidR="006C36E2">
                    <w:t>5:00</w:t>
                  </w:r>
                  <w:r w:rsidR="00792EFD">
                    <w:t xml:space="preserve"> </w:t>
                  </w:r>
                  <w:r w:rsidR="006C36E2">
                    <w:t xml:space="preserve">PM </w:t>
                  </w:r>
                  <w:r w:rsidR="00792EFD">
                    <w:t xml:space="preserve">on </w:t>
                  </w:r>
                  <w:r w:rsidR="00792EFD">
                    <w:br/>
                    <w:t>1</w:t>
                  </w:r>
                  <w:r w:rsidR="006C36E2">
                    <w:t>9 April 2016</w:t>
                  </w:r>
                  <w:r w:rsidRPr="00881464">
                    <w:t>:</w:t>
                  </w:r>
                </w:p>
                <w:p w14:paraId="33EAE52A" w14:textId="77777777" w:rsidR="000039F1" w:rsidRPr="00881464" w:rsidRDefault="000039F1" w:rsidP="006C6C78"/>
                <w:p w14:paraId="55664DA1" w14:textId="77777777" w:rsidR="000039F1" w:rsidRPr="00881464" w:rsidRDefault="000039F1" w:rsidP="006C6C78">
                  <w:r w:rsidRPr="00881464">
                    <w:t xml:space="preserve">Recreational Fishery Licence RIS </w:t>
                  </w:r>
                  <w:r w:rsidRPr="00881464">
                    <w:br/>
                    <w:t xml:space="preserve">Fisheries Victoria </w:t>
                  </w:r>
                  <w:r w:rsidRPr="00881464">
                    <w:br/>
                  </w:r>
                  <w:r w:rsidR="009760D6">
                    <w:t>Department of Economic Development, Jobs, Transport and Resources</w:t>
                  </w:r>
                  <w:r w:rsidR="009760D6" w:rsidRPr="00881464">
                    <w:br/>
                    <w:t xml:space="preserve">GPO </w:t>
                  </w:r>
                  <w:r w:rsidR="009760D6">
                    <w:t>Box 4509</w:t>
                  </w:r>
                  <w:r w:rsidR="00DF2B89">
                    <w:br/>
                    <w:t>Melbourne   Vic   3001</w:t>
                  </w:r>
                  <w:r w:rsidRPr="00881464">
                    <w:br/>
                  </w:r>
                </w:p>
                <w:p w14:paraId="50BCFD5E" w14:textId="77777777" w:rsidR="000039F1" w:rsidRPr="00881464" w:rsidRDefault="000039F1" w:rsidP="006C6C78">
                  <w:pPr>
                    <w:rPr>
                      <w:b/>
                      <w:bCs/>
                      <w:color w:val="4F81BD"/>
                    </w:rPr>
                  </w:pPr>
                  <w:r w:rsidRPr="00881464">
                    <w:t xml:space="preserve">or email:  </w:t>
                  </w:r>
                  <w:r w:rsidR="00C91FB5" w:rsidRPr="00C91FB5">
                    <w:t>RFL.RIS@ecodev.vic.gov.au</w:t>
                  </w:r>
                </w:p>
                <w:p w14:paraId="7D50DDDB" w14:textId="77777777" w:rsidR="000039F1" w:rsidRPr="0008580A" w:rsidRDefault="000039F1" w:rsidP="006C6C78"/>
              </w:tc>
            </w:tr>
          </w:tbl>
          <w:p w14:paraId="4025977D" w14:textId="77777777" w:rsidR="000039F1" w:rsidRDefault="000039F1" w:rsidP="006C6C78"/>
          <w:p w14:paraId="7D315D97" w14:textId="77777777" w:rsidR="000039F1" w:rsidRDefault="000039F1" w:rsidP="006C6C78"/>
          <w:p w14:paraId="69E0591F" w14:textId="77777777" w:rsidR="000039F1" w:rsidRDefault="000039F1" w:rsidP="006C6C78"/>
          <w:p w14:paraId="5EC7F06C" w14:textId="77777777" w:rsidR="000039F1" w:rsidRDefault="000039F1" w:rsidP="006C6C78"/>
          <w:p w14:paraId="375F4A3C" w14:textId="77777777" w:rsidR="000039F1" w:rsidRDefault="000039F1" w:rsidP="006C6C78"/>
          <w:p w14:paraId="5DAFA1F5" w14:textId="77777777" w:rsidR="000039F1" w:rsidRDefault="000039F1" w:rsidP="006C6C78"/>
          <w:p w14:paraId="35E51CC1" w14:textId="77777777" w:rsidR="000039F1" w:rsidRDefault="000039F1" w:rsidP="006C6C78"/>
          <w:p w14:paraId="318CEF68" w14:textId="77777777" w:rsidR="000039F1" w:rsidRDefault="000039F1" w:rsidP="006C6C78"/>
          <w:p w14:paraId="06C933B7" w14:textId="77777777" w:rsidR="000039F1" w:rsidRDefault="000039F1" w:rsidP="006C6C78"/>
          <w:p w14:paraId="6FD1992B" w14:textId="77777777" w:rsidR="000039F1" w:rsidRDefault="000039F1" w:rsidP="006C6C78"/>
          <w:p w14:paraId="56EDEE78" w14:textId="77777777" w:rsidR="000039F1" w:rsidRDefault="000039F1" w:rsidP="006C6C78"/>
          <w:p w14:paraId="00E26882" w14:textId="77777777" w:rsidR="000039F1" w:rsidRDefault="000039F1" w:rsidP="006C6C78"/>
          <w:p w14:paraId="08D000D2" w14:textId="77777777" w:rsidR="000039F1" w:rsidRDefault="000039F1" w:rsidP="006C6C78"/>
          <w:p w14:paraId="2EBC379B" w14:textId="77777777" w:rsidR="000039F1" w:rsidRDefault="000039F1" w:rsidP="006C6C78"/>
          <w:p w14:paraId="05AE06F2" w14:textId="77777777" w:rsidR="000039F1" w:rsidRDefault="000039F1" w:rsidP="006C6C78"/>
          <w:p w14:paraId="004D34A4" w14:textId="77777777" w:rsidR="000039F1" w:rsidRDefault="000039F1" w:rsidP="006C6C78"/>
          <w:p w14:paraId="2CE934AF" w14:textId="77777777" w:rsidR="000039F1" w:rsidRDefault="000039F1" w:rsidP="006C6C78"/>
          <w:p w14:paraId="0996E925" w14:textId="77777777" w:rsidR="000039F1" w:rsidRDefault="000039F1" w:rsidP="006C6C78"/>
          <w:p w14:paraId="7D7AE633" w14:textId="77777777" w:rsidR="000039F1" w:rsidRDefault="000039F1" w:rsidP="006C6C78"/>
          <w:p w14:paraId="6EDE2C19" w14:textId="77777777" w:rsidR="000039F1" w:rsidRDefault="000039F1" w:rsidP="006C6C78"/>
          <w:p w14:paraId="5C4E9D29" w14:textId="77777777" w:rsidR="000039F1" w:rsidRDefault="000039F1" w:rsidP="006C6C78"/>
          <w:p w14:paraId="4EF02541" w14:textId="77777777" w:rsidR="000039F1" w:rsidRDefault="000039F1" w:rsidP="006C6C78"/>
          <w:p w14:paraId="6DD21603" w14:textId="77777777" w:rsidR="000039F1" w:rsidRDefault="000039F1" w:rsidP="006C6C78"/>
          <w:p w14:paraId="2FA36468" w14:textId="77777777" w:rsidR="000039F1" w:rsidRDefault="000039F1" w:rsidP="006C6C78"/>
          <w:p w14:paraId="2A4FB23D" w14:textId="77777777" w:rsidR="000039F1" w:rsidRDefault="000039F1" w:rsidP="006C6C78"/>
          <w:p w14:paraId="4E759A70" w14:textId="77777777" w:rsidR="000039F1" w:rsidRDefault="000039F1" w:rsidP="006C6C78"/>
          <w:p w14:paraId="10B29115" w14:textId="77777777" w:rsidR="000039F1" w:rsidRDefault="000039F1" w:rsidP="006C6C78"/>
          <w:p w14:paraId="2D7496AA" w14:textId="77777777" w:rsidR="000039F1" w:rsidRDefault="000039F1" w:rsidP="006C6C78"/>
          <w:p w14:paraId="6CC4CEE6" w14:textId="77777777" w:rsidR="000039F1" w:rsidRDefault="000039F1" w:rsidP="006C6C78"/>
          <w:p w14:paraId="554230E9" w14:textId="77777777" w:rsidR="000039F1" w:rsidRDefault="000039F1" w:rsidP="006C6C78"/>
          <w:p w14:paraId="675B2F16" w14:textId="77777777" w:rsidR="000039F1" w:rsidRDefault="000039F1" w:rsidP="006C6C78"/>
          <w:p w14:paraId="302A5408" w14:textId="77777777" w:rsidR="000039F1" w:rsidRDefault="000039F1" w:rsidP="006C6C78"/>
          <w:p w14:paraId="62E6861B" w14:textId="77777777" w:rsidR="000039F1" w:rsidRDefault="000039F1" w:rsidP="006C6C78"/>
          <w:p w14:paraId="40B3936C" w14:textId="77777777" w:rsidR="008047A1" w:rsidRDefault="008047A1" w:rsidP="006C6C78"/>
          <w:p w14:paraId="442B795D" w14:textId="77777777" w:rsidR="008047A1" w:rsidRDefault="008047A1" w:rsidP="006C6C78"/>
          <w:p w14:paraId="52DBCA89" w14:textId="77777777" w:rsidR="006C36E2" w:rsidRDefault="006C36E2" w:rsidP="003D0F96">
            <w:pPr>
              <w:pStyle w:val="Body"/>
              <w:spacing w:after="100"/>
              <w:rPr>
                <w:sz w:val="16"/>
                <w:szCs w:val="16"/>
              </w:rPr>
            </w:pPr>
          </w:p>
          <w:p w14:paraId="54F5DD3C" w14:textId="77777777" w:rsidR="006C36E2" w:rsidRDefault="006C36E2" w:rsidP="003D0F96">
            <w:pPr>
              <w:pStyle w:val="Body"/>
              <w:spacing w:after="100"/>
              <w:rPr>
                <w:sz w:val="16"/>
                <w:szCs w:val="16"/>
              </w:rPr>
            </w:pPr>
          </w:p>
          <w:p w14:paraId="77351D1C" w14:textId="77777777" w:rsidR="006C36E2" w:rsidRDefault="006C36E2" w:rsidP="003D0F96">
            <w:pPr>
              <w:pStyle w:val="Body"/>
              <w:spacing w:after="100"/>
              <w:rPr>
                <w:sz w:val="16"/>
                <w:szCs w:val="16"/>
              </w:rPr>
            </w:pPr>
          </w:p>
          <w:p w14:paraId="4BAAC4F7" w14:textId="77777777" w:rsidR="00C91FB5" w:rsidRPr="00C91FB5" w:rsidRDefault="00C91FB5" w:rsidP="003D0F96">
            <w:pPr>
              <w:pStyle w:val="Body"/>
              <w:spacing w:after="100"/>
              <w:rPr>
                <w:sz w:val="16"/>
                <w:szCs w:val="16"/>
              </w:rPr>
            </w:pPr>
            <w:r w:rsidRPr="00C91FB5">
              <w:rPr>
                <w:sz w:val="16"/>
                <w:szCs w:val="16"/>
              </w:rPr>
              <w:t>© The State of Victoria 2016.</w:t>
            </w:r>
          </w:p>
          <w:p w14:paraId="71531311" w14:textId="77777777" w:rsidR="00C91FB5" w:rsidRPr="00C91FB5" w:rsidRDefault="00C91FB5" w:rsidP="003D0F96">
            <w:pPr>
              <w:pStyle w:val="Body"/>
              <w:spacing w:after="100"/>
              <w:rPr>
                <w:sz w:val="16"/>
                <w:szCs w:val="16"/>
              </w:rPr>
            </w:pPr>
            <w:r w:rsidRPr="00C91FB5">
              <w:rPr>
                <w:sz w:val="16"/>
                <w:szCs w:val="16"/>
              </w:rPr>
              <w:t xml:space="preserve">Published by the Department of Economic Development, Jobs, Transport and Resources, </w:t>
            </w:r>
            <w:r w:rsidR="006C36E2">
              <w:rPr>
                <w:sz w:val="16"/>
                <w:szCs w:val="16"/>
              </w:rPr>
              <w:t>March</w:t>
            </w:r>
            <w:r w:rsidRPr="00C91FB5">
              <w:rPr>
                <w:sz w:val="16"/>
                <w:szCs w:val="16"/>
              </w:rPr>
              <w:t xml:space="preserve"> 2016 </w:t>
            </w:r>
          </w:p>
          <w:p w14:paraId="1B0F5D21" w14:textId="77777777" w:rsidR="00C91FB5" w:rsidRPr="00C91FB5" w:rsidRDefault="00C91FB5" w:rsidP="003D0F96">
            <w:pPr>
              <w:pStyle w:val="Body"/>
              <w:spacing w:after="100"/>
              <w:rPr>
                <w:sz w:val="16"/>
                <w:szCs w:val="16"/>
              </w:rPr>
            </w:pPr>
            <w:r w:rsidRPr="00C91FB5">
              <w:rPr>
                <w:sz w:val="16"/>
                <w:szCs w:val="16"/>
              </w:rPr>
              <w:t xml:space="preserve">This publication is copyright. No part may be reproduced by any process except in accordance with the provisions of the Copyright Act 1968. </w:t>
            </w:r>
          </w:p>
          <w:p w14:paraId="37746878" w14:textId="77777777" w:rsidR="00C91FB5" w:rsidRPr="00C91FB5" w:rsidRDefault="00C91FB5" w:rsidP="003D0F96">
            <w:pPr>
              <w:pStyle w:val="Body"/>
              <w:spacing w:after="100"/>
              <w:rPr>
                <w:sz w:val="16"/>
                <w:szCs w:val="16"/>
              </w:rPr>
            </w:pPr>
            <w:r w:rsidRPr="00C91FB5">
              <w:rPr>
                <w:sz w:val="16"/>
                <w:szCs w:val="16"/>
              </w:rPr>
              <w:t>Authorised by the Department of Economic Development, Jobs, Transport and Resources, 1 Spring Street, Melbourne 3000</w:t>
            </w:r>
            <w:r w:rsidR="00212D4F">
              <w:rPr>
                <w:sz w:val="16"/>
                <w:szCs w:val="16"/>
              </w:rPr>
              <w:t>.</w:t>
            </w:r>
            <w:r w:rsidRPr="00C91FB5">
              <w:rPr>
                <w:sz w:val="16"/>
                <w:szCs w:val="16"/>
              </w:rPr>
              <w:t xml:space="preserve"> </w:t>
            </w:r>
          </w:p>
          <w:p w14:paraId="07D8A741" w14:textId="77777777" w:rsidR="00C91FB5" w:rsidRPr="00C91FB5" w:rsidRDefault="00C91FB5" w:rsidP="003D0F96">
            <w:pPr>
              <w:pStyle w:val="Body"/>
              <w:spacing w:after="100"/>
              <w:rPr>
                <w:sz w:val="16"/>
                <w:szCs w:val="16"/>
              </w:rPr>
            </w:pPr>
            <w:r w:rsidRPr="00C91FB5">
              <w:rPr>
                <w:sz w:val="16"/>
                <w:szCs w:val="16"/>
              </w:rPr>
              <w:t xml:space="preserve">This work is licensed under a Creative Commons Attribution 3.0 Australia licence. You are free to re-use the work under that licence, on the condition that you credit the State of Victoria as author. The licence does not apply to any images, photographs or branding, including the Victorian Coat of Arms, the Victorian Government logo and the Department of Economic Development, Jobs, Transport and Resources logo. To view a copy of this licence, visit http://creativecommons.org/licenses/by/3.0/au/deed.en </w:t>
            </w:r>
          </w:p>
          <w:p w14:paraId="1D950C0F" w14:textId="77777777" w:rsidR="00C91FB5" w:rsidRPr="003D0F96" w:rsidRDefault="00C91FB5" w:rsidP="003D0F96">
            <w:pPr>
              <w:pStyle w:val="Body"/>
              <w:spacing w:after="100"/>
              <w:rPr>
                <w:b/>
                <w:bCs/>
                <w:sz w:val="16"/>
                <w:szCs w:val="16"/>
              </w:rPr>
            </w:pPr>
            <w:r w:rsidRPr="003D0F96">
              <w:rPr>
                <w:b/>
                <w:bCs/>
                <w:sz w:val="16"/>
                <w:szCs w:val="16"/>
              </w:rPr>
              <w:t>Accessibility</w:t>
            </w:r>
          </w:p>
          <w:p w14:paraId="79FC4BB3" w14:textId="77777777" w:rsidR="00C91FB5" w:rsidRPr="00C91FB5" w:rsidRDefault="00C91FB5" w:rsidP="003D0F96">
            <w:pPr>
              <w:pStyle w:val="Body"/>
              <w:spacing w:after="100"/>
              <w:rPr>
                <w:sz w:val="16"/>
                <w:szCs w:val="16"/>
              </w:rPr>
            </w:pPr>
            <w:r w:rsidRPr="00C91FB5">
              <w:rPr>
                <w:sz w:val="16"/>
                <w:szCs w:val="16"/>
              </w:rPr>
              <w:t xml:space="preserve">If you would like to receive this information/publication in an accessible format (such as large print or audio) please call the Customer Service Centre on </w:t>
            </w:r>
            <w:r>
              <w:rPr>
                <w:sz w:val="16"/>
                <w:szCs w:val="16"/>
              </w:rPr>
              <w:t>136 186</w:t>
            </w:r>
            <w:r w:rsidRPr="00C91FB5">
              <w:rPr>
                <w:sz w:val="16"/>
                <w:szCs w:val="16"/>
              </w:rPr>
              <w:t xml:space="preserve">, National Relay Service/ TTY </w:t>
            </w:r>
            <w:r>
              <w:rPr>
                <w:sz w:val="16"/>
                <w:szCs w:val="16"/>
              </w:rPr>
              <w:t>133</w:t>
            </w:r>
            <w:r w:rsidRPr="00C91FB5">
              <w:rPr>
                <w:sz w:val="16"/>
                <w:szCs w:val="16"/>
              </w:rPr>
              <w:t xml:space="preserve"> </w:t>
            </w:r>
            <w:r>
              <w:rPr>
                <w:sz w:val="16"/>
                <w:szCs w:val="16"/>
              </w:rPr>
              <w:t>677</w:t>
            </w:r>
            <w:r w:rsidRPr="00C91FB5">
              <w:rPr>
                <w:sz w:val="16"/>
                <w:szCs w:val="16"/>
              </w:rPr>
              <w:t>, or email customer.service@ecodev.vic.gov.au</w:t>
            </w:r>
          </w:p>
          <w:p w14:paraId="5EF11154" w14:textId="77777777" w:rsidR="00C91FB5" w:rsidRPr="003D0F96" w:rsidRDefault="00C91FB5" w:rsidP="003D0F96">
            <w:pPr>
              <w:pStyle w:val="Body"/>
              <w:spacing w:after="100"/>
              <w:rPr>
                <w:b/>
                <w:bCs/>
                <w:sz w:val="16"/>
                <w:szCs w:val="16"/>
              </w:rPr>
            </w:pPr>
            <w:r w:rsidRPr="003D0F96">
              <w:rPr>
                <w:b/>
                <w:bCs/>
                <w:sz w:val="16"/>
                <w:szCs w:val="16"/>
              </w:rPr>
              <w:t xml:space="preserve">Disclaimer </w:t>
            </w:r>
          </w:p>
          <w:p w14:paraId="6132B4BB" w14:textId="77777777" w:rsidR="00C91FB5" w:rsidRPr="00C91FB5" w:rsidRDefault="00C91FB5" w:rsidP="003D0F96">
            <w:pPr>
              <w:pStyle w:val="Body"/>
              <w:spacing w:after="100"/>
              <w:rPr>
                <w:sz w:val="16"/>
                <w:szCs w:val="16"/>
              </w:rPr>
            </w:pPr>
            <w:r w:rsidRPr="00C91FB5">
              <w:rPr>
                <w:sz w:val="16"/>
                <w:szCs w:val="16"/>
              </w:rPr>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p w14:paraId="714C5561" w14:textId="77777777" w:rsidR="003D0F96" w:rsidRDefault="00C91FB5" w:rsidP="003D0F96">
            <w:pPr>
              <w:pStyle w:val="Body"/>
              <w:spacing w:after="100"/>
              <w:rPr>
                <w:sz w:val="16"/>
                <w:szCs w:val="16"/>
              </w:rPr>
            </w:pPr>
            <w:r w:rsidRPr="00C91FB5">
              <w:rPr>
                <w:sz w:val="16"/>
                <w:szCs w:val="16"/>
              </w:rPr>
              <w:t xml:space="preserve">For more information about DEDJTR go to economicdevelopment.vic.gov.au or phone the Customer Service Centre on </w:t>
            </w:r>
            <w:r>
              <w:rPr>
                <w:sz w:val="16"/>
                <w:szCs w:val="16"/>
              </w:rPr>
              <w:t>136 186</w:t>
            </w:r>
          </w:p>
          <w:p w14:paraId="18745636" w14:textId="77777777" w:rsidR="00C63F79" w:rsidRDefault="00C63F79" w:rsidP="003D0F96">
            <w:pPr>
              <w:pStyle w:val="Body"/>
              <w:spacing w:after="100"/>
            </w:pPr>
            <w:r>
              <w:rPr>
                <w:sz w:val="16"/>
                <w:szCs w:val="16"/>
              </w:rPr>
              <w:t xml:space="preserve">This report was prepared for the </w:t>
            </w:r>
            <w:r w:rsidRPr="00C63F79">
              <w:rPr>
                <w:sz w:val="16"/>
                <w:szCs w:val="16"/>
              </w:rPr>
              <w:t>Department of Economic Development, Jobs, Transport and Resources</w:t>
            </w:r>
            <w:r>
              <w:rPr>
                <w:sz w:val="16"/>
                <w:szCs w:val="16"/>
              </w:rPr>
              <w:t xml:space="preserve"> by Regulatory Impact Solutions Pty Ltd.</w:t>
            </w:r>
          </w:p>
        </w:tc>
      </w:tr>
    </w:tbl>
    <w:p w14:paraId="4CDFBDFD" w14:textId="77777777" w:rsidR="00B92D5C" w:rsidRDefault="00B92D5C" w:rsidP="000039F1">
      <w:pPr>
        <w:pStyle w:val="TOCTitle"/>
        <w:sectPr w:rsidR="00B92D5C" w:rsidSect="00F3009D">
          <w:headerReference w:type="default" r:id="rId16"/>
          <w:footerReference w:type="default" r:id="rId17"/>
          <w:type w:val="continuous"/>
          <w:pgSz w:w="11907" w:h="16840" w:code="9"/>
          <w:pgMar w:top="1134" w:right="1134" w:bottom="425" w:left="1134" w:header="709" w:footer="567" w:gutter="0"/>
          <w:pgNumType w:start="1"/>
          <w:cols w:space="708"/>
          <w:formProt w:val="0"/>
          <w:titlePg/>
          <w:docGrid w:linePitch="360"/>
        </w:sectPr>
      </w:pPr>
    </w:p>
    <w:p w14:paraId="3E886AF4" w14:textId="77777777" w:rsidR="00C4595A" w:rsidRPr="000D2640" w:rsidRDefault="00C4595A" w:rsidP="00C4595A">
      <w:pPr>
        <w:pStyle w:val="TOCTitle"/>
        <w:rPr>
          <w:color w:val="1F497D" w:themeColor="text2"/>
        </w:rPr>
      </w:pPr>
      <w:bookmarkStart w:id="3" w:name="_Toc439692279"/>
      <w:bookmarkStart w:id="4" w:name="_Toc441733967"/>
      <w:r w:rsidRPr="000D2640">
        <w:rPr>
          <w:color w:val="1F497D" w:themeColor="text2"/>
        </w:rPr>
        <w:lastRenderedPageBreak/>
        <w:t>Contents</w:t>
      </w:r>
      <w:bookmarkEnd w:id="3"/>
      <w:bookmarkEnd w:id="4"/>
    </w:p>
    <w:p w14:paraId="127BD687" w14:textId="77777777" w:rsidR="00F35997" w:rsidRPr="001A07E0" w:rsidRDefault="0084461B">
      <w:pPr>
        <w:pStyle w:val="TOC1"/>
        <w:rPr>
          <w:rFonts w:ascii="Arial" w:eastAsiaTheme="minorEastAsia" w:hAnsi="Arial" w:cstheme="minorBidi"/>
          <w:b w:val="0"/>
          <w:lang w:eastAsia="en-AU"/>
        </w:rPr>
      </w:pPr>
      <w:r w:rsidRPr="001A07E0">
        <w:rPr>
          <w:rFonts w:ascii="Arial" w:eastAsia="Calibri" w:hAnsi="Arial"/>
          <w:caps/>
          <w:noProof w:val="0"/>
          <w:sz w:val="20"/>
          <w:szCs w:val="20"/>
        </w:rPr>
        <w:fldChar w:fldCharType="begin"/>
      </w:r>
      <w:r w:rsidRPr="001A07E0">
        <w:rPr>
          <w:rFonts w:ascii="Arial" w:eastAsia="Calibri" w:hAnsi="Arial"/>
          <w:caps/>
          <w:noProof w:val="0"/>
          <w:sz w:val="20"/>
          <w:szCs w:val="20"/>
        </w:rPr>
        <w:instrText xml:space="preserve"> TOC \o "1-2" </w:instrText>
      </w:r>
      <w:r w:rsidRPr="001A07E0">
        <w:rPr>
          <w:rFonts w:ascii="Arial" w:eastAsia="Calibri" w:hAnsi="Arial"/>
          <w:caps/>
          <w:noProof w:val="0"/>
          <w:sz w:val="20"/>
          <w:szCs w:val="20"/>
        </w:rPr>
        <w:fldChar w:fldCharType="separate"/>
      </w:r>
      <w:r w:rsidR="00F35997" w:rsidRPr="001A07E0">
        <w:rPr>
          <w:rFonts w:ascii="Arial" w:hAnsi="Arial"/>
        </w:rPr>
        <w:t>Summary</w:t>
      </w:r>
      <w:r w:rsidR="00F35997" w:rsidRPr="001A07E0">
        <w:rPr>
          <w:rFonts w:ascii="Arial" w:hAnsi="Arial"/>
        </w:rPr>
        <w:tab/>
      </w:r>
      <w:r w:rsidR="00F35997" w:rsidRPr="001A07E0">
        <w:rPr>
          <w:rFonts w:ascii="Arial" w:hAnsi="Arial"/>
        </w:rPr>
        <w:fldChar w:fldCharType="begin"/>
      </w:r>
      <w:r w:rsidR="00F35997" w:rsidRPr="001A07E0">
        <w:rPr>
          <w:rFonts w:ascii="Arial" w:hAnsi="Arial"/>
        </w:rPr>
        <w:instrText xml:space="preserve"> PAGEREF _Toc441733969 \h </w:instrText>
      </w:r>
      <w:r w:rsidR="00F35997" w:rsidRPr="001A07E0">
        <w:rPr>
          <w:rFonts w:ascii="Arial" w:hAnsi="Arial"/>
        </w:rPr>
      </w:r>
      <w:r w:rsidR="00F35997" w:rsidRPr="001A07E0">
        <w:rPr>
          <w:rFonts w:ascii="Arial" w:hAnsi="Arial"/>
        </w:rPr>
        <w:fldChar w:fldCharType="separate"/>
      </w:r>
      <w:r w:rsidR="001159EE">
        <w:rPr>
          <w:rFonts w:ascii="Arial" w:hAnsi="Arial"/>
        </w:rPr>
        <w:t>i</w:t>
      </w:r>
      <w:r w:rsidR="00F35997" w:rsidRPr="001A07E0">
        <w:rPr>
          <w:rFonts w:ascii="Arial" w:hAnsi="Arial"/>
        </w:rPr>
        <w:fldChar w:fldCharType="end"/>
      </w:r>
    </w:p>
    <w:p w14:paraId="33E1C240" w14:textId="77777777" w:rsidR="00F35997" w:rsidRPr="001A07E0" w:rsidRDefault="00F35997">
      <w:pPr>
        <w:pStyle w:val="TOC1"/>
        <w:rPr>
          <w:rFonts w:ascii="Arial" w:eastAsiaTheme="minorEastAsia" w:hAnsi="Arial" w:cstheme="minorBidi"/>
          <w:b w:val="0"/>
          <w:lang w:eastAsia="en-AU"/>
        </w:rPr>
      </w:pPr>
      <w:r w:rsidRPr="001A07E0">
        <w:rPr>
          <w:rFonts w:ascii="Arial" w:eastAsia="Calibri" w:hAnsi="Arial"/>
        </w:rPr>
        <w:t>Other matters</w:t>
      </w:r>
      <w:r w:rsidRPr="001A07E0">
        <w:rPr>
          <w:rFonts w:ascii="Arial" w:hAnsi="Arial"/>
        </w:rPr>
        <w:tab/>
      </w:r>
      <w:r w:rsidRPr="001A07E0">
        <w:rPr>
          <w:rFonts w:ascii="Arial" w:hAnsi="Arial"/>
        </w:rPr>
        <w:fldChar w:fldCharType="begin"/>
      </w:r>
      <w:r w:rsidRPr="001A07E0">
        <w:rPr>
          <w:rFonts w:ascii="Arial" w:hAnsi="Arial"/>
        </w:rPr>
        <w:instrText xml:space="preserve"> PAGEREF _Toc441733970 \h </w:instrText>
      </w:r>
      <w:r w:rsidRPr="001A07E0">
        <w:rPr>
          <w:rFonts w:ascii="Arial" w:hAnsi="Arial"/>
        </w:rPr>
      </w:r>
      <w:r w:rsidRPr="001A07E0">
        <w:rPr>
          <w:rFonts w:ascii="Arial" w:hAnsi="Arial"/>
        </w:rPr>
        <w:fldChar w:fldCharType="separate"/>
      </w:r>
      <w:r w:rsidR="001159EE">
        <w:rPr>
          <w:rFonts w:ascii="Arial" w:hAnsi="Arial"/>
        </w:rPr>
        <w:t>iii</w:t>
      </w:r>
      <w:r w:rsidRPr="001A07E0">
        <w:rPr>
          <w:rFonts w:ascii="Arial" w:hAnsi="Arial"/>
        </w:rPr>
        <w:fldChar w:fldCharType="end"/>
      </w:r>
    </w:p>
    <w:p w14:paraId="76E5D67B" w14:textId="77777777" w:rsidR="00F35997" w:rsidRPr="001A07E0" w:rsidRDefault="00F35997">
      <w:pPr>
        <w:pStyle w:val="TOC1"/>
        <w:rPr>
          <w:rFonts w:ascii="Arial" w:eastAsiaTheme="minorEastAsia" w:hAnsi="Arial" w:cstheme="minorBidi"/>
          <w:b w:val="0"/>
          <w:lang w:eastAsia="en-AU"/>
        </w:rPr>
      </w:pPr>
      <w:r w:rsidRPr="001A07E0">
        <w:rPr>
          <w:rFonts w:ascii="Arial" w:eastAsia="Calibri" w:hAnsi="Arial"/>
        </w:rPr>
        <w:t>Input from stakeholders</w:t>
      </w:r>
      <w:r w:rsidRPr="001A07E0">
        <w:rPr>
          <w:rFonts w:ascii="Arial" w:hAnsi="Arial"/>
        </w:rPr>
        <w:tab/>
      </w:r>
      <w:r w:rsidRPr="001A07E0">
        <w:rPr>
          <w:rFonts w:ascii="Arial" w:hAnsi="Arial"/>
        </w:rPr>
        <w:fldChar w:fldCharType="begin"/>
      </w:r>
      <w:r w:rsidRPr="001A07E0">
        <w:rPr>
          <w:rFonts w:ascii="Arial" w:hAnsi="Arial"/>
        </w:rPr>
        <w:instrText xml:space="preserve"> PAGEREF _Toc441733971 \h </w:instrText>
      </w:r>
      <w:r w:rsidRPr="001A07E0">
        <w:rPr>
          <w:rFonts w:ascii="Arial" w:hAnsi="Arial"/>
        </w:rPr>
      </w:r>
      <w:r w:rsidRPr="001A07E0">
        <w:rPr>
          <w:rFonts w:ascii="Arial" w:hAnsi="Arial"/>
        </w:rPr>
        <w:fldChar w:fldCharType="separate"/>
      </w:r>
      <w:r w:rsidR="001159EE">
        <w:rPr>
          <w:rFonts w:ascii="Arial" w:hAnsi="Arial"/>
        </w:rPr>
        <w:t>iv</w:t>
      </w:r>
      <w:r w:rsidRPr="001A07E0">
        <w:rPr>
          <w:rFonts w:ascii="Arial" w:hAnsi="Arial"/>
        </w:rPr>
        <w:fldChar w:fldCharType="end"/>
      </w:r>
    </w:p>
    <w:p w14:paraId="6A622697"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1.</w:t>
      </w:r>
      <w:r w:rsidRPr="001A07E0">
        <w:rPr>
          <w:rFonts w:ascii="Arial" w:eastAsiaTheme="minorEastAsia" w:hAnsi="Arial" w:cstheme="minorBidi"/>
          <w:b w:val="0"/>
          <w:lang w:eastAsia="en-AU"/>
        </w:rPr>
        <w:tab/>
      </w:r>
      <w:r w:rsidRPr="001A07E0">
        <w:rPr>
          <w:rFonts w:ascii="Arial" w:hAnsi="Arial"/>
        </w:rPr>
        <w:t>Background</w:t>
      </w:r>
      <w:r w:rsidRPr="001A07E0">
        <w:rPr>
          <w:rFonts w:ascii="Arial" w:hAnsi="Arial"/>
        </w:rPr>
        <w:tab/>
      </w:r>
      <w:r w:rsidRPr="001A07E0">
        <w:rPr>
          <w:rFonts w:ascii="Arial" w:hAnsi="Arial"/>
        </w:rPr>
        <w:fldChar w:fldCharType="begin"/>
      </w:r>
      <w:r w:rsidRPr="001A07E0">
        <w:rPr>
          <w:rFonts w:ascii="Arial" w:hAnsi="Arial"/>
        </w:rPr>
        <w:instrText xml:space="preserve"> PAGEREF _Toc441733972 \h </w:instrText>
      </w:r>
      <w:r w:rsidRPr="001A07E0">
        <w:rPr>
          <w:rFonts w:ascii="Arial" w:hAnsi="Arial"/>
        </w:rPr>
      </w:r>
      <w:r w:rsidRPr="001A07E0">
        <w:rPr>
          <w:rFonts w:ascii="Arial" w:hAnsi="Arial"/>
        </w:rPr>
        <w:fldChar w:fldCharType="separate"/>
      </w:r>
      <w:r w:rsidR="001159EE">
        <w:rPr>
          <w:rFonts w:ascii="Arial" w:hAnsi="Arial"/>
        </w:rPr>
        <w:t>1</w:t>
      </w:r>
      <w:r w:rsidRPr="001A07E0">
        <w:rPr>
          <w:rFonts w:ascii="Arial" w:hAnsi="Arial"/>
        </w:rPr>
        <w:fldChar w:fldCharType="end"/>
      </w:r>
    </w:p>
    <w:p w14:paraId="526F5D13" w14:textId="77777777" w:rsidR="00F35997" w:rsidRPr="001A07E0" w:rsidRDefault="00F35997">
      <w:pPr>
        <w:pStyle w:val="TOC2"/>
        <w:rPr>
          <w:rFonts w:eastAsiaTheme="minorEastAsia" w:cstheme="minorBidi"/>
          <w:b w:val="0"/>
          <w:noProof/>
          <w:lang w:eastAsia="en-AU"/>
        </w:rPr>
      </w:pPr>
      <w:r w:rsidRPr="001A07E0">
        <w:rPr>
          <w:noProof/>
        </w:rPr>
        <w:t>1.1</w:t>
      </w:r>
      <w:r w:rsidRPr="001A07E0">
        <w:rPr>
          <w:rFonts w:eastAsiaTheme="minorEastAsia" w:cstheme="minorBidi"/>
          <w:b w:val="0"/>
          <w:noProof/>
          <w:lang w:eastAsia="en-AU"/>
        </w:rPr>
        <w:tab/>
      </w:r>
      <w:r w:rsidRPr="001A07E0">
        <w:rPr>
          <w:noProof/>
        </w:rPr>
        <w:t>Legislative framework</w:t>
      </w:r>
      <w:r w:rsidRPr="001A07E0">
        <w:rPr>
          <w:noProof/>
        </w:rPr>
        <w:tab/>
      </w:r>
      <w:r w:rsidRPr="001A07E0">
        <w:rPr>
          <w:noProof/>
        </w:rPr>
        <w:fldChar w:fldCharType="begin"/>
      </w:r>
      <w:r w:rsidRPr="001A07E0">
        <w:rPr>
          <w:noProof/>
        </w:rPr>
        <w:instrText xml:space="preserve"> PAGEREF _Toc441733973 \h </w:instrText>
      </w:r>
      <w:r w:rsidRPr="001A07E0">
        <w:rPr>
          <w:noProof/>
        </w:rPr>
      </w:r>
      <w:r w:rsidRPr="001A07E0">
        <w:rPr>
          <w:noProof/>
        </w:rPr>
        <w:fldChar w:fldCharType="separate"/>
      </w:r>
      <w:r w:rsidR="001159EE">
        <w:rPr>
          <w:noProof/>
        </w:rPr>
        <w:t>1</w:t>
      </w:r>
      <w:r w:rsidRPr="001A07E0">
        <w:rPr>
          <w:noProof/>
        </w:rPr>
        <w:fldChar w:fldCharType="end"/>
      </w:r>
    </w:p>
    <w:p w14:paraId="1552832A" w14:textId="77777777" w:rsidR="00F35997" w:rsidRPr="001A07E0" w:rsidRDefault="00F35997">
      <w:pPr>
        <w:pStyle w:val="TOC2"/>
        <w:rPr>
          <w:rFonts w:eastAsiaTheme="minorEastAsia" w:cstheme="minorBidi"/>
          <w:b w:val="0"/>
          <w:noProof/>
          <w:lang w:eastAsia="en-AU"/>
        </w:rPr>
      </w:pPr>
      <w:r w:rsidRPr="001A07E0">
        <w:rPr>
          <w:noProof/>
        </w:rPr>
        <w:t>1.2</w:t>
      </w:r>
      <w:r w:rsidRPr="001A07E0">
        <w:rPr>
          <w:rFonts w:eastAsiaTheme="minorEastAsia" w:cstheme="minorBidi"/>
          <w:b w:val="0"/>
          <w:noProof/>
          <w:lang w:eastAsia="en-AU"/>
        </w:rPr>
        <w:tab/>
      </w:r>
      <w:r w:rsidRPr="001A07E0">
        <w:rPr>
          <w:noProof/>
        </w:rPr>
        <w:t>Recreational fishing is important to all Victorians</w:t>
      </w:r>
      <w:r w:rsidRPr="001A07E0">
        <w:rPr>
          <w:noProof/>
        </w:rPr>
        <w:tab/>
      </w:r>
      <w:r w:rsidRPr="001A07E0">
        <w:rPr>
          <w:noProof/>
        </w:rPr>
        <w:fldChar w:fldCharType="begin"/>
      </w:r>
      <w:r w:rsidRPr="001A07E0">
        <w:rPr>
          <w:noProof/>
        </w:rPr>
        <w:instrText xml:space="preserve"> PAGEREF _Toc441733974 \h </w:instrText>
      </w:r>
      <w:r w:rsidRPr="001A07E0">
        <w:rPr>
          <w:noProof/>
        </w:rPr>
      </w:r>
      <w:r w:rsidRPr="001A07E0">
        <w:rPr>
          <w:noProof/>
        </w:rPr>
        <w:fldChar w:fldCharType="separate"/>
      </w:r>
      <w:r w:rsidR="001159EE">
        <w:rPr>
          <w:noProof/>
        </w:rPr>
        <w:t>2</w:t>
      </w:r>
      <w:r w:rsidRPr="001A07E0">
        <w:rPr>
          <w:noProof/>
        </w:rPr>
        <w:fldChar w:fldCharType="end"/>
      </w:r>
    </w:p>
    <w:p w14:paraId="197E8CE5" w14:textId="77777777" w:rsidR="00F35997" w:rsidRPr="001A07E0" w:rsidRDefault="00F35997">
      <w:pPr>
        <w:pStyle w:val="TOC2"/>
        <w:rPr>
          <w:rFonts w:eastAsiaTheme="minorEastAsia" w:cstheme="minorBidi"/>
          <w:b w:val="0"/>
          <w:noProof/>
          <w:lang w:eastAsia="en-AU"/>
        </w:rPr>
      </w:pPr>
      <w:r w:rsidRPr="001A07E0">
        <w:rPr>
          <w:noProof/>
        </w:rPr>
        <w:t>1.3</w:t>
      </w:r>
      <w:r w:rsidRPr="001A07E0">
        <w:rPr>
          <w:rFonts w:eastAsiaTheme="minorEastAsia" w:cstheme="minorBidi"/>
          <w:b w:val="0"/>
          <w:noProof/>
          <w:lang w:eastAsia="en-AU"/>
        </w:rPr>
        <w:tab/>
      </w:r>
      <w:r w:rsidRPr="001A07E0">
        <w:rPr>
          <w:i/>
          <w:noProof/>
        </w:rPr>
        <w:t>Target One Million</w:t>
      </w:r>
      <w:r w:rsidRPr="001A07E0">
        <w:rPr>
          <w:noProof/>
        </w:rPr>
        <w:t xml:space="preserve"> policy</w:t>
      </w:r>
      <w:r w:rsidRPr="001A07E0">
        <w:rPr>
          <w:noProof/>
        </w:rPr>
        <w:tab/>
      </w:r>
      <w:r w:rsidRPr="001A07E0">
        <w:rPr>
          <w:noProof/>
        </w:rPr>
        <w:fldChar w:fldCharType="begin"/>
      </w:r>
      <w:r w:rsidRPr="001A07E0">
        <w:rPr>
          <w:noProof/>
        </w:rPr>
        <w:instrText xml:space="preserve"> PAGEREF _Toc441733975 \h </w:instrText>
      </w:r>
      <w:r w:rsidRPr="001A07E0">
        <w:rPr>
          <w:noProof/>
        </w:rPr>
      </w:r>
      <w:r w:rsidRPr="001A07E0">
        <w:rPr>
          <w:noProof/>
        </w:rPr>
        <w:fldChar w:fldCharType="separate"/>
      </w:r>
      <w:r w:rsidR="001159EE">
        <w:rPr>
          <w:noProof/>
        </w:rPr>
        <w:t>2</w:t>
      </w:r>
      <w:r w:rsidRPr="001A07E0">
        <w:rPr>
          <w:noProof/>
        </w:rPr>
        <w:fldChar w:fldCharType="end"/>
      </w:r>
    </w:p>
    <w:p w14:paraId="26EFEE3B" w14:textId="77777777" w:rsidR="00F35997" w:rsidRPr="001A07E0" w:rsidRDefault="00F35997">
      <w:pPr>
        <w:pStyle w:val="TOC2"/>
        <w:rPr>
          <w:rFonts w:eastAsiaTheme="minorEastAsia" w:cstheme="minorBidi"/>
          <w:b w:val="0"/>
          <w:noProof/>
          <w:lang w:eastAsia="en-AU"/>
        </w:rPr>
      </w:pPr>
      <w:r w:rsidRPr="001A07E0">
        <w:rPr>
          <w:noProof/>
        </w:rPr>
        <w:t>1.4</w:t>
      </w:r>
      <w:r w:rsidRPr="001A07E0">
        <w:rPr>
          <w:rFonts w:eastAsiaTheme="minorEastAsia" w:cstheme="minorBidi"/>
          <w:b w:val="0"/>
          <w:noProof/>
          <w:lang w:eastAsia="en-AU"/>
        </w:rPr>
        <w:tab/>
      </w:r>
      <w:r w:rsidRPr="001A07E0">
        <w:rPr>
          <w:noProof/>
        </w:rPr>
        <w:t>Purpose of this Regulatory Impact Statement</w:t>
      </w:r>
      <w:r w:rsidRPr="001A07E0">
        <w:rPr>
          <w:noProof/>
        </w:rPr>
        <w:tab/>
      </w:r>
      <w:r w:rsidRPr="001A07E0">
        <w:rPr>
          <w:noProof/>
        </w:rPr>
        <w:fldChar w:fldCharType="begin"/>
      </w:r>
      <w:r w:rsidRPr="001A07E0">
        <w:rPr>
          <w:noProof/>
        </w:rPr>
        <w:instrText xml:space="preserve"> PAGEREF _Toc441733976 \h </w:instrText>
      </w:r>
      <w:r w:rsidRPr="001A07E0">
        <w:rPr>
          <w:noProof/>
        </w:rPr>
      </w:r>
      <w:r w:rsidRPr="001A07E0">
        <w:rPr>
          <w:noProof/>
        </w:rPr>
        <w:fldChar w:fldCharType="separate"/>
      </w:r>
      <w:r w:rsidR="001159EE">
        <w:rPr>
          <w:noProof/>
        </w:rPr>
        <w:t>3</w:t>
      </w:r>
      <w:r w:rsidRPr="001A07E0">
        <w:rPr>
          <w:noProof/>
        </w:rPr>
        <w:fldChar w:fldCharType="end"/>
      </w:r>
    </w:p>
    <w:p w14:paraId="5D931A62"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2.</w:t>
      </w:r>
      <w:r w:rsidRPr="001A07E0">
        <w:rPr>
          <w:rFonts w:ascii="Arial" w:eastAsiaTheme="minorEastAsia" w:hAnsi="Arial" w:cstheme="minorBidi"/>
          <w:b w:val="0"/>
          <w:lang w:eastAsia="en-AU"/>
        </w:rPr>
        <w:tab/>
      </w:r>
      <w:r w:rsidRPr="001A07E0">
        <w:rPr>
          <w:rFonts w:ascii="Arial" w:hAnsi="Arial"/>
        </w:rPr>
        <w:t>RFL fees</w:t>
      </w:r>
      <w:r w:rsidRPr="001A07E0">
        <w:rPr>
          <w:rFonts w:ascii="Arial" w:hAnsi="Arial"/>
        </w:rPr>
        <w:tab/>
      </w:r>
      <w:r w:rsidRPr="001A07E0">
        <w:rPr>
          <w:rFonts w:ascii="Arial" w:hAnsi="Arial"/>
        </w:rPr>
        <w:fldChar w:fldCharType="begin"/>
      </w:r>
      <w:r w:rsidRPr="001A07E0">
        <w:rPr>
          <w:rFonts w:ascii="Arial" w:hAnsi="Arial"/>
        </w:rPr>
        <w:instrText xml:space="preserve"> PAGEREF _Toc441733977 \h </w:instrText>
      </w:r>
      <w:r w:rsidRPr="001A07E0">
        <w:rPr>
          <w:rFonts w:ascii="Arial" w:hAnsi="Arial"/>
        </w:rPr>
      </w:r>
      <w:r w:rsidRPr="001A07E0">
        <w:rPr>
          <w:rFonts w:ascii="Arial" w:hAnsi="Arial"/>
        </w:rPr>
        <w:fldChar w:fldCharType="separate"/>
      </w:r>
      <w:r w:rsidR="001159EE">
        <w:rPr>
          <w:rFonts w:ascii="Arial" w:hAnsi="Arial"/>
        </w:rPr>
        <w:t>4</w:t>
      </w:r>
      <w:r w:rsidRPr="001A07E0">
        <w:rPr>
          <w:rFonts w:ascii="Arial" w:hAnsi="Arial"/>
        </w:rPr>
        <w:fldChar w:fldCharType="end"/>
      </w:r>
    </w:p>
    <w:p w14:paraId="6F681058" w14:textId="77777777" w:rsidR="00F35997" w:rsidRPr="001A07E0" w:rsidRDefault="00F35997">
      <w:pPr>
        <w:pStyle w:val="TOC2"/>
        <w:rPr>
          <w:rFonts w:eastAsiaTheme="minorEastAsia" w:cstheme="minorBidi"/>
          <w:b w:val="0"/>
          <w:noProof/>
          <w:lang w:eastAsia="en-AU"/>
        </w:rPr>
      </w:pPr>
      <w:r w:rsidRPr="001A07E0">
        <w:rPr>
          <w:noProof/>
        </w:rPr>
        <w:t>2.1</w:t>
      </w:r>
      <w:r w:rsidRPr="001A07E0">
        <w:rPr>
          <w:rFonts w:eastAsiaTheme="minorEastAsia" w:cstheme="minorBidi"/>
          <w:b w:val="0"/>
          <w:noProof/>
          <w:lang w:eastAsia="en-AU"/>
        </w:rPr>
        <w:tab/>
      </w:r>
      <w:r w:rsidRPr="001A07E0">
        <w:rPr>
          <w:noProof/>
        </w:rPr>
        <w:t>The need for RFL fees</w:t>
      </w:r>
      <w:r w:rsidRPr="001A07E0">
        <w:rPr>
          <w:noProof/>
        </w:rPr>
        <w:tab/>
      </w:r>
      <w:r w:rsidRPr="001A07E0">
        <w:rPr>
          <w:noProof/>
        </w:rPr>
        <w:fldChar w:fldCharType="begin"/>
      </w:r>
      <w:r w:rsidRPr="001A07E0">
        <w:rPr>
          <w:noProof/>
        </w:rPr>
        <w:instrText xml:space="preserve"> PAGEREF _Toc441733978 \h </w:instrText>
      </w:r>
      <w:r w:rsidRPr="001A07E0">
        <w:rPr>
          <w:noProof/>
        </w:rPr>
      </w:r>
      <w:r w:rsidRPr="001A07E0">
        <w:rPr>
          <w:noProof/>
        </w:rPr>
        <w:fldChar w:fldCharType="separate"/>
      </w:r>
      <w:r w:rsidR="001159EE">
        <w:rPr>
          <w:noProof/>
        </w:rPr>
        <w:t>4</w:t>
      </w:r>
      <w:r w:rsidRPr="001A07E0">
        <w:rPr>
          <w:noProof/>
        </w:rPr>
        <w:fldChar w:fldCharType="end"/>
      </w:r>
    </w:p>
    <w:p w14:paraId="0647EBA5" w14:textId="77777777" w:rsidR="00F35997" w:rsidRPr="001A07E0" w:rsidRDefault="00F35997">
      <w:pPr>
        <w:pStyle w:val="TOC2"/>
        <w:rPr>
          <w:rFonts w:eastAsiaTheme="minorEastAsia" w:cstheme="minorBidi"/>
          <w:b w:val="0"/>
          <w:noProof/>
          <w:lang w:eastAsia="en-AU"/>
        </w:rPr>
      </w:pPr>
      <w:r w:rsidRPr="001A07E0">
        <w:rPr>
          <w:noProof/>
        </w:rPr>
        <w:t>2.2</w:t>
      </w:r>
      <w:r w:rsidRPr="001A07E0">
        <w:rPr>
          <w:rFonts w:eastAsiaTheme="minorEastAsia" w:cstheme="minorBidi"/>
          <w:b w:val="0"/>
          <w:noProof/>
          <w:lang w:eastAsia="en-AU"/>
        </w:rPr>
        <w:tab/>
      </w:r>
      <w:r w:rsidRPr="001A07E0">
        <w:rPr>
          <w:noProof/>
        </w:rPr>
        <w:t>Why do RFL fees need to increase?</w:t>
      </w:r>
      <w:r w:rsidRPr="001A07E0">
        <w:rPr>
          <w:noProof/>
        </w:rPr>
        <w:tab/>
      </w:r>
      <w:r w:rsidRPr="001A07E0">
        <w:rPr>
          <w:noProof/>
        </w:rPr>
        <w:fldChar w:fldCharType="begin"/>
      </w:r>
      <w:r w:rsidRPr="001A07E0">
        <w:rPr>
          <w:noProof/>
        </w:rPr>
        <w:instrText xml:space="preserve"> PAGEREF _Toc441733979 \h </w:instrText>
      </w:r>
      <w:r w:rsidRPr="001A07E0">
        <w:rPr>
          <w:noProof/>
        </w:rPr>
      </w:r>
      <w:r w:rsidRPr="001A07E0">
        <w:rPr>
          <w:noProof/>
        </w:rPr>
        <w:fldChar w:fldCharType="separate"/>
      </w:r>
      <w:r w:rsidR="001159EE">
        <w:rPr>
          <w:noProof/>
        </w:rPr>
        <w:t>8</w:t>
      </w:r>
      <w:r w:rsidRPr="001A07E0">
        <w:rPr>
          <w:noProof/>
        </w:rPr>
        <w:fldChar w:fldCharType="end"/>
      </w:r>
    </w:p>
    <w:p w14:paraId="1027CD2B"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3.</w:t>
      </w:r>
      <w:r w:rsidRPr="001A07E0">
        <w:rPr>
          <w:rFonts w:ascii="Arial" w:eastAsiaTheme="minorEastAsia" w:hAnsi="Arial" w:cstheme="minorBidi"/>
          <w:b w:val="0"/>
          <w:lang w:eastAsia="en-AU"/>
        </w:rPr>
        <w:tab/>
      </w:r>
      <w:r w:rsidRPr="001A07E0">
        <w:rPr>
          <w:rFonts w:ascii="Arial" w:hAnsi="Arial"/>
        </w:rPr>
        <w:t>Objectives and options</w:t>
      </w:r>
      <w:r w:rsidRPr="001A07E0">
        <w:rPr>
          <w:rFonts w:ascii="Arial" w:hAnsi="Arial"/>
        </w:rPr>
        <w:tab/>
      </w:r>
      <w:r w:rsidRPr="001A07E0">
        <w:rPr>
          <w:rFonts w:ascii="Arial" w:hAnsi="Arial"/>
        </w:rPr>
        <w:fldChar w:fldCharType="begin"/>
      </w:r>
      <w:r w:rsidRPr="001A07E0">
        <w:rPr>
          <w:rFonts w:ascii="Arial" w:hAnsi="Arial"/>
        </w:rPr>
        <w:instrText xml:space="preserve"> PAGEREF _Toc441733980 \h </w:instrText>
      </w:r>
      <w:r w:rsidRPr="001A07E0">
        <w:rPr>
          <w:rFonts w:ascii="Arial" w:hAnsi="Arial"/>
        </w:rPr>
      </w:r>
      <w:r w:rsidRPr="001A07E0">
        <w:rPr>
          <w:rFonts w:ascii="Arial" w:hAnsi="Arial"/>
        </w:rPr>
        <w:fldChar w:fldCharType="separate"/>
      </w:r>
      <w:r w:rsidR="001159EE">
        <w:rPr>
          <w:rFonts w:ascii="Arial" w:hAnsi="Arial"/>
        </w:rPr>
        <w:t>11</w:t>
      </w:r>
      <w:r w:rsidRPr="001A07E0">
        <w:rPr>
          <w:rFonts w:ascii="Arial" w:hAnsi="Arial"/>
        </w:rPr>
        <w:fldChar w:fldCharType="end"/>
      </w:r>
    </w:p>
    <w:p w14:paraId="61F6B53F" w14:textId="77777777" w:rsidR="00F35997" w:rsidRPr="001A07E0" w:rsidRDefault="00F35997">
      <w:pPr>
        <w:pStyle w:val="TOC2"/>
        <w:rPr>
          <w:rFonts w:eastAsiaTheme="minorEastAsia" w:cstheme="minorBidi"/>
          <w:b w:val="0"/>
          <w:noProof/>
          <w:lang w:eastAsia="en-AU"/>
        </w:rPr>
      </w:pPr>
      <w:r w:rsidRPr="001A07E0">
        <w:rPr>
          <w:noProof/>
        </w:rPr>
        <w:t>3.1</w:t>
      </w:r>
      <w:r w:rsidRPr="001A07E0">
        <w:rPr>
          <w:rFonts w:eastAsiaTheme="minorEastAsia" w:cstheme="minorBidi"/>
          <w:b w:val="0"/>
          <w:noProof/>
          <w:lang w:eastAsia="en-AU"/>
        </w:rPr>
        <w:tab/>
      </w:r>
      <w:r w:rsidRPr="001A07E0">
        <w:rPr>
          <w:noProof/>
        </w:rPr>
        <w:t>Base case – what will happen if fees are not changed</w:t>
      </w:r>
      <w:r w:rsidRPr="001A07E0">
        <w:rPr>
          <w:noProof/>
        </w:rPr>
        <w:tab/>
      </w:r>
      <w:r w:rsidRPr="001A07E0">
        <w:rPr>
          <w:noProof/>
        </w:rPr>
        <w:fldChar w:fldCharType="begin"/>
      </w:r>
      <w:r w:rsidRPr="001A07E0">
        <w:rPr>
          <w:noProof/>
        </w:rPr>
        <w:instrText xml:space="preserve"> PAGEREF _Toc441733981 \h </w:instrText>
      </w:r>
      <w:r w:rsidRPr="001A07E0">
        <w:rPr>
          <w:noProof/>
        </w:rPr>
      </w:r>
      <w:r w:rsidRPr="001A07E0">
        <w:rPr>
          <w:noProof/>
        </w:rPr>
        <w:fldChar w:fldCharType="separate"/>
      </w:r>
      <w:r w:rsidR="001159EE">
        <w:rPr>
          <w:noProof/>
        </w:rPr>
        <w:t>11</w:t>
      </w:r>
      <w:r w:rsidRPr="001A07E0">
        <w:rPr>
          <w:noProof/>
        </w:rPr>
        <w:fldChar w:fldCharType="end"/>
      </w:r>
    </w:p>
    <w:p w14:paraId="50942ECB" w14:textId="77777777" w:rsidR="00F35997" w:rsidRPr="001A07E0" w:rsidRDefault="00F35997">
      <w:pPr>
        <w:pStyle w:val="TOC2"/>
        <w:rPr>
          <w:rFonts w:eastAsiaTheme="minorEastAsia" w:cstheme="minorBidi"/>
          <w:b w:val="0"/>
          <w:noProof/>
          <w:lang w:eastAsia="en-AU"/>
        </w:rPr>
      </w:pPr>
      <w:r w:rsidRPr="001A07E0">
        <w:rPr>
          <w:noProof/>
        </w:rPr>
        <w:t>3.2</w:t>
      </w:r>
      <w:r w:rsidRPr="001A07E0">
        <w:rPr>
          <w:rFonts w:eastAsiaTheme="minorEastAsia" w:cstheme="minorBidi"/>
          <w:b w:val="0"/>
          <w:noProof/>
          <w:lang w:eastAsia="en-AU"/>
        </w:rPr>
        <w:tab/>
      </w:r>
      <w:r w:rsidRPr="001A07E0">
        <w:rPr>
          <w:noProof/>
        </w:rPr>
        <w:t>Objective</w:t>
      </w:r>
      <w:r w:rsidRPr="001A07E0">
        <w:rPr>
          <w:noProof/>
        </w:rPr>
        <w:tab/>
      </w:r>
      <w:r w:rsidRPr="001A07E0">
        <w:rPr>
          <w:noProof/>
        </w:rPr>
        <w:fldChar w:fldCharType="begin"/>
      </w:r>
      <w:r w:rsidRPr="001A07E0">
        <w:rPr>
          <w:noProof/>
        </w:rPr>
        <w:instrText xml:space="preserve"> PAGEREF _Toc441733982 \h </w:instrText>
      </w:r>
      <w:r w:rsidRPr="001A07E0">
        <w:rPr>
          <w:noProof/>
        </w:rPr>
      </w:r>
      <w:r w:rsidRPr="001A07E0">
        <w:rPr>
          <w:noProof/>
        </w:rPr>
        <w:fldChar w:fldCharType="separate"/>
      </w:r>
      <w:r w:rsidR="001159EE">
        <w:rPr>
          <w:noProof/>
        </w:rPr>
        <w:t>12</w:t>
      </w:r>
      <w:r w:rsidRPr="001A07E0">
        <w:rPr>
          <w:noProof/>
        </w:rPr>
        <w:fldChar w:fldCharType="end"/>
      </w:r>
    </w:p>
    <w:p w14:paraId="5FD3F3B7" w14:textId="77777777" w:rsidR="00F35997" w:rsidRPr="001A07E0" w:rsidRDefault="00F35997">
      <w:pPr>
        <w:pStyle w:val="TOC2"/>
        <w:rPr>
          <w:rFonts w:eastAsiaTheme="minorEastAsia" w:cstheme="minorBidi"/>
          <w:b w:val="0"/>
          <w:noProof/>
          <w:lang w:eastAsia="en-AU"/>
        </w:rPr>
      </w:pPr>
      <w:r w:rsidRPr="001A07E0">
        <w:rPr>
          <w:noProof/>
        </w:rPr>
        <w:t>3.3</w:t>
      </w:r>
      <w:r w:rsidRPr="001A07E0">
        <w:rPr>
          <w:rFonts w:eastAsiaTheme="minorEastAsia" w:cstheme="minorBidi"/>
          <w:b w:val="0"/>
          <w:noProof/>
          <w:lang w:eastAsia="en-AU"/>
        </w:rPr>
        <w:tab/>
      </w:r>
      <w:r w:rsidRPr="001A07E0">
        <w:rPr>
          <w:noProof/>
        </w:rPr>
        <w:t>Proposed fee increases</w:t>
      </w:r>
      <w:r w:rsidRPr="001A07E0">
        <w:rPr>
          <w:noProof/>
        </w:rPr>
        <w:tab/>
      </w:r>
      <w:r w:rsidRPr="001A07E0">
        <w:rPr>
          <w:noProof/>
        </w:rPr>
        <w:fldChar w:fldCharType="begin"/>
      </w:r>
      <w:r w:rsidRPr="001A07E0">
        <w:rPr>
          <w:noProof/>
        </w:rPr>
        <w:instrText xml:space="preserve"> PAGEREF _Toc441733983 \h </w:instrText>
      </w:r>
      <w:r w:rsidRPr="001A07E0">
        <w:rPr>
          <w:noProof/>
        </w:rPr>
      </w:r>
      <w:r w:rsidRPr="001A07E0">
        <w:rPr>
          <w:noProof/>
        </w:rPr>
        <w:fldChar w:fldCharType="separate"/>
      </w:r>
      <w:r w:rsidR="001159EE">
        <w:rPr>
          <w:noProof/>
        </w:rPr>
        <w:t>12</w:t>
      </w:r>
      <w:r w:rsidRPr="001A07E0">
        <w:rPr>
          <w:noProof/>
        </w:rPr>
        <w:fldChar w:fldCharType="end"/>
      </w:r>
    </w:p>
    <w:p w14:paraId="6139A8BE" w14:textId="77777777" w:rsidR="00F35997" w:rsidRPr="001A07E0" w:rsidRDefault="00F35997">
      <w:pPr>
        <w:pStyle w:val="TOC2"/>
        <w:rPr>
          <w:rFonts w:eastAsiaTheme="minorEastAsia" w:cstheme="minorBidi"/>
          <w:b w:val="0"/>
          <w:noProof/>
          <w:lang w:eastAsia="en-AU"/>
        </w:rPr>
      </w:pPr>
      <w:r w:rsidRPr="001A07E0">
        <w:rPr>
          <w:noProof/>
        </w:rPr>
        <w:t>3.4</w:t>
      </w:r>
      <w:r w:rsidRPr="001A07E0">
        <w:rPr>
          <w:rFonts w:eastAsiaTheme="minorEastAsia" w:cstheme="minorBidi"/>
          <w:b w:val="0"/>
          <w:noProof/>
          <w:lang w:eastAsia="en-AU"/>
        </w:rPr>
        <w:tab/>
      </w:r>
      <w:r w:rsidRPr="001A07E0">
        <w:rPr>
          <w:noProof/>
        </w:rPr>
        <w:t>Other means of achieving the objectives</w:t>
      </w:r>
      <w:r w:rsidRPr="001A07E0">
        <w:rPr>
          <w:noProof/>
        </w:rPr>
        <w:tab/>
      </w:r>
      <w:r w:rsidRPr="001A07E0">
        <w:rPr>
          <w:noProof/>
        </w:rPr>
        <w:fldChar w:fldCharType="begin"/>
      </w:r>
      <w:r w:rsidRPr="001A07E0">
        <w:rPr>
          <w:noProof/>
        </w:rPr>
        <w:instrText xml:space="preserve"> PAGEREF _Toc441733984 \h </w:instrText>
      </w:r>
      <w:r w:rsidRPr="001A07E0">
        <w:rPr>
          <w:noProof/>
        </w:rPr>
      </w:r>
      <w:r w:rsidRPr="001A07E0">
        <w:rPr>
          <w:noProof/>
        </w:rPr>
        <w:fldChar w:fldCharType="separate"/>
      </w:r>
      <w:r w:rsidR="001159EE">
        <w:rPr>
          <w:noProof/>
        </w:rPr>
        <w:t>17</w:t>
      </w:r>
      <w:r w:rsidRPr="001A07E0">
        <w:rPr>
          <w:noProof/>
        </w:rPr>
        <w:fldChar w:fldCharType="end"/>
      </w:r>
    </w:p>
    <w:p w14:paraId="7C0B6520"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4.</w:t>
      </w:r>
      <w:r w:rsidRPr="001A07E0">
        <w:rPr>
          <w:rFonts w:ascii="Arial" w:eastAsiaTheme="minorEastAsia" w:hAnsi="Arial" w:cstheme="minorBidi"/>
          <w:b w:val="0"/>
          <w:lang w:eastAsia="en-AU"/>
        </w:rPr>
        <w:tab/>
      </w:r>
      <w:r w:rsidRPr="001A07E0">
        <w:rPr>
          <w:rFonts w:ascii="Arial" w:hAnsi="Arial"/>
        </w:rPr>
        <w:t>Comparative assessment of options</w:t>
      </w:r>
      <w:r w:rsidRPr="001A07E0">
        <w:rPr>
          <w:rFonts w:ascii="Arial" w:hAnsi="Arial"/>
        </w:rPr>
        <w:tab/>
      </w:r>
      <w:r w:rsidRPr="001A07E0">
        <w:rPr>
          <w:rFonts w:ascii="Arial" w:hAnsi="Arial"/>
        </w:rPr>
        <w:fldChar w:fldCharType="begin"/>
      </w:r>
      <w:r w:rsidRPr="001A07E0">
        <w:rPr>
          <w:rFonts w:ascii="Arial" w:hAnsi="Arial"/>
        </w:rPr>
        <w:instrText xml:space="preserve"> PAGEREF _Toc441733985 \h </w:instrText>
      </w:r>
      <w:r w:rsidRPr="001A07E0">
        <w:rPr>
          <w:rFonts w:ascii="Arial" w:hAnsi="Arial"/>
        </w:rPr>
      </w:r>
      <w:r w:rsidRPr="001A07E0">
        <w:rPr>
          <w:rFonts w:ascii="Arial" w:hAnsi="Arial"/>
        </w:rPr>
        <w:fldChar w:fldCharType="separate"/>
      </w:r>
      <w:r w:rsidR="001159EE">
        <w:rPr>
          <w:rFonts w:ascii="Arial" w:hAnsi="Arial"/>
        </w:rPr>
        <w:t>21</w:t>
      </w:r>
      <w:r w:rsidRPr="001A07E0">
        <w:rPr>
          <w:rFonts w:ascii="Arial" w:hAnsi="Arial"/>
        </w:rPr>
        <w:fldChar w:fldCharType="end"/>
      </w:r>
    </w:p>
    <w:p w14:paraId="5C33703D" w14:textId="77777777" w:rsidR="00F35997" w:rsidRPr="001A07E0" w:rsidRDefault="00F35997">
      <w:pPr>
        <w:pStyle w:val="TOC2"/>
        <w:rPr>
          <w:rFonts w:eastAsiaTheme="minorEastAsia" w:cstheme="minorBidi"/>
          <w:b w:val="0"/>
          <w:noProof/>
          <w:lang w:eastAsia="en-AU"/>
        </w:rPr>
      </w:pPr>
      <w:r w:rsidRPr="001A07E0">
        <w:rPr>
          <w:noProof/>
        </w:rPr>
        <w:t>4.1</w:t>
      </w:r>
      <w:r w:rsidRPr="001A07E0">
        <w:rPr>
          <w:rFonts w:eastAsiaTheme="minorEastAsia" w:cstheme="minorBidi"/>
          <w:b w:val="0"/>
          <w:noProof/>
          <w:lang w:eastAsia="en-AU"/>
        </w:rPr>
        <w:tab/>
      </w:r>
      <w:r w:rsidRPr="001A07E0">
        <w:rPr>
          <w:noProof/>
        </w:rPr>
        <w:t>Assessment framework</w:t>
      </w:r>
      <w:r w:rsidRPr="001A07E0">
        <w:rPr>
          <w:noProof/>
        </w:rPr>
        <w:tab/>
      </w:r>
      <w:r w:rsidRPr="001A07E0">
        <w:rPr>
          <w:noProof/>
        </w:rPr>
        <w:fldChar w:fldCharType="begin"/>
      </w:r>
      <w:r w:rsidRPr="001A07E0">
        <w:rPr>
          <w:noProof/>
        </w:rPr>
        <w:instrText xml:space="preserve"> PAGEREF _Toc441733986 \h </w:instrText>
      </w:r>
      <w:r w:rsidRPr="001A07E0">
        <w:rPr>
          <w:noProof/>
        </w:rPr>
      </w:r>
      <w:r w:rsidRPr="001A07E0">
        <w:rPr>
          <w:noProof/>
        </w:rPr>
        <w:fldChar w:fldCharType="separate"/>
      </w:r>
      <w:r w:rsidR="001159EE">
        <w:rPr>
          <w:noProof/>
        </w:rPr>
        <w:t>21</w:t>
      </w:r>
      <w:r w:rsidRPr="001A07E0">
        <w:rPr>
          <w:noProof/>
        </w:rPr>
        <w:fldChar w:fldCharType="end"/>
      </w:r>
    </w:p>
    <w:p w14:paraId="3C65B87D"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5.</w:t>
      </w:r>
      <w:r w:rsidRPr="001A07E0">
        <w:rPr>
          <w:rFonts w:ascii="Arial" w:eastAsiaTheme="minorEastAsia" w:hAnsi="Arial" w:cstheme="minorBidi"/>
          <w:b w:val="0"/>
          <w:lang w:eastAsia="en-AU"/>
        </w:rPr>
        <w:tab/>
      </w:r>
      <w:r w:rsidRPr="001A07E0">
        <w:rPr>
          <w:rFonts w:ascii="Arial" w:hAnsi="Arial"/>
        </w:rPr>
        <w:t>Implementation and evaluation</w:t>
      </w:r>
      <w:r w:rsidRPr="001A07E0">
        <w:rPr>
          <w:rFonts w:ascii="Arial" w:hAnsi="Arial"/>
        </w:rPr>
        <w:tab/>
      </w:r>
      <w:r w:rsidRPr="001A07E0">
        <w:rPr>
          <w:rFonts w:ascii="Arial" w:hAnsi="Arial"/>
        </w:rPr>
        <w:fldChar w:fldCharType="begin"/>
      </w:r>
      <w:r w:rsidRPr="001A07E0">
        <w:rPr>
          <w:rFonts w:ascii="Arial" w:hAnsi="Arial"/>
        </w:rPr>
        <w:instrText xml:space="preserve"> PAGEREF _Toc441733987 \h </w:instrText>
      </w:r>
      <w:r w:rsidRPr="001A07E0">
        <w:rPr>
          <w:rFonts w:ascii="Arial" w:hAnsi="Arial"/>
        </w:rPr>
      </w:r>
      <w:r w:rsidRPr="001A07E0">
        <w:rPr>
          <w:rFonts w:ascii="Arial" w:hAnsi="Arial"/>
        </w:rPr>
        <w:fldChar w:fldCharType="separate"/>
      </w:r>
      <w:r w:rsidR="001159EE">
        <w:rPr>
          <w:rFonts w:ascii="Arial" w:hAnsi="Arial"/>
        </w:rPr>
        <w:t>28</w:t>
      </w:r>
      <w:r w:rsidRPr="001A07E0">
        <w:rPr>
          <w:rFonts w:ascii="Arial" w:hAnsi="Arial"/>
        </w:rPr>
        <w:fldChar w:fldCharType="end"/>
      </w:r>
    </w:p>
    <w:p w14:paraId="25637591" w14:textId="77777777" w:rsidR="00F35997" w:rsidRPr="001A07E0" w:rsidRDefault="00F35997">
      <w:pPr>
        <w:pStyle w:val="TOC2"/>
        <w:rPr>
          <w:rFonts w:eastAsiaTheme="minorEastAsia" w:cstheme="minorBidi"/>
          <w:b w:val="0"/>
          <w:noProof/>
          <w:lang w:eastAsia="en-AU"/>
        </w:rPr>
      </w:pPr>
      <w:r w:rsidRPr="001A07E0">
        <w:rPr>
          <w:noProof/>
        </w:rPr>
        <w:t>5.1</w:t>
      </w:r>
      <w:r w:rsidRPr="001A07E0">
        <w:rPr>
          <w:rFonts w:eastAsiaTheme="minorEastAsia" w:cstheme="minorBidi"/>
          <w:b w:val="0"/>
          <w:noProof/>
          <w:lang w:eastAsia="en-AU"/>
        </w:rPr>
        <w:tab/>
      </w:r>
      <w:r w:rsidRPr="001A07E0">
        <w:rPr>
          <w:noProof/>
        </w:rPr>
        <w:t>Implementation plan</w:t>
      </w:r>
      <w:r w:rsidRPr="001A07E0">
        <w:rPr>
          <w:noProof/>
        </w:rPr>
        <w:tab/>
      </w:r>
      <w:r w:rsidRPr="001A07E0">
        <w:rPr>
          <w:noProof/>
        </w:rPr>
        <w:fldChar w:fldCharType="begin"/>
      </w:r>
      <w:r w:rsidRPr="001A07E0">
        <w:rPr>
          <w:noProof/>
        </w:rPr>
        <w:instrText xml:space="preserve"> PAGEREF _Toc441733988 \h </w:instrText>
      </w:r>
      <w:r w:rsidRPr="001A07E0">
        <w:rPr>
          <w:noProof/>
        </w:rPr>
      </w:r>
      <w:r w:rsidRPr="001A07E0">
        <w:rPr>
          <w:noProof/>
        </w:rPr>
        <w:fldChar w:fldCharType="separate"/>
      </w:r>
      <w:r w:rsidR="001159EE">
        <w:rPr>
          <w:noProof/>
        </w:rPr>
        <w:t>28</w:t>
      </w:r>
      <w:r w:rsidRPr="001A07E0">
        <w:rPr>
          <w:noProof/>
        </w:rPr>
        <w:fldChar w:fldCharType="end"/>
      </w:r>
    </w:p>
    <w:p w14:paraId="73A21390" w14:textId="77777777" w:rsidR="00F35997" w:rsidRPr="001A07E0" w:rsidRDefault="00F35997">
      <w:pPr>
        <w:pStyle w:val="TOC2"/>
        <w:rPr>
          <w:rFonts w:eastAsiaTheme="minorEastAsia" w:cstheme="minorBidi"/>
          <w:b w:val="0"/>
          <w:noProof/>
          <w:lang w:eastAsia="en-AU"/>
        </w:rPr>
      </w:pPr>
      <w:r w:rsidRPr="001A07E0">
        <w:rPr>
          <w:noProof/>
        </w:rPr>
        <w:t>5.2</w:t>
      </w:r>
      <w:r w:rsidRPr="001A07E0">
        <w:rPr>
          <w:rFonts w:eastAsiaTheme="minorEastAsia" w:cstheme="minorBidi"/>
          <w:b w:val="0"/>
          <w:noProof/>
          <w:lang w:eastAsia="en-AU"/>
        </w:rPr>
        <w:tab/>
      </w:r>
      <w:r w:rsidRPr="001A07E0">
        <w:rPr>
          <w:noProof/>
        </w:rPr>
        <w:t>Evaluation</w:t>
      </w:r>
      <w:r w:rsidRPr="001A07E0">
        <w:rPr>
          <w:noProof/>
        </w:rPr>
        <w:tab/>
      </w:r>
      <w:r w:rsidRPr="001A07E0">
        <w:rPr>
          <w:noProof/>
        </w:rPr>
        <w:fldChar w:fldCharType="begin"/>
      </w:r>
      <w:r w:rsidRPr="001A07E0">
        <w:rPr>
          <w:noProof/>
        </w:rPr>
        <w:instrText xml:space="preserve"> PAGEREF _Toc441733989 \h </w:instrText>
      </w:r>
      <w:r w:rsidRPr="001A07E0">
        <w:rPr>
          <w:noProof/>
        </w:rPr>
      </w:r>
      <w:r w:rsidRPr="001A07E0">
        <w:rPr>
          <w:noProof/>
        </w:rPr>
        <w:fldChar w:fldCharType="separate"/>
      </w:r>
      <w:r w:rsidR="001159EE">
        <w:rPr>
          <w:noProof/>
        </w:rPr>
        <w:t>29</w:t>
      </w:r>
      <w:r w:rsidRPr="001A07E0">
        <w:rPr>
          <w:noProof/>
        </w:rPr>
        <w:fldChar w:fldCharType="end"/>
      </w:r>
    </w:p>
    <w:p w14:paraId="2BD57DFD" w14:textId="77777777" w:rsidR="00F35997" w:rsidRPr="001A07E0" w:rsidRDefault="00F35997">
      <w:pPr>
        <w:pStyle w:val="TOC1"/>
        <w:rPr>
          <w:rFonts w:ascii="Arial" w:eastAsiaTheme="minorEastAsia" w:hAnsi="Arial" w:cstheme="minorBidi"/>
          <w:b w:val="0"/>
          <w:lang w:eastAsia="en-AU"/>
        </w:rPr>
      </w:pPr>
      <w:r w:rsidRPr="001A07E0">
        <w:rPr>
          <w:rFonts w:ascii="Arial" w:hAnsi="Arial"/>
        </w:rPr>
        <w:t>6.</w:t>
      </w:r>
      <w:r w:rsidRPr="001A07E0">
        <w:rPr>
          <w:rFonts w:ascii="Arial" w:eastAsiaTheme="minorEastAsia" w:hAnsi="Arial" w:cstheme="minorBidi"/>
          <w:b w:val="0"/>
          <w:lang w:eastAsia="en-AU"/>
        </w:rPr>
        <w:tab/>
      </w:r>
      <w:r w:rsidRPr="001A07E0">
        <w:rPr>
          <w:rFonts w:ascii="Arial" w:hAnsi="Arial"/>
        </w:rPr>
        <w:t>Consultation</w:t>
      </w:r>
      <w:r w:rsidRPr="001A07E0">
        <w:rPr>
          <w:rFonts w:ascii="Arial" w:hAnsi="Arial"/>
        </w:rPr>
        <w:tab/>
      </w:r>
      <w:r w:rsidRPr="001A07E0">
        <w:rPr>
          <w:rFonts w:ascii="Arial" w:hAnsi="Arial"/>
        </w:rPr>
        <w:fldChar w:fldCharType="begin"/>
      </w:r>
      <w:r w:rsidRPr="001A07E0">
        <w:rPr>
          <w:rFonts w:ascii="Arial" w:hAnsi="Arial"/>
        </w:rPr>
        <w:instrText xml:space="preserve"> PAGEREF _Toc441733990 \h </w:instrText>
      </w:r>
      <w:r w:rsidRPr="001A07E0">
        <w:rPr>
          <w:rFonts w:ascii="Arial" w:hAnsi="Arial"/>
        </w:rPr>
      </w:r>
      <w:r w:rsidRPr="001A07E0">
        <w:rPr>
          <w:rFonts w:ascii="Arial" w:hAnsi="Arial"/>
        </w:rPr>
        <w:fldChar w:fldCharType="separate"/>
      </w:r>
      <w:r w:rsidR="001159EE">
        <w:rPr>
          <w:rFonts w:ascii="Arial" w:hAnsi="Arial"/>
        </w:rPr>
        <w:t>30</w:t>
      </w:r>
      <w:r w:rsidRPr="001A07E0">
        <w:rPr>
          <w:rFonts w:ascii="Arial" w:hAnsi="Arial"/>
        </w:rPr>
        <w:fldChar w:fldCharType="end"/>
      </w:r>
    </w:p>
    <w:p w14:paraId="384F245C" w14:textId="77777777" w:rsidR="00F35997" w:rsidRPr="001A07E0" w:rsidRDefault="00F35997">
      <w:pPr>
        <w:pStyle w:val="TOC1"/>
        <w:rPr>
          <w:rFonts w:ascii="Arial" w:eastAsiaTheme="minorEastAsia" w:hAnsi="Arial" w:cstheme="minorBidi"/>
          <w:b w:val="0"/>
          <w:lang w:eastAsia="en-AU"/>
        </w:rPr>
      </w:pPr>
      <w:r w:rsidRPr="001A07E0">
        <w:rPr>
          <w:rFonts w:ascii="Arial" w:eastAsiaTheme="minorEastAsia" w:hAnsi="Arial"/>
        </w:rPr>
        <w:t>Attachments</w:t>
      </w:r>
      <w:r w:rsidRPr="001A07E0">
        <w:rPr>
          <w:rFonts w:ascii="Arial" w:hAnsi="Arial"/>
        </w:rPr>
        <w:tab/>
      </w:r>
      <w:r w:rsidRPr="001A07E0">
        <w:rPr>
          <w:rFonts w:ascii="Arial" w:hAnsi="Arial"/>
        </w:rPr>
        <w:fldChar w:fldCharType="begin"/>
      </w:r>
      <w:r w:rsidRPr="001A07E0">
        <w:rPr>
          <w:rFonts w:ascii="Arial" w:hAnsi="Arial"/>
        </w:rPr>
        <w:instrText xml:space="preserve"> PAGEREF _Toc441733991 \h </w:instrText>
      </w:r>
      <w:r w:rsidRPr="001A07E0">
        <w:rPr>
          <w:rFonts w:ascii="Arial" w:hAnsi="Arial"/>
        </w:rPr>
      </w:r>
      <w:r w:rsidRPr="001A07E0">
        <w:rPr>
          <w:rFonts w:ascii="Arial" w:hAnsi="Arial"/>
        </w:rPr>
        <w:fldChar w:fldCharType="separate"/>
      </w:r>
      <w:r w:rsidR="001159EE">
        <w:rPr>
          <w:rFonts w:ascii="Arial" w:hAnsi="Arial"/>
        </w:rPr>
        <w:t>31</w:t>
      </w:r>
      <w:r w:rsidRPr="001A07E0">
        <w:rPr>
          <w:rFonts w:ascii="Arial" w:hAnsi="Arial"/>
        </w:rPr>
        <w:fldChar w:fldCharType="end"/>
      </w:r>
    </w:p>
    <w:p w14:paraId="4F32A1E8" w14:textId="77777777" w:rsidR="00F35997" w:rsidRPr="001A07E0" w:rsidRDefault="00F35997">
      <w:pPr>
        <w:pStyle w:val="TOC1"/>
        <w:rPr>
          <w:rFonts w:ascii="Arial" w:eastAsiaTheme="minorEastAsia" w:hAnsi="Arial" w:cstheme="minorBidi"/>
          <w:b w:val="0"/>
          <w:lang w:eastAsia="en-AU"/>
        </w:rPr>
      </w:pPr>
      <w:r w:rsidRPr="001A07E0">
        <w:rPr>
          <w:rFonts w:ascii="Arial" w:eastAsiaTheme="minorEastAsia" w:hAnsi="Arial"/>
        </w:rPr>
        <w:t>Attachment</w:t>
      </w:r>
      <w:r w:rsidRPr="001A07E0">
        <w:rPr>
          <w:rFonts w:ascii="Arial" w:hAnsi="Arial"/>
        </w:rPr>
        <w:t xml:space="preserve"> A: Recreational Fisheries Licence fees in other jurisdictions</w:t>
      </w:r>
      <w:r w:rsidRPr="001A07E0">
        <w:rPr>
          <w:rFonts w:ascii="Arial" w:hAnsi="Arial"/>
        </w:rPr>
        <w:tab/>
      </w:r>
      <w:r w:rsidRPr="001A07E0">
        <w:rPr>
          <w:rFonts w:ascii="Arial" w:hAnsi="Arial"/>
        </w:rPr>
        <w:fldChar w:fldCharType="begin"/>
      </w:r>
      <w:r w:rsidRPr="001A07E0">
        <w:rPr>
          <w:rFonts w:ascii="Arial" w:hAnsi="Arial"/>
        </w:rPr>
        <w:instrText xml:space="preserve"> PAGEREF _Toc441733992 \h </w:instrText>
      </w:r>
      <w:r w:rsidRPr="001A07E0">
        <w:rPr>
          <w:rFonts w:ascii="Arial" w:hAnsi="Arial"/>
        </w:rPr>
      </w:r>
      <w:r w:rsidRPr="001A07E0">
        <w:rPr>
          <w:rFonts w:ascii="Arial" w:hAnsi="Arial"/>
        </w:rPr>
        <w:fldChar w:fldCharType="separate"/>
      </w:r>
      <w:r w:rsidR="001159EE">
        <w:rPr>
          <w:rFonts w:ascii="Arial" w:hAnsi="Arial"/>
        </w:rPr>
        <w:t>32</w:t>
      </w:r>
      <w:r w:rsidRPr="001A07E0">
        <w:rPr>
          <w:rFonts w:ascii="Arial" w:hAnsi="Arial"/>
        </w:rPr>
        <w:fldChar w:fldCharType="end"/>
      </w:r>
    </w:p>
    <w:p w14:paraId="647A1BDE" w14:textId="77777777" w:rsidR="00F35997" w:rsidRPr="001A07E0" w:rsidRDefault="00F35997">
      <w:pPr>
        <w:pStyle w:val="TOC1"/>
        <w:rPr>
          <w:rFonts w:ascii="Arial" w:eastAsiaTheme="minorEastAsia" w:hAnsi="Arial" w:cstheme="minorBidi"/>
          <w:b w:val="0"/>
          <w:lang w:eastAsia="en-AU"/>
        </w:rPr>
      </w:pPr>
      <w:r w:rsidRPr="001A07E0">
        <w:rPr>
          <w:rFonts w:ascii="Arial" w:eastAsiaTheme="minorEastAsia" w:hAnsi="Arial"/>
        </w:rPr>
        <w:t>Attachment</w:t>
      </w:r>
      <w:r w:rsidRPr="001A07E0">
        <w:rPr>
          <w:rFonts w:ascii="Arial" w:hAnsi="Arial"/>
        </w:rPr>
        <w:t xml:space="preserve"> B: Payments to Recreational Fishing Grants Program and other projects during 2014/15</w:t>
      </w:r>
      <w:r w:rsidRPr="001A07E0">
        <w:rPr>
          <w:rFonts w:ascii="Arial" w:hAnsi="Arial"/>
        </w:rPr>
        <w:tab/>
      </w:r>
      <w:r w:rsidRPr="001A07E0">
        <w:rPr>
          <w:rFonts w:ascii="Arial" w:hAnsi="Arial"/>
        </w:rPr>
        <w:fldChar w:fldCharType="begin"/>
      </w:r>
      <w:r w:rsidRPr="001A07E0">
        <w:rPr>
          <w:rFonts w:ascii="Arial" w:hAnsi="Arial"/>
        </w:rPr>
        <w:instrText xml:space="preserve"> PAGEREF _Toc441733993 \h </w:instrText>
      </w:r>
      <w:r w:rsidRPr="001A07E0">
        <w:rPr>
          <w:rFonts w:ascii="Arial" w:hAnsi="Arial"/>
        </w:rPr>
      </w:r>
      <w:r w:rsidRPr="001A07E0">
        <w:rPr>
          <w:rFonts w:ascii="Arial" w:hAnsi="Arial"/>
        </w:rPr>
        <w:fldChar w:fldCharType="separate"/>
      </w:r>
      <w:r w:rsidR="001159EE">
        <w:rPr>
          <w:rFonts w:ascii="Arial" w:hAnsi="Arial"/>
        </w:rPr>
        <w:t>34</w:t>
      </w:r>
      <w:r w:rsidRPr="001A07E0">
        <w:rPr>
          <w:rFonts w:ascii="Arial" w:hAnsi="Arial"/>
        </w:rPr>
        <w:fldChar w:fldCharType="end"/>
      </w:r>
    </w:p>
    <w:p w14:paraId="3B8C04A4" w14:textId="77777777" w:rsidR="00F35997" w:rsidRDefault="00F35997">
      <w:pPr>
        <w:pStyle w:val="TOC1"/>
        <w:rPr>
          <w:rFonts w:ascii="Arial" w:hAnsi="Arial"/>
        </w:rPr>
      </w:pPr>
      <w:r w:rsidRPr="001A07E0">
        <w:rPr>
          <w:rFonts w:ascii="Arial" w:eastAsiaTheme="minorEastAsia" w:hAnsi="Arial"/>
        </w:rPr>
        <w:t>Attachment</w:t>
      </w:r>
      <w:r w:rsidRPr="001A07E0">
        <w:rPr>
          <w:rFonts w:ascii="Arial" w:hAnsi="Arial"/>
        </w:rPr>
        <w:t xml:space="preserve"> C:  2014/15 Recreational Fishing (Large) Grants Program – data on projects not funded</w:t>
      </w:r>
      <w:r w:rsidRPr="001A07E0">
        <w:rPr>
          <w:rFonts w:ascii="Arial" w:hAnsi="Arial"/>
        </w:rPr>
        <w:tab/>
      </w:r>
      <w:r w:rsidRPr="001A07E0">
        <w:rPr>
          <w:rFonts w:ascii="Arial" w:hAnsi="Arial"/>
        </w:rPr>
        <w:fldChar w:fldCharType="begin"/>
      </w:r>
      <w:r w:rsidRPr="001A07E0">
        <w:rPr>
          <w:rFonts w:ascii="Arial" w:hAnsi="Arial"/>
        </w:rPr>
        <w:instrText xml:space="preserve"> PAGEREF _Toc441733994 \h </w:instrText>
      </w:r>
      <w:r w:rsidRPr="001A07E0">
        <w:rPr>
          <w:rFonts w:ascii="Arial" w:hAnsi="Arial"/>
        </w:rPr>
      </w:r>
      <w:r w:rsidRPr="001A07E0">
        <w:rPr>
          <w:rFonts w:ascii="Arial" w:hAnsi="Arial"/>
        </w:rPr>
        <w:fldChar w:fldCharType="separate"/>
      </w:r>
      <w:r w:rsidR="001159EE">
        <w:rPr>
          <w:rFonts w:ascii="Arial" w:hAnsi="Arial"/>
        </w:rPr>
        <w:t>39</w:t>
      </w:r>
      <w:r w:rsidRPr="001A07E0">
        <w:rPr>
          <w:rFonts w:ascii="Arial" w:hAnsi="Arial"/>
        </w:rPr>
        <w:fldChar w:fldCharType="end"/>
      </w:r>
    </w:p>
    <w:p w14:paraId="059ADE20" w14:textId="77777777" w:rsidR="00E659E0" w:rsidRPr="00FF2C43" w:rsidRDefault="00E659E0" w:rsidP="00FF2C43">
      <w:pPr>
        <w:spacing w:before="120"/>
        <w:rPr>
          <w:b/>
          <w:noProof/>
        </w:rPr>
      </w:pPr>
      <w:r w:rsidRPr="00FF2C43">
        <w:rPr>
          <w:b/>
          <w:noProof/>
          <w:sz w:val="22"/>
          <w:szCs w:val="22"/>
        </w:rPr>
        <w:t>Attachment D: Proposed Regulations</w:t>
      </w:r>
      <w:r w:rsidR="00FF2C43" w:rsidRPr="00FF2C43">
        <w:rPr>
          <w:b/>
          <w:noProof/>
          <w:sz w:val="4"/>
          <w:szCs w:val="22"/>
        </w:rPr>
        <w:t xml:space="preserve"> </w:t>
      </w:r>
      <w:r w:rsidR="00E93DC3">
        <w:rPr>
          <w:b/>
          <w:noProof/>
          <w:sz w:val="22"/>
          <w:szCs w:val="22"/>
        </w:rPr>
        <w:t>.……………………………………………….4</w:t>
      </w:r>
      <w:r w:rsidR="008628CA">
        <w:rPr>
          <w:b/>
          <w:noProof/>
          <w:sz w:val="22"/>
          <w:szCs w:val="22"/>
        </w:rPr>
        <w:t>0</w:t>
      </w:r>
    </w:p>
    <w:p w14:paraId="21481D3C" w14:textId="77777777" w:rsidR="0084461B" w:rsidRPr="00252A3A" w:rsidRDefault="0084461B" w:rsidP="00F63024">
      <w:pPr>
        <w:tabs>
          <w:tab w:val="right" w:pos="8222"/>
        </w:tabs>
        <w:ind w:right="45"/>
        <w:rPr>
          <w:rFonts w:eastAsia="Calibri"/>
        </w:rPr>
      </w:pPr>
      <w:r w:rsidRPr="001A07E0">
        <w:rPr>
          <w:rFonts w:eastAsia="Calibri"/>
        </w:rPr>
        <w:fldChar w:fldCharType="end"/>
      </w:r>
    </w:p>
    <w:p w14:paraId="669655B2" w14:textId="77777777" w:rsidR="00001CA3" w:rsidRPr="0008580A" w:rsidRDefault="00001CA3" w:rsidP="006C6C78">
      <w:pPr>
        <w:rPr>
          <w:rFonts w:eastAsia="Calibri"/>
        </w:rPr>
      </w:pPr>
    </w:p>
    <w:p w14:paraId="306271C5" w14:textId="77777777" w:rsidR="00001CA3" w:rsidRPr="0008580A" w:rsidRDefault="00001CA3" w:rsidP="006C6C78">
      <w:pPr>
        <w:sectPr w:rsidR="00001CA3" w:rsidRPr="0008580A" w:rsidSect="00F3009D">
          <w:footerReference w:type="default" r:id="rId18"/>
          <w:headerReference w:type="first" r:id="rId19"/>
          <w:footerReference w:type="first" r:id="rId20"/>
          <w:pgSz w:w="11900" w:h="16840"/>
          <w:pgMar w:top="1440" w:right="1835" w:bottom="1440" w:left="1800" w:header="708" w:footer="708" w:gutter="0"/>
          <w:cols w:space="708"/>
          <w:titlePg/>
          <w:docGrid w:linePitch="360"/>
        </w:sectPr>
      </w:pPr>
    </w:p>
    <w:p w14:paraId="4BB35FD1" w14:textId="77777777" w:rsidR="00001CA3" w:rsidRPr="000D2640" w:rsidRDefault="006C6C78" w:rsidP="006C6C78">
      <w:pPr>
        <w:pStyle w:val="TOCTitle"/>
        <w:rPr>
          <w:color w:val="1F497D" w:themeColor="text2"/>
          <w:sz w:val="22"/>
          <w:szCs w:val="22"/>
          <w:lang w:val="en-AU"/>
        </w:rPr>
      </w:pPr>
      <w:bookmarkStart w:id="5" w:name="_Toc439692280"/>
      <w:bookmarkStart w:id="6" w:name="_Toc441733968"/>
      <w:r w:rsidRPr="000D2640">
        <w:rPr>
          <w:color w:val="1F497D" w:themeColor="text2"/>
        </w:rPr>
        <w:t>Abbreviations</w:t>
      </w:r>
      <w:bookmarkEnd w:id="5"/>
      <w:bookmarkEnd w:id="6"/>
    </w:p>
    <w:p w14:paraId="3B6FB92E" w14:textId="77777777" w:rsidR="00077E1F" w:rsidRPr="0008580A" w:rsidRDefault="00077E1F" w:rsidP="006C6C78">
      <w:proofErr w:type="gramStart"/>
      <w:r w:rsidRPr="0008580A">
        <w:rPr>
          <w:b/>
        </w:rPr>
        <w:t>the</w:t>
      </w:r>
      <w:proofErr w:type="gramEnd"/>
      <w:r w:rsidRPr="0008580A">
        <w:rPr>
          <w:b/>
        </w:rPr>
        <w:t xml:space="preserve"> Act </w:t>
      </w:r>
      <w:r w:rsidRPr="0008580A">
        <w:t xml:space="preserve">– </w:t>
      </w:r>
      <w:r w:rsidR="00162DC1" w:rsidRPr="0008580A">
        <w:t>Fisheries</w:t>
      </w:r>
      <w:r w:rsidRPr="0008580A">
        <w:t xml:space="preserve"> Act 19</w:t>
      </w:r>
      <w:r w:rsidR="00162DC1" w:rsidRPr="0008580A">
        <w:t>95</w:t>
      </w:r>
    </w:p>
    <w:p w14:paraId="481FF4E6" w14:textId="77777777" w:rsidR="00077E1F" w:rsidRPr="0008580A" w:rsidRDefault="00077E1F" w:rsidP="006C6C78"/>
    <w:p w14:paraId="0D02F792" w14:textId="77777777" w:rsidR="00077E1F" w:rsidRPr="0008580A" w:rsidRDefault="00077E1F" w:rsidP="006C6C78">
      <w:proofErr w:type="gramStart"/>
      <w:r w:rsidRPr="0008580A">
        <w:rPr>
          <w:b/>
        </w:rPr>
        <w:t>the</w:t>
      </w:r>
      <w:proofErr w:type="gramEnd"/>
      <w:r w:rsidRPr="0008580A">
        <w:rPr>
          <w:b/>
        </w:rPr>
        <w:t xml:space="preserve"> current Regulations </w:t>
      </w:r>
      <w:r w:rsidRPr="0008580A">
        <w:t xml:space="preserve">– </w:t>
      </w:r>
      <w:r w:rsidR="00162DC1" w:rsidRPr="0008580A">
        <w:t xml:space="preserve">refers to both </w:t>
      </w:r>
      <w:r w:rsidR="005619C8">
        <w:t xml:space="preserve">the </w:t>
      </w:r>
      <w:r w:rsidR="00162DC1" w:rsidRPr="0008580A">
        <w:t>Fisheries (Fees, Royalties and Levies) Regulations 2008</w:t>
      </w:r>
      <w:r w:rsidR="00C63F79" w:rsidRPr="00C63F79">
        <w:t xml:space="preserve"> </w:t>
      </w:r>
      <w:r w:rsidR="00C63F79">
        <w:t xml:space="preserve">and </w:t>
      </w:r>
      <w:r w:rsidR="00865BEF">
        <w:t xml:space="preserve">the </w:t>
      </w:r>
      <w:r w:rsidR="00C63F79">
        <w:t>Fisheries Regulations 2009</w:t>
      </w:r>
    </w:p>
    <w:p w14:paraId="45E0519D" w14:textId="77777777" w:rsidR="00077E1F" w:rsidRPr="0008580A" w:rsidRDefault="00077E1F" w:rsidP="006C6C78"/>
    <w:p w14:paraId="49A7C901" w14:textId="77777777" w:rsidR="00077E1F" w:rsidRPr="0008580A" w:rsidRDefault="00077E1F" w:rsidP="006C6C78">
      <w:pPr>
        <w:rPr>
          <w:b/>
        </w:rPr>
      </w:pPr>
      <w:proofErr w:type="gramStart"/>
      <w:r w:rsidRPr="0008580A">
        <w:rPr>
          <w:b/>
        </w:rPr>
        <w:t>the</w:t>
      </w:r>
      <w:proofErr w:type="gramEnd"/>
      <w:r w:rsidRPr="0008580A">
        <w:rPr>
          <w:b/>
        </w:rPr>
        <w:t xml:space="preserve"> proposed Regulations </w:t>
      </w:r>
      <w:r w:rsidRPr="0008580A">
        <w:t xml:space="preserve">– </w:t>
      </w:r>
      <w:r w:rsidR="00162DC1" w:rsidRPr="0008580A">
        <w:t xml:space="preserve">Fisheries and Fisheries (Fees, Royalties and Levies) Amendment </w:t>
      </w:r>
      <w:r w:rsidR="00865BEF">
        <w:t xml:space="preserve">(Recreational Fishery Licence) </w:t>
      </w:r>
      <w:r w:rsidR="00162DC1" w:rsidRPr="0008580A">
        <w:t>Regulations 201</w:t>
      </w:r>
      <w:r w:rsidR="00C63F79">
        <w:t>6</w:t>
      </w:r>
    </w:p>
    <w:p w14:paraId="44D70474" w14:textId="77777777" w:rsidR="00077E1F" w:rsidRPr="0008580A" w:rsidRDefault="00077E1F" w:rsidP="006C6C78"/>
    <w:p w14:paraId="07D2AEDC" w14:textId="77777777" w:rsidR="000D16E0" w:rsidRDefault="000D16E0" w:rsidP="006C6C78">
      <w:pPr>
        <w:rPr>
          <w:b/>
        </w:rPr>
      </w:pPr>
      <w:r>
        <w:rPr>
          <w:b/>
        </w:rPr>
        <w:t xml:space="preserve">CBR </w:t>
      </w:r>
      <w:r w:rsidRPr="000D16E0">
        <w:t>– Commissioner for Better Regulation</w:t>
      </w:r>
    </w:p>
    <w:p w14:paraId="388AE3CC" w14:textId="77777777" w:rsidR="000D16E0" w:rsidRDefault="000D16E0" w:rsidP="006C6C78">
      <w:pPr>
        <w:rPr>
          <w:b/>
        </w:rPr>
      </w:pPr>
    </w:p>
    <w:p w14:paraId="4351D397" w14:textId="77777777" w:rsidR="00FD717B" w:rsidRPr="0008580A" w:rsidRDefault="00FD717B" w:rsidP="006C6C78">
      <w:pPr>
        <w:rPr>
          <w:b/>
        </w:rPr>
      </w:pPr>
      <w:r w:rsidRPr="0008580A">
        <w:rPr>
          <w:b/>
        </w:rPr>
        <w:t xml:space="preserve">CPI </w:t>
      </w:r>
      <w:r w:rsidRPr="0008580A">
        <w:t xml:space="preserve">– Consumer Price </w:t>
      </w:r>
      <w:r w:rsidR="00C1284B" w:rsidRPr="0008580A">
        <w:t>Index</w:t>
      </w:r>
    </w:p>
    <w:p w14:paraId="352F1076" w14:textId="77777777" w:rsidR="00FD717B" w:rsidRPr="0008580A" w:rsidRDefault="00FD717B" w:rsidP="006C6C78"/>
    <w:p w14:paraId="69975914" w14:textId="77777777" w:rsidR="00077E1F" w:rsidRDefault="00077E1F" w:rsidP="006C6C78">
      <w:r w:rsidRPr="0008580A">
        <w:rPr>
          <w:b/>
        </w:rPr>
        <w:t>D</w:t>
      </w:r>
      <w:r w:rsidR="00162DC1" w:rsidRPr="0008580A">
        <w:rPr>
          <w:b/>
        </w:rPr>
        <w:t>E</w:t>
      </w:r>
      <w:r w:rsidR="00C63F79">
        <w:rPr>
          <w:b/>
        </w:rPr>
        <w:t>DJTR</w:t>
      </w:r>
      <w:r w:rsidRPr="0008580A">
        <w:t xml:space="preserve"> – </w:t>
      </w:r>
      <w:r w:rsidR="00C63F79" w:rsidRPr="00C63F79">
        <w:t>Department of Economic Development, Jobs, Transport and Resources</w:t>
      </w:r>
    </w:p>
    <w:p w14:paraId="6E4148C7" w14:textId="77777777" w:rsidR="000D16E0" w:rsidRDefault="000D16E0" w:rsidP="006C6C78"/>
    <w:p w14:paraId="5991E570" w14:textId="77777777" w:rsidR="000D16E0" w:rsidRPr="0008580A" w:rsidRDefault="000D16E0" w:rsidP="006C6C78">
      <w:r w:rsidRPr="000D16E0">
        <w:rPr>
          <w:b/>
        </w:rPr>
        <w:t>FV</w:t>
      </w:r>
      <w:r>
        <w:t xml:space="preserve"> – Fisheries Victoria, a branch within DEDJTR responsible for policy and administration of regulation of fisheries</w:t>
      </w:r>
    </w:p>
    <w:p w14:paraId="4D1BF04C" w14:textId="77777777" w:rsidR="00077E1F" w:rsidRPr="0008580A" w:rsidRDefault="00077E1F" w:rsidP="006C6C78"/>
    <w:p w14:paraId="43DE820E" w14:textId="77777777" w:rsidR="00F85180" w:rsidRPr="0008580A" w:rsidRDefault="00F85180" w:rsidP="006C6C78">
      <w:pPr>
        <w:rPr>
          <w:b/>
        </w:rPr>
      </w:pPr>
      <w:r w:rsidRPr="0008580A">
        <w:rPr>
          <w:b/>
        </w:rPr>
        <w:t xml:space="preserve">GSP </w:t>
      </w:r>
      <w:r w:rsidRPr="0008580A">
        <w:t>– Gross State Product</w:t>
      </w:r>
    </w:p>
    <w:p w14:paraId="4A3022E2" w14:textId="77777777" w:rsidR="00077E1F" w:rsidRPr="0008580A" w:rsidRDefault="00077E1F" w:rsidP="006C6C78"/>
    <w:p w14:paraId="33B7231A" w14:textId="77777777" w:rsidR="00077E1F" w:rsidRPr="0008580A" w:rsidRDefault="00077E1F" w:rsidP="006C6C78">
      <w:pPr>
        <w:rPr>
          <w:b/>
        </w:rPr>
      </w:pPr>
      <w:r w:rsidRPr="0008580A">
        <w:rPr>
          <w:b/>
        </w:rPr>
        <w:t>MCA</w:t>
      </w:r>
      <w:r w:rsidRPr="0008580A">
        <w:t xml:space="preserve"> – Multi-criteria Analysis</w:t>
      </w:r>
    </w:p>
    <w:p w14:paraId="13CA5E9C" w14:textId="77777777" w:rsidR="00077E1F" w:rsidRPr="0008580A" w:rsidRDefault="00077E1F" w:rsidP="006C6C78"/>
    <w:p w14:paraId="559C490F" w14:textId="77777777" w:rsidR="00077E1F" w:rsidRPr="0008580A" w:rsidRDefault="00077E1F" w:rsidP="006C6C78">
      <w:pPr>
        <w:rPr>
          <w:b/>
        </w:rPr>
      </w:pPr>
      <w:r w:rsidRPr="0008580A">
        <w:rPr>
          <w:b/>
        </w:rPr>
        <w:t>NCC</w:t>
      </w:r>
      <w:r w:rsidRPr="0008580A">
        <w:t xml:space="preserve"> – National Competition Council</w:t>
      </w:r>
    </w:p>
    <w:p w14:paraId="67AB9BBD" w14:textId="77777777" w:rsidR="00077E1F" w:rsidRPr="0008580A" w:rsidRDefault="00077E1F" w:rsidP="006C6C78"/>
    <w:p w14:paraId="3D8292F4" w14:textId="77777777" w:rsidR="00077E1F" w:rsidRPr="0008580A" w:rsidRDefault="00077E1F" w:rsidP="006C6C78">
      <w:r w:rsidRPr="0008580A">
        <w:rPr>
          <w:b/>
        </w:rPr>
        <w:t>PV</w:t>
      </w:r>
      <w:r w:rsidRPr="0008580A">
        <w:t xml:space="preserve"> – Present Value</w:t>
      </w:r>
    </w:p>
    <w:p w14:paraId="554C66B1" w14:textId="77777777" w:rsidR="00077E1F" w:rsidRPr="0008580A" w:rsidRDefault="00077E1F" w:rsidP="006C6C78"/>
    <w:p w14:paraId="6F0C7C26" w14:textId="77777777" w:rsidR="00077E1F" w:rsidRPr="0008580A" w:rsidRDefault="00077E1F" w:rsidP="006C6C78">
      <w:r w:rsidRPr="0008580A">
        <w:rPr>
          <w:b/>
        </w:rPr>
        <w:t>Premier’s Guidelines</w:t>
      </w:r>
      <w:r w:rsidRPr="0008580A">
        <w:t xml:space="preserve"> – Subordinate Legislation Act 1994 Guidelines</w:t>
      </w:r>
    </w:p>
    <w:p w14:paraId="4D03B491" w14:textId="77777777" w:rsidR="008C000B" w:rsidRPr="0008580A" w:rsidRDefault="008C000B" w:rsidP="006C6C78"/>
    <w:p w14:paraId="2232F4C5" w14:textId="77777777" w:rsidR="00657101" w:rsidRDefault="00657101" w:rsidP="006C6C78">
      <w:pPr>
        <w:rPr>
          <w:rFonts w:eastAsia="Calibri"/>
        </w:rPr>
      </w:pPr>
      <w:r w:rsidRPr="00657101">
        <w:rPr>
          <w:rFonts w:eastAsia="Calibri"/>
          <w:b/>
        </w:rPr>
        <w:t>RFGP</w:t>
      </w:r>
      <w:r w:rsidRPr="0008580A">
        <w:rPr>
          <w:rFonts w:eastAsia="Calibri"/>
        </w:rPr>
        <w:t xml:space="preserve"> </w:t>
      </w:r>
      <w:r w:rsidRPr="0008580A">
        <w:t>–</w:t>
      </w:r>
      <w:r>
        <w:t xml:space="preserve"> </w:t>
      </w:r>
      <w:r w:rsidRPr="0008580A">
        <w:rPr>
          <w:rFonts w:eastAsia="Calibri"/>
        </w:rPr>
        <w:t>Recreational Fishing Grants P</w:t>
      </w:r>
      <w:r>
        <w:rPr>
          <w:rFonts w:eastAsia="Calibri"/>
        </w:rPr>
        <w:t>rogram</w:t>
      </w:r>
    </w:p>
    <w:p w14:paraId="17E4F818" w14:textId="77777777" w:rsidR="00657101" w:rsidRDefault="00657101" w:rsidP="006C6C78"/>
    <w:p w14:paraId="460E71FB" w14:textId="77777777" w:rsidR="008C000B" w:rsidRPr="0008580A" w:rsidRDefault="008C000B" w:rsidP="006C6C78">
      <w:r w:rsidRPr="0008580A">
        <w:rPr>
          <w:b/>
        </w:rPr>
        <w:t>RFL</w:t>
      </w:r>
      <w:r w:rsidRPr="0008580A">
        <w:t xml:space="preserve"> – Recreational Fisher</w:t>
      </w:r>
      <w:r w:rsidR="002B10FA">
        <w:t>y</w:t>
      </w:r>
      <w:r w:rsidRPr="0008580A">
        <w:t xml:space="preserve"> Licence</w:t>
      </w:r>
    </w:p>
    <w:p w14:paraId="33378C0B" w14:textId="77777777" w:rsidR="00077E1F" w:rsidRDefault="00077E1F" w:rsidP="006C6C78"/>
    <w:p w14:paraId="75043E03" w14:textId="77777777" w:rsidR="00077E1F" w:rsidRPr="0008580A" w:rsidRDefault="00077E1F" w:rsidP="006C6C78">
      <w:r w:rsidRPr="0008580A">
        <w:rPr>
          <w:b/>
        </w:rPr>
        <w:t>RIS</w:t>
      </w:r>
      <w:r w:rsidRPr="0008580A">
        <w:t xml:space="preserve"> – Regulatory Impact Statement</w:t>
      </w:r>
    </w:p>
    <w:p w14:paraId="3ECBE5E3" w14:textId="77777777" w:rsidR="00077E1F" w:rsidRPr="0008580A" w:rsidRDefault="00077E1F" w:rsidP="006C6C78"/>
    <w:p w14:paraId="2F3F056A" w14:textId="77777777" w:rsidR="00077E1F" w:rsidRPr="0008580A" w:rsidRDefault="00077E1F" w:rsidP="006C6C78"/>
    <w:p w14:paraId="1FBF8615" w14:textId="77777777" w:rsidR="00E55F26" w:rsidRPr="0008580A" w:rsidRDefault="00E55F26" w:rsidP="006C6C78"/>
    <w:p w14:paraId="11878D8D" w14:textId="77777777" w:rsidR="00001CA3" w:rsidRPr="0008580A" w:rsidRDefault="00001CA3" w:rsidP="006C6C78">
      <w:pPr>
        <w:sectPr w:rsidR="00001CA3" w:rsidRPr="0008580A" w:rsidSect="00F3009D">
          <w:headerReference w:type="first" r:id="rId21"/>
          <w:footerReference w:type="first" r:id="rId22"/>
          <w:pgSz w:w="11900" w:h="16840"/>
          <w:pgMar w:top="1440" w:right="1800" w:bottom="1440" w:left="1800" w:header="708" w:footer="708" w:gutter="0"/>
          <w:cols w:space="708"/>
          <w:titlePg/>
          <w:docGrid w:linePitch="360"/>
        </w:sectPr>
      </w:pPr>
    </w:p>
    <w:p w14:paraId="184E1D5C" w14:textId="77777777" w:rsidR="00001CA3" w:rsidRPr="0008580A" w:rsidRDefault="00001CA3" w:rsidP="00B52871">
      <w:pPr>
        <w:pStyle w:val="HeadingA"/>
      </w:pPr>
      <w:bookmarkStart w:id="7" w:name="_Toc441733969"/>
      <w:r w:rsidRPr="0008580A">
        <w:t>S</w:t>
      </w:r>
      <w:r w:rsidR="006C6C78">
        <w:t>ummary</w:t>
      </w:r>
      <w:bookmarkEnd w:id="7"/>
    </w:p>
    <w:tbl>
      <w:tblPr>
        <w:tblW w:w="9147" w:type="dxa"/>
        <w:shd w:val="clear" w:color="auto" w:fill="942839"/>
        <w:tblLayout w:type="fixed"/>
        <w:tblCellMar>
          <w:top w:w="57" w:type="dxa"/>
          <w:left w:w="57" w:type="dxa"/>
          <w:bottom w:w="57" w:type="dxa"/>
          <w:right w:w="57" w:type="dxa"/>
        </w:tblCellMar>
        <w:tblLook w:val="01E0" w:firstRow="1" w:lastRow="1" w:firstColumn="1" w:lastColumn="1" w:noHBand="0" w:noVBand="0"/>
      </w:tblPr>
      <w:tblGrid>
        <w:gridCol w:w="1858"/>
        <w:gridCol w:w="1259"/>
        <w:gridCol w:w="1278"/>
        <w:gridCol w:w="792"/>
        <w:gridCol w:w="450"/>
        <w:gridCol w:w="232"/>
        <w:gridCol w:w="950"/>
        <w:gridCol w:w="2310"/>
        <w:gridCol w:w="18"/>
      </w:tblGrid>
      <w:tr w:rsidR="00053805" w:rsidRPr="00053805" w14:paraId="4A43E891" w14:textId="77777777" w:rsidTr="005D1842">
        <w:trPr>
          <w:cantSplit/>
        </w:trPr>
        <w:tc>
          <w:tcPr>
            <w:tcW w:w="9147" w:type="dxa"/>
            <w:gridSpan w:val="9"/>
            <w:shd w:val="clear" w:color="auto" w:fill="1F497D" w:themeFill="text2"/>
          </w:tcPr>
          <w:p w14:paraId="07C922AD" w14:textId="77777777" w:rsidR="00CF314F" w:rsidRPr="00053805" w:rsidRDefault="00CF314F" w:rsidP="00CF314F">
            <w:pPr>
              <w:pStyle w:val="TableHeader"/>
              <w:rPr>
                <w:rFonts w:ascii="Arial" w:hAnsi="Arial" w:cs="Arial"/>
                <w:b/>
                <w:color w:val="FFFFFF" w:themeColor="background1"/>
                <w:sz w:val="20"/>
                <w:szCs w:val="20"/>
              </w:rPr>
            </w:pPr>
            <w:r w:rsidRPr="00053805">
              <w:rPr>
                <w:rFonts w:ascii="Arial" w:hAnsi="Arial" w:cs="Arial"/>
                <w:b/>
                <w:color w:val="FFFFFF" w:themeColor="background1"/>
                <w:sz w:val="20"/>
                <w:szCs w:val="20"/>
              </w:rPr>
              <w:br w:type="page"/>
              <w:t>Summary of regulatory impact statement</w:t>
            </w:r>
          </w:p>
        </w:tc>
      </w:tr>
      <w:tr w:rsidR="00053805" w:rsidRPr="00053805" w14:paraId="0DD4B72B" w14:textId="77777777" w:rsidTr="005D1842">
        <w:trPr>
          <w:cantSplit/>
        </w:trPr>
        <w:tc>
          <w:tcPr>
            <w:tcW w:w="4395" w:type="dxa"/>
            <w:gridSpan w:val="3"/>
            <w:shd w:val="clear" w:color="auto" w:fill="1F497D" w:themeFill="text2"/>
          </w:tcPr>
          <w:p w14:paraId="2A3DD27A" w14:textId="77777777" w:rsidR="004379E6" w:rsidRPr="00053805" w:rsidRDefault="004379E6" w:rsidP="00CF314F">
            <w:pPr>
              <w:pStyle w:val="TableHeader"/>
              <w:rPr>
                <w:rFonts w:ascii="Arial" w:hAnsi="Arial" w:cs="Arial"/>
                <w:color w:val="FFFFFF" w:themeColor="background1"/>
                <w:sz w:val="20"/>
                <w:szCs w:val="20"/>
              </w:rPr>
            </w:pPr>
            <w:r w:rsidRPr="00053805">
              <w:rPr>
                <w:rFonts w:ascii="Arial" w:hAnsi="Arial" w:cs="Arial"/>
                <w:color w:val="FFFFFF" w:themeColor="background1"/>
                <w:sz w:val="20"/>
                <w:szCs w:val="20"/>
              </w:rPr>
              <w:t>Department of Economic Development, Jobs, Transport and Resources</w:t>
            </w:r>
          </w:p>
        </w:tc>
        <w:tc>
          <w:tcPr>
            <w:tcW w:w="4752" w:type="dxa"/>
            <w:gridSpan w:val="6"/>
            <w:shd w:val="clear" w:color="auto" w:fill="1F497D" w:themeFill="text2"/>
          </w:tcPr>
          <w:p w14:paraId="20C056F5" w14:textId="77777777" w:rsidR="004379E6" w:rsidRPr="00053805" w:rsidRDefault="004379E6" w:rsidP="009760D6">
            <w:pPr>
              <w:pStyle w:val="TableHeader"/>
              <w:rPr>
                <w:rFonts w:ascii="Arial" w:hAnsi="Arial" w:cs="Arial"/>
                <w:color w:val="FFFFFF" w:themeColor="background1"/>
                <w:sz w:val="20"/>
                <w:szCs w:val="20"/>
              </w:rPr>
            </w:pPr>
            <w:r w:rsidRPr="00053805">
              <w:rPr>
                <w:rFonts w:ascii="Arial" w:hAnsi="Arial" w:cs="Arial"/>
                <w:color w:val="FFFFFF" w:themeColor="background1"/>
                <w:sz w:val="20"/>
                <w:szCs w:val="20"/>
              </w:rPr>
              <w:t xml:space="preserve">Fisheries and Fisheries (Fees, Royalties and Levies) Amendment </w:t>
            </w:r>
            <w:r w:rsidR="00865BEF">
              <w:rPr>
                <w:rFonts w:ascii="Arial" w:hAnsi="Arial" w:cs="Arial"/>
                <w:color w:val="FFFFFF" w:themeColor="background1"/>
                <w:sz w:val="20"/>
                <w:szCs w:val="20"/>
              </w:rPr>
              <w:t xml:space="preserve">(Recreational Fishery Licence) </w:t>
            </w:r>
            <w:r w:rsidRPr="00053805">
              <w:rPr>
                <w:rFonts w:ascii="Arial" w:hAnsi="Arial" w:cs="Arial"/>
                <w:color w:val="FFFFFF" w:themeColor="background1"/>
                <w:sz w:val="20"/>
                <w:szCs w:val="20"/>
              </w:rPr>
              <w:t>Regulations 2016</w:t>
            </w:r>
          </w:p>
        </w:tc>
      </w:tr>
      <w:tr w:rsidR="00CF314F" w:rsidRPr="005911F8" w14:paraId="66C305BE" w14:textId="77777777" w:rsidTr="00FF2C43">
        <w:trPr>
          <w:cantSplit/>
          <w:trHeight w:hRule="exact" w:val="40"/>
        </w:trPr>
        <w:tc>
          <w:tcPr>
            <w:tcW w:w="6819" w:type="dxa"/>
            <w:gridSpan w:val="7"/>
            <w:tcBorders>
              <w:bottom w:val="single" w:sz="4" w:space="0" w:color="auto"/>
            </w:tcBorders>
            <w:shd w:val="clear" w:color="auto" w:fill="auto"/>
          </w:tcPr>
          <w:p w14:paraId="3483AF02" w14:textId="77777777" w:rsidR="00CF314F" w:rsidRPr="00053805" w:rsidRDefault="00CF314F" w:rsidP="00CF314F">
            <w:pPr>
              <w:pStyle w:val="TableText"/>
              <w:spacing w:before="0" w:after="0"/>
              <w:rPr>
                <w:rFonts w:ascii="Arial" w:hAnsi="Arial" w:cs="Arial"/>
                <w:color w:val="000000" w:themeColor="text1"/>
                <w:w w:val="2"/>
                <w:szCs w:val="20"/>
              </w:rPr>
            </w:pPr>
          </w:p>
        </w:tc>
        <w:tc>
          <w:tcPr>
            <w:tcW w:w="2328" w:type="dxa"/>
            <w:gridSpan w:val="2"/>
            <w:tcBorders>
              <w:left w:val="nil"/>
              <w:bottom w:val="single" w:sz="4" w:space="0" w:color="auto"/>
            </w:tcBorders>
            <w:shd w:val="clear" w:color="auto" w:fill="auto"/>
          </w:tcPr>
          <w:p w14:paraId="3ADDB705" w14:textId="77777777" w:rsidR="00CF314F" w:rsidRPr="00053805" w:rsidRDefault="00CF314F" w:rsidP="00CF314F">
            <w:pPr>
              <w:pStyle w:val="TableText"/>
              <w:spacing w:before="0" w:after="0"/>
              <w:rPr>
                <w:rFonts w:ascii="Arial" w:hAnsi="Arial" w:cs="Arial"/>
                <w:color w:val="000000" w:themeColor="text1"/>
                <w:w w:val="2"/>
                <w:szCs w:val="20"/>
              </w:rPr>
            </w:pPr>
          </w:p>
        </w:tc>
      </w:tr>
      <w:tr w:rsidR="00CF314F" w:rsidRPr="005911F8" w14:paraId="16458A89" w14:textId="77777777" w:rsidTr="00FF2C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819" w:type="dxa"/>
            <w:gridSpan w:val="7"/>
            <w:shd w:val="clear" w:color="auto" w:fill="C4DFF6"/>
            <w:vAlign w:val="center"/>
          </w:tcPr>
          <w:p w14:paraId="62C03C70" w14:textId="77777777" w:rsidR="00CF314F" w:rsidRPr="00053805" w:rsidRDefault="00CF314F" w:rsidP="004379E6">
            <w:pPr>
              <w:pStyle w:val="TableHeader"/>
              <w:rPr>
                <w:rFonts w:ascii="Arial" w:hAnsi="Arial" w:cs="Arial"/>
                <w:color w:val="000000" w:themeColor="text1"/>
                <w:sz w:val="20"/>
                <w:szCs w:val="20"/>
              </w:rPr>
            </w:pPr>
            <w:r w:rsidRPr="00053805">
              <w:rPr>
                <w:rFonts w:ascii="Arial" w:hAnsi="Arial" w:cs="Arial"/>
                <w:color w:val="000000" w:themeColor="text1"/>
                <w:sz w:val="20"/>
                <w:szCs w:val="20"/>
              </w:rPr>
              <w:t xml:space="preserve">Has the </w:t>
            </w:r>
            <w:r w:rsidR="004379E6" w:rsidRPr="00053805">
              <w:rPr>
                <w:rFonts w:ascii="Arial" w:hAnsi="Arial" w:cs="Arial"/>
                <w:color w:val="000000" w:themeColor="text1"/>
                <w:sz w:val="20"/>
                <w:szCs w:val="20"/>
              </w:rPr>
              <w:t>CBR</w:t>
            </w:r>
            <w:r w:rsidRPr="00053805">
              <w:rPr>
                <w:rFonts w:ascii="Arial" w:hAnsi="Arial" w:cs="Arial"/>
                <w:color w:val="000000" w:themeColor="text1"/>
                <w:sz w:val="20"/>
                <w:szCs w:val="20"/>
              </w:rPr>
              <w:t xml:space="preserve"> assessed the RIS as meeting the Victorian Guide to Regulation requirements? </w:t>
            </w:r>
          </w:p>
        </w:tc>
        <w:tc>
          <w:tcPr>
            <w:tcW w:w="2328" w:type="dxa"/>
            <w:gridSpan w:val="2"/>
            <w:shd w:val="clear" w:color="auto" w:fill="C4DFF6"/>
          </w:tcPr>
          <w:p w14:paraId="03DB7C8B" w14:textId="77777777" w:rsidR="00CF314F" w:rsidRPr="00053805" w:rsidRDefault="00CD1E7F" w:rsidP="00CD1E7F">
            <w:pPr>
              <w:pStyle w:val="TableHeader"/>
              <w:jc w:val="center"/>
              <w:rPr>
                <w:rFonts w:ascii="Arial" w:hAnsi="Arial" w:cs="Arial"/>
                <w:color w:val="000000" w:themeColor="text1"/>
                <w:sz w:val="20"/>
                <w:szCs w:val="20"/>
                <w:lang w:eastAsia="en-US"/>
              </w:rPr>
            </w:pPr>
            <w:r>
              <w:rPr>
                <w:rFonts w:ascii="Arial" w:hAnsi="Arial" w:cs="Arial"/>
                <w:color w:val="000000" w:themeColor="text1"/>
                <w:sz w:val="20"/>
                <w:szCs w:val="20"/>
                <w:lang w:eastAsia="en-US"/>
              </w:rPr>
              <w:t>Yes</w:t>
            </w:r>
          </w:p>
        </w:tc>
      </w:tr>
      <w:tr w:rsidR="00CF314F" w:rsidRPr="005911F8" w14:paraId="2DD37228"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9147" w:type="dxa"/>
            <w:gridSpan w:val="9"/>
            <w:tcBorders>
              <w:bottom w:val="single" w:sz="4" w:space="0" w:color="auto"/>
            </w:tcBorders>
            <w:shd w:val="clear" w:color="auto" w:fill="C4DFF6"/>
            <w:vAlign w:val="center"/>
          </w:tcPr>
          <w:p w14:paraId="04E0596E"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Form of regulatory change proposed in this RIS</w:t>
            </w:r>
          </w:p>
        </w:tc>
      </w:tr>
      <w:tr w:rsidR="00CF314F" w:rsidRPr="005911F8" w14:paraId="18FF381A"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187" w:type="dxa"/>
            <w:gridSpan w:val="4"/>
            <w:tcBorders>
              <w:bottom w:val="single" w:sz="4" w:space="0" w:color="auto"/>
              <w:right w:val="nil"/>
            </w:tcBorders>
            <w:shd w:val="clear" w:color="auto" w:fill="auto"/>
          </w:tcPr>
          <w:p w14:paraId="23CF2DEB" w14:textId="77777777" w:rsidR="00CF314F" w:rsidRPr="00053805" w:rsidRDefault="00CF314F" w:rsidP="00CF314F">
            <w:pPr>
              <w:pStyle w:val="TableText"/>
              <w:rPr>
                <w:rFonts w:ascii="Arial" w:hAnsi="Arial" w:cs="Arial"/>
                <w:color w:val="000000" w:themeColor="text1"/>
                <w:szCs w:val="20"/>
                <w:lang w:val="en-US"/>
              </w:rPr>
            </w:pPr>
            <w:r w:rsidRPr="00212D4F">
              <w:rPr>
                <w:rFonts w:ascii="Arial" w:hAnsi="Arial" w:cs="Arial"/>
                <w:szCs w:val="20"/>
                <w:lang w:val="en-US"/>
              </w:rPr>
              <w:fldChar w:fldCharType="begin">
                <w:ffData>
                  <w:name w:val="Check1"/>
                  <w:enabled/>
                  <w:calcOnExit w:val="0"/>
                  <w:checkBox>
                    <w:sizeAuto/>
                    <w:default w:val="0"/>
                  </w:checkBox>
                </w:ffData>
              </w:fldChar>
            </w:r>
            <w:bookmarkStart w:id="8" w:name="Check1"/>
            <w:r w:rsidRPr="00212D4F">
              <w:rPr>
                <w:rFonts w:ascii="Arial" w:hAnsi="Arial" w:cs="Arial"/>
                <w:szCs w:val="20"/>
                <w:lang w:val="en-US"/>
              </w:rPr>
              <w:instrText xml:space="preserve"> FORMCHECKBOX </w:instrText>
            </w:r>
            <w:r w:rsidR="002424F8">
              <w:rPr>
                <w:rFonts w:ascii="Arial" w:hAnsi="Arial" w:cs="Arial"/>
                <w:szCs w:val="20"/>
                <w:lang w:val="en-US"/>
              </w:rPr>
            </w:r>
            <w:r w:rsidR="002424F8">
              <w:rPr>
                <w:rFonts w:ascii="Arial" w:hAnsi="Arial" w:cs="Arial"/>
                <w:szCs w:val="20"/>
                <w:lang w:val="en-US"/>
              </w:rPr>
              <w:fldChar w:fldCharType="separate"/>
            </w:r>
            <w:r w:rsidRPr="00212D4F">
              <w:rPr>
                <w:rFonts w:ascii="Arial" w:hAnsi="Arial" w:cs="Arial"/>
                <w:szCs w:val="20"/>
                <w:lang w:val="en-US"/>
              </w:rPr>
              <w:fldChar w:fldCharType="end"/>
            </w:r>
            <w:bookmarkEnd w:id="8"/>
            <w:r w:rsidRPr="00212D4F">
              <w:rPr>
                <w:rFonts w:ascii="Arial" w:hAnsi="Arial" w:cs="Arial"/>
                <w:szCs w:val="20"/>
                <w:lang w:val="en-US"/>
              </w:rPr>
              <w:t xml:space="preserve"> </w:t>
            </w:r>
            <w:r w:rsidRPr="00053805">
              <w:rPr>
                <w:rFonts w:ascii="Arial" w:hAnsi="Arial" w:cs="Arial"/>
                <w:color w:val="000000" w:themeColor="text1"/>
                <w:szCs w:val="20"/>
                <w:lang w:val="en-US"/>
              </w:rPr>
              <w:t>The establishment of new regulations</w:t>
            </w:r>
          </w:p>
          <w:p w14:paraId="5E214B7D" w14:textId="77777777" w:rsidR="00CF314F" w:rsidRPr="00053805" w:rsidRDefault="004379E6" w:rsidP="00CF314F">
            <w:pPr>
              <w:pStyle w:val="TableText"/>
              <w:rPr>
                <w:rFonts w:ascii="Arial" w:hAnsi="Arial" w:cs="Arial"/>
                <w:color w:val="000000" w:themeColor="text1"/>
                <w:szCs w:val="20"/>
                <w:lang w:val="en-US"/>
              </w:rPr>
            </w:pPr>
            <w:r w:rsidRPr="00212D4F">
              <w:rPr>
                <w:rFonts w:ascii="Arial" w:hAnsi="Arial" w:cs="Arial"/>
                <w:szCs w:val="20"/>
                <w:lang w:val="en-US"/>
              </w:rPr>
              <w:fldChar w:fldCharType="begin">
                <w:ffData>
                  <w:name w:val="Check3"/>
                  <w:enabled/>
                  <w:calcOnExit w:val="0"/>
                  <w:checkBox>
                    <w:sizeAuto/>
                    <w:default w:val="1"/>
                  </w:checkBox>
                </w:ffData>
              </w:fldChar>
            </w:r>
            <w:bookmarkStart w:id="9" w:name="Check3"/>
            <w:r w:rsidRPr="00212D4F">
              <w:rPr>
                <w:rFonts w:ascii="Arial" w:hAnsi="Arial" w:cs="Arial"/>
                <w:szCs w:val="20"/>
                <w:lang w:val="en-US"/>
              </w:rPr>
              <w:instrText xml:space="preserve"> FORMCHECKBOX </w:instrText>
            </w:r>
            <w:r w:rsidR="002424F8">
              <w:rPr>
                <w:rFonts w:ascii="Arial" w:hAnsi="Arial" w:cs="Arial"/>
                <w:szCs w:val="20"/>
                <w:lang w:val="en-US"/>
              </w:rPr>
            </w:r>
            <w:r w:rsidR="002424F8">
              <w:rPr>
                <w:rFonts w:ascii="Arial" w:hAnsi="Arial" w:cs="Arial"/>
                <w:szCs w:val="20"/>
                <w:lang w:val="en-US"/>
              </w:rPr>
              <w:fldChar w:fldCharType="separate"/>
            </w:r>
            <w:r w:rsidRPr="00212D4F">
              <w:rPr>
                <w:rFonts w:ascii="Arial" w:hAnsi="Arial" w:cs="Arial"/>
                <w:szCs w:val="20"/>
                <w:lang w:val="en-US"/>
              </w:rPr>
              <w:fldChar w:fldCharType="end"/>
            </w:r>
            <w:bookmarkEnd w:id="9"/>
            <w:r w:rsidR="00CF314F" w:rsidRPr="00212D4F">
              <w:rPr>
                <w:rFonts w:ascii="Arial" w:hAnsi="Arial" w:cs="Arial"/>
                <w:szCs w:val="20"/>
                <w:lang w:val="en-US"/>
              </w:rPr>
              <w:t xml:space="preserve"> </w:t>
            </w:r>
            <w:r w:rsidR="00CF314F" w:rsidRPr="00053805">
              <w:rPr>
                <w:rFonts w:ascii="Arial" w:hAnsi="Arial" w:cs="Arial"/>
                <w:color w:val="000000" w:themeColor="text1"/>
                <w:szCs w:val="20"/>
                <w:lang w:val="en-US"/>
              </w:rPr>
              <w:t>The amendment of existing regulations</w:t>
            </w:r>
          </w:p>
        </w:tc>
        <w:tc>
          <w:tcPr>
            <w:tcW w:w="3960" w:type="dxa"/>
            <w:gridSpan w:val="5"/>
            <w:tcBorders>
              <w:left w:val="nil"/>
              <w:bottom w:val="single" w:sz="4" w:space="0" w:color="auto"/>
            </w:tcBorders>
            <w:shd w:val="clear" w:color="auto" w:fill="auto"/>
          </w:tcPr>
          <w:p w14:paraId="3E59E050" w14:textId="77777777" w:rsidR="00CF314F" w:rsidRPr="00053805" w:rsidRDefault="00CF314F" w:rsidP="00CF314F">
            <w:pPr>
              <w:pStyle w:val="TableText"/>
              <w:rPr>
                <w:rFonts w:ascii="Arial" w:hAnsi="Arial" w:cs="Arial"/>
                <w:color w:val="000000" w:themeColor="text1"/>
                <w:szCs w:val="20"/>
                <w:lang w:val="en-US"/>
              </w:rPr>
            </w:pPr>
            <w:r w:rsidRPr="00212D4F">
              <w:rPr>
                <w:rFonts w:ascii="Arial" w:hAnsi="Arial" w:cs="Arial"/>
                <w:szCs w:val="20"/>
                <w:lang w:val="en-US"/>
              </w:rPr>
              <w:fldChar w:fldCharType="begin">
                <w:ffData>
                  <w:name w:val="Check2"/>
                  <w:enabled/>
                  <w:calcOnExit w:val="0"/>
                  <w:checkBox>
                    <w:sizeAuto/>
                    <w:default w:val="0"/>
                  </w:checkBox>
                </w:ffData>
              </w:fldChar>
            </w:r>
            <w:bookmarkStart w:id="10" w:name="Check2"/>
            <w:r w:rsidRPr="00212D4F">
              <w:rPr>
                <w:rFonts w:ascii="Arial" w:hAnsi="Arial" w:cs="Arial"/>
                <w:szCs w:val="20"/>
                <w:lang w:val="en-US"/>
              </w:rPr>
              <w:instrText xml:space="preserve"> FORMCHECKBOX </w:instrText>
            </w:r>
            <w:r w:rsidR="002424F8">
              <w:rPr>
                <w:rFonts w:ascii="Arial" w:hAnsi="Arial" w:cs="Arial"/>
                <w:szCs w:val="20"/>
                <w:lang w:val="en-US"/>
              </w:rPr>
            </w:r>
            <w:r w:rsidR="002424F8">
              <w:rPr>
                <w:rFonts w:ascii="Arial" w:hAnsi="Arial" w:cs="Arial"/>
                <w:szCs w:val="20"/>
                <w:lang w:val="en-US"/>
              </w:rPr>
              <w:fldChar w:fldCharType="separate"/>
            </w:r>
            <w:r w:rsidRPr="00212D4F">
              <w:rPr>
                <w:rFonts w:ascii="Arial" w:hAnsi="Arial" w:cs="Arial"/>
                <w:szCs w:val="20"/>
                <w:lang w:val="en-US"/>
              </w:rPr>
              <w:fldChar w:fldCharType="end"/>
            </w:r>
            <w:bookmarkEnd w:id="10"/>
            <w:r w:rsidRPr="00212D4F">
              <w:rPr>
                <w:rFonts w:ascii="Arial" w:hAnsi="Arial" w:cs="Arial"/>
                <w:szCs w:val="20"/>
                <w:lang w:val="en-US"/>
              </w:rPr>
              <w:t xml:space="preserve"> </w:t>
            </w:r>
            <w:r w:rsidRPr="00053805">
              <w:rPr>
                <w:rFonts w:ascii="Arial" w:hAnsi="Arial" w:cs="Arial"/>
                <w:color w:val="000000" w:themeColor="text1"/>
                <w:szCs w:val="20"/>
                <w:lang w:val="en-US"/>
              </w:rPr>
              <w:t xml:space="preserve">The replacement of </w:t>
            </w:r>
            <w:proofErr w:type="spellStart"/>
            <w:r w:rsidRPr="00053805">
              <w:rPr>
                <w:rFonts w:ascii="Arial" w:hAnsi="Arial" w:cs="Arial"/>
                <w:color w:val="000000" w:themeColor="text1"/>
                <w:szCs w:val="20"/>
                <w:lang w:val="en-US"/>
              </w:rPr>
              <w:t>sunsetting</w:t>
            </w:r>
            <w:proofErr w:type="spellEnd"/>
            <w:r w:rsidRPr="00053805">
              <w:rPr>
                <w:rFonts w:ascii="Arial" w:hAnsi="Arial" w:cs="Arial"/>
                <w:color w:val="000000" w:themeColor="text1"/>
                <w:szCs w:val="20"/>
                <w:lang w:val="en-US"/>
              </w:rPr>
              <w:t xml:space="preserve"> regulations </w:t>
            </w:r>
          </w:p>
        </w:tc>
      </w:tr>
      <w:tr w:rsidR="00CF314F" w:rsidRPr="005911F8" w14:paraId="7F37C95A"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869" w:type="dxa"/>
            <w:gridSpan w:val="6"/>
            <w:tcBorders>
              <w:bottom w:val="single" w:sz="4" w:space="0" w:color="auto"/>
            </w:tcBorders>
            <w:shd w:val="clear" w:color="auto" w:fill="C4DFF6"/>
            <w:vAlign w:val="center"/>
          </w:tcPr>
          <w:p w14:paraId="12180B86"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The problem and objectives of the proposed intervention</w:t>
            </w:r>
          </w:p>
        </w:tc>
        <w:tc>
          <w:tcPr>
            <w:tcW w:w="3278" w:type="dxa"/>
            <w:gridSpan w:val="3"/>
            <w:tcBorders>
              <w:bottom w:val="single" w:sz="4" w:space="0" w:color="auto"/>
            </w:tcBorders>
            <w:shd w:val="clear" w:color="auto" w:fill="C4DFF6"/>
            <w:vAlign w:val="center"/>
          </w:tcPr>
          <w:p w14:paraId="3F7ED17F"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Affected sector(s) of the public</w:t>
            </w:r>
          </w:p>
        </w:tc>
      </w:tr>
      <w:tr w:rsidR="00CF314F" w:rsidRPr="005911F8" w14:paraId="154EA06A"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869" w:type="dxa"/>
            <w:gridSpan w:val="6"/>
            <w:vMerge w:val="restart"/>
            <w:shd w:val="clear" w:color="auto" w:fill="auto"/>
          </w:tcPr>
          <w:p w14:paraId="1A348832" w14:textId="77777777" w:rsidR="004379E6" w:rsidRPr="00053805" w:rsidRDefault="004379E6" w:rsidP="004379E6">
            <w:pPr>
              <w:pStyle w:val="Body"/>
              <w:rPr>
                <w:color w:val="000000" w:themeColor="text1"/>
              </w:rPr>
            </w:pPr>
            <w:r w:rsidRPr="00053805">
              <w:rPr>
                <w:color w:val="000000" w:themeColor="text1"/>
              </w:rPr>
              <w:t xml:space="preserve">The objective of the proposed changes is to raise more revenue through RFL fees that will be used to fund </w:t>
            </w:r>
            <w:r w:rsidR="00DF12F6">
              <w:rPr>
                <w:color w:val="000000" w:themeColor="text1"/>
              </w:rPr>
              <w:t>initiatives and programs to</w:t>
            </w:r>
            <w:r w:rsidRPr="00053805">
              <w:rPr>
                <w:color w:val="000000" w:themeColor="text1"/>
              </w:rPr>
              <w:t xml:space="preserve"> enhance recreational fishing opportunities in Victoria. </w:t>
            </w:r>
          </w:p>
          <w:p w14:paraId="6C599B70" w14:textId="77777777" w:rsidR="005D1842" w:rsidRPr="00053805" w:rsidRDefault="005D1842" w:rsidP="004379E6">
            <w:pPr>
              <w:pStyle w:val="Body"/>
              <w:rPr>
                <w:rFonts w:eastAsia="Calibri"/>
                <w:color w:val="000000" w:themeColor="text1"/>
              </w:rPr>
            </w:pPr>
            <w:r w:rsidRPr="00053805">
              <w:rPr>
                <w:rFonts w:eastAsia="Calibri"/>
                <w:color w:val="000000" w:themeColor="text1"/>
              </w:rPr>
              <w:t>All RFL fees go t</w:t>
            </w:r>
            <w:r w:rsidR="00DF12F6">
              <w:rPr>
                <w:rFonts w:eastAsia="Calibri"/>
                <w:color w:val="000000" w:themeColor="text1"/>
              </w:rPr>
              <w:t>o the RFL Trust Account to fund initiatives and programs</w:t>
            </w:r>
            <w:r w:rsidR="00DF12F6" w:rsidRPr="00053805">
              <w:rPr>
                <w:rFonts w:eastAsia="Calibri"/>
                <w:color w:val="000000" w:themeColor="text1"/>
              </w:rPr>
              <w:t xml:space="preserve"> </w:t>
            </w:r>
            <w:r w:rsidRPr="00053805">
              <w:rPr>
                <w:rFonts w:eastAsia="Calibri"/>
                <w:color w:val="000000" w:themeColor="text1"/>
              </w:rPr>
              <w:t>for the benefit of recreational fishing. Since licence fees were last increased in 2008</w:t>
            </w:r>
            <w:r w:rsidR="004C19C7">
              <w:rPr>
                <w:rFonts w:eastAsia="Calibri"/>
                <w:color w:val="000000" w:themeColor="text1"/>
              </w:rPr>
              <w:t xml:space="preserve"> (RFL fees are not automatically indexed)</w:t>
            </w:r>
            <w:r w:rsidRPr="00053805">
              <w:rPr>
                <w:rFonts w:eastAsia="Calibri"/>
                <w:color w:val="000000" w:themeColor="text1"/>
              </w:rPr>
              <w:t>, demands on the RFL Trust Account have increased significantly.</w:t>
            </w:r>
          </w:p>
          <w:p w14:paraId="44ACF725" w14:textId="77777777" w:rsidR="00CF314F" w:rsidRPr="00053805" w:rsidRDefault="005D1842" w:rsidP="005D1842">
            <w:pPr>
              <w:pStyle w:val="Body"/>
              <w:rPr>
                <w:rFonts w:eastAsia="Calibri"/>
                <w:color w:val="000000" w:themeColor="text1"/>
              </w:rPr>
            </w:pPr>
            <w:r w:rsidRPr="00053805">
              <w:rPr>
                <w:rFonts w:eastAsia="Calibri"/>
                <w:color w:val="000000" w:themeColor="text1"/>
              </w:rPr>
              <w:t xml:space="preserve">Key recreational fishing stakeholders and the Victorian Government believe that these areas need further investment for increased net returns, and justify a higher level of licence revenue funding. </w:t>
            </w:r>
          </w:p>
        </w:tc>
        <w:tc>
          <w:tcPr>
            <w:tcW w:w="3278" w:type="dxa"/>
            <w:gridSpan w:val="3"/>
            <w:tcBorders>
              <w:bottom w:val="single" w:sz="4" w:space="0" w:color="auto"/>
            </w:tcBorders>
            <w:shd w:val="clear" w:color="auto" w:fill="auto"/>
          </w:tcPr>
          <w:p w14:paraId="3A92302A" w14:textId="77777777" w:rsidR="00CF314F" w:rsidRPr="00053805" w:rsidRDefault="004379E6" w:rsidP="00B40260">
            <w:pPr>
              <w:pStyle w:val="TableText"/>
              <w:rPr>
                <w:rFonts w:ascii="Arial" w:hAnsi="Arial" w:cs="Arial"/>
                <w:color w:val="000000" w:themeColor="text1"/>
                <w:szCs w:val="20"/>
                <w:lang w:val="en-US"/>
              </w:rPr>
            </w:pPr>
            <w:r w:rsidRPr="00053805">
              <w:rPr>
                <w:rFonts w:ascii="Arial" w:hAnsi="Arial" w:cs="Arial"/>
                <w:color w:val="000000" w:themeColor="text1"/>
                <w:szCs w:val="20"/>
                <w:lang w:val="en-US"/>
              </w:rPr>
              <w:t xml:space="preserve">The changes will directly affect recreational fishers who are required to hold a </w:t>
            </w:r>
            <w:proofErr w:type="spellStart"/>
            <w:r w:rsidRPr="00053805">
              <w:rPr>
                <w:rFonts w:ascii="Arial" w:hAnsi="Arial" w:cs="Arial"/>
                <w:color w:val="000000" w:themeColor="text1"/>
                <w:szCs w:val="20"/>
                <w:lang w:val="en-US"/>
              </w:rPr>
              <w:t>licence</w:t>
            </w:r>
            <w:proofErr w:type="spellEnd"/>
            <w:r w:rsidRPr="00053805">
              <w:rPr>
                <w:rFonts w:ascii="Arial" w:hAnsi="Arial" w:cs="Arial"/>
                <w:color w:val="000000" w:themeColor="text1"/>
                <w:szCs w:val="20"/>
                <w:lang w:val="en-US"/>
              </w:rPr>
              <w:t xml:space="preserve"> </w:t>
            </w:r>
          </w:p>
        </w:tc>
      </w:tr>
      <w:tr w:rsidR="00DB1F44" w:rsidRPr="00053805" w14:paraId="26CFFBB5" w14:textId="77777777" w:rsidTr="005629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8" w:type="dxa"/>
          <w:cantSplit/>
        </w:trPr>
        <w:tc>
          <w:tcPr>
            <w:tcW w:w="5869" w:type="dxa"/>
            <w:gridSpan w:val="6"/>
            <w:vMerge/>
            <w:shd w:val="clear" w:color="auto" w:fill="auto"/>
          </w:tcPr>
          <w:p w14:paraId="046CBE3B" w14:textId="77777777" w:rsidR="00DB1F44" w:rsidRPr="00053805" w:rsidRDefault="00DB1F44" w:rsidP="00CF314F">
            <w:pPr>
              <w:rPr>
                <w:i/>
                <w:color w:val="000000" w:themeColor="text1"/>
                <w:lang w:val="en-US"/>
              </w:rPr>
            </w:pPr>
          </w:p>
        </w:tc>
        <w:tc>
          <w:tcPr>
            <w:tcW w:w="3260" w:type="dxa"/>
            <w:gridSpan w:val="2"/>
            <w:tcBorders>
              <w:bottom w:val="single" w:sz="4" w:space="0" w:color="auto"/>
            </w:tcBorders>
            <w:shd w:val="clear" w:color="auto" w:fill="auto"/>
          </w:tcPr>
          <w:p w14:paraId="5ACA87FE" w14:textId="77777777" w:rsidR="00DB1F44" w:rsidRPr="00053805" w:rsidRDefault="00DB1F44" w:rsidP="00FF2C43">
            <w:pPr>
              <w:pStyle w:val="TableText"/>
              <w:rPr>
                <w:rFonts w:ascii="Arial" w:hAnsi="Arial" w:cs="Arial"/>
                <w:color w:val="000000" w:themeColor="text1"/>
              </w:rPr>
            </w:pPr>
            <w:r>
              <w:rPr>
                <w:rFonts w:ascii="Arial" w:hAnsi="Arial" w:cs="Arial"/>
                <w:color w:val="000000" w:themeColor="text1"/>
              </w:rPr>
              <w:t xml:space="preserve">RFL agents will be </w:t>
            </w:r>
            <w:r w:rsidR="00432FAA">
              <w:rPr>
                <w:rFonts w:ascii="Arial" w:hAnsi="Arial" w:cs="Arial"/>
                <w:color w:val="000000" w:themeColor="text1"/>
              </w:rPr>
              <w:t xml:space="preserve">positively affected, as commission amounts (set at 6 per cent) will increase in line with price increases. Partly offsetting this, retailers will be </w:t>
            </w:r>
            <w:r>
              <w:rPr>
                <w:rFonts w:ascii="Arial" w:hAnsi="Arial" w:cs="Arial"/>
                <w:color w:val="000000" w:themeColor="text1"/>
              </w:rPr>
              <w:t>affected by</w:t>
            </w:r>
            <w:r w:rsidRPr="00A85D5A">
              <w:rPr>
                <w:rFonts w:ascii="Arial" w:hAnsi="Arial" w:cs="Arial"/>
                <w:color w:val="000000" w:themeColor="text1"/>
              </w:rPr>
              <w:t xml:space="preserve"> </w:t>
            </w:r>
            <w:r w:rsidRPr="00DB1F44">
              <w:rPr>
                <w:rFonts w:ascii="Arial" w:hAnsi="Arial" w:cs="Arial"/>
                <w:color w:val="000000" w:themeColor="text1"/>
                <w:szCs w:val="20"/>
                <w:lang w:val="en-US"/>
              </w:rPr>
              <w:t>possible</w:t>
            </w:r>
            <w:r w:rsidRPr="00A85D5A">
              <w:rPr>
                <w:rFonts w:ascii="Arial" w:hAnsi="Arial" w:cs="Arial"/>
                <w:color w:val="000000" w:themeColor="text1"/>
              </w:rPr>
              <w:t xml:space="preserve"> shifts to online </w:t>
            </w:r>
            <w:r>
              <w:rPr>
                <w:rFonts w:ascii="Arial" w:hAnsi="Arial" w:cs="Arial"/>
                <w:color w:val="000000" w:themeColor="text1"/>
              </w:rPr>
              <w:t xml:space="preserve">RFL </w:t>
            </w:r>
            <w:r w:rsidR="003C291F">
              <w:rPr>
                <w:rFonts w:ascii="Arial" w:hAnsi="Arial" w:cs="Arial"/>
                <w:color w:val="000000" w:themeColor="text1"/>
              </w:rPr>
              <w:t>sales</w:t>
            </w:r>
            <w:r>
              <w:rPr>
                <w:rFonts w:ascii="Arial" w:hAnsi="Arial" w:cs="Arial"/>
                <w:color w:val="000000" w:themeColor="text1"/>
              </w:rPr>
              <w:t xml:space="preserve">. </w:t>
            </w:r>
            <w:r w:rsidRPr="00A85D5A">
              <w:rPr>
                <w:rFonts w:ascii="Arial" w:hAnsi="Arial" w:cs="Arial"/>
                <w:color w:val="000000" w:themeColor="text1"/>
              </w:rPr>
              <w:t>Retailers will also be affected by the new offences related to failure to return unused licences and issuing falsely-dated licences.</w:t>
            </w:r>
          </w:p>
        </w:tc>
      </w:tr>
      <w:tr w:rsidR="00CF314F" w:rsidRPr="005911F8" w14:paraId="14DE3F03"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869" w:type="dxa"/>
            <w:gridSpan w:val="6"/>
            <w:tcBorders>
              <w:bottom w:val="single" w:sz="4" w:space="0" w:color="auto"/>
            </w:tcBorders>
            <w:shd w:val="clear" w:color="auto" w:fill="C4DFF6"/>
            <w:vAlign w:val="center"/>
          </w:tcPr>
          <w:p w14:paraId="13F81FD4"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Key regulatory changes</w:t>
            </w:r>
          </w:p>
        </w:tc>
        <w:tc>
          <w:tcPr>
            <w:tcW w:w="3278" w:type="dxa"/>
            <w:gridSpan w:val="3"/>
            <w:tcBorders>
              <w:bottom w:val="single" w:sz="4" w:space="0" w:color="auto"/>
            </w:tcBorders>
            <w:shd w:val="clear" w:color="auto" w:fill="C4DFF6"/>
            <w:vAlign w:val="center"/>
          </w:tcPr>
          <w:p w14:paraId="30E9D006"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Costs and benefits</w:t>
            </w:r>
          </w:p>
        </w:tc>
      </w:tr>
      <w:tr w:rsidR="00CF314F" w:rsidRPr="005911F8" w14:paraId="0B81895B"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869" w:type="dxa"/>
            <w:gridSpan w:val="6"/>
            <w:vMerge w:val="restart"/>
            <w:shd w:val="clear" w:color="auto" w:fill="auto"/>
          </w:tcPr>
          <w:p w14:paraId="2D241ED9" w14:textId="77777777" w:rsidR="005D1842" w:rsidRPr="00053805" w:rsidRDefault="005D1842" w:rsidP="00CF314F">
            <w:pPr>
              <w:pStyle w:val="TableText"/>
              <w:rPr>
                <w:rFonts w:ascii="Arial" w:hAnsi="Arial" w:cs="Arial"/>
                <w:color w:val="000000" w:themeColor="text1"/>
                <w:szCs w:val="20"/>
                <w:lang w:val="en-US"/>
              </w:rPr>
            </w:pPr>
            <w:r w:rsidRPr="00053805">
              <w:rPr>
                <w:rFonts w:ascii="Arial" w:hAnsi="Arial" w:cs="Arial"/>
                <w:color w:val="000000" w:themeColor="text1"/>
                <w:szCs w:val="20"/>
                <w:lang w:val="en-US"/>
              </w:rPr>
              <w:t>The proposed Regulations will set new fees for RFLs in 2016/17 and 2017/18</w:t>
            </w:r>
            <w:r w:rsidR="00E16EC4">
              <w:rPr>
                <w:rFonts w:ascii="Arial" w:hAnsi="Arial" w:cs="Arial"/>
                <w:color w:val="000000" w:themeColor="text1"/>
                <w:szCs w:val="20"/>
                <w:lang w:val="en-US"/>
              </w:rPr>
              <w:t xml:space="preserve">. For 2016/17, prices will be </w:t>
            </w:r>
            <w:r w:rsidRPr="00053805">
              <w:rPr>
                <w:rFonts w:ascii="Arial" w:hAnsi="Arial" w:cs="Arial"/>
                <w:color w:val="000000" w:themeColor="text1"/>
                <w:szCs w:val="20"/>
                <w:lang w:val="en-US"/>
              </w:rPr>
              <w:t>as follows: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000" w:firstRow="0" w:lastRow="0" w:firstColumn="0" w:lastColumn="0" w:noHBand="0" w:noVBand="0"/>
            </w:tblPr>
            <w:tblGrid>
              <w:gridCol w:w="1552"/>
              <w:gridCol w:w="1559"/>
              <w:gridCol w:w="1417"/>
              <w:gridCol w:w="1134"/>
            </w:tblGrid>
            <w:tr w:rsidR="00053805" w:rsidRPr="00053805" w14:paraId="41BF85AC" w14:textId="77777777" w:rsidTr="005D1842">
              <w:tc>
                <w:tcPr>
                  <w:tcW w:w="1552" w:type="dxa"/>
                  <w:shd w:val="clear" w:color="auto" w:fill="1F497D" w:themeFill="text2"/>
                </w:tcPr>
                <w:p w14:paraId="5DC02C9E" w14:textId="77777777" w:rsidR="005D1842" w:rsidRPr="00053805" w:rsidRDefault="005D1842" w:rsidP="005D1842">
                  <w:pPr>
                    <w:pStyle w:val="Body"/>
                    <w:rPr>
                      <w:b/>
                      <w:color w:val="FFFFFF" w:themeColor="background1"/>
                    </w:rPr>
                  </w:pPr>
                  <w:r w:rsidRPr="00053805">
                    <w:rPr>
                      <w:b/>
                      <w:color w:val="FFFFFF" w:themeColor="background1"/>
                    </w:rPr>
                    <w:t>RFL type</w:t>
                  </w:r>
                </w:p>
              </w:tc>
              <w:tc>
                <w:tcPr>
                  <w:tcW w:w="1559" w:type="dxa"/>
                  <w:shd w:val="clear" w:color="auto" w:fill="1F497D" w:themeFill="text2"/>
                </w:tcPr>
                <w:p w14:paraId="307C95AC" w14:textId="77777777" w:rsidR="005D1842" w:rsidRPr="00053805" w:rsidRDefault="005D1842" w:rsidP="005D1842">
                  <w:pPr>
                    <w:pStyle w:val="Body"/>
                    <w:jc w:val="center"/>
                    <w:rPr>
                      <w:b/>
                      <w:color w:val="FFFFFF" w:themeColor="background1"/>
                    </w:rPr>
                  </w:pPr>
                  <w:r w:rsidRPr="00053805">
                    <w:rPr>
                      <w:b/>
                      <w:color w:val="FFFFFF" w:themeColor="background1"/>
                    </w:rPr>
                    <w:t>Current fee</w:t>
                  </w:r>
                </w:p>
              </w:tc>
              <w:tc>
                <w:tcPr>
                  <w:tcW w:w="1417" w:type="dxa"/>
                  <w:shd w:val="clear" w:color="auto" w:fill="1F497D" w:themeFill="text2"/>
                </w:tcPr>
                <w:p w14:paraId="3686AD05" w14:textId="77777777" w:rsidR="00E16EC4" w:rsidRPr="00053805" w:rsidRDefault="005D1842" w:rsidP="00E16EC4">
                  <w:pPr>
                    <w:pStyle w:val="Body"/>
                    <w:jc w:val="center"/>
                    <w:rPr>
                      <w:b/>
                      <w:color w:val="FFFFFF" w:themeColor="background1"/>
                    </w:rPr>
                  </w:pPr>
                  <w:r w:rsidRPr="00053805">
                    <w:rPr>
                      <w:b/>
                      <w:color w:val="FFFFFF" w:themeColor="background1"/>
                    </w:rPr>
                    <w:t>Proposed new fee</w:t>
                  </w:r>
                </w:p>
              </w:tc>
              <w:tc>
                <w:tcPr>
                  <w:tcW w:w="1134" w:type="dxa"/>
                  <w:shd w:val="clear" w:color="auto" w:fill="1F497D" w:themeFill="text2"/>
                </w:tcPr>
                <w:p w14:paraId="67A861DF" w14:textId="77777777" w:rsidR="005D1842" w:rsidRPr="00053805" w:rsidRDefault="005D1842" w:rsidP="005D1842">
                  <w:pPr>
                    <w:pStyle w:val="Body"/>
                    <w:jc w:val="center"/>
                    <w:rPr>
                      <w:b/>
                      <w:color w:val="FFFFFF" w:themeColor="background1"/>
                    </w:rPr>
                  </w:pPr>
                  <w:r w:rsidRPr="00053805">
                    <w:rPr>
                      <w:b/>
                      <w:color w:val="FFFFFF" w:themeColor="background1"/>
                    </w:rPr>
                    <w:t>% change</w:t>
                  </w:r>
                </w:p>
              </w:tc>
            </w:tr>
            <w:tr w:rsidR="00053805" w:rsidRPr="00053805" w14:paraId="679177EC" w14:textId="77777777" w:rsidTr="005D1842">
              <w:tc>
                <w:tcPr>
                  <w:tcW w:w="1552" w:type="dxa"/>
                </w:tcPr>
                <w:p w14:paraId="6B77F345" w14:textId="77777777" w:rsidR="005D1842" w:rsidRPr="00053805" w:rsidRDefault="005D1842" w:rsidP="005D1842">
                  <w:pPr>
                    <w:pStyle w:val="Body"/>
                    <w:rPr>
                      <w:color w:val="000000" w:themeColor="text1"/>
                    </w:rPr>
                  </w:pPr>
                  <w:r w:rsidRPr="00053805">
                    <w:rPr>
                      <w:color w:val="000000" w:themeColor="text1"/>
                    </w:rPr>
                    <w:t>3 year licence</w:t>
                  </w:r>
                </w:p>
              </w:tc>
              <w:tc>
                <w:tcPr>
                  <w:tcW w:w="1559" w:type="dxa"/>
                </w:tcPr>
                <w:p w14:paraId="73BC8B75" w14:textId="77777777" w:rsidR="005D1842" w:rsidRPr="00053805" w:rsidRDefault="005D1842" w:rsidP="00F35997">
                  <w:pPr>
                    <w:pStyle w:val="Body"/>
                    <w:ind w:right="317"/>
                    <w:jc w:val="right"/>
                    <w:rPr>
                      <w:color w:val="000000" w:themeColor="text1"/>
                    </w:rPr>
                  </w:pPr>
                  <w:r w:rsidRPr="00053805">
                    <w:rPr>
                      <w:color w:val="000000" w:themeColor="text1"/>
                    </w:rPr>
                    <w:t>$66</w:t>
                  </w:r>
                  <w:r w:rsidR="00F35997">
                    <w:rPr>
                      <w:color w:val="000000" w:themeColor="text1"/>
                    </w:rPr>
                    <w:t>.00</w:t>
                  </w:r>
                </w:p>
              </w:tc>
              <w:tc>
                <w:tcPr>
                  <w:tcW w:w="1417" w:type="dxa"/>
                </w:tcPr>
                <w:p w14:paraId="233F0F33" w14:textId="77777777" w:rsidR="005D1842" w:rsidRPr="00053805" w:rsidRDefault="005D1842" w:rsidP="008609F2">
                  <w:pPr>
                    <w:pStyle w:val="Body"/>
                    <w:ind w:right="317"/>
                    <w:jc w:val="right"/>
                    <w:rPr>
                      <w:color w:val="000000" w:themeColor="text1"/>
                    </w:rPr>
                  </w:pPr>
                  <w:r w:rsidRPr="00053805">
                    <w:rPr>
                      <w:color w:val="000000" w:themeColor="text1"/>
                    </w:rPr>
                    <w:t>$</w:t>
                  </w:r>
                  <w:r w:rsidR="008609F2">
                    <w:rPr>
                      <w:color w:val="000000" w:themeColor="text1"/>
                    </w:rPr>
                    <w:t>95</w:t>
                  </w:r>
                </w:p>
              </w:tc>
              <w:tc>
                <w:tcPr>
                  <w:tcW w:w="1134" w:type="dxa"/>
                </w:tcPr>
                <w:p w14:paraId="4536EF91" w14:textId="77777777" w:rsidR="005D1842" w:rsidRPr="00053805" w:rsidRDefault="00DD4697" w:rsidP="005D1842">
                  <w:pPr>
                    <w:pStyle w:val="Body"/>
                    <w:jc w:val="center"/>
                    <w:rPr>
                      <w:color w:val="000000" w:themeColor="text1"/>
                    </w:rPr>
                  </w:pPr>
                  <w:r>
                    <w:rPr>
                      <w:color w:val="000000" w:themeColor="text1"/>
                    </w:rPr>
                    <w:t>44</w:t>
                  </w:r>
                </w:p>
              </w:tc>
            </w:tr>
            <w:tr w:rsidR="00053805" w:rsidRPr="00053805" w14:paraId="5630F6B8" w14:textId="77777777" w:rsidTr="005D1842">
              <w:tc>
                <w:tcPr>
                  <w:tcW w:w="1552" w:type="dxa"/>
                </w:tcPr>
                <w:p w14:paraId="52B2884D" w14:textId="77777777" w:rsidR="005D1842" w:rsidRPr="00053805" w:rsidRDefault="005D1842" w:rsidP="005D1842">
                  <w:pPr>
                    <w:pStyle w:val="Body"/>
                    <w:rPr>
                      <w:color w:val="000000" w:themeColor="text1"/>
                    </w:rPr>
                  </w:pPr>
                  <w:r w:rsidRPr="00053805">
                    <w:rPr>
                      <w:color w:val="000000" w:themeColor="text1"/>
                    </w:rPr>
                    <w:t>1 year licence</w:t>
                  </w:r>
                </w:p>
              </w:tc>
              <w:tc>
                <w:tcPr>
                  <w:tcW w:w="1559" w:type="dxa"/>
                </w:tcPr>
                <w:p w14:paraId="2623DD92" w14:textId="77777777" w:rsidR="005D1842" w:rsidRPr="00053805" w:rsidRDefault="005D1842" w:rsidP="00F35997">
                  <w:pPr>
                    <w:pStyle w:val="Body"/>
                    <w:ind w:right="317"/>
                    <w:jc w:val="right"/>
                    <w:rPr>
                      <w:color w:val="000000" w:themeColor="text1"/>
                    </w:rPr>
                  </w:pPr>
                  <w:r w:rsidRPr="00053805">
                    <w:rPr>
                      <w:color w:val="000000" w:themeColor="text1"/>
                    </w:rPr>
                    <w:t>$24.50</w:t>
                  </w:r>
                </w:p>
              </w:tc>
              <w:tc>
                <w:tcPr>
                  <w:tcW w:w="1417" w:type="dxa"/>
                </w:tcPr>
                <w:p w14:paraId="48F7FD95" w14:textId="77777777" w:rsidR="005D1842" w:rsidRPr="00053805" w:rsidRDefault="005D1842" w:rsidP="00F35997">
                  <w:pPr>
                    <w:pStyle w:val="Body"/>
                    <w:ind w:right="317"/>
                    <w:jc w:val="right"/>
                    <w:rPr>
                      <w:color w:val="000000" w:themeColor="text1"/>
                    </w:rPr>
                  </w:pPr>
                  <w:r w:rsidRPr="00053805">
                    <w:rPr>
                      <w:color w:val="000000" w:themeColor="text1"/>
                    </w:rPr>
                    <w:t>$35</w:t>
                  </w:r>
                </w:p>
              </w:tc>
              <w:tc>
                <w:tcPr>
                  <w:tcW w:w="1134" w:type="dxa"/>
                </w:tcPr>
                <w:p w14:paraId="6CC82B45" w14:textId="77777777" w:rsidR="005D1842" w:rsidRPr="00053805" w:rsidRDefault="005D1842" w:rsidP="005D1842">
                  <w:pPr>
                    <w:pStyle w:val="Body"/>
                    <w:jc w:val="center"/>
                    <w:rPr>
                      <w:color w:val="000000" w:themeColor="text1"/>
                    </w:rPr>
                  </w:pPr>
                  <w:r w:rsidRPr="00053805">
                    <w:rPr>
                      <w:color w:val="000000" w:themeColor="text1"/>
                    </w:rPr>
                    <w:t>43</w:t>
                  </w:r>
                </w:p>
              </w:tc>
            </w:tr>
            <w:tr w:rsidR="00053805" w:rsidRPr="00053805" w14:paraId="3E7707D7" w14:textId="77777777" w:rsidTr="005D1842">
              <w:tc>
                <w:tcPr>
                  <w:tcW w:w="1552" w:type="dxa"/>
                </w:tcPr>
                <w:p w14:paraId="2F75C60A" w14:textId="77777777" w:rsidR="005D1842" w:rsidRPr="00053805" w:rsidRDefault="005D1842" w:rsidP="005D1842">
                  <w:pPr>
                    <w:pStyle w:val="Body"/>
                    <w:rPr>
                      <w:color w:val="000000" w:themeColor="text1"/>
                    </w:rPr>
                  </w:pPr>
                  <w:r w:rsidRPr="00053805">
                    <w:rPr>
                      <w:color w:val="000000" w:themeColor="text1"/>
                    </w:rPr>
                    <w:t>28 day licence</w:t>
                  </w:r>
                </w:p>
              </w:tc>
              <w:tc>
                <w:tcPr>
                  <w:tcW w:w="1559" w:type="dxa"/>
                </w:tcPr>
                <w:p w14:paraId="543B3543" w14:textId="77777777" w:rsidR="005D1842" w:rsidRPr="00053805" w:rsidRDefault="005D1842" w:rsidP="00F35997">
                  <w:pPr>
                    <w:pStyle w:val="Body"/>
                    <w:ind w:right="317"/>
                    <w:jc w:val="right"/>
                    <w:rPr>
                      <w:color w:val="000000" w:themeColor="text1"/>
                    </w:rPr>
                  </w:pPr>
                  <w:r w:rsidRPr="00053805">
                    <w:rPr>
                      <w:color w:val="000000" w:themeColor="text1"/>
                    </w:rPr>
                    <w:t>$12</w:t>
                  </w:r>
                  <w:r w:rsidR="00F35997">
                    <w:rPr>
                      <w:color w:val="000000" w:themeColor="text1"/>
                    </w:rPr>
                    <w:t>.00</w:t>
                  </w:r>
                </w:p>
              </w:tc>
              <w:tc>
                <w:tcPr>
                  <w:tcW w:w="1417" w:type="dxa"/>
                </w:tcPr>
                <w:p w14:paraId="7E773E0D" w14:textId="77777777" w:rsidR="005D1842" w:rsidRPr="00053805" w:rsidRDefault="005D1842" w:rsidP="00F35997">
                  <w:pPr>
                    <w:pStyle w:val="Body"/>
                    <w:ind w:right="317"/>
                    <w:jc w:val="right"/>
                    <w:rPr>
                      <w:color w:val="000000" w:themeColor="text1"/>
                    </w:rPr>
                  </w:pPr>
                  <w:r w:rsidRPr="00053805">
                    <w:rPr>
                      <w:color w:val="000000" w:themeColor="text1"/>
                    </w:rPr>
                    <w:t>$20</w:t>
                  </w:r>
                </w:p>
              </w:tc>
              <w:tc>
                <w:tcPr>
                  <w:tcW w:w="1134" w:type="dxa"/>
                </w:tcPr>
                <w:p w14:paraId="3F947C72" w14:textId="77777777" w:rsidR="005D1842" w:rsidRPr="00053805" w:rsidRDefault="005D1842" w:rsidP="005D1842">
                  <w:pPr>
                    <w:pStyle w:val="Body"/>
                    <w:jc w:val="center"/>
                    <w:rPr>
                      <w:color w:val="000000" w:themeColor="text1"/>
                    </w:rPr>
                  </w:pPr>
                  <w:r w:rsidRPr="00053805">
                    <w:rPr>
                      <w:color w:val="000000" w:themeColor="text1"/>
                    </w:rPr>
                    <w:t>67</w:t>
                  </w:r>
                </w:p>
              </w:tc>
            </w:tr>
            <w:tr w:rsidR="00053805" w:rsidRPr="00053805" w14:paraId="4A969E5A" w14:textId="77777777" w:rsidTr="005D1842">
              <w:tc>
                <w:tcPr>
                  <w:tcW w:w="1552" w:type="dxa"/>
                </w:tcPr>
                <w:p w14:paraId="7774A88E" w14:textId="77777777" w:rsidR="005D1842" w:rsidRPr="00053805" w:rsidRDefault="005D1842" w:rsidP="005D1842">
                  <w:pPr>
                    <w:pStyle w:val="Body"/>
                    <w:rPr>
                      <w:color w:val="000000" w:themeColor="text1"/>
                    </w:rPr>
                  </w:pPr>
                  <w:r w:rsidRPr="00053805">
                    <w:rPr>
                      <w:color w:val="000000" w:themeColor="text1"/>
                    </w:rPr>
                    <w:t>2</w:t>
                  </w:r>
                  <w:r w:rsidR="00E40EA0">
                    <w:rPr>
                      <w:color w:val="000000" w:themeColor="text1"/>
                    </w:rPr>
                    <w:t>/3</w:t>
                  </w:r>
                  <w:r w:rsidRPr="00053805">
                    <w:rPr>
                      <w:color w:val="000000" w:themeColor="text1"/>
                    </w:rPr>
                    <w:t xml:space="preserve"> day licence</w:t>
                  </w:r>
                </w:p>
              </w:tc>
              <w:tc>
                <w:tcPr>
                  <w:tcW w:w="1559" w:type="dxa"/>
                </w:tcPr>
                <w:p w14:paraId="51734D8A" w14:textId="77777777" w:rsidR="005D1842" w:rsidRPr="00053805" w:rsidRDefault="005D1842" w:rsidP="00F35997">
                  <w:pPr>
                    <w:pStyle w:val="Body"/>
                    <w:ind w:right="317"/>
                    <w:jc w:val="right"/>
                    <w:rPr>
                      <w:color w:val="000000" w:themeColor="text1"/>
                    </w:rPr>
                  </w:pPr>
                  <w:r w:rsidRPr="00053805">
                    <w:rPr>
                      <w:color w:val="000000" w:themeColor="text1"/>
                    </w:rPr>
                    <w:t>$6</w:t>
                  </w:r>
                  <w:r w:rsidR="00F35997">
                    <w:rPr>
                      <w:color w:val="000000" w:themeColor="text1"/>
                    </w:rPr>
                    <w:t>.00</w:t>
                  </w:r>
                </w:p>
              </w:tc>
              <w:tc>
                <w:tcPr>
                  <w:tcW w:w="1417" w:type="dxa"/>
                </w:tcPr>
                <w:p w14:paraId="4F728E02" w14:textId="77777777" w:rsidR="005D1842" w:rsidRPr="00053805" w:rsidRDefault="005D1842" w:rsidP="00F35997">
                  <w:pPr>
                    <w:pStyle w:val="Body"/>
                    <w:ind w:right="317"/>
                    <w:jc w:val="right"/>
                    <w:rPr>
                      <w:color w:val="000000" w:themeColor="text1"/>
                    </w:rPr>
                  </w:pPr>
                  <w:r w:rsidRPr="00053805">
                    <w:rPr>
                      <w:color w:val="000000" w:themeColor="text1"/>
                    </w:rPr>
                    <w:t>$10</w:t>
                  </w:r>
                </w:p>
              </w:tc>
              <w:tc>
                <w:tcPr>
                  <w:tcW w:w="1134" w:type="dxa"/>
                </w:tcPr>
                <w:p w14:paraId="78BECB9F" w14:textId="77777777" w:rsidR="005D1842" w:rsidRPr="00053805" w:rsidRDefault="005D1842" w:rsidP="005D1842">
                  <w:pPr>
                    <w:pStyle w:val="Body"/>
                    <w:jc w:val="center"/>
                    <w:rPr>
                      <w:color w:val="000000" w:themeColor="text1"/>
                    </w:rPr>
                  </w:pPr>
                  <w:r w:rsidRPr="00053805">
                    <w:rPr>
                      <w:color w:val="000000" w:themeColor="text1"/>
                    </w:rPr>
                    <w:t>67</w:t>
                  </w:r>
                </w:p>
              </w:tc>
            </w:tr>
            <w:tr w:rsidR="00053805" w:rsidRPr="00053805" w14:paraId="1CE9F8D3" w14:textId="77777777" w:rsidTr="005D1842">
              <w:tc>
                <w:tcPr>
                  <w:tcW w:w="1552" w:type="dxa"/>
                </w:tcPr>
                <w:p w14:paraId="0F45CBD3" w14:textId="77777777" w:rsidR="005D1842" w:rsidRPr="00053805" w:rsidRDefault="005D1842" w:rsidP="005D1842">
                  <w:pPr>
                    <w:pStyle w:val="Body"/>
                    <w:rPr>
                      <w:color w:val="000000" w:themeColor="text1"/>
                    </w:rPr>
                  </w:pPr>
                  <w:r w:rsidRPr="00053805">
                    <w:rPr>
                      <w:color w:val="000000" w:themeColor="text1"/>
                    </w:rPr>
                    <w:t xml:space="preserve">Group licence </w:t>
                  </w:r>
                </w:p>
              </w:tc>
              <w:tc>
                <w:tcPr>
                  <w:tcW w:w="1559" w:type="dxa"/>
                </w:tcPr>
                <w:p w14:paraId="03A90B10" w14:textId="77777777" w:rsidR="005D1842" w:rsidRPr="00053805" w:rsidRDefault="005D1842" w:rsidP="00F35997">
                  <w:pPr>
                    <w:pStyle w:val="Body"/>
                    <w:ind w:right="317"/>
                    <w:jc w:val="right"/>
                    <w:rPr>
                      <w:color w:val="000000" w:themeColor="text1"/>
                    </w:rPr>
                  </w:pPr>
                  <w:r w:rsidRPr="00053805">
                    <w:rPr>
                      <w:color w:val="000000" w:themeColor="text1"/>
                    </w:rPr>
                    <w:t>$24.50</w:t>
                  </w:r>
                </w:p>
              </w:tc>
              <w:tc>
                <w:tcPr>
                  <w:tcW w:w="1417" w:type="dxa"/>
                </w:tcPr>
                <w:p w14:paraId="071A1B24" w14:textId="77777777" w:rsidR="005D1842" w:rsidRPr="00053805" w:rsidRDefault="005D1842" w:rsidP="00F35997">
                  <w:pPr>
                    <w:pStyle w:val="Body"/>
                    <w:ind w:right="317"/>
                    <w:jc w:val="right"/>
                    <w:rPr>
                      <w:color w:val="000000" w:themeColor="text1"/>
                    </w:rPr>
                  </w:pPr>
                  <w:r w:rsidRPr="00053805">
                    <w:rPr>
                      <w:color w:val="000000" w:themeColor="text1"/>
                    </w:rPr>
                    <w:t>$35</w:t>
                  </w:r>
                </w:p>
              </w:tc>
              <w:tc>
                <w:tcPr>
                  <w:tcW w:w="1134" w:type="dxa"/>
                </w:tcPr>
                <w:p w14:paraId="0F8FDBA5" w14:textId="77777777" w:rsidR="005D1842" w:rsidRPr="00053805" w:rsidRDefault="005D1842" w:rsidP="005D1842">
                  <w:pPr>
                    <w:pStyle w:val="Body"/>
                    <w:jc w:val="center"/>
                    <w:rPr>
                      <w:color w:val="000000" w:themeColor="text1"/>
                    </w:rPr>
                  </w:pPr>
                  <w:r w:rsidRPr="00053805">
                    <w:rPr>
                      <w:color w:val="000000" w:themeColor="text1"/>
                    </w:rPr>
                    <w:t>43</w:t>
                  </w:r>
                </w:p>
              </w:tc>
            </w:tr>
          </w:tbl>
          <w:p w14:paraId="56FB6CC0" w14:textId="77777777" w:rsidR="005D1842" w:rsidRPr="00FF2C43" w:rsidRDefault="005D1842">
            <w:pPr>
              <w:rPr>
                <w:color w:val="000000" w:themeColor="text1"/>
                <w:sz w:val="12"/>
                <w:szCs w:val="12"/>
              </w:rPr>
            </w:pPr>
          </w:p>
          <w:p w14:paraId="0687E123" w14:textId="77777777" w:rsidR="00B40260" w:rsidRDefault="00B40260">
            <w:pPr>
              <w:rPr>
                <w:color w:val="000000" w:themeColor="text1"/>
              </w:rPr>
            </w:pPr>
            <w:r>
              <w:rPr>
                <w:color w:val="000000" w:themeColor="text1"/>
              </w:rPr>
              <w:t>It is proposed to change the current 2 day licence to a 3 day licence</w:t>
            </w:r>
            <w:r w:rsidR="004C5E76">
              <w:rPr>
                <w:color w:val="000000" w:themeColor="text1"/>
              </w:rPr>
              <w:t xml:space="preserve"> to better accommodate fishing on long weekends</w:t>
            </w:r>
            <w:r>
              <w:rPr>
                <w:color w:val="000000" w:themeColor="text1"/>
              </w:rPr>
              <w:t>.</w:t>
            </w:r>
            <w:r w:rsidR="007B70B9">
              <w:rPr>
                <w:color w:val="000000" w:themeColor="text1"/>
              </w:rPr>
              <w:t xml:space="preserve"> There will also be </w:t>
            </w:r>
            <w:r w:rsidR="004C5E76">
              <w:rPr>
                <w:color w:val="000000" w:themeColor="text1"/>
              </w:rPr>
              <w:t xml:space="preserve">a </w:t>
            </w:r>
            <w:r w:rsidR="007B70B9">
              <w:rPr>
                <w:color w:val="000000" w:themeColor="text1"/>
              </w:rPr>
              <w:t>discount of 5 per cent for 1 and 3 year licences bought online.</w:t>
            </w:r>
          </w:p>
          <w:p w14:paraId="25D4B7F6" w14:textId="77777777" w:rsidR="00B40260" w:rsidRPr="00FF2C43" w:rsidRDefault="00B40260">
            <w:pPr>
              <w:rPr>
                <w:color w:val="000000" w:themeColor="text1"/>
                <w:sz w:val="12"/>
                <w:szCs w:val="12"/>
              </w:rPr>
            </w:pPr>
          </w:p>
          <w:p w14:paraId="6CA20D57" w14:textId="77777777" w:rsidR="005D1842" w:rsidRPr="00053805" w:rsidRDefault="003C0B68">
            <w:pPr>
              <w:rPr>
                <w:color w:val="000000" w:themeColor="text1"/>
              </w:rPr>
            </w:pPr>
            <w:r>
              <w:rPr>
                <w:color w:val="000000" w:themeColor="text1"/>
              </w:rPr>
              <w:t>From 2017/18, f</w:t>
            </w:r>
            <w:r w:rsidR="005D1842" w:rsidRPr="00053805">
              <w:rPr>
                <w:color w:val="000000" w:themeColor="text1"/>
              </w:rPr>
              <w:t xml:space="preserve">ees will be converted to fee units and be subject to annual indexation according to the </w:t>
            </w:r>
            <w:r>
              <w:rPr>
                <w:color w:val="000000" w:themeColor="text1"/>
              </w:rPr>
              <w:t>value of fee units</w:t>
            </w:r>
            <w:r w:rsidRPr="00053805">
              <w:rPr>
                <w:color w:val="000000" w:themeColor="text1"/>
              </w:rPr>
              <w:t xml:space="preserve"> </w:t>
            </w:r>
            <w:r w:rsidR="005D1842" w:rsidRPr="00053805">
              <w:rPr>
                <w:color w:val="000000" w:themeColor="text1"/>
              </w:rPr>
              <w:t xml:space="preserve">set by the Treasurer under the </w:t>
            </w:r>
            <w:r w:rsidR="005D1842" w:rsidRPr="00DF12F6">
              <w:rPr>
                <w:i/>
                <w:color w:val="000000" w:themeColor="text1"/>
              </w:rPr>
              <w:t>Monetary Units Act</w:t>
            </w:r>
            <w:r w:rsidR="00DF12F6" w:rsidRPr="00DF12F6">
              <w:rPr>
                <w:i/>
                <w:color w:val="000000" w:themeColor="text1"/>
              </w:rPr>
              <w:t xml:space="preserve"> 2004</w:t>
            </w:r>
            <w:r w:rsidR="005D1842" w:rsidRPr="00053805">
              <w:rPr>
                <w:color w:val="000000" w:themeColor="text1"/>
              </w:rPr>
              <w:t>.</w:t>
            </w:r>
          </w:p>
          <w:p w14:paraId="1FE6AC8E" w14:textId="77777777" w:rsidR="005D1842" w:rsidRPr="00053805" w:rsidRDefault="005D1842" w:rsidP="00CF314F">
            <w:pPr>
              <w:pStyle w:val="TableText"/>
              <w:rPr>
                <w:rFonts w:ascii="Arial" w:hAnsi="Arial" w:cs="Arial"/>
                <w:color w:val="000000" w:themeColor="text1"/>
                <w:szCs w:val="20"/>
                <w:lang w:val="en-US"/>
              </w:rPr>
            </w:pPr>
          </w:p>
        </w:tc>
        <w:tc>
          <w:tcPr>
            <w:tcW w:w="3278" w:type="dxa"/>
            <w:gridSpan w:val="3"/>
            <w:tcBorders>
              <w:bottom w:val="single" w:sz="4" w:space="0" w:color="auto"/>
            </w:tcBorders>
            <w:shd w:val="clear" w:color="auto" w:fill="auto"/>
          </w:tcPr>
          <w:p w14:paraId="6F76976E" w14:textId="77777777" w:rsidR="00CF314F" w:rsidRPr="00053805" w:rsidRDefault="005D1842" w:rsidP="005D1842">
            <w:pPr>
              <w:pStyle w:val="TableText"/>
              <w:rPr>
                <w:rFonts w:ascii="Arial" w:hAnsi="Arial" w:cs="Arial"/>
                <w:color w:val="000000" w:themeColor="text1"/>
                <w:szCs w:val="20"/>
                <w:lang w:val="en-US"/>
              </w:rPr>
            </w:pPr>
            <w:r w:rsidRPr="00053805">
              <w:rPr>
                <w:rFonts w:ascii="Arial" w:hAnsi="Arial" w:cs="Arial"/>
                <w:color w:val="000000" w:themeColor="text1"/>
                <w:szCs w:val="20"/>
                <w:lang w:val="en-US"/>
              </w:rPr>
              <w:t xml:space="preserve">The proposed changes will raise additional </w:t>
            </w:r>
            <w:r w:rsidR="009843BF">
              <w:rPr>
                <w:rFonts w:ascii="Arial" w:hAnsi="Arial" w:cs="Arial"/>
                <w:color w:val="000000" w:themeColor="text1"/>
                <w:szCs w:val="20"/>
                <w:lang w:val="en-US"/>
              </w:rPr>
              <w:t>estimated</w:t>
            </w:r>
            <w:r w:rsidR="00357F37">
              <w:rPr>
                <w:rFonts w:ascii="Arial" w:hAnsi="Arial" w:cs="Arial"/>
                <w:color w:val="000000" w:themeColor="text1"/>
                <w:szCs w:val="20"/>
                <w:lang w:val="en-US"/>
              </w:rPr>
              <w:t xml:space="preserve"> </w:t>
            </w:r>
            <w:r w:rsidRPr="00053805">
              <w:rPr>
                <w:rFonts w:ascii="Arial" w:hAnsi="Arial" w:cs="Arial"/>
                <w:color w:val="000000" w:themeColor="text1"/>
                <w:szCs w:val="20"/>
                <w:lang w:val="en-US"/>
              </w:rPr>
              <w:t>revenue in 2016/17 of $3.</w:t>
            </w:r>
            <w:r w:rsidR="009760D6">
              <w:rPr>
                <w:rFonts w:ascii="Arial" w:hAnsi="Arial" w:cs="Arial"/>
                <w:color w:val="000000" w:themeColor="text1"/>
                <w:szCs w:val="20"/>
                <w:lang w:val="en-US"/>
              </w:rPr>
              <w:t>3</w:t>
            </w:r>
            <w:r w:rsidRPr="00053805">
              <w:rPr>
                <w:rFonts w:ascii="Arial" w:hAnsi="Arial" w:cs="Arial"/>
                <w:color w:val="000000" w:themeColor="text1"/>
                <w:szCs w:val="20"/>
                <w:lang w:val="en-US"/>
              </w:rPr>
              <w:t xml:space="preserve"> million and in 2017/18 of $</w:t>
            </w:r>
            <w:r w:rsidR="004D04AE">
              <w:rPr>
                <w:rFonts w:ascii="Arial" w:hAnsi="Arial" w:cs="Arial"/>
                <w:color w:val="000000" w:themeColor="text1"/>
                <w:szCs w:val="20"/>
                <w:lang w:val="en-US"/>
              </w:rPr>
              <w:t>3.8</w:t>
            </w:r>
            <w:r w:rsidRPr="00053805">
              <w:rPr>
                <w:rFonts w:ascii="Arial" w:hAnsi="Arial" w:cs="Arial"/>
                <w:color w:val="000000" w:themeColor="text1"/>
                <w:szCs w:val="20"/>
                <w:lang w:val="en-US"/>
              </w:rPr>
              <w:t xml:space="preserve"> million. This will be paid by licensed recreational fishers.</w:t>
            </w:r>
          </w:p>
          <w:p w14:paraId="339C3A9E" w14:textId="77777777" w:rsidR="005D1842" w:rsidRPr="00053805" w:rsidRDefault="005D1842" w:rsidP="005D1842">
            <w:pPr>
              <w:pStyle w:val="TableText"/>
              <w:rPr>
                <w:rFonts w:ascii="Arial" w:hAnsi="Arial" w:cs="Arial"/>
                <w:color w:val="000000" w:themeColor="text1"/>
                <w:szCs w:val="20"/>
                <w:lang w:val="en-US"/>
              </w:rPr>
            </w:pPr>
          </w:p>
        </w:tc>
      </w:tr>
      <w:tr w:rsidR="00CF314F" w:rsidRPr="005911F8" w14:paraId="3D8176CE"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869" w:type="dxa"/>
            <w:gridSpan w:val="6"/>
            <w:vMerge/>
            <w:tcBorders>
              <w:bottom w:val="single" w:sz="4" w:space="0" w:color="auto"/>
            </w:tcBorders>
            <w:shd w:val="clear" w:color="auto" w:fill="auto"/>
          </w:tcPr>
          <w:p w14:paraId="037F2641" w14:textId="77777777" w:rsidR="00CF314F" w:rsidRPr="00053805" w:rsidRDefault="00CF314F" w:rsidP="00CF314F">
            <w:pPr>
              <w:rPr>
                <w:i/>
                <w:color w:val="000000" w:themeColor="text1"/>
                <w:lang w:val="en-US"/>
              </w:rPr>
            </w:pPr>
          </w:p>
        </w:tc>
        <w:tc>
          <w:tcPr>
            <w:tcW w:w="3278" w:type="dxa"/>
            <w:gridSpan w:val="3"/>
            <w:tcBorders>
              <w:bottom w:val="single" w:sz="4" w:space="0" w:color="auto"/>
            </w:tcBorders>
            <w:shd w:val="clear" w:color="auto" w:fill="auto"/>
          </w:tcPr>
          <w:p w14:paraId="3FEB35F3" w14:textId="77777777" w:rsidR="00CF314F" w:rsidRPr="00053805" w:rsidRDefault="005D1842" w:rsidP="00DF12F6">
            <w:pPr>
              <w:pStyle w:val="TableText"/>
              <w:rPr>
                <w:rFonts w:ascii="Arial" w:hAnsi="Arial" w:cs="Arial"/>
                <w:color w:val="000000" w:themeColor="text1"/>
                <w:szCs w:val="20"/>
                <w:lang w:val="en-US"/>
              </w:rPr>
            </w:pPr>
            <w:r w:rsidRPr="00053805">
              <w:rPr>
                <w:rFonts w:ascii="Arial" w:hAnsi="Arial" w:cs="Arial"/>
                <w:color w:val="000000" w:themeColor="text1"/>
                <w:szCs w:val="20"/>
                <w:lang w:val="en-US"/>
              </w:rPr>
              <w:t xml:space="preserve">The beneficiaries of the proposed changes will also be recreational fishers, as the additional RFL revenue will be used to fund </w:t>
            </w:r>
            <w:r w:rsidR="00DF12F6">
              <w:rPr>
                <w:rFonts w:ascii="Arial" w:hAnsi="Arial" w:cs="Arial"/>
                <w:color w:val="000000" w:themeColor="text1"/>
                <w:szCs w:val="20"/>
                <w:lang w:val="en-US"/>
              </w:rPr>
              <w:t>initiatives and programs</w:t>
            </w:r>
            <w:r w:rsidRPr="00053805">
              <w:rPr>
                <w:rFonts w:ascii="Arial" w:hAnsi="Arial" w:cs="Arial"/>
                <w:color w:val="000000" w:themeColor="text1"/>
                <w:szCs w:val="20"/>
                <w:lang w:val="en-US"/>
              </w:rPr>
              <w:t xml:space="preserve"> from the RFL Trust Account. </w:t>
            </w:r>
            <w:r w:rsidR="00DF12F6">
              <w:rPr>
                <w:rFonts w:ascii="Arial" w:hAnsi="Arial" w:cs="Arial"/>
                <w:color w:val="000000" w:themeColor="text1"/>
                <w:szCs w:val="20"/>
                <w:lang w:val="en-US"/>
              </w:rPr>
              <w:t>Expenditure from the Trust Account is approved by the Minister, in accordance with the Act, to enhance recreational fishing opportunities.</w:t>
            </w:r>
          </w:p>
        </w:tc>
      </w:tr>
      <w:tr w:rsidR="00CF314F" w:rsidRPr="005911F8" w14:paraId="60A6364F"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9147" w:type="dxa"/>
            <w:gridSpan w:val="9"/>
            <w:shd w:val="clear" w:color="auto" w:fill="C4DFF6"/>
            <w:vAlign w:val="center"/>
          </w:tcPr>
          <w:p w14:paraId="2AB79A46"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Alternative options considered</w:t>
            </w:r>
          </w:p>
        </w:tc>
      </w:tr>
      <w:tr w:rsidR="00CF314F" w:rsidRPr="005911F8" w14:paraId="001E4EA7" w14:textId="77777777" w:rsidTr="005D18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9147" w:type="dxa"/>
            <w:gridSpan w:val="9"/>
            <w:shd w:val="clear" w:color="auto" w:fill="FFFFFF" w:themeFill="background1"/>
            <w:vAlign w:val="center"/>
          </w:tcPr>
          <w:p w14:paraId="637E6E75" w14:textId="77777777" w:rsidR="00CF314F" w:rsidRPr="00053805" w:rsidRDefault="005D1842"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This RIS identifie</w:t>
            </w:r>
            <w:r w:rsidR="00C80C0D">
              <w:rPr>
                <w:rFonts w:ascii="Arial" w:hAnsi="Arial" w:cs="Arial"/>
                <w:color w:val="000000" w:themeColor="text1"/>
                <w:sz w:val="20"/>
                <w:szCs w:val="20"/>
              </w:rPr>
              <w:t>s</w:t>
            </w:r>
            <w:r w:rsidRPr="00053805">
              <w:rPr>
                <w:rFonts w:ascii="Arial" w:hAnsi="Arial" w:cs="Arial"/>
                <w:color w:val="000000" w:themeColor="text1"/>
                <w:sz w:val="20"/>
                <w:szCs w:val="20"/>
              </w:rPr>
              <w:t xml:space="preserve"> and assesse</w:t>
            </w:r>
            <w:r w:rsidR="00C80C0D">
              <w:rPr>
                <w:rFonts w:ascii="Arial" w:hAnsi="Arial" w:cs="Arial"/>
                <w:color w:val="000000" w:themeColor="text1"/>
                <w:sz w:val="20"/>
                <w:szCs w:val="20"/>
              </w:rPr>
              <w:t>s</w:t>
            </w:r>
            <w:r w:rsidRPr="00053805">
              <w:rPr>
                <w:rFonts w:ascii="Arial" w:hAnsi="Arial" w:cs="Arial"/>
                <w:color w:val="000000" w:themeColor="text1"/>
                <w:sz w:val="20"/>
                <w:szCs w:val="20"/>
              </w:rPr>
              <w:t xml:space="preserve"> alternative options for increasing RFL revenue</w:t>
            </w:r>
            <w:r w:rsidR="00694BB7" w:rsidRPr="00053805">
              <w:rPr>
                <w:rFonts w:ascii="Arial" w:hAnsi="Arial" w:cs="Arial"/>
                <w:color w:val="000000" w:themeColor="text1"/>
                <w:sz w:val="20"/>
                <w:szCs w:val="20"/>
              </w:rPr>
              <w:t>: by expanding the types of recreational fishers required to contribute to RFL fee revenue, and changing the structures of licence types</w:t>
            </w:r>
            <w:r w:rsidRPr="00053805">
              <w:rPr>
                <w:rFonts w:ascii="Arial" w:hAnsi="Arial" w:cs="Arial"/>
                <w:color w:val="000000" w:themeColor="text1"/>
                <w:sz w:val="20"/>
                <w:szCs w:val="20"/>
              </w:rPr>
              <w:t>.</w:t>
            </w:r>
            <w:r w:rsidR="00694BB7" w:rsidRPr="00053805">
              <w:rPr>
                <w:rFonts w:ascii="Arial" w:hAnsi="Arial" w:cs="Arial"/>
                <w:color w:val="000000" w:themeColor="text1"/>
                <w:sz w:val="20"/>
                <w:szCs w:val="20"/>
              </w:rPr>
              <w:t xml:space="preserve"> These alternative options were compared with the proposed fee increases against criteria </w:t>
            </w:r>
            <w:r w:rsidR="002B3567" w:rsidRPr="00053805">
              <w:rPr>
                <w:rFonts w:ascii="Arial" w:hAnsi="Arial" w:cs="Arial"/>
                <w:color w:val="000000" w:themeColor="text1"/>
                <w:sz w:val="20"/>
                <w:szCs w:val="20"/>
              </w:rPr>
              <w:t>of</w:t>
            </w:r>
            <w:r w:rsidR="002B3567">
              <w:rPr>
                <w:rFonts w:ascii="Arial" w:hAnsi="Arial" w:cs="Arial"/>
                <w:color w:val="000000" w:themeColor="text1"/>
                <w:sz w:val="20"/>
                <w:szCs w:val="20"/>
              </w:rPr>
              <w:t xml:space="preserve"> additional revenue generated,</w:t>
            </w:r>
            <w:r w:rsidR="00694BB7" w:rsidRPr="00053805">
              <w:rPr>
                <w:rFonts w:ascii="Arial" w:hAnsi="Arial" w:cs="Arial"/>
                <w:color w:val="000000" w:themeColor="text1"/>
                <w:sz w:val="20"/>
                <w:szCs w:val="20"/>
              </w:rPr>
              <w:t xml:space="preserve"> </w:t>
            </w:r>
            <w:r w:rsidR="00315BEE">
              <w:rPr>
                <w:rFonts w:ascii="Arial" w:hAnsi="Arial" w:cs="Arial"/>
                <w:color w:val="000000" w:themeColor="text1"/>
                <w:sz w:val="20"/>
                <w:szCs w:val="20"/>
              </w:rPr>
              <w:t xml:space="preserve">horizontal and vertical </w:t>
            </w:r>
            <w:r w:rsidR="00694BB7" w:rsidRPr="00053805">
              <w:rPr>
                <w:rFonts w:ascii="Arial" w:hAnsi="Arial" w:cs="Arial"/>
                <w:color w:val="000000" w:themeColor="text1"/>
                <w:sz w:val="20"/>
                <w:szCs w:val="20"/>
              </w:rPr>
              <w:t>equity</w:t>
            </w:r>
            <w:r w:rsidR="00315BEE">
              <w:rPr>
                <w:rFonts w:ascii="Arial" w:hAnsi="Arial" w:cs="Arial"/>
                <w:color w:val="000000" w:themeColor="text1"/>
                <w:sz w:val="20"/>
                <w:szCs w:val="20"/>
              </w:rPr>
              <w:t>,</w:t>
            </w:r>
            <w:r w:rsidR="00694BB7" w:rsidRPr="00053805">
              <w:rPr>
                <w:rFonts w:ascii="Arial" w:hAnsi="Arial" w:cs="Arial"/>
                <w:color w:val="000000" w:themeColor="text1"/>
                <w:sz w:val="20"/>
                <w:szCs w:val="20"/>
              </w:rPr>
              <w:t xml:space="preserve"> effectiveness</w:t>
            </w:r>
            <w:r w:rsidR="00315BEE">
              <w:rPr>
                <w:rFonts w:ascii="Arial" w:hAnsi="Arial" w:cs="Arial"/>
                <w:color w:val="000000" w:themeColor="text1"/>
                <w:sz w:val="20"/>
                <w:szCs w:val="20"/>
              </w:rPr>
              <w:t xml:space="preserve"> and administrative complexity</w:t>
            </w:r>
            <w:r w:rsidR="00694BB7" w:rsidRPr="00053805">
              <w:rPr>
                <w:rFonts w:ascii="Arial" w:hAnsi="Arial" w:cs="Arial"/>
                <w:color w:val="000000" w:themeColor="text1"/>
                <w:sz w:val="20"/>
                <w:szCs w:val="20"/>
              </w:rPr>
              <w:t>. The proposed fee increase</w:t>
            </w:r>
            <w:r w:rsidR="00DE313B">
              <w:rPr>
                <w:rFonts w:ascii="Arial" w:hAnsi="Arial" w:cs="Arial"/>
                <w:color w:val="000000" w:themeColor="text1"/>
                <w:sz w:val="20"/>
                <w:szCs w:val="20"/>
              </w:rPr>
              <w:t>s</w:t>
            </w:r>
            <w:r w:rsidR="00694BB7" w:rsidRPr="00053805">
              <w:rPr>
                <w:rFonts w:ascii="Arial" w:hAnsi="Arial" w:cs="Arial"/>
                <w:color w:val="000000" w:themeColor="text1"/>
                <w:sz w:val="20"/>
                <w:szCs w:val="20"/>
              </w:rPr>
              <w:t xml:space="preserve"> were found to be preferred, mostly because they retain the current exemptions (which recognise ability to pay by exempt groups) and will be simple to implement and administer (noting that the changes are </w:t>
            </w:r>
            <w:r w:rsidR="00DE313B">
              <w:rPr>
                <w:rFonts w:ascii="Arial" w:hAnsi="Arial" w:cs="Arial"/>
                <w:color w:val="000000" w:themeColor="text1"/>
                <w:sz w:val="20"/>
                <w:szCs w:val="20"/>
              </w:rPr>
              <w:t>subject to the remaking</w:t>
            </w:r>
            <w:r w:rsidR="00694BB7" w:rsidRPr="00053805">
              <w:rPr>
                <w:rFonts w:ascii="Arial" w:hAnsi="Arial" w:cs="Arial"/>
                <w:color w:val="000000" w:themeColor="text1"/>
                <w:sz w:val="20"/>
                <w:szCs w:val="20"/>
              </w:rPr>
              <w:t xml:space="preserve"> of </w:t>
            </w:r>
            <w:r w:rsidR="00DE313B">
              <w:rPr>
                <w:rFonts w:ascii="Arial" w:hAnsi="Arial" w:cs="Arial"/>
                <w:color w:val="000000" w:themeColor="text1"/>
                <w:sz w:val="20"/>
                <w:szCs w:val="20"/>
              </w:rPr>
              <w:t>the 2008 and 2009 regulations in 2018 and 2019 respectively</w:t>
            </w:r>
            <w:r w:rsidR="00694BB7" w:rsidRPr="00053805">
              <w:rPr>
                <w:rFonts w:ascii="Arial" w:hAnsi="Arial" w:cs="Arial"/>
                <w:color w:val="000000" w:themeColor="text1"/>
                <w:sz w:val="20"/>
                <w:szCs w:val="20"/>
              </w:rPr>
              <w:t>).</w:t>
            </w:r>
          </w:p>
          <w:p w14:paraId="04605EB7" w14:textId="77777777" w:rsidR="00694BB7" w:rsidRPr="00053805" w:rsidRDefault="00694BB7" w:rsidP="00694BB7">
            <w:pPr>
              <w:pStyle w:val="Body"/>
              <w:rPr>
                <w:color w:val="000000" w:themeColor="text1"/>
              </w:rPr>
            </w:pPr>
            <w:r w:rsidRPr="00053805">
              <w:rPr>
                <w:rFonts w:eastAsia="Calibri"/>
                <w:color w:val="000000" w:themeColor="text1"/>
              </w:rPr>
              <w:t>Fisheries Victoria identified further options: to r</w:t>
            </w:r>
            <w:r w:rsidRPr="00053805">
              <w:rPr>
                <w:color w:val="000000" w:themeColor="text1"/>
              </w:rPr>
              <w:t>eplace the current all-waters, all-species, all-methods licence with separate licences for fishing in inland waters, bays and inlets, abalone, rock lobster and marine finfish, plus a combined licence; and an option to set fees based on volume of catch. These were considered to be to</w:t>
            </w:r>
            <w:r w:rsidR="00DE313B">
              <w:rPr>
                <w:color w:val="000000" w:themeColor="text1"/>
              </w:rPr>
              <w:t>o</w:t>
            </w:r>
            <w:r w:rsidRPr="00053805">
              <w:rPr>
                <w:color w:val="000000" w:themeColor="text1"/>
              </w:rPr>
              <w:t xml:space="preserve"> complex and costly to administer and were therefore not considered further.</w:t>
            </w:r>
          </w:p>
        </w:tc>
      </w:tr>
      <w:tr w:rsidR="00CF314F" w:rsidRPr="005911F8" w14:paraId="20EF674B" w14:textId="77777777" w:rsidTr="00FF2C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858" w:type="dxa"/>
            <w:shd w:val="clear" w:color="auto" w:fill="C4DFF6"/>
            <w:vAlign w:val="center"/>
          </w:tcPr>
          <w:p w14:paraId="25BC0AAD"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Who was consulted</w:t>
            </w:r>
          </w:p>
        </w:tc>
        <w:tc>
          <w:tcPr>
            <w:tcW w:w="7289" w:type="dxa"/>
            <w:gridSpan w:val="8"/>
            <w:shd w:val="clear" w:color="auto" w:fill="C4DFF6"/>
            <w:vAlign w:val="center"/>
          </w:tcPr>
          <w:p w14:paraId="39F2568E" w14:textId="77777777" w:rsidR="00CF314F" w:rsidRPr="00053805" w:rsidRDefault="00CF314F" w:rsidP="00CF314F">
            <w:pPr>
              <w:pStyle w:val="TableHeader"/>
              <w:rPr>
                <w:rFonts w:ascii="Arial" w:hAnsi="Arial" w:cs="Arial"/>
                <w:color w:val="000000" w:themeColor="text1"/>
                <w:sz w:val="20"/>
                <w:szCs w:val="20"/>
              </w:rPr>
            </w:pPr>
            <w:r w:rsidRPr="00053805">
              <w:rPr>
                <w:rFonts w:ascii="Arial" w:hAnsi="Arial" w:cs="Arial"/>
                <w:color w:val="000000" w:themeColor="text1"/>
                <w:sz w:val="20"/>
                <w:szCs w:val="20"/>
              </w:rPr>
              <w:t>Explain position</w:t>
            </w:r>
          </w:p>
        </w:tc>
      </w:tr>
      <w:tr w:rsidR="00CF314F" w:rsidRPr="005911F8" w14:paraId="1A8B2606" w14:textId="77777777" w:rsidTr="00FF2C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858" w:type="dxa"/>
            <w:tcBorders>
              <w:bottom w:val="single" w:sz="4" w:space="0" w:color="auto"/>
            </w:tcBorders>
            <w:shd w:val="clear" w:color="auto" w:fill="auto"/>
          </w:tcPr>
          <w:p w14:paraId="1B5A7CB1" w14:textId="77777777" w:rsidR="00CF314F" w:rsidRPr="00053805" w:rsidRDefault="00434BF0" w:rsidP="00CF314F">
            <w:pPr>
              <w:pStyle w:val="TableText"/>
              <w:rPr>
                <w:rFonts w:ascii="Arial" w:hAnsi="Arial" w:cs="Arial"/>
                <w:color w:val="000000" w:themeColor="text1"/>
                <w:szCs w:val="20"/>
                <w:lang w:val="en-US"/>
              </w:rPr>
            </w:pPr>
            <w:r w:rsidRPr="00010231">
              <w:rPr>
                <w:rFonts w:ascii="Arial" w:hAnsi="Arial" w:cs="Arial"/>
                <w:color w:val="000000" w:themeColor="text1"/>
                <w:szCs w:val="20"/>
                <w:lang w:val="en-US"/>
              </w:rPr>
              <w:t>Stakeholder reference group</w:t>
            </w:r>
          </w:p>
        </w:tc>
        <w:tc>
          <w:tcPr>
            <w:tcW w:w="7289" w:type="dxa"/>
            <w:gridSpan w:val="8"/>
            <w:tcBorders>
              <w:bottom w:val="single" w:sz="4" w:space="0" w:color="auto"/>
            </w:tcBorders>
            <w:shd w:val="clear" w:color="auto" w:fill="auto"/>
          </w:tcPr>
          <w:p w14:paraId="796E60F9" w14:textId="77777777" w:rsidR="00CF314F" w:rsidRPr="00053805" w:rsidRDefault="00434BF0" w:rsidP="00FF2C43">
            <w:pPr>
              <w:pStyle w:val="Body"/>
              <w:rPr>
                <w:color w:val="000000" w:themeColor="text1"/>
                <w:lang w:val="en-US"/>
              </w:rPr>
            </w:pPr>
            <w:r>
              <w:t>In 2014, a</w:t>
            </w:r>
            <w:r w:rsidRPr="0008580A">
              <w:t xml:space="preserve"> Recreational Fishery Licence Stakeholder Reference Group </w:t>
            </w:r>
            <w:r>
              <w:t>provided</w:t>
            </w:r>
            <w:r w:rsidRPr="0008580A">
              <w:t xml:space="preserve"> advice regarding </w:t>
            </w:r>
            <w:r>
              <w:t xml:space="preserve">potential </w:t>
            </w:r>
            <w:r w:rsidRPr="0008580A">
              <w:t xml:space="preserve">changes to </w:t>
            </w:r>
            <w:r>
              <w:t>RFL</w:t>
            </w:r>
            <w:r w:rsidRPr="0008580A">
              <w:t xml:space="preserve"> pricing and related compliance arrangements.</w:t>
            </w:r>
            <w:r>
              <w:t xml:space="preserve"> Stakeholder </w:t>
            </w:r>
            <w:r w:rsidRPr="0008580A">
              <w:t xml:space="preserve">Reference Group membership comprised organisations including, </w:t>
            </w:r>
            <w:proofErr w:type="spellStart"/>
            <w:r w:rsidRPr="0008580A">
              <w:t>VRFish</w:t>
            </w:r>
            <w:proofErr w:type="spellEnd"/>
            <w:r w:rsidRPr="0008580A">
              <w:t xml:space="preserve">, Australian Fishing Trade Association, </w:t>
            </w:r>
            <w:proofErr w:type="spellStart"/>
            <w:r w:rsidRPr="0008580A">
              <w:t>Futurefish</w:t>
            </w:r>
            <w:proofErr w:type="spellEnd"/>
            <w:r w:rsidRPr="0008580A">
              <w:t xml:space="preserve"> Foundation, Boating Industry Association Victoria, Charter Boat Association, Australian Trout Foundation, Chair State-wide Recreational Fishing Roundtable Forum and a </w:t>
            </w:r>
            <w:r>
              <w:t xml:space="preserve">non-DEDJTR </w:t>
            </w:r>
            <w:r w:rsidRPr="0008580A">
              <w:t>fisheries researche</w:t>
            </w:r>
            <w:r>
              <w:t>r. The valuable advice from this group formed the basis of the new fees now proposed and the various alternative options considered in this RIS. There was broad support among these stakeholders for increasing RFL revenue to better support initiatives and programs for recreational fishers</w:t>
            </w:r>
            <w:r w:rsidR="000423CB">
              <w:t>, although some different views about the price of a 3 year licence</w:t>
            </w:r>
            <w:r>
              <w:t xml:space="preserve">. </w:t>
            </w:r>
          </w:p>
        </w:tc>
      </w:tr>
      <w:tr w:rsidR="00CF314F" w:rsidRPr="005911F8" w14:paraId="39422759" w14:textId="77777777" w:rsidTr="00FF2C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858" w:type="dxa"/>
            <w:tcBorders>
              <w:bottom w:val="single" w:sz="4" w:space="0" w:color="auto"/>
            </w:tcBorders>
            <w:shd w:val="clear" w:color="auto" w:fill="auto"/>
          </w:tcPr>
          <w:p w14:paraId="673E6781" w14:textId="77777777" w:rsidR="00CF314F" w:rsidRPr="00053805" w:rsidRDefault="00434BF0" w:rsidP="00CF314F">
            <w:pPr>
              <w:pStyle w:val="TableText"/>
              <w:rPr>
                <w:rFonts w:ascii="Arial" w:hAnsi="Arial" w:cs="Arial"/>
                <w:color w:val="000000" w:themeColor="text1"/>
                <w:szCs w:val="20"/>
                <w:lang w:val="en-US"/>
              </w:rPr>
            </w:pPr>
            <w:r>
              <w:rPr>
                <w:rFonts w:ascii="Arial" w:hAnsi="Arial" w:cs="Arial"/>
                <w:color w:val="000000" w:themeColor="text1"/>
                <w:szCs w:val="20"/>
                <w:lang w:val="en-US"/>
              </w:rPr>
              <w:t>Further stakeholders consulted for this RIS</w:t>
            </w:r>
          </w:p>
        </w:tc>
        <w:tc>
          <w:tcPr>
            <w:tcW w:w="7289" w:type="dxa"/>
            <w:gridSpan w:val="8"/>
            <w:tcBorders>
              <w:bottom w:val="single" w:sz="4" w:space="0" w:color="auto"/>
            </w:tcBorders>
            <w:shd w:val="clear" w:color="auto" w:fill="auto"/>
          </w:tcPr>
          <w:p w14:paraId="6015A9F6" w14:textId="77777777" w:rsidR="00041CD0" w:rsidRDefault="00041CD0" w:rsidP="00041CD0">
            <w:pPr>
              <w:pStyle w:val="Body"/>
            </w:pPr>
            <w:r>
              <w:t>In the preparation of this RIS, views of a smaller number of stakeholders (three fishing organisations and one individual recreational fisher</w:t>
            </w:r>
            <w:r w:rsidR="000A6F6A">
              <w:t>y researcher</w:t>
            </w:r>
            <w:r>
              <w:t>) were sought. These views included:</w:t>
            </w:r>
          </w:p>
          <w:p w14:paraId="3A262400" w14:textId="77777777" w:rsidR="00041CD0" w:rsidRDefault="00B562FE" w:rsidP="00F97BD4">
            <w:pPr>
              <w:pStyle w:val="Bullet"/>
            </w:pPr>
            <w:r>
              <w:t>s</w:t>
            </w:r>
            <w:r w:rsidR="00041CD0">
              <w:t xml:space="preserve">upport for extra revenue available for recreational fishing initiatives in the short term, particularly in light of the failure of </w:t>
            </w:r>
            <w:r>
              <w:t>RFL</w:t>
            </w:r>
            <w:r w:rsidR="00041CD0">
              <w:t xml:space="preserve"> revenue to </w:t>
            </w:r>
            <w:r>
              <w:t>keep up with</w:t>
            </w:r>
            <w:r w:rsidR="00041CD0">
              <w:t xml:space="preserve"> CPI increases, subject to a full review of the effectiveness of the program in the longer term </w:t>
            </w:r>
          </w:p>
          <w:p w14:paraId="643FE179" w14:textId="77777777" w:rsidR="00041CD0" w:rsidRDefault="00B562FE" w:rsidP="00F97BD4">
            <w:pPr>
              <w:pStyle w:val="Bullet"/>
            </w:pPr>
            <w:r>
              <w:t>s</w:t>
            </w:r>
            <w:r w:rsidR="00041CD0">
              <w:t>upport for a 3 day licence to replace the current 2 day licence, which exists in NSW and supports fishers on long weekends</w:t>
            </w:r>
          </w:p>
          <w:p w14:paraId="01B9D81F" w14:textId="77777777" w:rsidR="00041CD0" w:rsidRDefault="00B562FE" w:rsidP="00F97BD4">
            <w:pPr>
              <w:pStyle w:val="Bullet"/>
            </w:pPr>
            <w:r>
              <w:t>s</w:t>
            </w:r>
            <w:r w:rsidR="00041CD0">
              <w:t xml:space="preserve">upport for a 5 per cent discount </w:t>
            </w:r>
            <w:r w:rsidR="00E13265">
              <w:t>for</w:t>
            </w:r>
            <w:r w:rsidR="00041CD0">
              <w:t xml:space="preserve"> 1 and 3 year licences</w:t>
            </w:r>
            <w:r w:rsidR="00E13265">
              <w:t xml:space="preserve"> bought online</w:t>
            </w:r>
          </w:p>
          <w:p w14:paraId="51A4C5B9" w14:textId="77777777" w:rsidR="00CF314F" w:rsidRPr="00053805" w:rsidRDefault="00B562FE" w:rsidP="00F97BD4">
            <w:pPr>
              <w:pStyle w:val="Bullet"/>
              <w:rPr>
                <w:color w:val="000000" w:themeColor="text1"/>
                <w:lang w:val="en-US"/>
              </w:rPr>
            </w:pPr>
            <w:proofErr w:type="gramStart"/>
            <w:r>
              <w:t>c</w:t>
            </w:r>
            <w:r w:rsidR="00041CD0">
              <w:t>oncern</w:t>
            </w:r>
            <w:proofErr w:type="gramEnd"/>
            <w:r w:rsidR="00041CD0">
              <w:t xml:space="preserve"> over increasing the price of a 3 year licence proportionately more than the 1 year licence. Initially, a price of $100 for a 3 year licence was discussed, however stakeholders considered this was too high compared to the proposed 1 year licence price—this price would mean a 3 year licence would cost 95 per cent of three separate 1 year licences, compared to the current equivalent price being only 90 per cent. Fisheries Victoria considered the arguments for this and now proposes a 3 year licence price of $95</w:t>
            </w:r>
            <w:r w:rsidR="009760D6">
              <w:t xml:space="preserve"> and $90 when bought online</w:t>
            </w:r>
            <w:r w:rsidR="00041CD0">
              <w:t>.</w:t>
            </w:r>
          </w:p>
        </w:tc>
      </w:tr>
      <w:tr w:rsidR="00CF314F" w:rsidRPr="005911F8" w14:paraId="36141531" w14:textId="77777777" w:rsidTr="00FF2C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0"/>
        </w:trPr>
        <w:tc>
          <w:tcPr>
            <w:tcW w:w="1858" w:type="dxa"/>
            <w:tcBorders>
              <w:left w:val="nil"/>
              <w:right w:val="nil"/>
            </w:tcBorders>
            <w:shd w:val="clear" w:color="auto" w:fill="auto"/>
          </w:tcPr>
          <w:p w14:paraId="39EC4358" w14:textId="77777777" w:rsidR="00CF314F" w:rsidRPr="00053805" w:rsidRDefault="00CF314F" w:rsidP="00CF314F">
            <w:pPr>
              <w:pStyle w:val="TableText"/>
              <w:rPr>
                <w:rFonts w:ascii="Arial" w:hAnsi="Arial" w:cs="Arial"/>
                <w:color w:val="000000" w:themeColor="text1"/>
                <w:w w:val="2"/>
                <w:szCs w:val="20"/>
                <w:lang w:val="en-US"/>
              </w:rPr>
            </w:pPr>
          </w:p>
        </w:tc>
        <w:tc>
          <w:tcPr>
            <w:tcW w:w="7289" w:type="dxa"/>
            <w:gridSpan w:val="8"/>
            <w:tcBorders>
              <w:left w:val="nil"/>
              <w:right w:val="nil"/>
            </w:tcBorders>
            <w:shd w:val="clear" w:color="auto" w:fill="auto"/>
          </w:tcPr>
          <w:p w14:paraId="37E061C8" w14:textId="77777777" w:rsidR="00CF314F" w:rsidRPr="00053805" w:rsidRDefault="00CF314F" w:rsidP="00CF314F">
            <w:pPr>
              <w:pStyle w:val="TableText"/>
              <w:rPr>
                <w:rFonts w:ascii="Arial" w:hAnsi="Arial" w:cs="Arial"/>
                <w:color w:val="000000" w:themeColor="text1"/>
                <w:w w:val="2"/>
                <w:szCs w:val="20"/>
                <w:lang w:val="en-US"/>
              </w:rPr>
            </w:pPr>
          </w:p>
        </w:tc>
      </w:tr>
      <w:tr w:rsidR="001B5728" w:rsidRPr="005911F8" w14:paraId="4501907E" w14:textId="77777777" w:rsidTr="001B57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5637" w:type="dxa"/>
            <w:gridSpan w:val="5"/>
            <w:shd w:val="clear" w:color="auto" w:fill="auto"/>
          </w:tcPr>
          <w:p w14:paraId="3B7DC2FB" w14:textId="77777777" w:rsidR="001B5728" w:rsidRPr="00053805" w:rsidRDefault="001B5728" w:rsidP="00CF314F">
            <w:pPr>
              <w:pStyle w:val="TableText"/>
              <w:rPr>
                <w:rFonts w:ascii="Arial" w:hAnsi="Arial" w:cs="Arial"/>
                <w:color w:val="000000" w:themeColor="text1"/>
                <w:szCs w:val="20"/>
              </w:rPr>
            </w:pPr>
            <w:r w:rsidRPr="00053805">
              <w:rPr>
                <w:rFonts w:ascii="Arial" w:hAnsi="Arial" w:cs="Arial"/>
                <w:color w:val="000000" w:themeColor="text1"/>
                <w:szCs w:val="20"/>
              </w:rPr>
              <w:t>Are regional areas specifically adversely affected?</w:t>
            </w:r>
          </w:p>
        </w:tc>
        <w:tc>
          <w:tcPr>
            <w:tcW w:w="3510" w:type="dxa"/>
            <w:gridSpan w:val="4"/>
            <w:shd w:val="clear" w:color="auto" w:fill="auto"/>
          </w:tcPr>
          <w:p w14:paraId="62ADEA47" w14:textId="77777777" w:rsidR="001B5728" w:rsidRPr="00053805" w:rsidRDefault="001B5728" w:rsidP="00CF314F">
            <w:pPr>
              <w:pStyle w:val="TableText"/>
              <w:rPr>
                <w:rFonts w:ascii="Arial" w:hAnsi="Arial" w:cs="Arial"/>
                <w:color w:val="000000" w:themeColor="text1"/>
                <w:szCs w:val="20"/>
              </w:rPr>
            </w:pPr>
            <w:r w:rsidRPr="00053805">
              <w:rPr>
                <w:rFonts w:ascii="Arial" w:hAnsi="Arial" w:cs="Arial"/>
                <w:color w:val="000000" w:themeColor="text1"/>
                <w:szCs w:val="20"/>
              </w:rPr>
              <w:t>No</w:t>
            </w:r>
          </w:p>
        </w:tc>
      </w:tr>
      <w:tr w:rsidR="00CF314F" w:rsidRPr="005911F8" w14:paraId="0B83C764" w14:textId="77777777" w:rsidTr="001B57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cantSplit/>
        </w:trPr>
        <w:tc>
          <w:tcPr>
            <w:tcW w:w="3117" w:type="dxa"/>
            <w:gridSpan w:val="2"/>
            <w:tcBorders>
              <w:bottom w:val="single" w:sz="4" w:space="0" w:color="auto"/>
              <w:right w:val="single" w:sz="4" w:space="0" w:color="auto"/>
            </w:tcBorders>
            <w:shd w:val="clear" w:color="auto" w:fill="C4DFF6"/>
            <w:vAlign w:val="center"/>
          </w:tcPr>
          <w:p w14:paraId="6810FE6C" w14:textId="77777777" w:rsidR="00CF314F" w:rsidRPr="00053805" w:rsidRDefault="00034D74" w:rsidP="00034D74">
            <w:pPr>
              <w:pStyle w:val="TableText"/>
              <w:rPr>
                <w:rFonts w:ascii="Arial" w:hAnsi="Arial" w:cs="Arial"/>
                <w:color w:val="000000" w:themeColor="text1"/>
                <w:szCs w:val="20"/>
              </w:rPr>
            </w:pPr>
            <w:r w:rsidRPr="00034D74">
              <w:rPr>
                <w:rFonts w:ascii="Arial" w:hAnsi="Arial" w:cs="Arial"/>
                <w:color w:val="000000" w:themeColor="text1"/>
                <w:szCs w:val="20"/>
              </w:rPr>
              <w:t>Contact for Enquiries</w:t>
            </w:r>
          </w:p>
        </w:tc>
        <w:tc>
          <w:tcPr>
            <w:tcW w:w="6030" w:type="dxa"/>
            <w:gridSpan w:val="7"/>
            <w:tcBorders>
              <w:left w:val="single" w:sz="4" w:space="0" w:color="auto"/>
              <w:bottom w:val="single" w:sz="4" w:space="0" w:color="auto"/>
            </w:tcBorders>
            <w:shd w:val="clear" w:color="auto" w:fill="auto"/>
            <w:vAlign w:val="center"/>
          </w:tcPr>
          <w:p w14:paraId="6EFD6E77" w14:textId="77777777" w:rsidR="00CF314F" w:rsidRPr="00053805" w:rsidRDefault="009760D6" w:rsidP="00843CBF">
            <w:pPr>
              <w:pStyle w:val="TableText"/>
              <w:rPr>
                <w:rFonts w:ascii="Arial" w:hAnsi="Arial" w:cs="Arial"/>
                <w:color w:val="000000" w:themeColor="text1"/>
                <w:szCs w:val="20"/>
                <w:lang w:val="en-US"/>
              </w:rPr>
            </w:pPr>
            <w:r>
              <w:rPr>
                <w:rFonts w:ascii="Arial" w:hAnsi="Arial" w:cs="Arial"/>
                <w:color w:val="000000" w:themeColor="text1"/>
                <w:szCs w:val="20"/>
                <w:lang w:val="en-US"/>
              </w:rPr>
              <w:t>RFL.RIS@ecodev.vic.gov.au</w:t>
            </w:r>
          </w:p>
        </w:tc>
      </w:tr>
    </w:tbl>
    <w:p w14:paraId="5984FA0E" w14:textId="77777777" w:rsidR="00CF314F" w:rsidRDefault="00CF314F" w:rsidP="00F97BD4">
      <w:pPr>
        <w:pStyle w:val="Bullet"/>
        <w:numPr>
          <w:ilvl w:val="0"/>
          <w:numId w:val="0"/>
        </w:numPr>
      </w:pPr>
    </w:p>
    <w:p w14:paraId="5D79C3CD" w14:textId="77777777" w:rsidR="000423CB" w:rsidRDefault="000423CB">
      <w:pPr>
        <w:rPr>
          <w:rFonts w:eastAsia="Calibri"/>
          <w:b/>
          <w:color w:val="1F497D" w:themeColor="text2"/>
          <w:sz w:val="24"/>
          <w:szCs w:val="24"/>
          <w:lang w:eastAsia="en-US"/>
        </w:rPr>
      </w:pPr>
      <w:bookmarkStart w:id="11" w:name="_Toc441733970"/>
      <w:r>
        <w:rPr>
          <w:rFonts w:eastAsia="Calibri"/>
        </w:rPr>
        <w:br w:type="page"/>
      </w:r>
    </w:p>
    <w:p w14:paraId="23596BB6" w14:textId="77777777" w:rsidR="00053805" w:rsidRDefault="000F1E0F" w:rsidP="00053805">
      <w:pPr>
        <w:pStyle w:val="HB"/>
        <w:rPr>
          <w:rFonts w:eastAsia="Calibri"/>
        </w:rPr>
      </w:pPr>
      <w:r>
        <w:rPr>
          <w:rFonts w:eastAsia="Calibri"/>
        </w:rPr>
        <w:t>Other matters</w:t>
      </w:r>
      <w:bookmarkEnd w:id="11"/>
    </w:p>
    <w:p w14:paraId="3885EF99" w14:textId="77777777" w:rsidR="00694BB7" w:rsidRDefault="00694BB7" w:rsidP="00694BB7">
      <w:pPr>
        <w:pStyle w:val="Body"/>
        <w:rPr>
          <w:rFonts w:eastAsia="Calibri"/>
        </w:rPr>
      </w:pPr>
      <w:r>
        <w:rPr>
          <w:rFonts w:eastAsia="Calibri"/>
        </w:rPr>
        <w:t xml:space="preserve">It is noted that the proposed fees include a degree of cross-subsidisation: those fishers required to be licensed pay for the RFL revenue that is enjoyed by all recreational fishers (i.e., including those that are exempt for holding a licence). Ordinarily, such cross-subsidisation should be avoided. However, in this case it is noted that taken as a group, over an individual’s lifetime, most recreational fishers will be in both a licensed category and an exempt category. The nature of many of the </w:t>
      </w:r>
      <w:r w:rsidR="00DF12F6">
        <w:rPr>
          <w:rFonts w:eastAsia="Calibri"/>
        </w:rPr>
        <w:t xml:space="preserve">initiatives and </w:t>
      </w:r>
      <w:r w:rsidR="00BD5C11">
        <w:rPr>
          <w:rFonts w:eastAsia="Calibri"/>
        </w:rPr>
        <w:t>programs</w:t>
      </w:r>
      <w:r>
        <w:rPr>
          <w:rFonts w:eastAsia="Calibri"/>
        </w:rPr>
        <w:t xml:space="preserve"> funded from RFL revenue are also long-term in perspective, meaning that the benefits will be enjoyed for a long time after the money has been spent. The categories therefore do not necessarily reflect different groups of recreational fishers, but different points in their fishing lives. Fees that apply only to licensed fishers reflect the time of their lives they are most able to pay such fees. For these reasons, </w:t>
      </w:r>
      <w:r w:rsidR="007D3CEA">
        <w:rPr>
          <w:rFonts w:eastAsia="Calibri"/>
        </w:rPr>
        <w:t>concerns about cross-subsidisation are</w:t>
      </w:r>
      <w:r>
        <w:rPr>
          <w:rFonts w:eastAsia="Calibri"/>
        </w:rPr>
        <w:t xml:space="preserve"> considered not significant, although still present for some situations.</w:t>
      </w:r>
      <w:r w:rsidR="00053805">
        <w:rPr>
          <w:rFonts w:eastAsia="Calibri"/>
        </w:rPr>
        <w:t xml:space="preserve"> </w:t>
      </w:r>
    </w:p>
    <w:p w14:paraId="05458931" w14:textId="77777777" w:rsidR="00694BB7" w:rsidRDefault="00694BB7" w:rsidP="00694BB7">
      <w:pPr>
        <w:pStyle w:val="Body"/>
        <w:rPr>
          <w:rFonts w:eastAsia="Calibri"/>
        </w:rPr>
      </w:pPr>
      <w:r w:rsidRPr="0008580A">
        <w:rPr>
          <w:rFonts w:eastAsia="Calibri"/>
        </w:rPr>
        <w:t xml:space="preserve">The estimated additional licence revenue is sensitive to the assumptions made, particularly the assumption that there will be no material change in the number of licences issued in response to the </w:t>
      </w:r>
      <w:r>
        <w:rPr>
          <w:rFonts w:eastAsia="Calibri"/>
        </w:rPr>
        <w:t>price</w:t>
      </w:r>
      <w:r w:rsidRPr="0008580A">
        <w:rPr>
          <w:rFonts w:eastAsia="Calibri"/>
        </w:rPr>
        <w:t xml:space="preserve"> increase</w:t>
      </w:r>
      <w:r>
        <w:rPr>
          <w:rFonts w:eastAsia="Calibri"/>
        </w:rPr>
        <w:t>, and the proportion of purchases made online</w:t>
      </w:r>
      <w:r w:rsidR="00CD7240">
        <w:rPr>
          <w:rFonts w:eastAsia="Calibri"/>
        </w:rPr>
        <w:t xml:space="preserve"> will increase in line with recent trends</w:t>
      </w:r>
      <w:r w:rsidRPr="0008580A">
        <w:rPr>
          <w:rFonts w:eastAsia="Calibri"/>
        </w:rPr>
        <w:t>.</w:t>
      </w:r>
      <w:r>
        <w:rPr>
          <w:rFonts w:eastAsia="Calibri"/>
        </w:rPr>
        <w:t xml:space="preserve"> This is an inherent limitation of the analysis in this RIS. </w:t>
      </w:r>
      <w:proofErr w:type="gramStart"/>
      <w:r>
        <w:rPr>
          <w:rFonts w:eastAsia="Calibri"/>
        </w:rPr>
        <w:t>Lack of relevant data means that the Department has relied on assumptions regarding potential behavioural responses of fishers and the effectiveness of compliance activities.</w:t>
      </w:r>
      <w:proofErr w:type="gramEnd"/>
      <w:r>
        <w:rPr>
          <w:rFonts w:eastAsia="Calibri"/>
        </w:rPr>
        <w:t xml:space="preserve"> </w:t>
      </w:r>
      <w:proofErr w:type="gramStart"/>
      <w:r>
        <w:rPr>
          <w:rFonts w:eastAsia="Calibri"/>
        </w:rPr>
        <w:t>Given that the proposed change</w:t>
      </w:r>
      <w:r w:rsidR="00357F37">
        <w:rPr>
          <w:rFonts w:eastAsia="Calibri"/>
        </w:rPr>
        <w:t>s</w:t>
      </w:r>
      <w:r>
        <w:rPr>
          <w:rFonts w:eastAsia="Calibri"/>
        </w:rPr>
        <w:t xml:space="preserve"> </w:t>
      </w:r>
      <w:r w:rsidR="009843BF">
        <w:rPr>
          <w:rFonts w:eastAsia="Calibri"/>
        </w:rPr>
        <w:t>are being made</w:t>
      </w:r>
      <w:r>
        <w:rPr>
          <w:rFonts w:eastAsia="Calibri"/>
        </w:rPr>
        <w:t xml:space="preserve"> ahead of a more comprehensive examination of </w:t>
      </w:r>
      <w:r w:rsidR="00357F37">
        <w:rPr>
          <w:rFonts w:eastAsia="Calibri"/>
        </w:rPr>
        <w:t>broader regulatory</w:t>
      </w:r>
      <w:r>
        <w:rPr>
          <w:rFonts w:eastAsia="Calibri"/>
        </w:rPr>
        <w:t xml:space="preserve"> arrangements</w:t>
      </w:r>
      <w:r w:rsidR="009843BF">
        <w:rPr>
          <w:rFonts w:eastAsia="Calibri"/>
        </w:rPr>
        <w:t xml:space="preserve"> when the current regulations sunset in 2018</w:t>
      </w:r>
      <w:r w:rsidR="00843CBF">
        <w:rPr>
          <w:rFonts w:eastAsia="Calibri"/>
        </w:rPr>
        <w:t xml:space="preserve"> and 2019</w:t>
      </w:r>
      <w:r>
        <w:rPr>
          <w:rFonts w:eastAsia="Calibri"/>
        </w:rPr>
        <w:t>, the Department considers this analysis sufficient.</w:t>
      </w:r>
      <w:proofErr w:type="gramEnd"/>
      <w:r>
        <w:rPr>
          <w:rFonts w:eastAsia="Calibri"/>
        </w:rPr>
        <w:t xml:space="preserve"> Nevertheless, stakeholder views will be important to test the reasonableness of these assumptions.</w:t>
      </w:r>
    </w:p>
    <w:p w14:paraId="57ACD0A6" w14:textId="77777777" w:rsidR="00694BB7" w:rsidRDefault="00CD7240" w:rsidP="00694BB7">
      <w:pPr>
        <w:pStyle w:val="Body"/>
        <w:rPr>
          <w:rFonts w:eastAsia="Calibri"/>
        </w:rPr>
      </w:pPr>
      <w:r>
        <w:rPr>
          <w:rFonts w:eastAsia="Calibri"/>
        </w:rPr>
        <w:t xml:space="preserve">Based on feedback from stakeholder representative groups, </w:t>
      </w:r>
      <w:r w:rsidR="00694BB7">
        <w:rPr>
          <w:rFonts w:eastAsia="Calibri"/>
        </w:rPr>
        <w:t>Fisheries Victoria believes</w:t>
      </w:r>
      <w:r w:rsidR="00053805">
        <w:rPr>
          <w:rFonts w:eastAsia="Calibri"/>
        </w:rPr>
        <w:t xml:space="preserve"> </w:t>
      </w:r>
      <w:r w:rsidR="00694BB7">
        <w:rPr>
          <w:rFonts w:eastAsia="Calibri"/>
        </w:rPr>
        <w:t xml:space="preserve">there is a high degree of willingness to pay additional fees, and a high likelihood of </w:t>
      </w:r>
      <w:r w:rsidR="00DF12F6">
        <w:rPr>
          <w:rFonts w:eastAsia="Calibri"/>
        </w:rPr>
        <w:t>those fees funding initiatives and programs that</w:t>
      </w:r>
      <w:r w:rsidR="00694BB7">
        <w:rPr>
          <w:rFonts w:eastAsia="Calibri"/>
        </w:rPr>
        <w:t xml:space="preserve"> hav</w:t>
      </w:r>
      <w:r w:rsidR="00DF12F6">
        <w:rPr>
          <w:rFonts w:eastAsia="Calibri"/>
        </w:rPr>
        <w:t>e</w:t>
      </w:r>
      <w:r w:rsidR="00694BB7">
        <w:rPr>
          <w:rFonts w:eastAsia="Calibri"/>
        </w:rPr>
        <w:t xml:space="preserve"> a net benefit to the sector. </w:t>
      </w:r>
      <w:r w:rsidR="00053805" w:rsidRPr="008832C0">
        <w:rPr>
          <w:rFonts w:eastAsia="Calibri"/>
        </w:rPr>
        <w:t>This RIS is an opportunity to outline the factors underlying t</w:t>
      </w:r>
      <w:r w:rsidR="00053805">
        <w:rPr>
          <w:rFonts w:eastAsia="Calibri"/>
        </w:rPr>
        <w:t>he proposed additional revenue</w:t>
      </w:r>
      <w:r w:rsidR="00053805" w:rsidRPr="008832C0">
        <w:rPr>
          <w:rFonts w:eastAsia="Calibri"/>
        </w:rPr>
        <w:t xml:space="preserve"> and to seek feedback from </w:t>
      </w:r>
      <w:r w:rsidR="00053805">
        <w:rPr>
          <w:rFonts w:eastAsia="Calibri"/>
        </w:rPr>
        <w:t>recreational fishers</w:t>
      </w:r>
      <w:r w:rsidR="00053805" w:rsidRPr="008832C0">
        <w:rPr>
          <w:rFonts w:eastAsia="Calibri"/>
        </w:rPr>
        <w:t xml:space="preserve"> about their willingness to pay and the value they place on the types of </w:t>
      </w:r>
      <w:r w:rsidR="00BE206E">
        <w:rPr>
          <w:rFonts w:eastAsia="Calibri"/>
        </w:rPr>
        <w:t>initiatives</w:t>
      </w:r>
      <w:r w:rsidR="00053805" w:rsidRPr="008832C0">
        <w:rPr>
          <w:rFonts w:eastAsia="Calibri"/>
        </w:rPr>
        <w:t xml:space="preserve"> to be funded from the additional revenue. Affected parties are invited to comment on these matters.</w:t>
      </w:r>
    </w:p>
    <w:p w14:paraId="1BCD64D2" w14:textId="77777777" w:rsidR="00694BB7" w:rsidRDefault="00694BB7" w:rsidP="00053805">
      <w:pPr>
        <w:pStyle w:val="Body"/>
      </w:pPr>
      <w:r>
        <w:t>The Department notes that the relevant Regulations that are to be amended sunset in 2018</w:t>
      </w:r>
      <w:r w:rsidR="00843CBF">
        <w:t xml:space="preserve"> and 2019</w:t>
      </w:r>
      <w:r>
        <w:t>, and therefore will be subject to a detailed assessment process when remade, through a regulatory impact statement. This will include assessing the impacts of the proposed fee increases in relation to changes in licence numbers, change in non-compliance and enforcement effort.</w:t>
      </w:r>
    </w:p>
    <w:p w14:paraId="31A19113" w14:textId="77777777" w:rsidR="00694BB7" w:rsidRDefault="002123CC" w:rsidP="00694BB7">
      <w:pPr>
        <w:pStyle w:val="Body"/>
        <w:rPr>
          <w:rFonts w:eastAsia="Calibri"/>
        </w:rPr>
      </w:pPr>
      <w:r>
        <w:rPr>
          <w:rFonts w:eastAsia="Calibri"/>
        </w:rPr>
        <w:t xml:space="preserve">To the extent data allows, the Department will use this information and a more detailed policy analysis to assess the required longer term RFL revenue. It is noted, however, that subject to changes implemented through the remaking of the regulations, the current proposal to set RFL prices in fee units (from 2017/18) will ensure RFL revenue keeps pace with inflation. </w:t>
      </w:r>
    </w:p>
    <w:p w14:paraId="1E475601" w14:textId="77777777" w:rsidR="00694BB7" w:rsidRPr="00DC1373" w:rsidRDefault="00694BB7" w:rsidP="00694BB7">
      <w:pPr>
        <w:pStyle w:val="Body"/>
      </w:pPr>
      <w:r>
        <w:rPr>
          <w:rFonts w:eastAsia="Calibri"/>
        </w:rPr>
        <w:t>The Department is already</w:t>
      </w:r>
      <w:r w:rsidRPr="00746067">
        <w:t xml:space="preserve"> </w:t>
      </w:r>
      <w:r w:rsidRPr="00DC1373">
        <w:t xml:space="preserve">undertaking evaluation of social and economic benefits of previous investment in improving recreational fishing opportunities in Victoria including, for example, improving the efficiency and effectiveness of fish stocking and the provision of new or improved infrastructure and facilities. This work is intended to guide future investment decisions for recreational fishing licence revenue to those areas where it can deliver the greatest benefit to the </w:t>
      </w:r>
      <w:r w:rsidR="0042458B">
        <w:t xml:space="preserve">recreational fishing sector and the </w:t>
      </w:r>
      <w:r w:rsidRPr="00DC1373">
        <w:t>Victorian community</w:t>
      </w:r>
      <w:r w:rsidR="0042458B">
        <w:t xml:space="preserve"> more broadly</w:t>
      </w:r>
      <w:r w:rsidRPr="00DC1373">
        <w:t xml:space="preserve">. </w:t>
      </w:r>
      <w:r>
        <w:t>The Department</w:t>
      </w:r>
      <w:r w:rsidRPr="00DC1373">
        <w:t xml:space="preserve"> expects that such evaluation practices will become a permanent feature of this investment program. </w:t>
      </w:r>
    </w:p>
    <w:p w14:paraId="31BB1E82" w14:textId="77777777" w:rsidR="00694BB7" w:rsidRDefault="00694BB7" w:rsidP="00694BB7">
      <w:pPr>
        <w:pStyle w:val="Body"/>
        <w:rPr>
          <w:rFonts w:eastAsia="Calibri"/>
        </w:rPr>
      </w:pPr>
      <w:r>
        <w:rPr>
          <w:rFonts w:eastAsia="Calibri"/>
        </w:rPr>
        <w:t xml:space="preserve">Ahead of the sunsetting of the </w:t>
      </w:r>
      <w:r w:rsidR="0042458B">
        <w:rPr>
          <w:rFonts w:eastAsia="Calibri"/>
        </w:rPr>
        <w:t>2008</w:t>
      </w:r>
      <w:r w:rsidR="00053805">
        <w:rPr>
          <w:rFonts w:eastAsia="Calibri"/>
        </w:rPr>
        <w:t xml:space="preserve"> </w:t>
      </w:r>
      <w:r w:rsidR="00843CBF">
        <w:rPr>
          <w:rFonts w:eastAsia="Calibri"/>
        </w:rPr>
        <w:t xml:space="preserve">and 2009 </w:t>
      </w:r>
      <w:r>
        <w:rPr>
          <w:rFonts w:eastAsia="Calibri"/>
        </w:rPr>
        <w:t xml:space="preserve">regulations (and parallel consideration of the overall regulatory framework that applies to recreational fishing), Fisheries Victoria intends to undertake a full review of </w:t>
      </w:r>
      <w:r w:rsidR="00843CBF">
        <w:rPr>
          <w:rFonts w:eastAsia="Calibri"/>
        </w:rPr>
        <w:t xml:space="preserve">the </w:t>
      </w:r>
      <w:r>
        <w:rPr>
          <w:rFonts w:eastAsia="Calibri"/>
        </w:rPr>
        <w:t xml:space="preserve">regulations before they sunset. This review will </w:t>
      </w:r>
      <w:r w:rsidR="004401FD">
        <w:rPr>
          <w:rFonts w:eastAsia="Calibri"/>
        </w:rPr>
        <w:t xml:space="preserve">include consultation with RFL stakeholders and will </w:t>
      </w:r>
      <w:r>
        <w:rPr>
          <w:rFonts w:eastAsia="Calibri"/>
        </w:rPr>
        <w:t>specifically consider:</w:t>
      </w:r>
    </w:p>
    <w:p w14:paraId="728E3944" w14:textId="77777777" w:rsidR="00694BB7" w:rsidRDefault="00694BB7" w:rsidP="00F97BD4">
      <w:pPr>
        <w:pStyle w:val="Bullet"/>
        <w:rPr>
          <w:rFonts w:eastAsia="Calibri"/>
        </w:rPr>
      </w:pPr>
      <w:r>
        <w:rPr>
          <w:rFonts w:eastAsia="Calibri"/>
        </w:rPr>
        <w:t>the policy principles that will inform judgment about future design of RFLs and associated fees, including the case for government regulation and the specific activities funded by fees</w:t>
      </w:r>
    </w:p>
    <w:p w14:paraId="5537CFF3" w14:textId="77777777" w:rsidR="00694BB7" w:rsidRDefault="00694BB7" w:rsidP="00F97BD4">
      <w:pPr>
        <w:pStyle w:val="Bullet"/>
        <w:rPr>
          <w:rFonts w:eastAsia="Calibri"/>
        </w:rPr>
      </w:pPr>
      <w:proofErr w:type="gramStart"/>
      <w:r>
        <w:rPr>
          <w:rFonts w:eastAsia="Calibri"/>
        </w:rPr>
        <w:t>a</w:t>
      </w:r>
      <w:proofErr w:type="gramEnd"/>
      <w:r>
        <w:rPr>
          <w:rFonts w:eastAsia="Calibri"/>
        </w:rPr>
        <w:t xml:space="preserve"> comprehensive analysis of the underlying costs and benefits (both public and private) of the government’s activities related </w:t>
      </w:r>
      <w:r w:rsidR="004E20BB">
        <w:rPr>
          <w:rFonts w:eastAsia="Calibri"/>
        </w:rPr>
        <w:t xml:space="preserve">to </w:t>
      </w:r>
      <w:r>
        <w:rPr>
          <w:rFonts w:eastAsia="Calibri"/>
        </w:rPr>
        <w:t>recreational fishing (administration, managing the sustainability of fishing and promoting the interests of the recreational fishing sector). This will include a more formal assessment of the willingness of recreational fishers to pay for improved recreational fishing opportunities and infrastructure.</w:t>
      </w:r>
    </w:p>
    <w:p w14:paraId="59318CFF" w14:textId="77777777" w:rsidR="00053805" w:rsidRDefault="00694BB7" w:rsidP="00053805">
      <w:pPr>
        <w:pStyle w:val="Body"/>
        <w:rPr>
          <w:rFonts w:eastAsia="Calibri"/>
        </w:rPr>
      </w:pPr>
      <w:r>
        <w:rPr>
          <w:rFonts w:eastAsia="Calibri"/>
        </w:rPr>
        <w:t>The Department will closely monitor the impacts of the proposed fee increases over the next two years to assist in informing this broader review.</w:t>
      </w:r>
    </w:p>
    <w:p w14:paraId="5CFAE5CE" w14:textId="77777777" w:rsidR="00053805" w:rsidRPr="00053805" w:rsidRDefault="00053805" w:rsidP="00053805">
      <w:pPr>
        <w:pStyle w:val="HB"/>
        <w:rPr>
          <w:rFonts w:eastAsia="Calibri"/>
        </w:rPr>
      </w:pPr>
      <w:bookmarkStart w:id="12" w:name="_Toc441733971"/>
      <w:r>
        <w:rPr>
          <w:rFonts w:eastAsia="Calibri"/>
        </w:rPr>
        <w:t>Input from stakeholders</w:t>
      </w:r>
      <w:bookmarkEnd w:id="12"/>
    </w:p>
    <w:p w14:paraId="204F0181" w14:textId="77777777" w:rsidR="00053805" w:rsidRDefault="00053805" w:rsidP="00053805">
      <w:pPr>
        <w:pStyle w:val="Body"/>
      </w:pPr>
      <w:r w:rsidRPr="0008580A">
        <w:t>A primary function of the RIS process is to allow the public to comment on the proposed Regulations before they are finalised. Public input provides valuable information and perspectives and improves the overall quality of regulations. Accordingly, feedback on the proposed Regulations is welcomed and encouraged.</w:t>
      </w:r>
    </w:p>
    <w:p w14:paraId="11F97A66" w14:textId="77777777" w:rsidR="005D1842" w:rsidRDefault="00053805" w:rsidP="00053805">
      <w:pPr>
        <w:pStyle w:val="Body"/>
        <w:rPr>
          <w:rFonts w:eastAsia="Calibri"/>
        </w:rPr>
      </w:pPr>
      <w:r>
        <w:t>S</w:t>
      </w:r>
      <w:r w:rsidR="005D1842">
        <w:rPr>
          <w:rFonts w:eastAsia="Calibri"/>
        </w:rPr>
        <w:t>takeholders may wish to comment on the following questions</w:t>
      </w:r>
      <w:r>
        <w:rPr>
          <w:rFonts w:eastAsia="Calibri"/>
        </w:rPr>
        <w:t xml:space="preserve"> posed throughout the RIS</w:t>
      </w:r>
      <w:r w:rsidR="005D1842">
        <w:rPr>
          <w:rFonts w:eastAsia="Calibri"/>
        </w:rPr>
        <w:t>:</w:t>
      </w:r>
    </w:p>
    <w:p w14:paraId="2AD947F0" w14:textId="77777777" w:rsidR="005D1842" w:rsidRDefault="005D1842" w:rsidP="00F97BD4">
      <w:pPr>
        <w:pStyle w:val="Bullet"/>
        <w:rPr>
          <w:rFonts w:eastAsia="Calibri"/>
        </w:rPr>
      </w:pPr>
      <w:r>
        <w:rPr>
          <w:rFonts w:eastAsia="Calibri"/>
        </w:rPr>
        <w:t>Do you agree that recreational fishers should contribute to the costs associated with improving access and quality of recreational fishing in Victoria?</w:t>
      </w:r>
    </w:p>
    <w:p w14:paraId="6CA99475" w14:textId="77777777" w:rsidR="005D1842" w:rsidRDefault="005D1842" w:rsidP="00F97BD4">
      <w:pPr>
        <w:pStyle w:val="Bullet"/>
        <w:rPr>
          <w:rFonts w:eastAsia="Calibri"/>
        </w:rPr>
      </w:pPr>
      <w:r>
        <w:rPr>
          <w:rFonts w:eastAsia="Calibri"/>
        </w:rPr>
        <w:t>Do you think that more needs to be spent to improve recreational fishing opportunities in Victoria?</w:t>
      </w:r>
    </w:p>
    <w:p w14:paraId="40B13747" w14:textId="77777777" w:rsidR="005D1842" w:rsidRPr="00316F2D" w:rsidRDefault="005D1842" w:rsidP="00F97BD4">
      <w:pPr>
        <w:pStyle w:val="Bullet"/>
      </w:pPr>
      <w:r>
        <w:rPr>
          <w:rFonts w:eastAsia="Calibri"/>
        </w:rPr>
        <w:t xml:space="preserve">What </w:t>
      </w:r>
      <w:r w:rsidR="00BE206E">
        <w:rPr>
          <w:rFonts w:eastAsia="Calibri"/>
        </w:rPr>
        <w:t>r</w:t>
      </w:r>
      <w:r>
        <w:rPr>
          <w:rFonts w:eastAsia="Calibri"/>
        </w:rPr>
        <w:t xml:space="preserve">ecreational </w:t>
      </w:r>
      <w:r w:rsidR="00BE206E">
        <w:rPr>
          <w:rFonts w:eastAsia="Calibri"/>
        </w:rPr>
        <w:t>f</w:t>
      </w:r>
      <w:r>
        <w:rPr>
          <w:rFonts w:eastAsia="Calibri"/>
        </w:rPr>
        <w:t xml:space="preserve">ishing </w:t>
      </w:r>
      <w:r w:rsidR="00BE206E">
        <w:rPr>
          <w:rFonts w:eastAsia="Calibri"/>
        </w:rPr>
        <w:t>initiatives and programs</w:t>
      </w:r>
      <w:r>
        <w:rPr>
          <w:rFonts w:eastAsia="Calibri"/>
        </w:rPr>
        <w:t xml:space="preserve"> have you benefited from, and what types of </w:t>
      </w:r>
      <w:r w:rsidR="005533A9">
        <w:rPr>
          <w:rFonts w:eastAsia="Calibri"/>
        </w:rPr>
        <w:t xml:space="preserve">initiatives and programs </w:t>
      </w:r>
      <w:r>
        <w:rPr>
          <w:rFonts w:eastAsia="Calibri"/>
        </w:rPr>
        <w:t>would you like to see more of or less of?</w:t>
      </w:r>
    </w:p>
    <w:p w14:paraId="69A2727C" w14:textId="77777777" w:rsidR="005D1842" w:rsidRDefault="005D1842" w:rsidP="00F97BD4">
      <w:pPr>
        <w:pStyle w:val="Bullet"/>
      </w:pPr>
      <w:r>
        <w:rPr>
          <w:rFonts w:eastAsia="Calibri"/>
        </w:rPr>
        <w:t xml:space="preserve">Do you think </w:t>
      </w:r>
      <w:r w:rsidR="005533A9">
        <w:rPr>
          <w:rFonts w:eastAsia="Calibri"/>
        </w:rPr>
        <w:t xml:space="preserve">initiatives </w:t>
      </w:r>
      <w:r>
        <w:rPr>
          <w:rFonts w:eastAsia="Calibri"/>
        </w:rPr>
        <w:t xml:space="preserve">funded </w:t>
      </w:r>
      <w:r w:rsidR="005533A9">
        <w:rPr>
          <w:rFonts w:eastAsia="Calibri"/>
        </w:rPr>
        <w:t>through the RFL Trust Account</w:t>
      </w:r>
      <w:r>
        <w:rPr>
          <w:rFonts w:eastAsia="Calibri"/>
        </w:rPr>
        <w:t xml:space="preserve"> have been effective in improving the quality and quantity of recreational fishing?</w:t>
      </w:r>
    </w:p>
    <w:p w14:paraId="180EFB22" w14:textId="77777777" w:rsidR="00694BB7" w:rsidRDefault="00694BB7" w:rsidP="00F97BD4">
      <w:pPr>
        <w:pStyle w:val="Bullet"/>
        <w:rPr>
          <w:rFonts w:eastAsia="Calibri"/>
        </w:rPr>
      </w:pPr>
      <w:r>
        <w:rPr>
          <w:rFonts w:eastAsia="Calibri"/>
        </w:rPr>
        <w:t xml:space="preserve">Will the proposed fee increases, and additional funding of </w:t>
      </w:r>
      <w:r w:rsidR="005533A9">
        <w:rPr>
          <w:rFonts w:eastAsia="Calibri"/>
        </w:rPr>
        <w:t>initiative and programs</w:t>
      </w:r>
      <w:r>
        <w:rPr>
          <w:rFonts w:eastAsia="Calibri"/>
        </w:rPr>
        <w:t>, make you more or less likely to purchase a recreational fishing licence? Will you increase or reduce the amount of recreational fishing you do?</w:t>
      </w:r>
    </w:p>
    <w:p w14:paraId="11C4F30A" w14:textId="77777777" w:rsidR="006C5DE6" w:rsidRPr="00FF2C43" w:rsidRDefault="006C5DE6" w:rsidP="00F97BD4">
      <w:pPr>
        <w:pStyle w:val="Bullet"/>
        <w:rPr>
          <w:rFonts w:eastAsia="Calibri"/>
        </w:rPr>
      </w:pPr>
      <w:r w:rsidRPr="0031277A">
        <w:t xml:space="preserve">Is there a willingness among recreational fishers to pay higher fees to fund more investment in the sector? Is this willingness dependent on the types of </w:t>
      </w:r>
      <w:r w:rsidR="005533A9" w:rsidRPr="0031277A">
        <w:t>initiatives and programs</w:t>
      </w:r>
      <w:r w:rsidRPr="0031277A">
        <w:t xml:space="preserve"> likely to be funded by the additional revenue, and if so, what types of </w:t>
      </w:r>
      <w:r w:rsidR="005533A9" w:rsidRPr="0031277A">
        <w:t>initiatives</w:t>
      </w:r>
      <w:r w:rsidRPr="0031277A">
        <w:t xml:space="preserve"> should be preferred?</w:t>
      </w:r>
    </w:p>
    <w:p w14:paraId="4BAC7623" w14:textId="77777777" w:rsidR="00BB5F20" w:rsidRPr="0031277A" w:rsidRDefault="00BB5F20" w:rsidP="00F97BD4">
      <w:pPr>
        <w:pStyle w:val="Bullet"/>
        <w:rPr>
          <w:rFonts w:eastAsia="Calibri"/>
        </w:rPr>
      </w:pPr>
      <w:r>
        <w:t>Do you support changing the current 2 day licence to a 3 day licence, to better match the needs of some fishers?</w:t>
      </w:r>
    </w:p>
    <w:p w14:paraId="323CFCB3" w14:textId="77777777" w:rsidR="00694BB7" w:rsidRPr="008832C0" w:rsidRDefault="009843BF" w:rsidP="00F97BD4">
      <w:pPr>
        <w:pStyle w:val="Bullet"/>
      </w:pPr>
      <w:r>
        <w:rPr>
          <w:rFonts w:eastAsia="Calibri"/>
        </w:rPr>
        <w:t>Do you agree that a</w:t>
      </w:r>
      <w:r w:rsidR="00694BB7">
        <w:rPr>
          <w:rFonts w:eastAsia="Calibri"/>
        </w:rPr>
        <w:t xml:space="preserve"> discount </w:t>
      </w:r>
      <w:r w:rsidR="006E5F9C">
        <w:rPr>
          <w:rFonts w:eastAsia="Calibri"/>
        </w:rPr>
        <w:t xml:space="preserve">equivalent to around 5 per cent </w:t>
      </w:r>
      <w:r>
        <w:rPr>
          <w:rFonts w:eastAsia="Calibri"/>
        </w:rPr>
        <w:t xml:space="preserve">should be provided </w:t>
      </w:r>
      <w:r w:rsidR="00694BB7">
        <w:rPr>
          <w:rFonts w:eastAsia="Calibri"/>
        </w:rPr>
        <w:t xml:space="preserve">for online purchases of 1 </w:t>
      </w:r>
      <w:r w:rsidR="00F35997">
        <w:rPr>
          <w:rFonts w:eastAsia="Calibri"/>
        </w:rPr>
        <w:t xml:space="preserve">year </w:t>
      </w:r>
      <w:r w:rsidR="00694BB7">
        <w:rPr>
          <w:rFonts w:eastAsia="Calibri"/>
        </w:rPr>
        <w:t>and 3 year licences</w:t>
      </w:r>
      <w:r>
        <w:rPr>
          <w:rFonts w:eastAsia="Calibri"/>
        </w:rPr>
        <w:t>?</w:t>
      </w:r>
      <w:r w:rsidR="00A4415E">
        <w:rPr>
          <w:rFonts w:eastAsia="Calibri"/>
        </w:rPr>
        <w:t xml:space="preserve"> Should an online discount be provided for 3 and 28 day licences?</w:t>
      </w:r>
    </w:p>
    <w:p w14:paraId="68B72CA7" w14:textId="77777777" w:rsidR="00694BB7" w:rsidRPr="008832C0" w:rsidRDefault="00694BB7" w:rsidP="00F97BD4">
      <w:pPr>
        <w:pStyle w:val="Bullet"/>
      </w:pPr>
      <w:r>
        <w:rPr>
          <w:rFonts w:eastAsia="Calibri"/>
        </w:rPr>
        <w:t>Do you believe there will be other impacts of the proposed fee increase</w:t>
      </w:r>
      <w:r w:rsidR="0042458B">
        <w:rPr>
          <w:rFonts w:eastAsia="Calibri"/>
        </w:rPr>
        <w:t>s</w:t>
      </w:r>
      <w:r>
        <w:rPr>
          <w:rFonts w:eastAsia="Calibri"/>
        </w:rPr>
        <w:t xml:space="preserve"> that have not been discussed in this RIS?</w:t>
      </w:r>
    </w:p>
    <w:p w14:paraId="5638E366" w14:textId="77777777" w:rsidR="00694BB7" w:rsidRPr="00694BB7" w:rsidRDefault="00694BB7" w:rsidP="00F97BD4">
      <w:pPr>
        <w:pStyle w:val="Bullet"/>
      </w:pPr>
      <w:r>
        <w:rPr>
          <w:rFonts w:eastAsia="Calibri"/>
        </w:rPr>
        <w:t>Are there other ways that fees could be structured to increase revenue in a way that is fairer or simpler?</w:t>
      </w:r>
    </w:p>
    <w:p w14:paraId="5F78AD00" w14:textId="77777777" w:rsidR="00694BB7" w:rsidRDefault="00694BB7" w:rsidP="00F97BD4">
      <w:pPr>
        <w:pStyle w:val="Bullet"/>
        <w:rPr>
          <w:rFonts w:eastAsia="Calibri"/>
        </w:rPr>
      </w:pPr>
      <w:r>
        <w:rPr>
          <w:rFonts w:eastAsia="Calibri"/>
        </w:rPr>
        <w:t>Are there other factors that should be taken into account when assessing and comparing alternative options</w:t>
      </w:r>
      <w:r w:rsidR="004E20BB">
        <w:rPr>
          <w:rFonts w:eastAsia="Calibri"/>
        </w:rPr>
        <w:t xml:space="preserve"> for raising </w:t>
      </w:r>
      <w:r w:rsidR="00CD7240">
        <w:rPr>
          <w:rFonts w:eastAsia="Calibri"/>
        </w:rPr>
        <w:t xml:space="preserve">additional </w:t>
      </w:r>
      <w:r w:rsidR="004E20BB">
        <w:rPr>
          <w:rFonts w:eastAsia="Calibri"/>
        </w:rPr>
        <w:t>RFL revenue</w:t>
      </w:r>
      <w:r>
        <w:rPr>
          <w:rFonts w:eastAsia="Calibri"/>
        </w:rPr>
        <w:t xml:space="preserve">? </w:t>
      </w:r>
    </w:p>
    <w:p w14:paraId="3391B6E3" w14:textId="77777777" w:rsidR="00694BB7" w:rsidRPr="00315BEE" w:rsidRDefault="007C2DC5" w:rsidP="00F97BD4">
      <w:pPr>
        <w:pStyle w:val="Bullet"/>
        <w:rPr>
          <w:rFonts w:eastAsia="Calibri"/>
        </w:rPr>
      </w:pPr>
      <w:r>
        <w:rPr>
          <w:rFonts w:eastAsia="Calibri"/>
        </w:rPr>
        <w:t xml:space="preserve">Is the relative importance given to </w:t>
      </w:r>
      <w:r w:rsidR="002F6F07">
        <w:rPr>
          <w:rFonts w:eastAsia="Calibri"/>
        </w:rPr>
        <w:t xml:space="preserve">the additional revenue raised, </w:t>
      </w:r>
      <w:r>
        <w:rPr>
          <w:rFonts w:eastAsia="Calibri"/>
        </w:rPr>
        <w:t xml:space="preserve">equity, effectiveness and administrative complexity </w:t>
      </w:r>
      <w:r w:rsidR="00315BEE">
        <w:rPr>
          <w:rFonts w:eastAsia="Calibri"/>
        </w:rPr>
        <w:t xml:space="preserve">in comparing different options </w:t>
      </w:r>
      <w:r>
        <w:rPr>
          <w:rFonts w:eastAsia="Calibri"/>
        </w:rPr>
        <w:t>appropriate</w:t>
      </w:r>
      <w:r w:rsidR="00694BB7" w:rsidRPr="00315BEE">
        <w:rPr>
          <w:rFonts w:eastAsia="Calibri"/>
        </w:rPr>
        <w:t>?</w:t>
      </w:r>
    </w:p>
    <w:p w14:paraId="7821ECCA" w14:textId="77777777" w:rsidR="00694BB7" w:rsidRDefault="00694BB7" w:rsidP="00F97BD4">
      <w:pPr>
        <w:pStyle w:val="Bullet"/>
        <w:rPr>
          <w:rFonts w:eastAsia="Calibri"/>
        </w:rPr>
      </w:pPr>
      <w:r>
        <w:rPr>
          <w:rFonts w:eastAsia="Calibri"/>
        </w:rPr>
        <w:t>Are there likely to be consequences of any of the options that have not been reflected in the above assessment?</w:t>
      </w:r>
    </w:p>
    <w:p w14:paraId="488608C7" w14:textId="77777777" w:rsidR="00694BB7" w:rsidRDefault="00694BB7" w:rsidP="00F97BD4">
      <w:pPr>
        <w:pStyle w:val="Bullet"/>
      </w:pPr>
      <w:r>
        <w:rPr>
          <w:rFonts w:eastAsia="Calibri"/>
        </w:rPr>
        <w:t>How else could the merits of the different options be compared?</w:t>
      </w:r>
    </w:p>
    <w:p w14:paraId="590B9CD3" w14:textId="32E73760" w:rsidR="00DB7092" w:rsidRPr="0008580A" w:rsidRDefault="0035251B" w:rsidP="00E14988">
      <w:pPr>
        <w:pStyle w:val="Body"/>
      </w:pPr>
      <w:r w:rsidRPr="0008580A">
        <w:t xml:space="preserve">The consultation period for this RIS will be </w:t>
      </w:r>
      <w:r w:rsidR="006C36E2">
        <w:t>35 days</w:t>
      </w:r>
      <w:r w:rsidRPr="0008580A">
        <w:t>, with written comments required by</w:t>
      </w:r>
      <w:r w:rsidR="006C36E2">
        <w:t xml:space="preserve"> 5:00</w:t>
      </w:r>
      <w:r w:rsidR="00792EFD">
        <w:t xml:space="preserve"> </w:t>
      </w:r>
      <w:r w:rsidR="006C36E2">
        <w:t>PM on 19 April 2016</w:t>
      </w:r>
      <w:r w:rsidRPr="0008580A">
        <w:t>.</w:t>
      </w:r>
    </w:p>
    <w:p w14:paraId="70173602" w14:textId="77777777" w:rsidR="00A75144" w:rsidRDefault="009C7151" w:rsidP="00FF2C43">
      <w:pPr>
        <w:pStyle w:val="Body"/>
        <w:jc w:val="center"/>
        <w:sectPr w:rsidR="00A75144" w:rsidSect="00F3009D">
          <w:headerReference w:type="even" r:id="rId23"/>
          <w:headerReference w:type="default" r:id="rId24"/>
          <w:footerReference w:type="even" r:id="rId25"/>
          <w:footerReference w:type="default" r:id="rId26"/>
          <w:headerReference w:type="first" r:id="rId27"/>
          <w:footerReference w:type="first" r:id="rId28"/>
          <w:pgSz w:w="11900" w:h="16840"/>
          <w:pgMar w:top="1440" w:right="1800" w:bottom="1440" w:left="1800" w:header="708" w:footer="708" w:gutter="0"/>
          <w:pgNumType w:fmt="lowerRoman" w:start="1"/>
          <w:cols w:space="708"/>
          <w:titlePg/>
          <w:docGrid w:linePitch="360"/>
        </w:sectPr>
      </w:pPr>
      <w:r w:rsidRPr="0008580A">
        <w:t>__________________________________</w:t>
      </w:r>
    </w:p>
    <w:p w14:paraId="380CD392" w14:textId="0B65CF8A" w:rsidR="00A75144" w:rsidRDefault="00A75144" w:rsidP="00FF2C43">
      <w:pPr>
        <w:pStyle w:val="Body"/>
        <w:jc w:val="center"/>
        <w:sectPr w:rsidR="00A75144" w:rsidSect="00F3009D">
          <w:pgSz w:w="11900" w:h="16840"/>
          <w:pgMar w:top="1440" w:right="1800" w:bottom="1440" w:left="1800" w:header="708" w:footer="708" w:gutter="0"/>
          <w:pgNumType w:fmt="lowerRoman" w:start="1"/>
          <w:cols w:space="708"/>
          <w:titlePg/>
          <w:docGrid w:linePitch="360"/>
        </w:sectPr>
      </w:pPr>
      <w:r>
        <w:rPr>
          <w:noProof/>
          <w:lang w:eastAsia="en-AU"/>
        </w:rPr>
        <w:drawing>
          <wp:anchor distT="0" distB="0" distL="114300" distR="114300" simplePos="0" relativeHeight="251722752" behindDoc="0" locked="0" layoutInCell="1" allowOverlap="1" wp14:anchorId="369C5C95" wp14:editId="039B4B28">
            <wp:simplePos x="0" y="0"/>
            <wp:positionH relativeFrom="column">
              <wp:posOffset>-1028700</wp:posOffset>
            </wp:positionH>
            <wp:positionV relativeFrom="paragraph">
              <wp:posOffset>-800100</wp:posOffset>
            </wp:positionV>
            <wp:extent cx="7315200" cy="103498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0" cy="103498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8C1F06" w14:textId="22C6D07B" w:rsidR="00C85DE9" w:rsidRPr="0008580A" w:rsidRDefault="00146817" w:rsidP="00FF2C43">
      <w:pPr>
        <w:pStyle w:val="Body"/>
        <w:jc w:val="center"/>
      </w:pPr>
      <w:r>
        <w:rPr>
          <w:noProof/>
          <w:lang w:eastAsia="en-AU"/>
        </w:rPr>
        <w:drawing>
          <wp:anchor distT="0" distB="0" distL="114300" distR="114300" simplePos="0" relativeHeight="251723776" behindDoc="0" locked="0" layoutInCell="1" allowOverlap="1" wp14:anchorId="261CAF37" wp14:editId="5D17B059">
            <wp:simplePos x="0" y="0"/>
            <wp:positionH relativeFrom="column">
              <wp:posOffset>-1028701</wp:posOffset>
            </wp:positionH>
            <wp:positionV relativeFrom="paragraph">
              <wp:posOffset>-800100</wp:posOffset>
            </wp:positionV>
            <wp:extent cx="7409085" cy="1051560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09125" cy="1051565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8EF0E2" w14:textId="77777777" w:rsidR="004E4A33" w:rsidRPr="0008580A" w:rsidRDefault="004E4A33" w:rsidP="006C6C78">
      <w:pPr>
        <w:sectPr w:rsidR="004E4A33" w:rsidRPr="0008580A" w:rsidSect="00F3009D">
          <w:pgSz w:w="11900" w:h="16840"/>
          <w:pgMar w:top="1440" w:right="1800" w:bottom="1440" w:left="1800" w:header="708" w:footer="708" w:gutter="0"/>
          <w:pgNumType w:fmt="lowerRoman" w:start="1"/>
          <w:cols w:space="708"/>
          <w:titlePg/>
          <w:docGrid w:linePitch="360"/>
        </w:sectPr>
      </w:pPr>
    </w:p>
    <w:p w14:paraId="4DBC07C9" w14:textId="77777777" w:rsidR="004E4A33" w:rsidRPr="0008580A" w:rsidRDefault="000D16E0" w:rsidP="00B52871">
      <w:pPr>
        <w:pStyle w:val="Heading1"/>
      </w:pPr>
      <w:bookmarkStart w:id="13" w:name="_Toc441733972"/>
      <w:r>
        <w:t>Background</w:t>
      </w:r>
      <w:bookmarkEnd w:id="13"/>
    </w:p>
    <w:p w14:paraId="41838342" w14:textId="77777777" w:rsidR="000D16E0" w:rsidRPr="00B20C1D" w:rsidRDefault="00437C53" w:rsidP="00437C53">
      <w:pPr>
        <w:pStyle w:val="Heading2"/>
        <w:numPr>
          <w:ilvl w:val="0"/>
          <w:numId w:val="0"/>
        </w:numPr>
      </w:pPr>
      <w:bookmarkStart w:id="14" w:name="_Toc441733973"/>
      <w:bookmarkStart w:id="15" w:name="_Toc259739046"/>
      <w:r>
        <w:t>1.1</w:t>
      </w:r>
      <w:r>
        <w:tab/>
      </w:r>
      <w:r w:rsidR="000D16E0" w:rsidRPr="00B20C1D">
        <w:t>Legislative framework</w:t>
      </w:r>
      <w:bookmarkEnd w:id="14"/>
    </w:p>
    <w:p w14:paraId="6D4F61A0" w14:textId="77777777" w:rsidR="000D16E0" w:rsidRPr="0008580A" w:rsidRDefault="000D16E0" w:rsidP="000D16E0">
      <w:pPr>
        <w:pStyle w:val="Body"/>
      </w:pPr>
      <w:r w:rsidRPr="0008580A">
        <w:t xml:space="preserve">The </w:t>
      </w:r>
      <w:r w:rsidRPr="0008580A">
        <w:rPr>
          <w:i/>
        </w:rPr>
        <w:t>Fisheries Act 1995</w:t>
      </w:r>
      <w:r w:rsidRPr="0008580A">
        <w:t xml:space="preserve"> (the Act) establishe</w:t>
      </w:r>
      <w:r>
        <w:t>s</w:t>
      </w:r>
      <w:r w:rsidRPr="0008580A">
        <w:t xml:space="preserve"> a modern legislative framework for the regulation, management and conservation of Victoria</w:t>
      </w:r>
      <w:r>
        <w:t>’s</w:t>
      </w:r>
      <w:r w:rsidRPr="0008580A">
        <w:t xml:space="preserve"> fisheries.</w:t>
      </w:r>
    </w:p>
    <w:p w14:paraId="1961317C" w14:textId="77777777" w:rsidR="000D16E0" w:rsidRPr="0008580A" w:rsidRDefault="000D16E0" w:rsidP="000D16E0">
      <w:pPr>
        <w:pStyle w:val="Body"/>
      </w:pPr>
      <w:r w:rsidRPr="0008580A">
        <w:t xml:space="preserve">Many fish species are valued by fishers and/or fish consumers and are used for commercial, recreational or subsistence purposes. The community also values fish and aquatic ecosystem habitats for environmental and other non-consumptive uses. </w:t>
      </w:r>
    </w:p>
    <w:p w14:paraId="40B42D5A" w14:textId="77777777" w:rsidR="000D16E0" w:rsidRPr="0008580A" w:rsidRDefault="000D16E0" w:rsidP="000D16E0">
      <w:pPr>
        <w:pStyle w:val="Body"/>
        <w:rPr>
          <w:rFonts w:ascii="Helvetica" w:hAnsi="Helvetica"/>
        </w:rPr>
      </w:pPr>
      <w:r w:rsidRPr="0008580A">
        <w:t xml:space="preserve">Recognising that recreational fishing brings significant benefit to fishers, </w:t>
      </w:r>
      <w:r>
        <w:t>regional</w:t>
      </w:r>
      <w:r w:rsidRPr="0008580A">
        <w:t xml:space="preserve"> communities and the economy, Victoria’s system of fisheries resource management aims to:</w:t>
      </w:r>
    </w:p>
    <w:p w14:paraId="5B3C9E39" w14:textId="77777777" w:rsidR="000D16E0" w:rsidRPr="0008580A" w:rsidRDefault="000D16E0" w:rsidP="00F97BD4">
      <w:pPr>
        <w:pStyle w:val="Bullet"/>
      </w:pPr>
      <w:r w:rsidRPr="0008580A">
        <w:t xml:space="preserve">ensure recreational fishing is sustainable in the long-term and </w:t>
      </w:r>
      <w:r>
        <w:t>optimises</w:t>
      </w:r>
      <w:r w:rsidRPr="0008580A">
        <w:t xml:space="preserve"> returns to recreat</w:t>
      </w:r>
      <w:r>
        <w:t>ional fishers and the community</w:t>
      </w:r>
    </w:p>
    <w:p w14:paraId="3F8EEA51" w14:textId="77777777" w:rsidR="000D16E0" w:rsidRPr="0008580A" w:rsidRDefault="000D16E0" w:rsidP="00F97BD4">
      <w:pPr>
        <w:pStyle w:val="Bullet"/>
      </w:pPr>
      <w:r>
        <w:t xml:space="preserve">recognise </w:t>
      </w:r>
      <w:r w:rsidR="00A62B18">
        <w:t xml:space="preserve">within the licensing framework </w:t>
      </w:r>
      <w:r>
        <w:t xml:space="preserve">the </w:t>
      </w:r>
      <w:r w:rsidRPr="0008580A">
        <w:t xml:space="preserve">right to </w:t>
      </w:r>
      <w:r>
        <w:t>take fish</w:t>
      </w:r>
    </w:p>
    <w:p w14:paraId="68BFF7B2" w14:textId="77777777" w:rsidR="000D16E0" w:rsidRPr="0008580A" w:rsidRDefault="000D16E0" w:rsidP="00F97BD4">
      <w:pPr>
        <w:pStyle w:val="Bullet"/>
      </w:pPr>
      <w:r w:rsidRPr="0008580A">
        <w:t xml:space="preserve">monitor and enforce </w:t>
      </w:r>
      <w:r>
        <w:t>licence requirements</w:t>
      </w:r>
      <w:r w:rsidRPr="0008580A">
        <w:t xml:space="preserve">, including through </w:t>
      </w:r>
      <w:r>
        <w:t xml:space="preserve">research, education and enforcement </w:t>
      </w:r>
      <w:r w:rsidRPr="0008580A">
        <w:t xml:space="preserve">to ensure compliance </w:t>
      </w:r>
      <w:r>
        <w:t>with fishery regulations</w:t>
      </w:r>
    </w:p>
    <w:p w14:paraId="278E5270" w14:textId="77777777" w:rsidR="000D16E0" w:rsidRPr="0008580A" w:rsidRDefault="000D16E0" w:rsidP="00F97BD4">
      <w:pPr>
        <w:pStyle w:val="Bullet"/>
      </w:pPr>
      <w:proofErr w:type="gramStart"/>
      <w:r w:rsidRPr="0008580A">
        <w:t>enable</w:t>
      </w:r>
      <w:proofErr w:type="gramEnd"/>
      <w:r w:rsidRPr="0008580A">
        <w:t xml:space="preserve"> government </w:t>
      </w:r>
      <w:r>
        <w:t xml:space="preserve">to </w:t>
      </w:r>
      <w:r w:rsidRPr="0008580A">
        <w:t>continue to improve recreational fishing opportunities</w:t>
      </w:r>
      <w:r>
        <w:t xml:space="preserve"> w</w:t>
      </w:r>
      <w:r w:rsidR="00A62B18">
        <w:t xml:space="preserve">hile balancing the </w:t>
      </w:r>
      <w:r>
        <w:t>other uses of the resource</w:t>
      </w:r>
      <w:r w:rsidRPr="0008580A">
        <w:t>.</w:t>
      </w:r>
    </w:p>
    <w:p w14:paraId="19FD664F" w14:textId="77777777" w:rsidR="000D16E0" w:rsidRPr="0008580A" w:rsidRDefault="000D16E0" w:rsidP="000D16E0">
      <w:pPr>
        <w:pStyle w:val="Body"/>
      </w:pPr>
      <w:r w:rsidRPr="0008580A">
        <w:t>The Act recognises the need to manage</w:t>
      </w:r>
      <w:r>
        <w:t xml:space="preserve"> the S</w:t>
      </w:r>
      <w:r w:rsidRPr="0008580A">
        <w:t xml:space="preserve">tate’s fish stocks while at the same time allowing people to enjoy </w:t>
      </w:r>
      <w:r>
        <w:t xml:space="preserve">their right to </w:t>
      </w:r>
      <w:r w:rsidRPr="0008580A">
        <w:t>fish</w:t>
      </w:r>
      <w:r>
        <w:t xml:space="preserve"> </w:t>
      </w:r>
      <w:r w:rsidRPr="0008580A">
        <w:t xml:space="preserve">as a legitimate recreational activity. </w:t>
      </w:r>
    </w:p>
    <w:p w14:paraId="294AB373" w14:textId="77777777" w:rsidR="000D16E0" w:rsidRPr="0008580A" w:rsidRDefault="000D16E0" w:rsidP="000D16E0">
      <w:pPr>
        <w:pStyle w:val="Body"/>
      </w:pPr>
      <w:r w:rsidRPr="0008580A">
        <w:t>The key objectives of the Act, which relate to recreational fishing, include:</w:t>
      </w:r>
    </w:p>
    <w:p w14:paraId="31D318F2" w14:textId="77777777" w:rsidR="000D16E0" w:rsidRPr="0008580A" w:rsidRDefault="000D16E0" w:rsidP="00F97BD4">
      <w:pPr>
        <w:pStyle w:val="Bullet"/>
      </w:pPr>
      <w:r w:rsidRPr="0008580A">
        <w:t>management, development and use of Victoria's fisheries and associated aquatic biological resources in an efficient, effective and ecologically sustainable manner</w:t>
      </w:r>
    </w:p>
    <w:p w14:paraId="0A70D169" w14:textId="77777777" w:rsidR="000D16E0" w:rsidRPr="0008580A" w:rsidRDefault="000D16E0" w:rsidP="00F97BD4">
      <w:pPr>
        <w:pStyle w:val="Bullet"/>
      </w:pPr>
      <w:r>
        <w:t xml:space="preserve">protecting and conserving </w:t>
      </w:r>
      <w:r w:rsidRPr="0008580A">
        <w:t>fisheries resources, habitats and ecosystems including the maintenance of aquatic ecological processes and genetic diversity</w:t>
      </w:r>
    </w:p>
    <w:p w14:paraId="251E664A" w14:textId="77777777" w:rsidR="000D16E0" w:rsidRDefault="000D16E0" w:rsidP="00F97BD4">
      <w:pPr>
        <w:pStyle w:val="Bullet"/>
      </w:pPr>
      <w:r w:rsidRPr="0008580A">
        <w:t>prom</w:t>
      </w:r>
      <w:r>
        <w:rPr>
          <w:rFonts w:eastAsia="Calibri"/>
        </w:rPr>
        <w:t xml:space="preserve">oting </w:t>
      </w:r>
      <w:r w:rsidRPr="0008580A">
        <w:t>quality recreational fishing opportunities for the benefit of present and future generations</w:t>
      </w:r>
    </w:p>
    <w:p w14:paraId="1A46E0C1" w14:textId="77777777" w:rsidR="000D16E0" w:rsidRDefault="000D16E0" w:rsidP="00F97BD4">
      <w:pPr>
        <w:pStyle w:val="Bullet"/>
      </w:pPr>
      <w:proofErr w:type="gramStart"/>
      <w:r w:rsidRPr="0008580A">
        <w:t>facilitati</w:t>
      </w:r>
      <w:r>
        <w:t>ng</w:t>
      </w:r>
      <w:proofErr w:type="gramEnd"/>
      <w:r w:rsidRPr="0008580A">
        <w:t xml:space="preserve"> access to fisheries resources</w:t>
      </w:r>
      <w:r>
        <w:t xml:space="preserve">. </w:t>
      </w:r>
    </w:p>
    <w:p w14:paraId="2C29049C" w14:textId="77777777" w:rsidR="000D16E0" w:rsidRPr="0008580A" w:rsidRDefault="000D16E0" w:rsidP="000D16E0">
      <w:pPr>
        <w:pStyle w:val="Body"/>
      </w:pPr>
      <w:r w:rsidRPr="0008580A">
        <w:t xml:space="preserve">The key elements of the framework for managing fisheries in Victoria are shown in Figure </w:t>
      </w:r>
      <w:r>
        <w:t>1A</w:t>
      </w:r>
      <w:r w:rsidRPr="0008580A">
        <w:t>.</w:t>
      </w:r>
    </w:p>
    <w:p w14:paraId="3CA2ACDD" w14:textId="77777777" w:rsidR="000D16E0" w:rsidRPr="0008580A" w:rsidRDefault="000D16E0" w:rsidP="000D16E0">
      <w:pPr>
        <w:pStyle w:val="TableTitle"/>
        <w:rPr>
          <w:rFonts w:eastAsia="Calibri"/>
        </w:rPr>
      </w:pPr>
      <w:r>
        <w:rPr>
          <w:rFonts w:eastAsia="Calibri"/>
        </w:rPr>
        <w:t xml:space="preserve">Figure 1A </w:t>
      </w:r>
      <w:r w:rsidRPr="0008580A">
        <w:rPr>
          <w:rFonts w:eastAsia="Calibri"/>
        </w:rPr>
        <w:t>– Framework for fisheries management</w:t>
      </w:r>
    </w:p>
    <w:tbl>
      <w:tblPr>
        <w:tblStyle w:val="MediumGrid1-Accent1"/>
        <w:tblW w:w="8805" w:type="dxa"/>
        <w:tblLook w:val="04A0" w:firstRow="1" w:lastRow="0" w:firstColumn="1" w:lastColumn="0" w:noHBand="0" w:noVBand="1"/>
      </w:tblPr>
      <w:tblGrid>
        <w:gridCol w:w="2439"/>
        <w:gridCol w:w="2122"/>
        <w:gridCol w:w="2122"/>
        <w:gridCol w:w="2122"/>
      </w:tblGrid>
      <w:tr w:rsidR="000D16E0" w:rsidRPr="0008580A" w14:paraId="4F1B17B3" w14:textId="77777777" w:rsidTr="00926E7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39" w:type="dxa"/>
            <w:tcBorders>
              <w:top w:val="single" w:sz="8" w:space="0" w:color="1F497D" w:themeColor="text2"/>
              <w:left w:val="single" w:sz="8" w:space="0" w:color="1F497D" w:themeColor="text2"/>
              <w:bottom w:val="single" w:sz="6" w:space="0" w:color="FFFFFF" w:themeColor="background1"/>
              <w:right w:val="single" w:sz="6" w:space="0" w:color="1F497D" w:themeColor="text2"/>
            </w:tcBorders>
            <w:shd w:val="clear" w:color="auto" w:fill="1F497D" w:themeFill="text2"/>
            <w:tcMar>
              <w:top w:w="85" w:type="dxa"/>
              <w:bottom w:w="85" w:type="dxa"/>
            </w:tcMar>
            <w:vAlign w:val="center"/>
          </w:tcPr>
          <w:p w14:paraId="47CE6C1B" w14:textId="77777777" w:rsidR="000D16E0" w:rsidRPr="000D556A" w:rsidRDefault="000D16E0" w:rsidP="00DC2084">
            <w:pPr>
              <w:rPr>
                <w:color w:val="FFFFFF" w:themeColor="background1"/>
              </w:rPr>
            </w:pPr>
            <w:r w:rsidRPr="000D556A">
              <w:rPr>
                <w:color w:val="FFFFFF" w:themeColor="background1"/>
              </w:rPr>
              <w:t>Set total sustainable catch</w:t>
            </w:r>
          </w:p>
        </w:tc>
        <w:tc>
          <w:tcPr>
            <w:tcW w:w="6365" w:type="dxa"/>
            <w:gridSpan w:val="3"/>
            <w:tcBorders>
              <w:top w:val="single" w:sz="8" w:space="0" w:color="1F497D" w:themeColor="text2"/>
              <w:left w:val="single" w:sz="6" w:space="0" w:color="1F497D" w:themeColor="text2"/>
              <w:bottom w:val="single" w:sz="6" w:space="0" w:color="1F497D" w:themeColor="text2"/>
              <w:right w:val="single" w:sz="8" w:space="0" w:color="1F497D" w:themeColor="text2"/>
            </w:tcBorders>
            <w:shd w:val="clear" w:color="auto" w:fill="auto"/>
            <w:tcMar>
              <w:top w:w="85" w:type="dxa"/>
              <w:bottom w:w="85" w:type="dxa"/>
            </w:tcMar>
          </w:tcPr>
          <w:p w14:paraId="55162F22" w14:textId="77777777" w:rsidR="000D16E0" w:rsidRPr="00BE60E2" w:rsidRDefault="000D16E0" w:rsidP="00092430">
            <w:pPr>
              <w:jc w:val="center"/>
              <w:cnfStyle w:val="100000000000" w:firstRow="1" w:lastRow="0" w:firstColumn="0" w:lastColumn="0" w:oddVBand="0" w:evenVBand="0" w:oddHBand="0" w:evenHBand="0" w:firstRowFirstColumn="0" w:firstRowLastColumn="0" w:lastRowFirstColumn="0" w:lastRowLastColumn="0"/>
              <w:rPr>
                <w:b w:val="0"/>
              </w:rPr>
            </w:pPr>
            <w:r w:rsidRPr="00BE60E2">
              <w:rPr>
                <w:b w:val="0"/>
              </w:rPr>
              <w:t>All sectors</w:t>
            </w:r>
          </w:p>
        </w:tc>
      </w:tr>
      <w:tr w:rsidR="000D16E0" w:rsidRPr="0008580A" w14:paraId="44284D42" w14:textId="77777777" w:rsidTr="00926E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439" w:type="dxa"/>
            <w:tcBorders>
              <w:top w:val="single" w:sz="6" w:space="0" w:color="FFFFFF" w:themeColor="background1"/>
              <w:left w:val="single" w:sz="8" w:space="0" w:color="1F497D" w:themeColor="text2"/>
              <w:bottom w:val="single" w:sz="6" w:space="0" w:color="FFFFFF" w:themeColor="background1"/>
              <w:right w:val="single" w:sz="6" w:space="0" w:color="1F497D" w:themeColor="text2"/>
            </w:tcBorders>
            <w:shd w:val="clear" w:color="auto" w:fill="1F497D" w:themeFill="text2"/>
            <w:tcMar>
              <w:top w:w="85" w:type="dxa"/>
              <w:bottom w:w="85" w:type="dxa"/>
            </w:tcMar>
            <w:vAlign w:val="center"/>
          </w:tcPr>
          <w:p w14:paraId="5D68FA87" w14:textId="77777777" w:rsidR="000D16E0" w:rsidRPr="000D556A" w:rsidRDefault="000D16E0" w:rsidP="00DC2084">
            <w:pPr>
              <w:rPr>
                <w:color w:val="FFFFFF" w:themeColor="background1"/>
              </w:rPr>
            </w:pPr>
            <w:r w:rsidRPr="000D556A">
              <w:rPr>
                <w:color w:val="FFFFFF" w:themeColor="background1"/>
              </w:rPr>
              <w:t>Allocate access</w:t>
            </w:r>
          </w:p>
        </w:tc>
        <w:tc>
          <w:tcPr>
            <w:tcW w:w="2122" w:type="dxa"/>
            <w:tcBorders>
              <w:top w:val="single" w:sz="6" w:space="0" w:color="1F497D" w:themeColor="text2"/>
              <w:left w:val="single" w:sz="6" w:space="0" w:color="1F497D" w:themeColor="text2"/>
              <w:bottom w:val="single" w:sz="8" w:space="0" w:color="1F497D" w:themeColor="text2"/>
              <w:right w:val="single" w:sz="6" w:space="0" w:color="1F497D" w:themeColor="text2"/>
            </w:tcBorders>
            <w:shd w:val="clear" w:color="auto" w:fill="auto"/>
            <w:tcMar>
              <w:top w:w="85" w:type="dxa"/>
              <w:bottom w:w="85" w:type="dxa"/>
            </w:tcMar>
          </w:tcPr>
          <w:p w14:paraId="1F5FF858"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t>Recreational</w:t>
            </w:r>
          </w:p>
        </w:tc>
        <w:tc>
          <w:tcPr>
            <w:tcW w:w="2122" w:type="dxa"/>
            <w:tcBorders>
              <w:top w:val="single" w:sz="6"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3FC6FFA4"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t>Commercial</w:t>
            </w:r>
          </w:p>
        </w:tc>
        <w:tc>
          <w:tcPr>
            <w:tcW w:w="2122" w:type="dxa"/>
            <w:tcBorders>
              <w:top w:val="single" w:sz="6" w:space="0" w:color="1F497D" w:themeColor="text2"/>
              <w:left w:val="single" w:sz="6" w:space="0" w:color="1F497D" w:themeColor="text2"/>
              <w:bottom w:val="single" w:sz="8" w:space="0" w:color="1F497D" w:themeColor="text2"/>
              <w:right w:val="single" w:sz="8" w:space="0" w:color="1F497D" w:themeColor="text2"/>
            </w:tcBorders>
            <w:shd w:val="clear" w:color="auto" w:fill="auto"/>
            <w:tcMar>
              <w:top w:w="85" w:type="dxa"/>
              <w:bottom w:w="85" w:type="dxa"/>
            </w:tcMar>
          </w:tcPr>
          <w:p w14:paraId="504A0ED8"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t>Aboriginal</w:t>
            </w:r>
          </w:p>
        </w:tc>
      </w:tr>
      <w:tr w:rsidR="00BE60E2" w:rsidRPr="0008580A" w14:paraId="6348CF73" w14:textId="77777777" w:rsidTr="00926E7A">
        <w:trPr>
          <w:trHeight w:val="735"/>
        </w:trPr>
        <w:tc>
          <w:tcPr>
            <w:cnfStyle w:val="001000000000" w:firstRow="0" w:lastRow="0" w:firstColumn="1" w:lastColumn="0" w:oddVBand="0" w:evenVBand="0" w:oddHBand="0" w:evenHBand="0" w:firstRowFirstColumn="0" w:firstRowLastColumn="0" w:lastRowFirstColumn="0" w:lastRowLastColumn="0"/>
            <w:tcW w:w="2439" w:type="dxa"/>
            <w:tcBorders>
              <w:top w:val="single" w:sz="6" w:space="0" w:color="FFFFFF" w:themeColor="background1"/>
              <w:left w:val="single" w:sz="8" w:space="0" w:color="1F497D" w:themeColor="text2"/>
              <w:bottom w:val="single" w:sz="6" w:space="0" w:color="FFFFFF" w:themeColor="background1"/>
              <w:right w:val="single" w:sz="6" w:space="0" w:color="1F497D" w:themeColor="text2"/>
            </w:tcBorders>
            <w:shd w:val="clear" w:color="auto" w:fill="1F497D" w:themeFill="text2"/>
            <w:tcMar>
              <w:top w:w="85" w:type="dxa"/>
              <w:bottom w:w="85" w:type="dxa"/>
            </w:tcMar>
            <w:vAlign w:val="center"/>
          </w:tcPr>
          <w:p w14:paraId="5928C02E" w14:textId="77777777" w:rsidR="000D16E0" w:rsidRPr="000D556A" w:rsidRDefault="000D16E0" w:rsidP="00DC2084">
            <w:pPr>
              <w:rPr>
                <w:color w:val="FFFFFF" w:themeColor="background1"/>
              </w:rPr>
            </w:pPr>
            <w:r w:rsidRPr="000D556A">
              <w:rPr>
                <w:color w:val="FFFFFF" w:themeColor="background1"/>
              </w:rPr>
              <w:t>Access entitlements</w:t>
            </w:r>
          </w:p>
        </w:tc>
        <w:tc>
          <w:tcPr>
            <w:tcW w:w="2122" w:type="dxa"/>
            <w:tcBorders>
              <w:top w:val="single" w:sz="8"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0B61916F"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rsidRPr="0008580A">
              <w:t>Open access (licensing applies)</w:t>
            </w:r>
          </w:p>
        </w:tc>
        <w:tc>
          <w:tcPr>
            <w:tcW w:w="2122" w:type="dxa"/>
            <w:tcBorders>
              <w:top w:val="single" w:sz="6"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3915184E"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rsidRPr="0008580A">
              <w:t>Limited access (commercial entitlements)</w:t>
            </w:r>
          </w:p>
        </w:tc>
        <w:tc>
          <w:tcPr>
            <w:tcW w:w="2122" w:type="dxa"/>
            <w:tcBorders>
              <w:top w:val="single" w:sz="8" w:space="0" w:color="1F497D" w:themeColor="text2"/>
              <w:left w:val="single" w:sz="6" w:space="0" w:color="1F497D" w:themeColor="text2"/>
              <w:bottom w:val="single" w:sz="6" w:space="0" w:color="1F497D" w:themeColor="text2"/>
              <w:right w:val="single" w:sz="8" w:space="0" w:color="1F497D" w:themeColor="text2"/>
            </w:tcBorders>
            <w:shd w:val="clear" w:color="auto" w:fill="auto"/>
            <w:tcMar>
              <w:top w:w="85" w:type="dxa"/>
              <w:bottom w:w="85" w:type="dxa"/>
            </w:tcMar>
          </w:tcPr>
          <w:p w14:paraId="79523F06"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rsidRPr="0008580A">
              <w:t>Traditional owners</w:t>
            </w:r>
          </w:p>
        </w:tc>
      </w:tr>
      <w:tr w:rsidR="000D16E0" w:rsidRPr="0008580A" w14:paraId="43265BEF" w14:textId="77777777" w:rsidTr="00926E7A">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2439" w:type="dxa"/>
            <w:tcBorders>
              <w:top w:val="single" w:sz="6" w:space="0" w:color="FFFFFF" w:themeColor="background1"/>
              <w:left w:val="single" w:sz="8" w:space="0" w:color="1F497D" w:themeColor="text2"/>
              <w:bottom w:val="single" w:sz="6" w:space="0" w:color="FFFFFF" w:themeColor="background1"/>
              <w:right w:val="single" w:sz="6" w:space="0" w:color="1F497D" w:themeColor="text2"/>
            </w:tcBorders>
            <w:shd w:val="clear" w:color="auto" w:fill="1F497D" w:themeFill="text2"/>
            <w:tcMar>
              <w:top w:w="85" w:type="dxa"/>
              <w:bottom w:w="85" w:type="dxa"/>
            </w:tcMar>
            <w:vAlign w:val="center"/>
          </w:tcPr>
          <w:p w14:paraId="7B4B5BCB" w14:textId="77777777" w:rsidR="000D16E0" w:rsidRPr="000D556A" w:rsidRDefault="000D16E0" w:rsidP="00DC2084">
            <w:pPr>
              <w:rPr>
                <w:color w:val="FFFFFF" w:themeColor="background1"/>
              </w:rPr>
            </w:pPr>
            <w:r w:rsidRPr="000D556A">
              <w:rPr>
                <w:color w:val="FFFFFF" w:themeColor="background1"/>
              </w:rPr>
              <w:t>Harvest strategy</w:t>
            </w:r>
          </w:p>
        </w:tc>
        <w:tc>
          <w:tcPr>
            <w:tcW w:w="2122" w:type="dxa"/>
            <w:tcBorders>
              <w:top w:val="single" w:sz="6" w:space="0" w:color="1F497D" w:themeColor="text2"/>
              <w:left w:val="single" w:sz="6" w:space="0" w:color="1F497D" w:themeColor="text2"/>
              <w:bottom w:val="single" w:sz="8" w:space="0" w:color="1F497D" w:themeColor="text2"/>
              <w:right w:val="single" w:sz="6" w:space="0" w:color="1F497D" w:themeColor="text2"/>
            </w:tcBorders>
            <w:shd w:val="clear" w:color="auto" w:fill="auto"/>
            <w:tcMar>
              <w:top w:w="85" w:type="dxa"/>
              <w:bottom w:w="85" w:type="dxa"/>
            </w:tcMar>
          </w:tcPr>
          <w:p w14:paraId="150D85F7"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t>Harvest managed within general limits and targets, with clear decision rules</w:t>
            </w:r>
          </w:p>
        </w:tc>
        <w:tc>
          <w:tcPr>
            <w:tcW w:w="2122" w:type="dxa"/>
            <w:tcBorders>
              <w:top w:val="single" w:sz="6"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42D91B17" w14:textId="77777777" w:rsidR="000D16E0" w:rsidRPr="0008580A" w:rsidRDefault="000D16E0" w:rsidP="00DC09D9">
            <w:pPr>
              <w:cnfStyle w:val="000000100000" w:firstRow="0" w:lastRow="0" w:firstColumn="0" w:lastColumn="0" w:oddVBand="0" w:evenVBand="0" w:oddHBand="1" w:evenHBand="0" w:firstRowFirstColumn="0" w:firstRowLastColumn="0" w:lastRowFirstColumn="0" w:lastRowLastColumn="0"/>
            </w:pPr>
            <w:r w:rsidRPr="0008580A">
              <w:t>Harvest managed within specific limits, with performance indicators, and clear decision rules</w:t>
            </w:r>
          </w:p>
        </w:tc>
        <w:tc>
          <w:tcPr>
            <w:tcW w:w="2122" w:type="dxa"/>
            <w:tcBorders>
              <w:top w:val="single" w:sz="6" w:space="0" w:color="1F497D" w:themeColor="text2"/>
              <w:left w:val="single" w:sz="6" w:space="0" w:color="1F497D" w:themeColor="text2"/>
              <w:bottom w:val="single" w:sz="8" w:space="0" w:color="1F497D" w:themeColor="text2"/>
              <w:right w:val="single" w:sz="8" w:space="0" w:color="1F497D" w:themeColor="text2"/>
            </w:tcBorders>
            <w:shd w:val="clear" w:color="auto" w:fill="auto"/>
            <w:tcMar>
              <w:top w:w="85" w:type="dxa"/>
              <w:bottom w:w="85" w:type="dxa"/>
            </w:tcMar>
          </w:tcPr>
          <w:p w14:paraId="1DF10A57"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t>Estimated take provided for within the harvest strategy</w:t>
            </w:r>
          </w:p>
        </w:tc>
      </w:tr>
      <w:tr w:rsidR="00BE60E2" w:rsidRPr="0008580A" w14:paraId="4A346D73" w14:textId="77777777" w:rsidTr="00926E7A">
        <w:trPr>
          <w:trHeight w:val="485"/>
        </w:trPr>
        <w:tc>
          <w:tcPr>
            <w:cnfStyle w:val="001000000000" w:firstRow="0" w:lastRow="0" w:firstColumn="1" w:lastColumn="0" w:oddVBand="0" w:evenVBand="0" w:oddHBand="0" w:evenHBand="0" w:firstRowFirstColumn="0" w:firstRowLastColumn="0" w:lastRowFirstColumn="0" w:lastRowLastColumn="0"/>
            <w:tcW w:w="2439" w:type="dxa"/>
            <w:tcBorders>
              <w:top w:val="single" w:sz="6" w:space="0" w:color="FFFFFF" w:themeColor="background1"/>
              <w:left w:val="single" w:sz="8" w:space="0" w:color="1F497D" w:themeColor="text2"/>
              <w:bottom w:val="single" w:sz="8" w:space="0" w:color="1F497D" w:themeColor="text2"/>
              <w:right w:val="single" w:sz="6" w:space="0" w:color="1F497D" w:themeColor="text2"/>
            </w:tcBorders>
            <w:shd w:val="clear" w:color="auto" w:fill="1F497D" w:themeFill="text2"/>
            <w:tcMar>
              <w:top w:w="85" w:type="dxa"/>
              <w:bottom w:w="85" w:type="dxa"/>
            </w:tcMar>
            <w:vAlign w:val="center"/>
          </w:tcPr>
          <w:p w14:paraId="31A1BFBC" w14:textId="77777777" w:rsidR="000D16E0" w:rsidRPr="000D556A" w:rsidRDefault="000D16E0" w:rsidP="00DC2084">
            <w:pPr>
              <w:rPr>
                <w:color w:val="FFFFFF" w:themeColor="background1"/>
              </w:rPr>
            </w:pPr>
            <w:r w:rsidRPr="000D556A">
              <w:rPr>
                <w:color w:val="FFFFFF" w:themeColor="background1"/>
              </w:rPr>
              <w:t>Management tools</w:t>
            </w:r>
          </w:p>
        </w:tc>
        <w:tc>
          <w:tcPr>
            <w:tcW w:w="2122" w:type="dxa"/>
            <w:tcBorders>
              <w:top w:val="single" w:sz="8"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254555F5"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t>Output or i</w:t>
            </w:r>
            <w:r w:rsidRPr="0008580A">
              <w:t xml:space="preserve">nput controls </w:t>
            </w:r>
          </w:p>
        </w:tc>
        <w:tc>
          <w:tcPr>
            <w:tcW w:w="2122" w:type="dxa"/>
            <w:tcBorders>
              <w:top w:val="single" w:sz="6" w:space="0" w:color="1F497D" w:themeColor="text2"/>
              <w:left w:val="single" w:sz="6" w:space="0" w:color="1F497D" w:themeColor="text2"/>
              <w:bottom w:val="single" w:sz="6" w:space="0" w:color="1F497D" w:themeColor="text2"/>
              <w:right w:val="single" w:sz="6" w:space="0" w:color="1F497D" w:themeColor="text2"/>
            </w:tcBorders>
            <w:shd w:val="clear" w:color="auto" w:fill="auto"/>
            <w:tcMar>
              <w:top w:w="85" w:type="dxa"/>
              <w:bottom w:w="85" w:type="dxa"/>
            </w:tcMar>
          </w:tcPr>
          <w:p w14:paraId="6FFF567E"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rsidRPr="0008580A">
              <w:t>Output or input controls</w:t>
            </w:r>
          </w:p>
        </w:tc>
        <w:tc>
          <w:tcPr>
            <w:tcW w:w="2122" w:type="dxa"/>
            <w:tcBorders>
              <w:top w:val="single" w:sz="8" w:space="0" w:color="1F497D" w:themeColor="text2"/>
              <w:left w:val="single" w:sz="6" w:space="0" w:color="1F497D" w:themeColor="text2"/>
              <w:bottom w:val="single" w:sz="6" w:space="0" w:color="1F497D" w:themeColor="text2"/>
              <w:right w:val="single" w:sz="8" w:space="0" w:color="1F497D" w:themeColor="text2"/>
            </w:tcBorders>
            <w:shd w:val="clear" w:color="auto" w:fill="auto"/>
            <w:tcMar>
              <w:top w:w="85" w:type="dxa"/>
              <w:bottom w:w="85" w:type="dxa"/>
            </w:tcMar>
          </w:tcPr>
          <w:p w14:paraId="31A60C59" w14:textId="77777777" w:rsidR="000D16E0" w:rsidRPr="0008580A" w:rsidRDefault="000D16E0" w:rsidP="00DC2084">
            <w:pPr>
              <w:cnfStyle w:val="000000000000" w:firstRow="0" w:lastRow="0" w:firstColumn="0" w:lastColumn="0" w:oddVBand="0" w:evenVBand="0" w:oddHBand="0" w:evenHBand="0" w:firstRowFirstColumn="0" w:firstRowLastColumn="0" w:lastRowFirstColumn="0" w:lastRowLastColumn="0"/>
            </w:pPr>
            <w:r w:rsidRPr="0008580A">
              <w:t>Input controls</w:t>
            </w:r>
          </w:p>
        </w:tc>
      </w:tr>
      <w:tr w:rsidR="000D16E0" w:rsidRPr="0008580A" w14:paraId="77878554" w14:textId="77777777" w:rsidTr="00926E7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39" w:type="dxa"/>
            <w:tcBorders>
              <w:top w:val="single" w:sz="8" w:space="0" w:color="1F497D" w:themeColor="text2"/>
              <w:left w:val="nil"/>
              <w:bottom w:val="nil"/>
              <w:right w:val="nil"/>
            </w:tcBorders>
            <w:shd w:val="clear" w:color="auto" w:fill="auto"/>
            <w:tcMar>
              <w:top w:w="85" w:type="dxa"/>
              <w:bottom w:w="85" w:type="dxa"/>
            </w:tcMar>
            <w:vAlign w:val="center"/>
          </w:tcPr>
          <w:p w14:paraId="5857BAAE" w14:textId="77777777" w:rsidR="000D16E0" w:rsidRPr="0008580A" w:rsidRDefault="000D16E0" w:rsidP="00DC2084"/>
        </w:tc>
        <w:tc>
          <w:tcPr>
            <w:tcW w:w="6365" w:type="dxa"/>
            <w:gridSpan w:val="3"/>
            <w:tcBorders>
              <w:top w:val="single" w:sz="6" w:space="0" w:color="1F497D" w:themeColor="text2"/>
              <w:left w:val="nil"/>
              <w:bottom w:val="nil"/>
              <w:right w:val="nil"/>
            </w:tcBorders>
            <w:shd w:val="clear" w:color="auto" w:fill="auto"/>
            <w:tcMar>
              <w:top w:w="85" w:type="dxa"/>
              <w:bottom w:w="85" w:type="dxa"/>
            </w:tcMar>
          </w:tcPr>
          <w:p w14:paraId="38A18040" w14:textId="77777777" w:rsidR="000D16E0" w:rsidRPr="0008580A" w:rsidRDefault="000D16E0" w:rsidP="00DC2084">
            <w:pPr>
              <w:cnfStyle w:val="000000100000" w:firstRow="0" w:lastRow="0" w:firstColumn="0" w:lastColumn="0" w:oddVBand="0" w:evenVBand="0" w:oddHBand="1" w:evenHBand="0" w:firstRowFirstColumn="0" w:firstRowLastColumn="0" w:lastRowFirstColumn="0" w:lastRowLastColumn="0"/>
            </w:pPr>
            <w:r w:rsidRPr="0008580A">
              <w:rPr>
                <w:noProof/>
                <w:lang w:eastAsia="en-AU"/>
              </w:rPr>
              <mc:AlternateContent>
                <mc:Choice Requires="wps">
                  <w:drawing>
                    <wp:anchor distT="0" distB="0" distL="114300" distR="114300" simplePos="0" relativeHeight="251719680" behindDoc="0" locked="0" layoutInCell="1" allowOverlap="1" wp14:anchorId="3BEE4664" wp14:editId="3F0F430B">
                      <wp:simplePos x="0" y="0"/>
                      <wp:positionH relativeFrom="column">
                        <wp:posOffset>142028</wp:posOffset>
                      </wp:positionH>
                      <wp:positionV relativeFrom="paragraph">
                        <wp:posOffset>92075</wp:posOffset>
                      </wp:positionV>
                      <wp:extent cx="3657600" cy="0"/>
                      <wp:effectExtent l="19050" t="57150" r="57150" b="114300"/>
                      <wp:wrapNone/>
                      <wp:docPr id="4" name="Straight Arrow Connector 4"/>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2"/>
                                </a:solidFill>
                                <a:headEnd type="stealth" w="sm" len="med"/>
                                <a:tailEnd type="stealth" w="sm"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Straight Arrow Connector 4" o:spid="_x0000_s1026" type="#_x0000_t32" style="position:absolute;margin-left:11.2pt;margin-top:7.25pt;width:4in;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" strokecolor="#1f497d [3215]" strokeweight="1.5pt">
                      <v:stroke startarrow="classic" startarrowwidth="narrow" endarrow="classic" endarrowwidth="narrow"/>
                      <v:shadow on="t" color="black" opacity="24903f" origin=",.5" offset="0,.55556mm"/>
                    </v:shape>
                  </w:pict>
                </mc:Fallback>
              </mc:AlternateContent>
            </w:r>
          </w:p>
          <w:p w14:paraId="26C1E554" w14:textId="77777777" w:rsidR="000D16E0" w:rsidRPr="0008580A" w:rsidRDefault="000D16E0" w:rsidP="00DC09D9">
            <w:pPr>
              <w:jc w:val="center"/>
              <w:cnfStyle w:val="000000100000" w:firstRow="0" w:lastRow="0" w:firstColumn="0" w:lastColumn="0" w:oddVBand="0" w:evenVBand="0" w:oddHBand="1" w:evenHBand="0" w:firstRowFirstColumn="0" w:firstRowLastColumn="0" w:lastRowFirstColumn="0" w:lastRowLastColumn="0"/>
            </w:pPr>
            <w:r w:rsidRPr="0008580A">
              <w:t>Management planning</w:t>
            </w:r>
            <w:r w:rsidR="00DC09D9">
              <w:t xml:space="preserve"> </w:t>
            </w:r>
            <w:r w:rsidRPr="0008580A">
              <w:t>involving stakeholders</w:t>
            </w:r>
          </w:p>
        </w:tc>
      </w:tr>
    </w:tbl>
    <w:p w14:paraId="2512E21A" w14:textId="77777777" w:rsidR="000D16E0" w:rsidRPr="0008580A" w:rsidRDefault="000D16E0" w:rsidP="000D16E0"/>
    <w:p w14:paraId="6078B937" w14:textId="77777777" w:rsidR="00ED448B" w:rsidRPr="0008580A" w:rsidRDefault="00ED448B" w:rsidP="00ED448B">
      <w:pPr>
        <w:pStyle w:val="Body"/>
      </w:pPr>
      <w:r w:rsidRPr="0008580A">
        <w:t xml:space="preserve">The Government’s approach is to secure fisheries for the long term, generating economic and social benefits for our communities. </w:t>
      </w:r>
    </w:p>
    <w:p w14:paraId="12664E8C" w14:textId="77777777" w:rsidR="00ED448B" w:rsidRPr="0008580A" w:rsidRDefault="00ED448B" w:rsidP="00ED448B">
      <w:pPr>
        <w:pStyle w:val="Body"/>
      </w:pPr>
      <w:r w:rsidRPr="0008580A">
        <w:t>The Government, in partnership with the recreational fishing sector, conducts research across Victoria to monitor fish stocks and fish habitats</w:t>
      </w:r>
      <w:r>
        <w:t xml:space="preserve">. </w:t>
      </w:r>
      <w:r w:rsidRPr="0008580A">
        <w:t xml:space="preserve"> </w:t>
      </w:r>
    </w:p>
    <w:p w14:paraId="79E002FC" w14:textId="77777777" w:rsidR="000D16E0" w:rsidRPr="0008580A" w:rsidRDefault="000D16E0" w:rsidP="000D16E0">
      <w:pPr>
        <w:pStyle w:val="Body"/>
      </w:pPr>
      <w:r w:rsidRPr="0008580A">
        <w:t>Under the Act, a person cannot take or attempt to take fish from marine waters or inland waters, or use or possess recreational fishing equipment in, on or next to Victorian waters, unless he or she is authorised to do so directly under the Act</w:t>
      </w:r>
      <w:r>
        <w:t>,</w:t>
      </w:r>
      <w:r w:rsidRPr="0008580A">
        <w:t xml:space="preserve"> or by holding a recreational fishery licence.</w:t>
      </w:r>
    </w:p>
    <w:p w14:paraId="21DF6B3E" w14:textId="77777777" w:rsidR="000D16E0" w:rsidRPr="0008580A" w:rsidRDefault="000D16E0" w:rsidP="000D16E0">
      <w:pPr>
        <w:pStyle w:val="Body"/>
      </w:pPr>
      <w:r w:rsidRPr="0008580A">
        <w:t>The Fisheries Regulations 2009 set out the conditions under which recreational fishing may occur in Victoria (such as types of equipment, areas where fishing may occur and catch limits). The Fisheries (Fees, Royalties and Levies) Regulations 2008 set out the levies and fees to be paid for a recreational fishery licence.</w:t>
      </w:r>
    </w:p>
    <w:p w14:paraId="1322005E" w14:textId="77777777" w:rsidR="000D16E0" w:rsidRDefault="000D16E0" w:rsidP="00A34474">
      <w:pPr>
        <w:pStyle w:val="Body"/>
      </w:pPr>
      <w:r w:rsidRPr="0008580A">
        <w:t xml:space="preserve">Under the current Regulations, there are two types of recreational </w:t>
      </w:r>
      <w:r>
        <w:t>fishery</w:t>
      </w:r>
      <w:r w:rsidRPr="0008580A">
        <w:t xml:space="preserve"> licences issued – a recreational fishery licence (issued to individuals) and a group licence issued in a small number of special cases, such as when a group of disadvantaged persons fish recreationally on one occasion only.</w:t>
      </w:r>
      <w:r w:rsidR="00575BCB">
        <w:rPr>
          <w:rStyle w:val="FootnoteReference"/>
        </w:rPr>
        <w:footnoteReference w:id="2"/>
      </w:r>
      <w:r w:rsidRPr="0008580A">
        <w:t xml:space="preserve"> There are only around 25 group licences issued each year. </w:t>
      </w:r>
    </w:p>
    <w:p w14:paraId="1A74DDA2" w14:textId="77777777" w:rsidR="00A34474" w:rsidRPr="0051228E" w:rsidRDefault="00A34474" w:rsidP="00BA50A4">
      <w:pPr>
        <w:pStyle w:val="Heading2"/>
        <w:numPr>
          <w:ilvl w:val="1"/>
          <w:numId w:val="3"/>
        </w:numPr>
      </w:pPr>
      <w:bookmarkStart w:id="16" w:name="_Toc441733974"/>
      <w:r w:rsidRPr="005C20EC">
        <w:t>Recreational</w:t>
      </w:r>
      <w:r w:rsidRPr="0051228E">
        <w:t xml:space="preserve"> fishing is important to all Victorians</w:t>
      </w:r>
      <w:bookmarkEnd w:id="16"/>
    </w:p>
    <w:p w14:paraId="10674E45" w14:textId="77777777" w:rsidR="00A34474" w:rsidRPr="0008580A" w:rsidRDefault="00A34474" w:rsidP="00A34474">
      <w:pPr>
        <w:pStyle w:val="Body"/>
        <w:rPr>
          <w:rFonts w:eastAsia="Calibri"/>
        </w:rPr>
      </w:pPr>
      <w:r w:rsidRPr="0008580A">
        <w:rPr>
          <w:rFonts w:eastAsia="Calibri"/>
        </w:rPr>
        <w:t xml:space="preserve">The </w:t>
      </w:r>
      <w:r>
        <w:rPr>
          <w:rFonts w:eastAsia="Calibri"/>
        </w:rPr>
        <w:t xml:space="preserve">Victorian </w:t>
      </w:r>
      <w:r w:rsidRPr="0008580A">
        <w:rPr>
          <w:rFonts w:eastAsia="Calibri"/>
        </w:rPr>
        <w:t>Government believes that supporting recreational fishing in Victoria is beneficial for the community as it:</w:t>
      </w:r>
    </w:p>
    <w:p w14:paraId="66326C4E" w14:textId="77777777" w:rsidR="00A34474" w:rsidRPr="0008580A" w:rsidRDefault="00A34474" w:rsidP="00F97BD4">
      <w:pPr>
        <w:pStyle w:val="Bullet"/>
      </w:pPr>
      <w:r>
        <w:rPr>
          <w:rFonts w:eastAsia="Calibri"/>
        </w:rPr>
        <w:t>is a pursuit of</w:t>
      </w:r>
      <w:r w:rsidRPr="0008580A">
        <w:t xml:space="preserve"> leisure for a lar</w:t>
      </w:r>
      <w:r>
        <w:t>ge number of Victorians</w:t>
      </w:r>
    </w:p>
    <w:p w14:paraId="3771D1DD" w14:textId="77777777" w:rsidR="00A34474" w:rsidRPr="0008580A" w:rsidRDefault="00A34474" w:rsidP="00F97BD4">
      <w:pPr>
        <w:pStyle w:val="Bullet"/>
      </w:pPr>
      <w:r w:rsidRPr="0008580A">
        <w:t>has cultural significance</w:t>
      </w:r>
      <w:r>
        <w:t xml:space="preserve"> to many Victorians</w:t>
      </w:r>
    </w:p>
    <w:p w14:paraId="248CE9D9" w14:textId="77777777" w:rsidR="00A34474" w:rsidRPr="0008580A" w:rsidRDefault="00A34474" w:rsidP="00F97BD4">
      <w:pPr>
        <w:pStyle w:val="Bullet"/>
      </w:pPr>
      <w:proofErr w:type="gramStart"/>
      <w:r w:rsidRPr="0008580A">
        <w:t>contributes</w:t>
      </w:r>
      <w:proofErr w:type="gramEnd"/>
      <w:r w:rsidRPr="0008580A">
        <w:t xml:space="preserve"> to overall economic activity</w:t>
      </w:r>
      <w:r>
        <w:t>, especially in regional Victoria</w:t>
      </w:r>
      <w:r w:rsidRPr="0008580A">
        <w:t>, including a contribution from potential tourism attraction and, in particular, spending in local areas.</w:t>
      </w:r>
      <w:r w:rsidRPr="006253BC">
        <w:t xml:space="preserve"> </w:t>
      </w:r>
    </w:p>
    <w:p w14:paraId="4CF3E626" w14:textId="77777777" w:rsidR="00A34474" w:rsidRPr="0008580A" w:rsidRDefault="00C503D3" w:rsidP="00A34474">
      <w:pPr>
        <w:pStyle w:val="Body"/>
        <w:rPr>
          <w:rFonts w:eastAsia="Calibri"/>
        </w:rPr>
      </w:pPr>
      <w:r>
        <w:rPr>
          <w:rFonts w:eastAsia="Calibri"/>
        </w:rPr>
        <w:t>A</w:t>
      </w:r>
      <w:r w:rsidR="00A34474" w:rsidRPr="0008580A">
        <w:rPr>
          <w:rFonts w:eastAsia="Calibri"/>
        </w:rPr>
        <w:t>llowing and supporting high quality recreational fishing in Victoria</w:t>
      </w:r>
      <w:r>
        <w:rPr>
          <w:rFonts w:eastAsia="Calibri"/>
        </w:rPr>
        <w:t xml:space="preserve"> is a significant economic activity</w:t>
      </w:r>
      <w:r w:rsidR="00A34474" w:rsidRPr="0008580A">
        <w:rPr>
          <w:rFonts w:eastAsia="Calibri"/>
        </w:rPr>
        <w:t>.</w:t>
      </w:r>
    </w:p>
    <w:p w14:paraId="43D1221C" w14:textId="77777777" w:rsidR="00A34474" w:rsidRPr="0008580A" w:rsidRDefault="00A34474" w:rsidP="00A34474">
      <w:pPr>
        <w:pStyle w:val="Body"/>
        <w:rPr>
          <w:rFonts w:eastAsia="Calibri"/>
        </w:rPr>
      </w:pPr>
      <w:r w:rsidRPr="0008580A">
        <w:rPr>
          <w:rFonts w:eastAsia="Calibri"/>
        </w:rPr>
        <w:t xml:space="preserve">A </w:t>
      </w:r>
      <w:r w:rsidR="00422583">
        <w:rPr>
          <w:rFonts w:eastAsia="Calibri"/>
        </w:rPr>
        <w:t>November 2015</w:t>
      </w:r>
      <w:r w:rsidRPr="0008580A">
        <w:rPr>
          <w:rFonts w:eastAsia="Calibri"/>
        </w:rPr>
        <w:t xml:space="preserve"> study</w:t>
      </w:r>
      <w:r w:rsidRPr="0008580A">
        <w:rPr>
          <w:rStyle w:val="FootnoteReference"/>
          <w:rFonts w:eastAsia="Calibri"/>
          <w:sz w:val="22"/>
          <w:szCs w:val="22"/>
        </w:rPr>
        <w:footnoteReference w:id="3"/>
      </w:r>
      <w:r w:rsidRPr="0008580A">
        <w:rPr>
          <w:rFonts w:eastAsia="Calibri"/>
        </w:rPr>
        <w:t xml:space="preserve"> concluded that the direct expenditure on recreational fishing </w:t>
      </w:r>
      <w:r w:rsidR="00C503D3">
        <w:rPr>
          <w:rFonts w:eastAsia="Calibri"/>
        </w:rPr>
        <w:t xml:space="preserve">in Victoria </w:t>
      </w:r>
      <w:r w:rsidRPr="0008580A">
        <w:rPr>
          <w:rFonts w:eastAsia="Calibri"/>
        </w:rPr>
        <w:t>was $2.</w:t>
      </w:r>
      <w:r w:rsidR="00B62FFC">
        <w:rPr>
          <w:rFonts w:eastAsia="Calibri"/>
        </w:rPr>
        <w:t>6</w:t>
      </w:r>
      <w:r w:rsidRPr="0008580A">
        <w:rPr>
          <w:rFonts w:eastAsia="Calibri"/>
        </w:rPr>
        <w:t xml:space="preserve"> billion in 2</w:t>
      </w:r>
      <w:r w:rsidR="00B62FFC">
        <w:rPr>
          <w:rFonts w:eastAsia="Calibri"/>
        </w:rPr>
        <w:t xml:space="preserve">013/14. </w:t>
      </w:r>
      <w:r w:rsidRPr="0008580A">
        <w:rPr>
          <w:rFonts w:eastAsia="Calibri"/>
        </w:rPr>
        <w:t xml:space="preserve">It found that the </w:t>
      </w:r>
      <w:r w:rsidRPr="0008580A">
        <w:rPr>
          <w:rFonts w:eastAsia="Calibri"/>
          <w:i/>
        </w:rPr>
        <w:t>net</w:t>
      </w:r>
      <w:r>
        <w:rPr>
          <w:rFonts w:eastAsia="Calibri"/>
        </w:rPr>
        <w:t xml:space="preserve"> benefit (i.e.</w:t>
      </w:r>
      <w:r w:rsidRPr="0008580A">
        <w:rPr>
          <w:rFonts w:eastAsia="Calibri"/>
        </w:rPr>
        <w:t xml:space="preserve"> after taking account of the costs of fishing) of recreational fishing in 20</w:t>
      </w:r>
      <w:r w:rsidR="00B62FFC">
        <w:rPr>
          <w:rFonts w:eastAsia="Calibri"/>
        </w:rPr>
        <w:t>13/14</w:t>
      </w:r>
      <w:r w:rsidRPr="0008580A">
        <w:rPr>
          <w:rFonts w:eastAsia="Calibri"/>
        </w:rPr>
        <w:t xml:space="preserve"> was $62</w:t>
      </w:r>
      <w:r w:rsidR="00B62FFC">
        <w:rPr>
          <w:rFonts w:eastAsia="Calibri"/>
        </w:rPr>
        <w:t>2</w:t>
      </w:r>
      <w:r w:rsidRPr="0008580A">
        <w:rPr>
          <w:rFonts w:eastAsia="Calibri"/>
        </w:rPr>
        <w:t xml:space="preserve"> million.</w:t>
      </w:r>
    </w:p>
    <w:p w14:paraId="49167200" w14:textId="77777777" w:rsidR="00137C57" w:rsidRDefault="00A34474" w:rsidP="00137C57">
      <w:pPr>
        <w:pStyle w:val="Body"/>
        <w:rPr>
          <w:rFonts w:eastAsia="Calibri"/>
        </w:rPr>
      </w:pPr>
      <w:r>
        <w:rPr>
          <w:rFonts w:eastAsia="Calibri"/>
        </w:rPr>
        <w:t>It was estimated that the</w:t>
      </w:r>
      <w:r w:rsidRPr="0008580A">
        <w:rPr>
          <w:rFonts w:eastAsia="Calibri"/>
        </w:rPr>
        <w:t xml:space="preserve"> recreational fishing industry contributed </w:t>
      </w:r>
      <w:r w:rsidR="00B62FFC">
        <w:rPr>
          <w:rFonts w:eastAsia="Calibri"/>
        </w:rPr>
        <w:t>16,257</w:t>
      </w:r>
      <w:r w:rsidRPr="0008580A">
        <w:rPr>
          <w:rFonts w:eastAsia="Calibri"/>
        </w:rPr>
        <w:t xml:space="preserve"> </w:t>
      </w:r>
      <w:r w:rsidR="00B62FFC">
        <w:rPr>
          <w:rFonts w:eastAsia="Calibri"/>
        </w:rPr>
        <w:t xml:space="preserve">direct </w:t>
      </w:r>
      <w:r w:rsidRPr="0008580A">
        <w:rPr>
          <w:rFonts w:eastAsia="Calibri"/>
        </w:rPr>
        <w:t>jobs in Victoria in 20</w:t>
      </w:r>
      <w:r w:rsidR="00B62FFC">
        <w:rPr>
          <w:rFonts w:eastAsia="Calibri"/>
        </w:rPr>
        <w:t>13/14</w:t>
      </w:r>
      <w:r w:rsidR="00137C57">
        <w:rPr>
          <w:rFonts w:eastAsia="Calibri"/>
        </w:rPr>
        <w:t>, with around 34,000 jobs when indirect impacts are taken into account.</w:t>
      </w:r>
      <w:r w:rsidR="00137C57" w:rsidRPr="00137C57">
        <w:rPr>
          <w:rFonts w:eastAsia="Calibri"/>
        </w:rPr>
        <w:t xml:space="preserve"> </w:t>
      </w:r>
    </w:p>
    <w:p w14:paraId="7D203E11" w14:textId="77777777" w:rsidR="000D16E0" w:rsidRPr="00137C57" w:rsidRDefault="00137C57" w:rsidP="00137C57">
      <w:pPr>
        <w:pStyle w:val="Body"/>
        <w:rPr>
          <w:rFonts w:eastAsia="Calibri"/>
        </w:rPr>
      </w:pPr>
      <w:r w:rsidRPr="0008580A">
        <w:rPr>
          <w:rFonts w:eastAsia="Calibri"/>
        </w:rPr>
        <w:t>The net present value of recreational fishing over the next 20</w:t>
      </w:r>
      <w:r>
        <w:rPr>
          <w:rFonts w:eastAsia="Calibri"/>
        </w:rPr>
        <w:t> </w:t>
      </w:r>
      <w:r w:rsidRPr="0008580A">
        <w:rPr>
          <w:rFonts w:eastAsia="Calibri"/>
        </w:rPr>
        <w:t>years was estimated at $</w:t>
      </w:r>
      <w:r>
        <w:rPr>
          <w:rFonts w:eastAsia="Calibri"/>
        </w:rPr>
        <w:t>91.2</w:t>
      </w:r>
      <w:r w:rsidR="00F35997">
        <w:rPr>
          <w:rFonts w:eastAsia="Calibri"/>
        </w:rPr>
        <w:t> </w:t>
      </w:r>
      <w:r>
        <w:rPr>
          <w:rFonts w:eastAsia="Calibri"/>
        </w:rPr>
        <w:t xml:space="preserve">billion in terms of total output, and $50.8 billion in terms of value added to the economy. </w:t>
      </w:r>
    </w:p>
    <w:p w14:paraId="58FA0ABC" w14:textId="77777777" w:rsidR="000D16E0" w:rsidRDefault="00A34474" w:rsidP="00437C53">
      <w:pPr>
        <w:pStyle w:val="Heading2"/>
        <w:numPr>
          <w:ilvl w:val="0"/>
          <w:numId w:val="0"/>
        </w:numPr>
      </w:pPr>
      <w:bookmarkStart w:id="17" w:name="_Toc441733975"/>
      <w:r>
        <w:t>1.3</w:t>
      </w:r>
      <w:r>
        <w:tab/>
      </w:r>
      <w:r w:rsidRPr="00437C53">
        <w:rPr>
          <w:i/>
        </w:rPr>
        <w:t>Target One Million</w:t>
      </w:r>
      <w:r>
        <w:t xml:space="preserve"> policy</w:t>
      </w:r>
      <w:bookmarkEnd w:id="17"/>
    </w:p>
    <w:p w14:paraId="0B7AB22E" w14:textId="77777777" w:rsidR="00507C89" w:rsidRPr="00A34474" w:rsidRDefault="00A34474" w:rsidP="00507C89">
      <w:pPr>
        <w:pStyle w:val="Body"/>
      </w:pPr>
      <w:r w:rsidRPr="00A34474">
        <w:rPr>
          <w:lang w:val="en"/>
        </w:rPr>
        <w:t xml:space="preserve">The </w:t>
      </w:r>
      <w:r>
        <w:rPr>
          <w:lang w:val="en"/>
        </w:rPr>
        <w:t>Victorian</w:t>
      </w:r>
      <w:r w:rsidRPr="00A34474">
        <w:rPr>
          <w:lang w:val="en"/>
        </w:rPr>
        <w:t xml:space="preserve"> Government has committed to delivering its </w:t>
      </w:r>
      <w:r w:rsidRPr="00A34474">
        <w:rPr>
          <w:i/>
          <w:lang w:val="en"/>
        </w:rPr>
        <w:t>Target One Million</w:t>
      </w:r>
      <w:r w:rsidRPr="00A34474">
        <w:rPr>
          <w:lang w:val="en"/>
        </w:rPr>
        <w:t xml:space="preserve"> plan for recreational fishing, which will get more Victorians fishing more often</w:t>
      </w:r>
      <w:r w:rsidR="00507C89">
        <w:rPr>
          <w:lang w:val="en"/>
        </w:rPr>
        <w:t xml:space="preserve"> (</w:t>
      </w:r>
      <w:r w:rsidR="00507C89" w:rsidRPr="00A34474">
        <w:rPr>
          <w:lang w:val="en"/>
        </w:rPr>
        <w:t xml:space="preserve">increase </w:t>
      </w:r>
      <w:r w:rsidR="00507C89" w:rsidRPr="00A34474">
        <w:t>the number of fishers to one million by 2020</w:t>
      </w:r>
      <w:r w:rsidR="00507C89">
        <w:t>).</w:t>
      </w:r>
    </w:p>
    <w:p w14:paraId="7D12470E" w14:textId="77777777" w:rsidR="00A34474" w:rsidRPr="00A34474" w:rsidRDefault="00507C89" w:rsidP="00A34474">
      <w:pPr>
        <w:pStyle w:val="Body"/>
        <w:rPr>
          <w:lang w:val="en"/>
        </w:rPr>
      </w:pPr>
      <w:r>
        <w:rPr>
          <w:lang w:val="en"/>
        </w:rPr>
        <w:t>Measures to support achievement of</w:t>
      </w:r>
      <w:r w:rsidR="00A34474" w:rsidRPr="00A34474">
        <w:rPr>
          <w:lang w:val="en"/>
        </w:rPr>
        <w:t xml:space="preserve"> </w:t>
      </w:r>
      <w:r w:rsidR="00A34474" w:rsidRPr="00A34474">
        <w:rPr>
          <w:i/>
          <w:lang w:val="en"/>
        </w:rPr>
        <w:t>Target One Million</w:t>
      </w:r>
      <w:r w:rsidR="00A34474" w:rsidRPr="00A34474">
        <w:rPr>
          <w:lang w:val="en"/>
        </w:rPr>
        <w:t xml:space="preserve"> include:</w:t>
      </w:r>
    </w:p>
    <w:p w14:paraId="413CD4B4" w14:textId="77777777" w:rsidR="00A34474" w:rsidRPr="00A34474" w:rsidRDefault="00A34474" w:rsidP="00F97BD4">
      <w:pPr>
        <w:pStyle w:val="Bullet"/>
      </w:pPr>
      <w:r w:rsidRPr="00A34474">
        <w:t>halt commercial netting in Port Phillip and Corio Bays over eight years</w:t>
      </w:r>
    </w:p>
    <w:p w14:paraId="55B8D787" w14:textId="77777777" w:rsidR="00A34474" w:rsidRPr="00A34474" w:rsidRDefault="00A34474" w:rsidP="00F97BD4">
      <w:pPr>
        <w:pStyle w:val="Bullet"/>
      </w:pPr>
      <w:r w:rsidRPr="00A34474">
        <w:t>establish Fisheries Victoria as a Statutory Authority</w:t>
      </w:r>
    </w:p>
    <w:p w14:paraId="2F314397" w14:textId="77777777" w:rsidR="00A34474" w:rsidRPr="00A34474" w:rsidRDefault="00A34474" w:rsidP="00F97BD4">
      <w:pPr>
        <w:pStyle w:val="Bullet"/>
      </w:pPr>
      <w:r w:rsidRPr="00A34474">
        <w:t>pursue reciprocal licence arrangements with New South Wales</w:t>
      </w:r>
    </w:p>
    <w:p w14:paraId="0FFAC0C4" w14:textId="77777777" w:rsidR="00A34474" w:rsidRPr="00A34474" w:rsidRDefault="00A34474" w:rsidP="00F97BD4">
      <w:pPr>
        <w:pStyle w:val="Bullet"/>
      </w:pPr>
      <w:r w:rsidRPr="00A34474">
        <w:t>ban netting at the mouths of rivers in the Gippsland Lakes</w:t>
      </w:r>
    </w:p>
    <w:p w14:paraId="21C1C891" w14:textId="77777777" w:rsidR="00A34474" w:rsidRPr="00A34474" w:rsidRDefault="00A34474" w:rsidP="00F97BD4">
      <w:pPr>
        <w:pStyle w:val="Bullet"/>
      </w:pPr>
      <w:r w:rsidRPr="00A34474">
        <w:t>establish a Better Fishing Facilities Fund</w:t>
      </w:r>
    </w:p>
    <w:p w14:paraId="22382058" w14:textId="77777777" w:rsidR="00A34474" w:rsidRPr="00A34474" w:rsidRDefault="00A34474" w:rsidP="00F97BD4">
      <w:pPr>
        <w:pStyle w:val="Bullet"/>
      </w:pPr>
      <w:r w:rsidRPr="00A34474">
        <w:t>increase fish stocking to 5 million fish per year</w:t>
      </w:r>
    </w:p>
    <w:p w14:paraId="5E3D9640" w14:textId="77777777" w:rsidR="00A34474" w:rsidRPr="00A34474" w:rsidRDefault="00A34474" w:rsidP="00F97BD4">
      <w:pPr>
        <w:pStyle w:val="Bullet"/>
      </w:pPr>
      <w:r w:rsidRPr="00A34474">
        <w:t>implement a marine species stocking program</w:t>
      </w:r>
    </w:p>
    <w:p w14:paraId="7BB9FD9F" w14:textId="77777777" w:rsidR="00A34474" w:rsidRPr="00A34474" w:rsidRDefault="00A34474" w:rsidP="00F97BD4">
      <w:pPr>
        <w:pStyle w:val="Bullet"/>
      </w:pPr>
      <w:r w:rsidRPr="00A34474">
        <w:t>open recreational trout cod fisheries in Beechworth</w:t>
      </w:r>
    </w:p>
    <w:p w14:paraId="2943BDF1" w14:textId="77777777" w:rsidR="00A34474" w:rsidRPr="00A34474" w:rsidRDefault="00A34474" w:rsidP="00F97BD4">
      <w:pPr>
        <w:pStyle w:val="Bullet"/>
      </w:pPr>
      <w:r w:rsidRPr="00A34474">
        <w:t>stock barramundi into Hazelwood Pondage</w:t>
      </w:r>
    </w:p>
    <w:p w14:paraId="26DA7FB9" w14:textId="77777777" w:rsidR="00A34474" w:rsidRPr="00A34474" w:rsidRDefault="00A34474" w:rsidP="00F97BD4">
      <w:pPr>
        <w:pStyle w:val="Bullet"/>
      </w:pPr>
      <w:r w:rsidRPr="00A34474">
        <w:t>allocate 'Stronger Fishing Club' grants</w:t>
      </w:r>
    </w:p>
    <w:p w14:paraId="2762A663" w14:textId="77777777" w:rsidR="00A34474" w:rsidRDefault="00A34474" w:rsidP="00F97BD4">
      <w:pPr>
        <w:pStyle w:val="Bullet"/>
        <w:rPr>
          <w:lang w:val="en"/>
        </w:rPr>
      </w:pPr>
      <w:proofErr w:type="gramStart"/>
      <w:r w:rsidRPr="00A34474">
        <w:t>deliver</w:t>
      </w:r>
      <w:proofErr w:type="gramEnd"/>
      <w:r w:rsidRPr="00A34474">
        <w:t xml:space="preserve"> </w:t>
      </w:r>
      <w:r w:rsidR="00FF2C43" w:rsidRPr="00A34474">
        <w:t>school</w:t>
      </w:r>
      <w:r w:rsidRPr="00A34474">
        <w:rPr>
          <w:lang w:val="en"/>
        </w:rPr>
        <w:t xml:space="preserve"> education and children's fishing programs</w:t>
      </w:r>
      <w:r w:rsidR="00F35997">
        <w:rPr>
          <w:lang w:val="en"/>
        </w:rPr>
        <w:t>.</w:t>
      </w:r>
    </w:p>
    <w:p w14:paraId="0E95F710" w14:textId="77777777" w:rsidR="00897F3D" w:rsidRDefault="00EA596C" w:rsidP="009376E8">
      <w:pPr>
        <w:pStyle w:val="Bullet"/>
        <w:numPr>
          <w:ilvl w:val="0"/>
          <w:numId w:val="0"/>
        </w:numPr>
        <w:rPr>
          <w:rFonts w:cs="Times New Roman"/>
        </w:rPr>
      </w:pPr>
      <w:r>
        <w:t xml:space="preserve">The election commitment included </w:t>
      </w:r>
      <w:r w:rsidR="0019392F" w:rsidRPr="0019392F">
        <w:t>a $35 million plan to phase out commercial netting, upgrade fishing clubs and increase the number of recreational fishers to one million by the year 2020</w:t>
      </w:r>
      <w:r w:rsidR="0019392F">
        <w:t>. This funding commitment comprised</w:t>
      </w:r>
      <w:r w:rsidR="00897F3D">
        <w:t>:</w:t>
      </w:r>
      <w:r w:rsidR="0019392F">
        <w:t xml:space="preserve"> $20 million to support phase out </w:t>
      </w:r>
      <w:r w:rsidR="00172E62">
        <w:t xml:space="preserve">of </w:t>
      </w:r>
      <w:r w:rsidR="0019392F">
        <w:t>commercial netting</w:t>
      </w:r>
      <w:r w:rsidR="00897F3D">
        <w:t>;</w:t>
      </w:r>
      <w:r w:rsidR="0019392F">
        <w:t xml:space="preserve"> </w:t>
      </w:r>
      <w:r w:rsidR="00897F3D">
        <w:t>a $10 million B</w:t>
      </w:r>
      <w:r w:rsidR="00897F3D" w:rsidRPr="00897F3D">
        <w:t xml:space="preserve">etter Fishing Facilities Fund </w:t>
      </w:r>
      <w:r w:rsidR="00897F3D">
        <w:t>to</w:t>
      </w:r>
      <w:r w:rsidR="00897F3D" w:rsidRPr="00897F3D">
        <w:t xml:space="preserve"> develop new recreational fishing reefs, improve boat launching facilities and access to waterways, and install fish cleaning table</w:t>
      </w:r>
      <w:r w:rsidR="00897F3D">
        <w:t xml:space="preserve">s and fish aggregating devices; and $5 million </w:t>
      </w:r>
      <w:r w:rsidR="00E3671B">
        <w:t xml:space="preserve">to assist </w:t>
      </w:r>
      <w:r w:rsidR="00E3671B">
        <w:rPr>
          <w:rFonts w:cs="Times New Roman"/>
        </w:rPr>
        <w:t>fishing clubs (with grants up to $2000 each) to promote membership.</w:t>
      </w:r>
      <w:r w:rsidR="00DA4D4F">
        <w:rPr>
          <w:rFonts w:cs="Times New Roman"/>
        </w:rPr>
        <w:t xml:space="preserve"> </w:t>
      </w:r>
    </w:p>
    <w:p w14:paraId="2A33E526" w14:textId="77777777" w:rsidR="006E5F9C" w:rsidRPr="00A34474" w:rsidRDefault="0078653F" w:rsidP="00334682">
      <w:pPr>
        <w:pStyle w:val="Bullet"/>
        <w:numPr>
          <w:ilvl w:val="0"/>
          <w:numId w:val="0"/>
        </w:numPr>
        <w:rPr>
          <w:lang w:val="en"/>
        </w:rPr>
      </w:pPr>
      <w:r>
        <w:rPr>
          <w:i/>
        </w:rPr>
        <w:t>Target One Million</w:t>
      </w:r>
      <w:r w:rsidR="006613A5">
        <w:t xml:space="preserve"> will primarily draw funds from non-RFL sources, including appropriations announced in the 2015/16 State Budget and departmental reprioritisation. Consistent with the </w:t>
      </w:r>
      <w:r w:rsidR="006613A5">
        <w:rPr>
          <w:i/>
        </w:rPr>
        <w:t>Fisheries Act 1995</w:t>
      </w:r>
      <w:r w:rsidR="006613A5">
        <w:t xml:space="preserve">, RFL revenue will continue to be used to fund initiatives and programs to improve recreational fishing. As described in section 3.3 of this RIS, RFL revenue, including that </w:t>
      </w:r>
      <w:r w:rsidR="006E5F9C">
        <w:t xml:space="preserve">raised from the </w:t>
      </w:r>
      <w:r w:rsidR="006E5F9C" w:rsidRPr="0056293D">
        <w:t>proposed fee increases</w:t>
      </w:r>
      <w:r w:rsidR="0078335C">
        <w:t>,</w:t>
      </w:r>
      <w:r w:rsidR="006E5F9C" w:rsidRPr="0056293D">
        <w:t xml:space="preserve"> </w:t>
      </w:r>
      <w:r w:rsidR="007655A2">
        <w:t>may be directed</w:t>
      </w:r>
      <w:r w:rsidR="006E5F9C">
        <w:t xml:space="preserve"> to several of the above areas, </w:t>
      </w:r>
      <w:r w:rsidR="007655A2">
        <w:t>which would</w:t>
      </w:r>
      <w:r w:rsidR="006E5F9C">
        <w:t xml:space="preserve"> clearly assist in meeting the </w:t>
      </w:r>
      <w:r w:rsidR="006E5F9C" w:rsidRPr="0056293D">
        <w:rPr>
          <w:i/>
          <w:iCs/>
        </w:rPr>
        <w:t>Target One Million</w:t>
      </w:r>
      <w:r w:rsidR="006E5F9C" w:rsidRPr="0056293D">
        <w:t xml:space="preserve"> </w:t>
      </w:r>
      <w:r w:rsidR="006E5F9C">
        <w:t>objectives</w:t>
      </w:r>
      <w:r w:rsidR="006E5F9C" w:rsidRPr="0056293D">
        <w:t>.</w:t>
      </w:r>
    </w:p>
    <w:p w14:paraId="23EAAF75" w14:textId="77777777" w:rsidR="004E4A33" w:rsidRPr="0008580A" w:rsidRDefault="003F379D" w:rsidP="00437C53">
      <w:pPr>
        <w:pStyle w:val="Heading2"/>
        <w:numPr>
          <w:ilvl w:val="0"/>
          <w:numId w:val="0"/>
        </w:numPr>
      </w:pPr>
      <w:bookmarkStart w:id="18" w:name="_Toc441733976"/>
      <w:r>
        <w:t>1.4</w:t>
      </w:r>
      <w:r>
        <w:tab/>
      </w:r>
      <w:r w:rsidR="004E4A33" w:rsidRPr="00CC79FA">
        <w:t>Purpose</w:t>
      </w:r>
      <w:r w:rsidR="004E4A33" w:rsidRPr="0008580A">
        <w:t xml:space="preserve"> of this Regulatory Impact Statement</w:t>
      </w:r>
      <w:bookmarkEnd w:id="15"/>
      <w:bookmarkEnd w:id="18"/>
      <w:r w:rsidR="004E4A33" w:rsidRPr="0008580A">
        <w:t xml:space="preserve"> </w:t>
      </w:r>
    </w:p>
    <w:p w14:paraId="7D59EE5F" w14:textId="77777777" w:rsidR="004E4A33" w:rsidRDefault="004E4A33" w:rsidP="00E14988">
      <w:pPr>
        <w:pStyle w:val="Body"/>
      </w:pPr>
      <w:r w:rsidRPr="0008580A">
        <w:t xml:space="preserve">This Regulatory Impact Statement (RIS) formally assesses the proposed </w:t>
      </w:r>
      <w:r w:rsidR="009A3444" w:rsidRPr="009A3444">
        <w:t xml:space="preserve">Fisheries and Fisheries (Fees, Royalties and Levies) Amendment </w:t>
      </w:r>
      <w:r w:rsidR="0056333B">
        <w:t xml:space="preserve">(Recreational Fishery Licences) </w:t>
      </w:r>
      <w:r w:rsidR="009A3444" w:rsidRPr="009A3444">
        <w:t>Regulations 201</w:t>
      </w:r>
      <w:r w:rsidR="003F379D">
        <w:t>6</w:t>
      </w:r>
      <w:r w:rsidR="009A3444">
        <w:t xml:space="preserve"> </w:t>
      </w:r>
      <w:r w:rsidRPr="0008580A">
        <w:t xml:space="preserve">against the requirements in the </w:t>
      </w:r>
      <w:r w:rsidRPr="003F379D">
        <w:rPr>
          <w:i/>
        </w:rPr>
        <w:t>Subordinate Legislation Act 1994</w:t>
      </w:r>
      <w:r w:rsidRPr="0008580A">
        <w:t xml:space="preserve"> and the </w:t>
      </w:r>
      <w:r w:rsidRPr="003F379D">
        <w:rPr>
          <w:i/>
        </w:rPr>
        <w:t>Victorian Guide to Regulation</w:t>
      </w:r>
      <w:r w:rsidRPr="0008580A">
        <w:t>.</w:t>
      </w:r>
    </w:p>
    <w:p w14:paraId="7E1AAEAA" w14:textId="77777777" w:rsidR="003F379D" w:rsidRPr="0008580A" w:rsidRDefault="003F379D" w:rsidP="00E14988">
      <w:pPr>
        <w:pStyle w:val="Body"/>
      </w:pPr>
      <w:r>
        <w:t>The proposed Regulations deal with increases to RFL fees.</w:t>
      </w:r>
    </w:p>
    <w:p w14:paraId="60ABAF36" w14:textId="77777777" w:rsidR="004E4A33" w:rsidRPr="0008580A" w:rsidRDefault="003F379D" w:rsidP="00E14988">
      <w:pPr>
        <w:pStyle w:val="Body"/>
      </w:pPr>
      <w:r>
        <w:t xml:space="preserve">As required by the </w:t>
      </w:r>
      <w:r w:rsidRPr="00DE4094">
        <w:t>Subordinate Legislation Act</w:t>
      </w:r>
      <w:r>
        <w:t xml:space="preserve">, </w:t>
      </w:r>
      <w:r w:rsidR="004E4A33" w:rsidRPr="0008580A">
        <w:t>this RIS:</w:t>
      </w:r>
    </w:p>
    <w:p w14:paraId="356D8368" w14:textId="77777777" w:rsidR="004E4A33" w:rsidRPr="0008580A" w:rsidRDefault="004E4A33" w:rsidP="00F97BD4">
      <w:pPr>
        <w:pStyle w:val="Bullet"/>
      </w:pPr>
      <w:r w:rsidRPr="0008580A">
        <w:t>outlines the objectives of the proposed Regulations</w:t>
      </w:r>
    </w:p>
    <w:p w14:paraId="45570FFC" w14:textId="77777777" w:rsidR="004E4A33" w:rsidRPr="0008580A" w:rsidRDefault="004E4A33" w:rsidP="00F97BD4">
      <w:pPr>
        <w:pStyle w:val="Bullet"/>
      </w:pPr>
      <w:r w:rsidRPr="0008580A">
        <w:t>explains the effects of the proposed Regulations on various stakeholders</w:t>
      </w:r>
    </w:p>
    <w:p w14:paraId="380D2345" w14:textId="77777777" w:rsidR="004E4A33" w:rsidRPr="0008580A" w:rsidRDefault="004E4A33" w:rsidP="00F97BD4">
      <w:pPr>
        <w:pStyle w:val="Bullet"/>
      </w:pPr>
      <w:proofErr w:type="gramStart"/>
      <w:r w:rsidRPr="0008580A">
        <w:t>assesses</w:t>
      </w:r>
      <w:proofErr w:type="gramEnd"/>
      <w:r w:rsidRPr="0008580A">
        <w:t xml:space="preserve"> the costs and benefits of the proposed Regulations</w:t>
      </w:r>
      <w:r w:rsidR="003F379D">
        <w:t xml:space="preserve"> and other practical means of achieving the same objectives</w:t>
      </w:r>
      <w:r w:rsidRPr="0008580A">
        <w:t>.</w:t>
      </w:r>
    </w:p>
    <w:p w14:paraId="6B0ED70B" w14:textId="77777777" w:rsidR="00BE37E6" w:rsidRPr="0008580A" w:rsidRDefault="004E4A33" w:rsidP="00E14988">
      <w:pPr>
        <w:pStyle w:val="Body"/>
      </w:pPr>
      <w:r w:rsidRPr="0008580A">
        <w:t xml:space="preserve">A primary function of the RIS process is to allow the public to comment on the proposed Regulations before they are finalised. Public input provides valuable information and perspectives and improves the overall quality of regulations. Accordingly, </w:t>
      </w:r>
      <w:r w:rsidR="00E72123" w:rsidRPr="0008580A">
        <w:t xml:space="preserve">feedback on the </w:t>
      </w:r>
      <w:r w:rsidRPr="0008580A">
        <w:t xml:space="preserve">proposed Regulations </w:t>
      </w:r>
      <w:r w:rsidR="004647EE">
        <w:t xml:space="preserve">(Attachment D) </w:t>
      </w:r>
      <w:r w:rsidR="00E72123" w:rsidRPr="0008580A">
        <w:t>is welcomed</w:t>
      </w:r>
      <w:r w:rsidRPr="0008580A">
        <w:t xml:space="preserve"> and encourage</w:t>
      </w:r>
      <w:r w:rsidR="00E72123" w:rsidRPr="0008580A">
        <w:t>d</w:t>
      </w:r>
      <w:r w:rsidRPr="0008580A">
        <w:t>.</w:t>
      </w:r>
      <w:r w:rsidR="003F379D">
        <w:t xml:space="preserve"> </w:t>
      </w:r>
    </w:p>
    <w:p w14:paraId="335CBE0D" w14:textId="77777777" w:rsidR="00914A34" w:rsidRPr="0008580A" w:rsidRDefault="0098615D" w:rsidP="00E14988">
      <w:pPr>
        <w:pStyle w:val="Body"/>
      </w:pPr>
      <w:r w:rsidRPr="0008580A">
        <w:t xml:space="preserve"> </w:t>
      </w:r>
    </w:p>
    <w:p w14:paraId="07F3D8B6" w14:textId="77777777" w:rsidR="004E4A33" w:rsidRPr="0008580A" w:rsidRDefault="004E4A33" w:rsidP="006C6C78">
      <w:pPr>
        <w:rPr>
          <w:rFonts w:eastAsia="Calibri"/>
        </w:rPr>
      </w:pPr>
      <w:r w:rsidRPr="0008580A">
        <w:rPr>
          <w:rFonts w:eastAsia="Calibri"/>
        </w:rPr>
        <w:t xml:space="preserve"> </w:t>
      </w:r>
    </w:p>
    <w:p w14:paraId="30CD6562" w14:textId="77777777" w:rsidR="004E4A33" w:rsidRPr="0008580A" w:rsidRDefault="004E4A33" w:rsidP="006C6C78">
      <w:pPr>
        <w:sectPr w:rsidR="004E4A33" w:rsidRPr="0008580A" w:rsidSect="00813A7E">
          <w:headerReference w:type="even" r:id="rId31"/>
          <w:headerReference w:type="default" r:id="rId32"/>
          <w:footerReference w:type="default" r:id="rId33"/>
          <w:headerReference w:type="first" r:id="rId34"/>
          <w:footerReference w:type="first" r:id="rId35"/>
          <w:pgSz w:w="11900" w:h="16840"/>
          <w:pgMar w:top="1440" w:right="1800" w:bottom="1440" w:left="1800" w:header="708" w:footer="708" w:gutter="0"/>
          <w:pgNumType w:start="1"/>
          <w:cols w:space="708"/>
          <w:titlePg/>
          <w:docGrid w:linePitch="360"/>
        </w:sectPr>
      </w:pPr>
    </w:p>
    <w:p w14:paraId="52B71AF8" w14:textId="77777777" w:rsidR="004E4A33" w:rsidRPr="0008580A" w:rsidRDefault="00B52871" w:rsidP="0051228E">
      <w:pPr>
        <w:pStyle w:val="Heading1"/>
        <w:numPr>
          <w:ilvl w:val="0"/>
          <w:numId w:val="0"/>
        </w:numPr>
        <w:ind w:left="567" w:hanging="567"/>
      </w:pPr>
      <w:bookmarkStart w:id="19" w:name="_Toc441733977"/>
      <w:r>
        <w:t>2.</w:t>
      </w:r>
      <w:r>
        <w:tab/>
      </w:r>
      <w:r w:rsidR="00092430">
        <w:t>RFL fees</w:t>
      </w:r>
      <w:bookmarkEnd w:id="19"/>
      <w:r w:rsidR="004E4A33" w:rsidRPr="0008580A">
        <w:t xml:space="preserve"> </w:t>
      </w:r>
    </w:p>
    <w:p w14:paraId="5592890A" w14:textId="77777777" w:rsidR="00092430" w:rsidRPr="0008580A" w:rsidRDefault="00092430" w:rsidP="00092430">
      <w:pPr>
        <w:pStyle w:val="Heading2"/>
        <w:numPr>
          <w:ilvl w:val="0"/>
          <w:numId w:val="0"/>
        </w:numPr>
      </w:pPr>
      <w:bookmarkStart w:id="20" w:name="_Toc441733978"/>
      <w:r>
        <w:t>2.1</w:t>
      </w:r>
      <w:r>
        <w:tab/>
        <w:t xml:space="preserve">The need for </w:t>
      </w:r>
      <w:r w:rsidR="004731EB">
        <w:t xml:space="preserve">RFL </w:t>
      </w:r>
      <w:r>
        <w:t>f</w:t>
      </w:r>
      <w:r w:rsidR="004731EB">
        <w:t>ees</w:t>
      </w:r>
      <w:bookmarkEnd w:id="20"/>
    </w:p>
    <w:p w14:paraId="71A02284" w14:textId="77777777" w:rsidR="00092430" w:rsidRDefault="00092430" w:rsidP="00092430">
      <w:pPr>
        <w:pStyle w:val="Body"/>
      </w:pPr>
      <w:r>
        <w:rPr>
          <w:rFonts w:eastAsia="Calibri"/>
        </w:rPr>
        <w:t>T</w:t>
      </w:r>
      <w:r w:rsidRPr="0008580A">
        <w:rPr>
          <w:rFonts w:eastAsia="Calibri"/>
        </w:rPr>
        <w:t>o be a successful part of our way of life, recreational fishing requires effective management of fish stocks, provision of infrastructure to ensure access to recreational fishing</w:t>
      </w:r>
      <w:r>
        <w:rPr>
          <w:rFonts w:eastAsia="Calibri"/>
        </w:rPr>
        <w:t>,</w:t>
      </w:r>
      <w:r w:rsidRPr="0008580A">
        <w:rPr>
          <w:rFonts w:eastAsia="Calibri"/>
        </w:rPr>
        <w:t xml:space="preserve"> and ongoing research, education, and enforcement</w:t>
      </w:r>
      <w:r>
        <w:rPr>
          <w:rFonts w:eastAsia="Calibri"/>
        </w:rPr>
        <w:t xml:space="preserve"> to ensure its sustainability</w:t>
      </w:r>
      <w:r w:rsidRPr="0008580A">
        <w:rPr>
          <w:rFonts w:eastAsia="Calibri"/>
        </w:rPr>
        <w:t xml:space="preserve">. Most of these elements cannot be done efficiently by individual fishers – there is a need for coordination of these activities, and the </w:t>
      </w:r>
      <w:r>
        <w:rPr>
          <w:rFonts w:eastAsia="Calibri"/>
        </w:rPr>
        <w:t>Victorian</w:t>
      </w:r>
      <w:r w:rsidRPr="0008580A">
        <w:rPr>
          <w:rFonts w:eastAsia="Calibri"/>
        </w:rPr>
        <w:t xml:space="preserve"> Government </w:t>
      </w:r>
      <w:r>
        <w:rPr>
          <w:rFonts w:eastAsia="Calibri"/>
        </w:rPr>
        <w:t>has an important role to play</w:t>
      </w:r>
      <w:r w:rsidRPr="0008580A">
        <w:rPr>
          <w:rFonts w:eastAsia="Calibri"/>
        </w:rPr>
        <w:t xml:space="preserve">. By having a licensing system with the collection of licence </w:t>
      </w:r>
      <w:r>
        <w:rPr>
          <w:rFonts w:eastAsia="Calibri"/>
        </w:rPr>
        <w:t>revenue</w:t>
      </w:r>
      <w:r w:rsidRPr="0008580A">
        <w:rPr>
          <w:rFonts w:eastAsia="Calibri"/>
        </w:rPr>
        <w:t xml:space="preserve"> dedicated to further improving recreational fishing opportunities, the </w:t>
      </w:r>
      <w:r>
        <w:rPr>
          <w:rFonts w:eastAsia="Calibri"/>
        </w:rPr>
        <w:t>G</w:t>
      </w:r>
      <w:r w:rsidRPr="0008580A">
        <w:rPr>
          <w:rFonts w:eastAsia="Calibri"/>
        </w:rPr>
        <w:t xml:space="preserve">overnment can work with the sector to coordinate crucial investment </w:t>
      </w:r>
      <w:r>
        <w:rPr>
          <w:rFonts w:eastAsia="Calibri"/>
        </w:rPr>
        <w:t>to</w:t>
      </w:r>
      <w:r w:rsidRPr="0008580A">
        <w:rPr>
          <w:rFonts w:eastAsia="Calibri"/>
        </w:rPr>
        <w:t xml:space="preserve"> further support this form of fishing and, therefore, </w:t>
      </w:r>
      <w:r>
        <w:rPr>
          <w:rFonts w:eastAsia="Calibri"/>
        </w:rPr>
        <w:t>optimise its net benefit to the community.</w:t>
      </w:r>
      <w:r w:rsidRPr="002328C8">
        <w:t xml:space="preserve"> </w:t>
      </w:r>
      <w:r w:rsidR="00DE4094">
        <w:t>The following figure sets out how the existence of recreational fishing has a number of consequential impacts, and how these impacts create a need for funding.</w:t>
      </w:r>
    </w:p>
    <w:p w14:paraId="275912A6" w14:textId="77777777" w:rsidR="002E193C" w:rsidRPr="002E193C" w:rsidRDefault="002E193C" w:rsidP="002E193C">
      <w:pPr>
        <w:pStyle w:val="TableTitle"/>
        <w:rPr>
          <w:rFonts w:eastAsia="Calibri"/>
        </w:rPr>
      </w:pPr>
      <w:r w:rsidRPr="002E193C">
        <w:rPr>
          <w:rFonts w:eastAsia="Calibri"/>
        </w:rPr>
        <w:t xml:space="preserve">Figure 2A – </w:t>
      </w:r>
      <w:r w:rsidR="00DE4094">
        <w:rPr>
          <w:rFonts w:eastAsia="Calibri"/>
        </w:rPr>
        <w:t>C</w:t>
      </w:r>
      <w:r w:rsidRPr="002E193C">
        <w:rPr>
          <w:rFonts w:eastAsia="Calibri"/>
        </w:rPr>
        <w:t xml:space="preserve">onsequential </w:t>
      </w:r>
      <w:r w:rsidR="00DE4094">
        <w:rPr>
          <w:rFonts w:eastAsia="Calibri"/>
        </w:rPr>
        <w:t>impacts</w:t>
      </w:r>
      <w:r w:rsidR="00DE4094" w:rsidRPr="002E193C">
        <w:rPr>
          <w:rFonts w:eastAsia="Calibri"/>
        </w:rPr>
        <w:t xml:space="preserve"> </w:t>
      </w:r>
      <w:r w:rsidRPr="002E193C">
        <w:rPr>
          <w:rFonts w:eastAsia="Calibri"/>
        </w:rPr>
        <w:t>of recreational fishing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4258"/>
        <w:gridCol w:w="4258"/>
      </w:tblGrid>
      <w:tr w:rsidR="00861528" w:rsidRPr="00861528" w14:paraId="19DD4C69" w14:textId="77777777" w:rsidTr="00861528">
        <w:tc>
          <w:tcPr>
            <w:tcW w:w="4258" w:type="dxa"/>
            <w:shd w:val="clear" w:color="auto" w:fill="1F497D" w:themeFill="text2"/>
          </w:tcPr>
          <w:p w14:paraId="1F2D24FA" w14:textId="77777777" w:rsidR="00861528" w:rsidRPr="00861528" w:rsidRDefault="00861528" w:rsidP="00092430">
            <w:pPr>
              <w:pStyle w:val="Body"/>
              <w:rPr>
                <w:rFonts w:eastAsia="Calibri"/>
                <w:b/>
                <w:color w:val="FFFFFF" w:themeColor="background1"/>
              </w:rPr>
            </w:pPr>
            <w:r w:rsidRPr="00861528">
              <w:rPr>
                <w:rFonts w:eastAsia="Calibri"/>
                <w:b/>
                <w:color w:val="FFFFFF" w:themeColor="background1"/>
              </w:rPr>
              <w:t>Impact of recreational fishing</w:t>
            </w:r>
          </w:p>
        </w:tc>
        <w:tc>
          <w:tcPr>
            <w:tcW w:w="4258" w:type="dxa"/>
            <w:shd w:val="clear" w:color="auto" w:fill="1F497D" w:themeFill="text2"/>
          </w:tcPr>
          <w:p w14:paraId="21F046EA" w14:textId="77777777" w:rsidR="00861528" w:rsidRPr="00861528" w:rsidRDefault="00861528" w:rsidP="00092430">
            <w:pPr>
              <w:pStyle w:val="Body"/>
              <w:rPr>
                <w:rFonts w:eastAsia="Calibri"/>
                <w:b/>
                <w:color w:val="FFFFFF" w:themeColor="background1"/>
              </w:rPr>
            </w:pPr>
            <w:r w:rsidRPr="00861528">
              <w:rPr>
                <w:rFonts w:eastAsia="Calibri"/>
                <w:b/>
                <w:color w:val="FFFFFF" w:themeColor="background1"/>
              </w:rPr>
              <w:t>Consequential funding needs</w:t>
            </w:r>
          </w:p>
        </w:tc>
      </w:tr>
      <w:tr w:rsidR="00861528" w14:paraId="08487E2F" w14:textId="77777777" w:rsidTr="00861528">
        <w:tc>
          <w:tcPr>
            <w:tcW w:w="4258" w:type="dxa"/>
          </w:tcPr>
          <w:p w14:paraId="59C923F9" w14:textId="77777777" w:rsidR="00861528" w:rsidRDefault="00861528" w:rsidP="00861528">
            <w:pPr>
              <w:pStyle w:val="Body"/>
              <w:rPr>
                <w:rFonts w:eastAsia="Calibri"/>
              </w:rPr>
            </w:pPr>
            <w:r>
              <w:rPr>
                <w:rFonts w:eastAsia="Calibri"/>
              </w:rPr>
              <w:t>Economic and social benefits associated with recreational fishing</w:t>
            </w:r>
          </w:p>
        </w:tc>
        <w:tc>
          <w:tcPr>
            <w:tcW w:w="4258" w:type="dxa"/>
          </w:tcPr>
          <w:p w14:paraId="1475DA68" w14:textId="77777777" w:rsidR="00861528" w:rsidRDefault="00861528" w:rsidP="005533A9">
            <w:pPr>
              <w:pStyle w:val="Body"/>
              <w:rPr>
                <w:rFonts w:eastAsia="Calibri"/>
              </w:rPr>
            </w:pPr>
            <w:r>
              <w:rPr>
                <w:rFonts w:eastAsia="Calibri"/>
              </w:rPr>
              <w:t xml:space="preserve">Impacts depend on availability and access, as well as quality of fishing. </w:t>
            </w:r>
            <w:r w:rsidR="005533A9">
              <w:rPr>
                <w:rFonts w:eastAsia="Calibri"/>
              </w:rPr>
              <w:t>Initiatives and programs</w:t>
            </w:r>
            <w:r>
              <w:rPr>
                <w:rFonts w:eastAsia="Calibri"/>
              </w:rPr>
              <w:t xml:space="preserve"> may enhance the economic and social benefits achieved.</w:t>
            </w:r>
          </w:p>
        </w:tc>
      </w:tr>
      <w:tr w:rsidR="00861528" w14:paraId="4FE96BCC" w14:textId="77777777" w:rsidTr="00861528">
        <w:tc>
          <w:tcPr>
            <w:tcW w:w="4258" w:type="dxa"/>
          </w:tcPr>
          <w:p w14:paraId="601D7F9A" w14:textId="77777777" w:rsidR="00861528" w:rsidRDefault="00F85564" w:rsidP="00F85564">
            <w:pPr>
              <w:pStyle w:val="Body"/>
              <w:rPr>
                <w:rFonts w:eastAsia="Calibri"/>
              </w:rPr>
            </w:pPr>
            <w:r>
              <w:rPr>
                <w:rFonts w:eastAsia="Calibri"/>
              </w:rPr>
              <w:t>Creates need for p</w:t>
            </w:r>
            <w:r w:rsidR="00861528">
              <w:rPr>
                <w:rFonts w:eastAsia="Calibri"/>
              </w:rPr>
              <w:t xml:space="preserve">rovision of </w:t>
            </w:r>
            <w:r>
              <w:rPr>
                <w:rFonts w:eastAsia="Calibri"/>
              </w:rPr>
              <w:t xml:space="preserve">supporting </w:t>
            </w:r>
            <w:r w:rsidR="00861528">
              <w:rPr>
                <w:rFonts w:eastAsia="Calibri"/>
              </w:rPr>
              <w:t>recreational</w:t>
            </w:r>
            <w:r w:rsidR="002C0A68">
              <w:rPr>
                <w:rFonts w:eastAsia="Calibri"/>
              </w:rPr>
              <w:t xml:space="preserve"> </w:t>
            </w:r>
            <w:r w:rsidR="00861528">
              <w:rPr>
                <w:rFonts w:eastAsia="Calibri"/>
              </w:rPr>
              <w:t>fishing infrastructure</w:t>
            </w:r>
          </w:p>
        </w:tc>
        <w:tc>
          <w:tcPr>
            <w:tcW w:w="4258" w:type="dxa"/>
          </w:tcPr>
          <w:p w14:paraId="66B52F6E" w14:textId="77777777" w:rsidR="00861528" w:rsidRDefault="00861528" w:rsidP="00092430">
            <w:pPr>
              <w:pStyle w:val="Body"/>
              <w:rPr>
                <w:rFonts w:eastAsia="Calibri"/>
              </w:rPr>
            </w:pPr>
            <w:r>
              <w:rPr>
                <w:rFonts w:eastAsia="Calibri"/>
              </w:rPr>
              <w:t>Investment in infrastructure that is efficient</w:t>
            </w:r>
          </w:p>
        </w:tc>
      </w:tr>
      <w:tr w:rsidR="00861528" w14:paraId="407FF7B7" w14:textId="77777777" w:rsidTr="00861528">
        <w:tc>
          <w:tcPr>
            <w:tcW w:w="4258" w:type="dxa"/>
          </w:tcPr>
          <w:p w14:paraId="48D94CF9" w14:textId="77777777" w:rsidR="00861528" w:rsidRDefault="00861528" w:rsidP="00861528">
            <w:pPr>
              <w:pStyle w:val="Body"/>
              <w:rPr>
                <w:rFonts w:eastAsia="Calibri"/>
              </w:rPr>
            </w:pPr>
            <w:r>
              <w:rPr>
                <w:rFonts w:eastAsia="Calibri"/>
              </w:rPr>
              <w:t xml:space="preserve">Impacts on sustainability of activity and relationship to other types of fishing </w:t>
            </w:r>
            <w:r w:rsidR="0031277A">
              <w:rPr>
                <w:rFonts w:eastAsia="Calibri"/>
              </w:rPr>
              <w:t>(</w:t>
            </w:r>
            <w:r>
              <w:rPr>
                <w:rFonts w:eastAsia="Calibri"/>
              </w:rPr>
              <w:t>commercial, aboriginal) and ecological value of fish</w:t>
            </w:r>
          </w:p>
        </w:tc>
        <w:tc>
          <w:tcPr>
            <w:tcW w:w="4258" w:type="dxa"/>
          </w:tcPr>
          <w:p w14:paraId="536ABA75" w14:textId="77777777" w:rsidR="00861528" w:rsidRDefault="00861528" w:rsidP="0031277A">
            <w:pPr>
              <w:pStyle w:val="Body"/>
              <w:rPr>
                <w:rFonts w:eastAsia="Calibri"/>
              </w:rPr>
            </w:pPr>
            <w:r>
              <w:rPr>
                <w:rFonts w:eastAsia="Calibri"/>
              </w:rPr>
              <w:t>Impacts are managed through licensing and other controls (catch and size limits, controls on equipment). Costs associated with licence administration, education and enforcement, and man</w:t>
            </w:r>
            <w:r w:rsidR="0031277A">
              <w:rPr>
                <w:rFonts w:eastAsia="Calibri"/>
              </w:rPr>
              <w:t>aging and monitoring fisheries</w:t>
            </w:r>
            <w:r>
              <w:rPr>
                <w:rFonts w:eastAsia="Calibri"/>
              </w:rPr>
              <w:t>. Funding also required for fish restocking.</w:t>
            </w:r>
          </w:p>
        </w:tc>
      </w:tr>
      <w:tr w:rsidR="00861528" w14:paraId="2883DA72" w14:textId="77777777" w:rsidTr="00861528">
        <w:tc>
          <w:tcPr>
            <w:tcW w:w="4258" w:type="dxa"/>
          </w:tcPr>
          <w:p w14:paraId="084EFFD3" w14:textId="77777777" w:rsidR="00861528" w:rsidRDefault="00861528" w:rsidP="00861528">
            <w:pPr>
              <w:pStyle w:val="Body"/>
              <w:rPr>
                <w:rFonts w:eastAsia="Calibri"/>
              </w:rPr>
            </w:pPr>
            <w:r>
              <w:rPr>
                <w:rFonts w:eastAsia="Calibri"/>
              </w:rPr>
              <w:t>Need for research to identify trends, inform funding priorities, determine fish stocks and infrastructure needs, improve fishing quality and balance competing demands</w:t>
            </w:r>
          </w:p>
        </w:tc>
        <w:tc>
          <w:tcPr>
            <w:tcW w:w="4258" w:type="dxa"/>
          </w:tcPr>
          <w:p w14:paraId="59B8FB0C" w14:textId="77777777" w:rsidR="00861528" w:rsidRDefault="00861528" w:rsidP="00DC2084">
            <w:pPr>
              <w:pStyle w:val="Body"/>
              <w:rPr>
                <w:rFonts w:eastAsia="Calibri"/>
              </w:rPr>
            </w:pPr>
            <w:r>
              <w:rPr>
                <w:rFonts w:eastAsia="Calibri"/>
              </w:rPr>
              <w:t>Research is undertaken by govern</w:t>
            </w:r>
            <w:r w:rsidR="00DC2084">
              <w:rPr>
                <w:rFonts w:eastAsia="Calibri"/>
              </w:rPr>
              <w:t>ment</w:t>
            </w:r>
            <w:r>
              <w:rPr>
                <w:rFonts w:eastAsia="Calibri"/>
              </w:rPr>
              <w:t xml:space="preserve"> and the sector.</w:t>
            </w:r>
          </w:p>
        </w:tc>
      </w:tr>
    </w:tbl>
    <w:p w14:paraId="65600E25" w14:textId="77777777" w:rsidR="00861528" w:rsidRPr="0008580A" w:rsidRDefault="00861528" w:rsidP="00092430">
      <w:pPr>
        <w:pStyle w:val="Body"/>
        <w:rPr>
          <w:rFonts w:eastAsia="Calibri"/>
        </w:rPr>
      </w:pPr>
    </w:p>
    <w:p w14:paraId="310B8D44" w14:textId="77777777" w:rsidR="00092430" w:rsidRPr="0008580A" w:rsidRDefault="00092430" w:rsidP="00092430">
      <w:pPr>
        <w:pStyle w:val="Body"/>
        <w:rPr>
          <w:rFonts w:eastAsia="Calibri"/>
        </w:rPr>
      </w:pPr>
      <w:r w:rsidRPr="0008580A">
        <w:rPr>
          <w:rFonts w:eastAsia="Calibri"/>
        </w:rPr>
        <w:t xml:space="preserve">The management of recreational fisheries and the provision of facilities, infrastructure, services and products to benefit recreational fishers </w:t>
      </w:r>
      <w:proofErr w:type="gramStart"/>
      <w:r w:rsidRPr="0008580A">
        <w:rPr>
          <w:rFonts w:eastAsia="Calibri"/>
        </w:rPr>
        <w:t>is</w:t>
      </w:r>
      <w:proofErr w:type="gramEnd"/>
      <w:r w:rsidRPr="0008580A">
        <w:rPr>
          <w:rFonts w:eastAsia="Calibri"/>
        </w:rPr>
        <w:t xml:space="preserve"> costly. The need for all of these services and products continues to </w:t>
      </w:r>
      <w:r>
        <w:rPr>
          <w:rFonts w:eastAsia="Calibri"/>
        </w:rPr>
        <w:t>grow, but recreational fishers do not rely on G</w:t>
      </w:r>
      <w:r w:rsidRPr="0008580A">
        <w:rPr>
          <w:rFonts w:eastAsia="Calibri"/>
        </w:rPr>
        <w:t xml:space="preserve">overnment to fund their private activities. Recreational fishers in Victoria have a history of contributing funds, through their licence fees, to be used to further support and enhance the quality of recreational fishing in Victoria. This </w:t>
      </w:r>
      <w:r>
        <w:rPr>
          <w:rFonts w:eastAsia="Calibri"/>
        </w:rPr>
        <w:t>benefits</w:t>
      </w:r>
      <w:r w:rsidRPr="0008580A">
        <w:rPr>
          <w:rFonts w:eastAsia="Calibri"/>
        </w:rPr>
        <w:t xml:space="preserve"> the social and economic activities across the state.</w:t>
      </w:r>
    </w:p>
    <w:p w14:paraId="23372BCB" w14:textId="77777777" w:rsidR="00092430" w:rsidRDefault="00092430" w:rsidP="00092430">
      <w:pPr>
        <w:pStyle w:val="Body"/>
        <w:rPr>
          <w:rFonts w:eastAsia="Calibri"/>
        </w:rPr>
      </w:pPr>
      <w:r w:rsidRPr="0008580A">
        <w:rPr>
          <w:rFonts w:eastAsia="Calibri"/>
        </w:rPr>
        <w:t xml:space="preserve">Under the Act, all fees and levies received </w:t>
      </w:r>
      <w:r>
        <w:rPr>
          <w:rFonts w:eastAsia="Calibri"/>
        </w:rPr>
        <w:t>in relation to R</w:t>
      </w:r>
      <w:r w:rsidRPr="0008580A">
        <w:rPr>
          <w:rFonts w:eastAsia="Calibri"/>
        </w:rPr>
        <w:t xml:space="preserve">ecreational </w:t>
      </w:r>
      <w:r>
        <w:rPr>
          <w:rFonts w:eastAsia="Calibri"/>
        </w:rPr>
        <w:t>F</w:t>
      </w:r>
      <w:r w:rsidRPr="0008580A">
        <w:rPr>
          <w:rFonts w:eastAsia="Calibri"/>
        </w:rPr>
        <w:t xml:space="preserve">ishery </w:t>
      </w:r>
      <w:r>
        <w:rPr>
          <w:rFonts w:eastAsia="Calibri"/>
        </w:rPr>
        <w:t>L</w:t>
      </w:r>
      <w:r w:rsidRPr="0008580A">
        <w:rPr>
          <w:rFonts w:eastAsia="Calibri"/>
        </w:rPr>
        <w:t xml:space="preserve">icences are paid into the Recreational Fishing Licence Trust Account. Money in the Trust Account can only be used for the purpose of improving recreational fishing, </w:t>
      </w:r>
      <w:r w:rsidR="002C0A68">
        <w:rPr>
          <w:rFonts w:eastAsia="Calibri"/>
        </w:rPr>
        <w:t xml:space="preserve">which includes </w:t>
      </w:r>
      <w:r w:rsidRPr="0008580A">
        <w:rPr>
          <w:rFonts w:eastAsia="Calibri"/>
        </w:rPr>
        <w:t>cover</w:t>
      </w:r>
      <w:r w:rsidR="002C0A68">
        <w:rPr>
          <w:rFonts w:eastAsia="Calibri"/>
        </w:rPr>
        <w:t>ing</w:t>
      </w:r>
      <w:r w:rsidRPr="0008580A">
        <w:rPr>
          <w:rFonts w:eastAsia="Calibri"/>
        </w:rPr>
        <w:t xml:space="preserve"> costs and expenses incurred in the administration of recreational fishery licences and the Trust Account</w:t>
      </w:r>
      <w:r>
        <w:rPr>
          <w:rFonts w:eastAsia="Calibri"/>
        </w:rPr>
        <w:t xml:space="preserve">. </w:t>
      </w:r>
    </w:p>
    <w:p w14:paraId="1697C62B" w14:textId="77777777" w:rsidR="00092430" w:rsidRDefault="00092430" w:rsidP="00092430">
      <w:pPr>
        <w:pStyle w:val="Body"/>
        <w:rPr>
          <w:rFonts w:eastAsia="Calibri"/>
        </w:rPr>
      </w:pPr>
      <w:r w:rsidRPr="00BC5091">
        <w:rPr>
          <w:rFonts w:eastAsia="Calibri"/>
        </w:rPr>
        <w:t>The RFL Trust Account was established in 2000/01 following the introduction of the All-Waters Recreational Fishery Licence on 15 July 1999. Prior to this, the RFL</w:t>
      </w:r>
      <w:r>
        <w:rPr>
          <w:rFonts w:eastAsia="Calibri"/>
        </w:rPr>
        <w:t xml:space="preserve"> only</w:t>
      </w:r>
      <w:r w:rsidRPr="00BC5091">
        <w:rPr>
          <w:rFonts w:eastAsia="Calibri"/>
        </w:rPr>
        <w:t xml:space="preserve"> covered recreational fishing in streams, rivers and impoundment/lakes</w:t>
      </w:r>
      <w:r w:rsidR="002C0A68">
        <w:rPr>
          <w:rFonts w:eastAsia="Calibri"/>
        </w:rPr>
        <w:t xml:space="preserve"> and Rock Lobster in marine waters</w:t>
      </w:r>
      <w:r>
        <w:rPr>
          <w:rFonts w:eastAsia="Calibri"/>
        </w:rPr>
        <w:t xml:space="preserve">. The </w:t>
      </w:r>
      <w:r w:rsidRPr="00BC5091">
        <w:rPr>
          <w:rFonts w:eastAsia="Calibri"/>
        </w:rPr>
        <w:t xml:space="preserve">All-Waters RFL extended </w:t>
      </w:r>
      <w:r>
        <w:rPr>
          <w:rFonts w:eastAsia="Calibri"/>
        </w:rPr>
        <w:t xml:space="preserve">the licensing regime </w:t>
      </w:r>
      <w:r w:rsidRPr="00BC5091">
        <w:rPr>
          <w:rFonts w:eastAsia="Calibri"/>
        </w:rPr>
        <w:t>to all forms of recreational fishing in all of Victoria's marine, estuarine and fresh waters. In the lead up to the introduction of the All-Waters RFL, recreational fisher</w:t>
      </w:r>
      <w:r>
        <w:rPr>
          <w:rFonts w:eastAsia="Calibri"/>
        </w:rPr>
        <w:t>s</w:t>
      </w:r>
      <w:r w:rsidRPr="00BC5091">
        <w:rPr>
          <w:rFonts w:eastAsia="Calibri"/>
        </w:rPr>
        <w:t xml:space="preserve"> were consulted on</w:t>
      </w:r>
      <w:r>
        <w:rPr>
          <w:rFonts w:eastAsia="Calibri"/>
        </w:rPr>
        <w:t>,</w:t>
      </w:r>
      <w:r w:rsidRPr="00BC5091">
        <w:rPr>
          <w:rFonts w:eastAsia="Calibri"/>
        </w:rPr>
        <w:t xml:space="preserve"> and expressed support for (amongst other things)</w:t>
      </w:r>
      <w:r>
        <w:rPr>
          <w:rFonts w:eastAsia="Calibri"/>
        </w:rPr>
        <w:t>,</w:t>
      </w:r>
      <w:r w:rsidRPr="00BC5091">
        <w:rPr>
          <w:rFonts w:eastAsia="Calibri"/>
        </w:rPr>
        <w:t xml:space="preserve"> the establishment of </w:t>
      </w:r>
      <w:r>
        <w:rPr>
          <w:rFonts w:eastAsia="Calibri"/>
        </w:rPr>
        <w:t xml:space="preserve">a </w:t>
      </w:r>
      <w:r w:rsidRPr="00BC5091">
        <w:rPr>
          <w:rFonts w:eastAsia="Calibri"/>
        </w:rPr>
        <w:t>dedicated RFL trust account into which all licence revenue would be paid</w:t>
      </w:r>
      <w:r>
        <w:rPr>
          <w:rFonts w:eastAsia="Calibri"/>
        </w:rPr>
        <w:t xml:space="preserve">. </w:t>
      </w:r>
    </w:p>
    <w:p w14:paraId="579A14AB" w14:textId="77777777" w:rsidR="00092430" w:rsidRPr="0008580A" w:rsidRDefault="00092430" w:rsidP="00092430">
      <w:pPr>
        <w:pStyle w:val="Body"/>
        <w:rPr>
          <w:rFonts w:eastAsia="Calibri"/>
        </w:rPr>
      </w:pPr>
      <w:r w:rsidRPr="0008580A">
        <w:rPr>
          <w:rFonts w:eastAsia="Calibri"/>
        </w:rPr>
        <w:t xml:space="preserve">Every year </w:t>
      </w:r>
      <w:r>
        <w:rPr>
          <w:rFonts w:eastAsia="Calibri"/>
        </w:rPr>
        <w:t xml:space="preserve">a portion of </w:t>
      </w:r>
      <w:r w:rsidRPr="0008580A">
        <w:rPr>
          <w:rFonts w:eastAsia="Calibri"/>
        </w:rPr>
        <w:t xml:space="preserve">the fees </w:t>
      </w:r>
      <w:r>
        <w:rPr>
          <w:rFonts w:eastAsia="Calibri"/>
        </w:rPr>
        <w:t xml:space="preserve">and levies </w:t>
      </w:r>
      <w:r w:rsidRPr="0008580A">
        <w:rPr>
          <w:rFonts w:eastAsia="Calibri"/>
        </w:rPr>
        <w:t xml:space="preserve">paid for recreational fishery licences </w:t>
      </w:r>
      <w:r>
        <w:rPr>
          <w:rFonts w:eastAsia="Calibri"/>
        </w:rPr>
        <w:t>is</w:t>
      </w:r>
      <w:r w:rsidRPr="0008580A">
        <w:rPr>
          <w:rFonts w:eastAsia="Calibri"/>
        </w:rPr>
        <w:t xml:space="preserve"> allocated to Recreational Fishing Grants Program (RFGP) projects that directly improve recreational fishing in Victoria. </w:t>
      </w:r>
      <w:r>
        <w:rPr>
          <w:rFonts w:eastAsia="Calibri"/>
        </w:rPr>
        <w:t xml:space="preserve">The Minister for Agriculture must approve the expenditure of funds from the RFL Trust Account for this purpose.  </w:t>
      </w:r>
    </w:p>
    <w:p w14:paraId="4D17D50A" w14:textId="77777777" w:rsidR="00092430" w:rsidRPr="0008580A" w:rsidRDefault="00092430" w:rsidP="00092430">
      <w:pPr>
        <w:pStyle w:val="Body"/>
        <w:rPr>
          <w:rFonts w:eastAsia="Calibri"/>
        </w:rPr>
      </w:pPr>
      <w:r w:rsidRPr="0008580A">
        <w:rPr>
          <w:rFonts w:eastAsia="Calibri"/>
        </w:rPr>
        <w:t>The RFGP has three tiers of project spending:</w:t>
      </w:r>
    </w:p>
    <w:p w14:paraId="2654B035" w14:textId="77777777" w:rsidR="00092430" w:rsidRPr="0008580A" w:rsidRDefault="0031277A" w:rsidP="00F97BD4">
      <w:pPr>
        <w:pStyle w:val="Bullet"/>
      </w:pPr>
      <w:r>
        <w:rPr>
          <w:rFonts w:eastAsia="Calibri"/>
        </w:rPr>
        <w:t>a</w:t>
      </w:r>
      <w:r w:rsidR="00092430" w:rsidRPr="0008580A">
        <w:rPr>
          <w:rFonts w:eastAsia="Calibri"/>
        </w:rPr>
        <w:t xml:space="preserve"> </w:t>
      </w:r>
      <w:r w:rsidR="00092430" w:rsidRPr="0008580A">
        <w:t>Small Grants Program</w:t>
      </w:r>
      <w:r w:rsidR="00092430">
        <w:t>,</w:t>
      </w:r>
      <w:r w:rsidR="00092430" w:rsidRPr="0008580A">
        <w:t xml:space="preserve"> continually open to fund small projects up to $5,000</w:t>
      </w:r>
    </w:p>
    <w:p w14:paraId="19F8B759" w14:textId="77777777" w:rsidR="00092430" w:rsidRPr="0008580A" w:rsidRDefault="0031277A" w:rsidP="00F97BD4">
      <w:pPr>
        <w:pStyle w:val="Bullet"/>
      </w:pPr>
      <w:r>
        <w:t>a</w:t>
      </w:r>
      <w:r w:rsidR="00092430" w:rsidRPr="0008580A">
        <w:t xml:space="preserve"> Large Grants Program for projects from $5,001 to $100,000 (per year for up to three years)</w:t>
      </w:r>
    </w:p>
    <w:p w14:paraId="759E9FDB" w14:textId="77777777" w:rsidR="00092430" w:rsidRDefault="0031277A" w:rsidP="00F97BD4">
      <w:pPr>
        <w:pStyle w:val="Bullet"/>
      </w:pPr>
      <w:proofErr w:type="gramStart"/>
      <w:r>
        <w:t>a</w:t>
      </w:r>
      <w:proofErr w:type="gramEnd"/>
      <w:r w:rsidR="00092430" w:rsidRPr="0008580A">
        <w:t xml:space="preserve"> Commissioning Program for large priority projects, generally in excess of $100,000.</w:t>
      </w:r>
    </w:p>
    <w:p w14:paraId="61677C2F" w14:textId="77777777" w:rsidR="004731EB" w:rsidRDefault="004731EB" w:rsidP="004731EB">
      <w:pPr>
        <w:pStyle w:val="Body"/>
        <w:rPr>
          <w:rFonts w:eastAsia="Calibri"/>
        </w:rPr>
      </w:pPr>
      <w:r>
        <w:rPr>
          <w:rFonts w:eastAsia="Calibri"/>
        </w:rPr>
        <w:t>The figure below sets out expenditure from the Trust Account for 2014/15.</w:t>
      </w:r>
    </w:p>
    <w:p w14:paraId="5A13F901" w14:textId="77777777" w:rsidR="00092430" w:rsidRDefault="00092430" w:rsidP="00092430">
      <w:pPr>
        <w:pStyle w:val="TableTitle"/>
        <w:rPr>
          <w:rFonts w:eastAsia="Calibri"/>
        </w:rPr>
      </w:pPr>
      <w:r w:rsidRPr="0008580A">
        <w:rPr>
          <w:rFonts w:eastAsia="Calibri"/>
        </w:rPr>
        <w:t>Figure 2</w:t>
      </w:r>
      <w:r w:rsidR="002E193C">
        <w:rPr>
          <w:rFonts w:eastAsia="Calibri"/>
        </w:rPr>
        <w:t>B</w:t>
      </w:r>
      <w:r w:rsidRPr="0008580A">
        <w:rPr>
          <w:rFonts w:eastAsia="Calibri"/>
        </w:rPr>
        <w:t xml:space="preserve"> – Spending from the Recreational Fishing Licence Trust Account</w:t>
      </w:r>
    </w:p>
    <w:tbl>
      <w:tblPr>
        <w:tblW w:w="8321" w:type="dxa"/>
        <w:tblInd w:w="108"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000" w:firstRow="0" w:lastRow="0" w:firstColumn="0" w:lastColumn="0" w:noHBand="0" w:noVBand="0"/>
      </w:tblPr>
      <w:tblGrid>
        <w:gridCol w:w="6521"/>
        <w:gridCol w:w="1800"/>
      </w:tblGrid>
      <w:tr w:rsidR="004731EB" w:rsidRPr="004731EB" w14:paraId="19D79612" w14:textId="77777777" w:rsidTr="004731EB">
        <w:trPr>
          <w:trHeight w:val="335"/>
        </w:trPr>
        <w:tc>
          <w:tcPr>
            <w:tcW w:w="6521" w:type="dxa"/>
            <w:shd w:val="clear" w:color="auto" w:fill="1F497D" w:themeFill="text2"/>
            <w:tcMar>
              <w:top w:w="113" w:type="dxa"/>
            </w:tcMar>
          </w:tcPr>
          <w:p w14:paraId="4B4484B6" w14:textId="77777777" w:rsidR="004731EB" w:rsidRPr="004731EB" w:rsidRDefault="004731EB" w:rsidP="00DC2084">
            <w:pPr>
              <w:pStyle w:val="TblBdy"/>
              <w:spacing w:before="0" w:after="0"/>
              <w:rPr>
                <w:b/>
                <w:color w:val="FFFFFF" w:themeColor="background1"/>
              </w:rPr>
            </w:pPr>
            <w:r w:rsidRPr="004731EB">
              <w:rPr>
                <w:b/>
                <w:color w:val="FFFFFF" w:themeColor="background1"/>
              </w:rPr>
              <w:t>Disbursements 2014/15</w:t>
            </w:r>
          </w:p>
        </w:tc>
        <w:tc>
          <w:tcPr>
            <w:tcW w:w="1800" w:type="dxa"/>
            <w:shd w:val="clear" w:color="auto" w:fill="1F497D" w:themeFill="text2"/>
            <w:noWrap/>
            <w:tcMar>
              <w:top w:w="113" w:type="dxa"/>
            </w:tcMar>
          </w:tcPr>
          <w:p w14:paraId="1EA422CB" w14:textId="77777777" w:rsidR="004731EB" w:rsidRPr="004731EB" w:rsidRDefault="00B12C57" w:rsidP="00B12C57">
            <w:pPr>
              <w:pStyle w:val="TblBdy"/>
              <w:spacing w:before="0" w:after="0"/>
              <w:jc w:val="center"/>
              <w:rPr>
                <w:b/>
                <w:color w:val="FFFFFF" w:themeColor="background1"/>
              </w:rPr>
            </w:pPr>
            <w:r>
              <w:rPr>
                <w:b/>
                <w:color w:val="FFFFFF" w:themeColor="background1"/>
              </w:rPr>
              <w:t>Amount</w:t>
            </w:r>
          </w:p>
        </w:tc>
      </w:tr>
      <w:tr w:rsidR="004731EB" w:rsidRPr="00AB1757" w14:paraId="39D6BFEE" w14:textId="77777777" w:rsidTr="004731EB">
        <w:trPr>
          <w:trHeight w:val="335"/>
        </w:trPr>
        <w:tc>
          <w:tcPr>
            <w:tcW w:w="6521" w:type="dxa"/>
            <w:shd w:val="clear" w:color="auto" w:fill="auto"/>
            <w:tcMar>
              <w:top w:w="45" w:type="dxa"/>
              <w:bottom w:w="45" w:type="dxa"/>
            </w:tcMar>
          </w:tcPr>
          <w:p w14:paraId="7EA4FF96" w14:textId="77777777" w:rsidR="004731EB" w:rsidRPr="008E64FC" w:rsidRDefault="004731EB" w:rsidP="00DC2084">
            <w:pPr>
              <w:pStyle w:val="TblBdy"/>
              <w:rPr>
                <w:b/>
                <w:sz w:val="16"/>
                <w:szCs w:val="16"/>
              </w:rPr>
            </w:pPr>
            <w:r w:rsidRPr="008E64FC">
              <w:rPr>
                <w:b/>
                <w:sz w:val="16"/>
                <w:szCs w:val="16"/>
              </w:rPr>
              <w:t>Recreational Fishing Grants Program and other projects</w:t>
            </w:r>
            <w:r>
              <w:rPr>
                <w:b/>
                <w:sz w:val="16"/>
                <w:szCs w:val="16"/>
              </w:rPr>
              <w:t xml:space="preserve"> </w:t>
            </w:r>
            <w:r w:rsidRPr="004731EB">
              <w:rPr>
                <w:sz w:val="16"/>
                <w:szCs w:val="16"/>
              </w:rPr>
              <w:t>(payments to 83 projects)</w:t>
            </w:r>
          </w:p>
        </w:tc>
        <w:tc>
          <w:tcPr>
            <w:tcW w:w="1800" w:type="dxa"/>
            <w:shd w:val="clear" w:color="auto" w:fill="auto"/>
            <w:noWrap/>
            <w:tcMar>
              <w:top w:w="45" w:type="dxa"/>
              <w:bottom w:w="45" w:type="dxa"/>
            </w:tcMar>
          </w:tcPr>
          <w:p w14:paraId="1AEE0F89" w14:textId="77777777" w:rsidR="004731EB" w:rsidRPr="00AB1757" w:rsidRDefault="004731EB" w:rsidP="00DC2084">
            <w:pPr>
              <w:pStyle w:val="TblBdy"/>
              <w:jc w:val="right"/>
              <w:rPr>
                <w:b/>
                <w:sz w:val="16"/>
                <w:szCs w:val="16"/>
              </w:rPr>
            </w:pPr>
            <w:r w:rsidRPr="003D5370">
              <w:rPr>
                <w:bCs/>
                <w:sz w:val="16"/>
              </w:rPr>
              <w:t>$2,245,023.43</w:t>
            </w:r>
          </w:p>
        </w:tc>
      </w:tr>
      <w:tr w:rsidR="004731EB" w:rsidRPr="00D21473" w14:paraId="4BC6CAC2" w14:textId="77777777" w:rsidTr="004731EB">
        <w:trPr>
          <w:trHeight w:val="335"/>
        </w:trPr>
        <w:tc>
          <w:tcPr>
            <w:tcW w:w="6521" w:type="dxa"/>
            <w:shd w:val="clear" w:color="auto" w:fill="auto"/>
            <w:tcMar>
              <w:top w:w="45" w:type="dxa"/>
              <w:bottom w:w="45" w:type="dxa"/>
            </w:tcMar>
          </w:tcPr>
          <w:p w14:paraId="7E8DDA09" w14:textId="77777777" w:rsidR="004731EB" w:rsidRPr="008E64FC" w:rsidRDefault="004731EB" w:rsidP="00DC2084">
            <w:pPr>
              <w:pStyle w:val="TblBdy"/>
              <w:rPr>
                <w:b/>
                <w:sz w:val="16"/>
                <w:szCs w:val="16"/>
              </w:rPr>
            </w:pPr>
            <w:r w:rsidRPr="008E64FC">
              <w:rPr>
                <w:b/>
                <w:sz w:val="16"/>
                <w:szCs w:val="16"/>
              </w:rPr>
              <w:t>Fisheries Enforcement &amp; Education Branch</w:t>
            </w:r>
          </w:p>
        </w:tc>
        <w:tc>
          <w:tcPr>
            <w:tcW w:w="1800" w:type="dxa"/>
            <w:shd w:val="clear" w:color="auto" w:fill="auto"/>
            <w:noWrap/>
            <w:tcMar>
              <w:top w:w="45" w:type="dxa"/>
              <w:bottom w:w="45" w:type="dxa"/>
            </w:tcMar>
          </w:tcPr>
          <w:p w14:paraId="22F27D8A" w14:textId="77777777" w:rsidR="004731EB" w:rsidRPr="00D21473" w:rsidRDefault="004731EB" w:rsidP="00DC2084">
            <w:pPr>
              <w:pStyle w:val="TblBdy"/>
              <w:jc w:val="right"/>
              <w:rPr>
                <w:sz w:val="16"/>
                <w:szCs w:val="16"/>
              </w:rPr>
            </w:pPr>
            <w:r w:rsidRPr="008916BC">
              <w:rPr>
                <w:sz w:val="16"/>
                <w:szCs w:val="16"/>
              </w:rPr>
              <w:t>$2,002,094.71</w:t>
            </w:r>
          </w:p>
        </w:tc>
      </w:tr>
      <w:tr w:rsidR="004731EB" w:rsidRPr="0091642A" w14:paraId="47E62ACC" w14:textId="77777777" w:rsidTr="004731EB">
        <w:trPr>
          <w:trHeight w:val="284"/>
        </w:trPr>
        <w:tc>
          <w:tcPr>
            <w:tcW w:w="6521" w:type="dxa"/>
            <w:shd w:val="clear" w:color="auto" w:fill="auto"/>
            <w:tcMar>
              <w:top w:w="45" w:type="dxa"/>
              <w:bottom w:w="45" w:type="dxa"/>
            </w:tcMar>
          </w:tcPr>
          <w:p w14:paraId="245D5416" w14:textId="77777777" w:rsidR="004731EB" w:rsidRPr="008E64FC" w:rsidRDefault="004731EB" w:rsidP="00DC2084">
            <w:pPr>
              <w:pStyle w:val="TblBdy"/>
              <w:rPr>
                <w:b/>
                <w:sz w:val="16"/>
                <w:szCs w:val="16"/>
              </w:rPr>
            </w:pPr>
            <w:r w:rsidRPr="008E64FC">
              <w:rPr>
                <w:b/>
                <w:sz w:val="16"/>
                <w:szCs w:val="16"/>
              </w:rPr>
              <w:t>Fish Stocking</w:t>
            </w:r>
          </w:p>
          <w:p w14:paraId="2B6FA124" w14:textId="77777777" w:rsidR="004731EB" w:rsidRPr="008E64FC" w:rsidRDefault="004731EB" w:rsidP="00DC2084">
            <w:pPr>
              <w:pStyle w:val="TblBdy"/>
              <w:rPr>
                <w:sz w:val="16"/>
                <w:szCs w:val="16"/>
                <w:highlight w:val="yellow"/>
              </w:rPr>
            </w:pPr>
            <w:r w:rsidRPr="008E64FC">
              <w:rPr>
                <w:sz w:val="16"/>
                <w:szCs w:val="16"/>
              </w:rPr>
              <w:t>The purchase and liberation of native and salmonid fish to stock into Victorian rivers</w:t>
            </w:r>
          </w:p>
        </w:tc>
        <w:tc>
          <w:tcPr>
            <w:tcW w:w="1800" w:type="dxa"/>
            <w:shd w:val="clear" w:color="auto" w:fill="auto"/>
            <w:noWrap/>
            <w:tcMar>
              <w:top w:w="45" w:type="dxa"/>
              <w:bottom w:w="45" w:type="dxa"/>
            </w:tcMar>
          </w:tcPr>
          <w:p w14:paraId="7485B10D" w14:textId="77777777" w:rsidR="004731EB" w:rsidRPr="0091642A" w:rsidRDefault="004731EB" w:rsidP="00DC2084">
            <w:pPr>
              <w:pStyle w:val="TblBdy"/>
              <w:jc w:val="right"/>
              <w:rPr>
                <w:sz w:val="16"/>
                <w:szCs w:val="16"/>
              </w:rPr>
            </w:pPr>
            <w:r w:rsidRPr="0091642A">
              <w:rPr>
                <w:sz w:val="16"/>
                <w:szCs w:val="16"/>
              </w:rPr>
              <w:t>$857,657.27</w:t>
            </w:r>
          </w:p>
        </w:tc>
      </w:tr>
      <w:tr w:rsidR="004731EB" w:rsidRPr="008E64FC" w14:paraId="382AB3F1" w14:textId="77777777" w:rsidTr="004731EB">
        <w:trPr>
          <w:trHeight w:val="284"/>
        </w:trPr>
        <w:tc>
          <w:tcPr>
            <w:tcW w:w="6521" w:type="dxa"/>
            <w:shd w:val="clear" w:color="auto" w:fill="auto"/>
            <w:tcMar>
              <w:top w:w="45" w:type="dxa"/>
              <w:bottom w:w="45" w:type="dxa"/>
            </w:tcMar>
          </w:tcPr>
          <w:p w14:paraId="64049D50" w14:textId="77777777" w:rsidR="004731EB" w:rsidRPr="008E64FC" w:rsidRDefault="004731EB" w:rsidP="00DC2084">
            <w:pPr>
              <w:pStyle w:val="TblBdy"/>
              <w:rPr>
                <w:b/>
                <w:sz w:val="16"/>
                <w:szCs w:val="16"/>
              </w:rPr>
            </w:pPr>
            <w:r w:rsidRPr="008E64FC">
              <w:rPr>
                <w:b/>
                <w:sz w:val="16"/>
                <w:szCs w:val="16"/>
              </w:rPr>
              <w:t>VRFish</w:t>
            </w:r>
          </w:p>
        </w:tc>
        <w:tc>
          <w:tcPr>
            <w:tcW w:w="1800" w:type="dxa"/>
            <w:shd w:val="clear" w:color="auto" w:fill="auto"/>
            <w:noWrap/>
            <w:tcMar>
              <w:top w:w="45" w:type="dxa"/>
              <w:bottom w:w="45" w:type="dxa"/>
            </w:tcMar>
          </w:tcPr>
          <w:p w14:paraId="2013F1A9" w14:textId="77777777" w:rsidR="004731EB" w:rsidRPr="008E64FC" w:rsidRDefault="004731EB" w:rsidP="00DC2084">
            <w:pPr>
              <w:pStyle w:val="TblBdy"/>
              <w:jc w:val="right"/>
              <w:rPr>
                <w:sz w:val="16"/>
                <w:szCs w:val="16"/>
              </w:rPr>
            </w:pPr>
            <w:r w:rsidRPr="008E64FC">
              <w:rPr>
                <w:sz w:val="16"/>
                <w:szCs w:val="16"/>
              </w:rPr>
              <w:t>$</w:t>
            </w:r>
            <w:r>
              <w:rPr>
                <w:sz w:val="16"/>
                <w:szCs w:val="16"/>
              </w:rPr>
              <w:t>424,977.80</w:t>
            </w:r>
          </w:p>
        </w:tc>
      </w:tr>
      <w:tr w:rsidR="004731EB" w:rsidRPr="00C319BF" w14:paraId="0AEB6DBE" w14:textId="77777777" w:rsidTr="004731EB">
        <w:trPr>
          <w:trHeight w:val="335"/>
        </w:trPr>
        <w:tc>
          <w:tcPr>
            <w:tcW w:w="6521" w:type="dxa"/>
            <w:shd w:val="clear" w:color="auto" w:fill="auto"/>
            <w:tcMar>
              <w:top w:w="45" w:type="dxa"/>
              <w:bottom w:w="45" w:type="dxa"/>
            </w:tcMar>
          </w:tcPr>
          <w:p w14:paraId="5945EC55" w14:textId="77777777" w:rsidR="004731EB" w:rsidRPr="008E64FC" w:rsidRDefault="004731EB" w:rsidP="00DC2084">
            <w:pPr>
              <w:pStyle w:val="TblBdy"/>
              <w:rPr>
                <w:b/>
                <w:sz w:val="16"/>
                <w:szCs w:val="16"/>
              </w:rPr>
            </w:pPr>
            <w:r w:rsidRPr="008E64FC">
              <w:rPr>
                <w:b/>
                <w:sz w:val="16"/>
                <w:szCs w:val="16"/>
              </w:rPr>
              <w:t>Fishcare Victoria Inc.</w:t>
            </w:r>
          </w:p>
        </w:tc>
        <w:tc>
          <w:tcPr>
            <w:tcW w:w="1800" w:type="dxa"/>
            <w:shd w:val="clear" w:color="auto" w:fill="auto"/>
            <w:noWrap/>
            <w:tcMar>
              <w:top w:w="45" w:type="dxa"/>
              <w:bottom w:w="45" w:type="dxa"/>
            </w:tcMar>
          </w:tcPr>
          <w:p w14:paraId="6A88532A" w14:textId="77777777" w:rsidR="004731EB" w:rsidRPr="00C319BF" w:rsidRDefault="004731EB" w:rsidP="00DC2084">
            <w:pPr>
              <w:pStyle w:val="TblBdy"/>
              <w:jc w:val="right"/>
              <w:rPr>
                <w:sz w:val="16"/>
                <w:szCs w:val="16"/>
              </w:rPr>
            </w:pPr>
            <w:r w:rsidRPr="00C319BF">
              <w:rPr>
                <w:sz w:val="16"/>
                <w:szCs w:val="16"/>
              </w:rPr>
              <w:t>$</w:t>
            </w:r>
            <w:r>
              <w:rPr>
                <w:sz w:val="16"/>
                <w:szCs w:val="16"/>
              </w:rPr>
              <w:t>185,760.00</w:t>
            </w:r>
          </w:p>
        </w:tc>
      </w:tr>
      <w:tr w:rsidR="004731EB" w:rsidRPr="008E64FC" w14:paraId="3DC53ACA" w14:textId="77777777" w:rsidTr="004731EB">
        <w:trPr>
          <w:trHeight w:val="335"/>
        </w:trPr>
        <w:tc>
          <w:tcPr>
            <w:tcW w:w="6521" w:type="dxa"/>
            <w:shd w:val="clear" w:color="auto" w:fill="auto"/>
            <w:tcMar>
              <w:top w:w="45" w:type="dxa"/>
              <w:bottom w:w="45" w:type="dxa"/>
            </w:tcMar>
          </w:tcPr>
          <w:p w14:paraId="04DDD2B1" w14:textId="77777777" w:rsidR="004731EB" w:rsidRPr="008E64FC" w:rsidRDefault="004731EB" w:rsidP="00DC2084">
            <w:pPr>
              <w:pStyle w:val="TblBdy"/>
              <w:rPr>
                <w:b/>
                <w:sz w:val="16"/>
                <w:szCs w:val="16"/>
              </w:rPr>
            </w:pPr>
            <w:r w:rsidRPr="008E64FC">
              <w:rPr>
                <w:b/>
                <w:sz w:val="16"/>
                <w:szCs w:val="16"/>
              </w:rPr>
              <w:t>Community Information</w:t>
            </w:r>
          </w:p>
          <w:p w14:paraId="4CE87A69" w14:textId="77777777" w:rsidR="004731EB" w:rsidRPr="008E64FC" w:rsidRDefault="004731EB" w:rsidP="00DC2084">
            <w:pPr>
              <w:pStyle w:val="TblBdy"/>
              <w:rPr>
                <w:sz w:val="16"/>
                <w:szCs w:val="16"/>
                <w:highlight w:val="yellow"/>
              </w:rPr>
            </w:pPr>
            <w:r w:rsidRPr="008E64FC">
              <w:rPr>
                <w:sz w:val="16"/>
                <w:szCs w:val="16"/>
              </w:rPr>
              <w:t>Recreational Fishing Grants Program/Recreational Fishing Licence disbursement reporting related advertising &amp; publicity</w:t>
            </w:r>
          </w:p>
        </w:tc>
        <w:tc>
          <w:tcPr>
            <w:tcW w:w="1800" w:type="dxa"/>
            <w:shd w:val="clear" w:color="auto" w:fill="auto"/>
            <w:noWrap/>
            <w:tcMar>
              <w:top w:w="45" w:type="dxa"/>
              <w:bottom w:w="45" w:type="dxa"/>
            </w:tcMar>
          </w:tcPr>
          <w:p w14:paraId="0DACEB22" w14:textId="77777777" w:rsidR="004731EB" w:rsidRPr="008E64FC" w:rsidRDefault="004731EB" w:rsidP="00DC2084">
            <w:pPr>
              <w:pStyle w:val="TblBdy"/>
              <w:jc w:val="right"/>
              <w:rPr>
                <w:sz w:val="16"/>
                <w:szCs w:val="16"/>
                <w:highlight w:val="yellow"/>
              </w:rPr>
            </w:pPr>
            <w:r w:rsidRPr="008E64FC">
              <w:rPr>
                <w:sz w:val="16"/>
                <w:szCs w:val="16"/>
                <w:highlight w:val="yellow"/>
              </w:rPr>
              <w:br/>
            </w:r>
            <w:r w:rsidRPr="008E64FC">
              <w:rPr>
                <w:sz w:val="16"/>
                <w:szCs w:val="16"/>
              </w:rPr>
              <w:t>$</w:t>
            </w:r>
            <w:r>
              <w:rPr>
                <w:sz w:val="16"/>
                <w:szCs w:val="16"/>
              </w:rPr>
              <w:t>21,975.56</w:t>
            </w:r>
          </w:p>
        </w:tc>
      </w:tr>
      <w:tr w:rsidR="004731EB" w:rsidRPr="008E64FC" w14:paraId="0ADAC360" w14:textId="77777777" w:rsidTr="004731EB">
        <w:trPr>
          <w:trHeight w:val="335"/>
        </w:trPr>
        <w:tc>
          <w:tcPr>
            <w:tcW w:w="6521" w:type="dxa"/>
            <w:shd w:val="clear" w:color="auto" w:fill="auto"/>
            <w:tcMar>
              <w:top w:w="45" w:type="dxa"/>
              <w:bottom w:w="45" w:type="dxa"/>
            </w:tcMar>
          </w:tcPr>
          <w:p w14:paraId="526D1D24" w14:textId="77777777" w:rsidR="004731EB" w:rsidRPr="008E64FC" w:rsidRDefault="004731EB" w:rsidP="00DC2084">
            <w:pPr>
              <w:pStyle w:val="TblBdy"/>
              <w:rPr>
                <w:b/>
                <w:sz w:val="16"/>
                <w:szCs w:val="16"/>
              </w:rPr>
            </w:pPr>
            <w:r w:rsidRPr="008E64FC">
              <w:rPr>
                <w:b/>
                <w:sz w:val="16"/>
                <w:szCs w:val="16"/>
              </w:rPr>
              <w:t>Recreational Fishing Licence (RFL) 6% sales commissions</w:t>
            </w:r>
          </w:p>
          <w:p w14:paraId="3F03CC0A" w14:textId="77777777" w:rsidR="004731EB" w:rsidRPr="008E64FC" w:rsidRDefault="004731EB" w:rsidP="00DC2084">
            <w:pPr>
              <w:pStyle w:val="TblBdy"/>
              <w:rPr>
                <w:sz w:val="16"/>
                <w:szCs w:val="16"/>
                <w:highlight w:val="yellow"/>
              </w:rPr>
            </w:pPr>
            <w:r w:rsidRPr="008E64FC">
              <w:rPr>
                <w:sz w:val="16"/>
                <w:szCs w:val="16"/>
              </w:rPr>
              <w:t>Applicable to sales commissions incurred during 20</w:t>
            </w:r>
            <w:r>
              <w:rPr>
                <w:sz w:val="16"/>
                <w:szCs w:val="16"/>
              </w:rPr>
              <w:t>13</w:t>
            </w:r>
            <w:r w:rsidRPr="008E64FC">
              <w:rPr>
                <w:sz w:val="16"/>
                <w:szCs w:val="16"/>
              </w:rPr>
              <w:t>/</w:t>
            </w:r>
            <w:r>
              <w:rPr>
                <w:sz w:val="16"/>
                <w:szCs w:val="16"/>
              </w:rPr>
              <w:t>14</w:t>
            </w:r>
            <w:r w:rsidRPr="008E64FC">
              <w:rPr>
                <w:sz w:val="16"/>
                <w:szCs w:val="16"/>
              </w:rPr>
              <w:t>, paid in 20</w:t>
            </w:r>
            <w:r>
              <w:rPr>
                <w:sz w:val="16"/>
                <w:szCs w:val="16"/>
              </w:rPr>
              <w:t>14</w:t>
            </w:r>
            <w:r w:rsidRPr="008E64FC">
              <w:rPr>
                <w:sz w:val="16"/>
                <w:szCs w:val="16"/>
              </w:rPr>
              <w:t>/</w:t>
            </w:r>
            <w:r>
              <w:rPr>
                <w:sz w:val="16"/>
                <w:szCs w:val="16"/>
              </w:rPr>
              <w:t>15</w:t>
            </w:r>
            <w:r w:rsidRPr="008E64FC">
              <w:rPr>
                <w:sz w:val="16"/>
                <w:szCs w:val="16"/>
              </w:rPr>
              <w:t xml:space="preserve"> financial year</w:t>
            </w:r>
          </w:p>
        </w:tc>
        <w:tc>
          <w:tcPr>
            <w:tcW w:w="1800" w:type="dxa"/>
            <w:shd w:val="clear" w:color="auto" w:fill="auto"/>
            <w:noWrap/>
            <w:tcMar>
              <w:top w:w="45" w:type="dxa"/>
              <w:bottom w:w="45" w:type="dxa"/>
            </w:tcMar>
          </w:tcPr>
          <w:p w14:paraId="0FB76CEF" w14:textId="77777777" w:rsidR="004731EB" w:rsidRPr="008E64FC" w:rsidRDefault="004731EB" w:rsidP="00DC2084">
            <w:pPr>
              <w:pStyle w:val="TblBdy"/>
              <w:jc w:val="right"/>
              <w:rPr>
                <w:sz w:val="16"/>
                <w:szCs w:val="16"/>
                <w:highlight w:val="yellow"/>
              </w:rPr>
            </w:pPr>
            <w:r w:rsidRPr="008E64FC">
              <w:rPr>
                <w:sz w:val="16"/>
                <w:szCs w:val="16"/>
                <w:highlight w:val="yellow"/>
              </w:rPr>
              <w:br/>
            </w:r>
            <w:r w:rsidRPr="008E64FC">
              <w:rPr>
                <w:sz w:val="16"/>
                <w:szCs w:val="16"/>
              </w:rPr>
              <w:t>$</w:t>
            </w:r>
            <w:r>
              <w:rPr>
                <w:sz w:val="16"/>
                <w:szCs w:val="16"/>
              </w:rPr>
              <w:t>213,759.25</w:t>
            </w:r>
          </w:p>
        </w:tc>
      </w:tr>
      <w:tr w:rsidR="004731EB" w:rsidRPr="008E64FC" w14:paraId="155EFD6C" w14:textId="77777777" w:rsidTr="004731EB">
        <w:trPr>
          <w:trHeight w:val="211"/>
        </w:trPr>
        <w:tc>
          <w:tcPr>
            <w:tcW w:w="6521" w:type="dxa"/>
            <w:shd w:val="clear" w:color="auto" w:fill="auto"/>
            <w:tcMar>
              <w:top w:w="45" w:type="dxa"/>
              <w:bottom w:w="45" w:type="dxa"/>
            </w:tcMar>
          </w:tcPr>
          <w:p w14:paraId="0585F659" w14:textId="77777777" w:rsidR="004731EB" w:rsidRPr="008E64FC" w:rsidRDefault="004731EB" w:rsidP="00DC2084">
            <w:pPr>
              <w:pStyle w:val="TblBdy"/>
              <w:rPr>
                <w:b/>
                <w:sz w:val="16"/>
                <w:szCs w:val="16"/>
              </w:rPr>
            </w:pPr>
            <w:r w:rsidRPr="008E64FC">
              <w:rPr>
                <w:b/>
                <w:sz w:val="16"/>
                <w:szCs w:val="16"/>
              </w:rPr>
              <w:t xml:space="preserve">Costs and expenses incurred in the administration of RFLs </w:t>
            </w:r>
          </w:p>
        </w:tc>
        <w:tc>
          <w:tcPr>
            <w:tcW w:w="1800" w:type="dxa"/>
            <w:shd w:val="clear" w:color="auto" w:fill="auto"/>
            <w:noWrap/>
            <w:tcMar>
              <w:top w:w="45" w:type="dxa"/>
              <w:bottom w:w="45" w:type="dxa"/>
            </w:tcMar>
          </w:tcPr>
          <w:p w14:paraId="7F4857D8" w14:textId="77777777" w:rsidR="004731EB" w:rsidRPr="008E64FC" w:rsidRDefault="004731EB" w:rsidP="00DC2084">
            <w:pPr>
              <w:pStyle w:val="TblBdy"/>
              <w:jc w:val="right"/>
              <w:rPr>
                <w:sz w:val="16"/>
                <w:szCs w:val="16"/>
                <w:highlight w:val="yellow"/>
              </w:rPr>
            </w:pPr>
          </w:p>
        </w:tc>
      </w:tr>
      <w:tr w:rsidR="004731EB" w:rsidRPr="00605570" w14:paraId="60088FFD" w14:textId="77777777" w:rsidTr="004731EB">
        <w:trPr>
          <w:trHeight w:val="201"/>
        </w:trPr>
        <w:tc>
          <w:tcPr>
            <w:tcW w:w="6521" w:type="dxa"/>
            <w:shd w:val="clear" w:color="auto" w:fill="auto"/>
            <w:tcMar>
              <w:top w:w="45" w:type="dxa"/>
              <w:bottom w:w="45" w:type="dxa"/>
            </w:tcMar>
          </w:tcPr>
          <w:p w14:paraId="782CC6C3" w14:textId="77777777" w:rsidR="004731EB" w:rsidRPr="008E64FC" w:rsidRDefault="004731EB" w:rsidP="00DC2084">
            <w:pPr>
              <w:pStyle w:val="TblBdy"/>
              <w:rPr>
                <w:sz w:val="16"/>
                <w:szCs w:val="16"/>
              </w:rPr>
            </w:pPr>
            <w:r w:rsidRPr="008E64FC">
              <w:rPr>
                <w:sz w:val="16"/>
                <w:szCs w:val="16"/>
              </w:rPr>
              <w:t>Salaries and on-costs</w:t>
            </w:r>
          </w:p>
        </w:tc>
        <w:tc>
          <w:tcPr>
            <w:tcW w:w="1800" w:type="dxa"/>
            <w:shd w:val="clear" w:color="auto" w:fill="auto"/>
            <w:tcMar>
              <w:top w:w="45" w:type="dxa"/>
              <w:bottom w:w="45" w:type="dxa"/>
            </w:tcMar>
          </w:tcPr>
          <w:p w14:paraId="68D21F53" w14:textId="77777777" w:rsidR="004731EB" w:rsidRPr="00605570" w:rsidRDefault="004731EB" w:rsidP="00DC2084">
            <w:pPr>
              <w:pStyle w:val="TblBdy"/>
              <w:jc w:val="right"/>
              <w:rPr>
                <w:sz w:val="16"/>
                <w:szCs w:val="16"/>
              </w:rPr>
            </w:pPr>
            <w:r w:rsidRPr="00605570">
              <w:rPr>
                <w:sz w:val="16"/>
                <w:szCs w:val="16"/>
              </w:rPr>
              <w:t>$443,630.13</w:t>
            </w:r>
          </w:p>
        </w:tc>
      </w:tr>
      <w:tr w:rsidR="004731EB" w:rsidRPr="00605570" w14:paraId="05C4F4AD" w14:textId="77777777" w:rsidTr="004731EB">
        <w:trPr>
          <w:trHeight w:val="335"/>
        </w:trPr>
        <w:tc>
          <w:tcPr>
            <w:tcW w:w="6521" w:type="dxa"/>
            <w:shd w:val="clear" w:color="auto" w:fill="auto"/>
            <w:tcMar>
              <w:top w:w="45" w:type="dxa"/>
              <w:bottom w:w="45" w:type="dxa"/>
            </w:tcMar>
          </w:tcPr>
          <w:p w14:paraId="4388B8C6" w14:textId="77777777" w:rsidR="004731EB" w:rsidRPr="008E64FC" w:rsidRDefault="004731EB" w:rsidP="00DC2084">
            <w:pPr>
              <w:pStyle w:val="TblBdy"/>
              <w:rPr>
                <w:sz w:val="16"/>
                <w:szCs w:val="16"/>
                <w:highlight w:val="yellow"/>
              </w:rPr>
            </w:pPr>
            <w:r w:rsidRPr="008E64FC">
              <w:rPr>
                <w:sz w:val="16"/>
                <w:szCs w:val="16"/>
              </w:rPr>
              <w:t>Business, corporate &amp; other levies (common domain access levy, OH&amp;S levy, training &amp; development levy, centre leader levy, CBD accommodation and workstation charge, computer internal lease costs)</w:t>
            </w:r>
          </w:p>
        </w:tc>
        <w:tc>
          <w:tcPr>
            <w:tcW w:w="1800" w:type="dxa"/>
            <w:shd w:val="clear" w:color="auto" w:fill="auto"/>
            <w:tcMar>
              <w:top w:w="45" w:type="dxa"/>
              <w:bottom w:w="45" w:type="dxa"/>
            </w:tcMar>
          </w:tcPr>
          <w:p w14:paraId="6F2551ED" w14:textId="77777777" w:rsidR="004731EB" w:rsidRPr="00605570" w:rsidRDefault="004731EB" w:rsidP="00DC2084">
            <w:pPr>
              <w:pStyle w:val="TblBdy"/>
              <w:jc w:val="right"/>
              <w:rPr>
                <w:sz w:val="16"/>
                <w:szCs w:val="16"/>
              </w:rPr>
            </w:pPr>
            <w:r w:rsidRPr="00605570">
              <w:rPr>
                <w:sz w:val="16"/>
                <w:szCs w:val="16"/>
              </w:rPr>
              <w:t>$284,361.68</w:t>
            </w:r>
          </w:p>
        </w:tc>
      </w:tr>
      <w:tr w:rsidR="004731EB" w:rsidRPr="00605570" w14:paraId="626B3360" w14:textId="77777777" w:rsidTr="004731EB">
        <w:trPr>
          <w:trHeight w:val="227"/>
        </w:trPr>
        <w:tc>
          <w:tcPr>
            <w:tcW w:w="6521" w:type="dxa"/>
            <w:shd w:val="clear" w:color="auto" w:fill="auto"/>
            <w:tcMar>
              <w:top w:w="45" w:type="dxa"/>
              <w:bottom w:w="45" w:type="dxa"/>
            </w:tcMar>
          </w:tcPr>
          <w:p w14:paraId="6FEB42D2" w14:textId="77777777" w:rsidR="004731EB" w:rsidRPr="008E64FC" w:rsidRDefault="004731EB" w:rsidP="00DC2084">
            <w:pPr>
              <w:pStyle w:val="TblBdy"/>
              <w:rPr>
                <w:sz w:val="16"/>
                <w:szCs w:val="16"/>
              </w:rPr>
            </w:pPr>
            <w:r w:rsidRPr="008E64FC">
              <w:rPr>
                <w:sz w:val="16"/>
                <w:szCs w:val="16"/>
              </w:rPr>
              <w:t>Professional and contract services</w:t>
            </w:r>
          </w:p>
        </w:tc>
        <w:tc>
          <w:tcPr>
            <w:tcW w:w="1800" w:type="dxa"/>
            <w:shd w:val="clear" w:color="auto" w:fill="auto"/>
            <w:tcMar>
              <w:top w:w="45" w:type="dxa"/>
              <w:bottom w:w="45" w:type="dxa"/>
            </w:tcMar>
          </w:tcPr>
          <w:p w14:paraId="2F6F7869" w14:textId="77777777" w:rsidR="004731EB" w:rsidRPr="00605570" w:rsidRDefault="004731EB" w:rsidP="00DC2084">
            <w:pPr>
              <w:pStyle w:val="TblBdy"/>
              <w:jc w:val="right"/>
              <w:rPr>
                <w:sz w:val="16"/>
                <w:szCs w:val="16"/>
              </w:rPr>
            </w:pPr>
            <w:r w:rsidRPr="00605570">
              <w:rPr>
                <w:sz w:val="16"/>
                <w:szCs w:val="16"/>
              </w:rPr>
              <w:t>$158,621.60</w:t>
            </w:r>
          </w:p>
        </w:tc>
      </w:tr>
      <w:tr w:rsidR="004731EB" w:rsidRPr="00605570" w14:paraId="225C9020" w14:textId="77777777" w:rsidTr="004731EB">
        <w:trPr>
          <w:trHeight w:val="227"/>
        </w:trPr>
        <w:tc>
          <w:tcPr>
            <w:tcW w:w="6521" w:type="dxa"/>
            <w:shd w:val="clear" w:color="auto" w:fill="auto"/>
            <w:tcMar>
              <w:top w:w="45" w:type="dxa"/>
              <w:bottom w:w="45" w:type="dxa"/>
            </w:tcMar>
          </w:tcPr>
          <w:p w14:paraId="459EE4E8" w14:textId="77777777" w:rsidR="004731EB" w:rsidRPr="008E64FC" w:rsidRDefault="004731EB" w:rsidP="00DC2084">
            <w:pPr>
              <w:pStyle w:val="TblBdy"/>
              <w:rPr>
                <w:sz w:val="16"/>
                <w:szCs w:val="16"/>
              </w:rPr>
            </w:pPr>
            <w:r w:rsidRPr="008E64FC">
              <w:rPr>
                <w:sz w:val="16"/>
                <w:szCs w:val="16"/>
              </w:rPr>
              <w:t>Agency labour hire</w:t>
            </w:r>
          </w:p>
        </w:tc>
        <w:tc>
          <w:tcPr>
            <w:tcW w:w="1800" w:type="dxa"/>
            <w:shd w:val="clear" w:color="auto" w:fill="auto"/>
            <w:tcMar>
              <w:top w:w="45" w:type="dxa"/>
              <w:bottom w:w="45" w:type="dxa"/>
            </w:tcMar>
          </w:tcPr>
          <w:p w14:paraId="7BC07BDC" w14:textId="77777777" w:rsidR="004731EB" w:rsidRPr="00605570" w:rsidRDefault="004731EB" w:rsidP="00DC2084">
            <w:pPr>
              <w:pStyle w:val="TblBdy"/>
              <w:jc w:val="right"/>
              <w:rPr>
                <w:sz w:val="16"/>
                <w:szCs w:val="16"/>
              </w:rPr>
            </w:pPr>
            <w:r w:rsidRPr="00605570">
              <w:rPr>
                <w:sz w:val="16"/>
                <w:szCs w:val="16"/>
              </w:rPr>
              <w:t>$108,333.76</w:t>
            </w:r>
          </w:p>
        </w:tc>
      </w:tr>
      <w:tr w:rsidR="004731EB" w:rsidRPr="00605570" w14:paraId="7654598A" w14:textId="77777777" w:rsidTr="004731EB">
        <w:trPr>
          <w:trHeight w:val="335"/>
        </w:trPr>
        <w:tc>
          <w:tcPr>
            <w:tcW w:w="6521" w:type="dxa"/>
            <w:shd w:val="clear" w:color="auto" w:fill="auto"/>
            <w:tcMar>
              <w:top w:w="45" w:type="dxa"/>
              <w:bottom w:w="45" w:type="dxa"/>
            </w:tcMar>
          </w:tcPr>
          <w:p w14:paraId="5411D000" w14:textId="77777777" w:rsidR="004731EB" w:rsidRPr="008E64FC" w:rsidRDefault="004731EB" w:rsidP="00DC2084">
            <w:pPr>
              <w:pStyle w:val="TblBdy"/>
              <w:rPr>
                <w:sz w:val="16"/>
                <w:szCs w:val="16"/>
              </w:rPr>
            </w:pPr>
            <w:r w:rsidRPr="008E64FC">
              <w:rPr>
                <w:sz w:val="16"/>
                <w:szCs w:val="16"/>
              </w:rPr>
              <w:t>Postal expenses,</w:t>
            </w:r>
            <w:r>
              <w:rPr>
                <w:sz w:val="16"/>
                <w:szCs w:val="16"/>
              </w:rPr>
              <w:t xml:space="preserve"> parking, vehicle hire, accommodation, </w:t>
            </w:r>
            <w:r w:rsidRPr="008E64FC">
              <w:rPr>
                <w:sz w:val="16"/>
                <w:szCs w:val="16"/>
              </w:rPr>
              <w:t>printing, stationery, telephones, bankin</w:t>
            </w:r>
            <w:r>
              <w:rPr>
                <w:sz w:val="16"/>
                <w:szCs w:val="16"/>
              </w:rPr>
              <w:t>g charges, office equipment, software maintenance, external learning and</w:t>
            </w:r>
            <w:r w:rsidRPr="008E64FC">
              <w:rPr>
                <w:sz w:val="16"/>
                <w:szCs w:val="16"/>
              </w:rPr>
              <w:t xml:space="preserve"> </w:t>
            </w:r>
            <w:r>
              <w:rPr>
                <w:sz w:val="16"/>
                <w:szCs w:val="16"/>
              </w:rPr>
              <w:br/>
            </w:r>
            <w:r w:rsidRPr="008E64FC">
              <w:rPr>
                <w:sz w:val="16"/>
                <w:szCs w:val="16"/>
              </w:rPr>
              <w:t>IT assistance</w:t>
            </w:r>
          </w:p>
        </w:tc>
        <w:tc>
          <w:tcPr>
            <w:tcW w:w="1800" w:type="dxa"/>
            <w:shd w:val="clear" w:color="auto" w:fill="auto"/>
            <w:tcMar>
              <w:top w:w="45" w:type="dxa"/>
              <w:bottom w:w="45" w:type="dxa"/>
            </w:tcMar>
          </w:tcPr>
          <w:p w14:paraId="4A656891" w14:textId="77777777" w:rsidR="004731EB" w:rsidRPr="00605570" w:rsidRDefault="004731EB" w:rsidP="00DC2084">
            <w:pPr>
              <w:pStyle w:val="TblBdy"/>
              <w:jc w:val="right"/>
              <w:rPr>
                <w:sz w:val="16"/>
                <w:szCs w:val="16"/>
              </w:rPr>
            </w:pPr>
            <w:r w:rsidRPr="00605570">
              <w:rPr>
                <w:sz w:val="16"/>
                <w:szCs w:val="16"/>
              </w:rPr>
              <w:t>$61,4</w:t>
            </w:r>
            <w:r>
              <w:rPr>
                <w:sz w:val="16"/>
                <w:szCs w:val="16"/>
              </w:rPr>
              <w:t>8</w:t>
            </w:r>
            <w:r w:rsidRPr="00605570">
              <w:rPr>
                <w:sz w:val="16"/>
                <w:szCs w:val="16"/>
              </w:rPr>
              <w:t>8.84</w:t>
            </w:r>
          </w:p>
          <w:p w14:paraId="2F6950FA" w14:textId="77777777" w:rsidR="004731EB" w:rsidRPr="00605570" w:rsidRDefault="004731EB" w:rsidP="00DC2084">
            <w:pPr>
              <w:pStyle w:val="TblBdy"/>
              <w:jc w:val="right"/>
              <w:rPr>
                <w:sz w:val="16"/>
                <w:szCs w:val="16"/>
              </w:rPr>
            </w:pPr>
          </w:p>
        </w:tc>
      </w:tr>
      <w:tr w:rsidR="004731EB" w:rsidRPr="00605570" w14:paraId="6851B581" w14:textId="77777777" w:rsidTr="004731EB">
        <w:trPr>
          <w:trHeight w:val="335"/>
        </w:trPr>
        <w:tc>
          <w:tcPr>
            <w:tcW w:w="6521" w:type="dxa"/>
            <w:shd w:val="clear" w:color="auto" w:fill="auto"/>
            <w:tcMar>
              <w:top w:w="45" w:type="dxa"/>
              <w:bottom w:w="45" w:type="dxa"/>
            </w:tcMar>
          </w:tcPr>
          <w:p w14:paraId="1CFBF15B" w14:textId="77777777" w:rsidR="004731EB" w:rsidRPr="008E64FC" w:rsidRDefault="004731EB" w:rsidP="00DC2084">
            <w:pPr>
              <w:pStyle w:val="TblBdy"/>
              <w:rPr>
                <w:b/>
                <w:sz w:val="16"/>
                <w:szCs w:val="16"/>
              </w:rPr>
            </w:pPr>
            <w:r w:rsidRPr="008E64FC">
              <w:rPr>
                <w:b/>
                <w:sz w:val="16"/>
                <w:szCs w:val="16"/>
              </w:rPr>
              <w:t>Recreational Fishing Grants Working Group</w:t>
            </w:r>
          </w:p>
          <w:p w14:paraId="0866EB08" w14:textId="77777777" w:rsidR="004731EB" w:rsidRPr="008E64FC" w:rsidRDefault="004731EB" w:rsidP="00DC2084">
            <w:pPr>
              <w:pStyle w:val="TblBdy"/>
              <w:rPr>
                <w:sz w:val="16"/>
                <w:szCs w:val="16"/>
                <w:highlight w:val="yellow"/>
              </w:rPr>
            </w:pPr>
            <w:r w:rsidRPr="008E64FC">
              <w:rPr>
                <w:sz w:val="16"/>
                <w:szCs w:val="16"/>
              </w:rPr>
              <w:t>Sitting fees, sustenance, accommod</w:t>
            </w:r>
            <w:r>
              <w:rPr>
                <w:sz w:val="16"/>
                <w:szCs w:val="16"/>
              </w:rPr>
              <w:t xml:space="preserve">ation, vehicle hire, venue hire, and </w:t>
            </w:r>
            <w:r w:rsidRPr="008E64FC">
              <w:rPr>
                <w:sz w:val="16"/>
                <w:szCs w:val="16"/>
              </w:rPr>
              <w:t>personal expenses</w:t>
            </w:r>
            <w:r>
              <w:rPr>
                <w:sz w:val="16"/>
                <w:szCs w:val="16"/>
              </w:rPr>
              <w:t>.</w:t>
            </w:r>
          </w:p>
        </w:tc>
        <w:tc>
          <w:tcPr>
            <w:tcW w:w="1800" w:type="dxa"/>
            <w:shd w:val="clear" w:color="auto" w:fill="auto"/>
            <w:noWrap/>
            <w:tcMar>
              <w:top w:w="45" w:type="dxa"/>
              <w:bottom w:w="45" w:type="dxa"/>
            </w:tcMar>
          </w:tcPr>
          <w:p w14:paraId="6F534382" w14:textId="77777777" w:rsidR="004731EB" w:rsidRPr="00605570" w:rsidRDefault="004731EB" w:rsidP="00DC2084">
            <w:pPr>
              <w:pStyle w:val="TblBdy"/>
              <w:jc w:val="right"/>
              <w:rPr>
                <w:sz w:val="16"/>
                <w:szCs w:val="16"/>
              </w:rPr>
            </w:pPr>
            <w:r w:rsidRPr="00605570">
              <w:rPr>
                <w:sz w:val="16"/>
                <w:szCs w:val="16"/>
              </w:rPr>
              <w:t>$6,979.04</w:t>
            </w:r>
          </w:p>
        </w:tc>
      </w:tr>
      <w:tr w:rsidR="004731EB" w:rsidRPr="00605570" w14:paraId="1052F047" w14:textId="77777777" w:rsidTr="004731EB">
        <w:trPr>
          <w:trHeight w:val="335"/>
        </w:trPr>
        <w:tc>
          <w:tcPr>
            <w:tcW w:w="6521" w:type="dxa"/>
            <w:shd w:val="clear" w:color="auto" w:fill="auto"/>
            <w:tcMar>
              <w:top w:w="45" w:type="dxa"/>
              <w:bottom w:w="45" w:type="dxa"/>
            </w:tcMar>
          </w:tcPr>
          <w:p w14:paraId="21AD09A1" w14:textId="545402FA" w:rsidR="004731EB" w:rsidRPr="008E64FC" w:rsidRDefault="00A8492B" w:rsidP="00DC2084">
            <w:pPr>
              <w:pStyle w:val="TblBdy"/>
              <w:rPr>
                <w:b/>
                <w:sz w:val="16"/>
                <w:szCs w:val="16"/>
              </w:rPr>
            </w:pPr>
            <w:r w:rsidRPr="00A8492B">
              <w:rPr>
                <w:b/>
                <w:sz w:val="16"/>
                <w:szCs w:val="16"/>
              </w:rPr>
              <w:t>Snobs Creek Strategic Planning</w:t>
            </w:r>
          </w:p>
          <w:p w14:paraId="06573152" w14:textId="77777777" w:rsidR="004731EB" w:rsidRPr="008E64FC" w:rsidRDefault="004731EB" w:rsidP="00DC2084">
            <w:pPr>
              <w:pStyle w:val="TblBdy"/>
              <w:rPr>
                <w:sz w:val="16"/>
                <w:szCs w:val="16"/>
                <w:highlight w:val="yellow"/>
              </w:rPr>
            </w:pPr>
            <w:r w:rsidRPr="008E64FC">
              <w:rPr>
                <w:sz w:val="16"/>
                <w:szCs w:val="16"/>
              </w:rPr>
              <w:t>Sitting fees, sustenance, accommodation, vehicle hire, venue hire and personal expenses</w:t>
            </w:r>
          </w:p>
        </w:tc>
        <w:tc>
          <w:tcPr>
            <w:tcW w:w="1800" w:type="dxa"/>
            <w:shd w:val="clear" w:color="auto" w:fill="auto"/>
            <w:noWrap/>
            <w:tcMar>
              <w:top w:w="45" w:type="dxa"/>
              <w:bottom w:w="45" w:type="dxa"/>
            </w:tcMar>
          </w:tcPr>
          <w:p w14:paraId="5A0BC35F" w14:textId="77777777" w:rsidR="004731EB" w:rsidRPr="00605570" w:rsidRDefault="004731EB" w:rsidP="00DC2084">
            <w:pPr>
              <w:pStyle w:val="TblBdy"/>
              <w:jc w:val="right"/>
              <w:rPr>
                <w:sz w:val="16"/>
                <w:szCs w:val="16"/>
              </w:rPr>
            </w:pPr>
            <w:r w:rsidRPr="00605570">
              <w:rPr>
                <w:sz w:val="16"/>
                <w:szCs w:val="16"/>
              </w:rPr>
              <w:t>$62,000.00</w:t>
            </w:r>
          </w:p>
        </w:tc>
      </w:tr>
      <w:tr w:rsidR="004731EB" w:rsidRPr="00605570" w14:paraId="4B086644" w14:textId="77777777" w:rsidTr="004731EB">
        <w:trPr>
          <w:trHeight w:val="284"/>
        </w:trPr>
        <w:tc>
          <w:tcPr>
            <w:tcW w:w="6521" w:type="dxa"/>
            <w:shd w:val="clear" w:color="auto" w:fill="auto"/>
            <w:tcMar>
              <w:top w:w="45" w:type="dxa"/>
              <w:bottom w:w="45" w:type="dxa"/>
            </w:tcMar>
          </w:tcPr>
          <w:p w14:paraId="58D88252" w14:textId="77777777" w:rsidR="004731EB" w:rsidRPr="00605570" w:rsidRDefault="004731EB" w:rsidP="00DC2084">
            <w:pPr>
              <w:pStyle w:val="TblBdy"/>
              <w:rPr>
                <w:sz w:val="16"/>
                <w:szCs w:val="16"/>
              </w:rPr>
            </w:pPr>
            <w:r w:rsidRPr="00605570">
              <w:rPr>
                <w:sz w:val="16"/>
                <w:szCs w:val="16"/>
              </w:rPr>
              <w:t>GST payable</w:t>
            </w:r>
          </w:p>
        </w:tc>
        <w:tc>
          <w:tcPr>
            <w:tcW w:w="1800" w:type="dxa"/>
            <w:shd w:val="clear" w:color="auto" w:fill="auto"/>
            <w:noWrap/>
            <w:tcMar>
              <w:top w:w="45" w:type="dxa"/>
              <w:bottom w:w="45" w:type="dxa"/>
            </w:tcMar>
          </w:tcPr>
          <w:p w14:paraId="050C7C47" w14:textId="77777777" w:rsidR="004731EB" w:rsidRPr="00605570" w:rsidRDefault="004731EB" w:rsidP="00DC2084">
            <w:pPr>
              <w:pStyle w:val="TblBdy"/>
              <w:jc w:val="right"/>
              <w:rPr>
                <w:sz w:val="16"/>
                <w:szCs w:val="16"/>
              </w:rPr>
            </w:pPr>
            <w:r w:rsidRPr="00605570">
              <w:rPr>
                <w:sz w:val="16"/>
                <w:szCs w:val="16"/>
              </w:rPr>
              <w:t>$989.40</w:t>
            </w:r>
          </w:p>
        </w:tc>
      </w:tr>
      <w:tr w:rsidR="004731EB" w:rsidRPr="00605570" w14:paraId="6CB09C0E" w14:textId="77777777" w:rsidTr="004731EB">
        <w:trPr>
          <w:trHeight w:val="335"/>
        </w:trPr>
        <w:tc>
          <w:tcPr>
            <w:tcW w:w="6521" w:type="dxa"/>
            <w:shd w:val="clear" w:color="auto" w:fill="auto"/>
            <w:tcMar>
              <w:top w:w="45" w:type="dxa"/>
              <w:bottom w:w="45" w:type="dxa"/>
            </w:tcMar>
          </w:tcPr>
          <w:p w14:paraId="1C481A91" w14:textId="77777777" w:rsidR="004731EB" w:rsidRPr="00605570" w:rsidRDefault="004731EB" w:rsidP="00DC2084">
            <w:pPr>
              <w:pStyle w:val="TblBdy"/>
              <w:rPr>
                <w:b/>
              </w:rPr>
            </w:pPr>
            <w:r w:rsidRPr="00605570">
              <w:rPr>
                <w:b/>
              </w:rPr>
              <w:t>Total disbursements for the year</w:t>
            </w:r>
          </w:p>
        </w:tc>
        <w:tc>
          <w:tcPr>
            <w:tcW w:w="1800" w:type="dxa"/>
            <w:shd w:val="clear" w:color="auto" w:fill="auto"/>
            <w:noWrap/>
            <w:tcMar>
              <w:top w:w="45" w:type="dxa"/>
              <w:bottom w:w="45" w:type="dxa"/>
            </w:tcMar>
          </w:tcPr>
          <w:p w14:paraId="152FFAAE" w14:textId="77777777" w:rsidR="004731EB" w:rsidRPr="00B12C57" w:rsidRDefault="004731EB" w:rsidP="00DC2084">
            <w:pPr>
              <w:pStyle w:val="TblBdy"/>
              <w:jc w:val="right"/>
              <w:rPr>
                <w:b/>
                <w:szCs w:val="16"/>
              </w:rPr>
            </w:pPr>
            <w:r w:rsidRPr="00B12C57">
              <w:rPr>
                <w:b/>
                <w:szCs w:val="16"/>
              </w:rPr>
              <w:t>$7,077,652.47</w:t>
            </w:r>
          </w:p>
        </w:tc>
      </w:tr>
    </w:tbl>
    <w:p w14:paraId="4AE6FC37" w14:textId="77777777" w:rsidR="004731EB" w:rsidRPr="00741E45" w:rsidRDefault="00B12C57" w:rsidP="00B12C57">
      <w:pPr>
        <w:pStyle w:val="Heading3"/>
      </w:pPr>
      <w:r>
        <w:t>2.1.1</w:t>
      </w:r>
      <w:r w:rsidR="004731EB">
        <w:tab/>
      </w:r>
      <w:r w:rsidR="004731EB" w:rsidRPr="00741E45">
        <w:t>Administration of Recreational Fishing Grants Program</w:t>
      </w:r>
    </w:p>
    <w:p w14:paraId="1A66B009" w14:textId="77777777" w:rsidR="004731EB" w:rsidRPr="0008580A" w:rsidRDefault="004731EB" w:rsidP="004731EB">
      <w:pPr>
        <w:pStyle w:val="Body"/>
        <w:rPr>
          <w:rFonts w:eastAsia="Calibri"/>
        </w:rPr>
      </w:pPr>
      <w:r>
        <w:rPr>
          <w:rFonts w:eastAsia="Calibri"/>
        </w:rPr>
        <w:t>D</w:t>
      </w:r>
      <w:r w:rsidRPr="0008580A">
        <w:rPr>
          <w:rFonts w:eastAsia="Calibri"/>
        </w:rPr>
        <w:t xml:space="preserve">epartmental </w:t>
      </w:r>
      <w:proofErr w:type="gramStart"/>
      <w:r w:rsidRPr="0008580A">
        <w:rPr>
          <w:rFonts w:eastAsia="Calibri"/>
        </w:rPr>
        <w:t xml:space="preserve">staff </w:t>
      </w:r>
      <w:r>
        <w:rPr>
          <w:rFonts w:eastAsia="Calibri"/>
        </w:rPr>
        <w:t>are</w:t>
      </w:r>
      <w:proofErr w:type="gramEnd"/>
      <w:r>
        <w:rPr>
          <w:rFonts w:eastAsia="Calibri"/>
        </w:rPr>
        <w:t xml:space="preserve"> </w:t>
      </w:r>
      <w:r w:rsidRPr="0008580A">
        <w:rPr>
          <w:rFonts w:eastAsia="Calibri"/>
        </w:rPr>
        <w:t>involved in supporting the Recreational Fishing Grants Working Group, managing the Small, Large and Commissioning grants programs, project monitoring and reporting, and licence administration function</w:t>
      </w:r>
      <w:r>
        <w:rPr>
          <w:rFonts w:eastAsia="Calibri"/>
        </w:rPr>
        <w:t>s</w:t>
      </w:r>
      <w:r w:rsidRPr="0008580A">
        <w:rPr>
          <w:rFonts w:eastAsia="Calibri"/>
        </w:rPr>
        <w:t>.</w:t>
      </w:r>
      <w:r>
        <w:rPr>
          <w:rFonts w:eastAsia="Calibri"/>
        </w:rPr>
        <w:t xml:space="preserve"> The annual Commissioning grants program funds significant projects (e.g. Million Murray cod into Lake Eildon) costed at more than $100,000 per annum, whereas the Small grants program, which is open year-round for applications, funds projects of up to $5,000. </w:t>
      </w:r>
    </w:p>
    <w:p w14:paraId="707C0BE1" w14:textId="77777777" w:rsidR="004731EB" w:rsidRDefault="004731EB" w:rsidP="004731EB">
      <w:pPr>
        <w:pStyle w:val="Body"/>
        <w:rPr>
          <w:rFonts w:eastAsia="Calibri"/>
        </w:rPr>
      </w:pPr>
      <w:r>
        <w:rPr>
          <w:rFonts w:eastAsia="Calibri"/>
        </w:rPr>
        <w:t>The</w:t>
      </w:r>
      <w:r w:rsidRPr="0008580A">
        <w:rPr>
          <w:rFonts w:eastAsia="Calibri"/>
        </w:rPr>
        <w:t xml:space="preserve"> Recreational Fishing Grants Working Group </w:t>
      </w:r>
      <w:r>
        <w:rPr>
          <w:rFonts w:eastAsia="Calibri"/>
        </w:rPr>
        <w:t xml:space="preserve">(a non-statutory body) </w:t>
      </w:r>
      <w:r w:rsidRPr="0008580A">
        <w:rPr>
          <w:rFonts w:eastAsia="Calibri"/>
        </w:rPr>
        <w:t xml:space="preserve">comprises eight members appointed by the Minister for Agriculture. </w:t>
      </w:r>
      <w:r>
        <w:rPr>
          <w:rFonts w:eastAsia="Calibri"/>
        </w:rPr>
        <w:t>Membership</w:t>
      </w:r>
      <w:r w:rsidRPr="0008580A">
        <w:rPr>
          <w:rFonts w:eastAsia="Calibri"/>
        </w:rPr>
        <w:t xml:space="preserve"> includes </w:t>
      </w:r>
      <w:r>
        <w:rPr>
          <w:rFonts w:eastAsia="Calibri"/>
        </w:rPr>
        <w:t>eight recreational fishers (plus an independent Chairperson) who collectively provide a range of knowledge, experience and views regarding recreational fishing from across the State. The Working Group</w:t>
      </w:r>
      <w:r w:rsidRPr="0008580A">
        <w:rPr>
          <w:rFonts w:eastAsia="Calibri"/>
        </w:rPr>
        <w:t xml:space="preserve"> assesses all grant applications, determines priorities and makes recommendations to the Minister on how </w:t>
      </w:r>
      <w:r>
        <w:rPr>
          <w:rFonts w:eastAsia="Calibri"/>
        </w:rPr>
        <w:t>RFL revenue should be expended</w:t>
      </w:r>
      <w:r w:rsidRPr="0008580A">
        <w:rPr>
          <w:rFonts w:eastAsia="Calibri"/>
        </w:rPr>
        <w:t>.</w:t>
      </w:r>
    </w:p>
    <w:p w14:paraId="61E0A2EF" w14:textId="77777777" w:rsidR="004731EB" w:rsidRPr="0008580A" w:rsidRDefault="004731EB" w:rsidP="004731EB">
      <w:pPr>
        <w:pStyle w:val="Body"/>
        <w:rPr>
          <w:rFonts w:eastAsia="Calibri"/>
        </w:rPr>
      </w:pPr>
      <w:r w:rsidRPr="0008580A">
        <w:rPr>
          <w:rFonts w:eastAsia="Calibri"/>
        </w:rPr>
        <w:t xml:space="preserve">Recommendations take into account commitments under Fishery Management Plans and any Ministerial directions. </w:t>
      </w:r>
    </w:p>
    <w:p w14:paraId="01D78FC2" w14:textId="77777777" w:rsidR="004731EB" w:rsidRPr="0008580A" w:rsidRDefault="004731EB" w:rsidP="004731EB">
      <w:pPr>
        <w:pStyle w:val="Body"/>
        <w:rPr>
          <w:rFonts w:eastAsia="Calibri"/>
        </w:rPr>
      </w:pPr>
      <w:r w:rsidRPr="0008580A">
        <w:rPr>
          <w:rFonts w:eastAsia="Calibri"/>
        </w:rPr>
        <w:t>The Large Grants program, being the bulk of the grants funding, provides funding for projects in the following project areas:</w:t>
      </w:r>
    </w:p>
    <w:p w14:paraId="45B2AC4A" w14:textId="77777777" w:rsidR="004731EB" w:rsidRPr="0008580A" w:rsidRDefault="004731EB" w:rsidP="00F97BD4">
      <w:pPr>
        <w:pStyle w:val="Bullet"/>
      </w:pPr>
      <w:r w:rsidRPr="0008580A">
        <w:t>recreational fishing access and facilities</w:t>
      </w:r>
    </w:p>
    <w:p w14:paraId="7288702B" w14:textId="77777777" w:rsidR="004731EB" w:rsidRPr="0008580A" w:rsidRDefault="004731EB" w:rsidP="00F97BD4">
      <w:pPr>
        <w:pStyle w:val="Bullet"/>
      </w:pPr>
      <w:r w:rsidRPr="0008580A">
        <w:t>recreational fisheries' sustainability and habitat improvement (including fish stocking)</w:t>
      </w:r>
    </w:p>
    <w:p w14:paraId="774417EE" w14:textId="77777777" w:rsidR="004731EB" w:rsidRPr="0008580A" w:rsidRDefault="004731EB" w:rsidP="00F97BD4">
      <w:pPr>
        <w:pStyle w:val="Bullet"/>
      </w:pPr>
      <w:r w:rsidRPr="0008580A">
        <w:t>recreational fisheries-related education, information and training</w:t>
      </w:r>
    </w:p>
    <w:p w14:paraId="0A56FE79" w14:textId="77777777" w:rsidR="004731EB" w:rsidRPr="0008580A" w:rsidRDefault="004731EB" w:rsidP="00F97BD4">
      <w:pPr>
        <w:pStyle w:val="Bullet"/>
      </w:pPr>
      <w:proofErr w:type="gramStart"/>
      <w:r w:rsidRPr="0008580A">
        <w:t>recreational</w:t>
      </w:r>
      <w:proofErr w:type="gramEnd"/>
      <w:r w:rsidRPr="0008580A">
        <w:t xml:space="preserve"> fisheries research.</w:t>
      </w:r>
    </w:p>
    <w:p w14:paraId="466D28EB" w14:textId="77777777" w:rsidR="004731EB" w:rsidRPr="0008580A" w:rsidRDefault="004731EB" w:rsidP="004731EB">
      <w:pPr>
        <w:pStyle w:val="Body"/>
        <w:rPr>
          <w:rFonts w:eastAsia="Calibri"/>
        </w:rPr>
      </w:pPr>
      <w:r w:rsidRPr="0008580A">
        <w:rPr>
          <w:rFonts w:eastAsia="Calibri"/>
        </w:rPr>
        <w:t>Applications for Large Grants (up to $100,000 per year</w:t>
      </w:r>
      <w:r>
        <w:rPr>
          <w:rFonts w:eastAsia="Calibri"/>
        </w:rPr>
        <w:t>,</w:t>
      </w:r>
      <w:r w:rsidRPr="0008580A">
        <w:rPr>
          <w:rFonts w:eastAsia="Calibri"/>
        </w:rPr>
        <w:t xml:space="preserve"> for up to three years) are assessed both quantitatively and qualitatively (ranked 1 to 5) by the Working Group against appraisal criteria including:</w:t>
      </w:r>
    </w:p>
    <w:p w14:paraId="64C7ABB7" w14:textId="77777777" w:rsidR="004731EB" w:rsidRPr="0008580A" w:rsidRDefault="004731EB" w:rsidP="00F97BD4">
      <w:pPr>
        <w:pStyle w:val="Bullet"/>
      </w:pPr>
      <w:r w:rsidRPr="0008580A">
        <w:t>To what extent will the project’s outcome/s clearly benefit and/or improve Victoria’s (or site specific) recreational fishing?</w:t>
      </w:r>
    </w:p>
    <w:p w14:paraId="5B137E58" w14:textId="77777777" w:rsidR="004731EB" w:rsidRPr="0008580A" w:rsidRDefault="004731EB" w:rsidP="00F97BD4">
      <w:pPr>
        <w:pStyle w:val="Bullet"/>
      </w:pPr>
      <w:r w:rsidRPr="0008580A">
        <w:t xml:space="preserve">Is there </w:t>
      </w:r>
      <w:r>
        <w:t>a</w:t>
      </w:r>
      <w:r w:rsidRPr="0008580A">
        <w:t xml:space="preserve"> clear case for RFL holder support for the project based on priorities identified through the online survey of license</w:t>
      </w:r>
      <w:r>
        <w:t>d</w:t>
      </w:r>
      <w:r w:rsidRPr="0008580A">
        <w:t xml:space="preserve"> anglers?</w:t>
      </w:r>
    </w:p>
    <w:p w14:paraId="15E2E145" w14:textId="77777777" w:rsidR="004731EB" w:rsidRPr="0008580A" w:rsidRDefault="004731EB" w:rsidP="00F97BD4">
      <w:pPr>
        <w:pStyle w:val="Bullet"/>
      </w:pPr>
      <w:r w:rsidRPr="0008580A">
        <w:t>Is the proposed project realistic and practical?</w:t>
      </w:r>
    </w:p>
    <w:p w14:paraId="3BE8CBBD" w14:textId="77777777" w:rsidR="004731EB" w:rsidRPr="0008580A" w:rsidRDefault="004731EB" w:rsidP="00F97BD4">
      <w:pPr>
        <w:pStyle w:val="Bullet"/>
      </w:pPr>
      <w:r w:rsidRPr="0008580A">
        <w:t>Has the applicant defined the project’s outcome/s and how they would demonstrate that they have been achieved?</w:t>
      </w:r>
    </w:p>
    <w:p w14:paraId="6CDCE9EC" w14:textId="77777777" w:rsidR="004731EB" w:rsidRPr="0008580A" w:rsidRDefault="004731EB" w:rsidP="00F97BD4">
      <w:pPr>
        <w:pStyle w:val="Bullet"/>
      </w:pPr>
      <w:r w:rsidRPr="0008580A">
        <w:t>Are the project costs and benefits derived from the project equitably distributed?</w:t>
      </w:r>
    </w:p>
    <w:p w14:paraId="720701E3" w14:textId="77777777" w:rsidR="004731EB" w:rsidRPr="0008580A" w:rsidRDefault="004731EB" w:rsidP="00F97BD4">
      <w:pPr>
        <w:pStyle w:val="Bullet"/>
      </w:pPr>
      <w:r w:rsidRPr="0008580A">
        <w:t>Is there sufficient support for the project from both internal and external stakeholders?</w:t>
      </w:r>
    </w:p>
    <w:p w14:paraId="11E044BF" w14:textId="77777777" w:rsidR="004731EB" w:rsidRDefault="004731EB" w:rsidP="00F97BD4">
      <w:pPr>
        <w:pStyle w:val="Bullet"/>
        <w:rPr>
          <w:rFonts w:eastAsia="Calibri"/>
        </w:rPr>
      </w:pPr>
      <w:r w:rsidRPr="0008580A">
        <w:t>Is there a reasonable level of financial and/or in-kind contributions from other sources?</w:t>
      </w:r>
    </w:p>
    <w:p w14:paraId="63BA20C9" w14:textId="77777777" w:rsidR="00092430" w:rsidRPr="00741E45" w:rsidRDefault="00B12C57" w:rsidP="00B12C57">
      <w:pPr>
        <w:pStyle w:val="Heading3"/>
      </w:pPr>
      <w:r>
        <w:t>2.1.2</w:t>
      </w:r>
      <w:r>
        <w:tab/>
      </w:r>
      <w:r w:rsidR="00092430" w:rsidRPr="00741E45">
        <w:t xml:space="preserve">Funding for Fisheries Officers </w:t>
      </w:r>
    </w:p>
    <w:p w14:paraId="7688B135" w14:textId="77777777" w:rsidR="00092430" w:rsidRDefault="00092430" w:rsidP="00092430">
      <w:pPr>
        <w:pStyle w:val="Body"/>
        <w:rPr>
          <w:rFonts w:eastAsia="Calibri"/>
        </w:rPr>
      </w:pPr>
      <w:r>
        <w:rPr>
          <w:rFonts w:eastAsia="Calibri"/>
        </w:rPr>
        <w:t>There</w:t>
      </w:r>
      <w:r w:rsidRPr="0008580A">
        <w:rPr>
          <w:rFonts w:eastAsia="Calibri"/>
        </w:rPr>
        <w:t xml:space="preserve"> are currently </w:t>
      </w:r>
      <w:r w:rsidR="00231E38" w:rsidRPr="0008580A">
        <w:rPr>
          <w:rFonts w:eastAsia="Calibri"/>
        </w:rPr>
        <w:t>7</w:t>
      </w:r>
      <w:r w:rsidR="00231E38">
        <w:rPr>
          <w:rFonts w:eastAsia="Calibri"/>
        </w:rPr>
        <w:t>4</w:t>
      </w:r>
      <w:r w:rsidR="00231E38" w:rsidRPr="0008580A">
        <w:rPr>
          <w:rFonts w:eastAsia="Calibri"/>
        </w:rPr>
        <w:t xml:space="preserve"> </w:t>
      </w:r>
      <w:r w:rsidRPr="0008580A">
        <w:rPr>
          <w:rFonts w:eastAsia="Calibri"/>
        </w:rPr>
        <w:t xml:space="preserve">Fisheries Officer positions within </w:t>
      </w:r>
      <w:r w:rsidR="00B12C57">
        <w:rPr>
          <w:rFonts w:eastAsia="Calibri"/>
        </w:rPr>
        <w:t>FV</w:t>
      </w:r>
      <w:r w:rsidRPr="0008580A">
        <w:rPr>
          <w:rFonts w:eastAsia="Calibri"/>
        </w:rPr>
        <w:t xml:space="preserve"> that provide fisheries education and enforcement work; </w:t>
      </w:r>
      <w:r>
        <w:rPr>
          <w:rFonts w:eastAsia="Calibri"/>
        </w:rPr>
        <w:t>about</w:t>
      </w:r>
      <w:r w:rsidRPr="0008580A">
        <w:rPr>
          <w:rFonts w:eastAsia="Calibri"/>
        </w:rPr>
        <w:t xml:space="preserve"> 60 per cent of their time is involved in the provision of these services to the recreational sector. The funding allocated from the RFL Trust Account funds the equivalent of 13 of these positions (18 per cent). </w:t>
      </w:r>
    </w:p>
    <w:p w14:paraId="7503378F" w14:textId="77777777" w:rsidR="00092430" w:rsidRDefault="00092430" w:rsidP="00092430">
      <w:pPr>
        <w:pStyle w:val="Body"/>
        <w:rPr>
          <w:rFonts w:eastAsia="Calibri"/>
        </w:rPr>
      </w:pPr>
      <w:r>
        <w:rPr>
          <w:rFonts w:eastAsia="Calibri"/>
        </w:rPr>
        <w:t>The decision to fund Fisheries Officer positions was made when</w:t>
      </w:r>
      <w:r w:rsidR="008953F9">
        <w:rPr>
          <w:rFonts w:eastAsia="Calibri"/>
        </w:rPr>
        <w:t xml:space="preserve"> the</w:t>
      </w:r>
      <w:r>
        <w:rPr>
          <w:rFonts w:eastAsia="Calibri"/>
        </w:rPr>
        <w:t xml:space="preserve"> </w:t>
      </w:r>
      <w:r w:rsidRPr="00BC5091">
        <w:rPr>
          <w:rFonts w:eastAsia="Calibri"/>
        </w:rPr>
        <w:t xml:space="preserve">All-Waters Recreational Fishery Licence </w:t>
      </w:r>
      <w:r>
        <w:rPr>
          <w:rFonts w:eastAsia="Calibri"/>
        </w:rPr>
        <w:t xml:space="preserve">was introduced in </w:t>
      </w:r>
      <w:r w:rsidRPr="00BC5091">
        <w:rPr>
          <w:rFonts w:eastAsia="Calibri"/>
        </w:rPr>
        <w:t>1999. Prior to this, the RFL</w:t>
      </w:r>
      <w:r>
        <w:rPr>
          <w:rFonts w:eastAsia="Calibri"/>
        </w:rPr>
        <w:t xml:space="preserve"> only</w:t>
      </w:r>
      <w:r w:rsidRPr="00BC5091">
        <w:rPr>
          <w:rFonts w:eastAsia="Calibri"/>
        </w:rPr>
        <w:t xml:space="preserve"> covered recreational fishing in streams, rivers and impoundment/lakes</w:t>
      </w:r>
      <w:r w:rsidR="00231E38">
        <w:rPr>
          <w:rFonts w:eastAsia="Calibri"/>
        </w:rPr>
        <w:t xml:space="preserve"> and Rock Lobster in marine waters</w:t>
      </w:r>
      <w:r>
        <w:rPr>
          <w:rFonts w:eastAsia="Calibri"/>
        </w:rPr>
        <w:t xml:space="preserve">. The </w:t>
      </w:r>
      <w:r w:rsidRPr="00BC5091">
        <w:rPr>
          <w:rFonts w:eastAsia="Calibri"/>
        </w:rPr>
        <w:t xml:space="preserve">All-Waters RFL extended </w:t>
      </w:r>
      <w:r>
        <w:rPr>
          <w:rFonts w:eastAsia="Calibri"/>
        </w:rPr>
        <w:t xml:space="preserve">the licensing regime </w:t>
      </w:r>
      <w:r w:rsidRPr="00BC5091">
        <w:rPr>
          <w:rFonts w:eastAsia="Calibri"/>
        </w:rPr>
        <w:t xml:space="preserve">to all forms of recreational fishing in all of Victoria's marine, </w:t>
      </w:r>
      <w:r>
        <w:rPr>
          <w:rFonts w:eastAsia="Calibri"/>
        </w:rPr>
        <w:t>estu</w:t>
      </w:r>
      <w:r w:rsidR="00F35997">
        <w:rPr>
          <w:rFonts w:eastAsia="Calibri"/>
        </w:rPr>
        <w:t xml:space="preserve">arine and fresh waters.  </w:t>
      </w:r>
      <w:r>
        <w:rPr>
          <w:rFonts w:eastAsia="Calibri"/>
        </w:rPr>
        <w:t xml:space="preserve">There was support at the time for an </w:t>
      </w:r>
      <w:r w:rsidRPr="00BC5091">
        <w:rPr>
          <w:rFonts w:eastAsia="Calibri"/>
        </w:rPr>
        <w:t xml:space="preserve">increase in recreational fishing compliance/enforcement activities by way of more Fisheries Officer positions. As the change to the All-Waters RFL mainly affected bay, beach and estuarine (salt water) fishers, </w:t>
      </w:r>
      <w:r>
        <w:rPr>
          <w:rFonts w:eastAsia="Calibri"/>
        </w:rPr>
        <w:t>t</w:t>
      </w:r>
      <w:r w:rsidRPr="00BC5091">
        <w:rPr>
          <w:rFonts w:eastAsia="Calibri"/>
        </w:rPr>
        <w:t xml:space="preserve">en additional Recreational Fisheries Officers were subsequently appointed and deployed to </w:t>
      </w:r>
      <w:r w:rsidR="006550DC">
        <w:rPr>
          <w:rFonts w:eastAsia="Calibri"/>
        </w:rPr>
        <w:t xml:space="preserve">key </w:t>
      </w:r>
      <w:r w:rsidRPr="00BC5091">
        <w:rPr>
          <w:rFonts w:eastAsia="Calibri"/>
        </w:rPr>
        <w:t xml:space="preserve">locations </w:t>
      </w:r>
      <w:r w:rsidR="006550DC">
        <w:rPr>
          <w:rFonts w:eastAsia="Calibri"/>
        </w:rPr>
        <w:t>for</w:t>
      </w:r>
      <w:r w:rsidRPr="00BC5091">
        <w:rPr>
          <w:rFonts w:eastAsia="Calibri"/>
        </w:rPr>
        <w:t xml:space="preserve"> </w:t>
      </w:r>
      <w:r>
        <w:rPr>
          <w:rFonts w:eastAsia="Calibri"/>
        </w:rPr>
        <w:t>coastal</w:t>
      </w:r>
      <w:r w:rsidRPr="00BC5091">
        <w:rPr>
          <w:rFonts w:eastAsia="Calibri"/>
        </w:rPr>
        <w:t xml:space="preserve"> Victoria and Port Phillip Bay and Westernport.  </w:t>
      </w:r>
    </w:p>
    <w:p w14:paraId="17776C27" w14:textId="77777777" w:rsidR="00092430" w:rsidRPr="009A743C" w:rsidRDefault="00092430" w:rsidP="00092430">
      <w:pPr>
        <w:pStyle w:val="Body"/>
      </w:pPr>
      <w:r w:rsidRPr="009A743C">
        <w:t>All Fisheries Officers provide services to the recreational fishing sector and interact with recreational fishers through:</w:t>
      </w:r>
    </w:p>
    <w:p w14:paraId="5B7CC9BE" w14:textId="77777777" w:rsidR="00F85564" w:rsidRPr="0025129A" w:rsidRDefault="00F85564" w:rsidP="00F97BD4">
      <w:pPr>
        <w:pStyle w:val="Bullet"/>
      </w:pPr>
      <w:r w:rsidRPr="0025129A">
        <w:t xml:space="preserve">investigating recreational fishing-related offences </w:t>
      </w:r>
      <w:r>
        <w:t>and prosecuting where necessary</w:t>
      </w:r>
    </w:p>
    <w:p w14:paraId="5D5452FE" w14:textId="77777777" w:rsidR="00F85564" w:rsidRPr="0025129A" w:rsidRDefault="00F85564" w:rsidP="00F97BD4">
      <w:pPr>
        <w:pStyle w:val="Bullet"/>
      </w:pPr>
      <w:r w:rsidRPr="0025129A">
        <w:t>collecting intelligence related t</w:t>
      </w:r>
      <w:r>
        <w:t>o recreational fishing offences</w:t>
      </w:r>
    </w:p>
    <w:p w14:paraId="0700B35E" w14:textId="77777777" w:rsidR="00F85564" w:rsidRPr="0025129A" w:rsidRDefault="00F85564" w:rsidP="00F97BD4">
      <w:pPr>
        <w:pStyle w:val="Bullet"/>
      </w:pPr>
      <w:r w:rsidRPr="0025129A">
        <w:t>participating in recreational fishing-related educational activities with school groups and the broader rec</w:t>
      </w:r>
      <w:r>
        <w:t>reational fishing community</w:t>
      </w:r>
    </w:p>
    <w:p w14:paraId="40EDCF80" w14:textId="77777777" w:rsidR="00F85564" w:rsidRPr="0025129A" w:rsidRDefault="00F85564" w:rsidP="00F97BD4">
      <w:pPr>
        <w:pStyle w:val="Bullet"/>
      </w:pPr>
      <w:r w:rsidRPr="0025129A">
        <w:t>advising fisheries management on issues relating to recreational fishing</w:t>
      </w:r>
    </w:p>
    <w:p w14:paraId="7E3E3DBC" w14:textId="77777777" w:rsidR="00F85564" w:rsidRPr="0025129A" w:rsidRDefault="00F85564" w:rsidP="00F97BD4">
      <w:pPr>
        <w:pStyle w:val="Bullet"/>
      </w:pPr>
      <w:r w:rsidRPr="0025129A">
        <w:t xml:space="preserve">assisting </w:t>
      </w:r>
      <w:r>
        <w:t>Fisheries Victoria’s</w:t>
      </w:r>
      <w:r w:rsidRPr="0025129A">
        <w:t xml:space="preserve"> Fisheries Management and Research </w:t>
      </w:r>
      <w:r>
        <w:t>Unit</w:t>
      </w:r>
      <w:r w:rsidRPr="0025129A">
        <w:t xml:space="preserve"> on matters r</w:t>
      </w:r>
      <w:r>
        <w:t>elating to recreational fishing</w:t>
      </w:r>
    </w:p>
    <w:p w14:paraId="34D34624" w14:textId="77777777" w:rsidR="00092430" w:rsidRPr="0025129A" w:rsidRDefault="00092430" w:rsidP="00F97BD4">
      <w:pPr>
        <w:pStyle w:val="Bullet"/>
      </w:pPr>
      <w:r w:rsidRPr="0025129A">
        <w:t>contact with re</w:t>
      </w:r>
      <w:r w:rsidR="00B12C57">
        <w:t>creational fishers in the field</w:t>
      </w:r>
    </w:p>
    <w:p w14:paraId="28369BD6" w14:textId="77777777" w:rsidR="00092430" w:rsidRPr="0025129A" w:rsidRDefault="00B12C57" w:rsidP="00F97BD4">
      <w:pPr>
        <w:pStyle w:val="Bullet"/>
      </w:pPr>
      <w:r>
        <w:t>attending angling club meetings</w:t>
      </w:r>
    </w:p>
    <w:p w14:paraId="52052287" w14:textId="77777777" w:rsidR="00092430" w:rsidRPr="0025129A" w:rsidRDefault="00092430" w:rsidP="00F97BD4">
      <w:pPr>
        <w:pStyle w:val="Bullet"/>
      </w:pPr>
      <w:r w:rsidRPr="0025129A">
        <w:t>attending recreational fishing-related shows, family fishing events, foru</w:t>
      </w:r>
      <w:r w:rsidR="00B12C57">
        <w:t>ms and clinics</w:t>
      </w:r>
    </w:p>
    <w:p w14:paraId="2A0A8151" w14:textId="77777777" w:rsidR="00092430" w:rsidRPr="0025129A" w:rsidRDefault="00092430" w:rsidP="00F97BD4">
      <w:pPr>
        <w:pStyle w:val="Bullet"/>
      </w:pPr>
      <w:r w:rsidRPr="0025129A">
        <w:t xml:space="preserve">attending </w:t>
      </w:r>
      <w:r w:rsidR="00B12C57">
        <w:t>fish stocking/liberation events</w:t>
      </w:r>
    </w:p>
    <w:p w14:paraId="700FC5F5" w14:textId="77777777" w:rsidR="00092430" w:rsidRPr="0025129A" w:rsidRDefault="00092430" w:rsidP="00F97BD4">
      <w:pPr>
        <w:pStyle w:val="Bullet"/>
      </w:pPr>
      <w:r w:rsidRPr="0025129A">
        <w:t>liaising with grant recipients regarding the successful completion of infrastructure type projects under the annual Recreational Fishin</w:t>
      </w:r>
      <w:r w:rsidR="00B12C57">
        <w:t>g Grants Program (Large Grants)</w:t>
      </w:r>
    </w:p>
    <w:p w14:paraId="282A376D" w14:textId="77777777" w:rsidR="00092430" w:rsidRPr="0025129A" w:rsidRDefault="00092430" w:rsidP="00F97BD4">
      <w:pPr>
        <w:pStyle w:val="Bullet"/>
      </w:pPr>
      <w:r w:rsidRPr="0025129A">
        <w:t>responding to recreational fishing issues raised from th</w:t>
      </w:r>
      <w:r w:rsidR="00B12C57">
        <w:t>e 13FISH Offence Reporting Line</w:t>
      </w:r>
    </w:p>
    <w:p w14:paraId="769D07F7" w14:textId="77777777" w:rsidR="00092430" w:rsidRPr="0025129A" w:rsidRDefault="00092430" w:rsidP="00F97BD4">
      <w:pPr>
        <w:pStyle w:val="Bullet"/>
      </w:pPr>
      <w:r w:rsidRPr="0025129A">
        <w:t>producing recreational fishing-related media releases/d</w:t>
      </w:r>
      <w:r w:rsidR="00B12C57">
        <w:t>istributing booklets, pamphlets</w:t>
      </w:r>
    </w:p>
    <w:p w14:paraId="014797DA" w14:textId="77777777" w:rsidR="00092430" w:rsidRPr="0025129A" w:rsidRDefault="00092430" w:rsidP="00F97BD4">
      <w:pPr>
        <w:pStyle w:val="Bullet"/>
      </w:pPr>
      <w:proofErr w:type="gramStart"/>
      <w:r w:rsidRPr="0025129A">
        <w:t>engaging</w:t>
      </w:r>
      <w:proofErr w:type="gramEnd"/>
      <w:r w:rsidRPr="009A743C">
        <w:t xml:space="preserve"> with culturally and linguistically diverse communities.</w:t>
      </w:r>
    </w:p>
    <w:p w14:paraId="32994942" w14:textId="77777777" w:rsidR="00092430" w:rsidRPr="0025129A" w:rsidRDefault="00B12C57" w:rsidP="00092430">
      <w:pPr>
        <w:pStyle w:val="Body"/>
        <w:rPr>
          <w:rFonts w:eastAsia="Calibri"/>
        </w:rPr>
      </w:pPr>
      <w:r>
        <w:rPr>
          <w:rFonts w:eastAsia="Calibri"/>
        </w:rPr>
        <w:t>T</w:t>
      </w:r>
      <w:r w:rsidR="00092430" w:rsidRPr="0025129A">
        <w:rPr>
          <w:rFonts w:eastAsia="Calibri"/>
        </w:rPr>
        <w:t xml:space="preserve">he total number of </w:t>
      </w:r>
      <w:r w:rsidR="00F85564">
        <w:rPr>
          <w:rFonts w:eastAsia="Calibri"/>
        </w:rPr>
        <w:t xml:space="preserve">enforcement and education </w:t>
      </w:r>
      <w:r w:rsidR="00092430" w:rsidRPr="0025129A">
        <w:rPr>
          <w:rFonts w:eastAsia="Calibri"/>
        </w:rPr>
        <w:t>contacts of Fisheries Officers with recreational fishers exceed</w:t>
      </w:r>
      <w:r w:rsidR="008953F9">
        <w:rPr>
          <w:rFonts w:eastAsia="Calibri"/>
        </w:rPr>
        <w:t>ed</w:t>
      </w:r>
      <w:r w:rsidR="00092430" w:rsidRPr="0025129A">
        <w:rPr>
          <w:rFonts w:eastAsia="Calibri"/>
        </w:rPr>
        <w:t xml:space="preserve"> </w:t>
      </w:r>
      <w:r>
        <w:rPr>
          <w:rFonts w:eastAsia="Calibri"/>
        </w:rPr>
        <w:t xml:space="preserve">45,000 in 2014/15. </w:t>
      </w:r>
      <w:r w:rsidR="00092430" w:rsidRPr="0025129A">
        <w:rPr>
          <w:rFonts w:eastAsia="Calibri"/>
        </w:rPr>
        <w:t xml:space="preserve">In addition, Fisheries Officers conducted </w:t>
      </w:r>
      <w:r>
        <w:rPr>
          <w:rFonts w:eastAsia="Calibri"/>
        </w:rPr>
        <w:t>7,487</w:t>
      </w:r>
      <w:r w:rsidR="00092430" w:rsidRPr="0025129A">
        <w:rPr>
          <w:rFonts w:eastAsia="Calibri"/>
        </w:rPr>
        <w:t xml:space="preserve"> advisory contacts with recreational fishers</w:t>
      </w:r>
      <w:r>
        <w:rPr>
          <w:rFonts w:eastAsia="Calibri"/>
        </w:rPr>
        <w:t xml:space="preserve"> (up from around 4,500 only two years ago)</w:t>
      </w:r>
      <w:r w:rsidR="00092430" w:rsidRPr="0025129A">
        <w:rPr>
          <w:rFonts w:eastAsia="Calibri"/>
        </w:rPr>
        <w:t xml:space="preserve">, attended </w:t>
      </w:r>
      <w:r>
        <w:rPr>
          <w:rFonts w:eastAsia="Calibri"/>
        </w:rPr>
        <w:t>92</w:t>
      </w:r>
      <w:r w:rsidR="00092430" w:rsidRPr="0025129A">
        <w:rPr>
          <w:rFonts w:eastAsia="Calibri"/>
        </w:rPr>
        <w:t xml:space="preserve"> angling club meetings, </w:t>
      </w:r>
      <w:r>
        <w:rPr>
          <w:rFonts w:eastAsia="Calibri"/>
        </w:rPr>
        <w:t>108</w:t>
      </w:r>
      <w:r w:rsidR="00092430" w:rsidRPr="0025129A">
        <w:rPr>
          <w:rFonts w:eastAsia="Calibri"/>
        </w:rPr>
        <w:t xml:space="preserve"> fish stocking events and </w:t>
      </w:r>
      <w:r>
        <w:rPr>
          <w:rFonts w:eastAsia="Calibri"/>
        </w:rPr>
        <w:t>257</w:t>
      </w:r>
      <w:r w:rsidR="00092430" w:rsidRPr="0025129A">
        <w:rPr>
          <w:rFonts w:eastAsia="Calibri"/>
        </w:rPr>
        <w:t xml:space="preserve"> recreational fishing related shows, forums and clinics.</w:t>
      </w:r>
      <w:r>
        <w:rPr>
          <w:rFonts w:eastAsia="Calibri"/>
        </w:rPr>
        <w:t xml:space="preserve"> Further information is </w:t>
      </w:r>
      <w:r w:rsidR="006A057D">
        <w:rPr>
          <w:rFonts w:eastAsia="Calibri"/>
        </w:rPr>
        <w:t>available in</w:t>
      </w:r>
      <w:r>
        <w:rPr>
          <w:rFonts w:eastAsia="Calibri"/>
        </w:rPr>
        <w:t xml:space="preserve"> the annual report provided to parliament on the Trust Account, also available on the DEDJTR website.</w:t>
      </w:r>
    </w:p>
    <w:p w14:paraId="3D9C3242" w14:textId="77777777" w:rsidR="00092430" w:rsidRPr="0025129A" w:rsidRDefault="00092430" w:rsidP="00092430">
      <w:pPr>
        <w:pStyle w:val="Body"/>
        <w:rPr>
          <w:rFonts w:eastAsia="Calibri"/>
        </w:rPr>
      </w:pPr>
      <w:r w:rsidRPr="0025129A">
        <w:rPr>
          <w:rFonts w:eastAsia="Calibri"/>
        </w:rPr>
        <w:t xml:space="preserve">The amount of time that is spent on routine patrolling and on targeted compliance operations is set using an intelligence-based risk assessment approach that, for the recreational sector, will prioritise non-compliance with output controls (e.g. exceeding the daily catch limit) rather than only conducting licence checks. </w:t>
      </w:r>
    </w:p>
    <w:p w14:paraId="2C40E5AF" w14:textId="77777777" w:rsidR="0031277A" w:rsidRDefault="0031277A">
      <w:pPr>
        <w:rPr>
          <w:rFonts w:eastAsiaTheme="majorEastAsia"/>
          <w:b/>
          <w:bCs/>
          <w:color w:val="1F497D" w:themeColor="text2"/>
          <w:sz w:val="26"/>
          <w:szCs w:val="26"/>
        </w:rPr>
      </w:pPr>
      <w:r>
        <w:br w:type="page"/>
      </w:r>
    </w:p>
    <w:p w14:paraId="50B82252" w14:textId="77777777" w:rsidR="00B12C57" w:rsidRPr="009D04F0" w:rsidRDefault="009D04F0" w:rsidP="009D04F0">
      <w:pPr>
        <w:pStyle w:val="Heading2"/>
        <w:numPr>
          <w:ilvl w:val="0"/>
          <w:numId w:val="0"/>
        </w:numPr>
      </w:pPr>
      <w:bookmarkStart w:id="21" w:name="_Toc441733979"/>
      <w:r>
        <w:t>2.2</w:t>
      </w:r>
      <w:r>
        <w:tab/>
      </w:r>
      <w:r w:rsidRPr="009D04F0">
        <w:t>Why do RFL fees need to increase?</w:t>
      </w:r>
      <w:bookmarkEnd w:id="21"/>
    </w:p>
    <w:p w14:paraId="43098306" w14:textId="77777777" w:rsidR="009D04F0" w:rsidRPr="0008580A" w:rsidRDefault="009D04F0" w:rsidP="009D04F0">
      <w:pPr>
        <w:pStyle w:val="Body"/>
      </w:pPr>
      <w:r w:rsidRPr="0008580A">
        <w:t>In 201</w:t>
      </w:r>
      <w:r w:rsidR="004379E6">
        <w:t>4/15</w:t>
      </w:r>
      <w:r w:rsidRPr="0008580A">
        <w:t xml:space="preserve">, there were over </w:t>
      </w:r>
      <w:r>
        <w:t>288,000</w:t>
      </w:r>
      <w:r w:rsidRPr="0008580A">
        <w:t xml:space="preserve"> recreational fishery licences issued in Victoria.</w:t>
      </w:r>
      <w:r w:rsidRPr="0008580A">
        <w:rPr>
          <w:rStyle w:val="FootnoteReference"/>
          <w:sz w:val="22"/>
          <w:szCs w:val="22"/>
        </w:rPr>
        <w:footnoteReference w:id="4"/>
      </w:r>
      <w:r w:rsidRPr="0008580A">
        <w:t xml:space="preserve"> This is an increase of around </w:t>
      </w:r>
      <w:r>
        <w:t>20</w:t>
      </w:r>
      <w:r w:rsidRPr="0008580A">
        <w:t xml:space="preserve"> per cent since the current levies and fees were last adjusted in 2008.</w:t>
      </w:r>
    </w:p>
    <w:p w14:paraId="5EF451D9" w14:textId="77777777" w:rsidR="009D04F0" w:rsidRPr="0008580A" w:rsidRDefault="009D04F0" w:rsidP="009D04F0">
      <w:pPr>
        <w:pStyle w:val="TableTitle"/>
        <w:rPr>
          <w:rFonts w:eastAsia="Calibri"/>
        </w:rPr>
      </w:pPr>
      <w:r w:rsidRPr="0008580A">
        <w:rPr>
          <w:rFonts w:eastAsia="Calibri"/>
        </w:rPr>
        <w:t>Figure 2C – Licence numbers and fee revenue, 2005</w:t>
      </w:r>
      <w:r>
        <w:rPr>
          <w:rFonts w:eastAsia="Calibri"/>
        </w:rPr>
        <w:t>/</w:t>
      </w:r>
      <w:r w:rsidRPr="0008580A">
        <w:rPr>
          <w:rFonts w:eastAsia="Calibri"/>
        </w:rPr>
        <w:t>06 to 201</w:t>
      </w:r>
      <w:r>
        <w:rPr>
          <w:rFonts w:eastAsia="Calibri"/>
        </w:rPr>
        <w:t>4/15</w:t>
      </w:r>
    </w:p>
    <w:p w14:paraId="5DF4D569" w14:textId="77777777" w:rsidR="009D04F0" w:rsidRPr="009D04F0" w:rsidRDefault="009D04F0" w:rsidP="009D04F0">
      <w:pPr>
        <w:rPr>
          <w:sz w:val="16"/>
          <w:szCs w:val="16"/>
        </w:rPr>
      </w:pPr>
      <w:r w:rsidRPr="009D04F0">
        <w:rPr>
          <w:sz w:val="16"/>
          <w:szCs w:val="16"/>
        </w:rPr>
        <w:t xml:space="preserve">     No.</w:t>
      </w:r>
      <w:r w:rsidRPr="009D04F0">
        <w:rPr>
          <w:sz w:val="16"/>
          <w:szCs w:val="16"/>
        </w:rPr>
        <w:tab/>
      </w:r>
      <w:r w:rsidRPr="009D04F0">
        <w:rPr>
          <w:sz w:val="16"/>
          <w:szCs w:val="16"/>
        </w:rPr>
        <w:tab/>
      </w:r>
      <w:r w:rsidRPr="009D04F0">
        <w:rPr>
          <w:sz w:val="16"/>
          <w:szCs w:val="16"/>
        </w:rPr>
        <w:tab/>
      </w:r>
      <w:r w:rsidRPr="009D04F0">
        <w:rPr>
          <w:sz w:val="16"/>
          <w:szCs w:val="16"/>
        </w:rPr>
        <w:tab/>
      </w:r>
      <w:r w:rsidRPr="009D04F0">
        <w:rPr>
          <w:sz w:val="16"/>
          <w:szCs w:val="16"/>
        </w:rPr>
        <w:tab/>
      </w:r>
      <w:r w:rsidRPr="009D04F0">
        <w:rPr>
          <w:sz w:val="16"/>
          <w:szCs w:val="16"/>
        </w:rPr>
        <w:tab/>
      </w:r>
      <w:r w:rsidRPr="009D04F0">
        <w:rPr>
          <w:sz w:val="16"/>
          <w:szCs w:val="16"/>
        </w:rPr>
        <w:tab/>
      </w:r>
      <w:r w:rsidRPr="009D04F0">
        <w:rPr>
          <w:sz w:val="16"/>
          <w:szCs w:val="16"/>
        </w:rPr>
        <w:tab/>
      </w:r>
      <w:r w:rsidRPr="009D04F0">
        <w:rPr>
          <w:sz w:val="16"/>
          <w:szCs w:val="16"/>
        </w:rPr>
        <w:tab/>
        <w:t xml:space="preserve">  </w:t>
      </w:r>
      <w:r>
        <w:rPr>
          <w:sz w:val="16"/>
          <w:szCs w:val="16"/>
        </w:rPr>
        <w:tab/>
        <w:t xml:space="preserve">      </w:t>
      </w:r>
      <w:r w:rsidRPr="009D04F0">
        <w:rPr>
          <w:sz w:val="16"/>
          <w:szCs w:val="16"/>
        </w:rPr>
        <w:t xml:space="preserve">  Revenue</w:t>
      </w:r>
    </w:p>
    <w:p w14:paraId="14AC0659" w14:textId="77777777" w:rsidR="009D04F0" w:rsidRPr="0008580A" w:rsidRDefault="009D04F0" w:rsidP="009D04F0">
      <w:pPr>
        <w:rPr>
          <w:sz w:val="22"/>
          <w:szCs w:val="22"/>
        </w:rPr>
      </w:pPr>
      <w:r>
        <w:rPr>
          <w:noProof/>
          <w:lang w:eastAsia="en-AU"/>
        </w:rPr>
        <w:drawing>
          <wp:inline distT="0" distB="0" distL="0" distR="0" wp14:anchorId="478BD93C" wp14:editId="5B199D46">
            <wp:extent cx="5270500" cy="282951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67C38B5" w14:textId="77777777" w:rsidR="009D04F0" w:rsidRPr="0008580A" w:rsidRDefault="009D04F0" w:rsidP="009D04F0"/>
    <w:p w14:paraId="06985053" w14:textId="77777777" w:rsidR="009D04F0" w:rsidRPr="0008580A" w:rsidRDefault="009D04F0" w:rsidP="009D04F0"/>
    <w:p w14:paraId="1C4E2817" w14:textId="77777777" w:rsidR="00654C97" w:rsidRPr="00654C97" w:rsidRDefault="00654C97" w:rsidP="00654C97">
      <w:pPr>
        <w:pStyle w:val="Body"/>
        <w:rPr>
          <w:rFonts w:eastAsia="Calibri"/>
          <w:bCs/>
        </w:rPr>
      </w:pPr>
      <w:r w:rsidRPr="00654C97">
        <w:rPr>
          <w:rFonts w:eastAsia="Calibri"/>
          <w:bCs/>
        </w:rPr>
        <w:t xml:space="preserve">More than </w:t>
      </w:r>
      <w:r>
        <w:rPr>
          <w:rFonts w:eastAsia="Calibri"/>
          <w:bCs/>
        </w:rPr>
        <w:t>45</w:t>
      </w:r>
      <w:r w:rsidRPr="00654C97">
        <w:rPr>
          <w:rFonts w:eastAsia="Calibri"/>
          <w:bCs/>
        </w:rPr>
        <w:t xml:space="preserve"> per cent o</w:t>
      </w:r>
      <w:r>
        <w:rPr>
          <w:rFonts w:eastAsia="Calibri"/>
          <w:bCs/>
        </w:rPr>
        <w:t xml:space="preserve">f RFLs </w:t>
      </w:r>
      <w:r w:rsidR="00D60B38">
        <w:rPr>
          <w:rFonts w:eastAsia="Calibri"/>
          <w:bCs/>
        </w:rPr>
        <w:t>we</w:t>
      </w:r>
      <w:r>
        <w:rPr>
          <w:rFonts w:eastAsia="Calibri"/>
          <w:bCs/>
        </w:rPr>
        <w:t>re purchased online</w:t>
      </w:r>
      <w:r w:rsidR="0082164C">
        <w:rPr>
          <w:rFonts w:eastAsia="Calibri"/>
          <w:bCs/>
        </w:rPr>
        <w:t xml:space="preserve"> in 2014/15</w:t>
      </w:r>
      <w:r w:rsidRPr="00654C97">
        <w:rPr>
          <w:rFonts w:eastAsia="Calibri"/>
          <w:bCs/>
        </w:rPr>
        <w:t xml:space="preserve">; the balance </w:t>
      </w:r>
      <w:r w:rsidR="00D60B38">
        <w:rPr>
          <w:rFonts w:eastAsia="Calibri"/>
          <w:bCs/>
        </w:rPr>
        <w:t>wa</w:t>
      </w:r>
      <w:r w:rsidRPr="00654C97">
        <w:rPr>
          <w:rFonts w:eastAsia="Calibri"/>
          <w:bCs/>
        </w:rPr>
        <w:t>s purchased through authorised retail outlets</w:t>
      </w:r>
      <w:r w:rsidR="00D2714D">
        <w:rPr>
          <w:rFonts w:eastAsia="Calibri"/>
          <w:bCs/>
        </w:rPr>
        <w:t xml:space="preserve"> and departmental offices</w:t>
      </w:r>
      <w:r w:rsidRPr="00654C97">
        <w:rPr>
          <w:rFonts w:eastAsia="Calibri"/>
          <w:bCs/>
        </w:rPr>
        <w:t>.</w:t>
      </w:r>
    </w:p>
    <w:p w14:paraId="7D64CD13" w14:textId="77777777" w:rsidR="005C3A68" w:rsidRDefault="005C3A68" w:rsidP="009D04F0">
      <w:pPr>
        <w:pStyle w:val="Body"/>
        <w:rPr>
          <w:rFonts w:eastAsia="Calibri"/>
        </w:rPr>
      </w:pPr>
      <w:r>
        <w:rPr>
          <w:rFonts w:eastAsia="Calibri"/>
        </w:rPr>
        <w:t xml:space="preserve">Importantly, not all recreational fishers require a licence, and therefore the revenue generated from RFL fees is derived from only a segment of all fishers. </w:t>
      </w:r>
      <w:r w:rsidR="00F85564">
        <w:rPr>
          <w:rFonts w:eastAsia="Calibri"/>
        </w:rPr>
        <w:t xml:space="preserve">The total number of recreational fishers is not measured, but is likely to </w:t>
      </w:r>
      <w:r w:rsidR="00F35997">
        <w:rPr>
          <w:rFonts w:eastAsia="Calibri"/>
        </w:rPr>
        <w:t xml:space="preserve">be </w:t>
      </w:r>
      <w:r w:rsidR="00F85564">
        <w:rPr>
          <w:rFonts w:eastAsia="Calibri"/>
        </w:rPr>
        <w:t xml:space="preserve">much higher that the number licensed. </w:t>
      </w:r>
      <w:r>
        <w:rPr>
          <w:rFonts w:eastAsia="Calibri"/>
        </w:rPr>
        <w:t>Many of these are exempt from holding a licence (under 18 years of age, or over 70 years of age, or holders of relevant seniors or pensioner cards).</w:t>
      </w:r>
      <w:r w:rsidR="00326F41" w:rsidRPr="00326F41">
        <w:rPr>
          <w:rFonts w:eastAsia="Calibri"/>
        </w:rPr>
        <w:t xml:space="preserve"> </w:t>
      </w:r>
      <w:r w:rsidR="00326F41">
        <w:rPr>
          <w:rFonts w:eastAsia="Calibri"/>
        </w:rPr>
        <w:t>As the population grows and ages,</w:t>
      </w:r>
      <w:r w:rsidR="00326F41">
        <w:rPr>
          <w:rStyle w:val="FootnoteReference"/>
          <w:rFonts w:eastAsia="Calibri"/>
          <w:sz w:val="22"/>
          <w:szCs w:val="22"/>
        </w:rPr>
        <w:footnoteReference w:id="5"/>
      </w:r>
      <w:r w:rsidR="00326F41">
        <w:rPr>
          <w:rFonts w:eastAsia="Calibri"/>
        </w:rPr>
        <w:t xml:space="preserve"> a higher proportion of recreational fishers are likely to be in the over 70 </w:t>
      </w:r>
      <w:proofErr w:type="gramStart"/>
      <w:r w:rsidR="00326F41">
        <w:rPr>
          <w:rFonts w:eastAsia="Calibri"/>
        </w:rPr>
        <w:t>years</w:t>
      </w:r>
      <w:proofErr w:type="gramEnd"/>
      <w:r w:rsidR="00326F41">
        <w:rPr>
          <w:rFonts w:eastAsia="Calibri"/>
        </w:rPr>
        <w:t xml:space="preserve"> group.</w:t>
      </w:r>
      <w:r w:rsidR="00326F41" w:rsidRPr="00275E84">
        <w:rPr>
          <w:rFonts w:eastAsia="Calibri"/>
        </w:rPr>
        <w:t xml:space="preserve"> </w:t>
      </w:r>
    </w:p>
    <w:p w14:paraId="1F1C4020" w14:textId="77777777" w:rsidR="009D04F0" w:rsidRPr="0008580A" w:rsidRDefault="009D04F0" w:rsidP="009D04F0">
      <w:pPr>
        <w:pStyle w:val="Body"/>
        <w:rPr>
          <w:rFonts w:eastAsia="Calibri"/>
        </w:rPr>
      </w:pPr>
      <w:r w:rsidRPr="0008580A">
        <w:rPr>
          <w:rFonts w:eastAsia="Calibri"/>
        </w:rPr>
        <w:t xml:space="preserve">Since </w:t>
      </w:r>
      <w:r>
        <w:rPr>
          <w:rFonts w:eastAsia="Calibri"/>
        </w:rPr>
        <w:t>licence fees</w:t>
      </w:r>
      <w:r w:rsidRPr="0008580A">
        <w:rPr>
          <w:rFonts w:eastAsia="Calibri"/>
        </w:rPr>
        <w:t xml:space="preserve"> were last increased in 2008, demands on the </w:t>
      </w:r>
      <w:r>
        <w:rPr>
          <w:rFonts w:eastAsia="Calibri"/>
        </w:rPr>
        <w:t xml:space="preserve">RFL </w:t>
      </w:r>
      <w:r w:rsidRPr="0008580A">
        <w:rPr>
          <w:rFonts w:eastAsia="Calibri"/>
        </w:rPr>
        <w:t xml:space="preserve">Trust Account have increased </w:t>
      </w:r>
      <w:r>
        <w:rPr>
          <w:rFonts w:eastAsia="Calibri"/>
        </w:rPr>
        <w:t>significantly</w:t>
      </w:r>
      <w:r w:rsidRPr="0008580A">
        <w:rPr>
          <w:rFonts w:eastAsia="Calibri"/>
        </w:rPr>
        <w:t xml:space="preserve">. </w:t>
      </w:r>
      <w:proofErr w:type="gramStart"/>
      <w:r w:rsidRPr="0008580A">
        <w:rPr>
          <w:rFonts w:eastAsia="Calibri"/>
        </w:rPr>
        <w:t>As shown in Figure 2</w:t>
      </w:r>
      <w:r w:rsidR="004B6C58">
        <w:rPr>
          <w:rFonts w:eastAsia="Calibri"/>
        </w:rPr>
        <w:t>D</w:t>
      </w:r>
      <w:r w:rsidRPr="0008580A">
        <w:rPr>
          <w:rFonts w:eastAsia="Calibri"/>
        </w:rPr>
        <w:t>, expenditure on administration costs and sales commissions has been relatively stable over this time.</w:t>
      </w:r>
      <w:proofErr w:type="gramEnd"/>
      <w:r w:rsidRPr="0008580A">
        <w:rPr>
          <w:rFonts w:eastAsia="Calibri"/>
        </w:rPr>
        <w:t xml:space="preserve"> Recreational fisheries-related education and enforcement expenditure has increased moderately. However, the </w:t>
      </w:r>
      <w:r>
        <w:rPr>
          <w:rFonts w:eastAsia="Calibri"/>
        </w:rPr>
        <w:t>funding</w:t>
      </w:r>
      <w:r w:rsidRPr="0008580A">
        <w:rPr>
          <w:rFonts w:eastAsia="Calibri"/>
        </w:rPr>
        <w:t xml:space="preserve"> allocated to </w:t>
      </w:r>
      <w:r w:rsidR="005533A9">
        <w:rPr>
          <w:rFonts w:eastAsia="Calibri"/>
        </w:rPr>
        <w:t>recreational fishing initiatives and programs via grants</w:t>
      </w:r>
      <w:r w:rsidRPr="0008580A">
        <w:rPr>
          <w:rFonts w:eastAsia="Calibri"/>
        </w:rPr>
        <w:t xml:space="preserve"> has in</w:t>
      </w:r>
      <w:r w:rsidR="00AF77DD">
        <w:rPr>
          <w:rFonts w:eastAsia="Calibri"/>
        </w:rPr>
        <w:t>creased by nearly 200 per cent.</w:t>
      </w:r>
    </w:p>
    <w:p w14:paraId="19D4C699" w14:textId="77777777" w:rsidR="009D04F0" w:rsidRPr="0008580A" w:rsidRDefault="009D04F0" w:rsidP="0082164C">
      <w:pPr>
        <w:pStyle w:val="TableTitle"/>
        <w:keepNext/>
        <w:rPr>
          <w:rFonts w:eastAsia="Calibri"/>
        </w:rPr>
      </w:pPr>
      <w:r w:rsidRPr="0008580A">
        <w:rPr>
          <w:rFonts w:eastAsia="Calibri"/>
        </w:rPr>
        <w:t>Figure 2</w:t>
      </w:r>
      <w:r w:rsidR="004B6C58">
        <w:rPr>
          <w:rFonts w:eastAsia="Calibri"/>
        </w:rPr>
        <w:t>D</w:t>
      </w:r>
      <w:r w:rsidRPr="0008580A">
        <w:rPr>
          <w:rFonts w:eastAsia="Calibri"/>
        </w:rPr>
        <w:t xml:space="preserve"> – </w:t>
      </w:r>
      <w:r>
        <w:rPr>
          <w:rFonts w:eastAsia="Calibri"/>
        </w:rPr>
        <w:t>Expenditure</w:t>
      </w:r>
      <w:r w:rsidRPr="0008580A">
        <w:rPr>
          <w:rFonts w:eastAsia="Calibri"/>
        </w:rPr>
        <w:t xml:space="preserve"> of licence fee revenue 2008</w:t>
      </w:r>
      <w:r>
        <w:rPr>
          <w:rFonts w:eastAsia="Calibri"/>
        </w:rPr>
        <w:t>/</w:t>
      </w:r>
      <w:r w:rsidRPr="0008580A">
        <w:rPr>
          <w:rFonts w:eastAsia="Calibri"/>
        </w:rPr>
        <w:t>09 to 201</w:t>
      </w:r>
      <w:r w:rsidR="004B6C58">
        <w:rPr>
          <w:rFonts w:eastAsia="Calibri"/>
        </w:rPr>
        <w:t>4/15</w:t>
      </w:r>
    </w:p>
    <w:p w14:paraId="12D38D30" w14:textId="77777777" w:rsidR="009D04F0" w:rsidRPr="0008580A" w:rsidRDefault="004B6C58" w:rsidP="009D04F0">
      <w:pPr>
        <w:rPr>
          <w:rFonts w:eastAsia="Calibri"/>
          <w:sz w:val="22"/>
          <w:szCs w:val="22"/>
        </w:rPr>
      </w:pPr>
      <w:r>
        <w:rPr>
          <w:noProof/>
          <w:lang w:eastAsia="en-AU"/>
        </w:rPr>
        <w:drawing>
          <wp:inline distT="0" distB="0" distL="0" distR="0" wp14:anchorId="00B37567" wp14:editId="7FABA444">
            <wp:extent cx="5270500" cy="3787890"/>
            <wp:effectExtent l="0" t="0" r="635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8DC275A" w14:textId="77777777" w:rsidR="009D04F0" w:rsidRPr="0008580A" w:rsidRDefault="009D04F0" w:rsidP="009D04F0">
      <w:pPr>
        <w:rPr>
          <w:rFonts w:eastAsia="Calibri"/>
        </w:rPr>
      </w:pPr>
    </w:p>
    <w:p w14:paraId="10DE9B63" w14:textId="77777777" w:rsidR="00AF77DD" w:rsidRDefault="00AF77DD" w:rsidP="00AF77DD">
      <w:pPr>
        <w:pStyle w:val="Body"/>
        <w:rPr>
          <w:rFonts w:eastAsia="Calibri"/>
        </w:rPr>
      </w:pPr>
      <w:r w:rsidRPr="0008580A">
        <w:rPr>
          <w:rFonts w:eastAsia="Calibri"/>
        </w:rPr>
        <w:t xml:space="preserve">A survey of </w:t>
      </w:r>
      <w:r>
        <w:rPr>
          <w:rFonts w:eastAsia="Calibri"/>
        </w:rPr>
        <w:t xml:space="preserve">licensed </w:t>
      </w:r>
      <w:r w:rsidRPr="0008580A">
        <w:rPr>
          <w:rFonts w:eastAsia="Calibri"/>
        </w:rPr>
        <w:t>Victorian recreational fishers in 2009 identified the top priorities for funding including:</w:t>
      </w:r>
    </w:p>
    <w:p w14:paraId="46FBE9D3" w14:textId="77777777" w:rsidR="00AF77DD" w:rsidRPr="0008580A" w:rsidRDefault="00AF77DD" w:rsidP="00F97BD4">
      <w:pPr>
        <w:pStyle w:val="Bullet"/>
      </w:pPr>
      <w:r w:rsidRPr="0008580A">
        <w:t>fishing stocks and the need to restock rivers</w:t>
      </w:r>
    </w:p>
    <w:p w14:paraId="49461AB8" w14:textId="77777777" w:rsidR="00AF77DD" w:rsidRPr="0008580A" w:rsidRDefault="00AF77DD" w:rsidP="00F97BD4">
      <w:pPr>
        <w:pStyle w:val="Bullet"/>
      </w:pPr>
      <w:r w:rsidRPr="0008580A">
        <w:t>pest control and removal of noxious species</w:t>
      </w:r>
    </w:p>
    <w:p w14:paraId="217BE13C" w14:textId="77777777" w:rsidR="00AF77DD" w:rsidRPr="0008580A" w:rsidRDefault="00AF77DD" w:rsidP="00F97BD4">
      <w:pPr>
        <w:pStyle w:val="Bullet"/>
      </w:pPr>
      <w:r w:rsidRPr="0008580A">
        <w:t>recreational fishing infrastructure (jetties, fish cleaning tables)</w:t>
      </w:r>
    </w:p>
    <w:p w14:paraId="287C6CDA" w14:textId="77777777" w:rsidR="00AF77DD" w:rsidRPr="0008580A" w:rsidRDefault="00AF77DD" w:rsidP="00F97BD4">
      <w:pPr>
        <w:pStyle w:val="Bullet"/>
      </w:pPr>
      <w:r w:rsidRPr="0008580A">
        <w:t>environmental concerns including clean waterways and pollution in general, climate change and effects of drought</w:t>
      </w:r>
    </w:p>
    <w:p w14:paraId="4868A78F" w14:textId="77777777" w:rsidR="00AF77DD" w:rsidRPr="0008580A" w:rsidRDefault="00AF77DD" w:rsidP="00F97BD4">
      <w:pPr>
        <w:pStyle w:val="Bullet"/>
      </w:pPr>
      <w:r w:rsidRPr="0008580A">
        <w:t>increased recreational fisher access to suitable fishing locations</w:t>
      </w:r>
      <w:r w:rsidR="00F35997">
        <w:t>,</w:t>
      </w:r>
      <w:r>
        <w:t xml:space="preserve"> and</w:t>
      </w:r>
    </w:p>
    <w:p w14:paraId="71F0F3E9" w14:textId="77777777" w:rsidR="00AF77DD" w:rsidRPr="0008580A" w:rsidRDefault="00AF77DD" w:rsidP="00F97BD4">
      <w:pPr>
        <w:pStyle w:val="Bullet"/>
      </w:pPr>
      <w:proofErr w:type="gramStart"/>
      <w:r w:rsidRPr="0008580A">
        <w:t>better</w:t>
      </w:r>
      <w:proofErr w:type="gramEnd"/>
      <w:r w:rsidRPr="0008580A">
        <w:t xml:space="preserve"> enforcement of licensing requirements.</w:t>
      </w:r>
    </w:p>
    <w:p w14:paraId="43CA1F1D" w14:textId="77777777" w:rsidR="004A4A2F" w:rsidRPr="004A4A2F" w:rsidRDefault="009D04F0" w:rsidP="004A4A2F">
      <w:pPr>
        <w:pStyle w:val="Body"/>
        <w:rPr>
          <w:rFonts w:eastAsia="Calibri"/>
        </w:rPr>
      </w:pPr>
      <w:r w:rsidRPr="0008580A">
        <w:rPr>
          <w:rFonts w:eastAsia="Calibri"/>
        </w:rPr>
        <w:t xml:space="preserve">For regulations imposing fees or charges, a RIS </w:t>
      </w:r>
      <w:r w:rsidR="00AF77DD">
        <w:rPr>
          <w:rFonts w:eastAsia="Calibri"/>
        </w:rPr>
        <w:t>should</w:t>
      </w:r>
      <w:r>
        <w:rPr>
          <w:rFonts w:eastAsia="Calibri"/>
        </w:rPr>
        <w:t xml:space="preserve"> demonstrate the need for the G</w:t>
      </w:r>
      <w:r w:rsidRPr="0008580A">
        <w:rPr>
          <w:rFonts w:eastAsia="Calibri"/>
        </w:rPr>
        <w:t xml:space="preserve">overnment’s provision of services or regulatory activity that will give rise to the need for </w:t>
      </w:r>
      <w:r>
        <w:rPr>
          <w:rFonts w:eastAsia="Calibri"/>
        </w:rPr>
        <w:t>the charges</w:t>
      </w:r>
      <w:r w:rsidRPr="0008580A">
        <w:rPr>
          <w:rFonts w:eastAsia="Calibri"/>
        </w:rPr>
        <w:t>. Views expressed by the State</w:t>
      </w:r>
      <w:r>
        <w:rPr>
          <w:rFonts w:eastAsia="Calibri"/>
        </w:rPr>
        <w:t>-</w:t>
      </w:r>
      <w:r w:rsidRPr="0008580A">
        <w:rPr>
          <w:rFonts w:eastAsia="Calibri"/>
        </w:rPr>
        <w:t>wide Recreational Fishing Roundtable Forum and by recreational fishers who attended regional forums over the past years, have supported changes to the current licence pricing to facilitate greater investment to further improve recreational fishing opportunities in Victoria.</w:t>
      </w:r>
      <w:r w:rsidR="004A4A2F">
        <w:rPr>
          <w:rFonts w:eastAsia="Calibri"/>
        </w:rPr>
        <w:t xml:space="preserve"> S</w:t>
      </w:r>
      <w:r w:rsidR="004A4A2F" w:rsidRPr="004A4A2F">
        <w:rPr>
          <w:rFonts w:eastAsia="Calibri"/>
        </w:rPr>
        <w:t xml:space="preserve">ome infrastructure </w:t>
      </w:r>
      <w:r w:rsidR="00956F5F">
        <w:rPr>
          <w:rFonts w:eastAsia="Calibri"/>
        </w:rPr>
        <w:t>initiatives</w:t>
      </w:r>
      <w:r w:rsidR="004A4A2F" w:rsidRPr="004A4A2F">
        <w:rPr>
          <w:rFonts w:eastAsia="Calibri"/>
        </w:rPr>
        <w:t>, such as building/enhancing jetties/piers, as well as community fishing days and catch a carp events are designed to attract families and new participants to rec</w:t>
      </w:r>
      <w:r w:rsidR="004A4A2F">
        <w:rPr>
          <w:rFonts w:eastAsia="Calibri"/>
        </w:rPr>
        <w:t>reational</w:t>
      </w:r>
      <w:r w:rsidR="004A4A2F" w:rsidRPr="004A4A2F">
        <w:rPr>
          <w:rFonts w:eastAsia="Calibri"/>
        </w:rPr>
        <w:t xml:space="preserve"> fishing.</w:t>
      </w:r>
    </w:p>
    <w:p w14:paraId="3C1883E9" w14:textId="77777777" w:rsidR="009D04F0" w:rsidRPr="0008580A" w:rsidRDefault="009D04F0" w:rsidP="009D04F0">
      <w:pPr>
        <w:pStyle w:val="Body"/>
        <w:rPr>
          <w:rFonts w:eastAsia="Calibri"/>
        </w:rPr>
      </w:pPr>
      <w:r w:rsidRPr="0008580A">
        <w:rPr>
          <w:rFonts w:eastAsia="Calibri"/>
        </w:rPr>
        <w:t xml:space="preserve">Key recreational fishing stakeholders and the Victorian Government believe that </w:t>
      </w:r>
      <w:r w:rsidR="00C20E24" w:rsidRPr="0008580A">
        <w:rPr>
          <w:rFonts w:eastAsia="Calibri"/>
        </w:rPr>
        <w:t xml:space="preserve">a higher level of licence revenue </w:t>
      </w:r>
      <w:r w:rsidR="00C20E24">
        <w:rPr>
          <w:rFonts w:eastAsia="Calibri"/>
        </w:rPr>
        <w:t>is required and justified for</w:t>
      </w:r>
      <w:r w:rsidRPr="0008580A">
        <w:rPr>
          <w:rFonts w:eastAsia="Calibri"/>
        </w:rPr>
        <w:t xml:space="preserve"> </w:t>
      </w:r>
      <w:r w:rsidR="00956F5F">
        <w:rPr>
          <w:rFonts w:eastAsia="Calibri"/>
        </w:rPr>
        <w:t xml:space="preserve">funding </w:t>
      </w:r>
      <w:r w:rsidR="00C20E24">
        <w:rPr>
          <w:rFonts w:eastAsia="Calibri"/>
        </w:rPr>
        <w:t xml:space="preserve">initiatives </w:t>
      </w:r>
      <w:r w:rsidR="00956F5F">
        <w:rPr>
          <w:rFonts w:eastAsia="Calibri"/>
        </w:rPr>
        <w:t xml:space="preserve">and programs </w:t>
      </w:r>
      <w:r w:rsidR="00C20E24">
        <w:rPr>
          <w:rFonts w:eastAsia="Calibri"/>
        </w:rPr>
        <w:t>to enhance recreational fishing opportunities</w:t>
      </w:r>
      <w:r w:rsidRPr="0008580A">
        <w:rPr>
          <w:rFonts w:eastAsia="Calibri"/>
        </w:rPr>
        <w:t xml:space="preserve">. </w:t>
      </w:r>
    </w:p>
    <w:p w14:paraId="13895C76" w14:textId="77777777" w:rsidR="009D04F0" w:rsidRPr="0008580A" w:rsidRDefault="009D04F0" w:rsidP="009D04F0">
      <w:pPr>
        <w:pStyle w:val="Body"/>
        <w:rPr>
          <w:rFonts w:eastAsia="Calibri"/>
        </w:rPr>
      </w:pPr>
      <w:r w:rsidRPr="0008580A">
        <w:rPr>
          <w:rFonts w:eastAsia="Calibri"/>
        </w:rPr>
        <w:t xml:space="preserve">There are some key examples of </w:t>
      </w:r>
      <w:r>
        <w:rPr>
          <w:rFonts w:eastAsia="Calibri"/>
        </w:rPr>
        <w:t xml:space="preserve">where intervention, through </w:t>
      </w:r>
      <w:r w:rsidRPr="0008580A">
        <w:rPr>
          <w:rFonts w:eastAsia="Calibri"/>
        </w:rPr>
        <w:t>RFL Trust Account</w:t>
      </w:r>
      <w:r>
        <w:rPr>
          <w:rFonts w:eastAsia="Calibri"/>
        </w:rPr>
        <w:t xml:space="preserve"> expenditure</w:t>
      </w:r>
      <w:r w:rsidRPr="0008580A">
        <w:rPr>
          <w:rFonts w:eastAsia="Calibri"/>
        </w:rPr>
        <w:t>, has proven successful or identified need for further action:</w:t>
      </w:r>
    </w:p>
    <w:p w14:paraId="17ACD40A" w14:textId="77777777" w:rsidR="009D04F0" w:rsidRPr="0008580A" w:rsidRDefault="009D04F0" w:rsidP="00F97BD4">
      <w:pPr>
        <w:pStyle w:val="Bullet"/>
      </w:pPr>
      <w:r>
        <w:t>S</w:t>
      </w:r>
      <w:r w:rsidRPr="0008580A">
        <w:t xml:space="preserve">ince 1999, five Gippsland inlets </w:t>
      </w:r>
      <w:r>
        <w:t xml:space="preserve">have been closed to commercial fishing and netting has been removed from </w:t>
      </w:r>
      <w:r w:rsidRPr="0008580A">
        <w:t>Westernport</w:t>
      </w:r>
      <w:r>
        <w:t>.</w:t>
      </w:r>
      <w:r w:rsidRPr="0008580A">
        <w:t xml:space="preserve"> </w:t>
      </w:r>
      <w:r>
        <w:t>Therefore,</w:t>
      </w:r>
      <w:r w:rsidRPr="0008580A">
        <w:t xml:space="preserve"> fish stock monitoring and assessment </w:t>
      </w:r>
      <w:r>
        <w:t xml:space="preserve">is </w:t>
      </w:r>
      <w:r w:rsidRPr="0008580A">
        <w:t>focus</w:t>
      </w:r>
      <w:r>
        <w:t>ed</w:t>
      </w:r>
      <w:r w:rsidRPr="0008580A">
        <w:t xml:space="preserve"> on the recreational fishing sector.  Recreational fishers have accepted that much of the costs of these programs and of implementing fisheries management plans for these waters </w:t>
      </w:r>
      <w:r>
        <w:t xml:space="preserve">should </w:t>
      </w:r>
      <w:r w:rsidRPr="0008580A">
        <w:t>now come from the RFL Trust Account.</w:t>
      </w:r>
    </w:p>
    <w:p w14:paraId="5C4F4DCF" w14:textId="77777777" w:rsidR="009D04F0" w:rsidRPr="0008580A" w:rsidRDefault="009D04F0" w:rsidP="00F97BD4">
      <w:pPr>
        <w:pStyle w:val="Bullet"/>
      </w:pPr>
      <w:r>
        <w:t>S</w:t>
      </w:r>
      <w:r w:rsidRPr="0008580A">
        <w:t xml:space="preserve">imilarly, the removal of commercial </w:t>
      </w:r>
      <w:r>
        <w:t>fishing</w:t>
      </w:r>
      <w:r w:rsidRPr="0008580A">
        <w:t xml:space="preserve"> from all inland waters in the early 2000s has opened the way for some newly stocked recreational fisheries for native fish species – e.g. golden perch and Murray cod in Kerang lakes. This entails increased costs in enforcement, education, stocking, monitoring and assessment.</w:t>
      </w:r>
    </w:p>
    <w:p w14:paraId="6968F7A8" w14:textId="77777777" w:rsidR="009D04F0" w:rsidRPr="0008580A" w:rsidRDefault="009D04F0" w:rsidP="00F97BD4">
      <w:pPr>
        <w:pStyle w:val="Bullet"/>
      </w:pPr>
      <w:r>
        <w:t>T</w:t>
      </w:r>
      <w:r w:rsidRPr="0008580A">
        <w:t xml:space="preserve">here are still significant unmet challenges in </w:t>
      </w:r>
      <w:r>
        <w:t>assessing</w:t>
      </w:r>
      <w:r w:rsidRPr="0008580A">
        <w:t xml:space="preserve"> the recreational </w:t>
      </w:r>
      <w:r>
        <w:t xml:space="preserve">harvest </w:t>
      </w:r>
      <w:r w:rsidRPr="0008580A">
        <w:t>component of the abalone and rock lobster fisheries.  Producing reliable catch estimates for these fisheries has been a high priority in the respectiv</w:t>
      </w:r>
      <w:r>
        <w:t>e fishery</w:t>
      </w:r>
      <w:r w:rsidRPr="0008580A">
        <w:t xml:space="preserve"> management plans for over 10 years.</w:t>
      </w:r>
    </w:p>
    <w:p w14:paraId="7AF1D2BA" w14:textId="77777777" w:rsidR="009D04F0" w:rsidRPr="0008580A" w:rsidRDefault="009D04F0" w:rsidP="00F97BD4">
      <w:pPr>
        <w:pStyle w:val="Bullet"/>
      </w:pPr>
      <w:r>
        <w:t>R</w:t>
      </w:r>
      <w:r w:rsidRPr="0008580A">
        <w:t xml:space="preserve">ecreational fishers </w:t>
      </w:r>
      <w:r>
        <w:t xml:space="preserve">have expressed strong support for </w:t>
      </w:r>
      <w:r w:rsidRPr="0008580A">
        <w:t xml:space="preserve">the creation of new </w:t>
      </w:r>
      <w:r>
        <w:t xml:space="preserve">recreational </w:t>
      </w:r>
      <w:r w:rsidRPr="0008580A">
        <w:t>fisheries</w:t>
      </w:r>
      <w:r>
        <w:t>,</w:t>
      </w:r>
      <w:r w:rsidRPr="0008580A">
        <w:t xml:space="preserve"> base</w:t>
      </w:r>
      <w:r>
        <w:t xml:space="preserve">d on stocking </w:t>
      </w:r>
      <w:r w:rsidRPr="0008580A">
        <w:t>Australian bass, estuary perch, Macquarie perch and trout cod in inland waters and prawns in Gippsland – i.e. Lake Tyers.</w:t>
      </w:r>
    </w:p>
    <w:p w14:paraId="2A2E1C96" w14:textId="77777777" w:rsidR="009D04F0" w:rsidRPr="0008580A" w:rsidRDefault="009D04F0" w:rsidP="00F97BD4">
      <w:pPr>
        <w:pStyle w:val="Bullet"/>
      </w:pPr>
      <w:r>
        <w:t>T</w:t>
      </w:r>
      <w:r w:rsidRPr="0008580A">
        <w:t>here is great interest in expanding the recreational fishing reefs program in Port Phillip Bay, Gippsland Lakes, of</w:t>
      </w:r>
      <w:r>
        <w:t>fshore waters and other marine</w:t>
      </w:r>
      <w:r w:rsidRPr="0008580A">
        <w:t xml:space="preserve"> inlets and inland waters.</w:t>
      </w:r>
    </w:p>
    <w:p w14:paraId="460B7970" w14:textId="77777777" w:rsidR="009D04F0" w:rsidRDefault="009D04F0" w:rsidP="009D04F0">
      <w:pPr>
        <w:pStyle w:val="Body"/>
        <w:rPr>
          <w:rFonts w:eastAsia="Calibri"/>
        </w:rPr>
      </w:pPr>
      <w:r>
        <w:rPr>
          <w:rFonts w:eastAsia="Calibri"/>
        </w:rPr>
        <w:t xml:space="preserve">There have been increasing numbers of </w:t>
      </w:r>
      <w:r w:rsidR="00956F5F">
        <w:rPr>
          <w:rFonts w:eastAsia="Calibri"/>
        </w:rPr>
        <w:t>initiatives and programs</w:t>
      </w:r>
      <w:r>
        <w:rPr>
          <w:rFonts w:eastAsia="Calibri"/>
        </w:rPr>
        <w:t xml:space="preserve"> that have applied for grants over recent years, and while being regarded as having a likely net benefit to the recreational fishing sector, have not been funded due to the limited amount of funds available. </w:t>
      </w:r>
      <w:r w:rsidRPr="00C77710">
        <w:rPr>
          <w:rFonts w:eastAsia="Calibri"/>
        </w:rPr>
        <w:t>Attachment</w:t>
      </w:r>
      <w:r w:rsidR="00F35997">
        <w:rPr>
          <w:rFonts w:eastAsia="Calibri"/>
        </w:rPr>
        <w:t> </w:t>
      </w:r>
      <w:r w:rsidR="00C77710" w:rsidRPr="00C77710">
        <w:rPr>
          <w:rFonts w:eastAsia="Calibri"/>
        </w:rPr>
        <w:t>C</w:t>
      </w:r>
      <w:r w:rsidR="00956F5F">
        <w:rPr>
          <w:rFonts w:eastAsia="Calibri"/>
        </w:rPr>
        <w:t xml:space="preserve"> outlines the number and total value of funding proposals for each program category </w:t>
      </w:r>
      <w:r w:rsidR="004647EE">
        <w:rPr>
          <w:rFonts w:eastAsia="Calibri"/>
        </w:rPr>
        <w:t xml:space="preserve">in 2014/15 </w:t>
      </w:r>
      <w:r w:rsidR="00956F5F">
        <w:rPr>
          <w:rFonts w:eastAsia="Calibri"/>
        </w:rPr>
        <w:t>that were assessed as having a net benefit, but that did not proceed because of limited funds</w:t>
      </w:r>
      <w:r>
        <w:rPr>
          <w:rFonts w:eastAsia="Calibri"/>
        </w:rPr>
        <w:t>.</w:t>
      </w:r>
    </w:p>
    <w:p w14:paraId="413E9A73" w14:textId="77777777" w:rsidR="00AF77DD" w:rsidRDefault="00AF77DD" w:rsidP="00AF77DD">
      <w:pPr>
        <w:pStyle w:val="Body"/>
      </w:pPr>
      <w:r>
        <w:rPr>
          <w:rFonts w:eastAsia="Calibri"/>
        </w:rPr>
        <w:t>C</w:t>
      </w:r>
      <w:r w:rsidR="009D04F0" w:rsidRPr="00AF77DD">
        <w:rPr>
          <w:rFonts w:eastAsia="Calibri"/>
        </w:rPr>
        <w:t>onsultation</w:t>
      </w:r>
      <w:r w:rsidR="009D04F0" w:rsidRPr="0008580A">
        <w:t xml:space="preserve"> with </w:t>
      </w:r>
      <w:r>
        <w:t xml:space="preserve">key representatives in </w:t>
      </w:r>
      <w:r w:rsidR="009D04F0" w:rsidRPr="0008580A">
        <w:t xml:space="preserve">the sector has confirmed that there is a demand for a higher level of revenue and expenditure to support the expected quality of </w:t>
      </w:r>
      <w:r w:rsidR="009D04F0">
        <w:t>recreational fishing.</w:t>
      </w:r>
      <w:r>
        <w:t xml:space="preserve"> This is particularly in light of the fact that RFL fees have not increased since August 2008.</w:t>
      </w:r>
      <w:r w:rsidR="009D04F0">
        <w:t xml:space="preserve"> </w:t>
      </w:r>
    </w:p>
    <w:p w14:paraId="19B802AC" w14:textId="77777777" w:rsidR="009D04F0" w:rsidRDefault="009D04F0" w:rsidP="009D04F0">
      <w:pPr>
        <w:pStyle w:val="Body"/>
        <w:rPr>
          <w:rFonts w:eastAsia="Calibri"/>
        </w:rPr>
      </w:pPr>
      <w:r>
        <w:t>The G</w:t>
      </w:r>
      <w:r w:rsidRPr="0008580A">
        <w:t>overnment believes that additional spending from the RFL Trust Account will be beneficial for the sector and for the community as a whole.</w:t>
      </w:r>
      <w:r w:rsidR="00AF77DD">
        <w:t xml:space="preserve"> </w:t>
      </w:r>
      <w:r>
        <w:rPr>
          <w:rFonts w:eastAsia="Calibri"/>
        </w:rPr>
        <w:t>The G</w:t>
      </w:r>
      <w:r w:rsidRPr="0008580A">
        <w:rPr>
          <w:rFonts w:eastAsia="Calibri"/>
        </w:rPr>
        <w:t xml:space="preserve">overnment believes that increasing total revenue from recreational fishery licences </w:t>
      </w:r>
      <w:r w:rsidR="00AF77DD">
        <w:rPr>
          <w:rFonts w:eastAsia="Calibri"/>
        </w:rPr>
        <w:t>by around $3</w:t>
      </w:r>
      <w:r w:rsidR="00694BB7">
        <w:rPr>
          <w:rFonts w:eastAsia="Calibri"/>
        </w:rPr>
        <w:t>-4</w:t>
      </w:r>
      <w:r w:rsidR="00AF77DD">
        <w:rPr>
          <w:rFonts w:eastAsia="Calibri"/>
        </w:rPr>
        <w:t xml:space="preserve"> million per annum</w:t>
      </w:r>
      <w:r w:rsidRPr="0008580A">
        <w:rPr>
          <w:rFonts w:eastAsia="Calibri"/>
        </w:rPr>
        <w:t xml:space="preserve"> is </w:t>
      </w:r>
      <w:proofErr w:type="gramStart"/>
      <w:r w:rsidRPr="0008580A">
        <w:rPr>
          <w:rFonts w:eastAsia="Calibri"/>
        </w:rPr>
        <w:t>appropriate</w:t>
      </w:r>
      <w:r>
        <w:rPr>
          <w:rFonts w:eastAsia="Calibri"/>
        </w:rPr>
        <w:t>,</w:t>
      </w:r>
      <w:proofErr w:type="gramEnd"/>
      <w:r w:rsidRPr="0008580A">
        <w:rPr>
          <w:rFonts w:eastAsia="Calibri"/>
        </w:rPr>
        <w:t xml:space="preserve"> </w:t>
      </w:r>
      <w:r>
        <w:rPr>
          <w:rFonts w:eastAsia="Calibri"/>
        </w:rPr>
        <w:t>to</w:t>
      </w:r>
      <w:r w:rsidRPr="0008580A">
        <w:rPr>
          <w:rFonts w:eastAsia="Calibri"/>
        </w:rPr>
        <w:t xml:space="preserve"> </w:t>
      </w:r>
      <w:r w:rsidR="00956F5F">
        <w:rPr>
          <w:rFonts w:eastAsia="Calibri"/>
        </w:rPr>
        <w:t xml:space="preserve">fund </w:t>
      </w:r>
      <w:r w:rsidRPr="0008580A">
        <w:rPr>
          <w:rFonts w:eastAsia="Calibri"/>
        </w:rPr>
        <w:t xml:space="preserve">recreational fishing </w:t>
      </w:r>
      <w:r w:rsidR="00956F5F">
        <w:rPr>
          <w:rFonts w:eastAsia="Calibri"/>
        </w:rPr>
        <w:t>initiatives and programs, while</w:t>
      </w:r>
      <w:r>
        <w:rPr>
          <w:rFonts w:eastAsia="Calibri"/>
        </w:rPr>
        <w:t xml:space="preserve"> </w:t>
      </w:r>
      <w:r w:rsidRPr="0008580A">
        <w:rPr>
          <w:rFonts w:eastAsia="Calibri"/>
        </w:rPr>
        <w:t>maintain</w:t>
      </w:r>
      <w:r w:rsidR="00956F5F">
        <w:rPr>
          <w:rFonts w:eastAsia="Calibri"/>
        </w:rPr>
        <w:t>ing</w:t>
      </w:r>
      <w:r w:rsidRPr="0008580A">
        <w:rPr>
          <w:rFonts w:eastAsia="Calibri"/>
        </w:rPr>
        <w:t xml:space="preserve"> </w:t>
      </w:r>
      <w:r>
        <w:rPr>
          <w:rFonts w:eastAsia="Calibri"/>
        </w:rPr>
        <w:t xml:space="preserve">licence </w:t>
      </w:r>
      <w:r w:rsidRPr="0008580A">
        <w:rPr>
          <w:rFonts w:eastAsia="Calibri"/>
        </w:rPr>
        <w:t>administration and enforcement</w:t>
      </w:r>
      <w:r w:rsidR="00956F5F">
        <w:rPr>
          <w:rFonts w:eastAsia="Calibri"/>
        </w:rPr>
        <w:t xml:space="preserve"> services</w:t>
      </w:r>
      <w:r>
        <w:rPr>
          <w:rFonts w:eastAsia="Calibri"/>
        </w:rPr>
        <w:t>.</w:t>
      </w:r>
    </w:p>
    <w:p w14:paraId="434B529B" w14:textId="77777777" w:rsidR="00A34474" w:rsidRDefault="00A34474" w:rsidP="0051228E">
      <w:pPr>
        <w:pStyle w:val="Body"/>
        <w:rPr>
          <w:rFonts w:eastAsia="Calibri"/>
        </w:rPr>
      </w:pPr>
    </w:p>
    <w:p w14:paraId="3BACE125" w14:textId="77777777" w:rsidR="007A3E12" w:rsidRPr="007A3E12" w:rsidRDefault="007A3E12" w:rsidP="001E7532">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b/>
        </w:rPr>
      </w:pPr>
      <w:r w:rsidRPr="007A3E12">
        <w:rPr>
          <w:rFonts w:eastAsia="Calibri"/>
          <w:b/>
        </w:rPr>
        <w:t xml:space="preserve">Questions for </w:t>
      </w:r>
      <w:r>
        <w:rPr>
          <w:rFonts w:eastAsia="Calibri"/>
          <w:b/>
        </w:rPr>
        <w:t>stakeholders</w:t>
      </w:r>
    </w:p>
    <w:p w14:paraId="7246244D" w14:textId="77777777" w:rsidR="00D5587A" w:rsidRDefault="00D5587A" w:rsidP="001E7532">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 xml:space="preserve">Stakeholder views are sought on what amount of RFL revenue is appropriate and their willingness to pay for a higher level of </w:t>
      </w:r>
      <w:r w:rsidR="00956F5F">
        <w:rPr>
          <w:rFonts w:eastAsia="Calibri"/>
        </w:rPr>
        <w:t>recreational fishing initiatives and programs</w:t>
      </w:r>
      <w:r>
        <w:rPr>
          <w:rFonts w:eastAsia="Calibri"/>
        </w:rPr>
        <w:t>. In particular, stakeholders may wish to comment on the following questions:</w:t>
      </w:r>
    </w:p>
    <w:p w14:paraId="07EB9257" w14:textId="77777777" w:rsidR="007A3E12" w:rsidRDefault="007A3E12"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Do you agree that recreational fishers should contribute to the costs associated with improving access and quality of recreational fishing in Victoria?</w:t>
      </w:r>
    </w:p>
    <w:p w14:paraId="7359CA86" w14:textId="77777777" w:rsidR="007A3E12" w:rsidRDefault="007A3E12"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Do you think that more needs to be spent to improve recreational fishing opportunities in Victoria?</w:t>
      </w:r>
    </w:p>
    <w:p w14:paraId="56BB7C5A" w14:textId="77777777" w:rsidR="007A3E12" w:rsidRPr="00316F2D" w:rsidRDefault="007A3E12"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 xml:space="preserve">What </w:t>
      </w:r>
      <w:r w:rsidR="0043708C">
        <w:rPr>
          <w:rFonts w:eastAsia="Calibri"/>
        </w:rPr>
        <w:t>r</w:t>
      </w:r>
      <w:r>
        <w:rPr>
          <w:rFonts w:eastAsia="Calibri"/>
        </w:rPr>
        <w:t xml:space="preserve">ecreational </w:t>
      </w:r>
      <w:r w:rsidR="0043708C">
        <w:rPr>
          <w:rFonts w:eastAsia="Calibri"/>
        </w:rPr>
        <w:t>f</w:t>
      </w:r>
      <w:r>
        <w:rPr>
          <w:rFonts w:eastAsia="Calibri"/>
        </w:rPr>
        <w:t xml:space="preserve">ishing </w:t>
      </w:r>
      <w:r w:rsidR="0043708C">
        <w:rPr>
          <w:rFonts w:eastAsia="Calibri"/>
        </w:rPr>
        <w:t>initiatives and programs</w:t>
      </w:r>
      <w:r>
        <w:rPr>
          <w:rFonts w:eastAsia="Calibri"/>
        </w:rPr>
        <w:t xml:space="preserve"> </w:t>
      </w:r>
      <w:r w:rsidR="0043708C">
        <w:rPr>
          <w:rFonts w:eastAsia="Calibri"/>
        </w:rPr>
        <w:t xml:space="preserve">funded through the RFL Trust Account </w:t>
      </w:r>
      <w:r>
        <w:rPr>
          <w:rFonts w:eastAsia="Calibri"/>
        </w:rPr>
        <w:t xml:space="preserve">have you benefited from, and what types of </w:t>
      </w:r>
      <w:r w:rsidR="0043708C">
        <w:rPr>
          <w:rFonts w:eastAsia="Calibri"/>
        </w:rPr>
        <w:t>initiatives</w:t>
      </w:r>
      <w:r>
        <w:rPr>
          <w:rFonts w:eastAsia="Calibri"/>
        </w:rPr>
        <w:t xml:space="preserve"> would you like to see more of or less of?</w:t>
      </w:r>
    </w:p>
    <w:p w14:paraId="719E6454" w14:textId="77777777" w:rsidR="00316F2D" w:rsidRDefault="00316F2D"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 xml:space="preserve">Do you think </w:t>
      </w:r>
      <w:r w:rsidR="0043708C">
        <w:rPr>
          <w:rFonts w:eastAsia="Calibri"/>
        </w:rPr>
        <w:t>initiatives and programs funded through the RFL Trust Account</w:t>
      </w:r>
      <w:r>
        <w:rPr>
          <w:rFonts w:eastAsia="Calibri"/>
        </w:rPr>
        <w:t xml:space="preserve"> have been effective in improving the quality and quantity of recreational fishing?</w:t>
      </w:r>
    </w:p>
    <w:p w14:paraId="647BF056" w14:textId="77777777" w:rsidR="00D45E33" w:rsidRPr="0008580A" w:rsidRDefault="00D45E33" w:rsidP="006C6C78">
      <w:pPr>
        <w:rPr>
          <w:rFonts w:eastAsia="Calibri"/>
        </w:rPr>
      </w:pPr>
    </w:p>
    <w:p w14:paraId="01BFFCF8" w14:textId="77777777" w:rsidR="00214D9C" w:rsidRDefault="00214D9C" w:rsidP="006C6C78">
      <w:pPr>
        <w:rPr>
          <w:rFonts w:eastAsia="Calibri"/>
        </w:rPr>
        <w:sectPr w:rsidR="00214D9C" w:rsidSect="00F3009D">
          <w:headerReference w:type="even" r:id="rId38"/>
          <w:headerReference w:type="default" r:id="rId39"/>
          <w:footerReference w:type="even" r:id="rId40"/>
          <w:footerReference w:type="default" r:id="rId41"/>
          <w:headerReference w:type="first" r:id="rId42"/>
          <w:footerReference w:type="first" r:id="rId43"/>
          <w:pgSz w:w="11900" w:h="16840"/>
          <w:pgMar w:top="1440" w:right="1800" w:bottom="1440" w:left="1800" w:header="708" w:footer="708" w:gutter="0"/>
          <w:cols w:space="708"/>
          <w:titlePg/>
          <w:docGrid w:linePitch="360"/>
        </w:sectPr>
      </w:pPr>
    </w:p>
    <w:p w14:paraId="3D5874E2" w14:textId="77777777" w:rsidR="0007119C" w:rsidRDefault="00660BF1" w:rsidP="00BA50A4">
      <w:pPr>
        <w:pStyle w:val="Heading1"/>
        <w:numPr>
          <w:ilvl w:val="0"/>
          <w:numId w:val="7"/>
        </w:numPr>
      </w:pPr>
      <w:bookmarkStart w:id="22" w:name="_Toc441733980"/>
      <w:r>
        <w:t>Objectives and options</w:t>
      </w:r>
      <w:bookmarkEnd w:id="22"/>
    </w:p>
    <w:p w14:paraId="0588E430" w14:textId="77777777" w:rsidR="0007119C" w:rsidRPr="0008580A" w:rsidRDefault="0007119C" w:rsidP="00BA50A4">
      <w:pPr>
        <w:pStyle w:val="Heading2"/>
        <w:numPr>
          <w:ilvl w:val="1"/>
          <w:numId w:val="7"/>
        </w:numPr>
        <w:ind w:left="567" w:hanging="567"/>
      </w:pPr>
      <w:bookmarkStart w:id="23" w:name="_Toc259739053"/>
      <w:bookmarkStart w:id="24" w:name="_Toc441733981"/>
      <w:r w:rsidRPr="0008580A">
        <w:t>Base case</w:t>
      </w:r>
      <w:r w:rsidR="00E90DDC" w:rsidRPr="0008580A">
        <w:t xml:space="preserve"> – </w:t>
      </w:r>
      <w:r w:rsidR="00A70462" w:rsidRPr="0008580A">
        <w:t xml:space="preserve">what will happen </w:t>
      </w:r>
      <w:r w:rsidR="00E90DDC" w:rsidRPr="0008580A">
        <w:t xml:space="preserve">if </w:t>
      </w:r>
      <w:r w:rsidR="00881C77">
        <w:t>fees are not changed</w:t>
      </w:r>
      <w:bookmarkEnd w:id="23"/>
      <w:bookmarkEnd w:id="24"/>
    </w:p>
    <w:p w14:paraId="6FA6C6FF" w14:textId="77777777" w:rsidR="00AD75EF" w:rsidRPr="0008580A" w:rsidRDefault="008516B1" w:rsidP="00DA7C65">
      <w:pPr>
        <w:pStyle w:val="Body"/>
      </w:pPr>
      <w:r>
        <w:t>T</w:t>
      </w:r>
      <w:r w:rsidR="00E4410A" w:rsidRPr="0008580A">
        <w:t xml:space="preserve">he Department </w:t>
      </w:r>
      <w:r w:rsidR="00E32285" w:rsidRPr="0008580A">
        <w:t>estimates</w:t>
      </w:r>
      <w:r w:rsidR="00E4410A" w:rsidRPr="0008580A">
        <w:t xml:space="preserve"> that</w:t>
      </w:r>
      <w:r>
        <w:t>, if there were no changes to the current fees,</w:t>
      </w:r>
      <w:r w:rsidR="00E4410A" w:rsidRPr="0008580A">
        <w:t xml:space="preserve"> there would continue to be growth in </w:t>
      </w:r>
      <w:r>
        <w:t>RFL</w:t>
      </w:r>
      <w:r w:rsidR="00E4410A" w:rsidRPr="0008580A">
        <w:t xml:space="preserve"> </w:t>
      </w:r>
      <w:r w:rsidR="00E3095A">
        <w:t>sales</w:t>
      </w:r>
      <w:r w:rsidR="00E3095A" w:rsidRPr="0008580A">
        <w:t xml:space="preserve"> </w:t>
      </w:r>
      <w:r w:rsidR="00E4410A" w:rsidRPr="0008580A">
        <w:t>and overall r</w:t>
      </w:r>
      <w:r w:rsidR="00E32285" w:rsidRPr="0008580A">
        <w:t xml:space="preserve">evenue </w:t>
      </w:r>
      <w:r w:rsidR="000243F6">
        <w:t>as the population increases</w:t>
      </w:r>
      <w:r>
        <w:t>. The Department estimates that the number of RFL licences would reach around 334,700 by 2017/18</w:t>
      </w:r>
      <w:r w:rsidR="00D74CAF">
        <w:t xml:space="preserve">. </w:t>
      </w:r>
      <w:proofErr w:type="gramStart"/>
      <w:r w:rsidR="00D74CAF">
        <w:t>Projections for each licence type is</w:t>
      </w:r>
      <w:proofErr w:type="gramEnd"/>
      <w:r w:rsidR="00D74CAF">
        <w:t xml:space="preserve"> </w:t>
      </w:r>
      <w:r w:rsidR="00E32285" w:rsidRPr="0008580A">
        <w:t>shown in Figure 3</w:t>
      </w:r>
      <w:r w:rsidR="00881C77">
        <w:t>B</w:t>
      </w:r>
      <w:r w:rsidR="00E32285" w:rsidRPr="0008580A">
        <w:t>.</w:t>
      </w:r>
      <w:r w:rsidRPr="008516B1">
        <w:rPr>
          <w:noProof/>
          <w:lang w:eastAsia="en-AU"/>
        </w:rPr>
        <w:t xml:space="preserve"> </w:t>
      </w:r>
    </w:p>
    <w:p w14:paraId="6C2D225D" w14:textId="77777777" w:rsidR="00403711" w:rsidRDefault="00403711" w:rsidP="00DA7C65">
      <w:pPr>
        <w:pStyle w:val="TableTitle"/>
      </w:pPr>
      <w:r w:rsidRPr="0008580A">
        <w:t>Figure 3</w:t>
      </w:r>
      <w:r w:rsidR="00881C77">
        <w:t>B</w:t>
      </w:r>
      <w:r w:rsidR="00353726" w:rsidRPr="0008580A">
        <w:t xml:space="preserve"> – </w:t>
      </w:r>
      <w:r w:rsidR="008516B1">
        <w:t>RFL licence numbers by type</w:t>
      </w:r>
    </w:p>
    <w:p w14:paraId="1A8C4233" w14:textId="77777777" w:rsidR="00F3009D" w:rsidRPr="0008580A" w:rsidRDefault="008516B1" w:rsidP="00DA7C65">
      <w:pPr>
        <w:pStyle w:val="TableTitle"/>
      </w:pPr>
      <w:r w:rsidRPr="008516B1">
        <w:rPr>
          <w:noProof/>
          <w:lang w:eastAsia="en-AU"/>
        </w:rPr>
        <mc:AlternateContent>
          <mc:Choice Requires="wps">
            <w:drawing>
              <wp:anchor distT="0" distB="0" distL="114300" distR="114300" simplePos="0" relativeHeight="251721728" behindDoc="0" locked="0" layoutInCell="1" allowOverlap="1" wp14:anchorId="76C9B937" wp14:editId="33D369BE">
                <wp:simplePos x="0" y="0"/>
                <wp:positionH relativeFrom="column">
                  <wp:posOffset>2628900</wp:posOffset>
                </wp:positionH>
                <wp:positionV relativeFrom="paragraph">
                  <wp:posOffset>175895</wp:posOffset>
                </wp:positionV>
                <wp:extent cx="810260" cy="284480"/>
                <wp:effectExtent l="0" t="0" r="0" b="0"/>
                <wp:wrapNone/>
                <wp:docPr id="40" name="Text Box 1"/>
                <wp:cNvGraphicFramePr/>
                <a:graphic xmlns:a="http://schemas.openxmlformats.org/drawingml/2006/main">
                  <a:graphicData uri="http://schemas.microsoft.com/office/word/2010/wordprocessingShape">
                    <wps:wsp>
                      <wps:cNvSpPr txBox="1"/>
                      <wps:spPr>
                        <a:xfrm>
                          <a:off x="0" y="0"/>
                          <a:ext cx="810260" cy="284480"/>
                        </a:xfrm>
                        <a:prstGeom prst="rect">
                          <a:avLst/>
                        </a:prstGeom>
                      </wps:spPr>
                      <wps:txbx>
                        <w:txbxContent>
                          <w:p w14:paraId="4FA67E5D" w14:textId="77777777" w:rsidR="00792EFD" w:rsidRPr="008516B1" w:rsidRDefault="00792EFD" w:rsidP="008516B1">
                            <w:pPr>
                              <w:pStyle w:val="NormalWeb"/>
                              <w:spacing w:before="0" w:beforeAutospacing="0" w:after="0" w:afterAutospacing="0"/>
                              <w:jc w:val="right"/>
                              <w:rPr>
                                <w:rFonts w:ascii="Arial" w:hAnsi="Arial" w:cs="Arial"/>
                              </w:rPr>
                            </w:pPr>
                            <w:r w:rsidRPr="008516B1">
                              <w:rPr>
                                <w:rFonts w:ascii="Arial" w:hAnsi="Arial" w:cs="Arial"/>
                                <w:color w:val="C00000"/>
                                <w:sz w:val="16"/>
                                <w:szCs w:val="16"/>
                              </w:rPr>
                              <w:t>Actual</w:t>
                            </w:r>
                          </w:p>
                        </w:txbxContent>
                      </wps:txbx>
                      <wps:bodyPr vertOverflow="clip" wrap="square" rtlCol="0"/>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 o:spid="_x0000_s1026" type="#_x0000_t202" style="position:absolute;margin-left:207pt;margin-top:13.85pt;width:63.8pt;height:22.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" filled="f" stroked="f">
                <v:textbox>
                  <w:txbxContent>
                    <w:p w14:paraId="4FA67E5D" w14:textId="77777777" w:rsidR="00792EFD" w:rsidRPr="008516B1" w:rsidRDefault="00792EFD" w:rsidP="008516B1">
                      <w:pPr>
                        <w:pStyle w:val="NormalWeb"/>
                        <w:spacing w:before="0" w:beforeAutospacing="0" w:after="0" w:afterAutospacing="0"/>
                        <w:jc w:val="right"/>
                        <w:rPr>
                          <w:rFonts w:ascii="Arial" w:hAnsi="Arial" w:cs="Arial"/>
                        </w:rPr>
                      </w:pPr>
                      <w:r w:rsidRPr="008516B1">
                        <w:rPr>
                          <w:rFonts w:ascii="Arial" w:hAnsi="Arial" w:cs="Arial"/>
                          <w:color w:val="C00000"/>
                          <w:sz w:val="16"/>
                          <w:szCs w:val="16"/>
                        </w:rPr>
                        <w:t>Actual</w:t>
                      </w:r>
                    </w:p>
                  </w:txbxContent>
                </v:textbox>
              </v:shape>
            </w:pict>
          </mc:Fallback>
        </mc:AlternateContent>
      </w:r>
      <w:r>
        <w:rPr>
          <w:noProof/>
          <w:lang w:eastAsia="en-AU"/>
        </w:rPr>
        <w:drawing>
          <wp:inline distT="0" distB="0" distL="0" distR="0" wp14:anchorId="508C741E" wp14:editId="374F716D">
            <wp:extent cx="5270500" cy="3220298"/>
            <wp:effectExtent l="0" t="0" r="0"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1D44E1C" w14:textId="77777777" w:rsidR="00DA7C65" w:rsidRDefault="00AA6056" w:rsidP="00DA7C65">
      <w:pPr>
        <w:pStyle w:val="Body"/>
      </w:pPr>
      <w:r>
        <w:t xml:space="preserve">Rather than just project total licence numbers, each licence type was projected separately, which captures trends in movements between licence types (e.g., there has been an ongoing shift from 1 year licences to 3 year licences, this is assumed to continue). </w:t>
      </w:r>
      <w:r w:rsidR="008516B1">
        <w:t>These estimates were based on projections to 2017/18 of a long-term</w:t>
      </w:r>
      <w:r w:rsidR="00E35C9C">
        <w:t xml:space="preserve"> linear</w:t>
      </w:r>
      <w:r w:rsidR="008516B1">
        <w:t xml:space="preserve"> trend taken over the period 2005/06 to 2014/15.</w:t>
      </w:r>
      <w:r w:rsidR="00E35C9C">
        <w:t xml:space="preserve"> </w:t>
      </w:r>
      <w:r w:rsidR="009C3809">
        <w:t>A</w:t>
      </w:r>
      <w:r w:rsidR="009C3809" w:rsidRPr="009C3809">
        <w:t>pplying a long-term trend might over-estimate the number of licences and thus revenue collected</w:t>
      </w:r>
      <w:r w:rsidR="005A4539">
        <w:t>.</w:t>
      </w:r>
      <w:r w:rsidR="009C3809">
        <w:t xml:space="preserve"> </w:t>
      </w:r>
      <w:r w:rsidR="00E35C9C">
        <w:t xml:space="preserve">This </w:t>
      </w:r>
      <w:r w:rsidR="00C503D3">
        <w:t xml:space="preserve">is a necessary simplification; there are likely to have been other factors that have affected the number of licences each year, however </w:t>
      </w:r>
      <w:r w:rsidR="005A4539" w:rsidRPr="009C3809">
        <w:t xml:space="preserve">Fisheries Victoria is not aware of any other </w:t>
      </w:r>
      <w:r w:rsidR="005A4539">
        <w:t>specific</w:t>
      </w:r>
      <w:r w:rsidR="005A4539" w:rsidRPr="009C3809">
        <w:t xml:space="preserve"> information that might explain past or future changes in the volume and mix of licences</w:t>
      </w:r>
      <w:r w:rsidR="00A155DE">
        <w:t>,</w:t>
      </w:r>
      <w:r w:rsidR="005A4539">
        <w:t xml:space="preserve"> </w:t>
      </w:r>
      <w:r w:rsidR="00C503D3">
        <w:t xml:space="preserve">in the absence of any specific information about the drivers of licence numbers, a long-term trend is appropriate, which </w:t>
      </w:r>
      <w:r w:rsidR="00E35C9C">
        <w:t xml:space="preserve">smooths out year by year volatility. </w:t>
      </w:r>
      <w:r w:rsidR="009C3809" w:rsidRPr="009C3809">
        <w:t>Fisheries Victoria</w:t>
      </w:r>
      <w:r w:rsidR="00A155DE">
        <w:t xml:space="preserve"> is reasonably confident </w:t>
      </w:r>
      <w:r w:rsidR="009C3809" w:rsidRPr="009C3809">
        <w:t>that the estimated number/mix of licences and thus revenue is a ‘best estimate’.</w:t>
      </w:r>
    </w:p>
    <w:p w14:paraId="18C548C3" w14:textId="77777777" w:rsidR="00B65B70" w:rsidRDefault="00B65B70" w:rsidP="00DA7C65">
      <w:pPr>
        <w:pStyle w:val="Body"/>
      </w:pPr>
      <w:r>
        <w:t xml:space="preserve">While demographic changes </w:t>
      </w:r>
      <w:r w:rsidR="00264D29">
        <w:t>are</w:t>
      </w:r>
      <w:r>
        <w:t xml:space="preserve"> likely to affect participation in recreational fishing, this is unlikely to have a noticeable impact in the </w:t>
      </w:r>
      <w:r w:rsidR="00AD34EA">
        <w:t>short term</w:t>
      </w:r>
      <w:r>
        <w:t xml:space="preserve"> and has therefore not been </w:t>
      </w:r>
      <w:r w:rsidR="00643D60">
        <w:t xml:space="preserve">specifically </w:t>
      </w:r>
      <w:r>
        <w:t>estimated</w:t>
      </w:r>
      <w:r w:rsidR="00AD34EA">
        <w:t xml:space="preserve"> in this analysis. This will likely be considered in the more detailed assessment that will occur as part of remaking of the regulations, which sunset in 2018</w:t>
      </w:r>
      <w:r w:rsidR="0071677B">
        <w:t xml:space="preserve"> and 2019</w:t>
      </w:r>
      <w:r>
        <w:t>.</w:t>
      </w:r>
    </w:p>
    <w:p w14:paraId="63852A58" w14:textId="77777777" w:rsidR="00460211" w:rsidRDefault="00460211">
      <w:r>
        <w:br w:type="page"/>
      </w:r>
    </w:p>
    <w:p w14:paraId="06B65314" w14:textId="77777777" w:rsidR="008516B1" w:rsidRDefault="008516B1" w:rsidP="008516B1">
      <w:pPr>
        <w:pStyle w:val="Body"/>
      </w:pPr>
      <w:r w:rsidRPr="0008580A">
        <w:t xml:space="preserve">The current Regulations set out the </w:t>
      </w:r>
      <w:r>
        <w:t>RFL</w:t>
      </w:r>
      <w:r w:rsidRPr="0008580A">
        <w:t xml:space="preserve"> fees </w:t>
      </w:r>
      <w:r>
        <w:t>as follows:</w:t>
      </w:r>
    </w:p>
    <w:p w14:paraId="1B9DE954" w14:textId="77777777" w:rsidR="008516B1" w:rsidRDefault="008516B1" w:rsidP="008516B1">
      <w:pPr>
        <w:pStyle w:val="TableTitle"/>
      </w:pPr>
      <w:r>
        <w:t>Figure 3</w:t>
      </w:r>
      <w:r w:rsidR="00F35997">
        <w:t>C</w:t>
      </w:r>
      <w:r>
        <w:t xml:space="preserve"> – </w:t>
      </w:r>
      <w:r w:rsidR="00E35C9C">
        <w:t>C</w:t>
      </w:r>
      <w:r>
        <w:t>urrent RFL fees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4503"/>
        <w:gridCol w:w="4013"/>
      </w:tblGrid>
      <w:tr w:rsidR="008516B1" w:rsidRPr="00BD7DCC" w14:paraId="3FFA167D" w14:textId="77777777" w:rsidTr="00FF2B6C">
        <w:tc>
          <w:tcPr>
            <w:tcW w:w="4503" w:type="dxa"/>
            <w:shd w:val="clear" w:color="auto" w:fill="1F497D" w:themeFill="text2"/>
          </w:tcPr>
          <w:p w14:paraId="140D04CC" w14:textId="77777777" w:rsidR="008516B1" w:rsidRPr="00BD7DCC" w:rsidRDefault="008516B1" w:rsidP="00FF2B6C">
            <w:pPr>
              <w:pStyle w:val="Body"/>
              <w:rPr>
                <w:b/>
                <w:color w:val="FFFFFF" w:themeColor="background1"/>
              </w:rPr>
            </w:pPr>
            <w:r w:rsidRPr="00BD7DCC">
              <w:rPr>
                <w:b/>
                <w:color w:val="FFFFFF" w:themeColor="background1"/>
              </w:rPr>
              <w:t>RFL type</w:t>
            </w:r>
          </w:p>
        </w:tc>
        <w:tc>
          <w:tcPr>
            <w:tcW w:w="4013" w:type="dxa"/>
            <w:shd w:val="clear" w:color="auto" w:fill="1F497D" w:themeFill="text2"/>
          </w:tcPr>
          <w:p w14:paraId="527DD250" w14:textId="77777777" w:rsidR="008516B1" w:rsidRPr="00BD7DCC" w:rsidRDefault="008516B1" w:rsidP="00FF2B6C">
            <w:pPr>
              <w:pStyle w:val="Body"/>
              <w:jc w:val="center"/>
              <w:rPr>
                <w:b/>
                <w:color w:val="FFFFFF" w:themeColor="background1"/>
              </w:rPr>
            </w:pPr>
            <w:r w:rsidRPr="00BD7DCC">
              <w:rPr>
                <w:b/>
                <w:color w:val="FFFFFF" w:themeColor="background1"/>
              </w:rPr>
              <w:t>Price</w:t>
            </w:r>
          </w:p>
        </w:tc>
      </w:tr>
      <w:tr w:rsidR="008516B1" w14:paraId="27B9CC14" w14:textId="77777777" w:rsidTr="00FF2B6C">
        <w:tc>
          <w:tcPr>
            <w:tcW w:w="4503" w:type="dxa"/>
          </w:tcPr>
          <w:p w14:paraId="783D8190" w14:textId="77777777" w:rsidR="008516B1" w:rsidRDefault="008516B1" w:rsidP="00FF2B6C">
            <w:pPr>
              <w:pStyle w:val="Body"/>
            </w:pPr>
            <w:r>
              <w:t>3 year licence</w:t>
            </w:r>
          </w:p>
        </w:tc>
        <w:tc>
          <w:tcPr>
            <w:tcW w:w="4013" w:type="dxa"/>
          </w:tcPr>
          <w:p w14:paraId="6AA06E71" w14:textId="77777777" w:rsidR="008516B1" w:rsidRDefault="008516B1" w:rsidP="00FF2B6C">
            <w:pPr>
              <w:pStyle w:val="Body"/>
              <w:jc w:val="center"/>
            </w:pPr>
            <w:r>
              <w:t>$66</w:t>
            </w:r>
            <w:r w:rsidR="00F35997">
              <w:t>.00</w:t>
            </w:r>
          </w:p>
        </w:tc>
      </w:tr>
      <w:tr w:rsidR="008516B1" w14:paraId="045339BE" w14:textId="77777777" w:rsidTr="00FF2B6C">
        <w:tc>
          <w:tcPr>
            <w:tcW w:w="4503" w:type="dxa"/>
          </w:tcPr>
          <w:p w14:paraId="1DD6EBBE" w14:textId="77777777" w:rsidR="008516B1" w:rsidRDefault="008516B1" w:rsidP="00FF2B6C">
            <w:pPr>
              <w:pStyle w:val="Body"/>
            </w:pPr>
            <w:r>
              <w:t>1 year licence</w:t>
            </w:r>
          </w:p>
        </w:tc>
        <w:tc>
          <w:tcPr>
            <w:tcW w:w="4013" w:type="dxa"/>
          </w:tcPr>
          <w:p w14:paraId="591E8EA5" w14:textId="77777777" w:rsidR="008516B1" w:rsidRDefault="008516B1" w:rsidP="00FF2B6C">
            <w:pPr>
              <w:pStyle w:val="Body"/>
              <w:jc w:val="center"/>
            </w:pPr>
            <w:r>
              <w:t>$24.50</w:t>
            </w:r>
          </w:p>
        </w:tc>
      </w:tr>
      <w:tr w:rsidR="008516B1" w14:paraId="72C807B1" w14:textId="77777777" w:rsidTr="00FF2B6C">
        <w:tc>
          <w:tcPr>
            <w:tcW w:w="4503" w:type="dxa"/>
          </w:tcPr>
          <w:p w14:paraId="07DAF3C9" w14:textId="77777777" w:rsidR="008516B1" w:rsidRDefault="008516B1" w:rsidP="00FF2B6C">
            <w:pPr>
              <w:pStyle w:val="Body"/>
            </w:pPr>
            <w:r>
              <w:t>28 day licence</w:t>
            </w:r>
          </w:p>
        </w:tc>
        <w:tc>
          <w:tcPr>
            <w:tcW w:w="4013" w:type="dxa"/>
          </w:tcPr>
          <w:p w14:paraId="75C71D9D" w14:textId="77777777" w:rsidR="008516B1" w:rsidRDefault="008516B1" w:rsidP="00FF2B6C">
            <w:pPr>
              <w:pStyle w:val="Body"/>
              <w:jc w:val="center"/>
            </w:pPr>
            <w:r>
              <w:t>$12</w:t>
            </w:r>
            <w:r w:rsidR="00F35997">
              <w:t>.00</w:t>
            </w:r>
          </w:p>
        </w:tc>
      </w:tr>
      <w:tr w:rsidR="008516B1" w14:paraId="1559C784" w14:textId="77777777" w:rsidTr="00FF2B6C">
        <w:tc>
          <w:tcPr>
            <w:tcW w:w="4503" w:type="dxa"/>
          </w:tcPr>
          <w:p w14:paraId="7EDC14A6" w14:textId="77777777" w:rsidR="008516B1" w:rsidRDefault="008516B1" w:rsidP="00FF2B6C">
            <w:pPr>
              <w:pStyle w:val="Body"/>
            </w:pPr>
            <w:r>
              <w:t>2 day licence</w:t>
            </w:r>
          </w:p>
        </w:tc>
        <w:tc>
          <w:tcPr>
            <w:tcW w:w="4013" w:type="dxa"/>
          </w:tcPr>
          <w:p w14:paraId="5C110E2D" w14:textId="77777777" w:rsidR="008516B1" w:rsidRDefault="008516B1" w:rsidP="00FF2B6C">
            <w:pPr>
              <w:pStyle w:val="Body"/>
              <w:jc w:val="center"/>
            </w:pPr>
            <w:r>
              <w:t>$6</w:t>
            </w:r>
            <w:r w:rsidR="00F35997">
              <w:t>.00</w:t>
            </w:r>
          </w:p>
        </w:tc>
      </w:tr>
      <w:tr w:rsidR="008516B1" w14:paraId="7D550712" w14:textId="77777777" w:rsidTr="00FF2B6C">
        <w:tc>
          <w:tcPr>
            <w:tcW w:w="4503" w:type="dxa"/>
          </w:tcPr>
          <w:p w14:paraId="3047CD66" w14:textId="77777777" w:rsidR="008516B1" w:rsidRDefault="008516B1" w:rsidP="00FF2B6C">
            <w:pPr>
              <w:pStyle w:val="Body"/>
            </w:pPr>
            <w:r>
              <w:t xml:space="preserve">Group licence </w:t>
            </w:r>
          </w:p>
        </w:tc>
        <w:tc>
          <w:tcPr>
            <w:tcW w:w="4013" w:type="dxa"/>
          </w:tcPr>
          <w:p w14:paraId="4D9F8F9B" w14:textId="77777777" w:rsidR="008516B1" w:rsidRDefault="008516B1" w:rsidP="00FF2B6C">
            <w:pPr>
              <w:pStyle w:val="Body"/>
              <w:jc w:val="center"/>
            </w:pPr>
            <w:r>
              <w:t>$24.50</w:t>
            </w:r>
          </w:p>
        </w:tc>
      </w:tr>
    </w:tbl>
    <w:p w14:paraId="41FD2E9B" w14:textId="77777777" w:rsidR="00E35C9C" w:rsidRPr="00460211" w:rsidRDefault="00E35C9C" w:rsidP="00DA7C65">
      <w:pPr>
        <w:pStyle w:val="Body"/>
        <w:rPr>
          <w:sz w:val="8"/>
          <w:szCs w:val="8"/>
        </w:rPr>
      </w:pPr>
    </w:p>
    <w:p w14:paraId="28F1CDE5" w14:textId="77777777" w:rsidR="00FC5211" w:rsidRDefault="008516B1" w:rsidP="00DA7C65">
      <w:pPr>
        <w:pStyle w:val="Body"/>
      </w:pPr>
      <w:r>
        <w:t>These fees are currently scheduled to continue until April 2018, at which point the Regulations will need to be remade.</w:t>
      </w:r>
    </w:p>
    <w:p w14:paraId="5F749F02" w14:textId="77777777" w:rsidR="00E35C9C" w:rsidRDefault="00E35C9C" w:rsidP="00DA7C65">
      <w:pPr>
        <w:pStyle w:val="Body"/>
      </w:pPr>
      <w:r>
        <w:t>This means that under the base case, RFL revenue would reach around $7.2 million in 2017/18, as shown in the table below.</w:t>
      </w:r>
    </w:p>
    <w:p w14:paraId="1805013F" w14:textId="77777777" w:rsidR="00E35C9C" w:rsidRDefault="00E35C9C" w:rsidP="00E35C9C">
      <w:pPr>
        <w:pStyle w:val="TableTitle"/>
      </w:pPr>
      <w:r>
        <w:t>Figure 3</w:t>
      </w:r>
      <w:r w:rsidR="00F35997">
        <w:t>D</w:t>
      </w:r>
      <w:r>
        <w:t xml:space="preserve"> – RFL revenue projections by licence type</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2432"/>
        <w:gridCol w:w="2340"/>
        <w:gridCol w:w="1872"/>
        <w:gridCol w:w="1872"/>
      </w:tblGrid>
      <w:tr w:rsidR="00E35C9C" w:rsidRPr="0031277A" w14:paraId="05751383" w14:textId="77777777" w:rsidTr="00FF2B6C">
        <w:tc>
          <w:tcPr>
            <w:tcW w:w="2432" w:type="dxa"/>
            <w:shd w:val="clear" w:color="auto" w:fill="1F497D" w:themeFill="text2"/>
          </w:tcPr>
          <w:p w14:paraId="130D887C" w14:textId="77777777" w:rsidR="00E35C9C" w:rsidRPr="0031277A" w:rsidRDefault="00E35C9C" w:rsidP="00FF2B6C">
            <w:pPr>
              <w:pStyle w:val="Body"/>
              <w:rPr>
                <w:b/>
                <w:color w:val="FFFFFF" w:themeColor="background1"/>
              </w:rPr>
            </w:pPr>
            <w:r w:rsidRPr="0031277A">
              <w:rPr>
                <w:b/>
                <w:color w:val="FFFFFF" w:themeColor="background1"/>
              </w:rPr>
              <w:t>RFL type</w:t>
            </w:r>
          </w:p>
        </w:tc>
        <w:tc>
          <w:tcPr>
            <w:tcW w:w="6084" w:type="dxa"/>
            <w:gridSpan w:val="3"/>
            <w:shd w:val="clear" w:color="auto" w:fill="1F497D" w:themeFill="text2"/>
          </w:tcPr>
          <w:p w14:paraId="0939B22D" w14:textId="77777777" w:rsidR="00E35C9C" w:rsidRPr="0031277A" w:rsidRDefault="00E35C9C" w:rsidP="00FF2B6C">
            <w:pPr>
              <w:pStyle w:val="Body"/>
              <w:jc w:val="center"/>
              <w:rPr>
                <w:b/>
                <w:color w:val="FFFFFF" w:themeColor="background1"/>
              </w:rPr>
            </w:pPr>
            <w:r w:rsidRPr="0031277A">
              <w:rPr>
                <w:b/>
                <w:color w:val="FFFFFF" w:themeColor="background1"/>
              </w:rPr>
              <w:t>Revenue projections</w:t>
            </w:r>
          </w:p>
        </w:tc>
      </w:tr>
      <w:tr w:rsidR="00E35C9C" w:rsidRPr="0031277A" w14:paraId="5FD57C82" w14:textId="77777777" w:rsidTr="00E35C9C">
        <w:tc>
          <w:tcPr>
            <w:tcW w:w="2432" w:type="dxa"/>
            <w:shd w:val="clear" w:color="auto" w:fill="1F497D" w:themeFill="text2"/>
          </w:tcPr>
          <w:p w14:paraId="777A2DAD" w14:textId="77777777" w:rsidR="00E35C9C" w:rsidRPr="0031277A" w:rsidRDefault="00E35C9C" w:rsidP="00FF2B6C">
            <w:pPr>
              <w:pStyle w:val="Body"/>
              <w:rPr>
                <w:b/>
                <w:color w:val="FFFFFF" w:themeColor="background1"/>
              </w:rPr>
            </w:pPr>
          </w:p>
        </w:tc>
        <w:tc>
          <w:tcPr>
            <w:tcW w:w="2340" w:type="dxa"/>
            <w:shd w:val="clear" w:color="auto" w:fill="1F497D" w:themeFill="text2"/>
          </w:tcPr>
          <w:p w14:paraId="253742AE" w14:textId="77777777" w:rsidR="00E35C9C" w:rsidRPr="0031277A" w:rsidRDefault="00E35C9C" w:rsidP="00FF2B6C">
            <w:pPr>
              <w:pStyle w:val="Body"/>
              <w:jc w:val="center"/>
              <w:rPr>
                <w:b/>
                <w:color w:val="FFFFFF" w:themeColor="background1"/>
              </w:rPr>
            </w:pPr>
            <w:r w:rsidRPr="0031277A">
              <w:rPr>
                <w:b/>
                <w:color w:val="FFFFFF" w:themeColor="background1"/>
              </w:rPr>
              <w:t>2015/16</w:t>
            </w:r>
          </w:p>
        </w:tc>
        <w:tc>
          <w:tcPr>
            <w:tcW w:w="1872" w:type="dxa"/>
            <w:shd w:val="clear" w:color="auto" w:fill="1F497D" w:themeFill="text2"/>
          </w:tcPr>
          <w:p w14:paraId="5405D85D" w14:textId="77777777" w:rsidR="00E35C9C" w:rsidRPr="0031277A" w:rsidRDefault="00E35C9C" w:rsidP="00FF2B6C">
            <w:pPr>
              <w:pStyle w:val="Body"/>
              <w:jc w:val="center"/>
              <w:rPr>
                <w:b/>
                <w:color w:val="FFFFFF" w:themeColor="background1"/>
              </w:rPr>
            </w:pPr>
            <w:r w:rsidRPr="0031277A">
              <w:rPr>
                <w:b/>
                <w:color w:val="FFFFFF" w:themeColor="background1"/>
              </w:rPr>
              <w:t>2016/17</w:t>
            </w:r>
          </w:p>
        </w:tc>
        <w:tc>
          <w:tcPr>
            <w:tcW w:w="1872" w:type="dxa"/>
            <w:shd w:val="clear" w:color="auto" w:fill="1F497D" w:themeFill="text2"/>
          </w:tcPr>
          <w:p w14:paraId="7F4A48BD" w14:textId="77777777" w:rsidR="00E35C9C" w:rsidRPr="0031277A" w:rsidRDefault="00E35C9C" w:rsidP="00FF2B6C">
            <w:pPr>
              <w:pStyle w:val="Body"/>
              <w:jc w:val="center"/>
              <w:rPr>
                <w:b/>
                <w:color w:val="FFFFFF" w:themeColor="background1"/>
              </w:rPr>
            </w:pPr>
            <w:r w:rsidRPr="0031277A">
              <w:rPr>
                <w:b/>
                <w:color w:val="FFFFFF" w:themeColor="background1"/>
              </w:rPr>
              <w:t>2017/18</w:t>
            </w:r>
          </w:p>
        </w:tc>
      </w:tr>
      <w:tr w:rsidR="00E35C9C" w:rsidRPr="0031277A" w14:paraId="3AD996EA" w14:textId="77777777" w:rsidTr="00FF2B6C">
        <w:tc>
          <w:tcPr>
            <w:tcW w:w="2432" w:type="dxa"/>
          </w:tcPr>
          <w:p w14:paraId="1C167F30" w14:textId="77777777" w:rsidR="00E35C9C" w:rsidRPr="0031277A" w:rsidRDefault="00E35C9C" w:rsidP="00FF2B6C">
            <w:pPr>
              <w:pStyle w:val="Body"/>
            </w:pPr>
            <w:r w:rsidRPr="0031277A">
              <w:t>3 year licence</w:t>
            </w:r>
          </w:p>
        </w:tc>
        <w:tc>
          <w:tcPr>
            <w:tcW w:w="2340" w:type="dxa"/>
            <w:vAlign w:val="bottom"/>
          </w:tcPr>
          <w:p w14:paraId="261A26DC" w14:textId="77777777" w:rsidR="00E35C9C" w:rsidRPr="0031277A" w:rsidRDefault="00E35C9C" w:rsidP="00FF2B6C">
            <w:pPr>
              <w:pStyle w:val="Body"/>
              <w:jc w:val="center"/>
            </w:pPr>
            <w:r w:rsidRPr="0031277A">
              <w:rPr>
                <w:color w:val="000000"/>
              </w:rPr>
              <w:t xml:space="preserve"> $        2,752,200 </w:t>
            </w:r>
          </w:p>
        </w:tc>
        <w:tc>
          <w:tcPr>
            <w:tcW w:w="1872" w:type="dxa"/>
            <w:vAlign w:val="bottom"/>
          </w:tcPr>
          <w:p w14:paraId="54519844" w14:textId="77777777" w:rsidR="00E35C9C" w:rsidRPr="0031277A" w:rsidRDefault="00E35C9C" w:rsidP="00FF2B6C">
            <w:pPr>
              <w:pStyle w:val="Body"/>
              <w:jc w:val="center"/>
            </w:pPr>
            <w:r w:rsidRPr="0031277A">
              <w:rPr>
                <w:color w:val="000000"/>
              </w:rPr>
              <w:t xml:space="preserve"> $        2,937,000 </w:t>
            </w:r>
          </w:p>
        </w:tc>
        <w:tc>
          <w:tcPr>
            <w:tcW w:w="1872" w:type="dxa"/>
            <w:vAlign w:val="bottom"/>
          </w:tcPr>
          <w:p w14:paraId="594B5A71" w14:textId="77777777" w:rsidR="00E35C9C" w:rsidRPr="0031277A" w:rsidRDefault="00E35C9C" w:rsidP="00FF2B6C">
            <w:pPr>
              <w:pStyle w:val="Body"/>
              <w:jc w:val="center"/>
            </w:pPr>
            <w:r w:rsidRPr="0031277A">
              <w:rPr>
                <w:color w:val="000000"/>
              </w:rPr>
              <w:t xml:space="preserve"> $        3,115,200 </w:t>
            </w:r>
          </w:p>
        </w:tc>
      </w:tr>
      <w:tr w:rsidR="00E35C9C" w:rsidRPr="0031277A" w14:paraId="3F4FE918" w14:textId="77777777" w:rsidTr="00FF2B6C">
        <w:tc>
          <w:tcPr>
            <w:tcW w:w="2432" w:type="dxa"/>
          </w:tcPr>
          <w:p w14:paraId="487F5E22" w14:textId="77777777" w:rsidR="00E35C9C" w:rsidRPr="0031277A" w:rsidRDefault="00E35C9C" w:rsidP="00FF2B6C">
            <w:pPr>
              <w:pStyle w:val="Body"/>
            </w:pPr>
            <w:r w:rsidRPr="0031277A">
              <w:t>1 year licence</w:t>
            </w:r>
          </w:p>
        </w:tc>
        <w:tc>
          <w:tcPr>
            <w:tcW w:w="2340" w:type="dxa"/>
            <w:vAlign w:val="bottom"/>
          </w:tcPr>
          <w:p w14:paraId="594B10FF" w14:textId="77777777" w:rsidR="00E35C9C" w:rsidRPr="0031277A" w:rsidRDefault="00E35C9C" w:rsidP="00FF2B6C">
            <w:pPr>
              <w:pStyle w:val="Body"/>
              <w:jc w:val="center"/>
            </w:pPr>
            <w:r w:rsidRPr="0031277A">
              <w:rPr>
                <w:color w:val="000000"/>
              </w:rPr>
              <w:t xml:space="preserve"> $        2,989,000 </w:t>
            </w:r>
          </w:p>
        </w:tc>
        <w:tc>
          <w:tcPr>
            <w:tcW w:w="1872" w:type="dxa"/>
            <w:vAlign w:val="bottom"/>
          </w:tcPr>
          <w:p w14:paraId="2FD7EDE4" w14:textId="77777777" w:rsidR="00E35C9C" w:rsidRPr="0031277A" w:rsidRDefault="00E35C9C" w:rsidP="00FF2B6C">
            <w:pPr>
              <w:pStyle w:val="Body"/>
              <w:jc w:val="center"/>
            </w:pPr>
            <w:r w:rsidRPr="0031277A">
              <w:rPr>
                <w:color w:val="000000"/>
              </w:rPr>
              <w:t xml:space="preserve"> $        2,915,500 </w:t>
            </w:r>
          </w:p>
        </w:tc>
        <w:tc>
          <w:tcPr>
            <w:tcW w:w="1872" w:type="dxa"/>
            <w:vAlign w:val="bottom"/>
          </w:tcPr>
          <w:p w14:paraId="09CE02D9" w14:textId="77777777" w:rsidR="00E35C9C" w:rsidRPr="0031277A" w:rsidRDefault="00E35C9C" w:rsidP="00FF2B6C">
            <w:pPr>
              <w:pStyle w:val="Body"/>
              <w:jc w:val="center"/>
            </w:pPr>
            <w:r w:rsidRPr="0031277A">
              <w:rPr>
                <w:color w:val="000000"/>
              </w:rPr>
              <w:t xml:space="preserve"> $        2,842,000 </w:t>
            </w:r>
          </w:p>
        </w:tc>
      </w:tr>
      <w:tr w:rsidR="00E35C9C" w:rsidRPr="0031277A" w14:paraId="046DFA6F" w14:textId="77777777" w:rsidTr="00FF2B6C">
        <w:tc>
          <w:tcPr>
            <w:tcW w:w="2432" w:type="dxa"/>
          </w:tcPr>
          <w:p w14:paraId="77AE0246" w14:textId="77777777" w:rsidR="00E35C9C" w:rsidRPr="0031277A" w:rsidRDefault="00E35C9C" w:rsidP="00FF2B6C">
            <w:pPr>
              <w:pStyle w:val="Body"/>
            </w:pPr>
            <w:r w:rsidRPr="0031277A">
              <w:t>28 day licence</w:t>
            </w:r>
          </w:p>
        </w:tc>
        <w:tc>
          <w:tcPr>
            <w:tcW w:w="2340" w:type="dxa"/>
            <w:vAlign w:val="bottom"/>
          </w:tcPr>
          <w:p w14:paraId="699A3F59" w14:textId="77777777" w:rsidR="00E35C9C" w:rsidRPr="0031277A" w:rsidRDefault="00E35C9C" w:rsidP="00FF2B6C">
            <w:pPr>
              <w:pStyle w:val="Body"/>
              <w:jc w:val="center"/>
            </w:pPr>
            <w:r w:rsidRPr="0031277A">
              <w:rPr>
                <w:color w:val="000000"/>
              </w:rPr>
              <w:t xml:space="preserve"> $            410,400 </w:t>
            </w:r>
          </w:p>
        </w:tc>
        <w:tc>
          <w:tcPr>
            <w:tcW w:w="1872" w:type="dxa"/>
            <w:vAlign w:val="bottom"/>
          </w:tcPr>
          <w:p w14:paraId="5D7D265A" w14:textId="77777777" w:rsidR="00E35C9C" w:rsidRPr="0031277A" w:rsidRDefault="00E35C9C" w:rsidP="00FF2B6C">
            <w:pPr>
              <w:pStyle w:val="Body"/>
              <w:jc w:val="center"/>
            </w:pPr>
            <w:r w:rsidRPr="0031277A">
              <w:rPr>
                <w:color w:val="000000"/>
              </w:rPr>
              <w:t xml:space="preserve"> $            432,000 </w:t>
            </w:r>
          </w:p>
        </w:tc>
        <w:tc>
          <w:tcPr>
            <w:tcW w:w="1872" w:type="dxa"/>
            <w:vAlign w:val="bottom"/>
          </w:tcPr>
          <w:p w14:paraId="25352F8D" w14:textId="77777777" w:rsidR="00E35C9C" w:rsidRPr="0031277A" w:rsidRDefault="00E35C9C" w:rsidP="00FF2B6C">
            <w:pPr>
              <w:pStyle w:val="Body"/>
              <w:jc w:val="center"/>
            </w:pPr>
            <w:r w:rsidRPr="0031277A">
              <w:rPr>
                <w:color w:val="000000"/>
              </w:rPr>
              <w:t xml:space="preserve"> $            450,000 </w:t>
            </w:r>
          </w:p>
        </w:tc>
      </w:tr>
      <w:tr w:rsidR="00E35C9C" w:rsidRPr="0031277A" w14:paraId="4FCA5755" w14:textId="77777777" w:rsidTr="00FF2B6C">
        <w:tc>
          <w:tcPr>
            <w:tcW w:w="2432" w:type="dxa"/>
          </w:tcPr>
          <w:p w14:paraId="0A2D2F5F" w14:textId="77777777" w:rsidR="00E35C9C" w:rsidRPr="0031277A" w:rsidRDefault="00E35C9C" w:rsidP="00FF2B6C">
            <w:pPr>
              <w:pStyle w:val="Body"/>
            </w:pPr>
            <w:r w:rsidRPr="0031277A">
              <w:t>2 day licence</w:t>
            </w:r>
          </w:p>
        </w:tc>
        <w:tc>
          <w:tcPr>
            <w:tcW w:w="2340" w:type="dxa"/>
            <w:vAlign w:val="bottom"/>
          </w:tcPr>
          <w:p w14:paraId="027F0816" w14:textId="77777777" w:rsidR="00E35C9C" w:rsidRPr="0031277A" w:rsidRDefault="00E35C9C" w:rsidP="00FF2B6C">
            <w:pPr>
              <w:pStyle w:val="Body"/>
              <w:jc w:val="center"/>
            </w:pPr>
            <w:r w:rsidRPr="0031277A">
              <w:rPr>
                <w:color w:val="000000"/>
              </w:rPr>
              <w:t xml:space="preserve"> $            714,000 </w:t>
            </w:r>
          </w:p>
        </w:tc>
        <w:tc>
          <w:tcPr>
            <w:tcW w:w="1872" w:type="dxa"/>
            <w:vAlign w:val="bottom"/>
          </w:tcPr>
          <w:p w14:paraId="5E65ECC9" w14:textId="77777777" w:rsidR="00E35C9C" w:rsidRPr="0031277A" w:rsidRDefault="00E35C9C" w:rsidP="00FF2B6C">
            <w:pPr>
              <w:pStyle w:val="Body"/>
              <w:jc w:val="center"/>
            </w:pPr>
            <w:r w:rsidRPr="0031277A">
              <w:rPr>
                <w:color w:val="000000"/>
              </w:rPr>
              <w:t xml:space="preserve"> $            756,000 </w:t>
            </w:r>
          </w:p>
        </w:tc>
        <w:tc>
          <w:tcPr>
            <w:tcW w:w="1872" w:type="dxa"/>
            <w:vAlign w:val="bottom"/>
          </w:tcPr>
          <w:p w14:paraId="0739CF17" w14:textId="77777777" w:rsidR="00E35C9C" w:rsidRPr="0031277A" w:rsidRDefault="00E35C9C" w:rsidP="00FF2B6C">
            <w:pPr>
              <w:pStyle w:val="Body"/>
              <w:jc w:val="center"/>
            </w:pPr>
            <w:r w:rsidRPr="0031277A">
              <w:rPr>
                <w:color w:val="000000"/>
              </w:rPr>
              <w:t xml:space="preserve"> $            804,000 </w:t>
            </w:r>
          </w:p>
        </w:tc>
      </w:tr>
      <w:tr w:rsidR="00E35C9C" w:rsidRPr="0031277A" w14:paraId="22B56425" w14:textId="77777777" w:rsidTr="00FF2B6C">
        <w:tc>
          <w:tcPr>
            <w:tcW w:w="2432" w:type="dxa"/>
          </w:tcPr>
          <w:p w14:paraId="208537A4" w14:textId="77777777" w:rsidR="00E35C9C" w:rsidRPr="0031277A" w:rsidRDefault="00E35C9C" w:rsidP="00FF2B6C">
            <w:pPr>
              <w:pStyle w:val="Body"/>
              <w:rPr>
                <w:b/>
              </w:rPr>
            </w:pPr>
            <w:r w:rsidRPr="0031277A">
              <w:rPr>
                <w:b/>
              </w:rPr>
              <w:t xml:space="preserve">Total revenue </w:t>
            </w:r>
          </w:p>
        </w:tc>
        <w:tc>
          <w:tcPr>
            <w:tcW w:w="2340" w:type="dxa"/>
            <w:vAlign w:val="bottom"/>
          </w:tcPr>
          <w:p w14:paraId="31B4474D" w14:textId="77777777" w:rsidR="00E35C9C" w:rsidRPr="0031277A" w:rsidRDefault="00E35C9C" w:rsidP="00FF2B6C">
            <w:pPr>
              <w:pStyle w:val="Body"/>
              <w:jc w:val="center"/>
              <w:rPr>
                <w:b/>
              </w:rPr>
            </w:pPr>
            <w:r w:rsidRPr="0031277A">
              <w:rPr>
                <w:b/>
                <w:color w:val="000000"/>
              </w:rPr>
              <w:t xml:space="preserve"> $        6,865,600 </w:t>
            </w:r>
          </w:p>
        </w:tc>
        <w:tc>
          <w:tcPr>
            <w:tcW w:w="1872" w:type="dxa"/>
            <w:vAlign w:val="bottom"/>
          </w:tcPr>
          <w:p w14:paraId="6C201BB4" w14:textId="77777777" w:rsidR="00E35C9C" w:rsidRPr="0031277A" w:rsidRDefault="00E35C9C" w:rsidP="00FF2B6C">
            <w:pPr>
              <w:pStyle w:val="Body"/>
              <w:jc w:val="center"/>
              <w:rPr>
                <w:b/>
              </w:rPr>
            </w:pPr>
            <w:r w:rsidRPr="0031277A">
              <w:rPr>
                <w:b/>
                <w:color w:val="000000"/>
              </w:rPr>
              <w:t xml:space="preserve"> $        7,040,500 </w:t>
            </w:r>
          </w:p>
        </w:tc>
        <w:tc>
          <w:tcPr>
            <w:tcW w:w="1872" w:type="dxa"/>
            <w:vAlign w:val="bottom"/>
          </w:tcPr>
          <w:p w14:paraId="26D3B437" w14:textId="77777777" w:rsidR="00E35C9C" w:rsidRPr="0031277A" w:rsidRDefault="00E35C9C" w:rsidP="00FF2B6C">
            <w:pPr>
              <w:pStyle w:val="Body"/>
              <w:jc w:val="center"/>
              <w:rPr>
                <w:b/>
              </w:rPr>
            </w:pPr>
            <w:r w:rsidRPr="0031277A">
              <w:rPr>
                <w:b/>
                <w:color w:val="000000"/>
              </w:rPr>
              <w:t xml:space="preserve"> $        7,211,200 </w:t>
            </w:r>
          </w:p>
        </w:tc>
      </w:tr>
    </w:tbl>
    <w:p w14:paraId="23CFA1D4" w14:textId="77777777" w:rsidR="00E35C9C" w:rsidRDefault="00E35C9C" w:rsidP="00DA7C65">
      <w:pPr>
        <w:pStyle w:val="Body"/>
      </w:pPr>
    </w:p>
    <w:p w14:paraId="6F80194E" w14:textId="77777777" w:rsidR="00E35C9C" w:rsidRDefault="00E35C9C" w:rsidP="00DA7C65">
      <w:pPr>
        <w:pStyle w:val="Body"/>
      </w:pPr>
      <w:r>
        <w:t>Note that group licences are not included in the above projections. These represent a v</w:t>
      </w:r>
      <w:r w:rsidR="00F35997">
        <w:t>ery small category, which vary</w:t>
      </w:r>
      <w:r>
        <w:t xml:space="preserve"> considerably from year to year.</w:t>
      </w:r>
    </w:p>
    <w:p w14:paraId="2057B6A1" w14:textId="77777777" w:rsidR="003E5941" w:rsidRPr="0008580A" w:rsidRDefault="003E5941" w:rsidP="00DA7C65">
      <w:pPr>
        <w:pStyle w:val="Body"/>
      </w:pPr>
      <w:r>
        <w:t>In recent years, the total revenue from RFL sales, together with interest income, has been less than the amount of expenditure from the RFL Trust Account. This has been achieved from drawing on the Trust Account balances from previous years. The balance of the Trust Account as at 30 June 201</w:t>
      </w:r>
      <w:r w:rsidR="00F85564">
        <w:t>5</w:t>
      </w:r>
      <w:r>
        <w:t xml:space="preserve"> was $4.8 million, however forward </w:t>
      </w:r>
      <w:proofErr w:type="gramStart"/>
      <w:r>
        <w:t xml:space="preserve">commitments for approved </w:t>
      </w:r>
      <w:r w:rsidR="0043708C">
        <w:t>initiatives</w:t>
      </w:r>
      <w:r>
        <w:t xml:space="preserve"> is</w:t>
      </w:r>
      <w:proofErr w:type="gramEnd"/>
      <w:r>
        <w:t xml:space="preserve"> around $4.4 million. This means in the future, Trust Account expenditure will not be able to exceed RFL sales revenue</w:t>
      </w:r>
      <w:r w:rsidR="006D6AB1">
        <w:t xml:space="preserve"> as it has in recent years</w:t>
      </w:r>
      <w:r>
        <w:t>.</w:t>
      </w:r>
    </w:p>
    <w:p w14:paraId="60060A8A" w14:textId="77777777" w:rsidR="00FC5211" w:rsidRPr="0008580A" w:rsidRDefault="00715899" w:rsidP="00715899">
      <w:pPr>
        <w:pStyle w:val="Heading2"/>
        <w:numPr>
          <w:ilvl w:val="0"/>
          <w:numId w:val="0"/>
        </w:numPr>
        <w:ind w:left="567" w:hanging="567"/>
      </w:pPr>
      <w:bookmarkStart w:id="25" w:name="_Toc441733982"/>
      <w:r>
        <w:t>3.2</w:t>
      </w:r>
      <w:r>
        <w:tab/>
      </w:r>
      <w:r w:rsidR="00FC5211" w:rsidRPr="0008580A">
        <w:t>Objective</w:t>
      </w:r>
      <w:bookmarkEnd w:id="25"/>
    </w:p>
    <w:p w14:paraId="62CF37FB" w14:textId="77777777" w:rsidR="00E9463C" w:rsidRDefault="00E9463C" w:rsidP="00DA7C65">
      <w:pPr>
        <w:pStyle w:val="Body"/>
      </w:pPr>
      <w:r>
        <w:t xml:space="preserve">The </w:t>
      </w:r>
      <w:r w:rsidR="00215EFD">
        <w:t>objective of</w:t>
      </w:r>
      <w:r>
        <w:t xml:space="preserve"> the proposed Regulations is that </w:t>
      </w:r>
      <w:r w:rsidR="00215EFD">
        <w:t>RFL</w:t>
      </w:r>
      <w:r>
        <w:t xml:space="preserve"> fee revenue is </w:t>
      </w:r>
      <w:r w:rsidR="00215EFD">
        <w:t>increased</w:t>
      </w:r>
      <w:r>
        <w:t xml:space="preserve"> to fund </w:t>
      </w:r>
      <w:r w:rsidR="0043708C">
        <w:t>initiatives and programs</w:t>
      </w:r>
      <w:r w:rsidR="006B5882">
        <w:t xml:space="preserve"> </w:t>
      </w:r>
      <w:r>
        <w:t>that will have a net benefit to the recreational fishing sector</w:t>
      </w:r>
      <w:r w:rsidR="00215EFD">
        <w:t xml:space="preserve"> and the community more broadly</w:t>
      </w:r>
      <w:r w:rsidR="00A36995">
        <w:t>.</w:t>
      </w:r>
    </w:p>
    <w:p w14:paraId="42A38EF2" w14:textId="77777777" w:rsidR="0082164C" w:rsidRDefault="0082164C" w:rsidP="0082164C">
      <w:pPr>
        <w:pStyle w:val="Heading2"/>
        <w:numPr>
          <w:ilvl w:val="0"/>
          <w:numId w:val="0"/>
        </w:numPr>
        <w:ind w:left="567" w:hanging="567"/>
      </w:pPr>
      <w:bookmarkStart w:id="26" w:name="_Toc441733983"/>
      <w:r>
        <w:t>3.3</w:t>
      </w:r>
      <w:r>
        <w:tab/>
        <w:t>Proposed fee increases</w:t>
      </w:r>
      <w:bookmarkEnd w:id="26"/>
    </w:p>
    <w:p w14:paraId="17AFAFEF" w14:textId="77777777" w:rsidR="00C337CD" w:rsidRDefault="0082164C" w:rsidP="0082164C">
      <w:r>
        <w:t xml:space="preserve">The following table sets out the proposed increases to the RFL fees. </w:t>
      </w:r>
      <w:r w:rsidR="00C337CD">
        <w:t xml:space="preserve">Importantly, </w:t>
      </w:r>
      <w:r w:rsidR="00FF6B84">
        <w:t xml:space="preserve">the changes include a proposal to change </w:t>
      </w:r>
      <w:r w:rsidR="00C337CD">
        <w:t>the current 2 day licence to a 3 day licence.</w:t>
      </w:r>
    </w:p>
    <w:p w14:paraId="49FD2B61" w14:textId="77777777" w:rsidR="00C337CD" w:rsidRDefault="00C337CD" w:rsidP="0082164C"/>
    <w:p w14:paraId="107613FD" w14:textId="77777777" w:rsidR="0082164C" w:rsidRDefault="0082164C" w:rsidP="0082164C">
      <w:r>
        <w:t xml:space="preserve">The new fees would apply from 1 July 2016. From 2017/18, the fees would also increase in line with the </w:t>
      </w:r>
      <w:r w:rsidR="00DB3D1A">
        <w:t>value of fee units</w:t>
      </w:r>
      <w:r>
        <w:t xml:space="preserve"> set by the Treasurer for increases to all fees covered by the </w:t>
      </w:r>
      <w:r w:rsidRPr="000F1E0F">
        <w:rPr>
          <w:i/>
        </w:rPr>
        <w:t>Monetary Units Act</w:t>
      </w:r>
      <w:r w:rsidR="004A1BB9" w:rsidRPr="000F1E0F">
        <w:rPr>
          <w:i/>
        </w:rPr>
        <w:t xml:space="preserve"> 2004</w:t>
      </w:r>
      <w:r>
        <w:t>.</w:t>
      </w:r>
      <w:r>
        <w:rPr>
          <w:rStyle w:val="FootnoteReference"/>
        </w:rPr>
        <w:footnoteReference w:id="6"/>
      </w:r>
    </w:p>
    <w:p w14:paraId="1CE98C08" w14:textId="77777777" w:rsidR="00393860" w:rsidRDefault="00393860" w:rsidP="0082164C"/>
    <w:p w14:paraId="46ADCE72" w14:textId="77777777" w:rsidR="009C09C0" w:rsidRPr="0082164C" w:rsidRDefault="009C09C0" w:rsidP="00B91EDB">
      <w:pPr>
        <w:pStyle w:val="TableTitle"/>
      </w:pPr>
      <w:r>
        <w:t xml:space="preserve">Figure </w:t>
      </w:r>
      <w:r w:rsidR="00B91EDB">
        <w:t>3</w:t>
      </w:r>
      <w:r w:rsidR="00F35997">
        <w:t>E</w:t>
      </w:r>
      <w:r w:rsidR="00B91EDB">
        <w:t xml:space="preserve"> – proposed RFL fees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2051"/>
        <w:gridCol w:w="2409"/>
        <w:gridCol w:w="2311"/>
        <w:gridCol w:w="1745"/>
      </w:tblGrid>
      <w:tr w:rsidR="0082164C" w:rsidRPr="00BD7DCC" w14:paraId="6FE4F5AA" w14:textId="77777777" w:rsidTr="001E7532">
        <w:tc>
          <w:tcPr>
            <w:tcW w:w="2051" w:type="dxa"/>
            <w:shd w:val="clear" w:color="auto" w:fill="1F497D" w:themeFill="text2"/>
          </w:tcPr>
          <w:p w14:paraId="14D5C674" w14:textId="77777777" w:rsidR="0082164C" w:rsidRPr="00BD7DCC" w:rsidRDefault="0082164C" w:rsidP="00FF2B6C">
            <w:pPr>
              <w:pStyle w:val="Body"/>
              <w:rPr>
                <w:b/>
                <w:color w:val="FFFFFF" w:themeColor="background1"/>
              </w:rPr>
            </w:pPr>
            <w:r w:rsidRPr="00BD7DCC">
              <w:rPr>
                <w:b/>
                <w:color w:val="FFFFFF" w:themeColor="background1"/>
              </w:rPr>
              <w:t>RFL type</w:t>
            </w:r>
          </w:p>
        </w:tc>
        <w:tc>
          <w:tcPr>
            <w:tcW w:w="2409" w:type="dxa"/>
            <w:shd w:val="clear" w:color="auto" w:fill="1F497D" w:themeFill="text2"/>
          </w:tcPr>
          <w:p w14:paraId="682B1E37" w14:textId="77777777" w:rsidR="0082164C" w:rsidRPr="00BD7DCC" w:rsidRDefault="0082164C" w:rsidP="00FF2B6C">
            <w:pPr>
              <w:pStyle w:val="Body"/>
              <w:jc w:val="center"/>
              <w:rPr>
                <w:b/>
                <w:color w:val="FFFFFF" w:themeColor="background1"/>
              </w:rPr>
            </w:pPr>
            <w:r>
              <w:rPr>
                <w:b/>
                <w:color w:val="FFFFFF" w:themeColor="background1"/>
              </w:rPr>
              <w:t>Current fee</w:t>
            </w:r>
          </w:p>
        </w:tc>
        <w:tc>
          <w:tcPr>
            <w:tcW w:w="2311" w:type="dxa"/>
            <w:shd w:val="clear" w:color="auto" w:fill="1F497D" w:themeFill="text2"/>
          </w:tcPr>
          <w:p w14:paraId="59330829" w14:textId="77777777" w:rsidR="0082164C" w:rsidRDefault="0082164C" w:rsidP="00FF2B6C">
            <w:pPr>
              <w:pStyle w:val="Body"/>
              <w:jc w:val="center"/>
              <w:rPr>
                <w:b/>
                <w:color w:val="FFFFFF" w:themeColor="background1"/>
              </w:rPr>
            </w:pPr>
            <w:r>
              <w:rPr>
                <w:b/>
                <w:color w:val="FFFFFF" w:themeColor="background1"/>
              </w:rPr>
              <w:t>Proposed new fee</w:t>
            </w:r>
          </w:p>
        </w:tc>
        <w:tc>
          <w:tcPr>
            <w:tcW w:w="1745" w:type="dxa"/>
            <w:shd w:val="clear" w:color="auto" w:fill="1F497D" w:themeFill="text2"/>
          </w:tcPr>
          <w:p w14:paraId="15CCE11E" w14:textId="77777777" w:rsidR="0082164C" w:rsidRDefault="0082164C" w:rsidP="00FF2B6C">
            <w:pPr>
              <w:pStyle w:val="Body"/>
              <w:jc w:val="center"/>
              <w:rPr>
                <w:b/>
                <w:color w:val="FFFFFF" w:themeColor="background1"/>
              </w:rPr>
            </w:pPr>
            <w:r>
              <w:rPr>
                <w:b/>
                <w:color w:val="FFFFFF" w:themeColor="background1"/>
              </w:rPr>
              <w:t>% change</w:t>
            </w:r>
          </w:p>
        </w:tc>
      </w:tr>
      <w:tr w:rsidR="0082164C" w14:paraId="689D2455" w14:textId="77777777" w:rsidTr="001E7532">
        <w:tc>
          <w:tcPr>
            <w:tcW w:w="2051" w:type="dxa"/>
            <w:vAlign w:val="center"/>
          </w:tcPr>
          <w:p w14:paraId="3DB17CAF" w14:textId="77777777" w:rsidR="0082164C" w:rsidRDefault="0082164C" w:rsidP="001E7532">
            <w:pPr>
              <w:pStyle w:val="Body"/>
            </w:pPr>
            <w:r>
              <w:t>3 year licence</w:t>
            </w:r>
          </w:p>
        </w:tc>
        <w:tc>
          <w:tcPr>
            <w:tcW w:w="2409" w:type="dxa"/>
            <w:vAlign w:val="center"/>
          </w:tcPr>
          <w:p w14:paraId="5D091E37" w14:textId="77777777" w:rsidR="0082164C" w:rsidRDefault="0082164C" w:rsidP="001E7532">
            <w:pPr>
              <w:pStyle w:val="Body"/>
              <w:jc w:val="center"/>
            </w:pPr>
            <w:r>
              <w:t>$66</w:t>
            </w:r>
          </w:p>
        </w:tc>
        <w:tc>
          <w:tcPr>
            <w:tcW w:w="2311" w:type="dxa"/>
            <w:vAlign w:val="center"/>
          </w:tcPr>
          <w:p w14:paraId="41D8F940" w14:textId="77777777" w:rsidR="0082164C" w:rsidRDefault="0082164C" w:rsidP="001E7532">
            <w:pPr>
              <w:pStyle w:val="Body"/>
              <w:spacing w:after="40"/>
              <w:ind w:right="34"/>
              <w:jc w:val="center"/>
            </w:pPr>
            <w:r>
              <w:t>$</w:t>
            </w:r>
            <w:r w:rsidR="00E06C07">
              <w:t>95</w:t>
            </w:r>
          </w:p>
          <w:p w14:paraId="3BDEDADA" w14:textId="77777777" w:rsidR="0099080E" w:rsidRPr="001E7532" w:rsidRDefault="0099080E" w:rsidP="001E7532">
            <w:pPr>
              <w:pStyle w:val="Body"/>
              <w:tabs>
                <w:tab w:val="left" w:pos="1952"/>
              </w:tabs>
              <w:spacing w:after="40"/>
              <w:ind w:right="34"/>
              <w:jc w:val="center"/>
              <w:rPr>
                <w:sz w:val="16"/>
                <w:szCs w:val="16"/>
              </w:rPr>
            </w:pPr>
            <w:r w:rsidRPr="001E7532">
              <w:rPr>
                <w:sz w:val="16"/>
                <w:szCs w:val="16"/>
              </w:rPr>
              <w:t>(6.8 fee units</w:t>
            </w:r>
            <w:r w:rsidR="001E7532" w:rsidRPr="001E7532">
              <w:rPr>
                <w:sz w:val="16"/>
                <w:szCs w:val="16"/>
              </w:rPr>
              <w:t xml:space="preserve"> from 2017/18</w:t>
            </w:r>
            <w:r w:rsidRPr="001E7532">
              <w:rPr>
                <w:sz w:val="16"/>
                <w:szCs w:val="16"/>
              </w:rPr>
              <w:t>)</w:t>
            </w:r>
          </w:p>
        </w:tc>
        <w:tc>
          <w:tcPr>
            <w:tcW w:w="1745" w:type="dxa"/>
            <w:vAlign w:val="center"/>
          </w:tcPr>
          <w:p w14:paraId="6F7EA56C" w14:textId="77777777" w:rsidR="0082164C" w:rsidRDefault="00E06C07" w:rsidP="001E7532">
            <w:pPr>
              <w:pStyle w:val="Body"/>
              <w:jc w:val="center"/>
            </w:pPr>
            <w:r>
              <w:t>44</w:t>
            </w:r>
          </w:p>
        </w:tc>
      </w:tr>
      <w:tr w:rsidR="0082164C" w14:paraId="76EC1E86" w14:textId="77777777" w:rsidTr="001E7532">
        <w:tc>
          <w:tcPr>
            <w:tcW w:w="2051" w:type="dxa"/>
            <w:vAlign w:val="center"/>
          </w:tcPr>
          <w:p w14:paraId="6F87B3B5" w14:textId="77777777" w:rsidR="0082164C" w:rsidRDefault="0082164C" w:rsidP="001E7532">
            <w:pPr>
              <w:pStyle w:val="Body"/>
            </w:pPr>
            <w:r>
              <w:t>1 year licence</w:t>
            </w:r>
          </w:p>
        </w:tc>
        <w:tc>
          <w:tcPr>
            <w:tcW w:w="2409" w:type="dxa"/>
            <w:vAlign w:val="center"/>
          </w:tcPr>
          <w:p w14:paraId="440616FF" w14:textId="77777777" w:rsidR="0082164C" w:rsidRDefault="0082164C" w:rsidP="001E7532">
            <w:pPr>
              <w:pStyle w:val="Body"/>
              <w:jc w:val="center"/>
            </w:pPr>
            <w:r>
              <w:t>$24.50</w:t>
            </w:r>
          </w:p>
        </w:tc>
        <w:tc>
          <w:tcPr>
            <w:tcW w:w="2311" w:type="dxa"/>
            <w:vAlign w:val="center"/>
          </w:tcPr>
          <w:p w14:paraId="38AD125F" w14:textId="77777777" w:rsidR="0082164C" w:rsidRDefault="0082164C" w:rsidP="001E7532">
            <w:pPr>
              <w:pStyle w:val="Body"/>
              <w:spacing w:after="40"/>
              <w:ind w:right="34"/>
              <w:jc w:val="center"/>
            </w:pPr>
            <w:r>
              <w:t>$35</w:t>
            </w:r>
          </w:p>
          <w:p w14:paraId="62A6A944" w14:textId="77777777" w:rsidR="0099080E" w:rsidRPr="001E7532" w:rsidRDefault="0099080E" w:rsidP="001E7532">
            <w:pPr>
              <w:pStyle w:val="Body"/>
              <w:tabs>
                <w:tab w:val="left" w:pos="1952"/>
              </w:tabs>
              <w:spacing w:after="40"/>
              <w:ind w:right="34"/>
              <w:jc w:val="center"/>
              <w:rPr>
                <w:sz w:val="16"/>
                <w:szCs w:val="16"/>
              </w:rPr>
            </w:pPr>
            <w:r w:rsidRPr="001E7532">
              <w:rPr>
                <w:sz w:val="16"/>
                <w:szCs w:val="16"/>
              </w:rPr>
              <w:t>(2.51 fee units</w:t>
            </w:r>
            <w:r w:rsidR="001E7532" w:rsidRPr="001E7532">
              <w:rPr>
                <w:sz w:val="16"/>
                <w:szCs w:val="16"/>
              </w:rPr>
              <w:t xml:space="preserve"> from 2017/18</w:t>
            </w:r>
            <w:r w:rsidRPr="001E7532">
              <w:rPr>
                <w:sz w:val="16"/>
                <w:szCs w:val="16"/>
              </w:rPr>
              <w:t>)</w:t>
            </w:r>
          </w:p>
        </w:tc>
        <w:tc>
          <w:tcPr>
            <w:tcW w:w="1745" w:type="dxa"/>
            <w:vAlign w:val="center"/>
          </w:tcPr>
          <w:p w14:paraId="2EB87EFB" w14:textId="77777777" w:rsidR="0082164C" w:rsidRDefault="0082164C" w:rsidP="001E7532">
            <w:pPr>
              <w:pStyle w:val="Body"/>
              <w:jc w:val="center"/>
            </w:pPr>
            <w:r>
              <w:t>43</w:t>
            </w:r>
          </w:p>
        </w:tc>
      </w:tr>
      <w:tr w:rsidR="0082164C" w14:paraId="6BC80A1E" w14:textId="77777777" w:rsidTr="001E7532">
        <w:tc>
          <w:tcPr>
            <w:tcW w:w="2051" w:type="dxa"/>
            <w:vAlign w:val="center"/>
          </w:tcPr>
          <w:p w14:paraId="5B5BF57C" w14:textId="77777777" w:rsidR="0082164C" w:rsidRDefault="0082164C" w:rsidP="001E7532">
            <w:pPr>
              <w:pStyle w:val="Body"/>
            </w:pPr>
            <w:r>
              <w:t>28 day licence</w:t>
            </w:r>
          </w:p>
        </w:tc>
        <w:tc>
          <w:tcPr>
            <w:tcW w:w="2409" w:type="dxa"/>
            <w:vAlign w:val="center"/>
          </w:tcPr>
          <w:p w14:paraId="71E58B28" w14:textId="77777777" w:rsidR="0082164C" w:rsidRDefault="0082164C" w:rsidP="001E7532">
            <w:pPr>
              <w:pStyle w:val="Body"/>
              <w:jc w:val="center"/>
            </w:pPr>
            <w:r>
              <w:t>$12</w:t>
            </w:r>
          </w:p>
        </w:tc>
        <w:tc>
          <w:tcPr>
            <w:tcW w:w="2311" w:type="dxa"/>
            <w:vAlign w:val="center"/>
          </w:tcPr>
          <w:p w14:paraId="0E187A11" w14:textId="77777777" w:rsidR="0082164C" w:rsidRDefault="0082164C" w:rsidP="001E7532">
            <w:pPr>
              <w:pStyle w:val="Body"/>
              <w:spacing w:after="40"/>
              <w:ind w:right="34"/>
              <w:jc w:val="center"/>
            </w:pPr>
            <w:r>
              <w:t>$20</w:t>
            </w:r>
          </w:p>
          <w:p w14:paraId="5C0F8D74" w14:textId="77777777" w:rsidR="0099080E" w:rsidRPr="001E7532" w:rsidRDefault="00504832" w:rsidP="001E7532">
            <w:pPr>
              <w:pStyle w:val="Body"/>
              <w:tabs>
                <w:tab w:val="left" w:pos="1952"/>
              </w:tabs>
              <w:spacing w:after="40"/>
              <w:ind w:right="34"/>
              <w:jc w:val="center"/>
              <w:rPr>
                <w:sz w:val="16"/>
                <w:szCs w:val="16"/>
              </w:rPr>
            </w:pPr>
            <w:r w:rsidRPr="001E7532">
              <w:rPr>
                <w:sz w:val="16"/>
                <w:szCs w:val="16"/>
              </w:rPr>
              <w:t>(1.43 fee units</w:t>
            </w:r>
            <w:r w:rsidR="001E7532" w:rsidRPr="001E7532">
              <w:rPr>
                <w:sz w:val="16"/>
                <w:szCs w:val="16"/>
              </w:rPr>
              <w:t xml:space="preserve"> from 2017/18</w:t>
            </w:r>
            <w:r w:rsidRPr="001E7532">
              <w:rPr>
                <w:sz w:val="16"/>
                <w:szCs w:val="16"/>
              </w:rPr>
              <w:t>)</w:t>
            </w:r>
          </w:p>
        </w:tc>
        <w:tc>
          <w:tcPr>
            <w:tcW w:w="1745" w:type="dxa"/>
            <w:vAlign w:val="center"/>
          </w:tcPr>
          <w:p w14:paraId="5BB28C95" w14:textId="77777777" w:rsidR="0082164C" w:rsidRDefault="0082164C" w:rsidP="001E7532">
            <w:pPr>
              <w:pStyle w:val="Body"/>
              <w:jc w:val="center"/>
            </w:pPr>
            <w:r>
              <w:t>67</w:t>
            </w:r>
          </w:p>
        </w:tc>
      </w:tr>
      <w:tr w:rsidR="0082164C" w14:paraId="01C351FB" w14:textId="77777777" w:rsidTr="001E7532">
        <w:tc>
          <w:tcPr>
            <w:tcW w:w="2051" w:type="dxa"/>
            <w:vAlign w:val="center"/>
          </w:tcPr>
          <w:p w14:paraId="74390081" w14:textId="77777777" w:rsidR="0082164C" w:rsidRDefault="00624A0D" w:rsidP="001E7532">
            <w:pPr>
              <w:pStyle w:val="Body"/>
            </w:pPr>
            <w:r>
              <w:t>2/</w:t>
            </w:r>
            <w:r w:rsidR="00393860">
              <w:t>3</w:t>
            </w:r>
            <w:r w:rsidR="0082164C">
              <w:t xml:space="preserve"> day licence</w:t>
            </w:r>
          </w:p>
        </w:tc>
        <w:tc>
          <w:tcPr>
            <w:tcW w:w="2409" w:type="dxa"/>
            <w:vAlign w:val="center"/>
          </w:tcPr>
          <w:p w14:paraId="49D54C60" w14:textId="77777777" w:rsidR="0082164C" w:rsidRDefault="0082164C" w:rsidP="001E7532">
            <w:pPr>
              <w:pStyle w:val="Body"/>
              <w:jc w:val="center"/>
            </w:pPr>
            <w:r>
              <w:t>$6</w:t>
            </w:r>
          </w:p>
        </w:tc>
        <w:tc>
          <w:tcPr>
            <w:tcW w:w="2311" w:type="dxa"/>
            <w:vAlign w:val="center"/>
          </w:tcPr>
          <w:p w14:paraId="16DFCDED" w14:textId="77777777" w:rsidR="0082164C" w:rsidRDefault="0082164C" w:rsidP="001E7532">
            <w:pPr>
              <w:pStyle w:val="Body"/>
              <w:spacing w:after="40"/>
              <w:ind w:right="34"/>
              <w:jc w:val="center"/>
            </w:pPr>
            <w:r>
              <w:t>$10</w:t>
            </w:r>
          </w:p>
          <w:p w14:paraId="22EBC8C7" w14:textId="77777777" w:rsidR="00504832" w:rsidRPr="001E7532" w:rsidRDefault="00504832" w:rsidP="001E7532">
            <w:pPr>
              <w:pStyle w:val="Body"/>
              <w:tabs>
                <w:tab w:val="left" w:pos="1952"/>
              </w:tabs>
              <w:spacing w:after="40"/>
              <w:ind w:right="34"/>
              <w:jc w:val="center"/>
              <w:rPr>
                <w:sz w:val="16"/>
                <w:szCs w:val="16"/>
              </w:rPr>
            </w:pPr>
            <w:r w:rsidRPr="001E7532">
              <w:rPr>
                <w:sz w:val="16"/>
                <w:szCs w:val="16"/>
              </w:rPr>
              <w:t>(1 fee unit</w:t>
            </w:r>
            <w:r w:rsidR="00955EB1" w:rsidRPr="001E7532">
              <w:rPr>
                <w:sz w:val="16"/>
                <w:szCs w:val="16"/>
              </w:rPr>
              <w:t xml:space="preserve"> from 2017/18</w:t>
            </w:r>
            <w:r w:rsidRPr="001E7532">
              <w:rPr>
                <w:sz w:val="16"/>
                <w:szCs w:val="16"/>
              </w:rPr>
              <w:t>)</w:t>
            </w:r>
          </w:p>
        </w:tc>
        <w:tc>
          <w:tcPr>
            <w:tcW w:w="1745" w:type="dxa"/>
            <w:vAlign w:val="center"/>
          </w:tcPr>
          <w:p w14:paraId="4A823F4D" w14:textId="77777777" w:rsidR="0082164C" w:rsidRDefault="0082164C" w:rsidP="001E7532">
            <w:pPr>
              <w:pStyle w:val="Body"/>
              <w:jc w:val="center"/>
            </w:pPr>
            <w:r>
              <w:t>67</w:t>
            </w:r>
          </w:p>
        </w:tc>
      </w:tr>
      <w:tr w:rsidR="0082164C" w14:paraId="2318D7B2" w14:textId="77777777" w:rsidTr="001E7532">
        <w:tc>
          <w:tcPr>
            <w:tcW w:w="2051" w:type="dxa"/>
            <w:vAlign w:val="center"/>
          </w:tcPr>
          <w:p w14:paraId="3D2CB7F7" w14:textId="77777777" w:rsidR="0082164C" w:rsidRDefault="0082164C" w:rsidP="001E7532">
            <w:pPr>
              <w:pStyle w:val="Body"/>
            </w:pPr>
            <w:r>
              <w:t xml:space="preserve">Group licence </w:t>
            </w:r>
          </w:p>
        </w:tc>
        <w:tc>
          <w:tcPr>
            <w:tcW w:w="2409" w:type="dxa"/>
            <w:vAlign w:val="center"/>
          </w:tcPr>
          <w:p w14:paraId="779A57E5" w14:textId="77777777" w:rsidR="0082164C" w:rsidRDefault="0082164C" w:rsidP="001E7532">
            <w:pPr>
              <w:pStyle w:val="Body"/>
              <w:jc w:val="center"/>
            </w:pPr>
            <w:r>
              <w:t>$24.50</w:t>
            </w:r>
          </w:p>
        </w:tc>
        <w:tc>
          <w:tcPr>
            <w:tcW w:w="2311" w:type="dxa"/>
            <w:vAlign w:val="center"/>
          </w:tcPr>
          <w:p w14:paraId="772AE2E0" w14:textId="77777777" w:rsidR="0082164C" w:rsidRDefault="0082164C" w:rsidP="001E7532">
            <w:pPr>
              <w:pStyle w:val="Body"/>
              <w:spacing w:after="40"/>
              <w:ind w:right="34"/>
              <w:jc w:val="center"/>
            </w:pPr>
            <w:r>
              <w:t>$35</w:t>
            </w:r>
          </w:p>
          <w:p w14:paraId="434EA0CA" w14:textId="77777777" w:rsidR="00504832" w:rsidRPr="001E7532" w:rsidRDefault="00504832" w:rsidP="001E7532">
            <w:pPr>
              <w:pStyle w:val="Body"/>
              <w:tabs>
                <w:tab w:val="left" w:pos="1952"/>
              </w:tabs>
              <w:spacing w:after="40"/>
              <w:ind w:right="34"/>
              <w:jc w:val="center"/>
              <w:rPr>
                <w:sz w:val="16"/>
                <w:szCs w:val="16"/>
              </w:rPr>
            </w:pPr>
            <w:r w:rsidRPr="001E7532">
              <w:rPr>
                <w:sz w:val="16"/>
                <w:szCs w:val="16"/>
              </w:rPr>
              <w:t>(2.51 fee units</w:t>
            </w:r>
            <w:r w:rsidR="001E7532" w:rsidRPr="001E7532">
              <w:rPr>
                <w:sz w:val="16"/>
                <w:szCs w:val="16"/>
              </w:rPr>
              <w:t xml:space="preserve"> from 2017/18</w:t>
            </w:r>
            <w:r w:rsidRPr="001E7532">
              <w:rPr>
                <w:sz w:val="16"/>
                <w:szCs w:val="16"/>
              </w:rPr>
              <w:t>)</w:t>
            </w:r>
          </w:p>
        </w:tc>
        <w:tc>
          <w:tcPr>
            <w:tcW w:w="1745" w:type="dxa"/>
            <w:vAlign w:val="center"/>
          </w:tcPr>
          <w:p w14:paraId="3A7B3123" w14:textId="77777777" w:rsidR="0082164C" w:rsidRDefault="0082164C" w:rsidP="001E7532">
            <w:pPr>
              <w:pStyle w:val="Body"/>
              <w:jc w:val="center"/>
            </w:pPr>
            <w:r>
              <w:t>43</w:t>
            </w:r>
          </w:p>
        </w:tc>
      </w:tr>
    </w:tbl>
    <w:p w14:paraId="0B178230" w14:textId="77777777" w:rsidR="0082164C" w:rsidRDefault="0082164C" w:rsidP="00DA7C65">
      <w:pPr>
        <w:pStyle w:val="Body"/>
      </w:pPr>
    </w:p>
    <w:p w14:paraId="1FEA1998" w14:textId="77777777" w:rsidR="00016BB8" w:rsidRDefault="006B2BE5" w:rsidP="00DA7C65">
      <w:pPr>
        <w:pStyle w:val="Body"/>
      </w:pPr>
      <w:r>
        <w:t xml:space="preserve">As noted later in this RIS, it is proposed that the fees remain as dollar values for 2016/17 before being converted to an equivalent number of fee units from 2017/18 onwards. </w:t>
      </w:r>
      <w:r w:rsidR="00016BB8">
        <w:t xml:space="preserve">The fee units included in the table above and in the draft </w:t>
      </w:r>
      <w:r w:rsidR="00620490">
        <w:t>Regulations</w:t>
      </w:r>
      <w:r w:rsidR="00016BB8">
        <w:t xml:space="preserve"> assume</w:t>
      </w:r>
      <w:r w:rsidR="00620490">
        <w:t xml:space="preserve"> the value of a fee unit in 2016/17 of $13.97. This was based on the annual rate of increase set by the Treasurer last year</w:t>
      </w:r>
      <w:r w:rsidR="00C03F63">
        <w:t xml:space="preserve"> (2.75 per cent)</w:t>
      </w:r>
      <w:r w:rsidR="00620490">
        <w:t>. A new annual rate, and value of fee units for 2016/17, is yet to be determined</w:t>
      </w:r>
      <w:r w:rsidR="00EC0EC7">
        <w:t xml:space="preserve">, but is expected shortly. The fee units in the final Regulations will be adjusted to take account of this. </w:t>
      </w:r>
    </w:p>
    <w:p w14:paraId="72E4B1DC" w14:textId="77777777" w:rsidR="00767538" w:rsidRDefault="00B44F0B" w:rsidP="00B44F0B">
      <w:pPr>
        <w:pStyle w:val="Body"/>
      </w:pPr>
      <w:r w:rsidRPr="0031277A">
        <w:t>The proposed fee increases mean there will be a higher percentage increase on the shorter duration (</w:t>
      </w:r>
      <w:r w:rsidR="00393860">
        <w:t>3</w:t>
      </w:r>
      <w:r w:rsidRPr="0031277A">
        <w:t xml:space="preserve"> day and 28 day) licences. </w:t>
      </w:r>
      <w:r w:rsidR="00767538">
        <w:t>However, the change in duration of the 2 day licence to become a 3 day licence provide</w:t>
      </w:r>
      <w:r w:rsidR="0071677B">
        <w:t>s</w:t>
      </w:r>
      <w:r w:rsidR="001F2CE5">
        <w:t xml:space="preserve"> a benefit for many fishers in this group.</w:t>
      </w:r>
      <w:r w:rsidR="0054374E">
        <w:t xml:space="preserve"> Fisheries Victoria understands, through recent consultation with stakeholders, that many casual fishers buy a 28</w:t>
      </w:r>
      <w:r w:rsidR="006B6540">
        <w:t xml:space="preserve"> day licence (or two 2 day licences) in circumstances such as fishing over a long weekend</w:t>
      </w:r>
      <w:r w:rsidR="00554A77">
        <w:t>. The change to a 3 day licence means that people in this situation may end up paying less</w:t>
      </w:r>
      <w:r w:rsidR="00E11786">
        <w:t>. More generally, casual fishers who may have previously only fished for two days</w:t>
      </w:r>
      <w:r w:rsidR="007A29EA">
        <w:t xml:space="preserve"> (with a fee of $6) may now make use of the longer licence a</w:t>
      </w:r>
      <w:r w:rsidR="0071677B">
        <w:t>nd</w:t>
      </w:r>
      <w:r w:rsidR="007A29EA">
        <w:t xml:space="preserve"> fish for three days (meaning the </w:t>
      </w:r>
      <w:r w:rsidR="007A29EA" w:rsidRPr="00FF2C43">
        <w:rPr>
          <w:i/>
        </w:rPr>
        <w:t>effective</w:t>
      </w:r>
      <w:r w:rsidR="007A29EA">
        <w:t xml:space="preserve"> fee increase for this group is only 11 per cent).</w:t>
      </w:r>
    </w:p>
    <w:p w14:paraId="4A88365D" w14:textId="77777777" w:rsidR="008D3ECC" w:rsidRDefault="00B44F0B" w:rsidP="00B44F0B">
      <w:pPr>
        <w:pStyle w:val="Body"/>
      </w:pPr>
      <w:r w:rsidRPr="0031277A">
        <w:t xml:space="preserve">Earlier consultation with the then RFL Stakeholder </w:t>
      </w:r>
      <w:r w:rsidR="00F94A76" w:rsidRPr="0031277A">
        <w:t>R</w:t>
      </w:r>
      <w:r w:rsidRPr="0031277A">
        <w:t xml:space="preserve">eference </w:t>
      </w:r>
      <w:r w:rsidR="00F94A76" w:rsidRPr="0031277A">
        <w:t>G</w:t>
      </w:r>
      <w:r w:rsidRPr="0031277A">
        <w:t>roup in February 2014 led to a consensus around the pricing of the 2 day</w:t>
      </w:r>
      <w:r w:rsidR="00357CB4">
        <w:t xml:space="preserve"> (now 3 day)</w:t>
      </w:r>
      <w:r w:rsidRPr="0031277A">
        <w:t xml:space="preserve">, 28 day, and 1 year RFLs. </w:t>
      </w:r>
      <w:r w:rsidR="0004567C">
        <w:t>Costs for the short term licences in particular, are very low and represent a very small component of total fishing related costs. Therefore, the proposed increases</w:t>
      </w:r>
      <w:r w:rsidR="00DF5BAB">
        <w:t xml:space="preserve"> </w:t>
      </w:r>
      <w:r w:rsidR="0004567C">
        <w:t>are unlikely to</w:t>
      </w:r>
      <w:r w:rsidR="00DF5BAB">
        <w:t xml:space="preserve"> have a significant financial </w:t>
      </w:r>
      <w:r w:rsidR="00E31323">
        <w:t xml:space="preserve">impact on fishers, </w:t>
      </w:r>
      <w:r w:rsidR="00DF5BAB">
        <w:t xml:space="preserve">or on </w:t>
      </w:r>
      <w:r w:rsidR="00E31323">
        <w:t xml:space="preserve">their </w:t>
      </w:r>
      <w:r w:rsidR="00DF5BAB">
        <w:t xml:space="preserve">fishing decisions. </w:t>
      </w:r>
      <w:r w:rsidR="002B5118" w:rsidRPr="0031277A">
        <w:t xml:space="preserve">These proposed fees were considered by </w:t>
      </w:r>
      <w:r w:rsidR="002B5118">
        <w:t>stak</w:t>
      </w:r>
      <w:r w:rsidR="004809FF">
        <w:t>e</w:t>
      </w:r>
      <w:r w:rsidR="002B5118">
        <w:t>holders</w:t>
      </w:r>
      <w:r w:rsidR="002B5118" w:rsidRPr="0031277A">
        <w:t xml:space="preserve"> to better reflect the willingness to pay in relation to each licence category, as well as better matching how licences are used.</w:t>
      </w:r>
    </w:p>
    <w:p w14:paraId="669A67EC" w14:textId="77777777" w:rsidR="00E3771A" w:rsidRDefault="00357CB4" w:rsidP="00B44F0B">
      <w:pPr>
        <w:pStyle w:val="Body"/>
      </w:pPr>
      <w:r>
        <w:t>A</w:t>
      </w:r>
      <w:r w:rsidR="00B44F0B" w:rsidRPr="0031277A">
        <w:t xml:space="preserve"> consensus was not reached on the pricing of the 3 year RFL</w:t>
      </w:r>
      <w:r w:rsidR="0071677B">
        <w:t xml:space="preserve"> during the 2014 consultation</w:t>
      </w:r>
      <w:r>
        <w:t>. T</w:t>
      </w:r>
      <w:r w:rsidR="00B44F0B" w:rsidRPr="0031277A">
        <w:t xml:space="preserve">he majority of the group </w:t>
      </w:r>
      <w:r w:rsidR="00E06C07">
        <w:t xml:space="preserve">at the time </w:t>
      </w:r>
      <w:r w:rsidR="00B44F0B" w:rsidRPr="0031277A">
        <w:t>supported a $100 price</w:t>
      </w:r>
      <w:r w:rsidR="00D03864">
        <w:t xml:space="preserve">, while others considered a lower increase </w:t>
      </w:r>
      <w:r w:rsidR="002E11AA">
        <w:t xml:space="preserve">(to around $80) </w:t>
      </w:r>
      <w:r w:rsidR="00D03864">
        <w:t>appropriate</w:t>
      </w:r>
      <w:r w:rsidR="002E11AA">
        <w:t xml:space="preserve"> to encourage fishers to purchase a 3 year licence</w:t>
      </w:r>
      <w:r w:rsidR="00B44F0B" w:rsidRPr="0031277A">
        <w:t>.</w:t>
      </w:r>
      <w:r w:rsidR="003B31CE" w:rsidRPr="0031277A">
        <w:t xml:space="preserve"> </w:t>
      </w:r>
      <w:r w:rsidR="00E06C07">
        <w:t xml:space="preserve">More recent consultation with key recreational fishing stakeholders to inform this RIS </w:t>
      </w:r>
      <w:r w:rsidR="002E11AA">
        <w:t>agreed</w:t>
      </w:r>
      <w:r w:rsidR="00E06C07">
        <w:t xml:space="preserve"> </w:t>
      </w:r>
      <w:r w:rsidR="00F94A76" w:rsidRPr="0031277A">
        <w:t xml:space="preserve">that there should be </w:t>
      </w:r>
      <w:r w:rsidR="002E11AA">
        <w:t>at least some</w:t>
      </w:r>
      <w:r w:rsidR="00E3771A">
        <w:t xml:space="preserve"> improvement to the</w:t>
      </w:r>
      <w:r w:rsidR="00F94A76" w:rsidRPr="0031277A">
        <w:t xml:space="preserve"> price incentive to encourage anglers to purchase the 3 year licence</w:t>
      </w:r>
      <w:r w:rsidR="00E06C07">
        <w:t>, as opposed to occasionally buying a 1 year licence.</w:t>
      </w:r>
      <w:r w:rsidR="00F94A76" w:rsidRPr="0031277A">
        <w:t xml:space="preserve"> </w:t>
      </w:r>
    </w:p>
    <w:p w14:paraId="4C91B647" w14:textId="77777777" w:rsidR="00E3771A" w:rsidRDefault="008147BA" w:rsidP="00B44F0B">
      <w:pPr>
        <w:pStyle w:val="Body"/>
      </w:pPr>
      <w:r>
        <w:t xml:space="preserve">Fisheries Victoria considered the </w:t>
      </w:r>
      <w:r w:rsidR="0005292D">
        <w:t xml:space="preserve">implications of the </w:t>
      </w:r>
      <w:r w:rsidR="00AF32BA">
        <w:t>effective discounts of a 3 year licence compared to buying three successive 1 year licences. Currently, a 3 year licence</w:t>
      </w:r>
      <w:r w:rsidR="0004045E">
        <w:t xml:space="preserve"> provides a discount of around 90 per cent from the cost of three 1 year licences. To maintain this rate of discount, a 3 year price of $95 would be needed.</w:t>
      </w:r>
      <w:r w:rsidR="00E7764E">
        <w:t xml:space="preserve"> </w:t>
      </w:r>
      <w:r w:rsidR="00C33238">
        <w:t>Without knowledge of how a reduction in the discount</w:t>
      </w:r>
      <w:r w:rsidR="004A671B">
        <w:t xml:space="preserve"> would affect licence choice, and with the government’s policy to support </w:t>
      </w:r>
      <w:r w:rsidR="00C113C3">
        <w:t>more people fishing, more often</w:t>
      </w:r>
      <w:r w:rsidR="004A671B">
        <w:t>, a 3 year price of $95 was considered appropriate.</w:t>
      </w:r>
    </w:p>
    <w:p w14:paraId="0D0AB111" w14:textId="77777777" w:rsidR="00A208EF" w:rsidRDefault="00A208EF" w:rsidP="00DA7C65">
      <w:pPr>
        <w:pStyle w:val="Body"/>
      </w:pPr>
      <w:r>
        <w:t>The Group licence has historically been set at the same price as the 1 year licence. There is no proposal to change this basis for setting the Group licence fee.</w:t>
      </w:r>
    </w:p>
    <w:p w14:paraId="6E378289" w14:textId="77777777" w:rsidR="0082164C" w:rsidRDefault="0082164C" w:rsidP="00DA7C65">
      <w:pPr>
        <w:pStyle w:val="Body"/>
      </w:pPr>
      <w:r>
        <w:t xml:space="preserve">While these increases are significant, it is noted that the current fees have not changed since 2008. Had these fees </w:t>
      </w:r>
      <w:r w:rsidR="00F85564">
        <w:t xml:space="preserve">been expressed in fee units and therefore </w:t>
      </w:r>
      <w:r>
        <w:t xml:space="preserve">increased in line with </w:t>
      </w:r>
      <w:r w:rsidR="009C09C0">
        <w:t>inflation over this period, the fees would currently b</w:t>
      </w:r>
      <w:r w:rsidR="00F35997">
        <w:t>e</w:t>
      </w:r>
      <w:r w:rsidR="009C09C0">
        <w:t xml:space="preserve"> $79 for a 3 year licence, $29 for a 1 year licence, $14 for a 28 day licence and $7 for a 2 day licence; </w:t>
      </w:r>
      <w:r w:rsidR="00F85564">
        <w:t>with a further automatic</w:t>
      </w:r>
      <w:r w:rsidR="009C09C0">
        <w:t xml:space="preserve"> increase in 2016/17. Therefore, the proposed increases are </w:t>
      </w:r>
      <w:r w:rsidR="0035118E">
        <w:t>much smaller</w:t>
      </w:r>
      <w:r w:rsidR="009C09C0">
        <w:t xml:space="preserve"> in real terms since they were last set.</w:t>
      </w:r>
    </w:p>
    <w:p w14:paraId="6297A5CC" w14:textId="77777777" w:rsidR="00A208EF" w:rsidRDefault="00230681" w:rsidP="00DA7C65">
      <w:pPr>
        <w:pStyle w:val="Body"/>
      </w:pPr>
      <w:r>
        <w:t>All other things being equal, an increase in the price of recreational fishing licences would lead to a decrease in demand for them. While data limitations prevent an accurate estimate of this demand response,</w:t>
      </w:r>
      <w:r w:rsidDel="00230681">
        <w:t xml:space="preserve"> </w:t>
      </w:r>
      <w:r w:rsidR="00A208EF">
        <w:t>Fisheries Victoria believes that the proposed increases to the RFL fees will not have a material overall impact on the number of RFLs purchased each year. This is because:</w:t>
      </w:r>
    </w:p>
    <w:p w14:paraId="6EC06FD4" w14:textId="77777777" w:rsidR="00A208EF" w:rsidRDefault="00A208EF" w:rsidP="00F97BD4">
      <w:pPr>
        <w:pStyle w:val="Bullet"/>
      </w:pPr>
      <w:r>
        <w:t>RFL prices are very small compared to other costs associated with recreational fishing, and are therefore unlikely to be a material factor in the decision to fish</w:t>
      </w:r>
    </w:p>
    <w:p w14:paraId="678F075B" w14:textId="77777777" w:rsidR="00A208EF" w:rsidRDefault="00A208EF" w:rsidP="00F97BD4">
      <w:pPr>
        <w:pStyle w:val="Bullet"/>
      </w:pPr>
      <w:r>
        <w:t>To the extent that the higher fee may be a slight disincentive to fish, the additional revenue generated will be used through the Trust Account to improve the opportunities</w:t>
      </w:r>
      <w:r w:rsidR="00743E5D">
        <w:t xml:space="preserve"> and incentives</w:t>
      </w:r>
      <w:r>
        <w:t xml:space="preserve"> to participate in recreational fishing around the state</w:t>
      </w:r>
    </w:p>
    <w:p w14:paraId="751A2B43" w14:textId="77777777" w:rsidR="00A208EF" w:rsidRDefault="00230681" w:rsidP="00F97BD4">
      <w:pPr>
        <w:pStyle w:val="Bullet"/>
      </w:pPr>
      <w:r>
        <w:t>To the extent that the price increases may lead to a tendency for a small proportion of fishers to fish illegally (i.e., continue to fish without purchasing a licence), Fisheries Victoria believes that such behaviour is likely to be minor, because RFL prices are a very small component of overall fishing costs.</w:t>
      </w:r>
    </w:p>
    <w:p w14:paraId="07FA9730" w14:textId="77777777" w:rsidR="00230681" w:rsidRDefault="009C09C0" w:rsidP="00230681">
      <w:pPr>
        <w:pStyle w:val="Body"/>
      </w:pPr>
      <w:r>
        <w:t>In addition, it is proposed that for the 3 year and 1 year RFL</w:t>
      </w:r>
      <w:r w:rsidR="00230681">
        <w:t>s</w:t>
      </w:r>
      <w:r>
        <w:t xml:space="preserve">, a discount </w:t>
      </w:r>
      <w:r w:rsidR="00230681">
        <w:t xml:space="preserve">of around 5 per cent </w:t>
      </w:r>
      <w:r>
        <w:t xml:space="preserve">will be provided for purchases online. </w:t>
      </w:r>
      <w:r w:rsidR="00230681" w:rsidRPr="0031277A">
        <w:t>The discount i</w:t>
      </w:r>
      <w:r w:rsidR="00230681">
        <w:t>s not offered for the two lower-</w:t>
      </w:r>
      <w:r w:rsidR="00230681" w:rsidRPr="0031277A">
        <w:t>priced RFL options</w:t>
      </w:r>
      <w:r w:rsidR="00230681">
        <w:t xml:space="preserve">. </w:t>
      </w:r>
      <w:r w:rsidR="00230681" w:rsidRPr="0031277A">
        <w:t xml:space="preserve"> </w:t>
      </w:r>
      <w:r w:rsidR="00230681">
        <w:t xml:space="preserve">There may be merit in considering this, as from Fisheries Victoria’s perspective, savings associated with online purchases should be broadly the same for all licence types, and providing a lower price for 1 and 3 year licences bought online further affects the relative price changes impacting on different licence types. </w:t>
      </w:r>
    </w:p>
    <w:p w14:paraId="3386CB01" w14:textId="77777777" w:rsidR="00230681" w:rsidRDefault="00230681" w:rsidP="00230681">
      <w:pPr>
        <w:pStyle w:val="Body"/>
      </w:pPr>
      <w:r>
        <w:t xml:space="preserve">Fisheries Victoria considers there is a sound basis for creating an incentive towards anglers buying longer-term licences, rather than occasionally buying shorter-term ones. Longer term licences provide a known revenue stream into the future and therefore enable better strategic management of total RFL revenue and expenditure than the short term licences. It is also noted that the key objective of </w:t>
      </w:r>
      <w:r>
        <w:rPr>
          <w:i/>
        </w:rPr>
        <w:t>Target One Million</w:t>
      </w:r>
      <w:r>
        <w:t xml:space="preserve"> is to get ‘more people fishing, more often’. Fisheries Victoria considers that the proposed pricing structure across the different licence durations will assist in </w:t>
      </w:r>
      <w:r w:rsidRPr="006F14AA">
        <w:t xml:space="preserve">encouraging </w:t>
      </w:r>
      <w:r>
        <w:t xml:space="preserve">higher participation rates among licensed fishers, as the per day cost of the longer term licences is considerably less than the shorter licences. </w:t>
      </w:r>
    </w:p>
    <w:p w14:paraId="5526B28A" w14:textId="77777777" w:rsidR="003B31CE" w:rsidRPr="003B31CE" w:rsidRDefault="00743E5D" w:rsidP="003B31CE">
      <w:pPr>
        <w:pStyle w:val="Body"/>
      </w:pPr>
      <w:r>
        <w:t xml:space="preserve">To the extent that administrative savings may exceed the potential forgone revenue of the 5 per cent discount, these </w:t>
      </w:r>
      <w:r w:rsidR="003B31CE" w:rsidRPr="003B31CE">
        <w:t>would be passed back to rec</w:t>
      </w:r>
      <w:r w:rsidR="003B31CE">
        <w:t>reational</w:t>
      </w:r>
      <w:r w:rsidR="003B31CE" w:rsidRPr="003B31CE">
        <w:t xml:space="preserve"> fishers as additional funding available through the T</w:t>
      </w:r>
      <w:r w:rsidR="003B31CE">
        <w:t>rust Account</w:t>
      </w:r>
      <w:r w:rsidR="003B31CE" w:rsidRPr="003B31CE">
        <w:t xml:space="preserve">. </w:t>
      </w:r>
    </w:p>
    <w:p w14:paraId="489C356B" w14:textId="77777777" w:rsidR="00B91EDB" w:rsidRDefault="00B91EDB" w:rsidP="00B91EDB">
      <w:pPr>
        <w:pStyle w:val="TableTitle"/>
      </w:pPr>
      <w:r>
        <w:t>Figure 3</w:t>
      </w:r>
      <w:r w:rsidR="00F35997">
        <w:t>F</w:t>
      </w:r>
      <w:r>
        <w:t xml:space="preserve"> – proposed RFL fees for online purchases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2051"/>
        <w:gridCol w:w="2409"/>
        <w:gridCol w:w="2168"/>
        <w:gridCol w:w="1888"/>
      </w:tblGrid>
      <w:tr w:rsidR="00B91EDB" w:rsidRPr="00BD7DCC" w14:paraId="7D471A38" w14:textId="77777777" w:rsidTr="00FF2B6C">
        <w:tc>
          <w:tcPr>
            <w:tcW w:w="2051" w:type="dxa"/>
            <w:shd w:val="clear" w:color="auto" w:fill="1F497D" w:themeFill="text2"/>
          </w:tcPr>
          <w:p w14:paraId="2BBA292E" w14:textId="77777777" w:rsidR="00B91EDB" w:rsidRPr="00BD7DCC" w:rsidRDefault="00B91EDB" w:rsidP="00FF2B6C">
            <w:pPr>
              <w:pStyle w:val="Body"/>
              <w:rPr>
                <w:b/>
                <w:color w:val="FFFFFF" w:themeColor="background1"/>
              </w:rPr>
            </w:pPr>
            <w:r w:rsidRPr="00BD7DCC">
              <w:rPr>
                <w:b/>
                <w:color w:val="FFFFFF" w:themeColor="background1"/>
              </w:rPr>
              <w:t>RFL type</w:t>
            </w:r>
          </w:p>
        </w:tc>
        <w:tc>
          <w:tcPr>
            <w:tcW w:w="2409" w:type="dxa"/>
            <w:shd w:val="clear" w:color="auto" w:fill="1F497D" w:themeFill="text2"/>
          </w:tcPr>
          <w:p w14:paraId="1FCAA55A" w14:textId="77777777" w:rsidR="00B91EDB" w:rsidRPr="00BD7DCC" w:rsidRDefault="00B91EDB" w:rsidP="00FF2B6C">
            <w:pPr>
              <w:pStyle w:val="Body"/>
              <w:jc w:val="center"/>
              <w:rPr>
                <w:b/>
                <w:color w:val="FFFFFF" w:themeColor="background1"/>
              </w:rPr>
            </w:pPr>
            <w:r>
              <w:rPr>
                <w:b/>
                <w:color w:val="FFFFFF" w:themeColor="background1"/>
              </w:rPr>
              <w:t>Current fee</w:t>
            </w:r>
          </w:p>
        </w:tc>
        <w:tc>
          <w:tcPr>
            <w:tcW w:w="2168" w:type="dxa"/>
            <w:shd w:val="clear" w:color="auto" w:fill="1F497D" w:themeFill="text2"/>
          </w:tcPr>
          <w:p w14:paraId="3C3626CB" w14:textId="77777777" w:rsidR="00B91EDB" w:rsidRDefault="00B91EDB" w:rsidP="00FF2B6C">
            <w:pPr>
              <w:pStyle w:val="Body"/>
              <w:jc w:val="center"/>
              <w:rPr>
                <w:b/>
                <w:color w:val="FFFFFF" w:themeColor="background1"/>
              </w:rPr>
            </w:pPr>
            <w:r>
              <w:rPr>
                <w:b/>
                <w:color w:val="FFFFFF" w:themeColor="background1"/>
              </w:rPr>
              <w:t>Proposed new fee</w:t>
            </w:r>
            <w:r>
              <w:rPr>
                <w:b/>
                <w:color w:val="FFFFFF" w:themeColor="background1"/>
              </w:rPr>
              <w:br/>
              <w:t>(online only)</w:t>
            </w:r>
          </w:p>
        </w:tc>
        <w:tc>
          <w:tcPr>
            <w:tcW w:w="1888" w:type="dxa"/>
            <w:shd w:val="clear" w:color="auto" w:fill="1F497D" w:themeFill="text2"/>
          </w:tcPr>
          <w:p w14:paraId="047AFCF6" w14:textId="77777777" w:rsidR="00B91EDB" w:rsidRDefault="00B91EDB" w:rsidP="00FF2B6C">
            <w:pPr>
              <w:pStyle w:val="Body"/>
              <w:jc w:val="center"/>
              <w:rPr>
                <w:b/>
                <w:color w:val="FFFFFF" w:themeColor="background1"/>
              </w:rPr>
            </w:pPr>
            <w:r>
              <w:rPr>
                <w:b/>
                <w:color w:val="FFFFFF" w:themeColor="background1"/>
              </w:rPr>
              <w:t>% change</w:t>
            </w:r>
          </w:p>
        </w:tc>
      </w:tr>
      <w:tr w:rsidR="00B91EDB" w14:paraId="7E36EB4D" w14:textId="77777777" w:rsidTr="00FF2B6C">
        <w:tc>
          <w:tcPr>
            <w:tcW w:w="2051" w:type="dxa"/>
          </w:tcPr>
          <w:p w14:paraId="2BC5C0AB" w14:textId="77777777" w:rsidR="00B91EDB" w:rsidRDefault="00B91EDB" w:rsidP="00FF2B6C">
            <w:pPr>
              <w:pStyle w:val="Body"/>
            </w:pPr>
            <w:r>
              <w:t>3 year licence</w:t>
            </w:r>
          </w:p>
        </w:tc>
        <w:tc>
          <w:tcPr>
            <w:tcW w:w="2409" w:type="dxa"/>
          </w:tcPr>
          <w:p w14:paraId="5C7D305E" w14:textId="77777777" w:rsidR="00B91EDB" w:rsidRDefault="00B91EDB" w:rsidP="00FF2B6C">
            <w:pPr>
              <w:pStyle w:val="Body"/>
              <w:jc w:val="center"/>
            </w:pPr>
            <w:r>
              <w:t>$66</w:t>
            </w:r>
          </w:p>
        </w:tc>
        <w:tc>
          <w:tcPr>
            <w:tcW w:w="2168" w:type="dxa"/>
          </w:tcPr>
          <w:p w14:paraId="49B57498" w14:textId="77777777" w:rsidR="00B91EDB" w:rsidRDefault="00B91EDB" w:rsidP="00760FC1">
            <w:pPr>
              <w:pStyle w:val="Body"/>
              <w:jc w:val="center"/>
            </w:pPr>
            <w:r>
              <w:t>$</w:t>
            </w:r>
            <w:r w:rsidR="00760FC1">
              <w:t>90</w:t>
            </w:r>
          </w:p>
          <w:p w14:paraId="5146BB04" w14:textId="77777777" w:rsidR="00BC3E81" w:rsidRDefault="00612074" w:rsidP="00760FC1">
            <w:pPr>
              <w:pStyle w:val="Body"/>
              <w:jc w:val="center"/>
            </w:pPr>
            <w:r>
              <w:t>(6.44 fee units)</w:t>
            </w:r>
          </w:p>
        </w:tc>
        <w:tc>
          <w:tcPr>
            <w:tcW w:w="1888" w:type="dxa"/>
          </w:tcPr>
          <w:p w14:paraId="21817374" w14:textId="77777777" w:rsidR="00B91EDB" w:rsidRDefault="00760FC1" w:rsidP="00FF2B6C">
            <w:pPr>
              <w:pStyle w:val="Body"/>
              <w:jc w:val="center"/>
            </w:pPr>
            <w:r>
              <w:t>36</w:t>
            </w:r>
          </w:p>
        </w:tc>
      </w:tr>
      <w:tr w:rsidR="00B91EDB" w14:paraId="61ACA08E" w14:textId="77777777" w:rsidTr="00FF2B6C">
        <w:tc>
          <w:tcPr>
            <w:tcW w:w="2051" w:type="dxa"/>
          </w:tcPr>
          <w:p w14:paraId="1BEDD1BA" w14:textId="77777777" w:rsidR="00B91EDB" w:rsidRDefault="00B91EDB" w:rsidP="00FF2B6C">
            <w:pPr>
              <w:pStyle w:val="Body"/>
            </w:pPr>
            <w:r>
              <w:t>1 year licence</w:t>
            </w:r>
          </w:p>
        </w:tc>
        <w:tc>
          <w:tcPr>
            <w:tcW w:w="2409" w:type="dxa"/>
          </w:tcPr>
          <w:p w14:paraId="0D937DA7" w14:textId="77777777" w:rsidR="00B91EDB" w:rsidRDefault="00B91EDB" w:rsidP="00FF2B6C">
            <w:pPr>
              <w:pStyle w:val="Body"/>
              <w:jc w:val="center"/>
            </w:pPr>
            <w:r>
              <w:t>$24.50</w:t>
            </w:r>
          </w:p>
        </w:tc>
        <w:tc>
          <w:tcPr>
            <w:tcW w:w="2168" w:type="dxa"/>
          </w:tcPr>
          <w:p w14:paraId="6E48222B" w14:textId="77777777" w:rsidR="00B91EDB" w:rsidRDefault="00B91EDB" w:rsidP="00FF2B6C">
            <w:pPr>
              <w:pStyle w:val="Body"/>
              <w:jc w:val="center"/>
            </w:pPr>
            <w:r>
              <w:t>$33</w:t>
            </w:r>
          </w:p>
          <w:p w14:paraId="6053B5CB" w14:textId="77777777" w:rsidR="00612074" w:rsidRDefault="00612074" w:rsidP="00FF2B6C">
            <w:pPr>
              <w:pStyle w:val="Body"/>
              <w:jc w:val="center"/>
            </w:pPr>
            <w:r>
              <w:t>(2.36 fee units)</w:t>
            </w:r>
          </w:p>
        </w:tc>
        <w:tc>
          <w:tcPr>
            <w:tcW w:w="1888" w:type="dxa"/>
          </w:tcPr>
          <w:p w14:paraId="0672156D" w14:textId="77777777" w:rsidR="00B91EDB" w:rsidRDefault="00B91EDB" w:rsidP="00FF2B6C">
            <w:pPr>
              <w:pStyle w:val="Body"/>
              <w:jc w:val="center"/>
            </w:pPr>
            <w:r>
              <w:t>35</w:t>
            </w:r>
          </w:p>
        </w:tc>
      </w:tr>
    </w:tbl>
    <w:p w14:paraId="36985D00" w14:textId="77777777" w:rsidR="00B91EDB" w:rsidRDefault="00B91EDB" w:rsidP="00DA7C65">
      <w:pPr>
        <w:pStyle w:val="Body"/>
      </w:pPr>
    </w:p>
    <w:p w14:paraId="0E3494AE" w14:textId="77777777" w:rsidR="00230681" w:rsidRDefault="00230681" w:rsidP="00DA7C65">
      <w:pPr>
        <w:pStyle w:val="Body"/>
      </w:pPr>
      <w:r>
        <w:t>In addition to creating an incentive towards anglers buying longer-term licences, the discount recognises both the lower administrative costs of issuing licences purchased online (a small impact), but more importantly online purchases allow Fisheries Victoria to more easily and more efficiently collect additional information about recreational fishing.</w:t>
      </w:r>
    </w:p>
    <w:p w14:paraId="12389C39" w14:textId="77777777" w:rsidR="000F2B6D" w:rsidRDefault="00FC4848" w:rsidP="00DA7C65">
      <w:pPr>
        <w:pStyle w:val="Body"/>
      </w:pPr>
      <w:r>
        <w:t xml:space="preserve">It is also noted that </w:t>
      </w:r>
      <w:r w:rsidR="004A7ADF" w:rsidRPr="009376E8">
        <w:t xml:space="preserve">due to the lower price of the shorter-term licences, a discount </w:t>
      </w:r>
      <w:r w:rsidR="004A7ADF">
        <w:t xml:space="preserve">equivalent to around 5 per cent </w:t>
      </w:r>
      <w:r w:rsidR="004A7ADF" w:rsidRPr="009376E8">
        <w:t>would represent an immaterial amount in absolute dollar terms</w:t>
      </w:r>
      <w:r>
        <w:t>.</w:t>
      </w:r>
      <w:r w:rsidR="003B31CE" w:rsidRPr="0031277A">
        <w:t xml:space="preserve"> </w:t>
      </w:r>
      <w:r w:rsidR="008379F0">
        <w:t xml:space="preserve">Feedback is welcomed on </w:t>
      </w:r>
      <w:r w:rsidR="00B20798">
        <w:t>how the discount for online purchases has been proposed, and in particular whether (and how) a discount should apply to all licence types.</w:t>
      </w:r>
    </w:p>
    <w:p w14:paraId="20CDF559" w14:textId="77777777" w:rsidR="00A208EF" w:rsidRDefault="00A208EF" w:rsidP="00DA7C65">
      <w:pPr>
        <w:pStyle w:val="Body"/>
      </w:pPr>
      <w:r>
        <w:t xml:space="preserve">The volume of RFLs bought online has increased significantly since 2008 (from around 12 per cent to over 45 per cent). By offering a discount for online purchases, there is likely to be </w:t>
      </w:r>
      <w:r w:rsidR="00FD094C">
        <w:t xml:space="preserve">additional shifts from </w:t>
      </w:r>
      <w:r w:rsidR="0067120A">
        <w:t xml:space="preserve">over the counter </w:t>
      </w:r>
      <w:r w:rsidR="00FD094C">
        <w:t>purchases to online purchases. Fisheries Victoria estimates that this will result in up to 60 per cent of 3 year and 1 year licences being purchased online by 2017/18</w:t>
      </w:r>
      <w:r w:rsidR="00F85564">
        <w:t xml:space="preserve"> (based on extrapolation of past trend)</w:t>
      </w:r>
      <w:r w:rsidR="00FD094C">
        <w:t xml:space="preserve">. </w:t>
      </w:r>
    </w:p>
    <w:p w14:paraId="184A2B7B" w14:textId="77777777" w:rsidR="00FD094C" w:rsidRDefault="00FD094C" w:rsidP="00DA7C65">
      <w:pPr>
        <w:pStyle w:val="Body"/>
      </w:pPr>
      <w:r>
        <w:t>Overall, the proposed new fees are expected to generate total RFL sales revenue as follows:</w:t>
      </w:r>
    </w:p>
    <w:p w14:paraId="7072C07B" w14:textId="77777777" w:rsidR="00C06EA0" w:rsidRDefault="00C06EA0" w:rsidP="00C06EA0">
      <w:pPr>
        <w:pStyle w:val="TableTitle"/>
      </w:pPr>
      <w:r>
        <w:t>Figure 3</w:t>
      </w:r>
      <w:r w:rsidR="00F35997">
        <w:t>G</w:t>
      </w:r>
      <w:r>
        <w:t xml:space="preserve"> – additional revenue under the proposed fee increases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4503"/>
        <w:gridCol w:w="2126"/>
        <w:gridCol w:w="1843"/>
      </w:tblGrid>
      <w:tr w:rsidR="00FD094C" w:rsidRPr="00BD7DCC" w14:paraId="5DFD379C" w14:textId="77777777" w:rsidTr="00C14424">
        <w:tc>
          <w:tcPr>
            <w:tcW w:w="4503" w:type="dxa"/>
            <w:shd w:val="clear" w:color="auto" w:fill="1F497D" w:themeFill="text2"/>
          </w:tcPr>
          <w:p w14:paraId="7D4F34BA" w14:textId="77777777" w:rsidR="00FD094C" w:rsidRPr="00BD7DCC" w:rsidRDefault="00FD094C" w:rsidP="00FF2B6C">
            <w:pPr>
              <w:pStyle w:val="Body"/>
              <w:rPr>
                <w:b/>
                <w:color w:val="FFFFFF" w:themeColor="background1"/>
              </w:rPr>
            </w:pPr>
          </w:p>
        </w:tc>
        <w:tc>
          <w:tcPr>
            <w:tcW w:w="2126" w:type="dxa"/>
            <w:shd w:val="clear" w:color="auto" w:fill="1F497D" w:themeFill="text2"/>
          </w:tcPr>
          <w:p w14:paraId="62A6C21F" w14:textId="77777777" w:rsidR="00FD094C" w:rsidRDefault="00FD094C" w:rsidP="00FF2B6C">
            <w:pPr>
              <w:pStyle w:val="Body"/>
              <w:jc w:val="center"/>
              <w:rPr>
                <w:b/>
                <w:color w:val="FFFFFF" w:themeColor="background1"/>
              </w:rPr>
            </w:pPr>
            <w:r>
              <w:rPr>
                <w:b/>
                <w:color w:val="FFFFFF" w:themeColor="background1"/>
              </w:rPr>
              <w:t>2016/17</w:t>
            </w:r>
          </w:p>
        </w:tc>
        <w:tc>
          <w:tcPr>
            <w:tcW w:w="1843" w:type="dxa"/>
            <w:shd w:val="clear" w:color="auto" w:fill="1F497D" w:themeFill="text2"/>
          </w:tcPr>
          <w:p w14:paraId="32721786" w14:textId="77777777" w:rsidR="00FD094C" w:rsidRDefault="00FD094C" w:rsidP="00FF2B6C">
            <w:pPr>
              <w:pStyle w:val="Body"/>
              <w:jc w:val="center"/>
              <w:rPr>
                <w:b/>
                <w:color w:val="FFFFFF" w:themeColor="background1"/>
              </w:rPr>
            </w:pPr>
            <w:r>
              <w:rPr>
                <w:b/>
                <w:color w:val="FFFFFF" w:themeColor="background1"/>
              </w:rPr>
              <w:t>2017/18</w:t>
            </w:r>
            <w:r w:rsidR="005A4F17">
              <w:rPr>
                <w:b/>
                <w:color w:val="FFFFFF" w:themeColor="background1"/>
              </w:rPr>
              <w:t>*</w:t>
            </w:r>
          </w:p>
        </w:tc>
      </w:tr>
      <w:tr w:rsidR="00DA18A9" w14:paraId="7FA8C616" w14:textId="77777777" w:rsidTr="00C14424">
        <w:tc>
          <w:tcPr>
            <w:tcW w:w="4503" w:type="dxa"/>
          </w:tcPr>
          <w:p w14:paraId="564B43E5" w14:textId="77777777" w:rsidR="00DA18A9" w:rsidRDefault="00DA18A9" w:rsidP="00FF2B6C">
            <w:pPr>
              <w:pStyle w:val="Body"/>
            </w:pPr>
            <w:r>
              <w:t>Total revenue</w:t>
            </w:r>
          </w:p>
        </w:tc>
        <w:tc>
          <w:tcPr>
            <w:tcW w:w="2126" w:type="dxa"/>
            <w:vAlign w:val="bottom"/>
          </w:tcPr>
          <w:p w14:paraId="20789B6F" w14:textId="77777777" w:rsidR="00DA18A9" w:rsidRPr="00DA18A9" w:rsidRDefault="00DA18A9" w:rsidP="001E7532">
            <w:pPr>
              <w:pStyle w:val="Body"/>
              <w:ind w:right="317"/>
              <w:jc w:val="right"/>
            </w:pPr>
            <w:r w:rsidRPr="00FF2C43">
              <w:rPr>
                <w:color w:val="000000"/>
              </w:rPr>
              <w:t xml:space="preserve"> $10,366,330 </w:t>
            </w:r>
          </w:p>
        </w:tc>
        <w:tc>
          <w:tcPr>
            <w:tcW w:w="1843" w:type="dxa"/>
            <w:vAlign w:val="bottom"/>
          </w:tcPr>
          <w:p w14:paraId="4DEFB2BC" w14:textId="77777777" w:rsidR="00DA18A9" w:rsidRPr="00DA18A9" w:rsidRDefault="00DA18A9" w:rsidP="001E7532">
            <w:pPr>
              <w:pStyle w:val="Body"/>
              <w:ind w:right="317"/>
              <w:jc w:val="right"/>
            </w:pPr>
            <w:r w:rsidRPr="00FF2C43">
              <w:rPr>
                <w:color w:val="000000"/>
              </w:rPr>
              <w:t xml:space="preserve"> $11,000,554 </w:t>
            </w:r>
          </w:p>
        </w:tc>
      </w:tr>
      <w:tr w:rsidR="00AD6749" w14:paraId="1A27196E" w14:textId="77777777" w:rsidTr="00C14424">
        <w:tc>
          <w:tcPr>
            <w:tcW w:w="4503" w:type="dxa"/>
          </w:tcPr>
          <w:p w14:paraId="08C43A7F" w14:textId="77777777" w:rsidR="00AD6749" w:rsidRDefault="00AD6749" w:rsidP="00FF2B6C">
            <w:pPr>
              <w:pStyle w:val="Body"/>
            </w:pPr>
            <w:r>
              <w:t>Additional revenue over base case</w:t>
            </w:r>
          </w:p>
        </w:tc>
        <w:tc>
          <w:tcPr>
            <w:tcW w:w="2126" w:type="dxa"/>
            <w:vAlign w:val="bottom"/>
          </w:tcPr>
          <w:p w14:paraId="6B04E164" w14:textId="77777777" w:rsidR="00AD6749" w:rsidRPr="00DA18A9" w:rsidRDefault="00AD6749" w:rsidP="001E7532">
            <w:pPr>
              <w:pStyle w:val="Body"/>
              <w:ind w:right="317"/>
              <w:jc w:val="right"/>
            </w:pPr>
            <w:r w:rsidRPr="00FF2C43">
              <w:rPr>
                <w:color w:val="000000"/>
              </w:rPr>
              <w:t xml:space="preserve"> $3,325,830 </w:t>
            </w:r>
          </w:p>
        </w:tc>
        <w:tc>
          <w:tcPr>
            <w:tcW w:w="1843" w:type="dxa"/>
            <w:vAlign w:val="bottom"/>
          </w:tcPr>
          <w:p w14:paraId="3547AF91" w14:textId="77777777" w:rsidR="00AD6749" w:rsidRPr="00DA18A9" w:rsidRDefault="00AD6749" w:rsidP="001E7532">
            <w:pPr>
              <w:pStyle w:val="Body"/>
              <w:ind w:right="317"/>
              <w:jc w:val="right"/>
            </w:pPr>
            <w:r w:rsidRPr="00FF2C43">
              <w:rPr>
                <w:color w:val="000000"/>
              </w:rPr>
              <w:t xml:space="preserve"> $3,789,354 </w:t>
            </w:r>
          </w:p>
        </w:tc>
      </w:tr>
      <w:tr w:rsidR="00DA18A9" w14:paraId="6F938417" w14:textId="77777777" w:rsidTr="00C14424">
        <w:tc>
          <w:tcPr>
            <w:tcW w:w="4503" w:type="dxa"/>
          </w:tcPr>
          <w:p w14:paraId="69075CF0" w14:textId="77777777" w:rsidR="00DA18A9" w:rsidRDefault="00DA18A9" w:rsidP="00FF2B6C">
            <w:pPr>
              <w:pStyle w:val="Body"/>
            </w:pPr>
            <w:r>
              <w:t>Percentage revenue increase over base case</w:t>
            </w:r>
          </w:p>
        </w:tc>
        <w:tc>
          <w:tcPr>
            <w:tcW w:w="2126" w:type="dxa"/>
            <w:vAlign w:val="bottom"/>
          </w:tcPr>
          <w:p w14:paraId="5A854412" w14:textId="77777777" w:rsidR="00DA18A9" w:rsidRPr="00FF2C43" w:rsidRDefault="00DA18A9" w:rsidP="00FF2B6C">
            <w:pPr>
              <w:pStyle w:val="Body"/>
              <w:jc w:val="center"/>
              <w:rPr>
                <w:color w:val="000000"/>
              </w:rPr>
            </w:pPr>
            <w:r w:rsidRPr="00FF2C43">
              <w:rPr>
                <w:color w:val="000000"/>
              </w:rPr>
              <w:t>47%</w:t>
            </w:r>
          </w:p>
        </w:tc>
        <w:tc>
          <w:tcPr>
            <w:tcW w:w="1843" w:type="dxa"/>
            <w:vAlign w:val="bottom"/>
          </w:tcPr>
          <w:p w14:paraId="45913B0F" w14:textId="77777777" w:rsidR="00DA18A9" w:rsidRPr="00FF2C43" w:rsidRDefault="00DA18A9" w:rsidP="00FF2B6C">
            <w:pPr>
              <w:pStyle w:val="Body"/>
              <w:jc w:val="center"/>
              <w:rPr>
                <w:color w:val="000000"/>
              </w:rPr>
            </w:pPr>
            <w:r w:rsidRPr="00FF2C43">
              <w:rPr>
                <w:color w:val="000000"/>
              </w:rPr>
              <w:t>53%</w:t>
            </w:r>
          </w:p>
        </w:tc>
      </w:tr>
    </w:tbl>
    <w:p w14:paraId="093F57CD" w14:textId="77777777" w:rsidR="00FD094C" w:rsidRPr="006D4939" w:rsidRDefault="005A4F17" w:rsidP="00F97BD4">
      <w:pPr>
        <w:pStyle w:val="Bullet"/>
        <w:numPr>
          <w:ilvl w:val="0"/>
          <w:numId w:val="0"/>
        </w:numPr>
        <w:rPr>
          <w:sz w:val="16"/>
        </w:rPr>
      </w:pPr>
      <w:r w:rsidRPr="006D4939">
        <w:rPr>
          <w:sz w:val="16"/>
        </w:rPr>
        <w:t xml:space="preserve">* Note that the 2017/18 figures include a further </w:t>
      </w:r>
      <w:r w:rsidR="002E6E98" w:rsidRPr="006D4939">
        <w:rPr>
          <w:sz w:val="16"/>
        </w:rPr>
        <w:t xml:space="preserve">(assumed) </w:t>
      </w:r>
      <w:r w:rsidRPr="006D4939">
        <w:rPr>
          <w:sz w:val="16"/>
        </w:rPr>
        <w:t>2.</w:t>
      </w:r>
      <w:r w:rsidR="0084555E" w:rsidRPr="006D4939">
        <w:rPr>
          <w:sz w:val="16"/>
        </w:rPr>
        <w:t>75</w:t>
      </w:r>
      <w:r w:rsidRPr="006D4939">
        <w:rPr>
          <w:sz w:val="16"/>
        </w:rPr>
        <w:t xml:space="preserve">% increase </w:t>
      </w:r>
      <w:r w:rsidR="00531E56" w:rsidRPr="006D4939">
        <w:rPr>
          <w:sz w:val="16"/>
        </w:rPr>
        <w:t xml:space="preserve">(which is the current annual rate set by the Treasurer) </w:t>
      </w:r>
      <w:r w:rsidRPr="006D4939">
        <w:rPr>
          <w:sz w:val="16"/>
        </w:rPr>
        <w:t xml:space="preserve">to </w:t>
      </w:r>
      <w:r w:rsidR="00531E56" w:rsidRPr="006D4939">
        <w:rPr>
          <w:sz w:val="16"/>
        </w:rPr>
        <w:t>incorporate the</w:t>
      </w:r>
      <w:r w:rsidRPr="006D4939">
        <w:rPr>
          <w:sz w:val="16"/>
        </w:rPr>
        <w:t xml:space="preserve"> indexation of fee units.</w:t>
      </w:r>
      <w:r w:rsidR="002E6E98" w:rsidRPr="006D4939">
        <w:rPr>
          <w:sz w:val="16"/>
        </w:rPr>
        <w:t xml:space="preserve"> The Treasurer’s next determination of fee units is scheduled for April 2016.</w:t>
      </w:r>
    </w:p>
    <w:p w14:paraId="5E18073F" w14:textId="77777777" w:rsidR="00D83192" w:rsidRDefault="00264D29" w:rsidP="00DA7C65">
      <w:pPr>
        <w:pStyle w:val="Body"/>
        <w:rPr>
          <w:rFonts w:eastAsia="Calibri"/>
        </w:rPr>
      </w:pPr>
      <w:r w:rsidRPr="0008580A">
        <w:rPr>
          <w:rFonts w:eastAsia="Calibri"/>
        </w:rPr>
        <w:t xml:space="preserve">The estimated additional licence revenue is sensitive to the assumptions made, particularly the assumption that there will be no material change in the number of licences issued in response to the </w:t>
      </w:r>
      <w:r>
        <w:rPr>
          <w:rFonts w:eastAsia="Calibri"/>
        </w:rPr>
        <w:t>price</w:t>
      </w:r>
      <w:r w:rsidRPr="0008580A">
        <w:rPr>
          <w:rFonts w:eastAsia="Calibri"/>
        </w:rPr>
        <w:t xml:space="preserve"> increase</w:t>
      </w:r>
      <w:r>
        <w:rPr>
          <w:rFonts w:eastAsia="Calibri"/>
        </w:rPr>
        <w:t xml:space="preserve">, and the </w:t>
      </w:r>
      <w:r w:rsidR="00D83192">
        <w:rPr>
          <w:rFonts w:eastAsia="Calibri"/>
        </w:rPr>
        <w:t xml:space="preserve">increase in the </w:t>
      </w:r>
      <w:r>
        <w:rPr>
          <w:rFonts w:eastAsia="Calibri"/>
        </w:rPr>
        <w:t>proportion of purchases made online</w:t>
      </w:r>
      <w:r w:rsidR="00D83192">
        <w:rPr>
          <w:rFonts w:eastAsia="Calibri"/>
        </w:rPr>
        <w:t xml:space="preserve"> following recent trends</w:t>
      </w:r>
      <w:r w:rsidRPr="0008580A">
        <w:rPr>
          <w:rFonts w:eastAsia="Calibri"/>
        </w:rPr>
        <w:t>.</w:t>
      </w:r>
      <w:r w:rsidR="005331A9">
        <w:rPr>
          <w:rFonts w:eastAsia="Calibri"/>
        </w:rPr>
        <w:t xml:space="preserve"> </w:t>
      </w:r>
      <w:r w:rsidR="00D83192">
        <w:rPr>
          <w:rFonts w:eastAsia="Calibri"/>
        </w:rPr>
        <w:t xml:space="preserve">The Department has also assumed that there is no material change in the types (duration) of licences preferred by fishers. In practice, the fee </w:t>
      </w:r>
      <w:r w:rsidR="00D83192" w:rsidRPr="00D83192">
        <w:rPr>
          <w:rFonts w:eastAsia="Calibri"/>
        </w:rPr>
        <w:t xml:space="preserve">changes might </w:t>
      </w:r>
      <w:r w:rsidR="00D83192">
        <w:rPr>
          <w:rFonts w:eastAsia="Calibri"/>
        </w:rPr>
        <w:t>result in</w:t>
      </w:r>
      <w:r w:rsidR="00D83192" w:rsidRPr="00D83192">
        <w:rPr>
          <w:rFonts w:eastAsia="Calibri"/>
        </w:rPr>
        <w:t xml:space="preserve"> </w:t>
      </w:r>
      <w:r w:rsidR="00D83192">
        <w:rPr>
          <w:rFonts w:eastAsia="Calibri"/>
        </w:rPr>
        <w:t xml:space="preserve">some </w:t>
      </w:r>
      <w:r w:rsidR="00D83192" w:rsidRPr="00D83192">
        <w:rPr>
          <w:rFonts w:eastAsia="Calibri"/>
        </w:rPr>
        <w:t>fishers choosing licences of different durations</w:t>
      </w:r>
      <w:r w:rsidR="00D83192">
        <w:rPr>
          <w:rFonts w:eastAsia="Calibri"/>
        </w:rPr>
        <w:t>, which may affect the</w:t>
      </w:r>
      <w:r w:rsidR="00D83192" w:rsidRPr="00D83192">
        <w:rPr>
          <w:rFonts w:eastAsia="Calibri"/>
        </w:rPr>
        <w:t xml:space="preserve"> demand for licences</w:t>
      </w:r>
      <w:r w:rsidR="00D83192">
        <w:rPr>
          <w:rFonts w:eastAsia="Calibri"/>
        </w:rPr>
        <w:t xml:space="preserve"> and </w:t>
      </w:r>
      <w:r w:rsidR="00D83192" w:rsidRPr="00D83192">
        <w:rPr>
          <w:rFonts w:eastAsia="Calibri"/>
        </w:rPr>
        <w:t>use of fishing infrastructure – for example, fewer people purchasing a licence.</w:t>
      </w:r>
      <w:r w:rsidR="00D83192">
        <w:rPr>
          <w:rStyle w:val="FootnoteReference"/>
          <w:rFonts w:eastAsia="Calibri"/>
        </w:rPr>
        <w:footnoteReference w:id="7"/>
      </w:r>
    </w:p>
    <w:p w14:paraId="5ADAE96E" w14:textId="77777777" w:rsidR="005A4F17" w:rsidRDefault="005331A9" w:rsidP="00DA7C65">
      <w:pPr>
        <w:pStyle w:val="Body"/>
        <w:rPr>
          <w:rFonts w:eastAsia="Calibri"/>
        </w:rPr>
      </w:pPr>
      <w:r>
        <w:rPr>
          <w:rFonts w:eastAsia="Calibri"/>
        </w:rPr>
        <w:t xml:space="preserve">This is an inherent limitation of the analysis in this RIS. </w:t>
      </w:r>
      <w:proofErr w:type="gramStart"/>
      <w:r>
        <w:rPr>
          <w:rFonts w:eastAsia="Calibri"/>
        </w:rPr>
        <w:t>Lack of relevant data means that the Department has relied on assumptions regarding potential behavioural responses of fishers and the effectiveness of compliance activities.</w:t>
      </w:r>
      <w:proofErr w:type="gramEnd"/>
      <w:r>
        <w:rPr>
          <w:rFonts w:eastAsia="Calibri"/>
        </w:rPr>
        <w:t xml:space="preserve"> Given that the proposed change</w:t>
      </w:r>
      <w:r w:rsidR="00D83192">
        <w:rPr>
          <w:rFonts w:eastAsia="Calibri"/>
        </w:rPr>
        <w:t>s</w:t>
      </w:r>
      <w:r>
        <w:rPr>
          <w:rFonts w:eastAsia="Calibri"/>
        </w:rPr>
        <w:t xml:space="preserve"> will </w:t>
      </w:r>
      <w:r w:rsidR="00D83192">
        <w:rPr>
          <w:rFonts w:eastAsia="Calibri"/>
        </w:rPr>
        <w:t xml:space="preserve">be made </w:t>
      </w:r>
      <w:r>
        <w:rPr>
          <w:rFonts w:eastAsia="Calibri"/>
        </w:rPr>
        <w:t>ahead of a more comprehensive examination of future licence arrangements, the Department considers this analysis sufficient. Nevertheless, stakeholder views will be important to test the reasonableness of these assumptions.</w:t>
      </w:r>
    </w:p>
    <w:p w14:paraId="1B3A103B" w14:textId="77777777" w:rsidR="00480F22" w:rsidRPr="0008580A" w:rsidRDefault="00480F22" w:rsidP="00E510D1">
      <w:pPr>
        <w:pStyle w:val="Body"/>
        <w:rPr>
          <w:rFonts w:eastAsia="Calibri"/>
        </w:rPr>
      </w:pPr>
      <w:r w:rsidRPr="0008580A">
        <w:rPr>
          <w:rFonts w:eastAsia="Calibri"/>
        </w:rPr>
        <w:t xml:space="preserve">The additional </w:t>
      </w:r>
      <w:r w:rsidR="001D3B4F">
        <w:rPr>
          <w:rFonts w:eastAsia="Calibri"/>
        </w:rPr>
        <w:t>RFL revenue</w:t>
      </w:r>
      <w:r w:rsidRPr="0008580A">
        <w:rPr>
          <w:rFonts w:eastAsia="Calibri"/>
        </w:rPr>
        <w:t xml:space="preserve"> </w:t>
      </w:r>
      <w:r w:rsidR="001D3B4F">
        <w:rPr>
          <w:rFonts w:eastAsia="Calibri"/>
        </w:rPr>
        <w:t xml:space="preserve">will be used </w:t>
      </w:r>
      <w:r w:rsidR="00AE3F89">
        <w:rPr>
          <w:rFonts w:eastAsia="Calibri"/>
        </w:rPr>
        <w:t>to fund</w:t>
      </w:r>
      <w:r w:rsidR="001D3B4F">
        <w:rPr>
          <w:rFonts w:eastAsia="Calibri"/>
        </w:rPr>
        <w:t xml:space="preserve"> a range of </w:t>
      </w:r>
      <w:r w:rsidR="00AE3F89">
        <w:rPr>
          <w:rFonts w:eastAsia="Calibri"/>
        </w:rPr>
        <w:t>initiatives in areas</w:t>
      </w:r>
      <w:r w:rsidR="006C5DE6">
        <w:rPr>
          <w:rFonts w:eastAsia="Calibri"/>
        </w:rPr>
        <w:t xml:space="preserve"> such as</w:t>
      </w:r>
      <w:r w:rsidRPr="0008580A">
        <w:rPr>
          <w:rFonts w:eastAsia="Calibri"/>
        </w:rPr>
        <w:t>:</w:t>
      </w:r>
    </w:p>
    <w:p w14:paraId="1D8D7729" w14:textId="77777777" w:rsidR="00AE3F89" w:rsidRPr="00AE3F89" w:rsidRDefault="00AE3F89" w:rsidP="00F97BD4">
      <w:pPr>
        <w:pStyle w:val="Bullet"/>
      </w:pPr>
      <w:r w:rsidRPr="00AE3F89">
        <w:t xml:space="preserve">better fishing facilities, for example, jetties, </w:t>
      </w:r>
      <w:r w:rsidR="00760FC1">
        <w:t xml:space="preserve">improving boating facilities, </w:t>
      </w:r>
      <w:r w:rsidRPr="00AE3F89">
        <w:t>improving access to waterways, and new fishing reefs</w:t>
      </w:r>
    </w:p>
    <w:p w14:paraId="57211D8F" w14:textId="77777777" w:rsidR="00AE3F89" w:rsidRPr="00AE3F89" w:rsidRDefault="00AE3F89" w:rsidP="00F97BD4">
      <w:pPr>
        <w:pStyle w:val="Bullet"/>
      </w:pPr>
      <w:r w:rsidRPr="00AE3F89">
        <w:t>fish production and stocking in existing and new fisheries/waterways</w:t>
      </w:r>
    </w:p>
    <w:p w14:paraId="2C77E399" w14:textId="77777777" w:rsidR="00AE3F89" w:rsidRDefault="00AE3F89" w:rsidP="00F97BD4">
      <w:pPr>
        <w:pStyle w:val="Bullet"/>
      </w:pPr>
      <w:r w:rsidRPr="00AE3F89">
        <w:t>school</w:t>
      </w:r>
      <w:r>
        <w:t xml:space="preserve"> education and children’s fishing programs</w:t>
      </w:r>
    </w:p>
    <w:p w14:paraId="0E632699" w14:textId="77777777" w:rsidR="00AE3F89" w:rsidRDefault="00AE3F89" w:rsidP="00F97BD4">
      <w:pPr>
        <w:pStyle w:val="Bullet"/>
      </w:pPr>
      <w:proofErr w:type="gramStart"/>
      <w:r>
        <w:t>angler</w:t>
      </w:r>
      <w:proofErr w:type="gramEnd"/>
      <w:r>
        <w:t xml:space="preserve"> diary program, trout opening festival, stronger fishing clubs grants.</w:t>
      </w:r>
    </w:p>
    <w:p w14:paraId="0CCC7009" w14:textId="77777777" w:rsidR="00641A6C" w:rsidRPr="00CF005E" w:rsidRDefault="00FB791A" w:rsidP="00F97BD4">
      <w:pPr>
        <w:pStyle w:val="Bullet"/>
      </w:pPr>
      <w:r>
        <w:t xml:space="preserve">supporting buyout of </w:t>
      </w:r>
      <w:r w:rsidR="00641A6C">
        <w:t>com</w:t>
      </w:r>
      <w:r w:rsidR="001D3B4F">
        <w:t>mercial fish</w:t>
      </w:r>
      <w:r>
        <w:t>ing</w:t>
      </w:r>
      <w:r w:rsidR="001D3B4F">
        <w:t xml:space="preserve"> access licences</w:t>
      </w:r>
    </w:p>
    <w:p w14:paraId="19F2C271" w14:textId="77777777" w:rsidR="002055D9" w:rsidRPr="0008580A" w:rsidRDefault="002055D9" w:rsidP="00F97BD4">
      <w:pPr>
        <w:pStyle w:val="Bullet"/>
      </w:pPr>
      <w:proofErr w:type="gramStart"/>
      <w:r w:rsidRPr="0008580A">
        <w:t>conducting</w:t>
      </w:r>
      <w:proofErr w:type="gramEnd"/>
      <w:r w:rsidRPr="0008580A">
        <w:t xml:space="preserve"> more public forums for recreational fishers and Fisheries Victoria to exchange ideas on ways to further improve recreational fishing</w:t>
      </w:r>
      <w:r w:rsidR="00AE3F89">
        <w:t>.</w:t>
      </w:r>
    </w:p>
    <w:p w14:paraId="111A333C" w14:textId="77777777" w:rsidR="00D44C97" w:rsidRDefault="006C5DE6" w:rsidP="00AE3F89">
      <w:pPr>
        <w:pStyle w:val="Body"/>
      </w:pPr>
      <w:r w:rsidRPr="0031277A">
        <w:t xml:space="preserve">It is not possible to know in advance the particular </w:t>
      </w:r>
      <w:r w:rsidR="00AE3F89" w:rsidRPr="0031277A">
        <w:t>initiatives that will be funded, as this is subject to established assessment and decision processes</w:t>
      </w:r>
      <w:r w:rsidRPr="0031277A">
        <w:t>.</w:t>
      </w:r>
      <w:r w:rsidR="00D44C97">
        <w:t xml:space="preserve"> </w:t>
      </w:r>
      <w:r w:rsidR="00244BB2">
        <w:t xml:space="preserve">However, </w:t>
      </w:r>
      <w:r w:rsidR="00D44C97">
        <w:t xml:space="preserve">directing the additional RFL revenue to </w:t>
      </w:r>
      <w:r w:rsidR="00244BB2">
        <w:t xml:space="preserve">several of the areas listed above will clearly </w:t>
      </w:r>
      <w:r w:rsidR="00D44C97">
        <w:t xml:space="preserve">assist in meeting </w:t>
      </w:r>
      <w:r w:rsidR="00244BB2">
        <w:t xml:space="preserve">the </w:t>
      </w:r>
      <w:r w:rsidR="00244BB2" w:rsidRPr="00FF2C43">
        <w:rPr>
          <w:i/>
        </w:rPr>
        <w:t>Target One Million</w:t>
      </w:r>
      <w:r w:rsidR="00244BB2">
        <w:t xml:space="preserve"> objectives</w:t>
      </w:r>
      <w:r w:rsidR="00D44C97">
        <w:t>.</w:t>
      </w:r>
      <w:r w:rsidR="00244BB2">
        <w:t xml:space="preserve"> </w:t>
      </w:r>
      <w:r w:rsidRPr="0031277A">
        <w:t xml:space="preserve"> </w:t>
      </w:r>
    </w:p>
    <w:p w14:paraId="352C3188" w14:textId="77777777" w:rsidR="006C5DE6" w:rsidRDefault="006C5DE6" w:rsidP="00AE3F89">
      <w:pPr>
        <w:pStyle w:val="Body"/>
      </w:pPr>
      <w:r w:rsidRPr="0031277A">
        <w:t xml:space="preserve">In providing feedback on whether there is a willingness among recreational fishers to pay higher fees, people may wish to comment on whether this willingness is dependent on the types of </w:t>
      </w:r>
      <w:r w:rsidR="00AE3F89" w:rsidRPr="0031277A">
        <w:t>initiatives</w:t>
      </w:r>
      <w:r w:rsidRPr="0031277A">
        <w:t xml:space="preserve"> likely to be funded by the additional revenue, and if so, what types of </w:t>
      </w:r>
      <w:r w:rsidR="00AE3F89" w:rsidRPr="0031277A">
        <w:t>initiatives</w:t>
      </w:r>
      <w:r w:rsidRPr="0031277A">
        <w:t xml:space="preserve"> should be preferred.</w:t>
      </w:r>
    </w:p>
    <w:p w14:paraId="7B74F2BD" w14:textId="77777777" w:rsidR="00C503D3" w:rsidRDefault="00453CF8">
      <w:pPr>
        <w:pStyle w:val="Body"/>
      </w:pPr>
      <w:r>
        <w:t xml:space="preserve">The proposed Regulations also introduce </w:t>
      </w:r>
      <w:r w:rsidR="00AE3F89">
        <w:t>two</w:t>
      </w:r>
      <w:r>
        <w:t xml:space="preserve"> measures, </w:t>
      </w:r>
      <w:r w:rsidRPr="000F1E0F">
        <w:rPr>
          <w:rFonts w:eastAsia="Calibri"/>
        </w:rPr>
        <w:t>designed</w:t>
      </w:r>
      <w:r>
        <w:t xml:space="preserve"> to assist in mitigati</w:t>
      </w:r>
      <w:r w:rsidR="00AE3F89">
        <w:t>ng</w:t>
      </w:r>
      <w:r>
        <w:t xml:space="preserve"> the risk of illegal fishing or avoidance of paying the fee. These measures are:</w:t>
      </w:r>
    </w:p>
    <w:p w14:paraId="50912FAD" w14:textId="77777777" w:rsidR="007C3C71" w:rsidRDefault="007C3C71" w:rsidP="00F97BD4">
      <w:pPr>
        <w:pStyle w:val="Bullet"/>
      </w:pPr>
      <w:r>
        <w:t>prohibiting licence agents from issuing a licence with a date and time prior to the time the licence is purchased</w:t>
      </w:r>
    </w:p>
    <w:p w14:paraId="6CDED2CA" w14:textId="77777777" w:rsidR="0031277A" w:rsidRDefault="00AE3F89" w:rsidP="00F97BD4">
      <w:pPr>
        <w:pStyle w:val="Bullet"/>
      </w:pPr>
      <w:proofErr w:type="gramStart"/>
      <w:r>
        <w:t>introducing</w:t>
      </w:r>
      <w:proofErr w:type="gramEnd"/>
      <w:r w:rsidRPr="00AB2F9E">
        <w:t xml:space="preserve"> a new offence for the failure of an agent to return unissued licences if requested by the Secretary</w:t>
      </w:r>
      <w:r w:rsidR="007C3C71">
        <w:t>.</w:t>
      </w:r>
    </w:p>
    <w:p w14:paraId="3B499282" w14:textId="77777777" w:rsidR="00C503D3" w:rsidRPr="00C72BAF" w:rsidRDefault="00AE3F89">
      <w:pPr>
        <w:pStyle w:val="Body"/>
      </w:pPr>
      <w:r>
        <w:t xml:space="preserve">The </w:t>
      </w:r>
      <w:r w:rsidR="007C3C71">
        <w:t xml:space="preserve">first </w:t>
      </w:r>
      <w:r>
        <w:t xml:space="preserve">measure ensures that a person cannot purchase a licence after being caught without a licence and purport that it was valid at the time of the illegal fishing. </w:t>
      </w:r>
      <w:r w:rsidRPr="00AE3F89">
        <w:t>There is no data to suggest this is currently a common practice</w:t>
      </w:r>
      <w:r>
        <w:t>, however the potential may increase slightly in response to the new fees. Penalties are proposed for breaches in the form of a fine: 20 penalty units (around $3,033 in 2015/16) for an agent issuing a licence with a false purchase date.</w:t>
      </w:r>
      <w:r w:rsidR="007C3C71">
        <w:t xml:space="preserve"> In addition, the second measure will allow </w:t>
      </w:r>
      <w:r w:rsidR="007E38A7">
        <w:t xml:space="preserve">the Department to direct that an agent return any </w:t>
      </w:r>
      <w:r w:rsidR="007C3C71">
        <w:t>un</w:t>
      </w:r>
      <w:r w:rsidR="007E38A7">
        <w:t>issued licences—this would only be used rarely and where there was a risk</w:t>
      </w:r>
      <w:r w:rsidR="00F04B45">
        <w:t xml:space="preserve"> of the licences being misused, such as when an agent has been found to </w:t>
      </w:r>
      <w:r w:rsidR="002452CC">
        <w:t xml:space="preserve">have falsely-dated a licence. </w:t>
      </w:r>
      <w:r w:rsidR="0097026B">
        <w:t>There is a penalty for agents who do not return unissued licences following a direction to do so</w:t>
      </w:r>
      <w:r w:rsidR="00EF2C95">
        <w:t>: 20 penalty units.</w:t>
      </w:r>
      <w:r w:rsidR="0097026B">
        <w:t xml:space="preserve"> </w:t>
      </w:r>
      <w:r w:rsidR="002452CC">
        <w:t>These penalties are intended to strengthen the existing compliance</w:t>
      </w:r>
      <w:r w:rsidR="00127326">
        <w:t xml:space="preserve"> approach by discouraging improper conduct, rather than impos</w:t>
      </w:r>
      <w:r w:rsidR="00ED1FD2">
        <w:t>e</w:t>
      </w:r>
      <w:r w:rsidR="00127326">
        <w:t xml:space="preserve"> new obligations.</w:t>
      </w:r>
    </w:p>
    <w:p w14:paraId="10865A46" w14:textId="77777777" w:rsidR="0077482F" w:rsidRPr="00CC060F" w:rsidRDefault="00860263" w:rsidP="001C6897">
      <w:pPr>
        <w:pStyle w:val="Heading3"/>
      </w:pPr>
      <w:r>
        <w:t>3.3.1</w:t>
      </w:r>
      <w:r>
        <w:tab/>
      </w:r>
      <w:r w:rsidR="003D4DAA" w:rsidRPr="00CC060F">
        <w:t>Groups affected</w:t>
      </w:r>
    </w:p>
    <w:p w14:paraId="0D41E921" w14:textId="77777777" w:rsidR="00705E04" w:rsidRDefault="003D4DAA" w:rsidP="00E510D1">
      <w:pPr>
        <w:pStyle w:val="Body"/>
        <w:rPr>
          <w:rFonts w:eastAsia="Calibri"/>
        </w:rPr>
      </w:pPr>
      <w:r w:rsidRPr="0008580A">
        <w:rPr>
          <w:rFonts w:eastAsia="Calibri"/>
        </w:rPr>
        <w:t xml:space="preserve">The proposed </w:t>
      </w:r>
      <w:r w:rsidR="00C65ADF">
        <w:rPr>
          <w:rFonts w:eastAsia="Calibri"/>
        </w:rPr>
        <w:t xml:space="preserve">increases to RFL fees will </w:t>
      </w:r>
      <w:r w:rsidRPr="0008580A">
        <w:rPr>
          <w:rFonts w:eastAsia="Calibri"/>
        </w:rPr>
        <w:t>directly affect recreational fishers</w:t>
      </w:r>
      <w:r w:rsidR="00845D8F" w:rsidRPr="0008580A">
        <w:rPr>
          <w:rFonts w:eastAsia="Calibri"/>
        </w:rPr>
        <w:t xml:space="preserve"> and </w:t>
      </w:r>
      <w:r w:rsidR="00D75A37" w:rsidRPr="0008580A">
        <w:rPr>
          <w:rFonts w:eastAsia="Calibri"/>
        </w:rPr>
        <w:t>related businesses</w:t>
      </w:r>
      <w:r w:rsidRPr="0008580A">
        <w:rPr>
          <w:rFonts w:eastAsia="Calibri"/>
        </w:rPr>
        <w:t xml:space="preserve">. </w:t>
      </w:r>
      <w:r w:rsidR="00C65ADF">
        <w:rPr>
          <w:rFonts w:eastAsia="Calibri"/>
        </w:rPr>
        <w:t>R</w:t>
      </w:r>
      <w:r w:rsidRPr="0008580A">
        <w:rPr>
          <w:rFonts w:eastAsia="Calibri"/>
        </w:rPr>
        <w:t xml:space="preserve">ecreational fishers will be required to pay a higher </w:t>
      </w:r>
      <w:r w:rsidR="001E25F8" w:rsidRPr="0008580A">
        <w:rPr>
          <w:rFonts w:eastAsia="Calibri"/>
        </w:rPr>
        <w:t>fee</w:t>
      </w:r>
      <w:r w:rsidRPr="0008580A">
        <w:rPr>
          <w:rFonts w:eastAsia="Calibri"/>
        </w:rPr>
        <w:t xml:space="preserve"> </w:t>
      </w:r>
      <w:r w:rsidR="00D75A37" w:rsidRPr="0008580A">
        <w:rPr>
          <w:rFonts w:eastAsia="Calibri"/>
        </w:rPr>
        <w:t>for their</w:t>
      </w:r>
      <w:r w:rsidRPr="0008580A">
        <w:rPr>
          <w:rFonts w:eastAsia="Calibri"/>
        </w:rPr>
        <w:t xml:space="preserve"> licence. A small number of fishers </w:t>
      </w:r>
      <w:r w:rsidR="007903B6" w:rsidRPr="0008580A">
        <w:rPr>
          <w:rFonts w:eastAsia="Calibri"/>
        </w:rPr>
        <w:t>may</w:t>
      </w:r>
      <w:r w:rsidRPr="0008580A">
        <w:rPr>
          <w:rFonts w:eastAsia="Calibri"/>
        </w:rPr>
        <w:t xml:space="preserve"> </w:t>
      </w:r>
      <w:r w:rsidR="00FB791A">
        <w:rPr>
          <w:rFonts w:eastAsia="Calibri"/>
        </w:rPr>
        <w:t xml:space="preserve">choose to </w:t>
      </w:r>
      <w:r w:rsidRPr="0008580A">
        <w:rPr>
          <w:rFonts w:eastAsia="Calibri"/>
        </w:rPr>
        <w:t>pay less</w:t>
      </w:r>
      <w:r w:rsidR="007903B6" w:rsidRPr="0008580A">
        <w:rPr>
          <w:rFonts w:eastAsia="Calibri"/>
        </w:rPr>
        <w:t xml:space="preserve">, for example by changing the type </w:t>
      </w:r>
      <w:r w:rsidR="00EF6244" w:rsidRPr="0008580A">
        <w:rPr>
          <w:rFonts w:eastAsia="Calibri"/>
        </w:rPr>
        <w:t xml:space="preserve">(duration) </w:t>
      </w:r>
      <w:r w:rsidR="007903B6" w:rsidRPr="0008580A">
        <w:rPr>
          <w:rFonts w:eastAsia="Calibri"/>
        </w:rPr>
        <w:t>of licence they purchase</w:t>
      </w:r>
      <w:r w:rsidRPr="0008580A">
        <w:rPr>
          <w:rFonts w:eastAsia="Calibri"/>
        </w:rPr>
        <w:t>.</w:t>
      </w:r>
      <w:r w:rsidR="00C65ADF">
        <w:rPr>
          <w:rFonts w:eastAsia="Calibri"/>
        </w:rPr>
        <w:t xml:space="preserve"> </w:t>
      </w:r>
      <w:r w:rsidR="00705E04">
        <w:rPr>
          <w:rFonts w:eastAsia="Calibri"/>
        </w:rPr>
        <w:t>This is most likely to occur for fishers who currently fish over a long weekend using a 28 day licence or two 2 day licences; these fishers will now be able to purchase a 3 day licence</w:t>
      </w:r>
      <w:r w:rsidR="00937577">
        <w:rPr>
          <w:rFonts w:eastAsia="Calibri"/>
        </w:rPr>
        <w:t xml:space="preserve"> for a lower price than they currently pay.</w:t>
      </w:r>
    </w:p>
    <w:p w14:paraId="34994538" w14:textId="28AD7175" w:rsidR="003D4DAA" w:rsidRDefault="00C65ADF" w:rsidP="00E510D1">
      <w:pPr>
        <w:pStyle w:val="Body"/>
        <w:rPr>
          <w:rFonts w:eastAsia="Calibri"/>
        </w:rPr>
      </w:pPr>
      <w:r>
        <w:rPr>
          <w:rFonts w:eastAsia="Calibri"/>
        </w:rPr>
        <w:t>Recreational fishers currently exempt from holding a licence will not be directly affected by the fee changes. All recreational fishers will benefit indirectly through the additional programs that will be funded from the additional revenue.</w:t>
      </w:r>
    </w:p>
    <w:p w14:paraId="770151F4" w14:textId="77777777" w:rsidR="003D4DAA" w:rsidRDefault="003D4DAA" w:rsidP="00E510D1">
      <w:pPr>
        <w:pStyle w:val="Body"/>
        <w:rPr>
          <w:rFonts w:eastAsia="Calibri"/>
        </w:rPr>
      </w:pPr>
      <w:r w:rsidRPr="0008580A">
        <w:rPr>
          <w:rFonts w:eastAsia="Calibri"/>
        </w:rPr>
        <w:t xml:space="preserve">The changes also indirectly affect other parties. </w:t>
      </w:r>
      <w:r w:rsidR="00306CD4" w:rsidRPr="0008580A">
        <w:rPr>
          <w:rFonts w:eastAsia="Calibri"/>
        </w:rPr>
        <w:t xml:space="preserve">Greater </w:t>
      </w:r>
      <w:r w:rsidR="00514717">
        <w:rPr>
          <w:rFonts w:eastAsia="Calibri"/>
        </w:rPr>
        <w:t xml:space="preserve">financial </w:t>
      </w:r>
      <w:r w:rsidR="00306CD4" w:rsidRPr="0008580A">
        <w:rPr>
          <w:rFonts w:eastAsia="Calibri"/>
        </w:rPr>
        <w:t>support for recr</w:t>
      </w:r>
      <w:r w:rsidR="00736609">
        <w:rPr>
          <w:rFonts w:eastAsia="Calibri"/>
        </w:rPr>
        <w:t>eational fishing will have flow-</w:t>
      </w:r>
      <w:r w:rsidR="00306CD4" w:rsidRPr="0008580A">
        <w:rPr>
          <w:rFonts w:eastAsia="Calibri"/>
        </w:rPr>
        <w:t xml:space="preserve">on benefits for the economy, particularly </w:t>
      </w:r>
      <w:r w:rsidR="00736609">
        <w:rPr>
          <w:rFonts w:eastAsia="Calibri"/>
        </w:rPr>
        <w:t>regional</w:t>
      </w:r>
      <w:r w:rsidR="00514717">
        <w:rPr>
          <w:rFonts w:eastAsia="Calibri"/>
        </w:rPr>
        <w:t xml:space="preserve"> economies</w:t>
      </w:r>
      <w:r w:rsidR="00306CD4" w:rsidRPr="0008580A">
        <w:rPr>
          <w:rFonts w:eastAsia="Calibri"/>
        </w:rPr>
        <w:t>.</w:t>
      </w:r>
    </w:p>
    <w:p w14:paraId="08B1EAF7" w14:textId="77777777" w:rsidR="00FE4EC5" w:rsidRDefault="00E05B53" w:rsidP="00E510D1">
      <w:pPr>
        <w:pStyle w:val="Body"/>
        <w:rPr>
          <w:rFonts w:eastAsia="Calibri"/>
        </w:rPr>
      </w:pPr>
      <w:r>
        <w:rPr>
          <w:rFonts w:eastAsia="Calibri"/>
        </w:rPr>
        <w:t xml:space="preserve">There </w:t>
      </w:r>
      <w:r w:rsidR="00BB3288">
        <w:rPr>
          <w:rFonts w:eastAsia="Calibri"/>
        </w:rPr>
        <w:t>are unlikely to be material</w:t>
      </w:r>
      <w:r>
        <w:rPr>
          <w:rFonts w:eastAsia="Calibri"/>
        </w:rPr>
        <w:t xml:space="preserve"> impacts on related businesses (for example, fishing tackle retail). While the increase in licence price</w:t>
      </w:r>
      <w:r w:rsidR="002162AD">
        <w:rPr>
          <w:rFonts w:eastAsia="Calibri"/>
        </w:rPr>
        <w:t>s</w:t>
      </w:r>
      <w:r>
        <w:rPr>
          <w:rFonts w:eastAsia="Calibri"/>
        </w:rPr>
        <w:t xml:space="preserve"> effectively removes money from the sector, it is all returned to the sector by supporting </w:t>
      </w:r>
      <w:r w:rsidR="00203082">
        <w:rPr>
          <w:rFonts w:eastAsia="Calibri"/>
        </w:rPr>
        <w:t>initiatives and programs</w:t>
      </w:r>
      <w:r w:rsidR="006E46C1">
        <w:rPr>
          <w:rFonts w:eastAsia="Calibri"/>
        </w:rPr>
        <w:t xml:space="preserve"> to improve</w:t>
      </w:r>
      <w:r>
        <w:rPr>
          <w:rFonts w:eastAsia="Calibri"/>
        </w:rPr>
        <w:t xml:space="preserve"> </w:t>
      </w:r>
      <w:r w:rsidR="00101A17">
        <w:rPr>
          <w:rFonts w:eastAsia="Calibri"/>
        </w:rPr>
        <w:t>recreational</w:t>
      </w:r>
      <w:r>
        <w:rPr>
          <w:rFonts w:eastAsia="Calibri"/>
        </w:rPr>
        <w:t xml:space="preserve"> fishing</w:t>
      </w:r>
      <w:r w:rsidR="006E46C1">
        <w:rPr>
          <w:rFonts w:eastAsia="Calibri"/>
        </w:rPr>
        <w:t xml:space="preserve"> opportunities</w:t>
      </w:r>
      <w:r>
        <w:rPr>
          <w:rFonts w:eastAsia="Calibri"/>
        </w:rPr>
        <w:t>.</w:t>
      </w:r>
      <w:r w:rsidR="00101A17">
        <w:rPr>
          <w:rFonts w:eastAsia="Calibri"/>
        </w:rPr>
        <w:t xml:space="preserve"> Overall, the level of demand</w:t>
      </w:r>
      <w:r w:rsidR="00CC2E98">
        <w:rPr>
          <w:rFonts w:eastAsia="Calibri"/>
        </w:rPr>
        <w:t xml:space="preserve"> for licences</w:t>
      </w:r>
      <w:r w:rsidR="00101A17">
        <w:rPr>
          <w:rFonts w:eastAsia="Calibri"/>
        </w:rPr>
        <w:t xml:space="preserve"> should remain similar to the status quo.</w:t>
      </w:r>
      <w:r w:rsidR="00F07A64">
        <w:rPr>
          <w:rFonts w:eastAsia="Calibri"/>
        </w:rPr>
        <w:t xml:space="preserve"> The changes to prices are also occurring at a time when recreational fishing activity is growing, so economic activity for related businesses is still expected to grow overall.</w:t>
      </w:r>
    </w:p>
    <w:p w14:paraId="2C8FB9CF" w14:textId="77777777" w:rsidR="007A0E13" w:rsidRPr="0008580A" w:rsidRDefault="00860263" w:rsidP="001C6897">
      <w:pPr>
        <w:pStyle w:val="Heading3"/>
      </w:pPr>
      <w:r>
        <w:t>3.3.2</w:t>
      </w:r>
      <w:r>
        <w:tab/>
      </w:r>
      <w:r w:rsidR="00EA0746" w:rsidRPr="0008580A">
        <w:t>Economic, social and environmental impacts</w:t>
      </w:r>
    </w:p>
    <w:p w14:paraId="20D7F6E5" w14:textId="77777777" w:rsidR="00C65ADF" w:rsidRPr="0008580A" w:rsidRDefault="00C65ADF" w:rsidP="00C65ADF">
      <w:pPr>
        <w:pStyle w:val="Body"/>
        <w:rPr>
          <w:rFonts w:eastAsia="Calibri"/>
        </w:rPr>
      </w:pPr>
      <w:r w:rsidRPr="0008580A">
        <w:rPr>
          <w:rFonts w:eastAsia="Calibri"/>
        </w:rPr>
        <w:t xml:space="preserve">The overall impact of the proposed </w:t>
      </w:r>
      <w:r>
        <w:rPr>
          <w:rFonts w:eastAsia="Calibri"/>
        </w:rPr>
        <w:t>fee increases</w:t>
      </w:r>
      <w:r w:rsidRPr="0008580A">
        <w:rPr>
          <w:rFonts w:eastAsia="Calibri"/>
        </w:rPr>
        <w:t xml:space="preserve"> is expected to have a positive economic impact as:</w:t>
      </w:r>
    </w:p>
    <w:p w14:paraId="1827679D" w14:textId="77777777" w:rsidR="00C65ADF" w:rsidRPr="0008580A" w:rsidRDefault="00C65ADF" w:rsidP="00F97BD4">
      <w:pPr>
        <w:pStyle w:val="Bullet"/>
      </w:pPr>
      <w:r w:rsidRPr="0008580A">
        <w:rPr>
          <w:rFonts w:eastAsia="Calibri"/>
        </w:rPr>
        <w:t xml:space="preserve">recreational </w:t>
      </w:r>
      <w:r w:rsidRPr="0008580A">
        <w:t>fishing makes a positive contribution to the economy and well-being of Victorians</w:t>
      </w:r>
    </w:p>
    <w:p w14:paraId="3ABEC342" w14:textId="77777777" w:rsidR="00C65ADF" w:rsidRDefault="00C65ADF" w:rsidP="00F97BD4">
      <w:pPr>
        <w:pStyle w:val="Bullet"/>
      </w:pPr>
      <w:proofErr w:type="gramStart"/>
      <w:r w:rsidRPr="0008580A">
        <w:t>the</w:t>
      </w:r>
      <w:proofErr w:type="gramEnd"/>
      <w:r w:rsidRPr="0008580A">
        <w:t xml:space="preserve"> increase in licence fees to fund more </w:t>
      </w:r>
      <w:r w:rsidR="00203082">
        <w:t>initiatives and programs</w:t>
      </w:r>
      <w:r w:rsidRPr="0008580A">
        <w:t xml:space="preserve"> to further improve recreational fishing </w:t>
      </w:r>
      <w:r>
        <w:t>experiences</w:t>
      </w:r>
      <w:r w:rsidRPr="0008580A">
        <w:t xml:space="preserve"> in Victoria </w:t>
      </w:r>
      <w:r>
        <w:t>is</w:t>
      </w:r>
      <w:r w:rsidRPr="0008580A">
        <w:t xml:space="preserve"> advocated by the sector</w:t>
      </w:r>
      <w:r>
        <w:t xml:space="preserve">. </w:t>
      </w:r>
    </w:p>
    <w:p w14:paraId="435590EB" w14:textId="77777777" w:rsidR="00C65ADF" w:rsidRPr="00E510D1" w:rsidRDefault="00C65ADF" w:rsidP="00C65ADF">
      <w:pPr>
        <w:pStyle w:val="Body"/>
        <w:rPr>
          <w:rFonts w:eastAsia="Calibri"/>
        </w:rPr>
      </w:pPr>
      <w:r w:rsidRPr="00E91365">
        <w:rPr>
          <w:rFonts w:eastAsia="Calibri"/>
        </w:rPr>
        <w:t>The decision</w:t>
      </w:r>
      <w:r>
        <w:rPr>
          <w:rFonts w:eastAsia="Calibri"/>
        </w:rPr>
        <w:t>s</w:t>
      </w:r>
      <w:r w:rsidRPr="00E91365">
        <w:rPr>
          <w:rFonts w:eastAsia="Calibri"/>
        </w:rPr>
        <w:t xml:space="preserve"> on </w:t>
      </w:r>
      <w:r w:rsidRPr="008C2AF9">
        <w:rPr>
          <w:rFonts w:eastAsia="Calibri"/>
        </w:rPr>
        <w:t>funding</w:t>
      </w:r>
      <w:r w:rsidRPr="00E91365">
        <w:rPr>
          <w:rFonts w:eastAsia="Calibri"/>
        </w:rPr>
        <w:t xml:space="preserve"> individual </w:t>
      </w:r>
      <w:r w:rsidR="00203082">
        <w:rPr>
          <w:rFonts w:eastAsia="Calibri"/>
        </w:rPr>
        <w:t>initiatives and programs</w:t>
      </w:r>
      <w:r w:rsidRPr="00E91365">
        <w:rPr>
          <w:rFonts w:eastAsia="Calibri"/>
        </w:rPr>
        <w:t xml:space="preserve"> </w:t>
      </w:r>
      <w:r>
        <w:rPr>
          <w:rFonts w:eastAsia="Calibri"/>
        </w:rPr>
        <w:t>from</w:t>
      </w:r>
      <w:r w:rsidRPr="00E91365">
        <w:rPr>
          <w:rFonts w:eastAsia="Calibri"/>
        </w:rPr>
        <w:t xml:space="preserve"> the RFL Trust Account </w:t>
      </w:r>
      <w:r w:rsidR="00203082">
        <w:rPr>
          <w:rFonts w:eastAsia="Calibri"/>
        </w:rPr>
        <w:t>are based on</w:t>
      </w:r>
      <w:r w:rsidRPr="00E91365">
        <w:rPr>
          <w:rFonts w:eastAsia="Calibri"/>
        </w:rPr>
        <w:t xml:space="preserve"> an assessment of </w:t>
      </w:r>
      <w:r>
        <w:rPr>
          <w:rFonts w:eastAsia="Calibri"/>
        </w:rPr>
        <w:t xml:space="preserve">the </w:t>
      </w:r>
      <w:r w:rsidRPr="00E91365">
        <w:rPr>
          <w:rFonts w:eastAsia="Calibri"/>
        </w:rPr>
        <w:t>benefits of each proposal</w:t>
      </w:r>
      <w:r w:rsidR="00203082">
        <w:rPr>
          <w:rFonts w:eastAsia="Calibri"/>
        </w:rPr>
        <w:t xml:space="preserve"> and the </w:t>
      </w:r>
      <w:r>
        <w:rPr>
          <w:rFonts w:eastAsia="Calibri"/>
        </w:rPr>
        <w:t xml:space="preserve">overall net benefit to the community. </w:t>
      </w:r>
    </w:p>
    <w:p w14:paraId="44A56E53" w14:textId="77777777" w:rsidR="00EA0746" w:rsidRPr="0008580A" w:rsidRDefault="00C65ADF" w:rsidP="00E510D1">
      <w:pPr>
        <w:pStyle w:val="Body"/>
        <w:rPr>
          <w:rFonts w:eastAsia="Calibri"/>
        </w:rPr>
      </w:pPr>
      <w:r>
        <w:rPr>
          <w:rFonts w:eastAsia="Calibri"/>
        </w:rPr>
        <w:t xml:space="preserve">Fisheries Victoria believes that there is likely to be </w:t>
      </w:r>
      <w:r w:rsidR="00EA0746" w:rsidRPr="0008580A">
        <w:rPr>
          <w:rFonts w:eastAsia="Calibri"/>
        </w:rPr>
        <w:t>an overa</w:t>
      </w:r>
      <w:r w:rsidR="002055D9">
        <w:rPr>
          <w:rFonts w:eastAsia="Calibri"/>
        </w:rPr>
        <w:t xml:space="preserve">ll positive impact on economic and </w:t>
      </w:r>
      <w:r w:rsidR="00EA0746" w:rsidRPr="0008580A">
        <w:rPr>
          <w:rFonts w:eastAsia="Calibri"/>
        </w:rPr>
        <w:t>social outcomes in Victoria.</w:t>
      </w:r>
      <w:r w:rsidR="00C53D14">
        <w:rPr>
          <w:rFonts w:eastAsia="Calibri"/>
        </w:rPr>
        <w:t xml:space="preserve"> Notably, these include:</w:t>
      </w:r>
    </w:p>
    <w:p w14:paraId="19862FA9" w14:textId="77777777" w:rsidR="00EA0746" w:rsidRPr="0008580A" w:rsidRDefault="00C65ADF" w:rsidP="00F97BD4">
      <w:pPr>
        <w:pStyle w:val="Bullet"/>
      </w:pPr>
      <w:r>
        <w:rPr>
          <w:rFonts w:eastAsia="Calibri"/>
        </w:rPr>
        <w:t>t</w:t>
      </w:r>
      <w:r w:rsidR="00EA0746" w:rsidRPr="0008580A">
        <w:rPr>
          <w:rFonts w:eastAsia="Calibri"/>
        </w:rPr>
        <w:t xml:space="preserve">he increase in the licence </w:t>
      </w:r>
      <w:r w:rsidR="002055D9">
        <w:rPr>
          <w:rFonts w:eastAsia="Calibri"/>
        </w:rPr>
        <w:t>prices will</w:t>
      </w:r>
      <w:r w:rsidR="00EA0746" w:rsidRPr="0008580A">
        <w:rPr>
          <w:rFonts w:eastAsia="Calibri"/>
        </w:rPr>
        <w:t xml:space="preserve"> </w:t>
      </w:r>
      <w:r w:rsidR="003025AA" w:rsidRPr="0008580A">
        <w:t xml:space="preserve">support </w:t>
      </w:r>
      <w:r w:rsidR="00203082">
        <w:t>initiatives</w:t>
      </w:r>
      <w:r w:rsidR="006E46C1">
        <w:t xml:space="preserve"> </w:t>
      </w:r>
      <w:r w:rsidR="00203082">
        <w:t xml:space="preserve">and programs </w:t>
      </w:r>
      <w:r w:rsidR="006E46C1">
        <w:t>that improve</w:t>
      </w:r>
      <w:r w:rsidR="003025AA" w:rsidRPr="0008580A">
        <w:t xml:space="preserve"> the quality of</w:t>
      </w:r>
      <w:r w:rsidR="00203082">
        <w:t>, and incentives for,</w:t>
      </w:r>
      <w:r w:rsidR="003025AA" w:rsidRPr="0008580A">
        <w:t xml:space="preserve"> recreational fishing, which in turn should support </w:t>
      </w:r>
      <w:r w:rsidR="001F36A1">
        <w:t xml:space="preserve">increased participation and </w:t>
      </w:r>
      <w:r w:rsidR="003025AA" w:rsidRPr="0008580A">
        <w:t>greater economic activity</w:t>
      </w:r>
    </w:p>
    <w:p w14:paraId="4BDF2123" w14:textId="77777777" w:rsidR="003025AA" w:rsidRPr="0008580A" w:rsidRDefault="00C65ADF" w:rsidP="00F97BD4">
      <w:pPr>
        <w:pStyle w:val="Bullet"/>
      </w:pPr>
      <w:r>
        <w:t>t</w:t>
      </w:r>
      <w:r w:rsidR="003025AA" w:rsidRPr="0008580A">
        <w:t xml:space="preserve">he changes will </w:t>
      </w:r>
      <w:r w:rsidR="00736609">
        <w:t>not impede Victorians</w:t>
      </w:r>
      <w:r w:rsidR="003025AA" w:rsidRPr="0008580A">
        <w:t xml:space="preserve"> </w:t>
      </w:r>
      <w:r w:rsidR="00736609">
        <w:t xml:space="preserve">participating </w:t>
      </w:r>
      <w:r w:rsidR="00514717">
        <w:t xml:space="preserve">in </w:t>
      </w:r>
      <w:r w:rsidR="003025AA" w:rsidRPr="0008580A">
        <w:t xml:space="preserve">recreational fishing </w:t>
      </w:r>
    </w:p>
    <w:p w14:paraId="4A072523" w14:textId="77777777" w:rsidR="00487085" w:rsidRDefault="00C65ADF" w:rsidP="00F97BD4">
      <w:pPr>
        <w:pStyle w:val="Bullet"/>
      </w:pPr>
      <w:proofErr w:type="gramStart"/>
      <w:r>
        <w:t>t</w:t>
      </w:r>
      <w:r w:rsidR="00487085" w:rsidRPr="0008580A">
        <w:t>he</w:t>
      </w:r>
      <w:proofErr w:type="gramEnd"/>
      <w:r w:rsidR="00487085" w:rsidRPr="0008580A">
        <w:t xml:space="preserve"> changes are expected to have </w:t>
      </w:r>
      <w:r w:rsidR="00FF1B60" w:rsidRPr="0008580A">
        <w:t xml:space="preserve">a neutral </w:t>
      </w:r>
      <w:r w:rsidR="00487085" w:rsidRPr="0008580A">
        <w:t>environmental impact.</w:t>
      </w:r>
    </w:p>
    <w:p w14:paraId="0F289F5C" w14:textId="77777777" w:rsidR="006D6AB1" w:rsidRPr="0008580A" w:rsidRDefault="006D6AB1" w:rsidP="00F97BD4">
      <w:pPr>
        <w:pStyle w:val="Bullet"/>
        <w:numPr>
          <w:ilvl w:val="0"/>
          <w:numId w:val="0"/>
        </w:numPr>
      </w:pPr>
      <w:r>
        <w:t xml:space="preserve">Fisheries Victoria notes that a higher level of </w:t>
      </w:r>
      <w:r w:rsidR="001F36A1">
        <w:t>initiatives and programs</w:t>
      </w:r>
      <w:r>
        <w:t xml:space="preserve"> funded from RFL revenues is likely to exhibit </w:t>
      </w:r>
      <w:r w:rsidRPr="00C27A65">
        <w:t>declining marginal benefit</w:t>
      </w:r>
      <w:r>
        <w:t xml:space="preserve">. As </w:t>
      </w:r>
      <w:r w:rsidRPr="00C27A65">
        <w:t xml:space="preserve">the </w:t>
      </w:r>
      <w:r w:rsidR="001F36A1">
        <w:t xml:space="preserve">decision process for prioritising RFL Trust Account expenditure </w:t>
      </w:r>
      <w:r w:rsidRPr="00C27A65">
        <w:t>is rigorous</w:t>
      </w:r>
      <w:r w:rsidR="001F36A1">
        <w:t xml:space="preserve"> and takes into account likely net benefits</w:t>
      </w:r>
      <w:r w:rsidRPr="00C27A65">
        <w:t xml:space="preserve">, every </w:t>
      </w:r>
      <w:r w:rsidRPr="00C27A65">
        <w:rPr>
          <w:i/>
        </w:rPr>
        <w:t>extra</w:t>
      </w:r>
      <w:r w:rsidRPr="00C27A65">
        <w:t xml:space="preserve"> </w:t>
      </w:r>
      <w:r w:rsidR="001F36A1">
        <w:t>initiative</w:t>
      </w:r>
      <w:r w:rsidRPr="00C27A65">
        <w:t xml:space="preserve"> which is funded returns </w:t>
      </w:r>
      <w:r w:rsidRPr="00C27A65">
        <w:rPr>
          <w:i/>
        </w:rPr>
        <w:t>less</w:t>
      </w:r>
      <w:r w:rsidRPr="00C27A65">
        <w:t xml:space="preserve"> in the way of benefit to the community than the previous project</w:t>
      </w:r>
      <w:r>
        <w:t xml:space="preserve"> (i.e., </w:t>
      </w:r>
      <w:r w:rsidR="001F36A1">
        <w:t>initiatives</w:t>
      </w:r>
      <w:r>
        <w:t xml:space="preserve"> will be funded that would otherwise miss out if there was less money available)</w:t>
      </w:r>
      <w:r w:rsidRPr="00C27A65">
        <w:t xml:space="preserve">. Thus, there is declining marginal benefit in the funding of </w:t>
      </w:r>
      <w:r w:rsidR="001F36A1">
        <w:t>initiatives and programs</w:t>
      </w:r>
      <w:r w:rsidRPr="00C27A65">
        <w:t>.</w:t>
      </w:r>
      <w:r>
        <w:t xml:space="preserve"> However, each </w:t>
      </w:r>
      <w:r w:rsidR="001F36A1">
        <w:t>initiative</w:t>
      </w:r>
      <w:r>
        <w:t xml:space="preserve"> is still expected to result in a net benefit</w:t>
      </w:r>
      <w:r w:rsidR="001F36A1">
        <w:t>.</w:t>
      </w:r>
      <w:r>
        <w:t xml:space="preserve"> </w:t>
      </w:r>
    </w:p>
    <w:p w14:paraId="247658A0" w14:textId="77777777" w:rsidR="00D630F5" w:rsidRDefault="00860263" w:rsidP="00C65ADF">
      <w:pPr>
        <w:pStyle w:val="Heading3"/>
      </w:pPr>
      <w:r>
        <w:t>3.3.3</w:t>
      </w:r>
      <w:r>
        <w:tab/>
      </w:r>
      <w:r w:rsidR="00C65ADF">
        <w:t>Impacts on competition and small business</w:t>
      </w:r>
    </w:p>
    <w:p w14:paraId="6B32C18C" w14:textId="77777777" w:rsidR="007A6E57" w:rsidRDefault="006B6631" w:rsidP="006B6631">
      <w:pPr>
        <w:pStyle w:val="Body"/>
      </w:pPr>
      <w:r>
        <w:t>RFL fees do not restrict competition, and th</w:t>
      </w:r>
      <w:r w:rsidR="00852F6C">
        <w:t>e proposed fee increases are not expected to have material impact on competition.</w:t>
      </w:r>
    </w:p>
    <w:p w14:paraId="15380662" w14:textId="77777777" w:rsidR="00EC4EF2" w:rsidRDefault="006B6631" w:rsidP="006B6631">
      <w:pPr>
        <w:pStyle w:val="Body"/>
      </w:pPr>
      <w:r>
        <w:t xml:space="preserve">As the fee increases relate only to recreational licences, there will not be any direct impact on businesses, particularly small businesses. </w:t>
      </w:r>
    </w:p>
    <w:p w14:paraId="21598E15" w14:textId="77777777" w:rsidR="006B6631" w:rsidRDefault="00E84024" w:rsidP="006B6631">
      <w:pPr>
        <w:pStyle w:val="Body"/>
      </w:pPr>
      <w:r>
        <w:t>T</w:t>
      </w:r>
      <w:r w:rsidRPr="00E84024">
        <w:t xml:space="preserve">here will be impacts on retailers/agents selling </w:t>
      </w:r>
      <w:r>
        <w:t>RFLs</w:t>
      </w:r>
      <w:r w:rsidR="003C3FEE">
        <w:t xml:space="preserve">, most of which are small businesses. </w:t>
      </w:r>
      <w:r w:rsidR="00EC4EF2">
        <w:t xml:space="preserve">There are around 586 retailers in Victoria. </w:t>
      </w:r>
      <w:r w:rsidR="00775471">
        <w:t>These retailers receive a commission of 6 per cent of sales</w:t>
      </w:r>
      <w:r w:rsidR="00050573">
        <w:t xml:space="preserve">, and as such will </w:t>
      </w:r>
      <w:r w:rsidR="005E68CA">
        <w:t xml:space="preserve">receive an increase in commission revenue in line with the proposed fee increases. This increase </w:t>
      </w:r>
      <w:r w:rsidR="00603523">
        <w:t>will be less than the percentage increase in fees overall, as there remains an ong</w:t>
      </w:r>
      <w:r w:rsidR="00553EB0">
        <w:t>o</w:t>
      </w:r>
      <w:r w:rsidR="00603523">
        <w:t xml:space="preserve">ing shift between licence types and an increase in </w:t>
      </w:r>
      <w:r w:rsidR="00553EB0">
        <w:t xml:space="preserve">online purchases. </w:t>
      </w:r>
      <w:r w:rsidR="00840D56">
        <w:t xml:space="preserve">However, overall, </w:t>
      </w:r>
      <w:r w:rsidR="00EC4EF2">
        <w:t xml:space="preserve">total </w:t>
      </w:r>
      <w:r w:rsidR="00840D56">
        <w:t xml:space="preserve">commission revenue to retailers </w:t>
      </w:r>
      <w:r w:rsidR="00EA60E0">
        <w:t xml:space="preserve">as a group </w:t>
      </w:r>
      <w:r w:rsidR="00840D56">
        <w:t>is expected to increase by around $40,000 per year.</w:t>
      </w:r>
      <w:r w:rsidR="008348C9">
        <w:t xml:space="preserve"> </w:t>
      </w:r>
      <w:r w:rsidR="00BE5BF6">
        <w:t xml:space="preserve">Retailers will also be affected by </w:t>
      </w:r>
      <w:r w:rsidR="00C5488F">
        <w:t>changes to RFL prices (requiring updates to the prices charge</w:t>
      </w:r>
      <w:r w:rsidR="00DD4697">
        <w:t>d</w:t>
      </w:r>
      <w:r w:rsidR="00C5488F">
        <w:t>, although this will be minimised by information sheets provided by Fisheries Victoria)</w:t>
      </w:r>
      <w:r w:rsidR="00F312CD">
        <w:t>,</w:t>
      </w:r>
      <w:r w:rsidR="00C5488F">
        <w:t xml:space="preserve"> and the new offence</w:t>
      </w:r>
      <w:r w:rsidR="00A12065">
        <w:t>s</w:t>
      </w:r>
      <w:r w:rsidR="00C5488F">
        <w:t xml:space="preserve"> related to failure to return unused licences</w:t>
      </w:r>
      <w:r w:rsidR="00A12065">
        <w:t xml:space="preserve"> and issuing falsely-dated licences</w:t>
      </w:r>
      <w:r w:rsidR="00C5488F">
        <w:t xml:space="preserve">. </w:t>
      </w:r>
    </w:p>
    <w:p w14:paraId="03AC831D" w14:textId="77777777" w:rsidR="00230681" w:rsidRDefault="00230681" w:rsidP="00433230">
      <w:pPr>
        <w:pStyle w:val="Body"/>
        <w:pBdr>
          <w:top w:val="single" w:sz="4" w:space="1" w:color="auto"/>
          <w:left w:val="single" w:sz="4" w:space="4" w:color="auto"/>
          <w:bottom w:val="single" w:sz="4" w:space="1" w:color="auto"/>
          <w:right w:val="single" w:sz="4" w:space="4" w:color="auto"/>
        </w:pBdr>
        <w:shd w:val="clear" w:color="auto" w:fill="C6D9F1"/>
      </w:pPr>
      <w:r w:rsidRPr="006B4A26">
        <w:rPr>
          <w:rFonts w:eastAsia="Calibri"/>
          <w:b/>
          <w:i/>
        </w:rPr>
        <w:t>Question:</w:t>
      </w:r>
      <w:r>
        <w:rPr>
          <w:rFonts w:eastAsia="Calibri"/>
        </w:rPr>
        <w:t xml:space="preserve"> Do </w:t>
      </w:r>
      <w:r w:rsidRPr="00230681">
        <w:t>you</w:t>
      </w:r>
      <w:r>
        <w:rPr>
          <w:rFonts w:eastAsia="Calibri"/>
        </w:rPr>
        <w:t xml:space="preserve"> agree with the proposed discount equivalent to around 5 per cent for online purchases of 1 year and 3 year licences? Should an online discount be provided for 3 and 28 day licences?</w:t>
      </w:r>
    </w:p>
    <w:p w14:paraId="0C2EADF4" w14:textId="77777777" w:rsidR="00852F6C" w:rsidRDefault="000F780C" w:rsidP="000F780C">
      <w:pPr>
        <w:pStyle w:val="Heading2"/>
        <w:numPr>
          <w:ilvl w:val="0"/>
          <w:numId w:val="0"/>
        </w:numPr>
        <w:ind w:left="567" w:hanging="567"/>
      </w:pPr>
      <w:bookmarkStart w:id="27" w:name="_Toc441733984"/>
      <w:r>
        <w:t>3.4</w:t>
      </w:r>
      <w:r>
        <w:tab/>
        <w:t>Other means of achieving the objectives</w:t>
      </w:r>
      <w:bookmarkEnd w:id="27"/>
    </w:p>
    <w:p w14:paraId="75D428E1" w14:textId="77777777" w:rsidR="00860263" w:rsidRDefault="00860263" w:rsidP="00860263">
      <w:pPr>
        <w:pStyle w:val="Body"/>
        <w:rPr>
          <w:lang w:eastAsia="en-US"/>
        </w:rPr>
      </w:pPr>
      <w:r>
        <w:rPr>
          <w:lang w:eastAsia="en-US"/>
        </w:rPr>
        <w:t>I</w:t>
      </w:r>
      <w:r w:rsidRPr="00EE5DAA">
        <w:rPr>
          <w:lang w:eastAsia="en-US"/>
        </w:rPr>
        <w:t>n</w:t>
      </w:r>
      <w:r>
        <w:rPr>
          <w:lang w:eastAsia="en-US"/>
        </w:rPr>
        <w:t xml:space="preserve"> </w:t>
      </w:r>
      <w:r w:rsidRPr="00EE5DAA">
        <w:rPr>
          <w:lang w:eastAsia="en-US"/>
        </w:rPr>
        <w:t>the</w:t>
      </w:r>
      <w:r>
        <w:rPr>
          <w:lang w:eastAsia="en-US"/>
        </w:rPr>
        <w:t xml:space="preserve"> </w:t>
      </w:r>
      <w:r w:rsidRPr="00EE5DAA">
        <w:rPr>
          <w:lang w:eastAsia="en-US"/>
        </w:rPr>
        <w:t>case</w:t>
      </w:r>
      <w:r>
        <w:rPr>
          <w:lang w:eastAsia="en-US"/>
        </w:rPr>
        <w:t xml:space="preserve"> </w:t>
      </w:r>
      <w:r w:rsidRPr="00EE5DAA">
        <w:rPr>
          <w:lang w:eastAsia="en-US"/>
        </w:rPr>
        <w:t>of</w:t>
      </w:r>
      <w:r>
        <w:rPr>
          <w:lang w:eastAsia="en-US"/>
        </w:rPr>
        <w:t xml:space="preserve"> </w:t>
      </w:r>
      <w:r w:rsidRPr="00EE5DAA">
        <w:rPr>
          <w:lang w:eastAsia="en-US"/>
        </w:rPr>
        <w:t>RISs</w:t>
      </w:r>
      <w:r>
        <w:rPr>
          <w:lang w:eastAsia="en-US"/>
        </w:rPr>
        <w:t xml:space="preserve"> </w:t>
      </w:r>
      <w:r w:rsidRPr="00EE5DAA">
        <w:rPr>
          <w:lang w:eastAsia="en-US"/>
        </w:rPr>
        <w:t>prepared</w:t>
      </w:r>
      <w:r>
        <w:rPr>
          <w:lang w:eastAsia="en-US"/>
        </w:rPr>
        <w:t xml:space="preserve"> </w:t>
      </w:r>
      <w:r w:rsidRPr="00EE5DAA">
        <w:rPr>
          <w:lang w:eastAsia="en-US"/>
        </w:rPr>
        <w:t>for</w:t>
      </w:r>
      <w:r>
        <w:rPr>
          <w:lang w:eastAsia="en-US"/>
        </w:rPr>
        <w:t xml:space="preserve"> </w:t>
      </w:r>
      <w:r w:rsidRPr="00EE5DAA">
        <w:rPr>
          <w:lang w:eastAsia="en-US"/>
        </w:rPr>
        <w:t>fees</w:t>
      </w:r>
      <w:r>
        <w:rPr>
          <w:lang w:eastAsia="en-US"/>
        </w:rPr>
        <w:t xml:space="preserve"> </w:t>
      </w:r>
      <w:r w:rsidRPr="00EE5DAA">
        <w:rPr>
          <w:lang w:eastAsia="en-US"/>
        </w:rPr>
        <w:t>and</w:t>
      </w:r>
      <w:r>
        <w:rPr>
          <w:lang w:eastAsia="en-US"/>
        </w:rPr>
        <w:t xml:space="preserve"> </w:t>
      </w:r>
      <w:r w:rsidRPr="00EE5DAA">
        <w:rPr>
          <w:lang w:eastAsia="en-US"/>
        </w:rPr>
        <w:t>charges,</w:t>
      </w:r>
      <w:r>
        <w:rPr>
          <w:lang w:eastAsia="en-US"/>
        </w:rPr>
        <w:t xml:space="preserve"> </w:t>
      </w:r>
      <w:r w:rsidRPr="00EE5DAA">
        <w:rPr>
          <w:lang w:eastAsia="en-US"/>
        </w:rPr>
        <w:t>the</w:t>
      </w:r>
      <w:r>
        <w:rPr>
          <w:lang w:eastAsia="en-US"/>
        </w:rPr>
        <w:t xml:space="preserve"> </w:t>
      </w:r>
      <w:r w:rsidRPr="00EE5DAA">
        <w:rPr>
          <w:lang w:eastAsia="en-US"/>
        </w:rPr>
        <w:t>range</w:t>
      </w:r>
      <w:r>
        <w:rPr>
          <w:lang w:eastAsia="en-US"/>
        </w:rPr>
        <w:t xml:space="preserve"> </w:t>
      </w:r>
      <w:r w:rsidRPr="00EE5DAA">
        <w:rPr>
          <w:lang w:eastAsia="en-US"/>
        </w:rPr>
        <w:t>of</w:t>
      </w:r>
      <w:r>
        <w:rPr>
          <w:lang w:eastAsia="en-US"/>
        </w:rPr>
        <w:t xml:space="preserve"> </w:t>
      </w:r>
      <w:r w:rsidRPr="00EE5DAA">
        <w:rPr>
          <w:lang w:eastAsia="en-US"/>
        </w:rPr>
        <w:t>different</w:t>
      </w:r>
      <w:r>
        <w:rPr>
          <w:lang w:eastAsia="en-US"/>
        </w:rPr>
        <w:t xml:space="preserve"> </w:t>
      </w:r>
      <w:r w:rsidRPr="00EE5DAA">
        <w:rPr>
          <w:lang w:eastAsia="en-US"/>
        </w:rPr>
        <w:t>options</w:t>
      </w:r>
      <w:r>
        <w:rPr>
          <w:lang w:eastAsia="en-US"/>
        </w:rPr>
        <w:t xml:space="preserve"> </w:t>
      </w:r>
      <w:r w:rsidRPr="00EE5DAA">
        <w:rPr>
          <w:lang w:eastAsia="en-US"/>
        </w:rPr>
        <w:t>will</w:t>
      </w:r>
      <w:r>
        <w:rPr>
          <w:lang w:eastAsia="en-US"/>
        </w:rPr>
        <w:t xml:space="preserve"> </w:t>
      </w:r>
      <w:r w:rsidRPr="00EE5DAA">
        <w:rPr>
          <w:lang w:eastAsia="en-US"/>
        </w:rPr>
        <w:t>be</w:t>
      </w:r>
      <w:r>
        <w:rPr>
          <w:lang w:eastAsia="en-US"/>
        </w:rPr>
        <w:t xml:space="preserve"> </w:t>
      </w:r>
      <w:r w:rsidRPr="00EE5DAA">
        <w:rPr>
          <w:lang w:eastAsia="en-US"/>
        </w:rPr>
        <w:t>narrower</w:t>
      </w:r>
      <w:r>
        <w:rPr>
          <w:lang w:eastAsia="en-US"/>
        </w:rPr>
        <w:t xml:space="preserve"> </w:t>
      </w:r>
      <w:r w:rsidRPr="00EE5DAA">
        <w:rPr>
          <w:lang w:eastAsia="en-US"/>
        </w:rPr>
        <w:t>than</w:t>
      </w:r>
      <w:r>
        <w:rPr>
          <w:lang w:eastAsia="en-US"/>
        </w:rPr>
        <w:t xml:space="preserve"> </w:t>
      </w:r>
      <w:r w:rsidRPr="00EE5DAA">
        <w:rPr>
          <w:lang w:eastAsia="en-US"/>
        </w:rPr>
        <w:t>for</w:t>
      </w:r>
      <w:r>
        <w:rPr>
          <w:lang w:eastAsia="en-US"/>
        </w:rPr>
        <w:t xml:space="preserve"> </w:t>
      </w:r>
      <w:r w:rsidRPr="00EE5DAA">
        <w:rPr>
          <w:lang w:eastAsia="en-US"/>
        </w:rPr>
        <w:t>other</w:t>
      </w:r>
      <w:r>
        <w:rPr>
          <w:lang w:eastAsia="en-US"/>
        </w:rPr>
        <w:t xml:space="preserve"> </w:t>
      </w:r>
      <w:r w:rsidRPr="00EE5DAA">
        <w:rPr>
          <w:lang w:eastAsia="en-US"/>
        </w:rPr>
        <w:t>types</w:t>
      </w:r>
      <w:r>
        <w:rPr>
          <w:lang w:eastAsia="en-US"/>
        </w:rPr>
        <w:t xml:space="preserve"> </w:t>
      </w:r>
      <w:r w:rsidRPr="00EE5DAA">
        <w:rPr>
          <w:lang w:eastAsia="en-US"/>
        </w:rPr>
        <w:t>of</w:t>
      </w:r>
      <w:r>
        <w:rPr>
          <w:lang w:eastAsia="en-US"/>
        </w:rPr>
        <w:t xml:space="preserve"> </w:t>
      </w:r>
      <w:r w:rsidRPr="00EE5DAA">
        <w:rPr>
          <w:lang w:eastAsia="en-US"/>
        </w:rPr>
        <w:t>regulations,</w:t>
      </w:r>
      <w:r>
        <w:rPr>
          <w:lang w:eastAsia="en-US"/>
        </w:rPr>
        <w:t xml:space="preserve"> </w:t>
      </w:r>
      <w:r w:rsidRPr="00EE5DAA">
        <w:rPr>
          <w:lang w:eastAsia="en-US"/>
        </w:rPr>
        <w:t>and</w:t>
      </w:r>
      <w:r>
        <w:rPr>
          <w:lang w:eastAsia="en-US"/>
        </w:rPr>
        <w:t xml:space="preserve"> </w:t>
      </w:r>
      <w:r w:rsidRPr="00EE5DAA">
        <w:rPr>
          <w:lang w:eastAsia="en-US"/>
        </w:rPr>
        <w:t>is</w:t>
      </w:r>
      <w:r>
        <w:rPr>
          <w:lang w:eastAsia="en-US"/>
        </w:rPr>
        <w:t xml:space="preserve"> </w:t>
      </w:r>
      <w:r w:rsidRPr="00EE5DAA">
        <w:rPr>
          <w:lang w:eastAsia="en-US"/>
        </w:rPr>
        <w:t>likely</w:t>
      </w:r>
      <w:r>
        <w:rPr>
          <w:lang w:eastAsia="en-US"/>
        </w:rPr>
        <w:t xml:space="preserve"> </w:t>
      </w:r>
      <w:r w:rsidRPr="00EE5DAA">
        <w:rPr>
          <w:lang w:eastAsia="en-US"/>
        </w:rPr>
        <w:t>to</w:t>
      </w:r>
      <w:r>
        <w:rPr>
          <w:lang w:eastAsia="en-US"/>
        </w:rPr>
        <w:t xml:space="preserve"> </w:t>
      </w:r>
      <w:r w:rsidRPr="00EE5DAA">
        <w:rPr>
          <w:lang w:eastAsia="en-US"/>
        </w:rPr>
        <w:t>include</w:t>
      </w:r>
      <w:r>
        <w:rPr>
          <w:lang w:eastAsia="en-US"/>
        </w:rPr>
        <w:t xml:space="preserve"> </w:t>
      </w:r>
      <w:r w:rsidRPr="00EE5DAA">
        <w:rPr>
          <w:lang w:eastAsia="en-US"/>
        </w:rPr>
        <w:t>consideration</w:t>
      </w:r>
      <w:r>
        <w:rPr>
          <w:lang w:eastAsia="en-US"/>
        </w:rPr>
        <w:t xml:space="preserve"> </w:t>
      </w:r>
      <w:r w:rsidRPr="00EE5DAA">
        <w:rPr>
          <w:lang w:eastAsia="en-US"/>
        </w:rPr>
        <w:t>of</w:t>
      </w:r>
      <w:r>
        <w:rPr>
          <w:lang w:eastAsia="en-US"/>
        </w:rPr>
        <w:t xml:space="preserve"> </w:t>
      </w:r>
      <w:r w:rsidRPr="00EE5DAA">
        <w:rPr>
          <w:lang w:eastAsia="en-US"/>
        </w:rPr>
        <w:t>different</w:t>
      </w:r>
      <w:r>
        <w:rPr>
          <w:lang w:eastAsia="en-US"/>
        </w:rPr>
        <w:t xml:space="preserve"> </w:t>
      </w:r>
      <w:r w:rsidRPr="00EE5DAA">
        <w:rPr>
          <w:lang w:eastAsia="en-US"/>
        </w:rPr>
        <w:t>levels</w:t>
      </w:r>
      <w:r>
        <w:rPr>
          <w:lang w:eastAsia="en-US"/>
        </w:rPr>
        <w:t xml:space="preserve"> </w:t>
      </w:r>
      <w:r w:rsidRPr="00EE5DAA">
        <w:rPr>
          <w:lang w:eastAsia="en-US"/>
        </w:rPr>
        <w:t>of</w:t>
      </w:r>
      <w:r>
        <w:rPr>
          <w:lang w:eastAsia="en-US"/>
        </w:rPr>
        <w:t xml:space="preserve"> </w:t>
      </w:r>
      <w:r w:rsidRPr="00EE5DAA">
        <w:rPr>
          <w:lang w:eastAsia="en-US"/>
        </w:rPr>
        <w:t>service</w:t>
      </w:r>
      <w:r>
        <w:rPr>
          <w:lang w:eastAsia="en-US"/>
        </w:rPr>
        <w:t xml:space="preserve"> </w:t>
      </w:r>
      <w:r w:rsidRPr="00EE5DAA">
        <w:rPr>
          <w:lang w:eastAsia="en-US"/>
        </w:rPr>
        <w:t>provision</w:t>
      </w:r>
      <w:r>
        <w:rPr>
          <w:lang w:eastAsia="en-US"/>
        </w:rPr>
        <w:t xml:space="preserve"> </w:t>
      </w:r>
      <w:r w:rsidRPr="00EE5DAA">
        <w:rPr>
          <w:lang w:eastAsia="en-US"/>
        </w:rPr>
        <w:t>that</w:t>
      </w:r>
      <w:r>
        <w:rPr>
          <w:lang w:eastAsia="en-US"/>
        </w:rPr>
        <w:t xml:space="preserve"> </w:t>
      </w:r>
      <w:r w:rsidRPr="00EE5DAA">
        <w:rPr>
          <w:lang w:eastAsia="en-US"/>
        </w:rPr>
        <w:t>are</w:t>
      </w:r>
      <w:r>
        <w:rPr>
          <w:lang w:eastAsia="en-US"/>
        </w:rPr>
        <w:t xml:space="preserve"> </w:t>
      </w:r>
      <w:r w:rsidRPr="00EE5DAA">
        <w:rPr>
          <w:lang w:eastAsia="en-US"/>
        </w:rPr>
        <w:t>to</w:t>
      </w:r>
      <w:r>
        <w:rPr>
          <w:lang w:eastAsia="en-US"/>
        </w:rPr>
        <w:t xml:space="preserve"> </w:t>
      </w:r>
      <w:r w:rsidRPr="00EE5DAA">
        <w:rPr>
          <w:lang w:eastAsia="en-US"/>
        </w:rPr>
        <w:t>be</w:t>
      </w:r>
      <w:r>
        <w:rPr>
          <w:lang w:eastAsia="en-US"/>
        </w:rPr>
        <w:t xml:space="preserve"> </w:t>
      </w:r>
      <w:r w:rsidRPr="00EE5DAA">
        <w:rPr>
          <w:lang w:eastAsia="en-US"/>
        </w:rPr>
        <w:t>funded</w:t>
      </w:r>
      <w:r>
        <w:rPr>
          <w:lang w:eastAsia="en-US"/>
        </w:rPr>
        <w:t xml:space="preserve"> </w:t>
      </w:r>
      <w:r w:rsidRPr="00EE5DAA">
        <w:rPr>
          <w:lang w:eastAsia="en-US"/>
        </w:rPr>
        <w:t>through</w:t>
      </w:r>
      <w:r>
        <w:rPr>
          <w:lang w:eastAsia="en-US"/>
        </w:rPr>
        <w:t xml:space="preserve"> </w:t>
      </w:r>
      <w:r w:rsidRPr="00EE5DAA">
        <w:rPr>
          <w:lang w:eastAsia="en-US"/>
        </w:rPr>
        <w:t>fees</w:t>
      </w:r>
      <w:r>
        <w:rPr>
          <w:lang w:eastAsia="en-US"/>
        </w:rPr>
        <w:t xml:space="preserve"> </w:t>
      </w:r>
      <w:r w:rsidRPr="00EE5DAA">
        <w:rPr>
          <w:lang w:eastAsia="en-US"/>
        </w:rPr>
        <w:t>and</w:t>
      </w:r>
      <w:r>
        <w:rPr>
          <w:lang w:eastAsia="en-US"/>
        </w:rPr>
        <w:t xml:space="preserve"> </w:t>
      </w:r>
      <w:r w:rsidRPr="00EE5DAA">
        <w:rPr>
          <w:lang w:eastAsia="en-US"/>
        </w:rPr>
        <w:t>charges;</w:t>
      </w:r>
      <w:r>
        <w:rPr>
          <w:lang w:eastAsia="en-US"/>
        </w:rPr>
        <w:t xml:space="preserve"> </w:t>
      </w:r>
      <w:r w:rsidRPr="00EE5DAA">
        <w:rPr>
          <w:lang w:eastAsia="en-US"/>
        </w:rPr>
        <w:t>different</w:t>
      </w:r>
      <w:r>
        <w:rPr>
          <w:lang w:eastAsia="en-US"/>
        </w:rPr>
        <w:t xml:space="preserve"> </w:t>
      </w:r>
      <w:r w:rsidRPr="00EE5DAA">
        <w:rPr>
          <w:lang w:eastAsia="en-US"/>
        </w:rPr>
        <w:t>types</w:t>
      </w:r>
      <w:r>
        <w:rPr>
          <w:lang w:eastAsia="en-US"/>
        </w:rPr>
        <w:t xml:space="preserve"> </w:t>
      </w:r>
      <w:r w:rsidRPr="00EE5DAA">
        <w:rPr>
          <w:lang w:eastAsia="en-US"/>
        </w:rPr>
        <w:t>of</w:t>
      </w:r>
      <w:r>
        <w:rPr>
          <w:lang w:eastAsia="en-US"/>
        </w:rPr>
        <w:t xml:space="preserve"> </w:t>
      </w:r>
      <w:r w:rsidRPr="00EE5DAA">
        <w:rPr>
          <w:lang w:eastAsia="en-US"/>
        </w:rPr>
        <w:t>fee</w:t>
      </w:r>
      <w:r>
        <w:rPr>
          <w:lang w:eastAsia="en-US"/>
        </w:rPr>
        <w:t xml:space="preserve"> </w:t>
      </w:r>
      <w:r w:rsidRPr="00EE5DAA">
        <w:rPr>
          <w:lang w:eastAsia="en-US"/>
        </w:rPr>
        <w:t>structures;</w:t>
      </w:r>
      <w:r>
        <w:rPr>
          <w:lang w:eastAsia="en-US"/>
        </w:rPr>
        <w:t xml:space="preserve"> </w:t>
      </w:r>
      <w:r w:rsidRPr="00EE5DAA">
        <w:rPr>
          <w:lang w:eastAsia="en-US"/>
        </w:rPr>
        <w:t>and</w:t>
      </w:r>
      <w:r>
        <w:rPr>
          <w:lang w:eastAsia="en-US"/>
        </w:rPr>
        <w:t xml:space="preserve"> </w:t>
      </w:r>
      <w:r w:rsidRPr="00EE5DAA">
        <w:rPr>
          <w:lang w:eastAsia="en-US"/>
        </w:rPr>
        <w:t>different</w:t>
      </w:r>
      <w:r>
        <w:rPr>
          <w:lang w:eastAsia="en-US"/>
        </w:rPr>
        <w:t xml:space="preserve"> </w:t>
      </w:r>
      <w:r w:rsidRPr="00EE5DAA">
        <w:rPr>
          <w:lang w:eastAsia="en-US"/>
        </w:rPr>
        <w:t>levels</w:t>
      </w:r>
      <w:r>
        <w:rPr>
          <w:lang w:eastAsia="en-US"/>
        </w:rPr>
        <w:t xml:space="preserve"> </w:t>
      </w:r>
      <w:r w:rsidRPr="00EE5DAA">
        <w:rPr>
          <w:lang w:eastAsia="en-US"/>
        </w:rPr>
        <w:t>of</w:t>
      </w:r>
      <w:r>
        <w:rPr>
          <w:lang w:eastAsia="en-US"/>
        </w:rPr>
        <w:t xml:space="preserve"> </w:t>
      </w:r>
      <w:r w:rsidRPr="00EE5DAA">
        <w:rPr>
          <w:lang w:eastAsia="en-US"/>
        </w:rPr>
        <w:t>cost</w:t>
      </w:r>
      <w:r>
        <w:rPr>
          <w:lang w:eastAsia="en-US"/>
        </w:rPr>
        <w:t xml:space="preserve"> sharing</w:t>
      </w:r>
      <w:r w:rsidRPr="00EE5DAA">
        <w:rPr>
          <w:lang w:eastAsia="en-US"/>
        </w:rPr>
        <w:t>.</w:t>
      </w:r>
      <w:r>
        <w:rPr>
          <w:lang w:eastAsia="en-US"/>
        </w:rPr>
        <w:t xml:space="preserve"> </w:t>
      </w:r>
    </w:p>
    <w:p w14:paraId="67312544" w14:textId="77777777" w:rsidR="00860263" w:rsidRDefault="00860263" w:rsidP="00860263">
      <w:pPr>
        <w:pStyle w:val="Heading3"/>
      </w:pPr>
      <w:r>
        <w:t>3.4.1</w:t>
      </w:r>
      <w:r>
        <w:tab/>
        <w:t>Alternative options as to amount of additional revenue</w:t>
      </w:r>
      <w:r w:rsidR="008A4946">
        <w:t xml:space="preserve"> raised</w:t>
      </w:r>
    </w:p>
    <w:p w14:paraId="636F8056" w14:textId="77777777" w:rsidR="00860263" w:rsidRPr="0008580A" w:rsidRDefault="00860263" w:rsidP="00860263">
      <w:pPr>
        <w:pStyle w:val="Body"/>
        <w:rPr>
          <w:rFonts w:eastAsia="Calibri"/>
        </w:rPr>
      </w:pPr>
      <w:r w:rsidRPr="0008580A">
        <w:rPr>
          <w:rFonts w:eastAsia="Calibri"/>
        </w:rPr>
        <w:t xml:space="preserve">An alternative is a lower level of overall revenue to be collected, with </w:t>
      </w:r>
      <w:r w:rsidR="00111838">
        <w:rPr>
          <w:rFonts w:eastAsia="Calibri"/>
        </w:rPr>
        <w:t>a consequential reduction in initiatives and program expenditure</w:t>
      </w:r>
      <w:r w:rsidRPr="0008580A">
        <w:rPr>
          <w:rFonts w:eastAsia="Calibri"/>
        </w:rPr>
        <w:t xml:space="preserve">. </w:t>
      </w:r>
    </w:p>
    <w:p w14:paraId="479B4CE4" w14:textId="77777777" w:rsidR="00860263" w:rsidRDefault="00CB6A83" w:rsidP="00860263">
      <w:pPr>
        <w:pStyle w:val="Body"/>
        <w:rPr>
          <w:rFonts w:eastAsia="Calibri"/>
        </w:rPr>
      </w:pPr>
      <w:r>
        <w:rPr>
          <w:rFonts w:eastAsia="Calibri"/>
        </w:rPr>
        <w:t>Such an option</w:t>
      </w:r>
      <w:r w:rsidR="00860263">
        <w:rPr>
          <w:rFonts w:eastAsia="Calibri"/>
        </w:rPr>
        <w:t xml:space="preserve"> would be to increase the licence prices by a smaller amount, </w:t>
      </w:r>
      <w:r w:rsidR="00E01D1F">
        <w:rPr>
          <w:rFonts w:eastAsia="Calibri"/>
        </w:rPr>
        <w:t xml:space="preserve">for example, </w:t>
      </w:r>
      <w:r w:rsidR="00860263">
        <w:rPr>
          <w:rFonts w:eastAsia="Calibri"/>
        </w:rPr>
        <w:t>to raise an additional $</w:t>
      </w:r>
      <w:r>
        <w:rPr>
          <w:rFonts w:eastAsia="Calibri"/>
        </w:rPr>
        <w:t>1.8</w:t>
      </w:r>
      <w:r w:rsidR="00860263">
        <w:rPr>
          <w:rFonts w:eastAsia="Calibri"/>
        </w:rPr>
        <w:t xml:space="preserve"> million in 201</w:t>
      </w:r>
      <w:r>
        <w:rPr>
          <w:rFonts w:eastAsia="Calibri"/>
        </w:rPr>
        <w:t>6/17</w:t>
      </w:r>
      <w:r w:rsidR="00860263">
        <w:rPr>
          <w:rFonts w:eastAsia="Calibri"/>
        </w:rPr>
        <w:t xml:space="preserve"> (total revenue from </w:t>
      </w:r>
      <w:r>
        <w:rPr>
          <w:rFonts w:eastAsia="Calibri"/>
        </w:rPr>
        <w:t>RFLs</w:t>
      </w:r>
      <w:r w:rsidR="00860263">
        <w:rPr>
          <w:rFonts w:eastAsia="Calibri"/>
        </w:rPr>
        <w:t xml:space="preserve"> of $</w:t>
      </w:r>
      <w:r>
        <w:rPr>
          <w:rFonts w:eastAsia="Calibri"/>
        </w:rPr>
        <w:t>8.9</w:t>
      </w:r>
      <w:r w:rsidR="00860263">
        <w:rPr>
          <w:rFonts w:eastAsia="Calibri"/>
        </w:rPr>
        <w:t xml:space="preserve"> million). The licence prices needed to generate this revenue are set out below:</w:t>
      </w:r>
    </w:p>
    <w:p w14:paraId="2BE1A504" w14:textId="77777777" w:rsidR="00860263" w:rsidRPr="00B20C1D" w:rsidRDefault="00860263" w:rsidP="00F97BD4">
      <w:pPr>
        <w:pStyle w:val="Bullet"/>
      </w:pPr>
      <w:r w:rsidRPr="008D2695">
        <w:rPr>
          <w:rFonts w:eastAsia="Calibri"/>
        </w:rPr>
        <w:t>3-</w:t>
      </w:r>
      <w:r w:rsidRPr="00B20C1D">
        <w:t>year licence – $</w:t>
      </w:r>
      <w:r w:rsidR="00CB6A83">
        <w:t>85</w:t>
      </w:r>
    </w:p>
    <w:p w14:paraId="0A844A4C" w14:textId="77777777" w:rsidR="00860263" w:rsidRPr="00B20C1D" w:rsidRDefault="00CB6A83" w:rsidP="00F97BD4">
      <w:pPr>
        <w:pStyle w:val="Bullet"/>
      </w:pPr>
      <w:r>
        <w:t>1-year licence – $30</w:t>
      </w:r>
    </w:p>
    <w:p w14:paraId="1022EFCC" w14:textId="77777777" w:rsidR="00860263" w:rsidRPr="00B20C1D" w:rsidRDefault="00860263" w:rsidP="00F97BD4">
      <w:pPr>
        <w:pStyle w:val="Bullet"/>
      </w:pPr>
      <w:r w:rsidRPr="008D2695">
        <w:t>28-day licence – $1</w:t>
      </w:r>
      <w:r w:rsidR="00CB6A83">
        <w:t>5</w:t>
      </w:r>
    </w:p>
    <w:p w14:paraId="275622B4" w14:textId="77777777" w:rsidR="00860263" w:rsidRPr="008D2695" w:rsidRDefault="00272EE9" w:rsidP="00F97BD4">
      <w:pPr>
        <w:pStyle w:val="Bullet"/>
      </w:pPr>
      <w:r>
        <w:t>3</w:t>
      </w:r>
      <w:r w:rsidR="00860263" w:rsidRPr="00B20C1D">
        <w:t>-day</w:t>
      </w:r>
      <w:r w:rsidR="00CB6A83">
        <w:t xml:space="preserve"> licence – $8</w:t>
      </w:r>
    </w:p>
    <w:p w14:paraId="2E7E12B5" w14:textId="77777777" w:rsidR="00860263" w:rsidRDefault="00860263" w:rsidP="00860263">
      <w:pPr>
        <w:pStyle w:val="Body"/>
        <w:rPr>
          <w:rFonts w:eastAsia="Calibri"/>
        </w:rPr>
      </w:pPr>
      <w:r>
        <w:rPr>
          <w:rFonts w:eastAsia="Calibri"/>
        </w:rPr>
        <w:t xml:space="preserve">While this has a smaller direct impact on licence holders, it is difficult to directly assess whether this is a better outcome than the proposed price changes. This is because the relative benefits of a smaller revenue increase depend on the likely magnitude of benefits of </w:t>
      </w:r>
      <w:r w:rsidR="00CB6A83">
        <w:rPr>
          <w:rFonts w:eastAsia="Calibri"/>
        </w:rPr>
        <w:t>the</w:t>
      </w:r>
      <w:r>
        <w:rPr>
          <w:rFonts w:eastAsia="Calibri"/>
        </w:rPr>
        <w:t xml:space="preserve"> particular </w:t>
      </w:r>
      <w:r w:rsidR="002401BD">
        <w:rPr>
          <w:rFonts w:eastAsia="Calibri"/>
        </w:rPr>
        <w:t>initiatives and programs</w:t>
      </w:r>
      <w:r w:rsidR="00CB6A83">
        <w:rPr>
          <w:rFonts w:eastAsia="Calibri"/>
        </w:rPr>
        <w:t xml:space="preserve"> that can be funded from the revenue</w:t>
      </w:r>
      <w:r>
        <w:rPr>
          <w:rFonts w:eastAsia="Calibri"/>
        </w:rPr>
        <w:t xml:space="preserve">. </w:t>
      </w:r>
      <w:r w:rsidR="006D6AB1">
        <w:rPr>
          <w:rFonts w:eastAsia="Calibri"/>
        </w:rPr>
        <w:t xml:space="preserve">However, while such an approach would </w:t>
      </w:r>
      <w:r w:rsidR="006D6AB1" w:rsidRPr="006D6AB1">
        <w:rPr>
          <w:rFonts w:eastAsia="Calibri"/>
        </w:rPr>
        <w:t xml:space="preserve">collect a lower level of overall revenue and therefore fund fewer </w:t>
      </w:r>
      <w:r w:rsidR="002401BD">
        <w:rPr>
          <w:rFonts w:eastAsia="Calibri"/>
        </w:rPr>
        <w:t>initiatives</w:t>
      </w:r>
      <w:r w:rsidR="006D6AB1" w:rsidRPr="006D6AB1">
        <w:rPr>
          <w:rFonts w:eastAsia="Calibri"/>
        </w:rPr>
        <w:t xml:space="preserve"> than would be funded under the preferred option</w:t>
      </w:r>
      <w:r w:rsidR="006D6AB1">
        <w:rPr>
          <w:rFonts w:eastAsia="Calibri"/>
        </w:rPr>
        <w:t>, there would be a higher overall economic return</w:t>
      </w:r>
      <w:r w:rsidR="006D6AB1" w:rsidRPr="006D6AB1">
        <w:rPr>
          <w:rFonts w:eastAsia="Calibri"/>
        </w:rPr>
        <w:t xml:space="preserve"> </w:t>
      </w:r>
      <w:r w:rsidR="006D6AB1">
        <w:rPr>
          <w:rFonts w:eastAsia="Calibri"/>
        </w:rPr>
        <w:t xml:space="preserve">on that expenditure, as the </w:t>
      </w:r>
      <w:r w:rsidR="002401BD">
        <w:rPr>
          <w:rFonts w:eastAsia="Calibri"/>
        </w:rPr>
        <w:t>expenditure</w:t>
      </w:r>
      <w:r w:rsidR="006D6AB1">
        <w:rPr>
          <w:rFonts w:eastAsia="Calibri"/>
        </w:rPr>
        <w:t xml:space="preserve"> would be more likely to go to </w:t>
      </w:r>
      <w:r w:rsidR="002401BD">
        <w:rPr>
          <w:rFonts w:eastAsia="Calibri"/>
        </w:rPr>
        <w:t>initiatives</w:t>
      </w:r>
      <w:r w:rsidR="006D6AB1">
        <w:rPr>
          <w:rFonts w:eastAsia="Calibri"/>
        </w:rPr>
        <w:t xml:space="preserve"> with higher net economic benefits. </w:t>
      </w:r>
    </w:p>
    <w:p w14:paraId="35A06FE3" w14:textId="77777777" w:rsidR="00CB6A83" w:rsidRDefault="00860263" w:rsidP="00860263">
      <w:pPr>
        <w:pStyle w:val="Body"/>
        <w:rPr>
          <w:rFonts w:eastAsia="Calibri"/>
        </w:rPr>
      </w:pPr>
      <w:r>
        <w:rPr>
          <w:rFonts w:eastAsia="Calibri"/>
        </w:rPr>
        <w:t xml:space="preserve">Based on feedback from stakeholder representative groups, </w:t>
      </w:r>
      <w:r w:rsidR="00CB6A83">
        <w:rPr>
          <w:rFonts w:eastAsia="Calibri"/>
        </w:rPr>
        <w:t>Fisheries Victoria</w:t>
      </w:r>
      <w:r>
        <w:rPr>
          <w:rFonts w:eastAsia="Calibri"/>
        </w:rPr>
        <w:t xml:space="preserve"> believes there is a high degree of willingness to pay additional fees</w:t>
      </w:r>
      <w:r w:rsidR="002401BD">
        <w:rPr>
          <w:rFonts w:eastAsia="Calibri"/>
        </w:rPr>
        <w:t xml:space="preserve"> to fund initiatives and programs that will have</w:t>
      </w:r>
      <w:r>
        <w:rPr>
          <w:rFonts w:eastAsia="Calibri"/>
        </w:rPr>
        <w:t xml:space="preserve"> a net benefit to the sector. </w:t>
      </w:r>
      <w:r w:rsidR="00881028">
        <w:rPr>
          <w:rFonts w:eastAsia="Calibri"/>
        </w:rPr>
        <w:t xml:space="preserve">It is acknowledged that these representative groups may not reflect the views of all recreational fishers, and as such this RIS invites all recreational fishers to comment on whether, and to what extent, there is a willingness to pay higher fees to support increased funding of recreational fishing </w:t>
      </w:r>
      <w:r w:rsidR="002401BD">
        <w:rPr>
          <w:rFonts w:eastAsia="Calibri"/>
        </w:rPr>
        <w:t>initiatives</w:t>
      </w:r>
      <w:r w:rsidR="00881028">
        <w:rPr>
          <w:rFonts w:eastAsia="Calibri"/>
        </w:rPr>
        <w:t>.</w:t>
      </w:r>
    </w:p>
    <w:p w14:paraId="66F131E7" w14:textId="77777777" w:rsidR="00826704" w:rsidRDefault="005164E5" w:rsidP="0031277A">
      <w:pPr>
        <w:pStyle w:val="Body"/>
        <w:rPr>
          <w:rFonts w:eastAsia="Calibri"/>
        </w:rPr>
      </w:pPr>
      <w:r>
        <w:rPr>
          <w:rFonts w:eastAsia="Calibri"/>
        </w:rPr>
        <w:t>While this option is included in the following analysis, t</w:t>
      </w:r>
      <w:r w:rsidR="00256C29">
        <w:rPr>
          <w:rFonts w:eastAsia="Calibri"/>
        </w:rPr>
        <w:t xml:space="preserve">his option is included </w:t>
      </w:r>
      <w:r>
        <w:rPr>
          <w:rFonts w:eastAsia="Calibri"/>
        </w:rPr>
        <w:t xml:space="preserve">primarily </w:t>
      </w:r>
      <w:r w:rsidR="00256C29">
        <w:rPr>
          <w:rFonts w:eastAsia="Calibri"/>
        </w:rPr>
        <w:t>for discussion purposes and stakeholder comment is encouraged.</w:t>
      </w:r>
    </w:p>
    <w:p w14:paraId="4E144DF9" w14:textId="77777777" w:rsidR="00592863" w:rsidRPr="00F6413A" w:rsidRDefault="00F6413A" w:rsidP="00F6413A">
      <w:pPr>
        <w:pStyle w:val="Heading3"/>
      </w:pPr>
      <w:r>
        <w:t>3.4.2</w:t>
      </w:r>
      <w:r>
        <w:tab/>
      </w:r>
      <w:r w:rsidRPr="00F6413A">
        <w:t>Alternative options as to the stru</w:t>
      </w:r>
      <w:r>
        <w:t>ct</w:t>
      </w:r>
      <w:r w:rsidRPr="00F6413A">
        <w:t>ure of fees</w:t>
      </w:r>
    </w:p>
    <w:p w14:paraId="7C00283D" w14:textId="77777777" w:rsidR="00860263" w:rsidRPr="0008580A" w:rsidRDefault="00860263" w:rsidP="00860263">
      <w:pPr>
        <w:pStyle w:val="Body"/>
        <w:rPr>
          <w:rFonts w:eastAsia="Calibri"/>
        </w:rPr>
      </w:pPr>
      <w:r w:rsidRPr="0008580A">
        <w:rPr>
          <w:rFonts w:eastAsia="Calibri"/>
        </w:rPr>
        <w:t>The key alternative</w:t>
      </w:r>
      <w:r w:rsidR="004D17D2">
        <w:rPr>
          <w:rFonts w:eastAsia="Calibri"/>
        </w:rPr>
        <w:t xml:space="preserve"> options</w:t>
      </w:r>
      <w:r w:rsidRPr="0008580A">
        <w:rPr>
          <w:rFonts w:eastAsia="Calibri"/>
        </w:rPr>
        <w:t xml:space="preserve"> </w:t>
      </w:r>
      <w:r>
        <w:rPr>
          <w:rFonts w:eastAsia="Calibri"/>
        </w:rPr>
        <w:t>assessed i</w:t>
      </w:r>
      <w:r w:rsidRPr="0008580A">
        <w:rPr>
          <w:rFonts w:eastAsia="Calibri"/>
        </w:rPr>
        <w:t>n this RIS go to different fee structures or designs</w:t>
      </w:r>
      <w:r>
        <w:rPr>
          <w:rFonts w:eastAsia="Calibri"/>
        </w:rPr>
        <w:t xml:space="preserve"> that will generate the</w:t>
      </w:r>
      <w:r w:rsidR="004D17D2">
        <w:rPr>
          <w:rFonts w:eastAsia="Calibri"/>
        </w:rPr>
        <w:t xml:space="preserve"> same</w:t>
      </w:r>
      <w:r>
        <w:rPr>
          <w:rFonts w:eastAsia="Calibri"/>
        </w:rPr>
        <w:t xml:space="preserve"> level of additional revenue </w:t>
      </w:r>
      <w:r w:rsidR="004D17D2">
        <w:rPr>
          <w:rFonts w:eastAsia="Calibri"/>
        </w:rPr>
        <w:t>as the proposed fee increases</w:t>
      </w:r>
      <w:r w:rsidRPr="0008580A">
        <w:rPr>
          <w:rFonts w:eastAsia="Calibri"/>
        </w:rPr>
        <w:t xml:space="preserve">. This means different ways the revenue could be collected across the recreational fishing </w:t>
      </w:r>
      <w:r>
        <w:rPr>
          <w:rFonts w:eastAsia="Calibri"/>
        </w:rPr>
        <w:t>community.</w:t>
      </w:r>
    </w:p>
    <w:p w14:paraId="2D14A3BF" w14:textId="77777777" w:rsidR="00860263" w:rsidRPr="0008580A" w:rsidRDefault="004D17D2" w:rsidP="00860263">
      <w:pPr>
        <w:pStyle w:val="Body"/>
        <w:rPr>
          <w:rFonts w:eastAsia="Calibri"/>
        </w:rPr>
      </w:pPr>
      <w:r>
        <w:rPr>
          <w:rFonts w:eastAsia="Calibri"/>
        </w:rPr>
        <w:t>Fisheries Victoria has</w:t>
      </w:r>
      <w:r w:rsidR="00860263">
        <w:rPr>
          <w:rFonts w:eastAsia="Calibri"/>
        </w:rPr>
        <w:t xml:space="preserve"> identified and assessed the following </w:t>
      </w:r>
      <w:r w:rsidR="00860263" w:rsidRPr="0008580A">
        <w:rPr>
          <w:rFonts w:eastAsia="Calibri"/>
        </w:rPr>
        <w:t>alternative option</w:t>
      </w:r>
      <w:r w:rsidR="00860263">
        <w:rPr>
          <w:rFonts w:eastAsia="Calibri"/>
        </w:rPr>
        <w:t>s</w:t>
      </w:r>
      <w:r w:rsidR="00860263" w:rsidRPr="0008580A">
        <w:rPr>
          <w:rFonts w:eastAsia="Calibri"/>
        </w:rPr>
        <w:t>:</w:t>
      </w:r>
    </w:p>
    <w:p w14:paraId="0BDAAC55" w14:textId="77777777" w:rsidR="00860263" w:rsidRDefault="004D17D2" w:rsidP="00F97BD4">
      <w:pPr>
        <w:pStyle w:val="Bullet"/>
      </w:pPr>
      <w:r w:rsidRPr="00A03FD3">
        <w:rPr>
          <w:b/>
        </w:rPr>
        <w:t>Expanding the categories of recreational fishers required to hold a licence</w:t>
      </w:r>
      <w:r>
        <w:t xml:space="preserve"> (i.e., remove current exemptions) would allow the revenue requirement to be spread over a greater number of fishers</w:t>
      </w:r>
      <w:r w:rsidR="00860263">
        <w:t>.</w:t>
      </w:r>
      <w:r>
        <w:t xml:space="preserve"> There are two sub-options in this approach—the same fees for all </w:t>
      </w:r>
      <w:proofErr w:type="gramStart"/>
      <w:r>
        <w:t>fishers,</w:t>
      </w:r>
      <w:proofErr w:type="gramEnd"/>
      <w:r>
        <w:t xml:space="preserve"> or a concession rate </w:t>
      </w:r>
      <w:r w:rsidR="00C06EA0">
        <w:t xml:space="preserve">(of half the standard fee) </w:t>
      </w:r>
      <w:r>
        <w:t xml:space="preserve">for those </w:t>
      </w:r>
      <w:r w:rsidR="00C06EA0">
        <w:t>currently</w:t>
      </w:r>
      <w:r>
        <w:t xml:space="preserve"> exempt.</w:t>
      </w:r>
      <w:r w:rsidR="00C06EA0">
        <w:rPr>
          <w:rStyle w:val="FootnoteReference"/>
        </w:rPr>
        <w:footnoteReference w:id="8"/>
      </w:r>
    </w:p>
    <w:p w14:paraId="5F11F977" w14:textId="77777777" w:rsidR="00F25682" w:rsidRDefault="00F25682" w:rsidP="00F97BD4">
      <w:pPr>
        <w:pStyle w:val="Bullet"/>
        <w:numPr>
          <w:ilvl w:val="0"/>
          <w:numId w:val="0"/>
        </w:numPr>
        <w:ind w:left="284"/>
      </w:pPr>
      <w:r>
        <w:t>It is difficult to precisely estimate the fees required under these options, as the number of recreational fishers is not precisely known. Further, within the licensed fisher categories and the currently exempt categories, there is limited information about how frequently an individual fisher would fish each year (i.e., it is not know</w:t>
      </w:r>
      <w:r w:rsidR="00CE5815">
        <w:t>n</w:t>
      </w:r>
      <w:r>
        <w:t xml:space="preserve"> how many short term licences a single fisher purchases each year).</w:t>
      </w:r>
    </w:p>
    <w:p w14:paraId="4F9C3A19" w14:textId="77777777" w:rsidR="00F25682" w:rsidRDefault="00F25682" w:rsidP="00F97BD4">
      <w:pPr>
        <w:pStyle w:val="Bullet"/>
        <w:numPr>
          <w:ilvl w:val="0"/>
          <w:numId w:val="0"/>
        </w:numPr>
        <w:ind w:left="284"/>
      </w:pPr>
      <w:r>
        <w:t>However, based on a number of simplifying assumptions an indicative</w:t>
      </w:r>
      <w:r w:rsidR="00C06EA0">
        <w:t xml:space="preserve"> fee structure has been identified. It is acknowledged that if such an option </w:t>
      </w:r>
      <w:r w:rsidR="006A57B2">
        <w:t>was to be adopted, substantial</w:t>
      </w:r>
      <w:r w:rsidR="00C06EA0">
        <w:t xml:space="preserve"> further work would need to be undertaken to better understand the implications of requiring currently exempt fishers from having to purchase a licence.</w:t>
      </w:r>
      <w:r w:rsidR="00846D4D">
        <w:t xml:space="preserve"> For example, for the purposes of this analysis, it is assumed that the rate of participation in fishing for the current exempt classes is similar to those that require a licence, and that the </w:t>
      </w:r>
      <w:r w:rsidR="004842B9">
        <w:t xml:space="preserve">distribution </w:t>
      </w:r>
      <w:r w:rsidR="00846D4D">
        <w:t>across licence types would also be the same. These are unlikely to be similar in practice.</w:t>
      </w:r>
    </w:p>
    <w:p w14:paraId="376DB231" w14:textId="77777777" w:rsidR="00C06EA0" w:rsidRDefault="00C06EA0" w:rsidP="00C06EA0">
      <w:pPr>
        <w:pStyle w:val="TableTitle"/>
      </w:pPr>
      <w:r>
        <w:t>Figure 3</w:t>
      </w:r>
      <w:r w:rsidR="00F35997">
        <w:t>H</w:t>
      </w:r>
      <w:r>
        <w:t xml:space="preserve"> – Fees under alterative option to expand fishers requiring a licence</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2051"/>
        <w:gridCol w:w="2409"/>
        <w:gridCol w:w="2168"/>
        <w:gridCol w:w="1888"/>
      </w:tblGrid>
      <w:tr w:rsidR="00C06EA0" w:rsidRPr="00BD7DCC" w14:paraId="3E8FDB6A" w14:textId="77777777" w:rsidTr="00E54D66">
        <w:tc>
          <w:tcPr>
            <w:tcW w:w="2051" w:type="dxa"/>
            <w:shd w:val="clear" w:color="auto" w:fill="1F497D" w:themeFill="text2"/>
          </w:tcPr>
          <w:p w14:paraId="0659C4DE" w14:textId="77777777" w:rsidR="00C06EA0" w:rsidRPr="00BD7DCC" w:rsidRDefault="00C06EA0" w:rsidP="00E54D66">
            <w:pPr>
              <w:pStyle w:val="Body"/>
              <w:rPr>
                <w:b/>
                <w:color w:val="FFFFFF" w:themeColor="background1"/>
              </w:rPr>
            </w:pPr>
            <w:r w:rsidRPr="00BD7DCC">
              <w:rPr>
                <w:b/>
                <w:color w:val="FFFFFF" w:themeColor="background1"/>
              </w:rPr>
              <w:t>RFL type</w:t>
            </w:r>
          </w:p>
        </w:tc>
        <w:tc>
          <w:tcPr>
            <w:tcW w:w="2409" w:type="dxa"/>
            <w:shd w:val="clear" w:color="auto" w:fill="1F497D" w:themeFill="text2"/>
          </w:tcPr>
          <w:p w14:paraId="3CE21B91" w14:textId="77777777" w:rsidR="00C06EA0" w:rsidRPr="00BD7DCC" w:rsidRDefault="00C06EA0" w:rsidP="00E54D66">
            <w:pPr>
              <w:pStyle w:val="Body"/>
              <w:jc w:val="center"/>
              <w:rPr>
                <w:b/>
                <w:color w:val="FFFFFF" w:themeColor="background1"/>
              </w:rPr>
            </w:pPr>
            <w:r>
              <w:rPr>
                <w:b/>
                <w:color w:val="FFFFFF" w:themeColor="background1"/>
              </w:rPr>
              <w:t>Current fee</w:t>
            </w:r>
          </w:p>
        </w:tc>
        <w:tc>
          <w:tcPr>
            <w:tcW w:w="2168" w:type="dxa"/>
            <w:shd w:val="clear" w:color="auto" w:fill="1F497D" w:themeFill="text2"/>
          </w:tcPr>
          <w:p w14:paraId="494855E1" w14:textId="77777777" w:rsidR="00C06EA0" w:rsidRDefault="00C06EA0" w:rsidP="00E54D66">
            <w:pPr>
              <w:pStyle w:val="Body"/>
              <w:jc w:val="center"/>
              <w:rPr>
                <w:b/>
                <w:color w:val="FFFFFF" w:themeColor="background1"/>
              </w:rPr>
            </w:pPr>
            <w:r>
              <w:rPr>
                <w:b/>
                <w:color w:val="FFFFFF" w:themeColor="background1"/>
              </w:rPr>
              <w:t>Fee if no exemptions</w:t>
            </w:r>
          </w:p>
        </w:tc>
        <w:tc>
          <w:tcPr>
            <w:tcW w:w="1888" w:type="dxa"/>
            <w:shd w:val="clear" w:color="auto" w:fill="1F497D" w:themeFill="text2"/>
          </w:tcPr>
          <w:p w14:paraId="77136829" w14:textId="77777777" w:rsidR="00C06EA0" w:rsidRDefault="00C06EA0" w:rsidP="00E54D66">
            <w:pPr>
              <w:pStyle w:val="Body"/>
              <w:jc w:val="center"/>
              <w:rPr>
                <w:b/>
                <w:color w:val="FFFFFF" w:themeColor="background1"/>
              </w:rPr>
            </w:pPr>
            <w:r>
              <w:rPr>
                <w:b/>
                <w:color w:val="FFFFFF" w:themeColor="background1"/>
              </w:rPr>
              <w:t>Fee if exempt classes become concession classes</w:t>
            </w:r>
            <w:r w:rsidR="00546385">
              <w:rPr>
                <w:b/>
                <w:color w:val="FFFFFF" w:themeColor="background1"/>
              </w:rPr>
              <w:t>*</w:t>
            </w:r>
          </w:p>
        </w:tc>
      </w:tr>
      <w:tr w:rsidR="00C06EA0" w14:paraId="4314DA8B" w14:textId="77777777" w:rsidTr="00E54D66">
        <w:tc>
          <w:tcPr>
            <w:tcW w:w="2051" w:type="dxa"/>
          </w:tcPr>
          <w:p w14:paraId="2FE1485A" w14:textId="77777777" w:rsidR="00C06EA0" w:rsidRDefault="00C06EA0" w:rsidP="00E54D66">
            <w:pPr>
              <w:pStyle w:val="Body"/>
            </w:pPr>
            <w:r>
              <w:t>3 year licence</w:t>
            </w:r>
          </w:p>
        </w:tc>
        <w:tc>
          <w:tcPr>
            <w:tcW w:w="2409" w:type="dxa"/>
          </w:tcPr>
          <w:p w14:paraId="70A16C2D" w14:textId="77777777" w:rsidR="00C06EA0" w:rsidRDefault="00C06EA0" w:rsidP="006A57B2">
            <w:pPr>
              <w:pStyle w:val="Body"/>
              <w:ind w:right="700"/>
              <w:jc w:val="right"/>
            </w:pPr>
            <w:r>
              <w:t>$66</w:t>
            </w:r>
            <w:r w:rsidR="006A57B2">
              <w:t>.00</w:t>
            </w:r>
          </w:p>
        </w:tc>
        <w:tc>
          <w:tcPr>
            <w:tcW w:w="2168" w:type="dxa"/>
          </w:tcPr>
          <w:p w14:paraId="7BBFDF1F" w14:textId="77777777" w:rsidR="00C06EA0" w:rsidRDefault="00C06EA0" w:rsidP="00FB25DB">
            <w:pPr>
              <w:pStyle w:val="Body"/>
              <w:ind w:right="600"/>
              <w:jc w:val="right"/>
            </w:pPr>
            <w:r>
              <w:t>$5</w:t>
            </w:r>
            <w:r w:rsidR="00FB25DB">
              <w:t>0</w:t>
            </w:r>
            <w:r w:rsidR="006A57B2">
              <w:t>.00</w:t>
            </w:r>
          </w:p>
        </w:tc>
        <w:tc>
          <w:tcPr>
            <w:tcW w:w="1888" w:type="dxa"/>
          </w:tcPr>
          <w:p w14:paraId="0ADFB44E" w14:textId="77777777" w:rsidR="00C06EA0" w:rsidRDefault="00546385" w:rsidP="006A57B2">
            <w:pPr>
              <w:pStyle w:val="Body"/>
              <w:ind w:right="416"/>
              <w:jc w:val="right"/>
            </w:pPr>
            <w:r>
              <w:t>$70</w:t>
            </w:r>
            <w:r w:rsidR="006A57B2">
              <w:t>.00</w:t>
            </w:r>
          </w:p>
        </w:tc>
      </w:tr>
      <w:tr w:rsidR="00C06EA0" w14:paraId="0D93072E" w14:textId="77777777" w:rsidTr="00E54D66">
        <w:tc>
          <w:tcPr>
            <w:tcW w:w="2051" w:type="dxa"/>
          </w:tcPr>
          <w:p w14:paraId="1210E7E8" w14:textId="77777777" w:rsidR="00C06EA0" w:rsidRDefault="00C06EA0" w:rsidP="00E54D66">
            <w:pPr>
              <w:pStyle w:val="Body"/>
            </w:pPr>
            <w:r>
              <w:t>1 year licence</w:t>
            </w:r>
          </w:p>
        </w:tc>
        <w:tc>
          <w:tcPr>
            <w:tcW w:w="2409" w:type="dxa"/>
          </w:tcPr>
          <w:p w14:paraId="2D9D67DB" w14:textId="77777777" w:rsidR="00C06EA0" w:rsidRDefault="00C06EA0" w:rsidP="006A57B2">
            <w:pPr>
              <w:pStyle w:val="Body"/>
              <w:ind w:right="700"/>
              <w:jc w:val="right"/>
            </w:pPr>
            <w:r>
              <w:t>$24.50</w:t>
            </w:r>
          </w:p>
        </w:tc>
        <w:tc>
          <w:tcPr>
            <w:tcW w:w="2168" w:type="dxa"/>
          </w:tcPr>
          <w:p w14:paraId="0AA5F55C" w14:textId="77777777" w:rsidR="00C06EA0" w:rsidRDefault="00C06EA0" w:rsidP="00FB25DB">
            <w:pPr>
              <w:pStyle w:val="Body"/>
              <w:ind w:right="600"/>
              <w:jc w:val="right"/>
            </w:pPr>
            <w:r>
              <w:t>$1</w:t>
            </w:r>
            <w:r w:rsidR="00FB25DB">
              <w:t>7</w:t>
            </w:r>
            <w:r w:rsidR="006A57B2">
              <w:t>.</w:t>
            </w:r>
            <w:r w:rsidR="00FB25DB">
              <w:t>5</w:t>
            </w:r>
            <w:r w:rsidR="006A57B2">
              <w:t>0</w:t>
            </w:r>
          </w:p>
        </w:tc>
        <w:tc>
          <w:tcPr>
            <w:tcW w:w="1888" w:type="dxa"/>
          </w:tcPr>
          <w:p w14:paraId="1BC271C3" w14:textId="77777777" w:rsidR="00C06EA0" w:rsidRDefault="00546385" w:rsidP="00FB25DB">
            <w:pPr>
              <w:pStyle w:val="Body"/>
              <w:ind w:right="416"/>
              <w:jc w:val="right"/>
            </w:pPr>
            <w:r>
              <w:t>$2</w:t>
            </w:r>
            <w:r w:rsidR="00FB25DB">
              <w:t>4.5</w:t>
            </w:r>
            <w:r w:rsidR="006A57B2">
              <w:t>0</w:t>
            </w:r>
          </w:p>
        </w:tc>
      </w:tr>
      <w:tr w:rsidR="00C06EA0" w14:paraId="35789AAF" w14:textId="77777777" w:rsidTr="00E54D66">
        <w:tc>
          <w:tcPr>
            <w:tcW w:w="2051" w:type="dxa"/>
          </w:tcPr>
          <w:p w14:paraId="5C87322C" w14:textId="77777777" w:rsidR="00C06EA0" w:rsidRDefault="00C06EA0" w:rsidP="00E54D66">
            <w:pPr>
              <w:pStyle w:val="Body"/>
            </w:pPr>
            <w:r>
              <w:t>28 day licence</w:t>
            </w:r>
          </w:p>
        </w:tc>
        <w:tc>
          <w:tcPr>
            <w:tcW w:w="2409" w:type="dxa"/>
          </w:tcPr>
          <w:p w14:paraId="499CA03E" w14:textId="77777777" w:rsidR="00C06EA0" w:rsidRDefault="00C06EA0" w:rsidP="006A57B2">
            <w:pPr>
              <w:pStyle w:val="Body"/>
              <w:ind w:right="700"/>
              <w:jc w:val="right"/>
            </w:pPr>
            <w:r>
              <w:t>$12</w:t>
            </w:r>
            <w:r w:rsidR="006A57B2">
              <w:t>.00</w:t>
            </w:r>
          </w:p>
        </w:tc>
        <w:tc>
          <w:tcPr>
            <w:tcW w:w="2168" w:type="dxa"/>
          </w:tcPr>
          <w:p w14:paraId="18BC57B2" w14:textId="77777777" w:rsidR="00C06EA0" w:rsidRDefault="00C06EA0" w:rsidP="00FB25DB">
            <w:pPr>
              <w:pStyle w:val="Body"/>
              <w:ind w:right="600"/>
              <w:jc w:val="right"/>
            </w:pPr>
            <w:r>
              <w:t>$10.</w:t>
            </w:r>
            <w:r w:rsidR="00FB25DB">
              <w:t>0</w:t>
            </w:r>
            <w:r>
              <w:t>0</w:t>
            </w:r>
          </w:p>
        </w:tc>
        <w:tc>
          <w:tcPr>
            <w:tcW w:w="1888" w:type="dxa"/>
          </w:tcPr>
          <w:p w14:paraId="0C7D1418" w14:textId="77777777" w:rsidR="00C06EA0" w:rsidRDefault="00546385" w:rsidP="00FB25DB">
            <w:pPr>
              <w:pStyle w:val="Body"/>
              <w:ind w:right="416"/>
              <w:jc w:val="right"/>
            </w:pPr>
            <w:r>
              <w:t>$1</w:t>
            </w:r>
            <w:r w:rsidR="00FB25DB">
              <w:t>2.5</w:t>
            </w:r>
            <w:r w:rsidR="006A57B2">
              <w:t>0</w:t>
            </w:r>
          </w:p>
        </w:tc>
      </w:tr>
      <w:tr w:rsidR="00C06EA0" w14:paraId="220D2C17" w14:textId="77777777" w:rsidTr="00E54D66">
        <w:tc>
          <w:tcPr>
            <w:tcW w:w="2051" w:type="dxa"/>
          </w:tcPr>
          <w:p w14:paraId="6ED30DBA" w14:textId="77777777" w:rsidR="00C06EA0" w:rsidRDefault="00624A0D" w:rsidP="00E54D66">
            <w:pPr>
              <w:pStyle w:val="Body"/>
            </w:pPr>
            <w:r>
              <w:t>2/</w:t>
            </w:r>
            <w:r w:rsidR="00272EE9">
              <w:t>3</w:t>
            </w:r>
            <w:r w:rsidR="00C06EA0">
              <w:t xml:space="preserve"> day licence</w:t>
            </w:r>
          </w:p>
        </w:tc>
        <w:tc>
          <w:tcPr>
            <w:tcW w:w="2409" w:type="dxa"/>
          </w:tcPr>
          <w:p w14:paraId="31C296D3" w14:textId="77777777" w:rsidR="00C06EA0" w:rsidRDefault="00C06EA0" w:rsidP="006A57B2">
            <w:pPr>
              <w:pStyle w:val="Body"/>
              <w:ind w:right="700"/>
              <w:jc w:val="right"/>
            </w:pPr>
            <w:r>
              <w:t>$6</w:t>
            </w:r>
            <w:r w:rsidR="006A57B2">
              <w:t>.00</w:t>
            </w:r>
          </w:p>
        </w:tc>
        <w:tc>
          <w:tcPr>
            <w:tcW w:w="2168" w:type="dxa"/>
          </w:tcPr>
          <w:p w14:paraId="1120F90B" w14:textId="77777777" w:rsidR="00C06EA0" w:rsidRDefault="00C06EA0" w:rsidP="006A57B2">
            <w:pPr>
              <w:pStyle w:val="Body"/>
              <w:ind w:right="600"/>
              <w:jc w:val="right"/>
            </w:pPr>
            <w:r>
              <w:t>$5.</w:t>
            </w:r>
            <w:r w:rsidR="00FB25DB">
              <w:t>4</w:t>
            </w:r>
            <w:r>
              <w:t>0</w:t>
            </w:r>
          </w:p>
        </w:tc>
        <w:tc>
          <w:tcPr>
            <w:tcW w:w="1888" w:type="dxa"/>
          </w:tcPr>
          <w:p w14:paraId="38FECD0D" w14:textId="77777777" w:rsidR="00C06EA0" w:rsidRDefault="00546385" w:rsidP="006A57B2">
            <w:pPr>
              <w:pStyle w:val="Body"/>
              <w:ind w:right="416"/>
              <w:jc w:val="right"/>
            </w:pPr>
            <w:r>
              <w:t>$6</w:t>
            </w:r>
            <w:r w:rsidR="004C623F">
              <w:t>.</w:t>
            </w:r>
            <w:r w:rsidR="00FB25DB">
              <w:t>4</w:t>
            </w:r>
            <w:r w:rsidR="004C623F">
              <w:t>0</w:t>
            </w:r>
          </w:p>
        </w:tc>
      </w:tr>
    </w:tbl>
    <w:p w14:paraId="6E6122F4" w14:textId="77777777" w:rsidR="00C06EA0" w:rsidRPr="00D26EA3" w:rsidRDefault="00546385" w:rsidP="00F97BD4">
      <w:pPr>
        <w:pStyle w:val="Bullet"/>
        <w:numPr>
          <w:ilvl w:val="0"/>
          <w:numId w:val="0"/>
        </w:numPr>
        <w:ind w:left="170"/>
      </w:pPr>
      <w:r w:rsidRPr="00D26EA3">
        <w:t>* The fee paid for the new concession classes would be half that standard fee shown.</w:t>
      </w:r>
    </w:p>
    <w:p w14:paraId="1F86D81D" w14:textId="77777777" w:rsidR="00546385" w:rsidRDefault="00546385" w:rsidP="00F97BD4">
      <w:pPr>
        <w:pStyle w:val="Bullet"/>
        <w:numPr>
          <w:ilvl w:val="0"/>
          <w:numId w:val="0"/>
        </w:numPr>
        <w:ind w:left="284"/>
      </w:pPr>
      <w:r>
        <w:t>Both of these options are designed to raise $10.</w:t>
      </w:r>
      <w:r w:rsidR="00800AE7">
        <w:t>4</w:t>
      </w:r>
      <w:r>
        <w:t xml:space="preserve"> million in 201</w:t>
      </w:r>
      <w:r w:rsidR="00397F57">
        <w:t>6</w:t>
      </w:r>
      <w:r>
        <w:t>/1</w:t>
      </w:r>
      <w:r w:rsidR="00397F57">
        <w:t>7 and around $11.0 million in 2017/18</w:t>
      </w:r>
      <w:r>
        <w:t>, the same as the proposed fee increase</w:t>
      </w:r>
      <w:r w:rsidR="00C00AFA">
        <w:t>s</w:t>
      </w:r>
      <w:r>
        <w:t>.</w:t>
      </w:r>
    </w:p>
    <w:p w14:paraId="131D928D" w14:textId="77777777" w:rsidR="00C06EA0" w:rsidRDefault="00C06EA0" w:rsidP="00F97BD4">
      <w:pPr>
        <w:pStyle w:val="Bullet"/>
        <w:numPr>
          <w:ilvl w:val="0"/>
          <w:numId w:val="0"/>
        </w:numPr>
        <w:ind w:left="284"/>
      </w:pPr>
      <w:r>
        <w:t>As can be seen, under the option for same fee for all recreational fishers, current licensed fishers would face a lower fee than is currently paid.</w:t>
      </w:r>
      <w:r w:rsidR="00E77285">
        <w:t xml:space="preserve"> Where currently exempt persons are required to pay a concession amount, existing licensed fishers would still face a small increase in fees.</w:t>
      </w:r>
    </w:p>
    <w:p w14:paraId="708BDFAB" w14:textId="77777777" w:rsidR="00546385" w:rsidRDefault="00546385" w:rsidP="00F97BD4">
      <w:pPr>
        <w:pStyle w:val="Bullet"/>
        <w:numPr>
          <w:ilvl w:val="0"/>
          <w:numId w:val="0"/>
        </w:numPr>
        <w:ind w:left="284"/>
      </w:pPr>
      <w:r>
        <w:t>These options recognise that all recreational fishers will benefit from the additional funding through the RFL Trust Account. This option also recognises that over time, with an ageing population, the burden of funding the Trust Account expenditure will fall on a declining proportion of recreational fishers, and as such there is some argument for all fishers to contribute.</w:t>
      </w:r>
    </w:p>
    <w:p w14:paraId="4110A905" w14:textId="77777777" w:rsidR="0085361B" w:rsidRDefault="0085361B" w:rsidP="00F97BD4">
      <w:pPr>
        <w:pStyle w:val="Bullet"/>
      </w:pPr>
      <w:r w:rsidRPr="00A03FD3">
        <w:rPr>
          <w:b/>
        </w:rPr>
        <w:t>Changing the licence duration structure to a single 1 year licence</w:t>
      </w:r>
      <w:r>
        <w:t>.</w:t>
      </w:r>
      <w:r w:rsidR="00CD4EB1">
        <w:t xml:space="preserve"> This option would recognise that the current fee structure may unintentionally distort fishing activity by having different fees for arbitrary time periods, and the length of the licence may not reflect the amount of fishing undertaken by that fisher each year (e.g., a fisher that fishes on two separate days greater than 28 days apart pays </w:t>
      </w:r>
      <w:r w:rsidR="00BB3288">
        <w:t>the same as</w:t>
      </w:r>
      <w:r w:rsidR="00CD4EB1">
        <w:t xml:space="preserve"> a fisher that fishers for 28 consecutive days).</w:t>
      </w:r>
    </w:p>
    <w:p w14:paraId="3730EF12" w14:textId="77777777" w:rsidR="00320BE5" w:rsidRDefault="00320BE5" w:rsidP="00F97BD4">
      <w:pPr>
        <w:pStyle w:val="Bullet"/>
        <w:numPr>
          <w:ilvl w:val="0"/>
          <w:numId w:val="0"/>
        </w:numPr>
        <w:ind w:left="284"/>
      </w:pPr>
      <w:r>
        <w:t>Introducing a single 1 year licence for all fishers would require a fee as set out below. Similar to the above options, the ability to precisely estimate the fee required is not possible with the available information as it is not known how frequently a fisher may buy multiple short-term licences, or how such a fee structure may induce changes in fishing activity.</w:t>
      </w:r>
    </w:p>
    <w:p w14:paraId="6B505F9A" w14:textId="77777777" w:rsidR="00CD4EB1" w:rsidRPr="0082164C" w:rsidRDefault="00CD4EB1" w:rsidP="00CD4EB1">
      <w:pPr>
        <w:pStyle w:val="TableTitle"/>
      </w:pPr>
      <w:r>
        <w:t>Figure 3</w:t>
      </w:r>
      <w:r w:rsidR="00F35997">
        <w:t>I</w:t>
      </w:r>
      <w:r>
        <w:t xml:space="preserve"> – proposed RFL fees</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2051"/>
        <w:gridCol w:w="2409"/>
        <w:gridCol w:w="2168"/>
        <w:gridCol w:w="1888"/>
      </w:tblGrid>
      <w:tr w:rsidR="00CD4EB1" w:rsidRPr="00BD7DCC" w14:paraId="0E3C96CE" w14:textId="77777777" w:rsidTr="00E54D66">
        <w:tc>
          <w:tcPr>
            <w:tcW w:w="2051" w:type="dxa"/>
            <w:shd w:val="clear" w:color="auto" w:fill="1F497D" w:themeFill="text2"/>
          </w:tcPr>
          <w:p w14:paraId="05707D87" w14:textId="77777777" w:rsidR="00CD4EB1" w:rsidRPr="00BD7DCC" w:rsidRDefault="00CD4EB1" w:rsidP="00E54D66">
            <w:pPr>
              <w:pStyle w:val="Body"/>
              <w:rPr>
                <w:b/>
                <w:color w:val="FFFFFF" w:themeColor="background1"/>
              </w:rPr>
            </w:pPr>
            <w:r w:rsidRPr="00BD7DCC">
              <w:rPr>
                <w:b/>
                <w:color w:val="FFFFFF" w:themeColor="background1"/>
              </w:rPr>
              <w:t>RFL type</w:t>
            </w:r>
          </w:p>
        </w:tc>
        <w:tc>
          <w:tcPr>
            <w:tcW w:w="2409" w:type="dxa"/>
            <w:shd w:val="clear" w:color="auto" w:fill="1F497D" w:themeFill="text2"/>
          </w:tcPr>
          <w:p w14:paraId="478C4AC8" w14:textId="77777777" w:rsidR="00CD4EB1" w:rsidRPr="00BD7DCC" w:rsidRDefault="00CD4EB1" w:rsidP="00E54D66">
            <w:pPr>
              <w:pStyle w:val="Body"/>
              <w:jc w:val="center"/>
              <w:rPr>
                <w:b/>
                <w:color w:val="FFFFFF" w:themeColor="background1"/>
              </w:rPr>
            </w:pPr>
            <w:r>
              <w:rPr>
                <w:b/>
                <w:color w:val="FFFFFF" w:themeColor="background1"/>
              </w:rPr>
              <w:t>Current fee</w:t>
            </w:r>
          </w:p>
        </w:tc>
        <w:tc>
          <w:tcPr>
            <w:tcW w:w="2168" w:type="dxa"/>
            <w:shd w:val="clear" w:color="auto" w:fill="1F497D" w:themeFill="text2"/>
          </w:tcPr>
          <w:p w14:paraId="6C1DB0F9" w14:textId="77777777" w:rsidR="00CD4EB1" w:rsidRDefault="00CD4EB1" w:rsidP="00E54D66">
            <w:pPr>
              <w:pStyle w:val="Body"/>
              <w:jc w:val="center"/>
              <w:rPr>
                <w:b/>
                <w:color w:val="FFFFFF" w:themeColor="background1"/>
              </w:rPr>
            </w:pPr>
            <w:r>
              <w:rPr>
                <w:b/>
                <w:color w:val="FFFFFF" w:themeColor="background1"/>
              </w:rPr>
              <w:t>Proposed new fee</w:t>
            </w:r>
            <w:r w:rsidR="00184BC0">
              <w:rPr>
                <w:b/>
                <w:color w:val="FFFFFF" w:themeColor="background1"/>
              </w:rPr>
              <w:br/>
            </w:r>
            <w:r w:rsidR="00184BC0" w:rsidRPr="00184BC0">
              <w:rPr>
                <w:b/>
                <w:color w:val="FFFFFF" w:themeColor="background1"/>
                <w:sz w:val="16"/>
              </w:rPr>
              <w:t>(for 1 year)</w:t>
            </w:r>
          </w:p>
        </w:tc>
        <w:tc>
          <w:tcPr>
            <w:tcW w:w="1888" w:type="dxa"/>
            <w:shd w:val="clear" w:color="auto" w:fill="1F497D" w:themeFill="text2"/>
          </w:tcPr>
          <w:p w14:paraId="4A1B23E3" w14:textId="77777777" w:rsidR="00CD4EB1" w:rsidRDefault="00CD4EB1" w:rsidP="00E54D66">
            <w:pPr>
              <w:pStyle w:val="Body"/>
              <w:jc w:val="center"/>
              <w:rPr>
                <w:b/>
                <w:color w:val="FFFFFF" w:themeColor="background1"/>
              </w:rPr>
            </w:pPr>
            <w:r>
              <w:rPr>
                <w:b/>
                <w:color w:val="FFFFFF" w:themeColor="background1"/>
              </w:rPr>
              <w:t>% change</w:t>
            </w:r>
          </w:p>
        </w:tc>
      </w:tr>
      <w:tr w:rsidR="00CD4EB1" w14:paraId="7A18B06B" w14:textId="77777777" w:rsidTr="00CD4EB1">
        <w:tc>
          <w:tcPr>
            <w:tcW w:w="2051" w:type="dxa"/>
          </w:tcPr>
          <w:p w14:paraId="4572206C" w14:textId="77777777" w:rsidR="00CD4EB1" w:rsidRDefault="00CD4EB1" w:rsidP="00E54D66">
            <w:pPr>
              <w:pStyle w:val="Body"/>
            </w:pPr>
            <w:r>
              <w:t>3 year licence</w:t>
            </w:r>
          </w:p>
        </w:tc>
        <w:tc>
          <w:tcPr>
            <w:tcW w:w="2409" w:type="dxa"/>
          </w:tcPr>
          <w:p w14:paraId="4652A2EE" w14:textId="77777777" w:rsidR="00CD4EB1" w:rsidRDefault="00CD4EB1" w:rsidP="00E54D66">
            <w:pPr>
              <w:pStyle w:val="Body"/>
              <w:jc w:val="center"/>
            </w:pPr>
            <w:r>
              <w:t>$66</w:t>
            </w:r>
            <w:r w:rsidR="00184BC0">
              <w:t xml:space="preserve"> </w:t>
            </w:r>
            <w:r w:rsidR="006A57B2">
              <w:t>.00</w:t>
            </w:r>
            <w:r w:rsidR="00184BC0">
              <w:br/>
            </w:r>
            <w:r w:rsidR="00184BC0" w:rsidRPr="00184BC0">
              <w:rPr>
                <w:sz w:val="16"/>
              </w:rPr>
              <w:t>(for 3 years)</w:t>
            </w:r>
          </w:p>
        </w:tc>
        <w:tc>
          <w:tcPr>
            <w:tcW w:w="2168" w:type="dxa"/>
            <w:vMerge w:val="restart"/>
            <w:vAlign w:val="center"/>
          </w:tcPr>
          <w:p w14:paraId="6B415A2D" w14:textId="77777777" w:rsidR="00CD4EB1" w:rsidRDefault="00CD4EB1" w:rsidP="00CD4EB1">
            <w:pPr>
              <w:pStyle w:val="Body"/>
              <w:jc w:val="center"/>
            </w:pPr>
            <w:r>
              <w:t>$33</w:t>
            </w:r>
          </w:p>
        </w:tc>
        <w:tc>
          <w:tcPr>
            <w:tcW w:w="1888" w:type="dxa"/>
          </w:tcPr>
          <w:p w14:paraId="452D68C2" w14:textId="77777777" w:rsidR="00CD4EB1" w:rsidRDefault="00CD4EB1" w:rsidP="00E54D66">
            <w:pPr>
              <w:pStyle w:val="Body"/>
              <w:jc w:val="center"/>
            </w:pPr>
            <w:r>
              <w:t xml:space="preserve">50 </w:t>
            </w:r>
            <w:r>
              <w:br/>
            </w:r>
            <w:r w:rsidRPr="00CD4EB1">
              <w:rPr>
                <w:sz w:val="14"/>
              </w:rPr>
              <w:t>(if purchased each year)</w:t>
            </w:r>
          </w:p>
        </w:tc>
      </w:tr>
      <w:tr w:rsidR="00CD4EB1" w14:paraId="7C876943" w14:textId="77777777" w:rsidTr="00E54D66">
        <w:tc>
          <w:tcPr>
            <w:tcW w:w="2051" w:type="dxa"/>
          </w:tcPr>
          <w:p w14:paraId="2034DFD3" w14:textId="77777777" w:rsidR="00CD4EB1" w:rsidRDefault="00CD4EB1" w:rsidP="00E54D66">
            <w:pPr>
              <w:pStyle w:val="Body"/>
            </w:pPr>
            <w:r>
              <w:t>1 year licence</w:t>
            </w:r>
          </w:p>
        </w:tc>
        <w:tc>
          <w:tcPr>
            <w:tcW w:w="2409" w:type="dxa"/>
          </w:tcPr>
          <w:p w14:paraId="277B6B4F" w14:textId="77777777" w:rsidR="00CD4EB1" w:rsidRDefault="00CD4EB1" w:rsidP="00E54D66">
            <w:pPr>
              <w:pStyle w:val="Body"/>
              <w:jc w:val="center"/>
            </w:pPr>
            <w:r>
              <w:t>$24.50</w:t>
            </w:r>
          </w:p>
        </w:tc>
        <w:tc>
          <w:tcPr>
            <w:tcW w:w="2168" w:type="dxa"/>
            <w:vMerge/>
          </w:tcPr>
          <w:p w14:paraId="44D07E61" w14:textId="77777777" w:rsidR="00CD4EB1" w:rsidRDefault="00CD4EB1" w:rsidP="00E54D66">
            <w:pPr>
              <w:pStyle w:val="Body"/>
              <w:jc w:val="center"/>
            </w:pPr>
          </w:p>
        </w:tc>
        <w:tc>
          <w:tcPr>
            <w:tcW w:w="1888" w:type="dxa"/>
          </w:tcPr>
          <w:p w14:paraId="0D8D306C" w14:textId="77777777" w:rsidR="00CD4EB1" w:rsidRDefault="00CD4EB1" w:rsidP="00E54D66">
            <w:pPr>
              <w:pStyle w:val="Body"/>
              <w:jc w:val="center"/>
            </w:pPr>
            <w:r>
              <w:t>35</w:t>
            </w:r>
          </w:p>
        </w:tc>
      </w:tr>
      <w:tr w:rsidR="00CD4EB1" w14:paraId="06E7744E" w14:textId="77777777" w:rsidTr="00E54D66">
        <w:tc>
          <w:tcPr>
            <w:tcW w:w="2051" w:type="dxa"/>
          </w:tcPr>
          <w:p w14:paraId="71DE1ADC" w14:textId="77777777" w:rsidR="00CD4EB1" w:rsidRDefault="00CD4EB1" w:rsidP="00E54D66">
            <w:pPr>
              <w:pStyle w:val="Body"/>
            </w:pPr>
            <w:r>
              <w:t>28 day licence</w:t>
            </w:r>
          </w:p>
        </w:tc>
        <w:tc>
          <w:tcPr>
            <w:tcW w:w="2409" w:type="dxa"/>
          </w:tcPr>
          <w:p w14:paraId="70B95CEF" w14:textId="77777777" w:rsidR="00CD4EB1" w:rsidRDefault="00CD4EB1" w:rsidP="00E54D66">
            <w:pPr>
              <w:pStyle w:val="Body"/>
              <w:jc w:val="center"/>
            </w:pPr>
            <w:r>
              <w:t>$12</w:t>
            </w:r>
            <w:r w:rsidR="006A57B2">
              <w:t>.00</w:t>
            </w:r>
          </w:p>
        </w:tc>
        <w:tc>
          <w:tcPr>
            <w:tcW w:w="2168" w:type="dxa"/>
            <w:vMerge/>
          </w:tcPr>
          <w:p w14:paraId="122F3623" w14:textId="77777777" w:rsidR="00CD4EB1" w:rsidRDefault="00CD4EB1" w:rsidP="00E54D66">
            <w:pPr>
              <w:pStyle w:val="Body"/>
              <w:jc w:val="center"/>
            </w:pPr>
          </w:p>
        </w:tc>
        <w:tc>
          <w:tcPr>
            <w:tcW w:w="1888" w:type="dxa"/>
          </w:tcPr>
          <w:p w14:paraId="383C9330" w14:textId="77777777" w:rsidR="00CD4EB1" w:rsidRDefault="00CD4EB1" w:rsidP="00E54D66">
            <w:pPr>
              <w:pStyle w:val="Body"/>
              <w:jc w:val="center"/>
            </w:pPr>
            <w:r>
              <w:t xml:space="preserve">75 </w:t>
            </w:r>
            <w:r>
              <w:br/>
            </w:r>
            <w:r w:rsidRPr="00CD4EB1">
              <w:rPr>
                <w:sz w:val="14"/>
              </w:rPr>
              <w:t>(if only 1 bought per year)</w:t>
            </w:r>
          </w:p>
        </w:tc>
      </w:tr>
      <w:tr w:rsidR="00CD4EB1" w14:paraId="0F97F336" w14:textId="77777777" w:rsidTr="00E54D66">
        <w:tc>
          <w:tcPr>
            <w:tcW w:w="2051" w:type="dxa"/>
          </w:tcPr>
          <w:p w14:paraId="78657BF8" w14:textId="77777777" w:rsidR="00CD4EB1" w:rsidRDefault="00CD4EB1" w:rsidP="00E54D66">
            <w:pPr>
              <w:pStyle w:val="Body"/>
            </w:pPr>
            <w:r>
              <w:t>2 day licence</w:t>
            </w:r>
          </w:p>
        </w:tc>
        <w:tc>
          <w:tcPr>
            <w:tcW w:w="2409" w:type="dxa"/>
          </w:tcPr>
          <w:p w14:paraId="6851DCAA" w14:textId="77777777" w:rsidR="00CD4EB1" w:rsidRDefault="00CD4EB1" w:rsidP="00E54D66">
            <w:pPr>
              <w:pStyle w:val="Body"/>
              <w:jc w:val="center"/>
            </w:pPr>
            <w:r>
              <w:t>$6</w:t>
            </w:r>
            <w:r w:rsidR="006A57B2">
              <w:t>.00</w:t>
            </w:r>
          </w:p>
        </w:tc>
        <w:tc>
          <w:tcPr>
            <w:tcW w:w="2168" w:type="dxa"/>
            <w:vMerge/>
          </w:tcPr>
          <w:p w14:paraId="278B6477" w14:textId="77777777" w:rsidR="00CD4EB1" w:rsidRDefault="00CD4EB1" w:rsidP="00E54D66">
            <w:pPr>
              <w:pStyle w:val="Body"/>
              <w:jc w:val="center"/>
            </w:pPr>
          </w:p>
        </w:tc>
        <w:tc>
          <w:tcPr>
            <w:tcW w:w="1888" w:type="dxa"/>
          </w:tcPr>
          <w:p w14:paraId="2999E2A1" w14:textId="77777777" w:rsidR="00CD4EB1" w:rsidRDefault="00CD4EB1" w:rsidP="00CD4EB1">
            <w:pPr>
              <w:pStyle w:val="Body"/>
              <w:jc w:val="center"/>
            </w:pPr>
            <w:r>
              <w:t>450</w:t>
            </w:r>
            <w:r>
              <w:br/>
            </w:r>
            <w:r w:rsidRPr="00CD4EB1">
              <w:rPr>
                <w:sz w:val="14"/>
              </w:rPr>
              <w:t xml:space="preserve"> (if only 1 bought per year)</w:t>
            </w:r>
          </w:p>
        </w:tc>
      </w:tr>
    </w:tbl>
    <w:p w14:paraId="535A2559" w14:textId="77777777" w:rsidR="002A6A3E" w:rsidRPr="00D26EA3" w:rsidRDefault="002A6A3E" w:rsidP="00F97BD4">
      <w:pPr>
        <w:pStyle w:val="Bullet"/>
        <w:numPr>
          <w:ilvl w:val="0"/>
          <w:numId w:val="0"/>
        </w:numPr>
        <w:ind w:left="170"/>
      </w:pPr>
    </w:p>
    <w:p w14:paraId="4457B327" w14:textId="77777777" w:rsidR="00433DF4" w:rsidRPr="005A6549" w:rsidRDefault="00320BE5" w:rsidP="00184BC0">
      <w:pPr>
        <w:pStyle w:val="Body"/>
        <w:rPr>
          <w:rFonts w:eastAsia="Calibri"/>
        </w:rPr>
      </w:pPr>
      <w:r w:rsidRPr="00184BC0">
        <w:rPr>
          <w:rFonts w:eastAsia="Calibri"/>
        </w:rPr>
        <w:t>As can be seen, all fishers i</w:t>
      </w:r>
      <w:r w:rsidR="004842B9">
        <w:rPr>
          <w:rFonts w:eastAsia="Calibri"/>
        </w:rPr>
        <w:t>n</w:t>
      </w:r>
      <w:r w:rsidRPr="00184BC0">
        <w:rPr>
          <w:rFonts w:eastAsia="Calibri"/>
        </w:rPr>
        <w:t xml:space="preserve"> all licence types would pay a higher fee</w:t>
      </w:r>
      <w:r w:rsidR="002A6A3E" w:rsidRPr="00184BC0">
        <w:rPr>
          <w:rFonts w:eastAsia="Calibri"/>
        </w:rPr>
        <w:t xml:space="preserve"> to meet the revenue </w:t>
      </w:r>
      <w:proofErr w:type="gramStart"/>
      <w:r w:rsidR="002A6A3E" w:rsidRPr="005A6549">
        <w:rPr>
          <w:rFonts w:eastAsia="Calibri"/>
        </w:rPr>
        <w:t>target,</w:t>
      </w:r>
      <w:proofErr w:type="gramEnd"/>
      <w:r w:rsidR="002A6A3E" w:rsidRPr="005A6549">
        <w:rPr>
          <w:rFonts w:eastAsia="Calibri"/>
        </w:rPr>
        <w:t xml:space="preserve"> however fishers </w:t>
      </w:r>
      <w:r w:rsidR="006A57B2">
        <w:rPr>
          <w:rFonts w:eastAsia="Calibri"/>
        </w:rPr>
        <w:t xml:space="preserve">who </w:t>
      </w:r>
      <w:r w:rsidR="002A6A3E" w:rsidRPr="005A6549">
        <w:rPr>
          <w:rFonts w:eastAsia="Calibri"/>
        </w:rPr>
        <w:t>currently buy more than three 28-day licences or more than six 2-day licences within the same year would pay less under this option.</w:t>
      </w:r>
    </w:p>
    <w:p w14:paraId="7380C79D" w14:textId="77777777" w:rsidR="004D17D2" w:rsidRDefault="004D17D2" w:rsidP="004D17D2">
      <w:pPr>
        <w:pStyle w:val="Body"/>
      </w:pPr>
      <w:r>
        <w:rPr>
          <w:rFonts w:eastAsia="Calibri"/>
        </w:rPr>
        <w:t xml:space="preserve">Fisheries Victoria </w:t>
      </w:r>
      <w:r w:rsidR="00184BC0">
        <w:rPr>
          <w:rFonts w:eastAsia="Calibri"/>
        </w:rPr>
        <w:t xml:space="preserve">acknowledged </w:t>
      </w:r>
      <w:r>
        <w:rPr>
          <w:rFonts w:eastAsia="Calibri"/>
        </w:rPr>
        <w:t>a further option: to r</w:t>
      </w:r>
      <w:r w:rsidRPr="0008580A">
        <w:t>eplace the current all-waters, all-species, all-methods licence with separate licences for fishing in inland waters, bays and inlets, abalone, rock lobster and marine finfish</w:t>
      </w:r>
      <w:r>
        <w:t>,</w:t>
      </w:r>
      <w:r w:rsidRPr="0008580A">
        <w:t xml:space="preserve"> plus a combined licence. This is similar to the Western Australian licence structure</w:t>
      </w:r>
      <w:r>
        <w:t xml:space="preserve"> (see </w:t>
      </w:r>
      <w:r w:rsidRPr="00C77710">
        <w:t xml:space="preserve">Attachment </w:t>
      </w:r>
      <w:r w:rsidR="00C77710" w:rsidRPr="00C77710">
        <w:t>A</w:t>
      </w:r>
      <w:r>
        <w:t>)</w:t>
      </w:r>
      <w:r w:rsidRPr="0008580A">
        <w:t>, and would allow differential fees to be set for the different licence types.</w:t>
      </w:r>
      <w:r>
        <w:t xml:space="preserve"> While this approach is conceptually feasible, in practice, the department does not have sufficient data and understanding of interactions between </w:t>
      </w:r>
      <w:r w:rsidR="0085361B">
        <w:t xml:space="preserve">fishing types to be able to construct a fee structure that is reliable and appropriate. A new system of licensing </w:t>
      </w:r>
      <w:r w:rsidR="00184BC0">
        <w:t>may</w:t>
      </w:r>
      <w:r w:rsidR="0085361B">
        <w:t xml:space="preserve"> also need to be considered where a fisher may wish to hold multiple licences. </w:t>
      </w:r>
      <w:r w:rsidR="00184BC0">
        <w:t>Fisheries Victoria believes this approach would be administratively cumbersome and costly, and would likely divert more of the Trust Account funds away from grant</w:t>
      </w:r>
      <w:r w:rsidR="002401BD">
        <w:t>-funded initiatives and programs</w:t>
      </w:r>
      <w:r w:rsidR="00184BC0">
        <w:t xml:space="preserve">. </w:t>
      </w:r>
      <w:r w:rsidR="0085361B">
        <w:t>Therefore, it was determined that such a</w:t>
      </w:r>
      <w:r w:rsidR="00C00AFA">
        <w:t>n</w:t>
      </w:r>
      <w:r w:rsidR="0085361B">
        <w:t xml:space="preserve"> approach was not feasible in the context of this RIS.</w:t>
      </w:r>
    </w:p>
    <w:p w14:paraId="2E76DA2E" w14:textId="77777777" w:rsidR="0085361B" w:rsidRDefault="0085361B" w:rsidP="004D17D2">
      <w:pPr>
        <w:pStyle w:val="Body"/>
      </w:pPr>
      <w:r>
        <w:t>Similarly, options that involve fees based on volume of catch were considered to be to</w:t>
      </w:r>
      <w:r w:rsidR="004842B9">
        <w:t>o</w:t>
      </w:r>
      <w:r>
        <w:t xml:space="preserve"> complex and costly to administer and were therefore not considered further.</w:t>
      </w:r>
    </w:p>
    <w:p w14:paraId="209CF233" w14:textId="77777777" w:rsidR="00C53773" w:rsidRDefault="00C53773">
      <w:r>
        <w:br w:type="page"/>
      </w:r>
    </w:p>
    <w:p w14:paraId="4004600D" w14:textId="77777777" w:rsidR="000F780C" w:rsidRDefault="000F780C" w:rsidP="00852F6C"/>
    <w:p w14:paraId="02E59E2E" w14:textId="77777777" w:rsidR="008832C0" w:rsidRPr="007A3E12" w:rsidRDefault="008832C0" w:rsidP="001E7532">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b/>
        </w:rPr>
      </w:pPr>
      <w:r w:rsidRPr="007A3E12">
        <w:rPr>
          <w:rFonts w:eastAsia="Calibri"/>
          <w:b/>
        </w:rPr>
        <w:t xml:space="preserve">Questions for </w:t>
      </w:r>
      <w:r>
        <w:rPr>
          <w:rFonts w:eastAsia="Calibri"/>
          <w:b/>
        </w:rPr>
        <w:t>stakeholders</w:t>
      </w:r>
    </w:p>
    <w:p w14:paraId="3DF1FAD1" w14:textId="77777777" w:rsidR="008832C0" w:rsidRDefault="008832C0" w:rsidP="001E7532">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sidRPr="008832C0">
        <w:rPr>
          <w:rFonts w:eastAsia="Calibri"/>
        </w:rPr>
        <w:t xml:space="preserve">This RIS </w:t>
      </w:r>
      <w:r w:rsidR="006A57B2">
        <w:rPr>
          <w:rFonts w:eastAsia="Calibri"/>
        </w:rPr>
        <w:t>provides</w:t>
      </w:r>
      <w:r w:rsidRPr="008832C0">
        <w:rPr>
          <w:rFonts w:eastAsia="Calibri"/>
        </w:rPr>
        <w:t xml:space="preserve"> an opportunity to outline the factors underlying t</w:t>
      </w:r>
      <w:r>
        <w:rPr>
          <w:rFonts w:eastAsia="Calibri"/>
        </w:rPr>
        <w:t>he proposed additional revenue</w:t>
      </w:r>
      <w:r w:rsidRPr="008832C0">
        <w:rPr>
          <w:rFonts w:eastAsia="Calibri"/>
        </w:rPr>
        <w:t xml:space="preserve"> and to seek feedback from </w:t>
      </w:r>
      <w:r>
        <w:rPr>
          <w:rFonts w:eastAsia="Calibri"/>
        </w:rPr>
        <w:t>recreational fishers</w:t>
      </w:r>
      <w:r w:rsidRPr="008832C0">
        <w:rPr>
          <w:rFonts w:eastAsia="Calibri"/>
        </w:rPr>
        <w:t xml:space="preserve"> about their willingness to pay and the value they place on the types of </w:t>
      </w:r>
      <w:r w:rsidR="002401BD">
        <w:rPr>
          <w:rFonts w:eastAsia="Calibri"/>
        </w:rPr>
        <w:t>initiatives and programs</w:t>
      </w:r>
      <w:r w:rsidRPr="008832C0">
        <w:rPr>
          <w:rFonts w:eastAsia="Calibri"/>
        </w:rPr>
        <w:t xml:space="preserve"> </w:t>
      </w:r>
      <w:r w:rsidR="002401BD">
        <w:rPr>
          <w:rFonts w:eastAsia="Calibri"/>
        </w:rPr>
        <w:t>that may</w:t>
      </w:r>
      <w:r w:rsidRPr="008832C0">
        <w:rPr>
          <w:rFonts w:eastAsia="Calibri"/>
        </w:rPr>
        <w:t xml:space="preserve"> be funded from the additional revenue. Affected parties are invited to comment on these matters, as well as the broader objective of the need to generate additional revenue for the RFL Trust Account.</w:t>
      </w:r>
      <w:r>
        <w:rPr>
          <w:rFonts w:eastAsia="Calibri"/>
        </w:rPr>
        <w:t xml:space="preserve"> In particular, stakeholders may wish to respond to the following questions:</w:t>
      </w:r>
    </w:p>
    <w:p w14:paraId="072FEEEF" w14:textId="77777777" w:rsidR="008832C0" w:rsidRDefault="008832C0"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 xml:space="preserve">Will the proposed fee increases, and associated additional funding of </w:t>
      </w:r>
      <w:r w:rsidR="002401BD">
        <w:rPr>
          <w:rFonts w:eastAsia="Calibri"/>
        </w:rPr>
        <w:t xml:space="preserve">initiatives and </w:t>
      </w:r>
      <w:proofErr w:type="gramStart"/>
      <w:r w:rsidR="002401BD">
        <w:rPr>
          <w:rFonts w:eastAsia="Calibri"/>
        </w:rPr>
        <w:t>programs</w:t>
      </w:r>
      <w:r>
        <w:rPr>
          <w:rFonts w:eastAsia="Calibri"/>
        </w:rPr>
        <w:t>,</w:t>
      </w:r>
      <w:proofErr w:type="gramEnd"/>
      <w:r>
        <w:rPr>
          <w:rFonts w:eastAsia="Calibri"/>
        </w:rPr>
        <w:t xml:space="preserve"> make you more or less likely to purchase a recreational fishing licence? Will you increase or reduce the amount of recreational fishing you do?</w:t>
      </w:r>
    </w:p>
    <w:p w14:paraId="54EE0A7C" w14:textId="77777777" w:rsidR="00BB5F20" w:rsidRPr="00BB5F20" w:rsidRDefault="00BB5F20"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sidRPr="00BB5F20">
        <w:rPr>
          <w:rFonts w:eastAsia="Calibri"/>
        </w:rPr>
        <w:t>Do you support changing the current 2 day licence to a 3 day licence, to better match the needs of some fishers?</w:t>
      </w:r>
    </w:p>
    <w:p w14:paraId="4B1511B6" w14:textId="77777777" w:rsidR="008832C0" w:rsidRPr="008832C0" w:rsidRDefault="00184BC0"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 xml:space="preserve">Do you agree with </w:t>
      </w:r>
      <w:r w:rsidR="008832C0">
        <w:rPr>
          <w:rFonts w:eastAsia="Calibri"/>
        </w:rPr>
        <w:t xml:space="preserve">the proposed </w:t>
      </w:r>
      <w:r w:rsidR="00E171B6">
        <w:rPr>
          <w:rFonts w:eastAsia="Calibri"/>
        </w:rPr>
        <w:t>discount equivalent to around 5 per cent for online purchases of 1 year and 3 year licences? Should an online discount be provided for 3 and 28 day licences?</w:t>
      </w:r>
    </w:p>
    <w:p w14:paraId="025544B8" w14:textId="77777777" w:rsidR="008832C0" w:rsidRPr="008832C0" w:rsidRDefault="008832C0"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 xml:space="preserve">Do you believe there will be other impacts of the </w:t>
      </w:r>
      <w:r w:rsidR="00870B7D">
        <w:rPr>
          <w:rFonts w:eastAsia="Calibri"/>
        </w:rPr>
        <w:t>proposed</w:t>
      </w:r>
      <w:r>
        <w:rPr>
          <w:rFonts w:eastAsia="Calibri"/>
        </w:rPr>
        <w:t xml:space="preserve"> fee increased that have not been discussed in this RIS?</w:t>
      </w:r>
    </w:p>
    <w:p w14:paraId="1C39F2E7" w14:textId="77777777" w:rsidR="008832C0" w:rsidRPr="000F1E0F" w:rsidRDefault="008832C0" w:rsidP="001E7532">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 xml:space="preserve">Are there other ways that fees could be </w:t>
      </w:r>
      <w:r w:rsidR="00870B7D">
        <w:rPr>
          <w:rFonts w:eastAsia="Calibri"/>
        </w:rPr>
        <w:t>structured</w:t>
      </w:r>
      <w:r>
        <w:rPr>
          <w:rFonts w:eastAsia="Calibri"/>
        </w:rPr>
        <w:t xml:space="preserve"> to increase revenue in a way that is </w:t>
      </w:r>
      <w:r w:rsidR="00870B7D">
        <w:rPr>
          <w:rFonts w:eastAsia="Calibri"/>
        </w:rPr>
        <w:t>fairer or simpler?</w:t>
      </w:r>
    </w:p>
    <w:p w14:paraId="76285A43" w14:textId="77777777" w:rsidR="006C5DE6" w:rsidRDefault="006C5DE6" w:rsidP="001E7532">
      <w:pPr>
        <w:pStyle w:val="Bullet"/>
        <w:numPr>
          <w:ilvl w:val="0"/>
          <w:numId w:val="0"/>
        </w:numPr>
        <w:pBdr>
          <w:top w:val="single" w:sz="4" w:space="1" w:color="auto"/>
          <w:left w:val="single" w:sz="4" w:space="1" w:color="auto"/>
          <w:bottom w:val="single" w:sz="4" w:space="1" w:color="auto"/>
          <w:right w:val="single" w:sz="4" w:space="1" w:color="auto"/>
        </w:pBdr>
        <w:shd w:val="clear" w:color="auto" w:fill="B8CCE4" w:themeFill="accent1" w:themeFillTint="66"/>
      </w:pPr>
      <w:r w:rsidRPr="00D26EA3">
        <w:t xml:space="preserve">In providing feedback on whether there is a willingness among recreational fishers to pay higher fees, people may wish to comment on whether this willingness is dependent on the types of </w:t>
      </w:r>
      <w:r w:rsidR="002401BD" w:rsidRPr="00D26EA3">
        <w:t>initiatives and programs</w:t>
      </w:r>
      <w:r w:rsidRPr="00D26EA3">
        <w:t xml:space="preserve"> likely to be funded by the additional revenue, and if so, what types of </w:t>
      </w:r>
      <w:r w:rsidR="00481FF6" w:rsidRPr="00D26EA3">
        <w:t>initiatives and programs</w:t>
      </w:r>
      <w:r w:rsidRPr="00D26EA3">
        <w:t xml:space="preserve"> should be preferred.</w:t>
      </w:r>
    </w:p>
    <w:p w14:paraId="051BC517" w14:textId="77777777" w:rsidR="000F780C" w:rsidRDefault="000F780C" w:rsidP="00852F6C"/>
    <w:p w14:paraId="1564A381" w14:textId="77777777" w:rsidR="00CB6A83" w:rsidRDefault="00CB6A83" w:rsidP="00852F6C"/>
    <w:p w14:paraId="50E13C6B" w14:textId="77777777" w:rsidR="00CB6A83" w:rsidRDefault="00CB6A83" w:rsidP="00CB6A83">
      <w:pPr>
        <w:pStyle w:val="Body"/>
        <w:rPr>
          <w:rFonts w:eastAsia="Calibri"/>
        </w:rPr>
      </w:pPr>
    </w:p>
    <w:p w14:paraId="6BD7A352" w14:textId="77777777" w:rsidR="000F780C" w:rsidRPr="00852F6C" w:rsidRDefault="000F780C" w:rsidP="00852F6C">
      <w:pPr>
        <w:sectPr w:rsidR="000F780C" w:rsidRPr="00852F6C" w:rsidSect="00F3009D">
          <w:headerReference w:type="even" r:id="rId45"/>
          <w:headerReference w:type="default" r:id="rId46"/>
          <w:headerReference w:type="first" r:id="rId47"/>
          <w:footerReference w:type="first" r:id="rId48"/>
          <w:pgSz w:w="11900" w:h="16840"/>
          <w:pgMar w:top="1440" w:right="1800" w:bottom="1440" w:left="1800" w:header="708" w:footer="708" w:gutter="0"/>
          <w:cols w:space="708"/>
          <w:titlePg/>
          <w:docGrid w:linePitch="360"/>
        </w:sectPr>
      </w:pPr>
    </w:p>
    <w:p w14:paraId="4AA16172" w14:textId="77777777" w:rsidR="00C8259C" w:rsidRPr="0008580A" w:rsidRDefault="00337BFC" w:rsidP="00B52871">
      <w:pPr>
        <w:pStyle w:val="Heading1"/>
      </w:pPr>
      <w:bookmarkStart w:id="28" w:name="_Toc441733985"/>
      <w:r>
        <w:t>Comparative assessment of</w:t>
      </w:r>
      <w:r w:rsidR="00E510D1">
        <w:t xml:space="preserve"> options</w:t>
      </w:r>
      <w:bookmarkEnd w:id="28"/>
    </w:p>
    <w:p w14:paraId="2C24388B" w14:textId="77777777" w:rsidR="0048788F" w:rsidRPr="0008580A" w:rsidRDefault="0048788F" w:rsidP="00337BFC">
      <w:pPr>
        <w:pStyle w:val="Heading2"/>
        <w:numPr>
          <w:ilvl w:val="1"/>
          <w:numId w:val="6"/>
        </w:numPr>
        <w:ind w:left="709" w:hanging="709"/>
      </w:pPr>
      <w:bookmarkStart w:id="29" w:name="_Toc441733986"/>
      <w:r w:rsidRPr="0008580A">
        <w:t>Assessment framework</w:t>
      </w:r>
      <w:bookmarkEnd w:id="29"/>
    </w:p>
    <w:p w14:paraId="0499F614" w14:textId="77777777" w:rsidR="005164E5" w:rsidRDefault="00CF2E34" w:rsidP="00E510D1">
      <w:pPr>
        <w:pStyle w:val="Body"/>
        <w:rPr>
          <w:rFonts w:eastAsia="Calibri"/>
        </w:rPr>
      </w:pPr>
      <w:r w:rsidRPr="0008580A">
        <w:rPr>
          <w:rFonts w:eastAsia="Calibri"/>
        </w:rPr>
        <w:t xml:space="preserve">The proposed </w:t>
      </w:r>
      <w:r w:rsidR="00337BFC">
        <w:rPr>
          <w:rFonts w:eastAsia="Calibri"/>
        </w:rPr>
        <w:t>fee increases</w:t>
      </w:r>
      <w:r w:rsidRPr="0008580A">
        <w:rPr>
          <w:rFonts w:eastAsia="Calibri"/>
        </w:rPr>
        <w:t xml:space="preserve"> and the alternative options identified </w:t>
      </w:r>
      <w:r w:rsidR="00337BFC">
        <w:rPr>
          <w:rFonts w:eastAsia="Calibri"/>
        </w:rPr>
        <w:t>in the previous section</w:t>
      </w:r>
      <w:r w:rsidRPr="0008580A">
        <w:rPr>
          <w:rFonts w:eastAsia="Calibri"/>
        </w:rPr>
        <w:t xml:space="preserve"> </w:t>
      </w:r>
      <w:r w:rsidR="005164E5">
        <w:rPr>
          <w:rFonts w:eastAsia="Calibri"/>
        </w:rPr>
        <w:t>are:</w:t>
      </w:r>
    </w:p>
    <w:p w14:paraId="21821EFB" w14:textId="77777777" w:rsidR="005164E5" w:rsidRDefault="005164E5" w:rsidP="00F97BD4">
      <w:pPr>
        <w:pStyle w:val="Bullet"/>
        <w:rPr>
          <w:rFonts w:eastAsia="Calibri"/>
        </w:rPr>
      </w:pPr>
      <w:r>
        <w:rPr>
          <w:rFonts w:eastAsia="Calibri"/>
        </w:rPr>
        <w:t>The proposed new fees (set out in section 3.3 above) – these fees would increase RFL revenue by $3.</w:t>
      </w:r>
      <w:r w:rsidR="008379F0">
        <w:rPr>
          <w:rFonts w:eastAsia="Calibri"/>
        </w:rPr>
        <w:t>3</w:t>
      </w:r>
      <w:r>
        <w:rPr>
          <w:rFonts w:eastAsia="Calibri"/>
        </w:rPr>
        <w:t xml:space="preserve"> million in 2016/17 and $7.</w:t>
      </w:r>
      <w:r w:rsidR="008379F0">
        <w:rPr>
          <w:rFonts w:eastAsia="Calibri"/>
        </w:rPr>
        <w:t>1</w:t>
      </w:r>
      <w:r>
        <w:rPr>
          <w:rFonts w:eastAsia="Calibri"/>
        </w:rPr>
        <w:t xml:space="preserve"> million over the next two years</w:t>
      </w:r>
    </w:p>
    <w:p w14:paraId="17EB4220" w14:textId="77777777" w:rsidR="005164E5" w:rsidRDefault="005164E5" w:rsidP="00F97BD4">
      <w:pPr>
        <w:pStyle w:val="Bullet"/>
        <w:rPr>
          <w:rFonts w:eastAsia="Calibri"/>
        </w:rPr>
      </w:pPr>
      <w:r>
        <w:rPr>
          <w:rFonts w:eastAsia="Calibri"/>
        </w:rPr>
        <w:t xml:space="preserve">Alternative 1 – remove current exemptions. This would enable a small increase in the price of a licence, but require all </w:t>
      </w:r>
      <w:r w:rsidR="009105FE">
        <w:rPr>
          <w:rFonts w:eastAsia="Calibri"/>
        </w:rPr>
        <w:t>recreational</w:t>
      </w:r>
      <w:r>
        <w:rPr>
          <w:rFonts w:eastAsia="Calibri"/>
        </w:rPr>
        <w:t xml:space="preserve"> fishers (including concession card holders and those over 70 years of age) to purchase a licence, thereby generating the same increase in total revenue as the proposed fees</w:t>
      </w:r>
    </w:p>
    <w:p w14:paraId="37548F48" w14:textId="77777777" w:rsidR="005164E5" w:rsidRDefault="005164E5" w:rsidP="00F97BD4">
      <w:pPr>
        <w:pStyle w:val="Bullet"/>
        <w:rPr>
          <w:rFonts w:eastAsia="Calibri"/>
        </w:rPr>
      </w:pPr>
      <w:r>
        <w:rPr>
          <w:rFonts w:eastAsia="Calibri"/>
        </w:rPr>
        <w:t xml:space="preserve">Alternative 2 </w:t>
      </w:r>
      <w:r w:rsidR="00795507">
        <w:rPr>
          <w:rFonts w:eastAsia="Calibri"/>
        </w:rPr>
        <w:t>–</w:t>
      </w:r>
      <w:r>
        <w:rPr>
          <w:rFonts w:eastAsia="Calibri"/>
        </w:rPr>
        <w:t xml:space="preserve"> </w:t>
      </w:r>
      <w:r w:rsidR="00795507">
        <w:rPr>
          <w:rFonts w:eastAsia="Calibri"/>
        </w:rPr>
        <w:t>remove current exemptions but introduce a concession price (at half the standard price) for recreational fishers currently exempt. Fees would be set to achieve the same increase in total revenue as the proposed fees</w:t>
      </w:r>
    </w:p>
    <w:p w14:paraId="420985D6" w14:textId="77777777" w:rsidR="00795507" w:rsidRDefault="00795507" w:rsidP="00F97BD4">
      <w:pPr>
        <w:pStyle w:val="Bullet"/>
        <w:rPr>
          <w:rFonts w:eastAsia="Calibri"/>
        </w:rPr>
      </w:pPr>
      <w:r>
        <w:rPr>
          <w:rFonts w:eastAsia="Calibri"/>
        </w:rPr>
        <w:t>Alternative 3 – remove 2 day, 28 day and 3 year licences, requiring all licences to be 1</w:t>
      </w:r>
      <w:r w:rsidR="006A57B2">
        <w:rPr>
          <w:rFonts w:eastAsia="Calibri"/>
        </w:rPr>
        <w:t> </w:t>
      </w:r>
      <w:r>
        <w:rPr>
          <w:rFonts w:eastAsia="Calibri"/>
        </w:rPr>
        <w:t>year licences at a single flat fee (current exemptions would remain in place). Fees would be set to achieve the same increase in total revenue as the proposed fees</w:t>
      </w:r>
    </w:p>
    <w:p w14:paraId="026043EE" w14:textId="77777777" w:rsidR="00795507" w:rsidRDefault="00795507" w:rsidP="00F97BD4">
      <w:pPr>
        <w:pStyle w:val="Bullet"/>
        <w:rPr>
          <w:rFonts w:eastAsia="Calibri"/>
        </w:rPr>
      </w:pPr>
      <w:r>
        <w:rPr>
          <w:rFonts w:eastAsia="Calibri"/>
        </w:rPr>
        <w:t>Alternative 4 – increase fees to achieve a smaller overall increase in RFL revenue. Fees would be set to achieve an increase of $1.8 million in 2016/17 and $3.8 million over the next two years. Current exemptions would remain in place.</w:t>
      </w:r>
    </w:p>
    <w:p w14:paraId="421AA521" w14:textId="77777777" w:rsidR="00337BFC" w:rsidRDefault="00795507" w:rsidP="00E510D1">
      <w:pPr>
        <w:pStyle w:val="Body"/>
        <w:rPr>
          <w:rFonts w:eastAsia="Calibri"/>
        </w:rPr>
      </w:pPr>
      <w:r>
        <w:rPr>
          <w:rFonts w:eastAsia="Calibri"/>
        </w:rPr>
        <w:t xml:space="preserve">These options </w:t>
      </w:r>
      <w:r w:rsidR="00CF2E34" w:rsidRPr="0008580A">
        <w:rPr>
          <w:rFonts w:eastAsia="Calibri"/>
        </w:rPr>
        <w:t xml:space="preserve">have been assessed using a multi-criteria </w:t>
      </w:r>
      <w:r w:rsidR="00EC462C" w:rsidRPr="0008580A">
        <w:rPr>
          <w:rFonts w:eastAsia="Calibri"/>
        </w:rPr>
        <w:t>analysis</w:t>
      </w:r>
      <w:r w:rsidR="00FE4EC5">
        <w:rPr>
          <w:rFonts w:eastAsia="Calibri"/>
        </w:rPr>
        <w:t xml:space="preserve"> (MCA)</w:t>
      </w:r>
      <w:r w:rsidR="00CF2E34" w:rsidRPr="0008580A">
        <w:rPr>
          <w:rFonts w:eastAsia="Calibri"/>
        </w:rPr>
        <w:t xml:space="preserve">. </w:t>
      </w:r>
    </w:p>
    <w:p w14:paraId="133DA827" w14:textId="77777777" w:rsidR="006B3627" w:rsidRPr="00E16BBC" w:rsidRDefault="00CF2E34" w:rsidP="00E16BBC">
      <w:pPr>
        <w:pStyle w:val="Body"/>
        <w:rPr>
          <w:rFonts w:eastAsia="Calibri"/>
        </w:rPr>
      </w:pPr>
      <w:r w:rsidRPr="0008580A">
        <w:rPr>
          <w:rFonts w:eastAsia="Calibri"/>
        </w:rPr>
        <w:t xml:space="preserve">Under this type of analysis, each option is scored against a number of </w:t>
      </w:r>
      <w:r w:rsidR="00EC462C" w:rsidRPr="0008580A">
        <w:rPr>
          <w:rFonts w:eastAsia="Calibri"/>
        </w:rPr>
        <w:t>criteria</w:t>
      </w:r>
      <w:r w:rsidRPr="0008580A">
        <w:rPr>
          <w:rFonts w:eastAsia="Calibri"/>
        </w:rPr>
        <w:t xml:space="preserve">. </w:t>
      </w:r>
      <w:r w:rsidR="00106A37">
        <w:rPr>
          <w:rFonts w:eastAsia="Calibri"/>
        </w:rPr>
        <w:t xml:space="preserve">The primary criterion used to compare options is the extent to which the option will raise the additional revenue required to fund additional Trust Account </w:t>
      </w:r>
      <w:r w:rsidR="00DC2549">
        <w:rPr>
          <w:rFonts w:eastAsia="Calibri"/>
        </w:rPr>
        <w:t>initiatives and programs</w:t>
      </w:r>
      <w:r w:rsidR="00106A37">
        <w:rPr>
          <w:rFonts w:eastAsia="Calibri"/>
        </w:rPr>
        <w:t>. A</w:t>
      </w:r>
      <w:r w:rsidR="006B3627" w:rsidRPr="000F1E0F">
        <w:rPr>
          <w:rFonts w:eastAsia="Calibri"/>
        </w:rPr>
        <w:t>s discussed elsewhere in th</w:t>
      </w:r>
      <w:r w:rsidR="00B813BE" w:rsidRPr="000F1E0F">
        <w:rPr>
          <w:rFonts w:eastAsia="Calibri"/>
        </w:rPr>
        <w:t>is</w:t>
      </w:r>
      <w:r w:rsidR="006B3627" w:rsidRPr="000F1E0F">
        <w:rPr>
          <w:rFonts w:eastAsia="Calibri"/>
        </w:rPr>
        <w:t xml:space="preserve"> RIS</w:t>
      </w:r>
      <w:r w:rsidR="00B813BE" w:rsidRPr="000F1E0F">
        <w:rPr>
          <w:rFonts w:eastAsia="Calibri"/>
        </w:rPr>
        <w:t>,</w:t>
      </w:r>
      <w:r w:rsidR="006B3627" w:rsidRPr="000F1E0F">
        <w:rPr>
          <w:rFonts w:eastAsia="Calibri"/>
        </w:rPr>
        <w:t xml:space="preserve"> there is limited information to reliabl</w:t>
      </w:r>
      <w:r w:rsidR="00425052">
        <w:rPr>
          <w:rFonts w:eastAsia="Calibri"/>
        </w:rPr>
        <w:t>y</w:t>
      </w:r>
      <w:r w:rsidR="00425052" w:rsidRPr="00425052">
        <w:rPr>
          <w:rFonts w:eastAsia="Calibri"/>
        </w:rPr>
        <w:t xml:space="preserve"> determine whether the proposed</w:t>
      </w:r>
      <w:r w:rsidR="006B3627" w:rsidRPr="000F1E0F">
        <w:rPr>
          <w:rFonts w:eastAsia="Calibri"/>
        </w:rPr>
        <w:t xml:space="preserve"> amount of discretionary revenue raised is ‘optimal’</w:t>
      </w:r>
      <w:r w:rsidR="00B813BE" w:rsidRPr="000F1E0F">
        <w:rPr>
          <w:rFonts w:eastAsia="Calibri"/>
        </w:rPr>
        <w:t xml:space="preserve">, </w:t>
      </w:r>
      <w:r w:rsidR="00106A37">
        <w:rPr>
          <w:rFonts w:eastAsia="Calibri"/>
        </w:rPr>
        <w:t>however this criterion</w:t>
      </w:r>
      <w:r w:rsidR="009105FE">
        <w:rPr>
          <w:rFonts w:eastAsia="Calibri"/>
        </w:rPr>
        <w:t xml:space="preserve"> </w:t>
      </w:r>
      <w:r w:rsidR="00106A37">
        <w:rPr>
          <w:rFonts w:eastAsia="Calibri"/>
        </w:rPr>
        <w:t>will reflect the government’s objectives in supporting further measures to support recreational fishing. This criterion can therefore be interpreted as capturing the relative ‘benefits’ of each option.</w:t>
      </w:r>
      <w:r w:rsidR="006B3627" w:rsidRPr="000F1E0F">
        <w:rPr>
          <w:rFonts w:eastAsia="Calibri"/>
        </w:rPr>
        <w:t xml:space="preserve"> </w:t>
      </w:r>
    </w:p>
    <w:p w14:paraId="3F689D62" w14:textId="77777777" w:rsidR="00106A37" w:rsidRDefault="00106A37" w:rsidP="00E510D1">
      <w:pPr>
        <w:pStyle w:val="Body"/>
        <w:rPr>
          <w:rFonts w:eastAsia="Calibri"/>
        </w:rPr>
      </w:pPr>
      <w:r>
        <w:rPr>
          <w:rFonts w:eastAsia="Calibri"/>
        </w:rPr>
        <w:t>T</w:t>
      </w:r>
      <w:r w:rsidR="00337BFC">
        <w:rPr>
          <w:rFonts w:eastAsia="Calibri"/>
        </w:rPr>
        <w:t xml:space="preserve">he criteria </w:t>
      </w:r>
      <w:r w:rsidR="00E16BBC">
        <w:rPr>
          <w:rFonts w:eastAsia="Calibri"/>
        </w:rPr>
        <w:t xml:space="preserve">used </w:t>
      </w:r>
      <w:r w:rsidR="00840194">
        <w:rPr>
          <w:rFonts w:eastAsia="Calibri"/>
        </w:rPr>
        <w:t xml:space="preserve">to assess the options </w:t>
      </w:r>
      <w:r w:rsidR="00337BFC">
        <w:rPr>
          <w:rFonts w:eastAsia="Calibri"/>
        </w:rPr>
        <w:t xml:space="preserve">have </w:t>
      </w:r>
      <w:r>
        <w:rPr>
          <w:rFonts w:eastAsia="Calibri"/>
        </w:rPr>
        <w:t xml:space="preserve">also </w:t>
      </w:r>
      <w:r w:rsidR="00337BFC">
        <w:rPr>
          <w:rFonts w:eastAsia="Calibri"/>
        </w:rPr>
        <w:t xml:space="preserve">been designed to compare how well each option generates </w:t>
      </w:r>
      <w:r>
        <w:rPr>
          <w:rFonts w:eastAsia="Calibri"/>
        </w:rPr>
        <w:t xml:space="preserve">additional </w:t>
      </w:r>
      <w:r w:rsidR="00337BFC">
        <w:rPr>
          <w:rFonts w:eastAsia="Calibri"/>
        </w:rPr>
        <w:t xml:space="preserve">revenue in terms of the broad policy principles of equity </w:t>
      </w:r>
      <w:r w:rsidR="00060373">
        <w:rPr>
          <w:rFonts w:eastAsia="Calibri"/>
        </w:rPr>
        <w:t xml:space="preserve">(both horizontal and vertical equity), </w:t>
      </w:r>
      <w:r w:rsidR="00337BFC">
        <w:rPr>
          <w:rFonts w:eastAsia="Calibri"/>
        </w:rPr>
        <w:t>effectiveness</w:t>
      </w:r>
      <w:r w:rsidR="00060373">
        <w:rPr>
          <w:rFonts w:eastAsia="Calibri"/>
        </w:rPr>
        <w:t xml:space="preserve"> and administrative compl</w:t>
      </w:r>
      <w:r w:rsidR="00DB637B">
        <w:rPr>
          <w:rFonts w:eastAsia="Calibri"/>
        </w:rPr>
        <w:t>exity</w:t>
      </w:r>
      <w:r w:rsidR="00337BFC">
        <w:rPr>
          <w:rFonts w:eastAsia="Calibri"/>
        </w:rPr>
        <w:t xml:space="preserve">. These are described further in the table below. </w:t>
      </w:r>
    </w:p>
    <w:p w14:paraId="2B6AA1CD" w14:textId="77777777" w:rsidR="00337BFC" w:rsidRDefault="00106A37" w:rsidP="00E510D1">
      <w:pPr>
        <w:pStyle w:val="Body"/>
        <w:rPr>
          <w:rFonts w:eastAsia="Calibri"/>
        </w:rPr>
      </w:pPr>
      <w:r>
        <w:rPr>
          <w:rFonts w:eastAsia="Calibri"/>
        </w:rPr>
        <w:t>The primary purpose of the proposed fee changes in to provide additional funding to the Trust Account. Therefore this criterion has been provided a high weighting of 50 per cent in the analysis. T</w:t>
      </w:r>
      <w:r w:rsidR="00DB637B">
        <w:rPr>
          <w:rFonts w:eastAsia="Calibri"/>
        </w:rPr>
        <w:t>he Department considers t</w:t>
      </w:r>
      <w:r w:rsidR="00337BFC">
        <w:rPr>
          <w:rFonts w:eastAsia="Calibri"/>
        </w:rPr>
        <w:t>he</w:t>
      </w:r>
      <w:r>
        <w:rPr>
          <w:rFonts w:eastAsia="Calibri"/>
        </w:rPr>
        <w:t xml:space="preserve"> other criteria </w:t>
      </w:r>
      <w:r w:rsidR="00DB637B">
        <w:rPr>
          <w:rFonts w:eastAsia="Calibri"/>
        </w:rPr>
        <w:t xml:space="preserve">to be </w:t>
      </w:r>
      <w:r w:rsidR="00337BFC">
        <w:rPr>
          <w:rFonts w:eastAsia="Calibri"/>
        </w:rPr>
        <w:t xml:space="preserve">equally important, </w:t>
      </w:r>
      <w:r>
        <w:rPr>
          <w:rFonts w:eastAsia="Calibri"/>
        </w:rPr>
        <w:t xml:space="preserve">so </w:t>
      </w:r>
      <w:r w:rsidR="00337BFC">
        <w:rPr>
          <w:rFonts w:eastAsia="Calibri"/>
        </w:rPr>
        <w:t xml:space="preserve">each </w:t>
      </w:r>
      <w:r>
        <w:rPr>
          <w:rFonts w:eastAsia="Calibri"/>
        </w:rPr>
        <w:t xml:space="preserve">of the other </w:t>
      </w:r>
      <w:r w:rsidR="00337BFC">
        <w:rPr>
          <w:rFonts w:eastAsia="Calibri"/>
        </w:rPr>
        <w:t>criteri</w:t>
      </w:r>
      <w:r>
        <w:rPr>
          <w:rFonts w:eastAsia="Calibri"/>
        </w:rPr>
        <w:t>a</w:t>
      </w:r>
      <w:r w:rsidR="00337BFC">
        <w:rPr>
          <w:rFonts w:eastAsia="Calibri"/>
        </w:rPr>
        <w:t xml:space="preserve"> has been weighted as </w:t>
      </w:r>
      <w:r>
        <w:rPr>
          <w:rFonts w:eastAsia="Calibri"/>
        </w:rPr>
        <w:t xml:space="preserve">12.5 per cent </w:t>
      </w:r>
      <w:r w:rsidR="00337BFC">
        <w:rPr>
          <w:rFonts w:eastAsia="Calibri"/>
        </w:rPr>
        <w:t>in the overall assessment.</w:t>
      </w:r>
      <w:r w:rsidR="00482EA1">
        <w:rPr>
          <w:rFonts w:eastAsia="Calibri"/>
        </w:rPr>
        <w:t xml:space="preserve"> </w:t>
      </w:r>
      <w:r w:rsidR="009105FE">
        <w:rPr>
          <w:rFonts w:eastAsia="Calibri"/>
        </w:rPr>
        <w:t>In practice, this means each option is scored for each criterion out of either 50 or 12.5, and then scores are added for a total score for each option.</w:t>
      </w:r>
    </w:p>
    <w:p w14:paraId="34CE1036" w14:textId="77777777" w:rsidR="00CF2E34" w:rsidRPr="0008580A" w:rsidRDefault="00CF2E34" w:rsidP="00E510D1">
      <w:pPr>
        <w:pStyle w:val="Body"/>
        <w:rPr>
          <w:rFonts w:eastAsia="Calibri"/>
        </w:rPr>
      </w:pPr>
      <w:r w:rsidRPr="0008580A">
        <w:rPr>
          <w:rFonts w:eastAsia="Calibri"/>
        </w:rPr>
        <w:t>The ‘base case’ (i.e</w:t>
      </w:r>
      <w:r w:rsidR="00515946" w:rsidRPr="0008580A">
        <w:rPr>
          <w:rFonts w:eastAsia="Calibri"/>
        </w:rPr>
        <w:t>.</w:t>
      </w:r>
      <w:r w:rsidR="006A57B2">
        <w:rPr>
          <w:rFonts w:eastAsia="Calibri"/>
        </w:rPr>
        <w:t>,</w:t>
      </w:r>
      <w:r w:rsidRPr="0008580A">
        <w:rPr>
          <w:rFonts w:eastAsia="Calibri"/>
        </w:rPr>
        <w:t xml:space="preserve"> if no changes were made to the </w:t>
      </w:r>
      <w:r w:rsidR="00EC462C" w:rsidRPr="0008580A">
        <w:rPr>
          <w:rFonts w:eastAsia="Calibri"/>
        </w:rPr>
        <w:t>Regulations</w:t>
      </w:r>
      <w:r w:rsidRPr="0008580A">
        <w:rPr>
          <w:rFonts w:eastAsia="Calibri"/>
        </w:rPr>
        <w:t xml:space="preserve">) is set as a zero score, with each option scored </w:t>
      </w:r>
      <w:r w:rsidR="009105FE">
        <w:rPr>
          <w:rFonts w:eastAsia="Calibri"/>
        </w:rPr>
        <w:t>with a positive or negative score</w:t>
      </w:r>
      <w:r w:rsidRPr="0008580A">
        <w:rPr>
          <w:rFonts w:eastAsia="Calibri"/>
        </w:rPr>
        <w:t xml:space="preserve">, depending on the extent to which it is </w:t>
      </w:r>
      <w:r w:rsidR="00337BFC">
        <w:rPr>
          <w:rFonts w:eastAsia="Calibri"/>
        </w:rPr>
        <w:t xml:space="preserve">considered </w:t>
      </w:r>
      <w:r w:rsidRPr="0008580A">
        <w:rPr>
          <w:rFonts w:eastAsia="Calibri"/>
        </w:rPr>
        <w:t>worse than or better than the base case.</w:t>
      </w:r>
      <w:r w:rsidR="002349A7" w:rsidRPr="0008580A">
        <w:rPr>
          <w:rFonts w:eastAsia="Calibri"/>
        </w:rPr>
        <w:t xml:space="preserve"> The scores are based on a qualitative assessment, informed by policy judgment and </w:t>
      </w:r>
      <w:r w:rsidR="00337BFC">
        <w:rPr>
          <w:rFonts w:eastAsia="Calibri"/>
        </w:rPr>
        <w:t>Fisheries Victoria’s</w:t>
      </w:r>
      <w:r w:rsidR="002349A7" w:rsidRPr="0008580A">
        <w:rPr>
          <w:rFonts w:eastAsia="Calibri"/>
        </w:rPr>
        <w:t xml:space="preserve"> experience in the sector.</w:t>
      </w:r>
    </w:p>
    <w:p w14:paraId="6050C02E" w14:textId="77777777" w:rsidR="004D5101" w:rsidRPr="001775AB" w:rsidRDefault="00CF2E34" w:rsidP="00E510D1">
      <w:pPr>
        <w:pStyle w:val="Body"/>
        <w:rPr>
          <w:color w:val="000000"/>
        </w:rPr>
      </w:pPr>
      <w:r w:rsidRPr="0008580A">
        <w:rPr>
          <w:rFonts w:eastAsia="Calibri"/>
        </w:rPr>
        <w:t>For this RIS, the criteria used to compare the options are shown in Figure 4A</w:t>
      </w:r>
      <w:r w:rsidR="00725190">
        <w:rPr>
          <w:rFonts w:eastAsia="Calibri"/>
        </w:rPr>
        <w:t>, being based on the objectives of the regulations</w:t>
      </w:r>
      <w:r w:rsidRPr="0008580A">
        <w:rPr>
          <w:rFonts w:eastAsia="Calibri"/>
        </w:rPr>
        <w:t>.</w:t>
      </w:r>
      <w:r w:rsidR="004D5101" w:rsidRPr="001775AB">
        <w:rPr>
          <w:color w:val="000000"/>
        </w:rPr>
        <w:t xml:space="preserve"> </w:t>
      </w:r>
    </w:p>
    <w:p w14:paraId="14E99961" w14:textId="77777777" w:rsidR="009105FE" w:rsidRDefault="009105FE">
      <w:pPr>
        <w:rPr>
          <w:rFonts w:eastAsia="Calibri"/>
          <w:b/>
          <w:color w:val="404040"/>
          <w:sz w:val="18"/>
          <w:szCs w:val="18"/>
          <w:lang w:eastAsia="en-US"/>
        </w:rPr>
      </w:pPr>
      <w:r>
        <w:rPr>
          <w:rFonts w:eastAsia="Calibri"/>
        </w:rPr>
        <w:br w:type="page"/>
      </w:r>
    </w:p>
    <w:p w14:paraId="60ADCA98" w14:textId="77777777" w:rsidR="00CF2E34" w:rsidRPr="0008580A" w:rsidRDefault="00CF2E34" w:rsidP="00E510D1">
      <w:pPr>
        <w:pStyle w:val="TableTitle"/>
        <w:rPr>
          <w:rFonts w:eastAsia="Calibri"/>
        </w:rPr>
      </w:pPr>
      <w:r w:rsidRPr="0008580A">
        <w:rPr>
          <w:rFonts w:eastAsia="Calibri"/>
        </w:rPr>
        <w:t>Figure 4A – Assessment criteria</w:t>
      </w:r>
    </w:p>
    <w:tbl>
      <w:tblPr>
        <w:tblStyle w:val="ColorfulList-Accent3"/>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4A0" w:firstRow="1" w:lastRow="0" w:firstColumn="1" w:lastColumn="0" w:noHBand="0" w:noVBand="1"/>
      </w:tblPr>
      <w:tblGrid>
        <w:gridCol w:w="1951"/>
        <w:gridCol w:w="5387"/>
        <w:gridCol w:w="1178"/>
      </w:tblGrid>
      <w:tr w:rsidR="004D5101" w:rsidRPr="0008580A" w14:paraId="424D3A0C" w14:textId="77777777" w:rsidTr="0033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6" w:space="0" w:color="1F497D" w:themeColor="text2"/>
            </w:tcBorders>
            <w:shd w:val="clear" w:color="auto" w:fill="1F497D" w:themeFill="text2"/>
            <w:tcMar>
              <w:top w:w="85" w:type="dxa"/>
              <w:bottom w:w="85" w:type="dxa"/>
            </w:tcMar>
          </w:tcPr>
          <w:p w14:paraId="06421771" w14:textId="77777777" w:rsidR="004D5101" w:rsidRPr="0008580A" w:rsidRDefault="00337BFC" w:rsidP="006C6C78">
            <w:pPr>
              <w:rPr>
                <w:lang w:eastAsia="en-AU"/>
              </w:rPr>
            </w:pPr>
            <w:r>
              <w:rPr>
                <w:lang w:eastAsia="en-AU"/>
              </w:rPr>
              <w:t>Criterion</w:t>
            </w:r>
          </w:p>
        </w:tc>
        <w:tc>
          <w:tcPr>
            <w:tcW w:w="5387" w:type="dxa"/>
            <w:tcBorders>
              <w:bottom w:val="single" w:sz="6" w:space="0" w:color="1F497D" w:themeColor="text2"/>
            </w:tcBorders>
            <w:shd w:val="clear" w:color="auto" w:fill="1F497D" w:themeFill="text2"/>
            <w:tcMar>
              <w:top w:w="85" w:type="dxa"/>
              <w:bottom w:w="85" w:type="dxa"/>
            </w:tcMar>
            <w:hideMark/>
          </w:tcPr>
          <w:p w14:paraId="308A04F2" w14:textId="77777777" w:rsidR="004D5101" w:rsidRPr="0008580A" w:rsidRDefault="00337BFC" w:rsidP="006C6C78">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Description</w:t>
            </w:r>
          </w:p>
        </w:tc>
        <w:tc>
          <w:tcPr>
            <w:tcW w:w="1178" w:type="dxa"/>
            <w:tcBorders>
              <w:bottom w:val="single" w:sz="6" w:space="0" w:color="1F497D" w:themeColor="text2"/>
            </w:tcBorders>
            <w:shd w:val="clear" w:color="auto" w:fill="1F497D" w:themeFill="text2"/>
            <w:tcMar>
              <w:top w:w="85" w:type="dxa"/>
              <w:bottom w:w="85" w:type="dxa"/>
            </w:tcMar>
          </w:tcPr>
          <w:p w14:paraId="39EC88EA" w14:textId="77777777" w:rsidR="004D5101" w:rsidRPr="0008580A" w:rsidRDefault="004D5101" w:rsidP="006C6C78">
            <w:pPr>
              <w:cnfStyle w:val="100000000000" w:firstRow="1" w:lastRow="0" w:firstColumn="0" w:lastColumn="0" w:oddVBand="0" w:evenVBand="0" w:oddHBand="0" w:evenHBand="0" w:firstRowFirstColumn="0" w:firstRowLastColumn="0" w:lastRowFirstColumn="0" w:lastRowLastColumn="0"/>
              <w:rPr>
                <w:lang w:eastAsia="en-AU"/>
              </w:rPr>
            </w:pPr>
            <w:r w:rsidRPr="0008580A">
              <w:rPr>
                <w:lang w:eastAsia="en-AU"/>
              </w:rPr>
              <w:t>Weighing</w:t>
            </w:r>
          </w:p>
        </w:tc>
      </w:tr>
      <w:tr w:rsidR="00482EA1" w:rsidRPr="0044386A" w14:paraId="6B73C9CB" w14:textId="77777777" w:rsidTr="0033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27B8AB50" w14:textId="77777777" w:rsidR="00482EA1" w:rsidDel="00DB637B" w:rsidRDefault="00482EA1" w:rsidP="006C6C78">
            <w:pPr>
              <w:rPr>
                <w:rFonts w:eastAsia="Calibri"/>
              </w:rPr>
            </w:pPr>
            <w:r>
              <w:rPr>
                <w:rFonts w:eastAsia="Calibri"/>
              </w:rPr>
              <w:t>Increased revenue</w:t>
            </w:r>
          </w:p>
        </w:tc>
        <w:tc>
          <w:tcPr>
            <w:tcW w:w="5387" w:type="dxa"/>
            <w:shd w:val="clear" w:color="auto" w:fill="auto"/>
            <w:tcMar>
              <w:top w:w="85" w:type="dxa"/>
              <w:bottom w:w="85" w:type="dxa"/>
            </w:tcMar>
          </w:tcPr>
          <w:p w14:paraId="7290E471" w14:textId="77777777" w:rsidR="00482EA1" w:rsidRPr="00482EA1" w:rsidRDefault="00482EA1" w:rsidP="00BD5C11">
            <w:pPr>
              <w:cnfStyle w:val="000000100000" w:firstRow="0" w:lastRow="0" w:firstColumn="0" w:lastColumn="0" w:oddVBand="0" w:evenVBand="0" w:oddHBand="1" w:evenHBand="0" w:firstRowFirstColumn="0" w:firstRowLastColumn="0" w:lastRowFirstColumn="0" w:lastRowLastColumn="0"/>
            </w:pPr>
            <w:r>
              <w:t xml:space="preserve">This </w:t>
            </w:r>
            <w:r w:rsidR="00BD5C11">
              <w:t>criterion</w:t>
            </w:r>
            <w:r>
              <w:t xml:space="preserve"> reflects to extent to which the option is able to raise the additional revenue considered necessary to increase funding for </w:t>
            </w:r>
            <w:r w:rsidR="00BD5C11">
              <w:t>initiatives and programs</w:t>
            </w:r>
            <w:r>
              <w:t xml:space="preserve"> to support recreational fishing through the Trust Account</w:t>
            </w:r>
          </w:p>
        </w:tc>
        <w:tc>
          <w:tcPr>
            <w:tcW w:w="1178" w:type="dxa"/>
            <w:shd w:val="clear" w:color="auto" w:fill="auto"/>
            <w:tcMar>
              <w:top w:w="85" w:type="dxa"/>
              <w:bottom w:w="85" w:type="dxa"/>
            </w:tcMar>
          </w:tcPr>
          <w:p w14:paraId="3B98AEB9" w14:textId="77777777" w:rsidR="00482EA1" w:rsidRPr="0044386A" w:rsidDel="00DB637B" w:rsidRDefault="00482EA1" w:rsidP="006C6C78">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50%</w:t>
            </w:r>
          </w:p>
        </w:tc>
      </w:tr>
      <w:tr w:rsidR="004D5101" w:rsidRPr="0044386A" w14:paraId="7987AF2E" w14:textId="77777777" w:rsidTr="00337BFC">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541161BD" w14:textId="77777777" w:rsidR="004D5101" w:rsidRPr="0022612E" w:rsidRDefault="00DB637B" w:rsidP="006C6C78">
            <w:pPr>
              <w:rPr>
                <w:rFonts w:eastAsia="Calibri"/>
              </w:rPr>
            </w:pPr>
            <w:r>
              <w:rPr>
                <w:rFonts w:eastAsia="Calibri"/>
              </w:rPr>
              <w:t>Horizontal Equity</w:t>
            </w:r>
          </w:p>
        </w:tc>
        <w:tc>
          <w:tcPr>
            <w:tcW w:w="5387" w:type="dxa"/>
            <w:shd w:val="clear" w:color="auto" w:fill="auto"/>
            <w:tcMar>
              <w:top w:w="85" w:type="dxa"/>
              <w:bottom w:w="85" w:type="dxa"/>
            </w:tcMar>
            <w:hideMark/>
          </w:tcPr>
          <w:p w14:paraId="39DF6634" w14:textId="77777777" w:rsidR="004D5101" w:rsidRPr="00167681" w:rsidRDefault="003F3328" w:rsidP="000D4097">
            <w:pPr>
              <w:cnfStyle w:val="000000000000" w:firstRow="0" w:lastRow="0" w:firstColumn="0" w:lastColumn="0" w:oddVBand="0" w:evenVBand="0" w:oddHBand="0" w:evenHBand="0" w:firstRowFirstColumn="0" w:firstRowLastColumn="0" w:lastRowFirstColumn="0" w:lastRowLastColumn="0"/>
              <w:rPr>
                <w:lang w:eastAsia="en-AU"/>
              </w:rPr>
            </w:pPr>
            <w:r w:rsidRPr="000F1E0F">
              <w:t>Horizontal equity</w:t>
            </w:r>
            <w:r>
              <w:t xml:space="preserve"> refers to treating people in similar situations in similar ways. In the case of cost recovery, horizontal equity refers to those who benefit from activities, or those that contribute to the need for regulation, having to pay the associated costs. This improves equity because it avoids the situation where all taxpayers have to pay the associated costs regardless of whether or not they benefit from – or give rise to the need for – the government activity/regulation.</w:t>
            </w:r>
            <w:r w:rsidR="00E451EB">
              <w:t xml:space="preserve"> Horizontal equity also avoids cross-subsidisation between different groups.</w:t>
            </w:r>
            <w:r w:rsidR="00663FC2">
              <w:t xml:space="preserve"> </w:t>
            </w:r>
            <w:r w:rsidR="00663FC2" w:rsidRPr="00663FC2">
              <w:t>There is no data on the extent to which the various options will best align the financial contributions from different groups of licence holders with the benefit that they derive from activities funded from the Trust Fund</w:t>
            </w:r>
            <w:r w:rsidR="000D4097">
              <w:t xml:space="preserve">, therefore </w:t>
            </w:r>
            <w:r w:rsidR="00663FC2" w:rsidRPr="00663FC2">
              <w:t xml:space="preserve">a qualitative assessment </w:t>
            </w:r>
            <w:r w:rsidR="000D4097">
              <w:t>has been</w:t>
            </w:r>
            <w:r w:rsidR="00663FC2" w:rsidRPr="00663FC2">
              <w:t xml:space="preserve"> undertaken</w:t>
            </w:r>
            <w:r w:rsidR="000D4097">
              <w:t>.</w:t>
            </w:r>
          </w:p>
        </w:tc>
        <w:tc>
          <w:tcPr>
            <w:tcW w:w="1178" w:type="dxa"/>
            <w:shd w:val="clear" w:color="auto" w:fill="auto"/>
            <w:tcMar>
              <w:top w:w="85" w:type="dxa"/>
              <w:bottom w:w="85" w:type="dxa"/>
            </w:tcMar>
          </w:tcPr>
          <w:p w14:paraId="4A60AADD" w14:textId="77777777" w:rsidR="004D5101" w:rsidRPr="0044386A" w:rsidRDefault="00482EA1" w:rsidP="006C6C7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12.5%</w:t>
            </w:r>
          </w:p>
        </w:tc>
      </w:tr>
      <w:tr w:rsidR="004D5101" w:rsidRPr="0044386A" w14:paraId="004B4EF4" w14:textId="77777777" w:rsidTr="0033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6558822D" w14:textId="77777777" w:rsidR="004D5101" w:rsidRPr="0022612E" w:rsidRDefault="00DB637B" w:rsidP="006C6C78">
            <w:pPr>
              <w:rPr>
                <w:rFonts w:eastAsia="Calibri"/>
              </w:rPr>
            </w:pPr>
            <w:r>
              <w:rPr>
                <w:rFonts w:eastAsia="Calibri"/>
              </w:rPr>
              <w:t xml:space="preserve">Vertical </w:t>
            </w:r>
            <w:r w:rsidR="00337BFC">
              <w:rPr>
                <w:rFonts w:eastAsia="Calibri"/>
              </w:rPr>
              <w:t>Equity</w:t>
            </w:r>
          </w:p>
        </w:tc>
        <w:tc>
          <w:tcPr>
            <w:tcW w:w="5387" w:type="dxa"/>
            <w:shd w:val="clear" w:color="auto" w:fill="auto"/>
            <w:tcMar>
              <w:top w:w="85" w:type="dxa"/>
              <w:bottom w:w="85" w:type="dxa"/>
            </w:tcMar>
          </w:tcPr>
          <w:p w14:paraId="0F86EBF7" w14:textId="77777777" w:rsidR="004D5101" w:rsidRPr="00167681" w:rsidRDefault="00337BFC" w:rsidP="00337BFC">
            <w:pPr>
              <w:cnfStyle w:val="000000100000" w:firstRow="0" w:lastRow="0" w:firstColumn="0" w:lastColumn="0" w:oddVBand="0" w:evenVBand="0" w:oddHBand="1" w:evenHBand="0" w:firstRowFirstColumn="0" w:firstRowLastColumn="0" w:lastRowFirstColumn="0" w:lastRowLastColumn="0"/>
              <w:rPr>
                <w:color w:val="auto"/>
                <w:lang w:eastAsia="en-AU"/>
              </w:rPr>
            </w:pPr>
            <w:r w:rsidRPr="0022612E">
              <w:t>Distribute licence costs equitably among beneficiaries</w:t>
            </w:r>
            <w:r>
              <w:t>.</w:t>
            </w:r>
            <w:r w:rsidRPr="0022612E">
              <w:t xml:space="preserve"> </w:t>
            </w:r>
            <w:r w:rsidR="00CD55C0">
              <w:rPr>
                <w:rFonts w:eastAsia="Calibri"/>
              </w:rPr>
              <w:t>This criterion measures overall fairness of licence fees between recreational fishers. A positive score means l</w:t>
            </w:r>
            <w:r w:rsidR="009C5172">
              <w:rPr>
                <w:rFonts w:eastAsia="Calibri"/>
              </w:rPr>
              <w:t xml:space="preserve">icence fees </w:t>
            </w:r>
            <w:r w:rsidR="0056342E">
              <w:rPr>
                <w:rFonts w:eastAsia="Calibri"/>
              </w:rPr>
              <w:t xml:space="preserve">better </w:t>
            </w:r>
            <w:r w:rsidR="00CD55C0">
              <w:rPr>
                <w:rFonts w:eastAsia="Calibri"/>
              </w:rPr>
              <w:t xml:space="preserve">reflect </w:t>
            </w:r>
            <w:r w:rsidR="009C5172">
              <w:rPr>
                <w:rFonts w:eastAsia="Calibri"/>
              </w:rPr>
              <w:t>the</w:t>
            </w:r>
            <w:r w:rsidR="00CD55C0">
              <w:rPr>
                <w:rFonts w:eastAsia="Calibri"/>
              </w:rPr>
              <w:t xml:space="preserve"> relative</w:t>
            </w:r>
            <w:r w:rsidR="009C5172">
              <w:rPr>
                <w:rFonts w:eastAsia="Calibri"/>
              </w:rPr>
              <w:t xml:space="preserve"> abili</w:t>
            </w:r>
            <w:r>
              <w:rPr>
                <w:rFonts w:eastAsia="Calibri"/>
              </w:rPr>
              <w:t>ty of different fishers to pay</w:t>
            </w:r>
            <w:r w:rsidR="009064A7">
              <w:rPr>
                <w:rFonts w:eastAsia="Calibri"/>
              </w:rPr>
              <w:t>.</w:t>
            </w:r>
            <w:r>
              <w:rPr>
                <w:rFonts w:eastAsia="Calibri"/>
              </w:rPr>
              <w:t xml:space="preserve"> </w:t>
            </w:r>
          </w:p>
        </w:tc>
        <w:tc>
          <w:tcPr>
            <w:tcW w:w="1178" w:type="dxa"/>
            <w:shd w:val="clear" w:color="auto" w:fill="auto"/>
            <w:tcMar>
              <w:top w:w="85" w:type="dxa"/>
              <w:bottom w:w="85" w:type="dxa"/>
            </w:tcMar>
          </w:tcPr>
          <w:p w14:paraId="4617209F" w14:textId="77777777" w:rsidR="004D5101" w:rsidRPr="0044386A" w:rsidRDefault="00482EA1" w:rsidP="006C6C78">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12.5%</w:t>
            </w:r>
          </w:p>
        </w:tc>
      </w:tr>
      <w:tr w:rsidR="004D5101" w:rsidRPr="0044386A" w14:paraId="13BEAB3D" w14:textId="77777777" w:rsidTr="00337BFC">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64209C4A" w14:textId="77777777" w:rsidR="004D5101" w:rsidRPr="0022612E" w:rsidRDefault="00337BFC" w:rsidP="006C6C78">
            <w:pPr>
              <w:rPr>
                <w:rFonts w:eastAsia="Calibri"/>
              </w:rPr>
            </w:pPr>
            <w:r>
              <w:rPr>
                <w:rFonts w:eastAsia="Calibri"/>
              </w:rPr>
              <w:t>Effectiveness</w:t>
            </w:r>
          </w:p>
        </w:tc>
        <w:tc>
          <w:tcPr>
            <w:tcW w:w="5387" w:type="dxa"/>
            <w:shd w:val="clear" w:color="auto" w:fill="auto"/>
            <w:tcMar>
              <w:top w:w="85" w:type="dxa"/>
              <w:bottom w:w="85" w:type="dxa"/>
            </w:tcMar>
          </w:tcPr>
          <w:p w14:paraId="52189ED2" w14:textId="77777777" w:rsidR="004D5101" w:rsidRPr="00167681" w:rsidRDefault="00337BFC" w:rsidP="009064A7">
            <w:pPr>
              <w:cnfStyle w:val="000000000000" w:firstRow="0" w:lastRow="0" w:firstColumn="0" w:lastColumn="0" w:oddVBand="0" w:evenVBand="0" w:oddHBand="0" w:evenHBand="0" w:firstRowFirstColumn="0" w:firstRowLastColumn="0" w:lastRowFirstColumn="0" w:lastRowLastColumn="0"/>
              <w:rPr>
                <w:lang w:eastAsia="en-AU"/>
              </w:rPr>
            </w:pPr>
            <w:r w:rsidRPr="0022612E">
              <w:t>Simple, transparent, and support licence compliance</w:t>
            </w:r>
            <w:r>
              <w:t>.</w:t>
            </w:r>
            <w:r w:rsidRPr="0022612E">
              <w:t xml:space="preserve"> </w:t>
            </w:r>
            <w:r w:rsidR="00427E75">
              <w:t xml:space="preserve">This criterion measures whether each option </w:t>
            </w:r>
            <w:r w:rsidR="00427E75" w:rsidRPr="00427E75">
              <w:t>effectively achieve</w:t>
            </w:r>
            <w:r w:rsidR="00427E75">
              <w:t>s</w:t>
            </w:r>
            <w:r w:rsidR="00427E75" w:rsidRPr="00427E75">
              <w:t xml:space="preserve"> the objectives for recreational fishing (including compliance with licensing)</w:t>
            </w:r>
            <w:r w:rsidR="00427E75">
              <w:t>.</w:t>
            </w:r>
          </w:p>
        </w:tc>
        <w:tc>
          <w:tcPr>
            <w:tcW w:w="1178" w:type="dxa"/>
            <w:shd w:val="clear" w:color="auto" w:fill="auto"/>
            <w:tcMar>
              <w:top w:w="85" w:type="dxa"/>
              <w:bottom w:w="85" w:type="dxa"/>
            </w:tcMar>
          </w:tcPr>
          <w:p w14:paraId="1591C1A6" w14:textId="77777777" w:rsidR="004D5101" w:rsidRPr="0044386A" w:rsidRDefault="00482EA1" w:rsidP="006C6C7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12.5%</w:t>
            </w:r>
          </w:p>
        </w:tc>
      </w:tr>
      <w:tr w:rsidR="00DB637B" w:rsidRPr="0044386A" w14:paraId="4AA4D8AC" w14:textId="77777777" w:rsidTr="0033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14BC03E7" w14:textId="77777777" w:rsidR="00DB637B" w:rsidRDefault="00DB637B" w:rsidP="006C6C78">
            <w:pPr>
              <w:rPr>
                <w:rFonts w:eastAsia="Calibri"/>
              </w:rPr>
            </w:pPr>
            <w:r>
              <w:rPr>
                <w:rFonts w:eastAsia="Calibri"/>
              </w:rPr>
              <w:t>Administrative Complexity</w:t>
            </w:r>
          </w:p>
        </w:tc>
        <w:tc>
          <w:tcPr>
            <w:tcW w:w="5387" w:type="dxa"/>
            <w:shd w:val="clear" w:color="auto" w:fill="auto"/>
            <w:tcMar>
              <w:top w:w="85" w:type="dxa"/>
              <w:bottom w:w="85" w:type="dxa"/>
            </w:tcMar>
          </w:tcPr>
          <w:p w14:paraId="0BEE6600" w14:textId="77777777" w:rsidR="00DB637B" w:rsidRPr="0022612E" w:rsidRDefault="009064A7" w:rsidP="006A57B2">
            <w:pPr>
              <w:cnfStyle w:val="000000100000" w:firstRow="0" w:lastRow="0" w:firstColumn="0" w:lastColumn="0" w:oddVBand="0" w:evenVBand="0" w:oddHBand="1" w:evenHBand="0" w:firstRowFirstColumn="0" w:firstRowLastColumn="0" w:lastRowFirstColumn="0" w:lastRowLastColumn="0"/>
            </w:pPr>
            <w:r>
              <w:rPr>
                <w:rFonts w:eastAsia="Calibri"/>
              </w:rPr>
              <w:t>Licences are easy to administer, determine eligibility, enforce compliance and monitor.</w:t>
            </w:r>
            <w:r w:rsidR="000251B6">
              <w:rPr>
                <w:rFonts w:eastAsia="Calibri"/>
              </w:rPr>
              <w:t xml:space="preserve"> </w:t>
            </w:r>
            <w:r w:rsidR="000251B6">
              <w:t>Administrative simplicity and cost (including administration costs for currently exempt recreational fishers</w:t>
            </w:r>
            <w:r w:rsidR="006A57B2">
              <w:t>).</w:t>
            </w:r>
          </w:p>
        </w:tc>
        <w:tc>
          <w:tcPr>
            <w:tcW w:w="1178" w:type="dxa"/>
            <w:shd w:val="clear" w:color="auto" w:fill="auto"/>
            <w:tcMar>
              <w:top w:w="85" w:type="dxa"/>
              <w:bottom w:w="85" w:type="dxa"/>
            </w:tcMar>
          </w:tcPr>
          <w:p w14:paraId="53CBC080" w14:textId="77777777" w:rsidR="00DB637B" w:rsidRPr="0044386A" w:rsidRDefault="00482EA1" w:rsidP="006C6C78">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12.5%</w:t>
            </w:r>
          </w:p>
        </w:tc>
      </w:tr>
      <w:tr w:rsidR="00482EA1" w:rsidRPr="0044386A" w14:paraId="60CE452A" w14:textId="77777777" w:rsidTr="00337BFC">
        <w:tc>
          <w:tcPr>
            <w:cnfStyle w:val="001000000000" w:firstRow="0" w:lastRow="0" w:firstColumn="1" w:lastColumn="0" w:oddVBand="0" w:evenVBand="0" w:oddHBand="0" w:evenHBand="0" w:firstRowFirstColumn="0" w:firstRowLastColumn="0" w:lastRowFirstColumn="0" w:lastRowLastColumn="0"/>
            <w:tcW w:w="1951" w:type="dxa"/>
            <w:shd w:val="clear" w:color="auto" w:fill="auto"/>
            <w:tcMar>
              <w:top w:w="85" w:type="dxa"/>
              <w:bottom w:w="85" w:type="dxa"/>
            </w:tcMar>
          </w:tcPr>
          <w:p w14:paraId="31192716" w14:textId="77777777" w:rsidR="00482EA1" w:rsidRDefault="00482EA1" w:rsidP="006C6C78">
            <w:pPr>
              <w:rPr>
                <w:rFonts w:eastAsia="Calibri"/>
              </w:rPr>
            </w:pPr>
            <w:r>
              <w:rPr>
                <w:rFonts w:eastAsia="Calibri"/>
              </w:rPr>
              <w:t>TOTAL</w:t>
            </w:r>
          </w:p>
        </w:tc>
        <w:tc>
          <w:tcPr>
            <w:tcW w:w="5387" w:type="dxa"/>
            <w:shd w:val="clear" w:color="auto" w:fill="auto"/>
            <w:tcMar>
              <w:top w:w="85" w:type="dxa"/>
              <w:bottom w:w="85" w:type="dxa"/>
            </w:tcMar>
          </w:tcPr>
          <w:p w14:paraId="2CFD4059" w14:textId="77777777" w:rsidR="00482EA1" w:rsidRDefault="00482EA1" w:rsidP="00337BFC">
            <w:pPr>
              <w:cnfStyle w:val="000000000000" w:firstRow="0" w:lastRow="0" w:firstColumn="0" w:lastColumn="0" w:oddVBand="0" w:evenVBand="0" w:oddHBand="0" w:evenHBand="0" w:firstRowFirstColumn="0" w:firstRowLastColumn="0" w:lastRowFirstColumn="0" w:lastRowLastColumn="0"/>
              <w:rPr>
                <w:rFonts w:eastAsia="Calibri"/>
              </w:rPr>
            </w:pPr>
          </w:p>
        </w:tc>
        <w:tc>
          <w:tcPr>
            <w:tcW w:w="1178" w:type="dxa"/>
            <w:shd w:val="clear" w:color="auto" w:fill="auto"/>
            <w:tcMar>
              <w:top w:w="85" w:type="dxa"/>
              <w:bottom w:w="85" w:type="dxa"/>
            </w:tcMar>
          </w:tcPr>
          <w:p w14:paraId="0A9A6982" w14:textId="77777777" w:rsidR="00482EA1" w:rsidRDefault="00482EA1" w:rsidP="006C6C7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100%</w:t>
            </w:r>
          </w:p>
        </w:tc>
      </w:tr>
    </w:tbl>
    <w:p w14:paraId="64404B26" w14:textId="77777777" w:rsidR="00CF2E34" w:rsidRPr="0008580A" w:rsidRDefault="00CF2E34" w:rsidP="006C6C78">
      <w:pPr>
        <w:rPr>
          <w:rFonts w:eastAsia="Calibri"/>
        </w:rPr>
      </w:pPr>
    </w:p>
    <w:p w14:paraId="118FEA6B" w14:textId="77777777" w:rsidR="00337BFC" w:rsidRDefault="00337BFC" w:rsidP="006C6C78">
      <w:pPr>
        <w:sectPr w:rsidR="00337BFC" w:rsidSect="00F3009D">
          <w:headerReference w:type="even" r:id="rId49"/>
          <w:headerReference w:type="default" r:id="rId50"/>
          <w:footerReference w:type="even" r:id="rId51"/>
          <w:footerReference w:type="default" r:id="rId52"/>
          <w:headerReference w:type="first" r:id="rId53"/>
          <w:pgSz w:w="11900" w:h="16840"/>
          <w:pgMar w:top="1440" w:right="1800" w:bottom="1440" w:left="1800" w:header="708" w:footer="708" w:gutter="0"/>
          <w:cols w:space="708"/>
          <w:titlePg/>
          <w:docGrid w:linePitch="360"/>
        </w:sectPr>
      </w:pPr>
      <w:r>
        <w:t>The following table assesses the proposed fee increases and the alternative options against each of these criteria, and produced a total score for each option.</w:t>
      </w:r>
      <w:r w:rsidR="00846946">
        <w:t xml:space="preserve"> The total scores are interpreted such that a positive score represents an improvement over the base case, while a negative score represents an overall worse outcome.</w:t>
      </w:r>
    </w:p>
    <w:tbl>
      <w:tblPr>
        <w:tblW w:w="0" w:type="auto"/>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ook w:val="0000" w:firstRow="0" w:lastRow="0" w:firstColumn="0" w:lastColumn="0" w:noHBand="0" w:noVBand="0"/>
      </w:tblPr>
      <w:tblGrid>
        <w:gridCol w:w="1947"/>
        <w:gridCol w:w="2512"/>
        <w:gridCol w:w="2518"/>
        <w:gridCol w:w="2549"/>
        <w:gridCol w:w="2512"/>
        <w:gridCol w:w="2138"/>
      </w:tblGrid>
      <w:tr w:rsidR="005164E5" w:rsidRPr="00FF2C43" w14:paraId="3BC0DF14" w14:textId="77777777" w:rsidTr="00FF2C43">
        <w:trPr>
          <w:tblHeader/>
        </w:trPr>
        <w:tc>
          <w:tcPr>
            <w:tcW w:w="1947" w:type="dxa"/>
            <w:shd w:val="clear" w:color="auto" w:fill="1F497D" w:themeFill="text2"/>
          </w:tcPr>
          <w:p w14:paraId="5920B6C7" w14:textId="77777777" w:rsidR="005164E5" w:rsidRPr="00FF2C43" w:rsidRDefault="005164E5" w:rsidP="006C6C78">
            <w:pPr>
              <w:rPr>
                <w:b/>
                <w:color w:val="FFFFFF" w:themeColor="background1"/>
                <w:sz w:val="18"/>
              </w:rPr>
            </w:pPr>
            <w:r w:rsidRPr="00FF2C43">
              <w:rPr>
                <w:b/>
                <w:color w:val="FFFFFF" w:themeColor="background1"/>
                <w:sz w:val="18"/>
              </w:rPr>
              <w:t>Criterion</w:t>
            </w:r>
          </w:p>
        </w:tc>
        <w:tc>
          <w:tcPr>
            <w:tcW w:w="2512" w:type="dxa"/>
            <w:shd w:val="clear" w:color="auto" w:fill="1F497D" w:themeFill="text2"/>
          </w:tcPr>
          <w:p w14:paraId="5710DB11" w14:textId="77777777" w:rsidR="005164E5" w:rsidRPr="00FF2C43" w:rsidRDefault="005164E5" w:rsidP="006C6C78">
            <w:pPr>
              <w:rPr>
                <w:b/>
                <w:color w:val="FFFFFF" w:themeColor="background1"/>
                <w:sz w:val="18"/>
              </w:rPr>
            </w:pPr>
            <w:r w:rsidRPr="00FF2C43">
              <w:rPr>
                <w:b/>
                <w:color w:val="FFFFFF" w:themeColor="background1"/>
                <w:sz w:val="18"/>
              </w:rPr>
              <w:t>Proposed fee increases</w:t>
            </w:r>
          </w:p>
        </w:tc>
        <w:tc>
          <w:tcPr>
            <w:tcW w:w="2518" w:type="dxa"/>
            <w:shd w:val="clear" w:color="auto" w:fill="1F497D" w:themeFill="text2"/>
          </w:tcPr>
          <w:p w14:paraId="3CB0EECC" w14:textId="77777777" w:rsidR="005164E5" w:rsidRPr="00FF2C43" w:rsidRDefault="005164E5" w:rsidP="00841A50">
            <w:pPr>
              <w:rPr>
                <w:b/>
                <w:color w:val="FFFFFF" w:themeColor="background1"/>
                <w:sz w:val="18"/>
              </w:rPr>
            </w:pPr>
            <w:r w:rsidRPr="00FF2C43">
              <w:rPr>
                <w:b/>
                <w:color w:val="FFFFFF" w:themeColor="background1"/>
                <w:sz w:val="18"/>
              </w:rPr>
              <w:t>Alternative 1 (remove exemptions)</w:t>
            </w:r>
          </w:p>
        </w:tc>
        <w:tc>
          <w:tcPr>
            <w:tcW w:w="2549" w:type="dxa"/>
            <w:shd w:val="clear" w:color="auto" w:fill="1F497D" w:themeFill="text2"/>
          </w:tcPr>
          <w:p w14:paraId="6AC5D6DB" w14:textId="77777777" w:rsidR="005164E5" w:rsidRPr="00FF2C43" w:rsidRDefault="005164E5" w:rsidP="006C6C78">
            <w:pPr>
              <w:rPr>
                <w:b/>
                <w:color w:val="FFFFFF" w:themeColor="background1"/>
                <w:sz w:val="18"/>
              </w:rPr>
            </w:pPr>
            <w:r w:rsidRPr="00FF2C43">
              <w:rPr>
                <w:b/>
                <w:color w:val="FFFFFF" w:themeColor="background1"/>
                <w:sz w:val="18"/>
              </w:rPr>
              <w:t>Alterative 2 (make exemptions a concessional rate)</w:t>
            </w:r>
          </w:p>
        </w:tc>
        <w:tc>
          <w:tcPr>
            <w:tcW w:w="2512" w:type="dxa"/>
            <w:shd w:val="clear" w:color="auto" w:fill="1F497D" w:themeFill="text2"/>
          </w:tcPr>
          <w:p w14:paraId="42D08C17" w14:textId="77777777" w:rsidR="005164E5" w:rsidRPr="00FF2C43" w:rsidRDefault="005164E5" w:rsidP="006C6C78">
            <w:pPr>
              <w:rPr>
                <w:b/>
                <w:color w:val="FFFFFF" w:themeColor="background1"/>
                <w:sz w:val="18"/>
              </w:rPr>
            </w:pPr>
            <w:r w:rsidRPr="00FF2C43">
              <w:rPr>
                <w:b/>
                <w:color w:val="FFFFFF" w:themeColor="background1"/>
                <w:sz w:val="18"/>
              </w:rPr>
              <w:t>Alternative 3 (single 1 year licence fee)</w:t>
            </w:r>
          </w:p>
        </w:tc>
        <w:tc>
          <w:tcPr>
            <w:tcW w:w="2138" w:type="dxa"/>
            <w:shd w:val="clear" w:color="auto" w:fill="1F497D" w:themeFill="text2"/>
          </w:tcPr>
          <w:p w14:paraId="559B23FF" w14:textId="77777777" w:rsidR="005164E5" w:rsidRPr="00FF2C43" w:rsidRDefault="005164E5" w:rsidP="006C6C78">
            <w:pPr>
              <w:rPr>
                <w:b/>
                <w:color w:val="FFFFFF" w:themeColor="background1"/>
                <w:sz w:val="18"/>
              </w:rPr>
            </w:pPr>
            <w:r w:rsidRPr="00FF2C43">
              <w:rPr>
                <w:b/>
                <w:color w:val="FFFFFF" w:themeColor="background1"/>
                <w:sz w:val="18"/>
              </w:rPr>
              <w:t>Alternative 4 (smaller increase in fees)</w:t>
            </w:r>
          </w:p>
        </w:tc>
      </w:tr>
      <w:tr w:rsidR="00482EA1" w:rsidRPr="00325F91" w14:paraId="6A9ABFA2" w14:textId="77777777" w:rsidTr="005164E5">
        <w:tc>
          <w:tcPr>
            <w:tcW w:w="1947" w:type="dxa"/>
          </w:tcPr>
          <w:p w14:paraId="713ADC40" w14:textId="77777777" w:rsidR="00482EA1" w:rsidRPr="00325F91" w:rsidDel="00275774" w:rsidRDefault="00482EA1" w:rsidP="006C6C78">
            <w:pPr>
              <w:rPr>
                <w:b/>
                <w:sz w:val="18"/>
              </w:rPr>
            </w:pPr>
            <w:r>
              <w:rPr>
                <w:b/>
                <w:sz w:val="18"/>
              </w:rPr>
              <w:t>Increased revenue</w:t>
            </w:r>
          </w:p>
        </w:tc>
        <w:tc>
          <w:tcPr>
            <w:tcW w:w="2512" w:type="dxa"/>
          </w:tcPr>
          <w:p w14:paraId="7A208938" w14:textId="77777777" w:rsidR="00482EA1" w:rsidRDefault="00482EA1" w:rsidP="006C6C78">
            <w:pPr>
              <w:rPr>
                <w:sz w:val="18"/>
              </w:rPr>
            </w:pPr>
            <w:r>
              <w:rPr>
                <w:sz w:val="18"/>
              </w:rPr>
              <w:t>This option meets the government’s intended objective to increase revenue by around $7.</w:t>
            </w:r>
            <w:r w:rsidR="00CF238D">
              <w:rPr>
                <w:sz w:val="18"/>
              </w:rPr>
              <w:t>1</w:t>
            </w:r>
            <w:r>
              <w:rPr>
                <w:sz w:val="18"/>
              </w:rPr>
              <w:t xml:space="preserve"> million over the next two years.</w:t>
            </w:r>
          </w:p>
          <w:p w14:paraId="4D3D20DB" w14:textId="77777777" w:rsidR="00FF2C43" w:rsidRDefault="00FF2C43" w:rsidP="006C6C78">
            <w:pPr>
              <w:rPr>
                <w:sz w:val="18"/>
              </w:rPr>
            </w:pPr>
          </w:p>
          <w:p w14:paraId="3D22409C" w14:textId="77777777" w:rsidR="00FF2C43" w:rsidRDefault="00FF2C43" w:rsidP="006C6C78">
            <w:pPr>
              <w:rPr>
                <w:sz w:val="18"/>
              </w:rPr>
            </w:pPr>
          </w:p>
          <w:p w14:paraId="66156C59" w14:textId="77777777" w:rsidR="00482EA1" w:rsidRDefault="00482EA1" w:rsidP="006C6C78">
            <w:pPr>
              <w:rPr>
                <w:sz w:val="18"/>
              </w:rPr>
            </w:pPr>
            <w:r>
              <w:rPr>
                <w:sz w:val="18"/>
              </w:rPr>
              <w:t>Score: 50/50</w:t>
            </w:r>
          </w:p>
          <w:p w14:paraId="5EEA7DB4" w14:textId="77777777" w:rsidR="00FF2C43" w:rsidDel="004F1C26" w:rsidRDefault="00FF2C43" w:rsidP="006C6C78">
            <w:pPr>
              <w:rPr>
                <w:sz w:val="18"/>
              </w:rPr>
            </w:pPr>
          </w:p>
        </w:tc>
        <w:tc>
          <w:tcPr>
            <w:tcW w:w="2518" w:type="dxa"/>
          </w:tcPr>
          <w:p w14:paraId="64E54764" w14:textId="77777777" w:rsidR="00482EA1" w:rsidRDefault="00482EA1" w:rsidP="00482EA1">
            <w:pPr>
              <w:rPr>
                <w:sz w:val="18"/>
              </w:rPr>
            </w:pPr>
            <w:r>
              <w:rPr>
                <w:sz w:val="18"/>
              </w:rPr>
              <w:t>This option meets the government’s intended objective to increase revenue by around $7.</w:t>
            </w:r>
            <w:r w:rsidR="00CF238D">
              <w:rPr>
                <w:sz w:val="18"/>
              </w:rPr>
              <w:t>1</w:t>
            </w:r>
            <w:r>
              <w:rPr>
                <w:sz w:val="18"/>
              </w:rPr>
              <w:t xml:space="preserve"> million over the next two years.</w:t>
            </w:r>
          </w:p>
          <w:p w14:paraId="4AF0C1D6" w14:textId="77777777" w:rsidR="00FF2C43" w:rsidRDefault="00FF2C43" w:rsidP="00482EA1">
            <w:pPr>
              <w:rPr>
                <w:sz w:val="18"/>
              </w:rPr>
            </w:pPr>
          </w:p>
          <w:p w14:paraId="114907E9" w14:textId="77777777" w:rsidR="00FF2C43" w:rsidRDefault="00FF2C43" w:rsidP="00482EA1">
            <w:pPr>
              <w:rPr>
                <w:sz w:val="18"/>
              </w:rPr>
            </w:pPr>
          </w:p>
          <w:p w14:paraId="39C12EF7" w14:textId="77777777" w:rsidR="00482EA1" w:rsidDel="00275774" w:rsidRDefault="00482EA1" w:rsidP="00482EA1">
            <w:pPr>
              <w:rPr>
                <w:sz w:val="18"/>
              </w:rPr>
            </w:pPr>
            <w:r>
              <w:rPr>
                <w:sz w:val="18"/>
              </w:rPr>
              <w:t>Score: 50/50</w:t>
            </w:r>
          </w:p>
        </w:tc>
        <w:tc>
          <w:tcPr>
            <w:tcW w:w="2549" w:type="dxa"/>
          </w:tcPr>
          <w:p w14:paraId="433391D9" w14:textId="77777777" w:rsidR="00482EA1" w:rsidRDefault="00482EA1" w:rsidP="00482EA1">
            <w:pPr>
              <w:rPr>
                <w:sz w:val="18"/>
              </w:rPr>
            </w:pPr>
            <w:r>
              <w:rPr>
                <w:sz w:val="18"/>
              </w:rPr>
              <w:t>This option meets the government’s intended objective to increase revenue by around $7.</w:t>
            </w:r>
            <w:r w:rsidR="00CF238D">
              <w:rPr>
                <w:sz w:val="18"/>
              </w:rPr>
              <w:t>1</w:t>
            </w:r>
            <w:r w:rsidR="00DB3D1A">
              <w:rPr>
                <w:sz w:val="18"/>
              </w:rPr>
              <w:t xml:space="preserve"> </w:t>
            </w:r>
            <w:r>
              <w:rPr>
                <w:sz w:val="18"/>
              </w:rPr>
              <w:t>million over the next two years.</w:t>
            </w:r>
          </w:p>
          <w:p w14:paraId="2C6EFCB0" w14:textId="77777777" w:rsidR="00FF2C43" w:rsidRDefault="00FF2C43" w:rsidP="00482EA1">
            <w:pPr>
              <w:rPr>
                <w:sz w:val="18"/>
              </w:rPr>
            </w:pPr>
          </w:p>
          <w:p w14:paraId="38E0B106" w14:textId="77777777" w:rsidR="00FF2C43" w:rsidRDefault="00FF2C43" w:rsidP="00482EA1">
            <w:pPr>
              <w:rPr>
                <w:sz w:val="18"/>
              </w:rPr>
            </w:pPr>
          </w:p>
          <w:p w14:paraId="1EF3F8CA" w14:textId="77777777" w:rsidR="00482EA1" w:rsidDel="00852DF8" w:rsidRDefault="00482EA1" w:rsidP="00482EA1">
            <w:pPr>
              <w:rPr>
                <w:sz w:val="18"/>
              </w:rPr>
            </w:pPr>
            <w:r>
              <w:rPr>
                <w:sz w:val="18"/>
              </w:rPr>
              <w:t>Score: 50/50</w:t>
            </w:r>
          </w:p>
        </w:tc>
        <w:tc>
          <w:tcPr>
            <w:tcW w:w="2512" w:type="dxa"/>
          </w:tcPr>
          <w:p w14:paraId="109C2D69" w14:textId="77777777" w:rsidR="00482EA1" w:rsidRDefault="00482EA1" w:rsidP="00482EA1">
            <w:pPr>
              <w:rPr>
                <w:sz w:val="18"/>
              </w:rPr>
            </w:pPr>
            <w:r>
              <w:rPr>
                <w:sz w:val="18"/>
              </w:rPr>
              <w:t>This option meets the government’s intended objective to increase revenue by around $7.</w:t>
            </w:r>
            <w:r w:rsidR="00CF238D">
              <w:rPr>
                <w:sz w:val="18"/>
              </w:rPr>
              <w:t>1</w:t>
            </w:r>
            <w:r>
              <w:rPr>
                <w:sz w:val="18"/>
              </w:rPr>
              <w:t xml:space="preserve"> million over the next two years.</w:t>
            </w:r>
          </w:p>
          <w:p w14:paraId="5286C852" w14:textId="77777777" w:rsidR="00FF2C43" w:rsidRDefault="00FF2C43" w:rsidP="00482EA1">
            <w:pPr>
              <w:rPr>
                <w:sz w:val="18"/>
              </w:rPr>
            </w:pPr>
          </w:p>
          <w:p w14:paraId="17BFCDF4" w14:textId="77777777" w:rsidR="00FF2C43" w:rsidRDefault="00FF2C43" w:rsidP="00482EA1">
            <w:pPr>
              <w:rPr>
                <w:sz w:val="18"/>
              </w:rPr>
            </w:pPr>
          </w:p>
          <w:p w14:paraId="344CCD27" w14:textId="77777777" w:rsidR="00482EA1" w:rsidRDefault="00482EA1" w:rsidP="00482EA1">
            <w:pPr>
              <w:rPr>
                <w:sz w:val="18"/>
              </w:rPr>
            </w:pPr>
            <w:r>
              <w:rPr>
                <w:sz w:val="18"/>
              </w:rPr>
              <w:t>Score: 50/50</w:t>
            </w:r>
          </w:p>
        </w:tc>
        <w:tc>
          <w:tcPr>
            <w:tcW w:w="2138" w:type="dxa"/>
          </w:tcPr>
          <w:p w14:paraId="01671DE6" w14:textId="77777777" w:rsidR="00482EA1" w:rsidRDefault="00482EA1" w:rsidP="006C6C78">
            <w:pPr>
              <w:rPr>
                <w:sz w:val="18"/>
              </w:rPr>
            </w:pPr>
            <w:r>
              <w:rPr>
                <w:sz w:val="18"/>
              </w:rPr>
              <w:t>This option only partially meets the government’s revenue objective.</w:t>
            </w:r>
          </w:p>
          <w:p w14:paraId="6BF2B407" w14:textId="77777777" w:rsidR="00482EA1" w:rsidRDefault="00482EA1" w:rsidP="006C6C78">
            <w:pPr>
              <w:rPr>
                <w:sz w:val="18"/>
              </w:rPr>
            </w:pPr>
          </w:p>
          <w:p w14:paraId="58F16894" w14:textId="77777777" w:rsidR="00482EA1" w:rsidRDefault="00482EA1" w:rsidP="006C6C78">
            <w:pPr>
              <w:rPr>
                <w:sz w:val="18"/>
              </w:rPr>
            </w:pPr>
          </w:p>
          <w:p w14:paraId="4045DAB2" w14:textId="77777777" w:rsidR="00FF2C43" w:rsidRDefault="00FF2C43" w:rsidP="006C6C78">
            <w:pPr>
              <w:rPr>
                <w:sz w:val="18"/>
              </w:rPr>
            </w:pPr>
          </w:p>
          <w:p w14:paraId="52E3ABD7" w14:textId="77777777" w:rsidR="00FF2C43" w:rsidRDefault="00FF2C43" w:rsidP="006C6C78">
            <w:pPr>
              <w:rPr>
                <w:sz w:val="18"/>
              </w:rPr>
            </w:pPr>
          </w:p>
          <w:p w14:paraId="03443465" w14:textId="77777777" w:rsidR="00482EA1" w:rsidRDefault="009C4495" w:rsidP="006C6C78">
            <w:pPr>
              <w:rPr>
                <w:sz w:val="18"/>
              </w:rPr>
            </w:pPr>
            <w:r>
              <w:rPr>
                <w:sz w:val="18"/>
              </w:rPr>
              <w:t>Score: 25/50</w:t>
            </w:r>
          </w:p>
        </w:tc>
      </w:tr>
      <w:tr w:rsidR="005164E5" w:rsidRPr="00325F91" w14:paraId="386E4019" w14:textId="77777777" w:rsidTr="000F1E0F">
        <w:tc>
          <w:tcPr>
            <w:tcW w:w="1947" w:type="dxa"/>
          </w:tcPr>
          <w:p w14:paraId="4DB6ABDB" w14:textId="77777777" w:rsidR="005164E5" w:rsidRPr="00325F91" w:rsidRDefault="005164E5" w:rsidP="006C6C78">
            <w:pPr>
              <w:rPr>
                <w:b/>
                <w:sz w:val="18"/>
              </w:rPr>
            </w:pPr>
            <w:r>
              <w:rPr>
                <w:b/>
                <w:sz w:val="18"/>
              </w:rPr>
              <w:t>Horizontal Equity</w:t>
            </w:r>
          </w:p>
        </w:tc>
        <w:tc>
          <w:tcPr>
            <w:tcW w:w="2512" w:type="dxa"/>
          </w:tcPr>
          <w:p w14:paraId="73EBC0A7" w14:textId="77777777" w:rsidR="005164E5" w:rsidRDefault="005164E5" w:rsidP="006C6C78">
            <w:pPr>
              <w:rPr>
                <w:sz w:val="18"/>
              </w:rPr>
            </w:pPr>
            <w:r>
              <w:rPr>
                <w:sz w:val="18"/>
              </w:rPr>
              <w:t>R</w:t>
            </w:r>
            <w:r w:rsidRPr="00325F91">
              <w:rPr>
                <w:sz w:val="18"/>
              </w:rPr>
              <w:t xml:space="preserve">evenue is raised by only a proportion </w:t>
            </w:r>
            <w:r>
              <w:rPr>
                <w:sz w:val="18"/>
              </w:rPr>
              <w:t xml:space="preserve">(those that require a licence) </w:t>
            </w:r>
            <w:r w:rsidRPr="00325F91">
              <w:rPr>
                <w:sz w:val="18"/>
              </w:rPr>
              <w:t xml:space="preserve">of </w:t>
            </w:r>
            <w:r>
              <w:rPr>
                <w:sz w:val="18"/>
              </w:rPr>
              <w:t xml:space="preserve">all </w:t>
            </w:r>
            <w:r w:rsidRPr="00325F91">
              <w:rPr>
                <w:sz w:val="18"/>
              </w:rPr>
              <w:t>recreational fishers (the beneficiaries of the Trust Account expenditure). This suggests a degree of cross-</w:t>
            </w:r>
            <w:proofErr w:type="gramStart"/>
            <w:r w:rsidRPr="00325F91">
              <w:rPr>
                <w:sz w:val="18"/>
              </w:rPr>
              <w:t>subsidisation,</w:t>
            </w:r>
            <w:proofErr w:type="gramEnd"/>
            <w:r w:rsidRPr="00325F91">
              <w:rPr>
                <w:sz w:val="18"/>
              </w:rPr>
              <w:t xml:space="preserve"> however the consequences of this are limited (see discussion below). </w:t>
            </w:r>
            <w:r>
              <w:rPr>
                <w:sz w:val="18"/>
              </w:rPr>
              <w:t>This option therefore achieves broadly the same outcome in terms of horizontal equity as the base case, and is scored a zero.</w:t>
            </w:r>
          </w:p>
          <w:p w14:paraId="364ACD8A" w14:textId="77777777" w:rsidR="00482EA1" w:rsidRDefault="00482EA1" w:rsidP="006C6C78">
            <w:pPr>
              <w:rPr>
                <w:sz w:val="18"/>
              </w:rPr>
            </w:pPr>
          </w:p>
          <w:p w14:paraId="6EBBFF2C" w14:textId="77777777" w:rsidR="00482EA1" w:rsidRDefault="00482EA1" w:rsidP="006C6C78">
            <w:pPr>
              <w:rPr>
                <w:sz w:val="18"/>
              </w:rPr>
            </w:pPr>
          </w:p>
          <w:p w14:paraId="3D39253C" w14:textId="77777777" w:rsidR="00FF2C43" w:rsidRDefault="00FF2C43" w:rsidP="006C6C78">
            <w:pPr>
              <w:rPr>
                <w:sz w:val="18"/>
              </w:rPr>
            </w:pPr>
          </w:p>
          <w:p w14:paraId="54563827" w14:textId="77777777" w:rsidR="00FF2C43" w:rsidRDefault="00FF2C43" w:rsidP="006C6C78">
            <w:pPr>
              <w:rPr>
                <w:sz w:val="18"/>
              </w:rPr>
            </w:pPr>
          </w:p>
          <w:p w14:paraId="0AB50358" w14:textId="77777777" w:rsidR="00FF2C43" w:rsidRDefault="00FF2C43" w:rsidP="006C6C78">
            <w:pPr>
              <w:rPr>
                <w:sz w:val="18"/>
              </w:rPr>
            </w:pPr>
          </w:p>
          <w:p w14:paraId="5D4DEBE8" w14:textId="77777777" w:rsidR="00FF2C43" w:rsidRDefault="00FF2C43" w:rsidP="006C6C78">
            <w:pPr>
              <w:rPr>
                <w:sz w:val="18"/>
              </w:rPr>
            </w:pPr>
          </w:p>
          <w:p w14:paraId="1160122E" w14:textId="77777777" w:rsidR="00FF2C43" w:rsidRDefault="00FF2C43" w:rsidP="006C6C78">
            <w:pPr>
              <w:rPr>
                <w:sz w:val="18"/>
              </w:rPr>
            </w:pPr>
          </w:p>
          <w:p w14:paraId="2DA61B98" w14:textId="77777777" w:rsidR="00FF2C43" w:rsidRPr="00325F91" w:rsidRDefault="00FF2C43" w:rsidP="006C6C78">
            <w:pPr>
              <w:rPr>
                <w:sz w:val="18"/>
              </w:rPr>
            </w:pPr>
          </w:p>
          <w:p w14:paraId="587D687D" w14:textId="77777777" w:rsidR="005164E5" w:rsidRDefault="005164E5" w:rsidP="00482EA1">
            <w:pPr>
              <w:rPr>
                <w:sz w:val="18"/>
              </w:rPr>
            </w:pPr>
            <w:r w:rsidRPr="00325F91">
              <w:rPr>
                <w:sz w:val="18"/>
              </w:rPr>
              <w:t xml:space="preserve">Score: </w:t>
            </w:r>
            <w:r>
              <w:rPr>
                <w:sz w:val="18"/>
              </w:rPr>
              <w:t>0</w:t>
            </w:r>
            <w:r w:rsidRPr="00325F91">
              <w:rPr>
                <w:sz w:val="18"/>
              </w:rPr>
              <w:t>/1</w:t>
            </w:r>
            <w:r w:rsidR="00482EA1">
              <w:rPr>
                <w:sz w:val="18"/>
              </w:rPr>
              <w:t>2.5</w:t>
            </w:r>
          </w:p>
          <w:p w14:paraId="5E1E6E2E" w14:textId="77777777" w:rsidR="00FF2C43" w:rsidRDefault="00FF2C43" w:rsidP="00482EA1">
            <w:pPr>
              <w:rPr>
                <w:sz w:val="18"/>
              </w:rPr>
            </w:pPr>
          </w:p>
          <w:p w14:paraId="5075D4B2" w14:textId="77777777" w:rsidR="00FF2C43" w:rsidRPr="00325F91" w:rsidRDefault="00FF2C43" w:rsidP="00482EA1">
            <w:pPr>
              <w:rPr>
                <w:sz w:val="18"/>
              </w:rPr>
            </w:pPr>
          </w:p>
        </w:tc>
        <w:tc>
          <w:tcPr>
            <w:tcW w:w="2518" w:type="dxa"/>
          </w:tcPr>
          <w:p w14:paraId="536D7F6A" w14:textId="77777777" w:rsidR="005164E5" w:rsidRDefault="005164E5" w:rsidP="006C6C78">
            <w:pPr>
              <w:rPr>
                <w:sz w:val="18"/>
              </w:rPr>
            </w:pPr>
            <w:r w:rsidRPr="00325F91">
              <w:rPr>
                <w:sz w:val="18"/>
              </w:rPr>
              <w:t>Licence fees fully reflect those that benefit from the RFL revenue. There are some small cross-subsidies associated with how well licence types reflects amount of fishing, and exemption for under 18 year olds.</w:t>
            </w:r>
            <w:r>
              <w:rPr>
                <w:sz w:val="18"/>
              </w:rPr>
              <w:t xml:space="preserve"> However this represents a clear improvement in terms of horizontal equity compared to the base case. It is noted that while RFL revenue funds the entire Trust Account, there remain some costs related to recreational fishing that are funded directly by government (funded outside the Trust Account).</w:t>
            </w:r>
          </w:p>
          <w:p w14:paraId="2ABDDBAD" w14:textId="77777777" w:rsidR="00FF2C43" w:rsidRDefault="00FF2C43" w:rsidP="006C6C78">
            <w:pPr>
              <w:rPr>
                <w:sz w:val="18"/>
              </w:rPr>
            </w:pPr>
          </w:p>
          <w:p w14:paraId="50A15157" w14:textId="77777777" w:rsidR="00FF2C43" w:rsidRPr="00325F91" w:rsidRDefault="00FF2C43" w:rsidP="006C6C78">
            <w:pPr>
              <w:rPr>
                <w:sz w:val="18"/>
              </w:rPr>
            </w:pPr>
          </w:p>
          <w:p w14:paraId="57BA5A1C" w14:textId="77777777" w:rsidR="005164E5" w:rsidRPr="00325F91" w:rsidRDefault="005164E5" w:rsidP="00482EA1">
            <w:pPr>
              <w:rPr>
                <w:sz w:val="18"/>
              </w:rPr>
            </w:pPr>
            <w:r w:rsidRPr="00325F91">
              <w:rPr>
                <w:sz w:val="18"/>
              </w:rPr>
              <w:t xml:space="preserve">Score: </w:t>
            </w:r>
            <w:r>
              <w:rPr>
                <w:sz w:val="18"/>
              </w:rPr>
              <w:t>6</w:t>
            </w:r>
            <w:r w:rsidRPr="00325F91">
              <w:rPr>
                <w:sz w:val="18"/>
              </w:rPr>
              <w:t>/1</w:t>
            </w:r>
            <w:r w:rsidR="00482EA1">
              <w:rPr>
                <w:sz w:val="18"/>
              </w:rPr>
              <w:t>2.5</w:t>
            </w:r>
          </w:p>
        </w:tc>
        <w:tc>
          <w:tcPr>
            <w:tcW w:w="2549" w:type="dxa"/>
          </w:tcPr>
          <w:p w14:paraId="231FC668" w14:textId="77777777" w:rsidR="005164E5" w:rsidRDefault="005164E5" w:rsidP="00E54D66">
            <w:pPr>
              <w:rPr>
                <w:sz w:val="18"/>
              </w:rPr>
            </w:pPr>
            <w:r w:rsidRPr="00325F91">
              <w:rPr>
                <w:sz w:val="18"/>
              </w:rPr>
              <w:t>Licence fees reflect those that benefit from the RFL revenue, although a large group would only pay a concessional amount. There are some small cross-subsidies associated with how well licence types reflects amount of fishing, and exemption for under 18 year olds.</w:t>
            </w:r>
            <w:r>
              <w:rPr>
                <w:sz w:val="18"/>
              </w:rPr>
              <w:t xml:space="preserve"> In terms of horizontal equity, this option represents a </w:t>
            </w:r>
            <w:r w:rsidR="006616D8">
              <w:rPr>
                <w:sz w:val="18"/>
              </w:rPr>
              <w:t>mid-point</w:t>
            </w:r>
            <w:r>
              <w:rPr>
                <w:sz w:val="18"/>
              </w:rPr>
              <w:t xml:space="preserve"> between the proposed option and alternative 1, and is therefore scored accordingly.</w:t>
            </w:r>
          </w:p>
          <w:p w14:paraId="150B3C48" w14:textId="77777777" w:rsidR="00FF2C43" w:rsidRDefault="00FF2C43" w:rsidP="00E54D66">
            <w:pPr>
              <w:rPr>
                <w:sz w:val="18"/>
              </w:rPr>
            </w:pPr>
          </w:p>
          <w:p w14:paraId="6B1447FB" w14:textId="77777777" w:rsidR="00FF2C43" w:rsidRDefault="00FF2C43" w:rsidP="00E54D66">
            <w:pPr>
              <w:rPr>
                <w:sz w:val="18"/>
              </w:rPr>
            </w:pPr>
          </w:p>
          <w:p w14:paraId="041A605F" w14:textId="77777777" w:rsidR="00FF2C43" w:rsidRDefault="00FF2C43" w:rsidP="00E54D66">
            <w:pPr>
              <w:rPr>
                <w:sz w:val="18"/>
              </w:rPr>
            </w:pPr>
          </w:p>
          <w:p w14:paraId="02EFDD7B" w14:textId="77777777" w:rsidR="00FF2C43" w:rsidRDefault="00FF2C43" w:rsidP="00E54D66">
            <w:pPr>
              <w:rPr>
                <w:sz w:val="18"/>
              </w:rPr>
            </w:pPr>
          </w:p>
          <w:p w14:paraId="4710574E" w14:textId="77777777" w:rsidR="00FF2C43" w:rsidRDefault="00FF2C43" w:rsidP="00E54D66">
            <w:pPr>
              <w:rPr>
                <w:sz w:val="18"/>
              </w:rPr>
            </w:pPr>
          </w:p>
          <w:p w14:paraId="58F217D7" w14:textId="77777777" w:rsidR="00FF2C43" w:rsidRDefault="00FF2C43" w:rsidP="00E54D66">
            <w:pPr>
              <w:rPr>
                <w:sz w:val="18"/>
              </w:rPr>
            </w:pPr>
          </w:p>
          <w:p w14:paraId="5A896F0B" w14:textId="77777777" w:rsidR="00FF2C43" w:rsidRPr="00325F91" w:rsidRDefault="00FF2C43" w:rsidP="00E54D66">
            <w:pPr>
              <w:rPr>
                <w:sz w:val="18"/>
              </w:rPr>
            </w:pPr>
          </w:p>
          <w:p w14:paraId="6575CDF6" w14:textId="77777777" w:rsidR="005164E5" w:rsidRPr="00325F91" w:rsidRDefault="005164E5" w:rsidP="00482EA1">
            <w:pPr>
              <w:rPr>
                <w:sz w:val="18"/>
              </w:rPr>
            </w:pPr>
            <w:r w:rsidRPr="00325F91">
              <w:rPr>
                <w:sz w:val="18"/>
              </w:rPr>
              <w:t xml:space="preserve">Score: </w:t>
            </w:r>
            <w:r>
              <w:rPr>
                <w:sz w:val="18"/>
              </w:rPr>
              <w:t>3</w:t>
            </w:r>
            <w:r w:rsidRPr="00325F91">
              <w:rPr>
                <w:sz w:val="18"/>
              </w:rPr>
              <w:t>/</w:t>
            </w:r>
            <w:r w:rsidR="00482EA1">
              <w:rPr>
                <w:sz w:val="18"/>
              </w:rPr>
              <w:t>12.5</w:t>
            </w:r>
          </w:p>
        </w:tc>
        <w:tc>
          <w:tcPr>
            <w:tcW w:w="2512" w:type="dxa"/>
          </w:tcPr>
          <w:p w14:paraId="736B55D1" w14:textId="77777777" w:rsidR="005164E5" w:rsidRDefault="005164E5" w:rsidP="006C6C78">
            <w:pPr>
              <w:rPr>
                <w:sz w:val="18"/>
              </w:rPr>
            </w:pPr>
            <w:r>
              <w:rPr>
                <w:sz w:val="18"/>
              </w:rPr>
              <w:t>Broadly the same as the proposed option, although at the margin slightly worse than the base case as licence fees will no longer include the ability to match fees to the amount of fishing. T</w:t>
            </w:r>
            <w:r w:rsidRPr="00325F91">
              <w:rPr>
                <w:sz w:val="18"/>
              </w:rPr>
              <w:t xml:space="preserve">here is likely to be </w:t>
            </w:r>
            <w:r>
              <w:rPr>
                <w:sz w:val="18"/>
              </w:rPr>
              <w:t>some</w:t>
            </w:r>
            <w:r w:rsidRPr="00325F91">
              <w:rPr>
                <w:sz w:val="18"/>
              </w:rPr>
              <w:t xml:space="preserve"> </w:t>
            </w:r>
            <w:r>
              <w:rPr>
                <w:sz w:val="18"/>
              </w:rPr>
              <w:t xml:space="preserve">increased </w:t>
            </w:r>
            <w:r w:rsidRPr="00325F91">
              <w:rPr>
                <w:sz w:val="18"/>
              </w:rPr>
              <w:t xml:space="preserve">cross-subsidisation from fishers who only fish for a small period each year, who would offset some of the impact on more </w:t>
            </w:r>
            <w:r>
              <w:rPr>
                <w:sz w:val="18"/>
              </w:rPr>
              <w:t>frequent</w:t>
            </w:r>
            <w:r w:rsidRPr="00325F91">
              <w:rPr>
                <w:sz w:val="18"/>
              </w:rPr>
              <w:t xml:space="preserve"> fishers.</w:t>
            </w:r>
          </w:p>
          <w:p w14:paraId="77C83200" w14:textId="77777777" w:rsidR="00FF2C43" w:rsidRDefault="00FF2C43" w:rsidP="006C6C78">
            <w:pPr>
              <w:rPr>
                <w:sz w:val="18"/>
              </w:rPr>
            </w:pPr>
          </w:p>
          <w:p w14:paraId="56332C99" w14:textId="77777777" w:rsidR="00FF2C43" w:rsidRDefault="00FF2C43" w:rsidP="006C6C78">
            <w:pPr>
              <w:rPr>
                <w:sz w:val="18"/>
              </w:rPr>
            </w:pPr>
          </w:p>
          <w:p w14:paraId="0442DA81" w14:textId="77777777" w:rsidR="00FF2C43" w:rsidRDefault="00FF2C43" w:rsidP="006C6C78">
            <w:pPr>
              <w:rPr>
                <w:sz w:val="18"/>
              </w:rPr>
            </w:pPr>
          </w:p>
          <w:p w14:paraId="13C53014" w14:textId="77777777" w:rsidR="00FF2C43" w:rsidRDefault="00FF2C43" w:rsidP="006C6C78">
            <w:pPr>
              <w:rPr>
                <w:sz w:val="18"/>
              </w:rPr>
            </w:pPr>
          </w:p>
          <w:p w14:paraId="0ED21F00" w14:textId="77777777" w:rsidR="00FF2C43" w:rsidRDefault="00FF2C43" w:rsidP="006C6C78">
            <w:pPr>
              <w:rPr>
                <w:sz w:val="18"/>
              </w:rPr>
            </w:pPr>
          </w:p>
          <w:p w14:paraId="2DFBEB2A" w14:textId="77777777" w:rsidR="00FF2C43" w:rsidRDefault="00FF2C43" w:rsidP="006C6C78">
            <w:pPr>
              <w:rPr>
                <w:sz w:val="18"/>
              </w:rPr>
            </w:pPr>
          </w:p>
          <w:p w14:paraId="34796B85" w14:textId="77777777" w:rsidR="00FF2C43" w:rsidRDefault="00FF2C43" w:rsidP="006C6C78">
            <w:pPr>
              <w:rPr>
                <w:sz w:val="18"/>
              </w:rPr>
            </w:pPr>
          </w:p>
          <w:p w14:paraId="311EAF2D" w14:textId="77777777" w:rsidR="00FF2C43" w:rsidRDefault="00FF2C43" w:rsidP="006C6C78">
            <w:pPr>
              <w:rPr>
                <w:sz w:val="18"/>
              </w:rPr>
            </w:pPr>
          </w:p>
          <w:p w14:paraId="01330D5F" w14:textId="77777777" w:rsidR="00FF2C43" w:rsidRPr="00325F91" w:rsidRDefault="00FF2C43" w:rsidP="006C6C78">
            <w:pPr>
              <w:rPr>
                <w:sz w:val="18"/>
              </w:rPr>
            </w:pPr>
          </w:p>
          <w:p w14:paraId="1E949595" w14:textId="77777777" w:rsidR="005164E5" w:rsidRPr="00325F91" w:rsidRDefault="005164E5" w:rsidP="00482EA1">
            <w:pPr>
              <w:rPr>
                <w:sz w:val="18"/>
              </w:rPr>
            </w:pPr>
            <w:r w:rsidRPr="00325F91">
              <w:rPr>
                <w:sz w:val="18"/>
              </w:rPr>
              <w:t xml:space="preserve">Score: </w:t>
            </w:r>
            <w:r>
              <w:rPr>
                <w:sz w:val="18"/>
              </w:rPr>
              <w:t>-1</w:t>
            </w:r>
            <w:r w:rsidRPr="00325F91">
              <w:rPr>
                <w:sz w:val="18"/>
              </w:rPr>
              <w:t>/1</w:t>
            </w:r>
            <w:r w:rsidR="00482EA1">
              <w:rPr>
                <w:sz w:val="18"/>
              </w:rPr>
              <w:t>2.5</w:t>
            </w:r>
          </w:p>
        </w:tc>
        <w:tc>
          <w:tcPr>
            <w:tcW w:w="2138" w:type="dxa"/>
          </w:tcPr>
          <w:p w14:paraId="453B4514" w14:textId="77777777" w:rsidR="005164E5" w:rsidRDefault="00482EA1" w:rsidP="00482EA1">
            <w:pPr>
              <w:rPr>
                <w:sz w:val="18"/>
              </w:rPr>
            </w:pPr>
            <w:r>
              <w:rPr>
                <w:sz w:val="18"/>
              </w:rPr>
              <w:t>Same as the proposed fee option – i.e., this option would not change the group from which the revenue is raised.</w:t>
            </w:r>
          </w:p>
          <w:p w14:paraId="0DD5EE57" w14:textId="77777777" w:rsidR="00FF2C43" w:rsidRDefault="00FF2C43" w:rsidP="00482EA1">
            <w:pPr>
              <w:rPr>
                <w:sz w:val="18"/>
              </w:rPr>
            </w:pPr>
          </w:p>
          <w:p w14:paraId="63254822" w14:textId="77777777" w:rsidR="00FF2C43" w:rsidRDefault="00FF2C43" w:rsidP="00482EA1">
            <w:pPr>
              <w:rPr>
                <w:sz w:val="18"/>
              </w:rPr>
            </w:pPr>
          </w:p>
          <w:p w14:paraId="284D39F6" w14:textId="77777777" w:rsidR="00FF2C43" w:rsidRDefault="00FF2C43" w:rsidP="00482EA1">
            <w:pPr>
              <w:rPr>
                <w:sz w:val="18"/>
              </w:rPr>
            </w:pPr>
          </w:p>
          <w:p w14:paraId="35B564A4" w14:textId="77777777" w:rsidR="00FF2C43" w:rsidRDefault="00FF2C43" w:rsidP="00482EA1">
            <w:pPr>
              <w:rPr>
                <w:sz w:val="18"/>
              </w:rPr>
            </w:pPr>
          </w:p>
          <w:p w14:paraId="0AE2ABFE" w14:textId="77777777" w:rsidR="00FF2C43" w:rsidRDefault="00FF2C43" w:rsidP="00482EA1">
            <w:pPr>
              <w:rPr>
                <w:sz w:val="18"/>
              </w:rPr>
            </w:pPr>
          </w:p>
          <w:p w14:paraId="34ECDC88" w14:textId="77777777" w:rsidR="00FF2C43" w:rsidRDefault="00FF2C43" w:rsidP="00482EA1">
            <w:pPr>
              <w:rPr>
                <w:sz w:val="18"/>
              </w:rPr>
            </w:pPr>
          </w:p>
          <w:p w14:paraId="7DD51C27" w14:textId="77777777" w:rsidR="00FF2C43" w:rsidRDefault="00FF2C43" w:rsidP="00482EA1">
            <w:pPr>
              <w:rPr>
                <w:sz w:val="18"/>
              </w:rPr>
            </w:pPr>
          </w:p>
          <w:p w14:paraId="73A600B2" w14:textId="77777777" w:rsidR="00FF2C43" w:rsidRDefault="00FF2C43" w:rsidP="00482EA1">
            <w:pPr>
              <w:rPr>
                <w:sz w:val="18"/>
              </w:rPr>
            </w:pPr>
          </w:p>
          <w:p w14:paraId="4275A8AC" w14:textId="77777777" w:rsidR="00FF2C43" w:rsidRDefault="00FF2C43" w:rsidP="00482EA1">
            <w:pPr>
              <w:rPr>
                <w:sz w:val="18"/>
              </w:rPr>
            </w:pPr>
          </w:p>
          <w:p w14:paraId="36D499A3" w14:textId="77777777" w:rsidR="00FF2C43" w:rsidRDefault="00FF2C43" w:rsidP="00482EA1">
            <w:pPr>
              <w:rPr>
                <w:sz w:val="18"/>
              </w:rPr>
            </w:pPr>
          </w:p>
          <w:p w14:paraId="1516E32D" w14:textId="77777777" w:rsidR="00FF2C43" w:rsidRDefault="00FF2C43" w:rsidP="00482EA1">
            <w:pPr>
              <w:rPr>
                <w:sz w:val="18"/>
              </w:rPr>
            </w:pPr>
          </w:p>
          <w:p w14:paraId="2A15EA79" w14:textId="77777777" w:rsidR="00FF2C43" w:rsidRDefault="00FF2C43" w:rsidP="00482EA1">
            <w:pPr>
              <w:rPr>
                <w:sz w:val="18"/>
              </w:rPr>
            </w:pPr>
          </w:p>
          <w:p w14:paraId="25D0F57B" w14:textId="77777777" w:rsidR="00FF2C43" w:rsidRDefault="00FF2C43" w:rsidP="00482EA1">
            <w:pPr>
              <w:rPr>
                <w:sz w:val="18"/>
              </w:rPr>
            </w:pPr>
          </w:p>
          <w:p w14:paraId="5C663B23" w14:textId="77777777" w:rsidR="00FF2C43" w:rsidRDefault="00FF2C43" w:rsidP="00482EA1">
            <w:pPr>
              <w:rPr>
                <w:sz w:val="18"/>
              </w:rPr>
            </w:pPr>
          </w:p>
          <w:p w14:paraId="58F7842E" w14:textId="77777777" w:rsidR="00FF2C43" w:rsidRDefault="00FF2C43" w:rsidP="00482EA1">
            <w:pPr>
              <w:rPr>
                <w:sz w:val="18"/>
              </w:rPr>
            </w:pPr>
          </w:p>
          <w:p w14:paraId="2A96CA14" w14:textId="77777777" w:rsidR="00FF2C43" w:rsidRDefault="00FF2C43" w:rsidP="00482EA1">
            <w:pPr>
              <w:rPr>
                <w:sz w:val="18"/>
              </w:rPr>
            </w:pPr>
          </w:p>
          <w:p w14:paraId="75D33449" w14:textId="77777777" w:rsidR="00FF2C43" w:rsidRDefault="00FF2C43" w:rsidP="00482EA1">
            <w:pPr>
              <w:rPr>
                <w:sz w:val="18"/>
              </w:rPr>
            </w:pPr>
          </w:p>
          <w:p w14:paraId="4289B840" w14:textId="77777777" w:rsidR="00482EA1" w:rsidRDefault="00482EA1" w:rsidP="00482EA1">
            <w:pPr>
              <w:rPr>
                <w:sz w:val="18"/>
              </w:rPr>
            </w:pPr>
            <w:r>
              <w:rPr>
                <w:sz w:val="18"/>
              </w:rPr>
              <w:t>Score: 0/12.5</w:t>
            </w:r>
          </w:p>
        </w:tc>
      </w:tr>
      <w:tr w:rsidR="005164E5" w:rsidRPr="00325F91" w14:paraId="2FDFF681" w14:textId="77777777" w:rsidTr="000F1E0F">
        <w:tc>
          <w:tcPr>
            <w:tcW w:w="1947" w:type="dxa"/>
          </w:tcPr>
          <w:p w14:paraId="789DD88B" w14:textId="77777777" w:rsidR="005164E5" w:rsidRPr="00325F91" w:rsidRDefault="005164E5" w:rsidP="006C6C78">
            <w:pPr>
              <w:rPr>
                <w:b/>
                <w:sz w:val="18"/>
              </w:rPr>
            </w:pPr>
            <w:r>
              <w:rPr>
                <w:b/>
                <w:sz w:val="18"/>
              </w:rPr>
              <w:t xml:space="preserve">Vertical </w:t>
            </w:r>
            <w:r w:rsidRPr="00325F91">
              <w:rPr>
                <w:b/>
                <w:sz w:val="18"/>
              </w:rPr>
              <w:t>Equity</w:t>
            </w:r>
          </w:p>
        </w:tc>
        <w:tc>
          <w:tcPr>
            <w:tcW w:w="2512" w:type="dxa"/>
          </w:tcPr>
          <w:p w14:paraId="5A89480D" w14:textId="77777777" w:rsidR="005164E5" w:rsidRDefault="005164E5" w:rsidP="00444403">
            <w:pPr>
              <w:rPr>
                <w:sz w:val="18"/>
              </w:rPr>
            </w:pPr>
            <w:r w:rsidRPr="00325F91">
              <w:rPr>
                <w:sz w:val="18"/>
              </w:rPr>
              <w:t xml:space="preserve">Fee increases are broadly proportionate </w:t>
            </w:r>
            <w:r>
              <w:rPr>
                <w:sz w:val="18"/>
              </w:rPr>
              <w:t xml:space="preserve">to </w:t>
            </w:r>
            <w:r w:rsidRPr="00325F91">
              <w:rPr>
                <w:sz w:val="18"/>
              </w:rPr>
              <w:t xml:space="preserve">the current fee amounts. Current exemptions (which have long recognised ability to pay) are retained. Compared to the base case, licensed fishers pay more </w:t>
            </w:r>
            <w:r>
              <w:rPr>
                <w:sz w:val="18"/>
              </w:rPr>
              <w:t xml:space="preserve">which is a negative impact on their ability to pay, although the magnitude to the increases do not </w:t>
            </w:r>
            <w:r w:rsidRPr="00444403">
              <w:rPr>
                <w:sz w:val="18"/>
              </w:rPr>
              <w:t>present a significant variation to the base case</w:t>
            </w:r>
            <w:r>
              <w:rPr>
                <w:sz w:val="18"/>
              </w:rPr>
              <w:t>. This option therefore scores a slightly negative score.</w:t>
            </w:r>
          </w:p>
          <w:p w14:paraId="5F9E08CA" w14:textId="77777777" w:rsidR="00FF2C43" w:rsidRDefault="00FF2C43" w:rsidP="00444403">
            <w:pPr>
              <w:rPr>
                <w:sz w:val="18"/>
              </w:rPr>
            </w:pPr>
          </w:p>
          <w:p w14:paraId="4CC42711" w14:textId="77777777" w:rsidR="00FF2C43" w:rsidRDefault="00FF2C43" w:rsidP="00444403">
            <w:pPr>
              <w:rPr>
                <w:sz w:val="18"/>
              </w:rPr>
            </w:pPr>
          </w:p>
          <w:p w14:paraId="1C1B906B" w14:textId="77777777" w:rsidR="00FF2C43" w:rsidRDefault="00FF2C43" w:rsidP="00444403">
            <w:pPr>
              <w:rPr>
                <w:sz w:val="18"/>
              </w:rPr>
            </w:pPr>
          </w:p>
          <w:p w14:paraId="68801928" w14:textId="77777777" w:rsidR="00FF2C43" w:rsidRDefault="00FF2C43" w:rsidP="00444403">
            <w:pPr>
              <w:rPr>
                <w:sz w:val="18"/>
              </w:rPr>
            </w:pPr>
          </w:p>
          <w:p w14:paraId="15520DE4" w14:textId="77777777" w:rsidR="00FF2C43" w:rsidRDefault="00FF2C43" w:rsidP="00444403">
            <w:pPr>
              <w:rPr>
                <w:sz w:val="18"/>
              </w:rPr>
            </w:pPr>
          </w:p>
          <w:p w14:paraId="07EBAF0F" w14:textId="77777777" w:rsidR="00FF2C43" w:rsidRDefault="00FF2C43" w:rsidP="00444403">
            <w:pPr>
              <w:rPr>
                <w:sz w:val="18"/>
              </w:rPr>
            </w:pPr>
          </w:p>
          <w:p w14:paraId="77A79402" w14:textId="77777777" w:rsidR="00FF2C43" w:rsidRDefault="00FF2C43" w:rsidP="00444403">
            <w:pPr>
              <w:rPr>
                <w:sz w:val="18"/>
              </w:rPr>
            </w:pPr>
          </w:p>
          <w:p w14:paraId="72E60E74" w14:textId="77777777" w:rsidR="00FF2C43" w:rsidRPr="002E7904" w:rsidRDefault="00FF2C43" w:rsidP="00444403">
            <w:pPr>
              <w:rPr>
                <w:sz w:val="12"/>
              </w:rPr>
            </w:pPr>
          </w:p>
          <w:p w14:paraId="7EC5708C" w14:textId="77777777" w:rsidR="00FF2C43" w:rsidRPr="00325F91" w:rsidRDefault="00FF2C43" w:rsidP="00444403">
            <w:pPr>
              <w:rPr>
                <w:sz w:val="18"/>
              </w:rPr>
            </w:pPr>
          </w:p>
          <w:p w14:paraId="777BA72A" w14:textId="77777777" w:rsidR="005164E5" w:rsidRPr="00325F91" w:rsidRDefault="005164E5" w:rsidP="00482EA1">
            <w:pPr>
              <w:rPr>
                <w:sz w:val="18"/>
              </w:rPr>
            </w:pPr>
            <w:r w:rsidRPr="00325F91">
              <w:rPr>
                <w:sz w:val="18"/>
              </w:rPr>
              <w:t>Score: -</w:t>
            </w:r>
            <w:r>
              <w:rPr>
                <w:sz w:val="18"/>
              </w:rPr>
              <w:t>1</w:t>
            </w:r>
            <w:r w:rsidRPr="00325F91">
              <w:rPr>
                <w:sz w:val="18"/>
              </w:rPr>
              <w:t>/1</w:t>
            </w:r>
            <w:r w:rsidR="00482EA1">
              <w:rPr>
                <w:sz w:val="18"/>
              </w:rPr>
              <w:t>2.5</w:t>
            </w:r>
          </w:p>
        </w:tc>
        <w:tc>
          <w:tcPr>
            <w:tcW w:w="2518" w:type="dxa"/>
          </w:tcPr>
          <w:p w14:paraId="5DC8DD48" w14:textId="77777777" w:rsidR="005164E5" w:rsidRDefault="005164E5" w:rsidP="006C6C78">
            <w:pPr>
              <w:rPr>
                <w:sz w:val="18"/>
              </w:rPr>
            </w:pPr>
            <w:r w:rsidRPr="00325F91">
              <w:rPr>
                <w:sz w:val="18"/>
              </w:rPr>
              <w:t>The largest impact of this option is for the large group of currently exempt fishers, who would be required to pay a fee (or alternatively may be discouraged from fishing). These groups are those least able to pay for their activities due to limited income opportunities.</w:t>
            </w:r>
            <w:r w:rsidRPr="000F1E0F">
              <w:rPr>
                <w:sz w:val="18"/>
              </w:rPr>
              <w:t xml:space="preserve"> </w:t>
            </w:r>
            <w:r w:rsidRPr="005B2820">
              <w:rPr>
                <w:sz w:val="18"/>
              </w:rPr>
              <w:t>W</w:t>
            </w:r>
            <w:r w:rsidRPr="000F1E0F">
              <w:rPr>
                <w:sz w:val="18"/>
              </w:rPr>
              <w:t>hile removing exemptions would require pension card holders and older fishers to hold a licence, the effect on vertical equity is unclear</w:t>
            </w:r>
            <w:r>
              <w:rPr>
                <w:sz w:val="18"/>
              </w:rPr>
              <w:t xml:space="preserve">, as </w:t>
            </w:r>
            <w:r w:rsidRPr="00192C4F">
              <w:rPr>
                <w:sz w:val="18"/>
              </w:rPr>
              <w:t>the cost of a RFL represents a relatively minor part of the overall costs of recreational fishing</w:t>
            </w:r>
            <w:r>
              <w:rPr>
                <w:sz w:val="18"/>
              </w:rPr>
              <w:t>. Therefore</w:t>
            </w:r>
            <w:r w:rsidRPr="00192C4F">
              <w:rPr>
                <w:sz w:val="18"/>
              </w:rPr>
              <w:t xml:space="preserve"> </w:t>
            </w:r>
            <w:r>
              <w:rPr>
                <w:sz w:val="18"/>
              </w:rPr>
              <w:t xml:space="preserve">this option receives a slightly negative score to reflect it is likely to be a slightly worse outcome compared to the preferred option. </w:t>
            </w:r>
          </w:p>
          <w:p w14:paraId="7DDE0A10" w14:textId="77777777" w:rsidR="00FF2C43" w:rsidRPr="002E7904" w:rsidRDefault="00FF2C43" w:rsidP="006C6C78">
            <w:pPr>
              <w:rPr>
                <w:sz w:val="12"/>
              </w:rPr>
            </w:pPr>
          </w:p>
          <w:p w14:paraId="4A351221" w14:textId="77777777" w:rsidR="005164E5" w:rsidRDefault="005164E5" w:rsidP="00482EA1">
            <w:pPr>
              <w:rPr>
                <w:sz w:val="18"/>
              </w:rPr>
            </w:pPr>
            <w:r w:rsidRPr="00325F91">
              <w:rPr>
                <w:sz w:val="18"/>
              </w:rPr>
              <w:t>Score: -</w:t>
            </w:r>
            <w:r>
              <w:rPr>
                <w:sz w:val="18"/>
              </w:rPr>
              <w:t>2</w:t>
            </w:r>
            <w:r w:rsidRPr="00325F91">
              <w:rPr>
                <w:sz w:val="18"/>
              </w:rPr>
              <w:t>/1</w:t>
            </w:r>
            <w:r w:rsidR="00482EA1">
              <w:rPr>
                <w:sz w:val="18"/>
              </w:rPr>
              <w:t>2.5</w:t>
            </w:r>
          </w:p>
          <w:p w14:paraId="710561D0" w14:textId="77777777" w:rsidR="002E7904" w:rsidRPr="002E7904" w:rsidRDefault="002E7904" w:rsidP="00482EA1">
            <w:pPr>
              <w:rPr>
                <w:sz w:val="14"/>
              </w:rPr>
            </w:pPr>
          </w:p>
        </w:tc>
        <w:tc>
          <w:tcPr>
            <w:tcW w:w="2549" w:type="dxa"/>
          </w:tcPr>
          <w:p w14:paraId="768662FE" w14:textId="77777777" w:rsidR="005164E5" w:rsidRDefault="005164E5" w:rsidP="00E54D66">
            <w:pPr>
              <w:rPr>
                <w:sz w:val="18"/>
              </w:rPr>
            </w:pPr>
            <w:r w:rsidRPr="00325F91">
              <w:rPr>
                <w:sz w:val="18"/>
              </w:rPr>
              <w:t xml:space="preserve">The largest impact of this option is for the large group of currently exempt fishers, who would now be required to pay a fee (or discouraged from fishing). These groups are those least able to pay for their activities due to limited income opportunities. While the concession </w:t>
            </w:r>
            <w:r>
              <w:rPr>
                <w:sz w:val="18"/>
              </w:rPr>
              <w:t>recognises</w:t>
            </w:r>
            <w:r w:rsidRPr="00325F91">
              <w:rPr>
                <w:sz w:val="18"/>
              </w:rPr>
              <w:t xml:space="preserve"> their ability to pay, it represents a</w:t>
            </w:r>
            <w:r>
              <w:rPr>
                <w:sz w:val="18"/>
              </w:rPr>
              <w:t>n</w:t>
            </w:r>
            <w:r w:rsidRPr="00325F91">
              <w:rPr>
                <w:sz w:val="18"/>
              </w:rPr>
              <w:t xml:space="preserve"> additional cost for this group.</w:t>
            </w:r>
            <w:r>
              <w:rPr>
                <w:sz w:val="18"/>
              </w:rPr>
              <w:t xml:space="preserve"> Overall, this option scores between the proposed option and Alternative 1.</w:t>
            </w:r>
          </w:p>
          <w:p w14:paraId="1C90A2FC" w14:textId="77777777" w:rsidR="00FF2C43" w:rsidRDefault="00FF2C43" w:rsidP="00E54D66">
            <w:pPr>
              <w:rPr>
                <w:sz w:val="18"/>
              </w:rPr>
            </w:pPr>
          </w:p>
          <w:p w14:paraId="73C968FF" w14:textId="77777777" w:rsidR="00FF2C43" w:rsidRDefault="00FF2C43" w:rsidP="00E54D66">
            <w:pPr>
              <w:rPr>
                <w:sz w:val="18"/>
              </w:rPr>
            </w:pPr>
          </w:p>
          <w:p w14:paraId="10CDFB78" w14:textId="77777777" w:rsidR="00FF2C43" w:rsidRDefault="00FF2C43" w:rsidP="00E54D66">
            <w:pPr>
              <w:rPr>
                <w:sz w:val="18"/>
              </w:rPr>
            </w:pPr>
          </w:p>
          <w:p w14:paraId="4934F5BF" w14:textId="77777777" w:rsidR="00FF2C43" w:rsidRDefault="00FF2C43" w:rsidP="00E54D66">
            <w:pPr>
              <w:rPr>
                <w:sz w:val="18"/>
              </w:rPr>
            </w:pPr>
          </w:p>
          <w:p w14:paraId="0FC48159" w14:textId="77777777" w:rsidR="00FF2C43" w:rsidRDefault="00FF2C43" w:rsidP="00E54D66">
            <w:pPr>
              <w:rPr>
                <w:sz w:val="18"/>
              </w:rPr>
            </w:pPr>
          </w:p>
          <w:p w14:paraId="00A2E876" w14:textId="77777777" w:rsidR="00FF2C43" w:rsidRDefault="00FF2C43" w:rsidP="00E54D66">
            <w:pPr>
              <w:rPr>
                <w:sz w:val="18"/>
              </w:rPr>
            </w:pPr>
          </w:p>
          <w:p w14:paraId="04BCA208" w14:textId="77777777" w:rsidR="00FF2C43" w:rsidRPr="002E7904" w:rsidRDefault="00FF2C43" w:rsidP="00E54D66">
            <w:pPr>
              <w:rPr>
                <w:sz w:val="12"/>
              </w:rPr>
            </w:pPr>
          </w:p>
          <w:p w14:paraId="53A0B1FF" w14:textId="77777777" w:rsidR="00FF2C43" w:rsidRDefault="00FF2C43" w:rsidP="00E54D66">
            <w:pPr>
              <w:rPr>
                <w:sz w:val="18"/>
              </w:rPr>
            </w:pPr>
          </w:p>
          <w:p w14:paraId="56D9659A" w14:textId="77777777" w:rsidR="00FF2C43" w:rsidRPr="00325F91" w:rsidRDefault="00FF2C43" w:rsidP="00E54D66">
            <w:pPr>
              <w:rPr>
                <w:sz w:val="18"/>
              </w:rPr>
            </w:pPr>
          </w:p>
          <w:p w14:paraId="6D1B96FD" w14:textId="77777777" w:rsidR="005164E5" w:rsidRPr="00325F91" w:rsidRDefault="005164E5" w:rsidP="00482EA1">
            <w:pPr>
              <w:rPr>
                <w:sz w:val="18"/>
              </w:rPr>
            </w:pPr>
            <w:r w:rsidRPr="00325F91">
              <w:rPr>
                <w:sz w:val="18"/>
              </w:rPr>
              <w:t>Score: -</w:t>
            </w:r>
            <w:r>
              <w:rPr>
                <w:sz w:val="18"/>
              </w:rPr>
              <w:t>1.5</w:t>
            </w:r>
            <w:r w:rsidRPr="00325F91">
              <w:rPr>
                <w:sz w:val="18"/>
              </w:rPr>
              <w:t>/1</w:t>
            </w:r>
            <w:r w:rsidR="00482EA1">
              <w:rPr>
                <w:sz w:val="18"/>
              </w:rPr>
              <w:t>2.5</w:t>
            </w:r>
          </w:p>
        </w:tc>
        <w:tc>
          <w:tcPr>
            <w:tcW w:w="2512" w:type="dxa"/>
          </w:tcPr>
          <w:p w14:paraId="567C6424" w14:textId="77777777" w:rsidR="005164E5" w:rsidRDefault="005164E5" w:rsidP="00325F91">
            <w:pPr>
              <w:rPr>
                <w:sz w:val="18"/>
              </w:rPr>
            </w:pPr>
            <w:r w:rsidRPr="00325F91">
              <w:rPr>
                <w:sz w:val="18"/>
              </w:rPr>
              <w:t xml:space="preserve">All licence types would be subject to a fee increase. However, the shorter-term licences would be subject to a proportionally higher fee increase than the 1 or 3 year licences. </w:t>
            </w:r>
            <w:r>
              <w:rPr>
                <w:sz w:val="18"/>
              </w:rPr>
              <w:t>T</w:t>
            </w:r>
            <w:r w:rsidRPr="00C066F8">
              <w:rPr>
                <w:sz w:val="18"/>
              </w:rPr>
              <w:t xml:space="preserve">he cost of a licence in many cases will be a second order consideration, made after a decision of the optimal amount of fishing activity to undertake. </w:t>
            </w:r>
            <w:r>
              <w:rPr>
                <w:sz w:val="18"/>
              </w:rPr>
              <w:t xml:space="preserve">Therefore, to </w:t>
            </w:r>
            <w:r w:rsidRPr="00325F91">
              <w:rPr>
                <w:sz w:val="18"/>
              </w:rPr>
              <w:t>the exten</w:t>
            </w:r>
            <w:r>
              <w:rPr>
                <w:sz w:val="18"/>
              </w:rPr>
              <w:t>t</w:t>
            </w:r>
            <w:r w:rsidRPr="00325F91">
              <w:rPr>
                <w:sz w:val="18"/>
              </w:rPr>
              <w:t xml:space="preserve"> that some people only buy the shorter-term licences due to their ability or willingness to pay, this option would be a slightly worse outcome than the proposed fees.</w:t>
            </w:r>
          </w:p>
          <w:p w14:paraId="7D1A9935" w14:textId="77777777" w:rsidR="00FF2C43" w:rsidRDefault="00FF2C43" w:rsidP="00325F91">
            <w:pPr>
              <w:rPr>
                <w:sz w:val="18"/>
              </w:rPr>
            </w:pPr>
          </w:p>
          <w:p w14:paraId="0074882F" w14:textId="77777777" w:rsidR="00FF2C43" w:rsidRDefault="00FF2C43" w:rsidP="00325F91">
            <w:pPr>
              <w:rPr>
                <w:sz w:val="18"/>
              </w:rPr>
            </w:pPr>
          </w:p>
          <w:p w14:paraId="1199255B" w14:textId="77777777" w:rsidR="00FF2C43" w:rsidRDefault="00FF2C43" w:rsidP="00325F91">
            <w:pPr>
              <w:rPr>
                <w:sz w:val="18"/>
              </w:rPr>
            </w:pPr>
          </w:p>
          <w:p w14:paraId="3B3AC2F7" w14:textId="77777777" w:rsidR="00FF2C43" w:rsidRDefault="00FF2C43" w:rsidP="00325F91">
            <w:pPr>
              <w:rPr>
                <w:sz w:val="18"/>
              </w:rPr>
            </w:pPr>
          </w:p>
          <w:p w14:paraId="585657D5" w14:textId="77777777" w:rsidR="00FF2C43" w:rsidRPr="002E7904" w:rsidRDefault="00FF2C43" w:rsidP="00325F91">
            <w:pPr>
              <w:rPr>
                <w:sz w:val="12"/>
              </w:rPr>
            </w:pPr>
          </w:p>
          <w:p w14:paraId="03745D4D" w14:textId="77777777" w:rsidR="005164E5" w:rsidRPr="00325F91" w:rsidRDefault="005164E5" w:rsidP="00482EA1">
            <w:pPr>
              <w:rPr>
                <w:sz w:val="18"/>
              </w:rPr>
            </w:pPr>
            <w:r w:rsidRPr="00325F91">
              <w:rPr>
                <w:sz w:val="18"/>
              </w:rPr>
              <w:t>Score: -</w:t>
            </w:r>
            <w:r w:rsidR="00996612">
              <w:rPr>
                <w:sz w:val="18"/>
              </w:rPr>
              <w:t>3</w:t>
            </w:r>
            <w:r w:rsidRPr="00325F91">
              <w:rPr>
                <w:sz w:val="18"/>
              </w:rPr>
              <w:t>/1</w:t>
            </w:r>
            <w:r w:rsidR="00482EA1">
              <w:rPr>
                <w:sz w:val="18"/>
              </w:rPr>
              <w:t>2.5</w:t>
            </w:r>
          </w:p>
        </w:tc>
        <w:tc>
          <w:tcPr>
            <w:tcW w:w="2138" w:type="dxa"/>
          </w:tcPr>
          <w:p w14:paraId="222BFB10" w14:textId="77777777" w:rsidR="005164E5" w:rsidRDefault="00482EA1" w:rsidP="00325F91">
            <w:pPr>
              <w:rPr>
                <w:sz w:val="18"/>
              </w:rPr>
            </w:pPr>
            <w:r>
              <w:rPr>
                <w:sz w:val="18"/>
              </w:rPr>
              <w:t xml:space="preserve">As this is similar to the </w:t>
            </w:r>
            <w:r w:rsidR="009105FE">
              <w:rPr>
                <w:sz w:val="18"/>
              </w:rPr>
              <w:t>proposed</w:t>
            </w:r>
            <w:r>
              <w:rPr>
                <w:sz w:val="18"/>
              </w:rPr>
              <w:t xml:space="preserve"> fee increases (which retain the current fee </w:t>
            </w:r>
            <w:r w:rsidR="009105FE">
              <w:rPr>
                <w:sz w:val="18"/>
              </w:rPr>
              <w:t>structures</w:t>
            </w:r>
            <w:r>
              <w:rPr>
                <w:sz w:val="18"/>
              </w:rPr>
              <w:t>) but a smaller increase, this option would have a minor negative impact on vertical equity, but less than the proposed fee option.</w:t>
            </w:r>
          </w:p>
          <w:p w14:paraId="0C4B4F1C" w14:textId="77777777" w:rsidR="00FF2C43" w:rsidRDefault="00FF2C43" w:rsidP="00325F91">
            <w:pPr>
              <w:rPr>
                <w:sz w:val="18"/>
              </w:rPr>
            </w:pPr>
          </w:p>
          <w:p w14:paraId="4026A4C9" w14:textId="77777777" w:rsidR="00FF2C43" w:rsidRDefault="00FF2C43" w:rsidP="00325F91">
            <w:pPr>
              <w:rPr>
                <w:sz w:val="18"/>
              </w:rPr>
            </w:pPr>
          </w:p>
          <w:p w14:paraId="258C9507" w14:textId="77777777" w:rsidR="00FF2C43" w:rsidRDefault="00FF2C43" w:rsidP="00325F91">
            <w:pPr>
              <w:rPr>
                <w:sz w:val="18"/>
              </w:rPr>
            </w:pPr>
          </w:p>
          <w:p w14:paraId="1D3DF780" w14:textId="77777777" w:rsidR="00FF2C43" w:rsidRDefault="00FF2C43" w:rsidP="00325F91">
            <w:pPr>
              <w:rPr>
                <w:sz w:val="18"/>
              </w:rPr>
            </w:pPr>
          </w:p>
          <w:p w14:paraId="6D4CA7B0" w14:textId="77777777" w:rsidR="00FF2C43" w:rsidRDefault="00FF2C43" w:rsidP="00325F91">
            <w:pPr>
              <w:rPr>
                <w:sz w:val="18"/>
              </w:rPr>
            </w:pPr>
          </w:p>
          <w:p w14:paraId="30CA0200" w14:textId="77777777" w:rsidR="00FF2C43" w:rsidRDefault="00FF2C43" w:rsidP="00325F91">
            <w:pPr>
              <w:rPr>
                <w:sz w:val="18"/>
              </w:rPr>
            </w:pPr>
          </w:p>
          <w:p w14:paraId="50BB859A" w14:textId="77777777" w:rsidR="00FF2C43" w:rsidRDefault="00FF2C43" w:rsidP="00325F91">
            <w:pPr>
              <w:rPr>
                <w:sz w:val="18"/>
              </w:rPr>
            </w:pPr>
          </w:p>
          <w:p w14:paraId="45014959" w14:textId="77777777" w:rsidR="00FF2C43" w:rsidRDefault="00FF2C43" w:rsidP="00325F91">
            <w:pPr>
              <w:rPr>
                <w:sz w:val="18"/>
              </w:rPr>
            </w:pPr>
          </w:p>
          <w:p w14:paraId="5D67C474" w14:textId="77777777" w:rsidR="00FF2C43" w:rsidRDefault="00FF2C43" w:rsidP="00325F91">
            <w:pPr>
              <w:rPr>
                <w:sz w:val="18"/>
              </w:rPr>
            </w:pPr>
          </w:p>
          <w:p w14:paraId="70E89045" w14:textId="77777777" w:rsidR="00FF2C43" w:rsidRDefault="00FF2C43" w:rsidP="00325F91">
            <w:pPr>
              <w:rPr>
                <w:sz w:val="18"/>
              </w:rPr>
            </w:pPr>
          </w:p>
          <w:p w14:paraId="24F3AA1E" w14:textId="77777777" w:rsidR="00FF2C43" w:rsidRDefault="00FF2C43" w:rsidP="00325F91">
            <w:pPr>
              <w:rPr>
                <w:sz w:val="18"/>
              </w:rPr>
            </w:pPr>
          </w:p>
          <w:p w14:paraId="32D20EE6" w14:textId="77777777" w:rsidR="00FF2C43" w:rsidRDefault="00FF2C43" w:rsidP="00325F91">
            <w:pPr>
              <w:rPr>
                <w:sz w:val="18"/>
              </w:rPr>
            </w:pPr>
          </w:p>
          <w:p w14:paraId="3F926AC4" w14:textId="77777777" w:rsidR="00FF2C43" w:rsidRDefault="00FF2C43" w:rsidP="00325F91">
            <w:pPr>
              <w:rPr>
                <w:sz w:val="18"/>
              </w:rPr>
            </w:pPr>
          </w:p>
          <w:p w14:paraId="6F16B98B" w14:textId="77777777" w:rsidR="00FF2C43" w:rsidRDefault="00FF2C43" w:rsidP="00325F91">
            <w:pPr>
              <w:rPr>
                <w:sz w:val="18"/>
              </w:rPr>
            </w:pPr>
          </w:p>
          <w:p w14:paraId="55D8E941" w14:textId="77777777" w:rsidR="00FF2C43" w:rsidRPr="002E7904" w:rsidRDefault="00FF2C43" w:rsidP="00325F91">
            <w:pPr>
              <w:rPr>
                <w:sz w:val="12"/>
              </w:rPr>
            </w:pPr>
          </w:p>
          <w:p w14:paraId="7D7941D8" w14:textId="77777777" w:rsidR="00482EA1" w:rsidRPr="00325F91" w:rsidRDefault="00482EA1" w:rsidP="00482EA1">
            <w:pPr>
              <w:rPr>
                <w:sz w:val="18"/>
              </w:rPr>
            </w:pPr>
            <w:r>
              <w:rPr>
                <w:sz w:val="18"/>
              </w:rPr>
              <w:t>Score: -0.5/12.5</w:t>
            </w:r>
          </w:p>
        </w:tc>
      </w:tr>
      <w:tr w:rsidR="005164E5" w:rsidRPr="00325F91" w14:paraId="29554E16" w14:textId="77777777" w:rsidTr="000F1E0F">
        <w:tc>
          <w:tcPr>
            <w:tcW w:w="1947" w:type="dxa"/>
          </w:tcPr>
          <w:p w14:paraId="3E00703B" w14:textId="77777777" w:rsidR="005164E5" w:rsidRPr="00325F91" w:rsidRDefault="005164E5" w:rsidP="006C6C78">
            <w:pPr>
              <w:rPr>
                <w:b/>
                <w:sz w:val="18"/>
              </w:rPr>
            </w:pPr>
            <w:r w:rsidRPr="00325F91">
              <w:rPr>
                <w:b/>
                <w:sz w:val="18"/>
              </w:rPr>
              <w:t>Effectiveness</w:t>
            </w:r>
          </w:p>
        </w:tc>
        <w:tc>
          <w:tcPr>
            <w:tcW w:w="2512" w:type="dxa"/>
          </w:tcPr>
          <w:p w14:paraId="31DE5835" w14:textId="77777777" w:rsidR="005164E5" w:rsidRDefault="005164E5" w:rsidP="00841A50">
            <w:pPr>
              <w:rPr>
                <w:sz w:val="18"/>
              </w:rPr>
            </w:pPr>
            <w:r>
              <w:rPr>
                <w:sz w:val="18"/>
              </w:rPr>
              <w:t>T</w:t>
            </w:r>
            <w:r w:rsidRPr="00EA0986">
              <w:rPr>
                <w:sz w:val="18"/>
              </w:rPr>
              <w:t>he proposed fee increases present no material change in the effectiveness of the RFL regime.</w:t>
            </w:r>
            <w:r>
              <w:rPr>
                <w:sz w:val="18"/>
              </w:rPr>
              <w:t xml:space="preserve"> </w:t>
            </w:r>
            <w:r w:rsidRPr="00325F91">
              <w:rPr>
                <w:sz w:val="18"/>
              </w:rPr>
              <w:t>There is unlikely to be any material increase in non-compliance.</w:t>
            </w:r>
          </w:p>
          <w:p w14:paraId="39EABBC0" w14:textId="77777777" w:rsidR="00FF2C43" w:rsidRDefault="00FF2C43" w:rsidP="00841A50">
            <w:pPr>
              <w:rPr>
                <w:sz w:val="18"/>
              </w:rPr>
            </w:pPr>
          </w:p>
          <w:p w14:paraId="7D318E10" w14:textId="77777777" w:rsidR="00FF2C43" w:rsidRDefault="00FF2C43" w:rsidP="00841A50">
            <w:pPr>
              <w:rPr>
                <w:sz w:val="18"/>
              </w:rPr>
            </w:pPr>
          </w:p>
          <w:p w14:paraId="7123E96E" w14:textId="77777777" w:rsidR="00FF2C43" w:rsidRPr="00325F91" w:rsidRDefault="00FF2C43" w:rsidP="00841A50">
            <w:pPr>
              <w:rPr>
                <w:sz w:val="18"/>
              </w:rPr>
            </w:pPr>
          </w:p>
          <w:p w14:paraId="09BF1747" w14:textId="77777777" w:rsidR="005164E5" w:rsidRPr="00325F91" w:rsidRDefault="005164E5" w:rsidP="00482EA1">
            <w:pPr>
              <w:rPr>
                <w:sz w:val="18"/>
              </w:rPr>
            </w:pPr>
            <w:r w:rsidRPr="00325F91">
              <w:rPr>
                <w:sz w:val="18"/>
              </w:rPr>
              <w:t xml:space="preserve">Score: </w:t>
            </w:r>
            <w:r>
              <w:rPr>
                <w:sz w:val="18"/>
              </w:rPr>
              <w:t>0</w:t>
            </w:r>
            <w:r w:rsidRPr="00325F91">
              <w:rPr>
                <w:sz w:val="18"/>
              </w:rPr>
              <w:t>/1</w:t>
            </w:r>
            <w:r w:rsidR="00482EA1">
              <w:rPr>
                <w:sz w:val="18"/>
              </w:rPr>
              <w:t>2.5</w:t>
            </w:r>
          </w:p>
        </w:tc>
        <w:tc>
          <w:tcPr>
            <w:tcW w:w="2518" w:type="dxa"/>
          </w:tcPr>
          <w:p w14:paraId="02ECAB14" w14:textId="77777777" w:rsidR="005164E5" w:rsidRDefault="005164E5" w:rsidP="006C6C78">
            <w:pPr>
              <w:rPr>
                <w:sz w:val="18"/>
              </w:rPr>
            </w:pPr>
            <w:r>
              <w:rPr>
                <w:sz w:val="18"/>
              </w:rPr>
              <w:t xml:space="preserve">The Department </w:t>
            </w:r>
            <w:r w:rsidR="00481FF6">
              <w:rPr>
                <w:sz w:val="18"/>
              </w:rPr>
              <w:t>considers</w:t>
            </w:r>
            <w:r>
              <w:rPr>
                <w:sz w:val="18"/>
              </w:rPr>
              <w:t xml:space="preserve"> that this option </w:t>
            </w:r>
            <w:r w:rsidRPr="00325F91">
              <w:rPr>
                <w:sz w:val="18"/>
              </w:rPr>
              <w:t>may lead to a materially higher level of non-compliance.</w:t>
            </w:r>
          </w:p>
          <w:p w14:paraId="4C6BDF27" w14:textId="77777777" w:rsidR="00FF2C43" w:rsidRDefault="00FF2C43" w:rsidP="006C6C78">
            <w:pPr>
              <w:rPr>
                <w:sz w:val="18"/>
              </w:rPr>
            </w:pPr>
          </w:p>
          <w:p w14:paraId="615CC08C" w14:textId="77777777" w:rsidR="00FF2C43" w:rsidRDefault="00FF2C43" w:rsidP="006C6C78">
            <w:pPr>
              <w:rPr>
                <w:sz w:val="18"/>
              </w:rPr>
            </w:pPr>
          </w:p>
          <w:p w14:paraId="3E53A27C" w14:textId="77777777" w:rsidR="00FF2C43" w:rsidRDefault="00FF2C43" w:rsidP="006C6C78">
            <w:pPr>
              <w:rPr>
                <w:sz w:val="18"/>
              </w:rPr>
            </w:pPr>
          </w:p>
          <w:p w14:paraId="298D50E8" w14:textId="77777777" w:rsidR="00FF2C43" w:rsidRDefault="00FF2C43" w:rsidP="006C6C78">
            <w:pPr>
              <w:rPr>
                <w:sz w:val="18"/>
              </w:rPr>
            </w:pPr>
          </w:p>
          <w:p w14:paraId="2D65904D" w14:textId="77777777" w:rsidR="00FF2C43" w:rsidRPr="00325F91" w:rsidRDefault="00FF2C43" w:rsidP="006C6C78">
            <w:pPr>
              <w:rPr>
                <w:sz w:val="18"/>
              </w:rPr>
            </w:pPr>
          </w:p>
          <w:p w14:paraId="2C5DA068" w14:textId="77777777" w:rsidR="005164E5" w:rsidRPr="00325F91" w:rsidRDefault="005164E5" w:rsidP="00482EA1">
            <w:pPr>
              <w:rPr>
                <w:sz w:val="18"/>
              </w:rPr>
            </w:pPr>
            <w:r w:rsidRPr="00325F91">
              <w:rPr>
                <w:sz w:val="18"/>
              </w:rPr>
              <w:t xml:space="preserve">Score: </w:t>
            </w:r>
            <w:r>
              <w:rPr>
                <w:sz w:val="18"/>
              </w:rPr>
              <w:t>-2</w:t>
            </w:r>
            <w:r w:rsidRPr="00325F91">
              <w:rPr>
                <w:sz w:val="18"/>
              </w:rPr>
              <w:t>/1</w:t>
            </w:r>
            <w:r w:rsidR="00482EA1">
              <w:rPr>
                <w:sz w:val="18"/>
              </w:rPr>
              <w:t>2.5</w:t>
            </w:r>
          </w:p>
        </w:tc>
        <w:tc>
          <w:tcPr>
            <w:tcW w:w="2549" w:type="dxa"/>
          </w:tcPr>
          <w:p w14:paraId="1EDF85BB" w14:textId="77777777" w:rsidR="005164E5" w:rsidRDefault="005164E5" w:rsidP="00E54D66">
            <w:pPr>
              <w:rPr>
                <w:sz w:val="18"/>
              </w:rPr>
            </w:pPr>
            <w:r>
              <w:rPr>
                <w:sz w:val="18"/>
              </w:rPr>
              <w:t xml:space="preserve">The Department </w:t>
            </w:r>
            <w:r w:rsidR="00481FF6">
              <w:rPr>
                <w:sz w:val="18"/>
              </w:rPr>
              <w:t>considers</w:t>
            </w:r>
            <w:r>
              <w:rPr>
                <w:sz w:val="18"/>
              </w:rPr>
              <w:t xml:space="preserve"> that this option </w:t>
            </w:r>
            <w:r w:rsidRPr="00325F91">
              <w:rPr>
                <w:sz w:val="18"/>
              </w:rPr>
              <w:t>may also lead to a materially higher level of non-compliance.</w:t>
            </w:r>
          </w:p>
          <w:p w14:paraId="001A2982" w14:textId="77777777" w:rsidR="00FF2C43" w:rsidRDefault="00FF2C43" w:rsidP="00E54D66">
            <w:pPr>
              <w:rPr>
                <w:sz w:val="18"/>
              </w:rPr>
            </w:pPr>
          </w:p>
          <w:p w14:paraId="06B71A26" w14:textId="77777777" w:rsidR="00FF2C43" w:rsidRDefault="00FF2C43" w:rsidP="00E54D66">
            <w:pPr>
              <w:rPr>
                <w:sz w:val="18"/>
              </w:rPr>
            </w:pPr>
          </w:p>
          <w:p w14:paraId="3972E6F1" w14:textId="77777777" w:rsidR="00FF2C43" w:rsidRDefault="00FF2C43" w:rsidP="00E54D66">
            <w:pPr>
              <w:rPr>
                <w:sz w:val="18"/>
              </w:rPr>
            </w:pPr>
          </w:p>
          <w:p w14:paraId="08128A2E" w14:textId="77777777" w:rsidR="00FF2C43" w:rsidRDefault="00FF2C43" w:rsidP="00E54D66">
            <w:pPr>
              <w:rPr>
                <w:sz w:val="18"/>
              </w:rPr>
            </w:pPr>
          </w:p>
          <w:p w14:paraId="4A4BBAB6" w14:textId="77777777" w:rsidR="00FF2C43" w:rsidRPr="00325F91" w:rsidRDefault="00FF2C43" w:rsidP="00E54D66">
            <w:pPr>
              <w:rPr>
                <w:sz w:val="18"/>
              </w:rPr>
            </w:pPr>
          </w:p>
          <w:p w14:paraId="5646B434" w14:textId="77777777" w:rsidR="005164E5" w:rsidRPr="00325F91" w:rsidRDefault="005164E5" w:rsidP="00482EA1">
            <w:pPr>
              <w:rPr>
                <w:sz w:val="18"/>
              </w:rPr>
            </w:pPr>
            <w:r w:rsidRPr="00325F91">
              <w:rPr>
                <w:sz w:val="18"/>
              </w:rPr>
              <w:t xml:space="preserve">Score: </w:t>
            </w:r>
            <w:r>
              <w:rPr>
                <w:sz w:val="18"/>
              </w:rPr>
              <w:t>-2</w:t>
            </w:r>
            <w:r w:rsidRPr="00325F91">
              <w:rPr>
                <w:sz w:val="18"/>
              </w:rPr>
              <w:t>/1</w:t>
            </w:r>
            <w:r w:rsidR="00482EA1">
              <w:rPr>
                <w:sz w:val="18"/>
              </w:rPr>
              <w:t>2.5</w:t>
            </w:r>
          </w:p>
        </w:tc>
        <w:tc>
          <w:tcPr>
            <w:tcW w:w="2512" w:type="dxa"/>
          </w:tcPr>
          <w:p w14:paraId="717C11CB" w14:textId="77777777" w:rsidR="005164E5" w:rsidRPr="00325F91" w:rsidRDefault="005164E5" w:rsidP="006A1844">
            <w:pPr>
              <w:rPr>
                <w:sz w:val="18"/>
              </w:rPr>
            </w:pPr>
            <w:r>
              <w:rPr>
                <w:sz w:val="18"/>
              </w:rPr>
              <w:t>T</w:t>
            </w:r>
            <w:r w:rsidRPr="00EA0986">
              <w:rPr>
                <w:sz w:val="18"/>
              </w:rPr>
              <w:t>h</w:t>
            </w:r>
            <w:r>
              <w:rPr>
                <w:sz w:val="18"/>
              </w:rPr>
              <w:t>is option</w:t>
            </w:r>
            <w:r w:rsidRPr="00EA0986">
              <w:rPr>
                <w:sz w:val="18"/>
              </w:rPr>
              <w:t xml:space="preserve"> present</w:t>
            </w:r>
            <w:r>
              <w:rPr>
                <w:sz w:val="18"/>
              </w:rPr>
              <w:t xml:space="preserve">s broadly </w:t>
            </w:r>
            <w:r w:rsidRPr="00EA0986">
              <w:rPr>
                <w:sz w:val="18"/>
              </w:rPr>
              <w:t>no material change in the effectiveness of the RFL regime.</w:t>
            </w:r>
            <w:r>
              <w:rPr>
                <w:sz w:val="18"/>
              </w:rPr>
              <w:t xml:space="preserve"> However, for some fishers the change may result in fishing licences that do not suit their needs and may lead to an increase in non-compliance</w:t>
            </w:r>
            <w:r w:rsidRPr="00325F91">
              <w:rPr>
                <w:sz w:val="18"/>
              </w:rPr>
              <w:t>.</w:t>
            </w:r>
          </w:p>
          <w:p w14:paraId="3FC38FF5" w14:textId="77777777" w:rsidR="005164E5" w:rsidRPr="00325F91" w:rsidRDefault="005164E5" w:rsidP="005A6549">
            <w:pPr>
              <w:rPr>
                <w:sz w:val="18"/>
              </w:rPr>
            </w:pPr>
            <w:r w:rsidRPr="00325F91">
              <w:rPr>
                <w:sz w:val="18"/>
              </w:rPr>
              <w:t xml:space="preserve">Score: </w:t>
            </w:r>
            <w:r>
              <w:rPr>
                <w:sz w:val="18"/>
              </w:rPr>
              <w:t>-</w:t>
            </w:r>
            <w:r w:rsidR="00996612">
              <w:rPr>
                <w:sz w:val="18"/>
              </w:rPr>
              <w:t>2</w:t>
            </w:r>
            <w:r w:rsidRPr="00325F91">
              <w:rPr>
                <w:sz w:val="18"/>
              </w:rPr>
              <w:t>/1</w:t>
            </w:r>
            <w:r w:rsidR="00482EA1">
              <w:rPr>
                <w:sz w:val="18"/>
              </w:rPr>
              <w:t>2.5</w:t>
            </w:r>
          </w:p>
        </w:tc>
        <w:tc>
          <w:tcPr>
            <w:tcW w:w="2138" w:type="dxa"/>
          </w:tcPr>
          <w:p w14:paraId="4C76838B" w14:textId="77777777" w:rsidR="00482EA1" w:rsidRDefault="00482EA1" w:rsidP="00482EA1">
            <w:pPr>
              <w:rPr>
                <w:sz w:val="18"/>
              </w:rPr>
            </w:pPr>
            <w:r>
              <w:rPr>
                <w:sz w:val="18"/>
              </w:rPr>
              <w:t>T</w:t>
            </w:r>
            <w:r w:rsidRPr="00EA0986">
              <w:rPr>
                <w:sz w:val="18"/>
              </w:rPr>
              <w:t xml:space="preserve">he fee increases </w:t>
            </w:r>
            <w:r>
              <w:rPr>
                <w:sz w:val="18"/>
              </w:rPr>
              <w:t xml:space="preserve">in this option </w:t>
            </w:r>
            <w:r w:rsidRPr="00EA0986">
              <w:rPr>
                <w:sz w:val="18"/>
              </w:rPr>
              <w:t>present no material change in the effectiveness of the RFL regime.</w:t>
            </w:r>
            <w:r>
              <w:rPr>
                <w:sz w:val="18"/>
              </w:rPr>
              <w:t xml:space="preserve"> </w:t>
            </w:r>
            <w:r w:rsidRPr="00325F91">
              <w:rPr>
                <w:sz w:val="18"/>
              </w:rPr>
              <w:t>There is unlikely to be any material increase in non-compliance.</w:t>
            </w:r>
          </w:p>
          <w:p w14:paraId="79A147A8" w14:textId="77777777" w:rsidR="00FF2C43" w:rsidRPr="00325F91" w:rsidRDefault="00FF2C43" w:rsidP="00482EA1">
            <w:pPr>
              <w:rPr>
                <w:sz w:val="18"/>
              </w:rPr>
            </w:pPr>
          </w:p>
          <w:p w14:paraId="3B46E1E8" w14:textId="77777777" w:rsidR="005164E5" w:rsidRPr="00325F91" w:rsidDel="006B2868" w:rsidRDefault="00482EA1" w:rsidP="00482EA1">
            <w:pPr>
              <w:rPr>
                <w:sz w:val="18"/>
              </w:rPr>
            </w:pPr>
            <w:r w:rsidRPr="00325F91">
              <w:rPr>
                <w:sz w:val="18"/>
              </w:rPr>
              <w:t xml:space="preserve">Score: </w:t>
            </w:r>
            <w:r>
              <w:rPr>
                <w:sz w:val="18"/>
              </w:rPr>
              <w:t>0</w:t>
            </w:r>
            <w:r w:rsidRPr="00325F91">
              <w:rPr>
                <w:sz w:val="18"/>
              </w:rPr>
              <w:t>/1</w:t>
            </w:r>
            <w:r>
              <w:rPr>
                <w:sz w:val="18"/>
              </w:rPr>
              <w:t>2.5</w:t>
            </w:r>
          </w:p>
        </w:tc>
      </w:tr>
      <w:tr w:rsidR="005164E5" w:rsidRPr="00325F91" w14:paraId="6622EE01" w14:textId="77777777" w:rsidTr="000F1E0F">
        <w:tc>
          <w:tcPr>
            <w:tcW w:w="1947" w:type="dxa"/>
          </w:tcPr>
          <w:p w14:paraId="48A15C70" w14:textId="77777777" w:rsidR="005164E5" w:rsidRPr="00325F91" w:rsidRDefault="005164E5" w:rsidP="006C6C78">
            <w:pPr>
              <w:rPr>
                <w:b/>
                <w:sz w:val="18"/>
              </w:rPr>
            </w:pPr>
            <w:r>
              <w:rPr>
                <w:b/>
                <w:sz w:val="18"/>
              </w:rPr>
              <w:t>Administrative Complexity</w:t>
            </w:r>
          </w:p>
        </w:tc>
        <w:tc>
          <w:tcPr>
            <w:tcW w:w="2512" w:type="dxa"/>
          </w:tcPr>
          <w:p w14:paraId="7164023C" w14:textId="77777777" w:rsidR="005164E5" w:rsidRDefault="005164E5" w:rsidP="00841A50">
            <w:pPr>
              <w:rPr>
                <w:sz w:val="18"/>
              </w:rPr>
            </w:pPr>
            <w:r w:rsidRPr="00325F91">
              <w:rPr>
                <w:sz w:val="18"/>
              </w:rPr>
              <w:t>The fee structure is sim</w:t>
            </w:r>
            <w:r>
              <w:rPr>
                <w:sz w:val="18"/>
              </w:rPr>
              <w:t>ple to administer and implement – effectively preserves the current arrangements.</w:t>
            </w:r>
          </w:p>
          <w:p w14:paraId="24B6B7ED" w14:textId="77777777" w:rsidR="00D838F0" w:rsidRDefault="00D838F0" w:rsidP="00841A50">
            <w:pPr>
              <w:rPr>
                <w:sz w:val="18"/>
              </w:rPr>
            </w:pPr>
          </w:p>
          <w:p w14:paraId="10BAC9F4" w14:textId="77777777" w:rsidR="00D838F0" w:rsidRDefault="00D838F0" w:rsidP="00841A50">
            <w:pPr>
              <w:rPr>
                <w:sz w:val="18"/>
              </w:rPr>
            </w:pPr>
          </w:p>
          <w:p w14:paraId="68E25AB9" w14:textId="77777777" w:rsidR="00D838F0" w:rsidRDefault="00D838F0" w:rsidP="00841A50">
            <w:pPr>
              <w:rPr>
                <w:sz w:val="18"/>
              </w:rPr>
            </w:pPr>
          </w:p>
          <w:p w14:paraId="4EBF572E" w14:textId="77777777" w:rsidR="00D838F0" w:rsidRDefault="00D838F0" w:rsidP="00841A50">
            <w:pPr>
              <w:rPr>
                <w:sz w:val="18"/>
              </w:rPr>
            </w:pPr>
          </w:p>
          <w:p w14:paraId="1D804FBD" w14:textId="77777777" w:rsidR="00D838F0" w:rsidRDefault="00D838F0" w:rsidP="00841A50">
            <w:pPr>
              <w:rPr>
                <w:sz w:val="18"/>
              </w:rPr>
            </w:pPr>
          </w:p>
          <w:p w14:paraId="5E7FB8D6" w14:textId="77777777" w:rsidR="00D838F0" w:rsidRDefault="00D838F0" w:rsidP="00841A50">
            <w:pPr>
              <w:rPr>
                <w:sz w:val="18"/>
              </w:rPr>
            </w:pPr>
          </w:p>
          <w:p w14:paraId="64E2C5E7" w14:textId="77777777" w:rsidR="00D838F0" w:rsidRDefault="00D838F0" w:rsidP="00841A50">
            <w:pPr>
              <w:rPr>
                <w:sz w:val="18"/>
              </w:rPr>
            </w:pPr>
          </w:p>
          <w:p w14:paraId="6ACF18CA" w14:textId="77777777" w:rsidR="00D838F0" w:rsidRDefault="00D838F0" w:rsidP="00841A50">
            <w:pPr>
              <w:rPr>
                <w:sz w:val="18"/>
              </w:rPr>
            </w:pPr>
          </w:p>
          <w:p w14:paraId="25F6F079" w14:textId="77777777" w:rsidR="00D838F0" w:rsidRDefault="00D838F0" w:rsidP="00841A50">
            <w:pPr>
              <w:rPr>
                <w:sz w:val="18"/>
              </w:rPr>
            </w:pPr>
          </w:p>
          <w:p w14:paraId="0D742BCD" w14:textId="77777777" w:rsidR="00D838F0" w:rsidRDefault="00D838F0" w:rsidP="00841A50">
            <w:pPr>
              <w:rPr>
                <w:sz w:val="18"/>
              </w:rPr>
            </w:pPr>
          </w:p>
          <w:p w14:paraId="3CC102C8" w14:textId="77777777" w:rsidR="00D838F0" w:rsidRDefault="00D838F0" w:rsidP="00841A50">
            <w:pPr>
              <w:rPr>
                <w:sz w:val="18"/>
              </w:rPr>
            </w:pPr>
          </w:p>
          <w:p w14:paraId="53948C0B" w14:textId="77777777" w:rsidR="00D838F0" w:rsidRDefault="00D838F0" w:rsidP="00841A50">
            <w:pPr>
              <w:rPr>
                <w:sz w:val="18"/>
              </w:rPr>
            </w:pPr>
          </w:p>
          <w:p w14:paraId="04CD7697" w14:textId="77777777" w:rsidR="00D838F0" w:rsidRDefault="00D838F0" w:rsidP="00841A50">
            <w:pPr>
              <w:rPr>
                <w:sz w:val="18"/>
              </w:rPr>
            </w:pPr>
          </w:p>
          <w:p w14:paraId="594B243E" w14:textId="77777777" w:rsidR="00D838F0" w:rsidRDefault="00D838F0" w:rsidP="00841A50">
            <w:pPr>
              <w:rPr>
                <w:sz w:val="18"/>
              </w:rPr>
            </w:pPr>
          </w:p>
          <w:p w14:paraId="32BA50DD" w14:textId="77777777" w:rsidR="005164E5" w:rsidRDefault="005164E5" w:rsidP="00841A50">
            <w:pPr>
              <w:rPr>
                <w:sz w:val="18"/>
              </w:rPr>
            </w:pPr>
            <w:r>
              <w:rPr>
                <w:sz w:val="18"/>
              </w:rPr>
              <w:t>Score: 0/1</w:t>
            </w:r>
            <w:r w:rsidR="00482EA1">
              <w:rPr>
                <w:sz w:val="18"/>
              </w:rPr>
              <w:t>2.5</w:t>
            </w:r>
          </w:p>
          <w:p w14:paraId="30BD0F2B" w14:textId="77777777" w:rsidR="00D02972" w:rsidRPr="00325F91" w:rsidRDefault="00D02972" w:rsidP="00841A50">
            <w:pPr>
              <w:rPr>
                <w:sz w:val="18"/>
              </w:rPr>
            </w:pPr>
          </w:p>
        </w:tc>
        <w:tc>
          <w:tcPr>
            <w:tcW w:w="2518" w:type="dxa"/>
          </w:tcPr>
          <w:p w14:paraId="5FFBB923" w14:textId="77777777" w:rsidR="005164E5" w:rsidRDefault="005164E5" w:rsidP="00133628">
            <w:pPr>
              <w:rPr>
                <w:sz w:val="18"/>
              </w:rPr>
            </w:pPr>
            <w:r>
              <w:rPr>
                <w:sz w:val="18"/>
              </w:rPr>
              <w:t>The Department considers that a high degree of a</w:t>
            </w:r>
            <w:r w:rsidRPr="00564B93">
              <w:rPr>
                <w:sz w:val="18"/>
              </w:rPr>
              <w:t xml:space="preserve">dministrative complexity would be involved </w:t>
            </w:r>
            <w:r>
              <w:rPr>
                <w:sz w:val="18"/>
              </w:rPr>
              <w:t>in bringing in a large number of additional people into the licensing regime that are currently exempt. I</w:t>
            </w:r>
            <w:r w:rsidRPr="00564B93">
              <w:rPr>
                <w:sz w:val="18"/>
              </w:rPr>
              <w:t xml:space="preserve">n the two years remaining before the regulations sunset, it </w:t>
            </w:r>
            <w:r>
              <w:rPr>
                <w:sz w:val="18"/>
              </w:rPr>
              <w:t>is</w:t>
            </w:r>
            <w:r w:rsidRPr="00564B93">
              <w:rPr>
                <w:sz w:val="18"/>
              </w:rPr>
              <w:t xml:space="preserve"> regarded as not worth pursuing this option at this time due to the </w:t>
            </w:r>
            <w:r>
              <w:rPr>
                <w:sz w:val="18"/>
              </w:rPr>
              <w:t xml:space="preserve">high </w:t>
            </w:r>
            <w:r w:rsidRPr="00564B93">
              <w:rPr>
                <w:sz w:val="18"/>
              </w:rPr>
              <w:t>transition costs.</w:t>
            </w:r>
          </w:p>
          <w:p w14:paraId="56FA6FB8" w14:textId="77777777" w:rsidR="00D838F0" w:rsidRDefault="00D838F0" w:rsidP="00133628">
            <w:pPr>
              <w:rPr>
                <w:sz w:val="18"/>
              </w:rPr>
            </w:pPr>
          </w:p>
          <w:p w14:paraId="609CD749" w14:textId="77777777" w:rsidR="00D838F0" w:rsidRDefault="00D838F0" w:rsidP="00133628">
            <w:pPr>
              <w:rPr>
                <w:sz w:val="18"/>
              </w:rPr>
            </w:pPr>
          </w:p>
          <w:p w14:paraId="7BFBE581" w14:textId="77777777" w:rsidR="00D838F0" w:rsidRDefault="00D838F0" w:rsidP="00133628">
            <w:pPr>
              <w:rPr>
                <w:sz w:val="18"/>
              </w:rPr>
            </w:pPr>
          </w:p>
          <w:p w14:paraId="09A08BD7" w14:textId="77777777" w:rsidR="00D838F0" w:rsidRDefault="00D838F0" w:rsidP="00133628">
            <w:pPr>
              <w:rPr>
                <w:sz w:val="18"/>
              </w:rPr>
            </w:pPr>
          </w:p>
          <w:p w14:paraId="6F2161E3" w14:textId="77777777" w:rsidR="005164E5" w:rsidRDefault="005164E5" w:rsidP="00482EA1">
            <w:pPr>
              <w:rPr>
                <w:sz w:val="18"/>
              </w:rPr>
            </w:pPr>
            <w:r>
              <w:rPr>
                <w:sz w:val="18"/>
              </w:rPr>
              <w:t>Score: -</w:t>
            </w:r>
            <w:r w:rsidR="00482EA1">
              <w:rPr>
                <w:sz w:val="18"/>
              </w:rPr>
              <w:t>6</w:t>
            </w:r>
            <w:r>
              <w:rPr>
                <w:sz w:val="18"/>
              </w:rPr>
              <w:t>/1</w:t>
            </w:r>
            <w:r w:rsidR="00482EA1">
              <w:rPr>
                <w:sz w:val="18"/>
              </w:rPr>
              <w:t>2.5</w:t>
            </w:r>
          </w:p>
          <w:p w14:paraId="6EB536CD" w14:textId="77777777" w:rsidR="00D02972" w:rsidRPr="00325F91" w:rsidRDefault="00D02972" w:rsidP="00482EA1">
            <w:pPr>
              <w:rPr>
                <w:sz w:val="18"/>
              </w:rPr>
            </w:pPr>
          </w:p>
        </w:tc>
        <w:tc>
          <w:tcPr>
            <w:tcW w:w="2549" w:type="dxa"/>
          </w:tcPr>
          <w:p w14:paraId="390441B2" w14:textId="77777777" w:rsidR="005164E5" w:rsidRDefault="005164E5" w:rsidP="00EA0986">
            <w:pPr>
              <w:rPr>
                <w:sz w:val="18"/>
              </w:rPr>
            </w:pPr>
            <w:r>
              <w:rPr>
                <w:sz w:val="18"/>
              </w:rPr>
              <w:t>The Department considers that a high degree of a</w:t>
            </w:r>
            <w:r w:rsidRPr="00564B93">
              <w:rPr>
                <w:sz w:val="18"/>
              </w:rPr>
              <w:t xml:space="preserve">dministrative complexity would be involved </w:t>
            </w:r>
            <w:r>
              <w:rPr>
                <w:sz w:val="18"/>
              </w:rPr>
              <w:t>in bringing in a large number of additional people into the licensing regime that are currently exempt. I</w:t>
            </w:r>
            <w:r w:rsidRPr="00564B93">
              <w:rPr>
                <w:sz w:val="18"/>
              </w:rPr>
              <w:t xml:space="preserve">n the two years remaining before the regulations sunset, it </w:t>
            </w:r>
            <w:r>
              <w:rPr>
                <w:sz w:val="18"/>
              </w:rPr>
              <w:t>is</w:t>
            </w:r>
            <w:r w:rsidRPr="00564B93">
              <w:rPr>
                <w:sz w:val="18"/>
              </w:rPr>
              <w:t xml:space="preserve"> regarded as not worth pursuing this option at this time due to the </w:t>
            </w:r>
            <w:r>
              <w:rPr>
                <w:sz w:val="18"/>
              </w:rPr>
              <w:t xml:space="preserve">high </w:t>
            </w:r>
            <w:r w:rsidRPr="00564B93">
              <w:rPr>
                <w:sz w:val="18"/>
              </w:rPr>
              <w:t>transition costs.</w:t>
            </w:r>
          </w:p>
          <w:p w14:paraId="735920CE" w14:textId="77777777" w:rsidR="00D838F0" w:rsidRDefault="00D838F0" w:rsidP="00EA0986">
            <w:pPr>
              <w:rPr>
                <w:sz w:val="18"/>
              </w:rPr>
            </w:pPr>
          </w:p>
          <w:p w14:paraId="3D4C6231" w14:textId="77777777" w:rsidR="00D838F0" w:rsidRDefault="00D838F0" w:rsidP="00EA0986">
            <w:pPr>
              <w:rPr>
                <w:sz w:val="18"/>
              </w:rPr>
            </w:pPr>
          </w:p>
          <w:p w14:paraId="365FC63F" w14:textId="77777777" w:rsidR="00D838F0" w:rsidRDefault="00D838F0" w:rsidP="00EA0986">
            <w:pPr>
              <w:rPr>
                <w:sz w:val="18"/>
              </w:rPr>
            </w:pPr>
          </w:p>
          <w:p w14:paraId="13452D91" w14:textId="77777777" w:rsidR="00D838F0" w:rsidRDefault="00D838F0" w:rsidP="00EA0986">
            <w:pPr>
              <w:rPr>
                <w:sz w:val="18"/>
              </w:rPr>
            </w:pPr>
          </w:p>
          <w:p w14:paraId="5FF1BC83" w14:textId="77777777" w:rsidR="005164E5" w:rsidRPr="00325F91" w:rsidRDefault="005164E5" w:rsidP="00482EA1">
            <w:pPr>
              <w:rPr>
                <w:sz w:val="18"/>
              </w:rPr>
            </w:pPr>
            <w:r>
              <w:rPr>
                <w:sz w:val="18"/>
              </w:rPr>
              <w:t>Score: -</w:t>
            </w:r>
            <w:r w:rsidR="00482EA1">
              <w:rPr>
                <w:sz w:val="18"/>
              </w:rPr>
              <w:t>6</w:t>
            </w:r>
            <w:r>
              <w:rPr>
                <w:sz w:val="18"/>
              </w:rPr>
              <w:t>/1</w:t>
            </w:r>
            <w:r w:rsidR="00482EA1">
              <w:rPr>
                <w:sz w:val="18"/>
              </w:rPr>
              <w:t>2.5</w:t>
            </w:r>
          </w:p>
        </w:tc>
        <w:tc>
          <w:tcPr>
            <w:tcW w:w="2512" w:type="dxa"/>
          </w:tcPr>
          <w:p w14:paraId="57D9C734" w14:textId="77777777" w:rsidR="005164E5" w:rsidRDefault="005164E5" w:rsidP="002D2647">
            <w:pPr>
              <w:rPr>
                <w:sz w:val="18"/>
              </w:rPr>
            </w:pPr>
            <w:r>
              <w:rPr>
                <w:sz w:val="18"/>
              </w:rPr>
              <w:t>This option may offer some opportunities to streamline licensing arrangements. This is expected to be minor. Further, transition arrangements would be needed for those that already hold 3 year licences, meaning that special transitional arrangements would be in place for the remainder of the current Regulations. Overall, this option represents a small positive impact for the remainder of the current Regulations.</w:t>
            </w:r>
          </w:p>
          <w:p w14:paraId="58BBF905" w14:textId="77777777" w:rsidR="00D838F0" w:rsidRDefault="00D838F0" w:rsidP="002D2647">
            <w:pPr>
              <w:rPr>
                <w:sz w:val="18"/>
              </w:rPr>
            </w:pPr>
          </w:p>
          <w:p w14:paraId="3E4D1A92" w14:textId="77777777" w:rsidR="005164E5" w:rsidRPr="00325F91" w:rsidRDefault="005164E5" w:rsidP="00482EA1">
            <w:pPr>
              <w:rPr>
                <w:sz w:val="18"/>
              </w:rPr>
            </w:pPr>
            <w:r>
              <w:rPr>
                <w:sz w:val="18"/>
              </w:rPr>
              <w:t xml:space="preserve">Score: </w:t>
            </w:r>
            <w:r w:rsidR="00482EA1">
              <w:rPr>
                <w:sz w:val="18"/>
              </w:rPr>
              <w:t>3</w:t>
            </w:r>
            <w:r>
              <w:rPr>
                <w:sz w:val="18"/>
              </w:rPr>
              <w:t>/1</w:t>
            </w:r>
            <w:r w:rsidR="00482EA1">
              <w:rPr>
                <w:sz w:val="18"/>
              </w:rPr>
              <w:t>2.5</w:t>
            </w:r>
          </w:p>
        </w:tc>
        <w:tc>
          <w:tcPr>
            <w:tcW w:w="2138" w:type="dxa"/>
          </w:tcPr>
          <w:p w14:paraId="2F012024" w14:textId="77777777" w:rsidR="00482EA1" w:rsidRDefault="00482EA1" w:rsidP="00482EA1">
            <w:pPr>
              <w:rPr>
                <w:sz w:val="18"/>
              </w:rPr>
            </w:pPr>
            <w:r w:rsidRPr="00325F91">
              <w:rPr>
                <w:sz w:val="18"/>
              </w:rPr>
              <w:t>The fee structure is sim</w:t>
            </w:r>
            <w:r>
              <w:rPr>
                <w:sz w:val="18"/>
              </w:rPr>
              <w:t>ple to administer and implement – effectively preserves the current arrangements.</w:t>
            </w:r>
          </w:p>
          <w:p w14:paraId="593ADB65" w14:textId="77777777" w:rsidR="00D838F0" w:rsidRDefault="00D838F0" w:rsidP="00482EA1">
            <w:pPr>
              <w:rPr>
                <w:sz w:val="18"/>
              </w:rPr>
            </w:pPr>
          </w:p>
          <w:p w14:paraId="41FF951F" w14:textId="77777777" w:rsidR="00D838F0" w:rsidRDefault="00D838F0" w:rsidP="00482EA1">
            <w:pPr>
              <w:rPr>
                <w:sz w:val="18"/>
              </w:rPr>
            </w:pPr>
          </w:p>
          <w:p w14:paraId="0508A187" w14:textId="77777777" w:rsidR="00D838F0" w:rsidRDefault="00D838F0" w:rsidP="00482EA1">
            <w:pPr>
              <w:rPr>
                <w:sz w:val="18"/>
              </w:rPr>
            </w:pPr>
          </w:p>
          <w:p w14:paraId="372974A9" w14:textId="77777777" w:rsidR="00D838F0" w:rsidRDefault="00D838F0" w:rsidP="00482EA1">
            <w:pPr>
              <w:rPr>
                <w:sz w:val="18"/>
              </w:rPr>
            </w:pPr>
          </w:p>
          <w:p w14:paraId="4C6D4F36" w14:textId="77777777" w:rsidR="00D838F0" w:rsidRDefault="00D838F0" w:rsidP="00482EA1">
            <w:pPr>
              <w:rPr>
                <w:sz w:val="18"/>
              </w:rPr>
            </w:pPr>
          </w:p>
          <w:p w14:paraId="18849FF7" w14:textId="77777777" w:rsidR="00D838F0" w:rsidRDefault="00D838F0" w:rsidP="00482EA1">
            <w:pPr>
              <w:rPr>
                <w:sz w:val="18"/>
              </w:rPr>
            </w:pPr>
          </w:p>
          <w:p w14:paraId="32F975F0" w14:textId="77777777" w:rsidR="00D838F0" w:rsidRDefault="00D838F0" w:rsidP="00482EA1">
            <w:pPr>
              <w:rPr>
                <w:sz w:val="18"/>
              </w:rPr>
            </w:pPr>
          </w:p>
          <w:p w14:paraId="272E3C4D" w14:textId="77777777" w:rsidR="00D838F0" w:rsidRDefault="00D838F0" w:rsidP="00482EA1">
            <w:pPr>
              <w:rPr>
                <w:sz w:val="18"/>
              </w:rPr>
            </w:pPr>
          </w:p>
          <w:p w14:paraId="33CC0DB8" w14:textId="77777777" w:rsidR="00D838F0" w:rsidRDefault="00D838F0" w:rsidP="00482EA1">
            <w:pPr>
              <w:rPr>
                <w:sz w:val="18"/>
              </w:rPr>
            </w:pPr>
          </w:p>
          <w:p w14:paraId="36372B14" w14:textId="77777777" w:rsidR="00D838F0" w:rsidRDefault="00D838F0" w:rsidP="00482EA1">
            <w:pPr>
              <w:rPr>
                <w:sz w:val="18"/>
              </w:rPr>
            </w:pPr>
          </w:p>
          <w:p w14:paraId="7D7C72EE" w14:textId="77777777" w:rsidR="00D838F0" w:rsidRDefault="00D838F0" w:rsidP="00482EA1">
            <w:pPr>
              <w:rPr>
                <w:sz w:val="18"/>
              </w:rPr>
            </w:pPr>
          </w:p>
          <w:p w14:paraId="2A521E68" w14:textId="77777777" w:rsidR="00D838F0" w:rsidRDefault="00D838F0" w:rsidP="00482EA1">
            <w:pPr>
              <w:rPr>
                <w:sz w:val="18"/>
              </w:rPr>
            </w:pPr>
          </w:p>
          <w:p w14:paraId="2B653EB2" w14:textId="77777777" w:rsidR="005164E5" w:rsidRDefault="00482EA1" w:rsidP="00482EA1">
            <w:pPr>
              <w:rPr>
                <w:sz w:val="18"/>
              </w:rPr>
            </w:pPr>
            <w:r>
              <w:rPr>
                <w:sz w:val="18"/>
              </w:rPr>
              <w:t>Score: 0/12.5</w:t>
            </w:r>
          </w:p>
        </w:tc>
      </w:tr>
      <w:tr w:rsidR="005164E5" w:rsidRPr="00325F91" w14:paraId="228C677D" w14:textId="77777777" w:rsidTr="000F1E0F">
        <w:tc>
          <w:tcPr>
            <w:tcW w:w="1947" w:type="dxa"/>
          </w:tcPr>
          <w:p w14:paraId="6511972B" w14:textId="77777777" w:rsidR="005164E5" w:rsidRPr="00325F91" w:rsidRDefault="005164E5" w:rsidP="00D838F0">
            <w:pPr>
              <w:spacing w:before="120" w:after="120"/>
              <w:jc w:val="center"/>
              <w:rPr>
                <w:b/>
                <w:sz w:val="18"/>
              </w:rPr>
            </w:pPr>
            <w:r w:rsidRPr="00325F91">
              <w:rPr>
                <w:b/>
                <w:sz w:val="18"/>
              </w:rPr>
              <w:t>Overall score</w:t>
            </w:r>
          </w:p>
        </w:tc>
        <w:tc>
          <w:tcPr>
            <w:tcW w:w="2512" w:type="dxa"/>
          </w:tcPr>
          <w:p w14:paraId="6EE141A8" w14:textId="77777777" w:rsidR="005164E5" w:rsidRPr="00325F91" w:rsidRDefault="00996612" w:rsidP="00D838F0">
            <w:pPr>
              <w:spacing w:before="120" w:after="120"/>
              <w:jc w:val="center"/>
              <w:rPr>
                <w:b/>
                <w:sz w:val="18"/>
              </w:rPr>
            </w:pPr>
            <w:r>
              <w:rPr>
                <w:b/>
                <w:sz w:val="18"/>
              </w:rPr>
              <w:t>49/100</w:t>
            </w:r>
          </w:p>
        </w:tc>
        <w:tc>
          <w:tcPr>
            <w:tcW w:w="2518" w:type="dxa"/>
          </w:tcPr>
          <w:p w14:paraId="52A0BF98" w14:textId="77777777" w:rsidR="005164E5" w:rsidRPr="00325F91" w:rsidRDefault="00996612" w:rsidP="00D838F0">
            <w:pPr>
              <w:spacing w:before="120" w:after="120"/>
              <w:jc w:val="center"/>
              <w:rPr>
                <w:b/>
                <w:sz w:val="18"/>
              </w:rPr>
            </w:pPr>
            <w:r>
              <w:rPr>
                <w:b/>
                <w:sz w:val="18"/>
              </w:rPr>
              <w:t>46/100</w:t>
            </w:r>
          </w:p>
        </w:tc>
        <w:tc>
          <w:tcPr>
            <w:tcW w:w="2549" w:type="dxa"/>
          </w:tcPr>
          <w:p w14:paraId="7BE303E8" w14:textId="77777777" w:rsidR="005164E5" w:rsidRPr="00325F91" w:rsidRDefault="00996612" w:rsidP="00D838F0">
            <w:pPr>
              <w:spacing w:before="120" w:after="120"/>
              <w:jc w:val="center"/>
              <w:rPr>
                <w:b/>
                <w:sz w:val="18"/>
              </w:rPr>
            </w:pPr>
            <w:r>
              <w:rPr>
                <w:b/>
                <w:sz w:val="18"/>
              </w:rPr>
              <w:t>43.5/100</w:t>
            </w:r>
          </w:p>
        </w:tc>
        <w:tc>
          <w:tcPr>
            <w:tcW w:w="2512" w:type="dxa"/>
          </w:tcPr>
          <w:p w14:paraId="4F19C561" w14:textId="77777777" w:rsidR="005164E5" w:rsidRPr="00325F91" w:rsidRDefault="00996612" w:rsidP="00D838F0">
            <w:pPr>
              <w:spacing w:before="120" w:after="120"/>
              <w:jc w:val="center"/>
              <w:rPr>
                <w:b/>
                <w:sz w:val="18"/>
              </w:rPr>
            </w:pPr>
            <w:r>
              <w:rPr>
                <w:b/>
                <w:sz w:val="18"/>
              </w:rPr>
              <w:t>47/100</w:t>
            </w:r>
          </w:p>
        </w:tc>
        <w:tc>
          <w:tcPr>
            <w:tcW w:w="2138" w:type="dxa"/>
          </w:tcPr>
          <w:p w14:paraId="2AB5FBDF" w14:textId="77777777" w:rsidR="005164E5" w:rsidRDefault="00996612" w:rsidP="00D838F0">
            <w:pPr>
              <w:spacing w:before="120" w:after="120"/>
              <w:jc w:val="center"/>
              <w:rPr>
                <w:b/>
                <w:sz w:val="18"/>
              </w:rPr>
            </w:pPr>
            <w:r>
              <w:rPr>
                <w:b/>
                <w:sz w:val="18"/>
              </w:rPr>
              <w:t>24.5/100</w:t>
            </w:r>
          </w:p>
        </w:tc>
      </w:tr>
    </w:tbl>
    <w:p w14:paraId="7F6AF934" w14:textId="77777777" w:rsidR="00841A50" w:rsidRDefault="00841A50" w:rsidP="00325F91">
      <w:pPr>
        <w:jc w:val="center"/>
      </w:pPr>
    </w:p>
    <w:p w14:paraId="45E73514" w14:textId="77777777" w:rsidR="00841A50" w:rsidRDefault="00841A50" w:rsidP="006C6C78"/>
    <w:p w14:paraId="51EC1D67" w14:textId="77777777" w:rsidR="00841A50" w:rsidRDefault="00841A50" w:rsidP="006C6C78">
      <w:pPr>
        <w:sectPr w:rsidR="00841A50" w:rsidSect="00841A50">
          <w:headerReference w:type="default" r:id="rId54"/>
          <w:footerReference w:type="default" r:id="rId55"/>
          <w:pgSz w:w="16840" w:h="11900" w:orient="landscape"/>
          <w:pgMar w:top="1800" w:right="1440" w:bottom="1800" w:left="1440" w:header="708" w:footer="708" w:gutter="0"/>
          <w:cols w:space="708"/>
          <w:titlePg/>
          <w:docGrid w:linePitch="360"/>
        </w:sectPr>
      </w:pPr>
    </w:p>
    <w:p w14:paraId="6A30C9CA" w14:textId="77777777" w:rsidR="00EB2A44" w:rsidRDefault="00EB2A44" w:rsidP="00E510D1">
      <w:pPr>
        <w:pStyle w:val="Body"/>
        <w:rPr>
          <w:rFonts w:eastAsia="Calibri"/>
        </w:rPr>
      </w:pPr>
    </w:p>
    <w:p w14:paraId="6CBA2E43" w14:textId="77777777" w:rsidR="00B22622" w:rsidRDefault="00B22622" w:rsidP="00E510D1">
      <w:pPr>
        <w:pStyle w:val="Body"/>
        <w:rPr>
          <w:rFonts w:eastAsia="Calibri"/>
        </w:rPr>
      </w:pPr>
      <w:r w:rsidRPr="0008580A">
        <w:rPr>
          <w:rFonts w:eastAsia="Calibri"/>
        </w:rPr>
        <w:t>The above assessment of alternative options indicate</w:t>
      </w:r>
      <w:r w:rsidR="001504D3" w:rsidRPr="0008580A">
        <w:rPr>
          <w:rFonts w:eastAsia="Calibri"/>
        </w:rPr>
        <w:t>s</w:t>
      </w:r>
      <w:r w:rsidRPr="0008580A">
        <w:rPr>
          <w:rFonts w:eastAsia="Calibri"/>
        </w:rPr>
        <w:t xml:space="preserve"> that, while the alternative approaches </w:t>
      </w:r>
      <w:r w:rsidR="00110EEA">
        <w:rPr>
          <w:rFonts w:eastAsia="Calibri"/>
        </w:rPr>
        <w:t>may</w:t>
      </w:r>
      <w:r w:rsidRPr="0008580A">
        <w:rPr>
          <w:rFonts w:eastAsia="Calibri"/>
        </w:rPr>
        <w:t xml:space="preserve"> offer</w:t>
      </w:r>
      <w:r w:rsidR="00D55F34" w:rsidRPr="0008580A">
        <w:rPr>
          <w:rFonts w:eastAsia="Calibri"/>
        </w:rPr>
        <w:t xml:space="preserve"> a</w:t>
      </w:r>
      <w:r w:rsidR="00E17A19">
        <w:rPr>
          <w:rFonts w:eastAsia="Calibri"/>
        </w:rPr>
        <w:t>n improvement over</w:t>
      </w:r>
      <w:r w:rsidR="00D55F34" w:rsidRPr="0008580A">
        <w:rPr>
          <w:rFonts w:eastAsia="Calibri"/>
        </w:rPr>
        <w:t xml:space="preserve"> the base case, </w:t>
      </w:r>
      <w:r w:rsidR="00110EEA">
        <w:rPr>
          <w:rFonts w:eastAsia="Calibri"/>
        </w:rPr>
        <w:t xml:space="preserve">the proposed fee increases are superior to the alternatives. This is primarily due to the proposed fees </w:t>
      </w:r>
      <w:r w:rsidR="00E17A19">
        <w:rPr>
          <w:rFonts w:eastAsia="Calibri"/>
        </w:rPr>
        <w:t xml:space="preserve">generating the additional revenue while </w:t>
      </w:r>
      <w:r w:rsidR="00110EEA">
        <w:rPr>
          <w:rFonts w:eastAsia="Calibri"/>
        </w:rPr>
        <w:t xml:space="preserve">retaining the current </w:t>
      </w:r>
      <w:r w:rsidR="005A6549">
        <w:rPr>
          <w:rFonts w:eastAsia="Calibri"/>
        </w:rPr>
        <w:t>licence</w:t>
      </w:r>
      <w:r w:rsidR="00110EEA">
        <w:rPr>
          <w:rFonts w:eastAsia="Calibri"/>
        </w:rPr>
        <w:t xml:space="preserve"> structure</w:t>
      </w:r>
      <w:r w:rsidR="005A6549">
        <w:rPr>
          <w:rFonts w:eastAsia="Calibri"/>
        </w:rPr>
        <w:t xml:space="preserve"> (licence durations)</w:t>
      </w:r>
      <w:r w:rsidR="00110EEA">
        <w:rPr>
          <w:rFonts w:eastAsia="Calibri"/>
        </w:rPr>
        <w:t xml:space="preserve"> and exemptions, which reflect ability to pay, and the ability to more effectively implement the proposed changes.</w:t>
      </w:r>
    </w:p>
    <w:p w14:paraId="3D8D9F0D" w14:textId="77777777" w:rsidR="005E16C8" w:rsidRDefault="005E16C8" w:rsidP="00E510D1">
      <w:pPr>
        <w:pStyle w:val="Body"/>
        <w:rPr>
          <w:rFonts w:eastAsia="Calibri"/>
        </w:rPr>
      </w:pPr>
      <w:r>
        <w:rPr>
          <w:rFonts w:eastAsia="Calibri"/>
        </w:rPr>
        <w:t xml:space="preserve">The overall scores in the above analysis are close, suggesting that variations in the weightings given to each criterion, or different judgements about the scores of each option, could change the outcome. </w:t>
      </w:r>
      <w:r w:rsidR="00E17A19">
        <w:rPr>
          <w:rFonts w:eastAsia="Calibri"/>
        </w:rPr>
        <w:t xml:space="preserve">For example, a much lower weighting given to the additional revenue to be raised may alter the outcome in favour of small fee increases. </w:t>
      </w:r>
      <w:r>
        <w:rPr>
          <w:rFonts w:eastAsia="Calibri"/>
        </w:rPr>
        <w:t>The Department therefore seek</w:t>
      </w:r>
      <w:r w:rsidR="00110EEA">
        <w:rPr>
          <w:rFonts w:eastAsia="Calibri"/>
        </w:rPr>
        <w:t>s</w:t>
      </w:r>
      <w:r>
        <w:rPr>
          <w:rFonts w:eastAsia="Calibri"/>
        </w:rPr>
        <w:t xml:space="preserve"> feedback on </w:t>
      </w:r>
      <w:r w:rsidR="0065286F">
        <w:rPr>
          <w:rFonts w:eastAsia="Calibri"/>
        </w:rPr>
        <w:t xml:space="preserve">its assessment of </w:t>
      </w:r>
      <w:r>
        <w:rPr>
          <w:rFonts w:eastAsia="Calibri"/>
        </w:rPr>
        <w:t>the advantages and disadvantages of these options.</w:t>
      </w:r>
    </w:p>
    <w:p w14:paraId="7D1B7FF9" w14:textId="77777777" w:rsidR="004B7AB9" w:rsidRDefault="00D86313" w:rsidP="00E510D1">
      <w:pPr>
        <w:pStyle w:val="Body"/>
        <w:rPr>
          <w:rFonts w:eastAsia="Calibri"/>
        </w:rPr>
      </w:pPr>
      <w:r>
        <w:rPr>
          <w:rFonts w:eastAsia="Calibri"/>
        </w:rPr>
        <w:t>It is noted that the proposed fees include a degree of cross-subsidisation: those fishers required to be licensed pay for the RFL revenue that is enjoyed by all recreational fishers (i.e., including those that are exempt for holding a licence). Ordinarily, such cross-subsidisation should be avoided. However, in this case it is noted that</w:t>
      </w:r>
      <w:r w:rsidR="004B7AB9">
        <w:rPr>
          <w:rFonts w:eastAsia="Calibri"/>
        </w:rPr>
        <w:t xml:space="preserve"> taken as a group, over an individual’s lifetime, most recreational fishers will be in both a licensed category and an exempt category. The nature of many of the </w:t>
      </w:r>
      <w:r w:rsidR="00481FF6">
        <w:rPr>
          <w:rFonts w:eastAsia="Calibri"/>
        </w:rPr>
        <w:t>initiatives and programs</w:t>
      </w:r>
      <w:r w:rsidR="004B7AB9">
        <w:rPr>
          <w:rFonts w:eastAsia="Calibri"/>
        </w:rPr>
        <w:t xml:space="preserve"> funded from RFL revenue are also long-term in perspective, meaning that the benefits will be enjoyed for a long time after the money has been spent. The categories therefore do not necessarily reflect different groups of recreational fishers, but different points in their fishing lives. Fees that apply only to licensed fishers reflect the time of their lives they are most able to pay such fees. For these reasons, concerns about cross-subsidisation </w:t>
      </w:r>
      <w:r w:rsidR="00322073">
        <w:rPr>
          <w:rFonts w:eastAsia="Calibri"/>
        </w:rPr>
        <w:t>are</w:t>
      </w:r>
      <w:r w:rsidR="004B7AB9">
        <w:rPr>
          <w:rFonts w:eastAsia="Calibri"/>
        </w:rPr>
        <w:t xml:space="preserve"> considered not significant, although still present for some situations.</w:t>
      </w:r>
    </w:p>
    <w:p w14:paraId="230973E3" w14:textId="77777777" w:rsidR="005164E5" w:rsidRDefault="005164E5" w:rsidP="005164E5">
      <w:pPr>
        <w:pStyle w:val="Body"/>
        <w:rPr>
          <w:rFonts w:eastAsia="Calibri"/>
        </w:rPr>
      </w:pPr>
      <w:r w:rsidRPr="001C05BF">
        <w:rPr>
          <w:rFonts w:eastAsia="Calibri"/>
        </w:rPr>
        <w:t xml:space="preserve">To the extent data allows, the Department will use this information and a more detailed policy analysis to assess the required longer term RFL revenue. It is noted, however, that subject to changes implemented through the remaking of the regulations, the current proposal to set RFL prices in fee units (from 2017/18) will ensure RFL revenue keeps pace with inflation. </w:t>
      </w:r>
    </w:p>
    <w:p w14:paraId="3CAF8BD4" w14:textId="77777777" w:rsidR="005164E5" w:rsidRPr="00DC1373" w:rsidRDefault="005164E5" w:rsidP="005164E5">
      <w:pPr>
        <w:pStyle w:val="Body"/>
      </w:pPr>
      <w:r>
        <w:rPr>
          <w:rFonts w:eastAsia="Calibri"/>
        </w:rPr>
        <w:t>The Department is already</w:t>
      </w:r>
      <w:r w:rsidRPr="00746067">
        <w:t xml:space="preserve"> </w:t>
      </w:r>
      <w:r w:rsidRPr="00DC1373">
        <w:t xml:space="preserve">undertaking evaluation of social and economic benefits of previous investment in improving recreational fishing opportunities in Victoria including, for example, improving the efficiency and effectiveness of fish stocking and the provision of new or improved infrastructure and facilities. This work is intended to guide future investment decisions for recreational fishing licence revenue to those areas where it can deliver the greatest benefit to the Victorian community. </w:t>
      </w:r>
      <w:r>
        <w:t>The Department</w:t>
      </w:r>
      <w:r w:rsidRPr="00DC1373">
        <w:t xml:space="preserve"> expects that such evaluation practices will become a permanent feature of this investment program. </w:t>
      </w:r>
    </w:p>
    <w:p w14:paraId="35941EFB" w14:textId="77777777" w:rsidR="005164E5" w:rsidRDefault="005164E5" w:rsidP="005164E5">
      <w:pPr>
        <w:pStyle w:val="Body"/>
        <w:rPr>
          <w:rFonts w:eastAsia="Calibri"/>
        </w:rPr>
      </w:pPr>
      <w:r>
        <w:rPr>
          <w:rFonts w:eastAsia="Calibri"/>
        </w:rPr>
        <w:t>Ahead of the sunsetting of the 2008 regulations (and parallel consideration of the overall regulatory framework that applies to recreational fishing), Fisheries Victoria intends to undertake a full review of all regulations before they sunset. This review will specifically consider:</w:t>
      </w:r>
    </w:p>
    <w:p w14:paraId="0E754A4B" w14:textId="77777777" w:rsidR="005164E5" w:rsidRDefault="005164E5" w:rsidP="00F97BD4">
      <w:pPr>
        <w:pStyle w:val="Bullet"/>
        <w:rPr>
          <w:rFonts w:eastAsia="Calibri"/>
        </w:rPr>
      </w:pPr>
      <w:r>
        <w:rPr>
          <w:rFonts w:eastAsia="Calibri"/>
        </w:rPr>
        <w:t>the policy principles that will inform judgment about future design of RFLs and associated fees, including the case for government regulation and the specific activities funded by fees</w:t>
      </w:r>
    </w:p>
    <w:p w14:paraId="44AFE12F" w14:textId="77777777" w:rsidR="005164E5" w:rsidRDefault="005164E5" w:rsidP="00F97BD4">
      <w:pPr>
        <w:pStyle w:val="Bullet"/>
        <w:rPr>
          <w:rFonts w:eastAsia="Calibri"/>
        </w:rPr>
      </w:pPr>
      <w:r>
        <w:rPr>
          <w:rFonts w:eastAsia="Calibri"/>
        </w:rPr>
        <w:t>a comprehensive analysis of the underlying costs and benefits (both public and private) of the government’s activities related recreational fishing (administration, managing the sustainability of fishing and promoting the interests of the recreational fishing sector). This will include a more formal assessment of the willingness of recreational fishers to pay for improved recreational fishing opportunities and infrastructure.</w:t>
      </w:r>
    </w:p>
    <w:p w14:paraId="2A5E9BEC" w14:textId="77777777" w:rsidR="005164E5" w:rsidRDefault="005164E5" w:rsidP="005164E5">
      <w:pPr>
        <w:pStyle w:val="Body"/>
        <w:rPr>
          <w:rFonts w:eastAsia="Calibri"/>
        </w:rPr>
      </w:pPr>
      <w:r>
        <w:rPr>
          <w:rFonts w:eastAsia="Calibri"/>
        </w:rPr>
        <w:t>The Department will closely monitor the impacts of the proposed fee increases over the next two years to assist in informing this broader review.</w:t>
      </w:r>
    </w:p>
    <w:p w14:paraId="0A906A08" w14:textId="77777777" w:rsidR="00D86313" w:rsidRPr="0008580A" w:rsidRDefault="00D86313" w:rsidP="00E510D1">
      <w:pPr>
        <w:pStyle w:val="Body"/>
        <w:rPr>
          <w:rFonts w:eastAsia="Calibri"/>
        </w:rPr>
      </w:pPr>
    </w:p>
    <w:p w14:paraId="61405858" w14:textId="77777777" w:rsidR="00322073" w:rsidRDefault="00322073">
      <w:pPr>
        <w:rPr>
          <w:rFonts w:eastAsia="Calibri"/>
        </w:rPr>
      </w:pPr>
      <w:r>
        <w:rPr>
          <w:rFonts w:eastAsia="Calibri"/>
        </w:rPr>
        <w:br w:type="page"/>
      </w:r>
    </w:p>
    <w:p w14:paraId="7C8A24F2" w14:textId="77777777" w:rsidR="007A0E13" w:rsidRPr="0008580A" w:rsidRDefault="007A0E13" w:rsidP="006C6C78">
      <w:pPr>
        <w:rPr>
          <w:rFonts w:eastAsia="Calibri"/>
        </w:rPr>
      </w:pPr>
    </w:p>
    <w:p w14:paraId="5AB85737" w14:textId="77777777" w:rsidR="00C77710" w:rsidRPr="007A3E12" w:rsidRDefault="00C77710" w:rsidP="002E7904">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b/>
        </w:rPr>
      </w:pPr>
      <w:r w:rsidRPr="007A3E12">
        <w:rPr>
          <w:rFonts w:eastAsia="Calibri"/>
          <w:b/>
        </w:rPr>
        <w:t xml:space="preserve">Questions for </w:t>
      </w:r>
      <w:r>
        <w:rPr>
          <w:rFonts w:eastAsia="Calibri"/>
          <w:b/>
        </w:rPr>
        <w:t>stakeholders</w:t>
      </w:r>
    </w:p>
    <w:p w14:paraId="6CF6CA32" w14:textId="77777777" w:rsidR="00C77710" w:rsidRDefault="00C77710" w:rsidP="002E7904">
      <w:pPr>
        <w:pStyle w:val="Body"/>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Stakeholder views are sought on how alternative options have been assessed. In particular, stakeholders may wish to respond to the following questions:</w:t>
      </w:r>
    </w:p>
    <w:p w14:paraId="52B7CB9C" w14:textId="77777777" w:rsidR="00C77710" w:rsidRDefault="00C77710" w:rsidP="002E7904">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 xml:space="preserve">Are there other factors that should be taken into account when assessing and comparing alternative options? </w:t>
      </w:r>
    </w:p>
    <w:p w14:paraId="700B0BCA" w14:textId="77777777" w:rsidR="00C77710" w:rsidRDefault="00C77710" w:rsidP="002E7904">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 xml:space="preserve">Is the </w:t>
      </w:r>
      <w:r w:rsidR="007C2DC5">
        <w:rPr>
          <w:rFonts w:eastAsia="Calibri"/>
        </w:rPr>
        <w:t xml:space="preserve">relative </w:t>
      </w:r>
      <w:r>
        <w:rPr>
          <w:rFonts w:eastAsia="Calibri"/>
        </w:rPr>
        <w:t xml:space="preserve">importance given to </w:t>
      </w:r>
      <w:r w:rsidR="002B3567">
        <w:rPr>
          <w:rFonts w:eastAsia="Calibri"/>
        </w:rPr>
        <w:t xml:space="preserve">additional revenue, </w:t>
      </w:r>
      <w:r>
        <w:rPr>
          <w:rFonts w:eastAsia="Calibri"/>
        </w:rPr>
        <w:t>equity</w:t>
      </w:r>
      <w:r w:rsidR="0065286F">
        <w:rPr>
          <w:rFonts w:eastAsia="Calibri"/>
        </w:rPr>
        <w:t>,</w:t>
      </w:r>
      <w:r>
        <w:rPr>
          <w:rFonts w:eastAsia="Calibri"/>
        </w:rPr>
        <w:t xml:space="preserve"> effectiveness </w:t>
      </w:r>
      <w:r w:rsidR="0065286F">
        <w:rPr>
          <w:rFonts w:eastAsia="Calibri"/>
        </w:rPr>
        <w:t xml:space="preserve">and administrative complexity </w:t>
      </w:r>
      <w:r>
        <w:rPr>
          <w:rFonts w:eastAsia="Calibri"/>
        </w:rPr>
        <w:t>appropriate?</w:t>
      </w:r>
    </w:p>
    <w:p w14:paraId="72D048B4" w14:textId="77777777" w:rsidR="00C77710" w:rsidRDefault="00C77710" w:rsidP="002E7904">
      <w:pPr>
        <w:pStyle w:val="Bullet"/>
        <w:pBdr>
          <w:top w:val="single" w:sz="4" w:space="1" w:color="auto"/>
          <w:left w:val="single" w:sz="4" w:space="1" w:color="auto"/>
          <w:bottom w:val="single" w:sz="4" w:space="1" w:color="auto"/>
          <w:right w:val="single" w:sz="4" w:space="1" w:color="auto"/>
        </w:pBdr>
        <w:shd w:val="clear" w:color="auto" w:fill="B8CCE4" w:themeFill="accent1" w:themeFillTint="66"/>
        <w:rPr>
          <w:rFonts w:eastAsia="Calibri"/>
        </w:rPr>
      </w:pPr>
      <w:r>
        <w:rPr>
          <w:rFonts w:eastAsia="Calibri"/>
        </w:rPr>
        <w:t>Are there likely to be consequences of any of the options that have not been reflected in the above assessment?</w:t>
      </w:r>
    </w:p>
    <w:p w14:paraId="3B821934" w14:textId="77777777" w:rsidR="00C77710" w:rsidRDefault="00C77710" w:rsidP="002E7904">
      <w:pPr>
        <w:pStyle w:val="Bullet"/>
        <w:pBdr>
          <w:top w:val="single" w:sz="4" w:space="1" w:color="auto"/>
          <w:left w:val="single" w:sz="4" w:space="1" w:color="auto"/>
          <w:bottom w:val="single" w:sz="4" w:space="1" w:color="auto"/>
          <w:right w:val="single" w:sz="4" w:space="1" w:color="auto"/>
        </w:pBdr>
        <w:shd w:val="clear" w:color="auto" w:fill="B8CCE4" w:themeFill="accent1" w:themeFillTint="66"/>
      </w:pPr>
      <w:r>
        <w:rPr>
          <w:rFonts w:eastAsia="Calibri"/>
        </w:rPr>
        <w:t>How else could the merits of the different options be compared?</w:t>
      </w:r>
    </w:p>
    <w:p w14:paraId="090DA474" w14:textId="77777777" w:rsidR="007A0E13" w:rsidRPr="0008580A" w:rsidRDefault="007A0E13" w:rsidP="006C6C78">
      <w:pPr>
        <w:rPr>
          <w:rFonts w:eastAsia="Calibri"/>
        </w:rPr>
        <w:sectPr w:rsidR="007A0E13" w:rsidRPr="0008580A" w:rsidSect="00F3009D">
          <w:headerReference w:type="first" r:id="rId56"/>
          <w:footerReference w:type="first" r:id="rId57"/>
          <w:pgSz w:w="11900" w:h="16840"/>
          <w:pgMar w:top="1440" w:right="1800" w:bottom="1440" w:left="1800" w:header="708" w:footer="708" w:gutter="0"/>
          <w:cols w:space="708"/>
          <w:titlePg/>
          <w:docGrid w:linePitch="360"/>
        </w:sectPr>
      </w:pPr>
    </w:p>
    <w:p w14:paraId="6B6AB155" w14:textId="77777777" w:rsidR="00C8259C" w:rsidRPr="0008580A" w:rsidRDefault="00C82423" w:rsidP="00B52871">
      <w:pPr>
        <w:pStyle w:val="Heading1"/>
      </w:pPr>
      <w:bookmarkStart w:id="30" w:name="_Toc441733987"/>
      <w:r w:rsidRPr="0008580A">
        <w:t>I</w:t>
      </w:r>
      <w:r w:rsidR="00E510D1">
        <w:t xml:space="preserve">mplementation and </w:t>
      </w:r>
      <w:r w:rsidR="00CF314F">
        <w:t>evaluation</w:t>
      </w:r>
      <w:bookmarkEnd w:id="30"/>
    </w:p>
    <w:p w14:paraId="7721F6BF" w14:textId="77777777" w:rsidR="00C8259C" w:rsidRPr="0008580A" w:rsidRDefault="00C8259C" w:rsidP="00BA50A4">
      <w:pPr>
        <w:pStyle w:val="Heading2"/>
        <w:numPr>
          <w:ilvl w:val="1"/>
          <w:numId w:val="14"/>
        </w:numPr>
      </w:pPr>
      <w:bookmarkStart w:id="31" w:name="_Toc259739061"/>
      <w:bookmarkStart w:id="32" w:name="_Toc441733988"/>
      <w:r w:rsidRPr="0008580A">
        <w:t>Implementation</w:t>
      </w:r>
      <w:bookmarkEnd w:id="31"/>
      <w:r w:rsidR="00CF314F">
        <w:t xml:space="preserve"> plan</w:t>
      </w:r>
      <w:bookmarkEnd w:id="32"/>
    </w:p>
    <w:p w14:paraId="6D03FABD" w14:textId="77777777" w:rsidR="00CF314F" w:rsidRDefault="00CF314F" w:rsidP="00E510D1">
      <w:pPr>
        <w:pStyle w:val="Body"/>
        <w:rPr>
          <w:rFonts w:eastAsia="Calibri"/>
        </w:rPr>
      </w:pPr>
      <w:r>
        <w:rPr>
          <w:rFonts w:eastAsia="Calibri"/>
        </w:rPr>
        <w:t>The following implementation plan has been developed to support implementation. It recognises that the proposed fee increases retain the current licence structures and mechanism, and that the proposed increases apply to 2016/17 and 2017/18, after which the fee regulations will sunset and be subject to a larger review.</w:t>
      </w:r>
    </w:p>
    <w:p w14:paraId="4CB72084" w14:textId="77777777" w:rsidR="00CF314F" w:rsidRDefault="00CF314F" w:rsidP="00CF314F">
      <w:pPr>
        <w:pStyle w:val="TableTitle"/>
        <w:rPr>
          <w:rFonts w:eastAsia="Calibri"/>
        </w:rPr>
      </w:pPr>
      <w:r>
        <w:rPr>
          <w:rFonts w:eastAsia="Calibri"/>
        </w:rPr>
        <w:t>Figure 5A – Implementation plan</w:t>
      </w:r>
    </w:p>
    <w:tbl>
      <w:tblPr>
        <w:tblStyle w:val="TableGrid"/>
        <w:tblW w:w="0" w:type="auto"/>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694"/>
        <w:gridCol w:w="5714"/>
      </w:tblGrid>
      <w:tr w:rsidR="00CF314F" w:rsidRPr="00CF314F" w14:paraId="57B0DA0C" w14:textId="77777777" w:rsidTr="00CF314F">
        <w:tc>
          <w:tcPr>
            <w:tcW w:w="2694" w:type="dxa"/>
            <w:shd w:val="clear" w:color="auto" w:fill="1F497D" w:themeFill="text2"/>
          </w:tcPr>
          <w:p w14:paraId="28674B89" w14:textId="77777777" w:rsidR="00CF314F" w:rsidRPr="00CF314F" w:rsidRDefault="00CF314F" w:rsidP="00CF314F">
            <w:pPr>
              <w:rPr>
                <w:b/>
                <w:color w:val="FFFFFF" w:themeColor="background1"/>
                <w:sz w:val="18"/>
                <w:szCs w:val="18"/>
              </w:rPr>
            </w:pPr>
            <w:r w:rsidRPr="00CF314F">
              <w:rPr>
                <w:b/>
                <w:color w:val="FFFFFF" w:themeColor="background1"/>
                <w:sz w:val="18"/>
                <w:szCs w:val="18"/>
              </w:rPr>
              <w:t>Issue</w:t>
            </w:r>
          </w:p>
        </w:tc>
        <w:tc>
          <w:tcPr>
            <w:tcW w:w="5714" w:type="dxa"/>
            <w:shd w:val="clear" w:color="auto" w:fill="1F497D" w:themeFill="text2"/>
          </w:tcPr>
          <w:p w14:paraId="1DC9899C" w14:textId="77777777" w:rsidR="00CF314F" w:rsidRPr="00CF314F" w:rsidRDefault="00CF314F" w:rsidP="00CF314F">
            <w:pPr>
              <w:rPr>
                <w:color w:val="FFFFFF" w:themeColor="background1"/>
                <w:sz w:val="18"/>
                <w:szCs w:val="18"/>
              </w:rPr>
            </w:pPr>
            <w:r w:rsidRPr="00CF314F">
              <w:rPr>
                <w:b/>
                <w:color w:val="FFFFFF" w:themeColor="background1"/>
                <w:sz w:val="18"/>
                <w:szCs w:val="18"/>
              </w:rPr>
              <w:t>Relevant information</w:t>
            </w:r>
          </w:p>
        </w:tc>
      </w:tr>
      <w:tr w:rsidR="00CF314F" w14:paraId="202CEBC7" w14:textId="77777777" w:rsidTr="00CF314F">
        <w:tc>
          <w:tcPr>
            <w:tcW w:w="2694" w:type="dxa"/>
          </w:tcPr>
          <w:p w14:paraId="36A9D6ED" w14:textId="77777777" w:rsidR="00CF314F" w:rsidRPr="00CF314F" w:rsidRDefault="00CF314F" w:rsidP="00CF314F">
            <w:pPr>
              <w:pStyle w:val="TableText"/>
              <w:rPr>
                <w:rFonts w:ascii="Arial" w:hAnsi="Arial" w:cs="Arial"/>
                <w:sz w:val="18"/>
                <w:szCs w:val="18"/>
              </w:rPr>
            </w:pPr>
            <w:r w:rsidRPr="00CF314F">
              <w:rPr>
                <w:rFonts w:ascii="Arial" w:hAnsi="Arial" w:cs="Arial"/>
                <w:sz w:val="18"/>
                <w:szCs w:val="18"/>
              </w:rPr>
              <w:t>Communication with regulated entities</w:t>
            </w:r>
          </w:p>
        </w:tc>
        <w:tc>
          <w:tcPr>
            <w:tcW w:w="5714" w:type="dxa"/>
          </w:tcPr>
          <w:p w14:paraId="2CA71066" w14:textId="77777777" w:rsidR="00CF314F" w:rsidRPr="00CF314F" w:rsidRDefault="00CF314F" w:rsidP="00CF314F">
            <w:pPr>
              <w:pStyle w:val="Body"/>
              <w:rPr>
                <w:sz w:val="18"/>
                <w:szCs w:val="18"/>
              </w:rPr>
            </w:pPr>
            <w:r w:rsidRPr="00CF314F">
              <w:rPr>
                <w:sz w:val="18"/>
                <w:szCs w:val="18"/>
              </w:rPr>
              <w:t>Fisheries Victoria will prov</w:t>
            </w:r>
            <w:r>
              <w:rPr>
                <w:sz w:val="18"/>
                <w:szCs w:val="18"/>
              </w:rPr>
              <w:t>ide</w:t>
            </w:r>
            <w:r w:rsidRPr="00CF314F">
              <w:rPr>
                <w:sz w:val="18"/>
                <w:szCs w:val="18"/>
              </w:rPr>
              <w:t xml:space="preserve"> relevant information to interested parties ahead of the changes through existing channels. This will include notices to sales agents, information on the department website, </w:t>
            </w:r>
            <w:r>
              <w:rPr>
                <w:sz w:val="18"/>
                <w:szCs w:val="18"/>
              </w:rPr>
              <w:t xml:space="preserve">communications with key sector representatives </w:t>
            </w:r>
            <w:r w:rsidRPr="00CF314F">
              <w:rPr>
                <w:sz w:val="18"/>
                <w:szCs w:val="18"/>
              </w:rPr>
              <w:t>an</w:t>
            </w:r>
            <w:r w:rsidR="006A57B2">
              <w:rPr>
                <w:sz w:val="18"/>
                <w:szCs w:val="18"/>
              </w:rPr>
              <w:t>d in printed material regularly</w:t>
            </w:r>
            <w:r w:rsidRPr="00CF314F">
              <w:rPr>
                <w:sz w:val="18"/>
                <w:szCs w:val="18"/>
              </w:rPr>
              <w:t xml:space="preserve"> provided to the sector.</w:t>
            </w:r>
          </w:p>
        </w:tc>
      </w:tr>
      <w:tr w:rsidR="00CF314F" w:rsidRPr="00621C3F" w14:paraId="4C369257" w14:textId="77777777" w:rsidTr="00CF314F">
        <w:tc>
          <w:tcPr>
            <w:tcW w:w="2694" w:type="dxa"/>
          </w:tcPr>
          <w:p w14:paraId="765DF925" w14:textId="77777777" w:rsidR="00CF314F" w:rsidRPr="00CF314F" w:rsidRDefault="00CF314F" w:rsidP="00CF314F">
            <w:pPr>
              <w:pStyle w:val="TableText"/>
              <w:rPr>
                <w:rFonts w:ascii="Arial" w:hAnsi="Arial" w:cs="Arial"/>
                <w:sz w:val="18"/>
                <w:szCs w:val="18"/>
              </w:rPr>
            </w:pPr>
            <w:r w:rsidRPr="00CF314F">
              <w:rPr>
                <w:rFonts w:ascii="Arial" w:hAnsi="Arial" w:cs="Arial"/>
                <w:sz w:val="18"/>
                <w:szCs w:val="18"/>
              </w:rPr>
              <w:t>Transitioning to the new regime</w:t>
            </w:r>
          </w:p>
        </w:tc>
        <w:tc>
          <w:tcPr>
            <w:tcW w:w="5714" w:type="dxa"/>
          </w:tcPr>
          <w:p w14:paraId="0E2C0811" w14:textId="77777777" w:rsidR="00CF314F" w:rsidRDefault="00B40D16" w:rsidP="00CF314F">
            <w:pPr>
              <w:pStyle w:val="Body"/>
              <w:rPr>
                <w:sz w:val="18"/>
                <w:szCs w:val="18"/>
              </w:rPr>
            </w:pPr>
            <w:r>
              <w:rPr>
                <w:sz w:val="18"/>
                <w:szCs w:val="18"/>
              </w:rPr>
              <w:t>Ideally, all fees should be expressed in terms of fee units as defined under the Monetary Units Act. This allows the value of a fee unit to be determined each year in accordance with the annual rate determined by the Treasurer. This in effect provides for automatic indexation of fees amounts to allow for inflation as well as considerations of efficiency of services.</w:t>
            </w:r>
          </w:p>
          <w:p w14:paraId="4A3E1EF6" w14:textId="77777777" w:rsidR="00B40D16" w:rsidRPr="00CF314F" w:rsidRDefault="00B40D16" w:rsidP="00CF314F">
            <w:pPr>
              <w:pStyle w:val="Body"/>
              <w:rPr>
                <w:sz w:val="18"/>
                <w:szCs w:val="18"/>
              </w:rPr>
            </w:pPr>
            <w:r>
              <w:rPr>
                <w:sz w:val="18"/>
                <w:szCs w:val="18"/>
              </w:rPr>
              <w:t>The proposed amendments co</w:t>
            </w:r>
            <w:r w:rsidR="00FA730F">
              <w:rPr>
                <w:sz w:val="18"/>
                <w:szCs w:val="18"/>
              </w:rPr>
              <w:t>n</w:t>
            </w:r>
            <w:r>
              <w:rPr>
                <w:sz w:val="18"/>
                <w:szCs w:val="18"/>
              </w:rPr>
              <w:t xml:space="preserve">vert the RFL fees to fee units. However, fees cannot be set at less than 1 fee unit, and the proposed fee amount for the </w:t>
            </w:r>
            <w:r w:rsidR="00DB0D26">
              <w:rPr>
                <w:sz w:val="18"/>
                <w:szCs w:val="18"/>
              </w:rPr>
              <w:t>3</w:t>
            </w:r>
            <w:r>
              <w:rPr>
                <w:sz w:val="18"/>
                <w:szCs w:val="18"/>
              </w:rPr>
              <w:t xml:space="preserve"> day licence is less than the current value of a fee unit. It is therefore proposed that the conversion to fee unit</w:t>
            </w:r>
            <w:r w:rsidR="00FA730F">
              <w:rPr>
                <w:sz w:val="18"/>
                <w:szCs w:val="18"/>
              </w:rPr>
              <w:t>s</w:t>
            </w:r>
            <w:r>
              <w:rPr>
                <w:sz w:val="18"/>
                <w:szCs w:val="18"/>
              </w:rPr>
              <w:t xml:space="preserve"> be delayed until 2017/18 to provide a transition, after which time the </w:t>
            </w:r>
            <w:r w:rsidR="00DB0D26">
              <w:rPr>
                <w:sz w:val="18"/>
                <w:szCs w:val="18"/>
              </w:rPr>
              <w:t>3</w:t>
            </w:r>
            <w:r>
              <w:rPr>
                <w:sz w:val="18"/>
                <w:szCs w:val="18"/>
              </w:rPr>
              <w:t xml:space="preserve"> day licence will be set at 1 fee unit.</w:t>
            </w:r>
          </w:p>
        </w:tc>
      </w:tr>
      <w:tr w:rsidR="00CF314F" w:rsidRPr="00621C3F" w14:paraId="36D73212" w14:textId="77777777" w:rsidTr="00CF314F">
        <w:tc>
          <w:tcPr>
            <w:tcW w:w="2694" w:type="dxa"/>
          </w:tcPr>
          <w:p w14:paraId="6498FEAD" w14:textId="77777777" w:rsidR="00CF314F" w:rsidRPr="00CF314F" w:rsidRDefault="00CF314F" w:rsidP="00CF314F">
            <w:pPr>
              <w:pStyle w:val="TableText"/>
              <w:rPr>
                <w:rFonts w:ascii="Arial" w:hAnsi="Arial" w:cs="Arial"/>
                <w:sz w:val="18"/>
                <w:szCs w:val="18"/>
              </w:rPr>
            </w:pPr>
            <w:r w:rsidRPr="00CF314F">
              <w:rPr>
                <w:rFonts w:ascii="Arial" w:hAnsi="Arial" w:cs="Arial"/>
                <w:sz w:val="18"/>
                <w:szCs w:val="18"/>
              </w:rPr>
              <w:t>Achieving compliance</w:t>
            </w:r>
          </w:p>
        </w:tc>
        <w:tc>
          <w:tcPr>
            <w:tcW w:w="5714" w:type="dxa"/>
          </w:tcPr>
          <w:p w14:paraId="5C6F2257" w14:textId="77777777" w:rsidR="00CF314F" w:rsidRPr="00CF314F" w:rsidRDefault="00CF314F" w:rsidP="00CF314F">
            <w:pPr>
              <w:pStyle w:val="Body"/>
              <w:rPr>
                <w:sz w:val="18"/>
                <w:szCs w:val="18"/>
              </w:rPr>
            </w:pPr>
            <w:r w:rsidRPr="00CF314F">
              <w:rPr>
                <w:sz w:val="18"/>
                <w:szCs w:val="18"/>
              </w:rPr>
              <w:t xml:space="preserve">There are sound enforcement mechanisms in place for the collection of licence fees, as the payments must be made prior to issuing a licence and there are monthly reconciliations against authorised licence sales. </w:t>
            </w:r>
            <w:r>
              <w:rPr>
                <w:sz w:val="18"/>
                <w:szCs w:val="18"/>
              </w:rPr>
              <w:t>FV</w:t>
            </w:r>
            <w:r w:rsidRPr="00CF314F">
              <w:rPr>
                <w:sz w:val="18"/>
                <w:szCs w:val="18"/>
              </w:rPr>
              <w:t>, therefore, does not expect any enforcement issues associated with the collection of fees per se.</w:t>
            </w:r>
          </w:p>
          <w:p w14:paraId="2E85483C" w14:textId="77777777" w:rsidR="00CF314F" w:rsidRPr="00CF314F" w:rsidRDefault="00CF314F" w:rsidP="00CF314F">
            <w:pPr>
              <w:pStyle w:val="Body"/>
              <w:rPr>
                <w:sz w:val="18"/>
                <w:szCs w:val="18"/>
              </w:rPr>
            </w:pPr>
            <w:r w:rsidRPr="00CF314F">
              <w:rPr>
                <w:sz w:val="18"/>
                <w:szCs w:val="18"/>
              </w:rPr>
              <w:t>However, there remains scope for people to avoid obtaining a licence altogether, or obtain a licence based upon false information. Therefore, the proposed Regulations include a number of new provisions to assist in minimising avoidance.</w:t>
            </w:r>
          </w:p>
          <w:p w14:paraId="4A30FD76" w14:textId="77777777" w:rsidR="00CF314F" w:rsidRPr="00CF314F" w:rsidRDefault="00CF314F" w:rsidP="00CF314F">
            <w:pPr>
              <w:pStyle w:val="Body"/>
              <w:rPr>
                <w:sz w:val="18"/>
                <w:szCs w:val="18"/>
              </w:rPr>
            </w:pPr>
            <w:r w:rsidRPr="00CF314F">
              <w:rPr>
                <w:sz w:val="18"/>
                <w:szCs w:val="18"/>
              </w:rPr>
              <w:t>These new provisions include:</w:t>
            </w:r>
          </w:p>
          <w:p w14:paraId="547885A3" w14:textId="77777777" w:rsidR="00CF314F" w:rsidRPr="00CF314F" w:rsidRDefault="00086411" w:rsidP="00CF314F">
            <w:pPr>
              <w:pStyle w:val="TableBullet"/>
              <w:rPr>
                <w:rFonts w:ascii="Arial" w:hAnsi="Arial" w:cs="Arial"/>
                <w:sz w:val="18"/>
                <w:szCs w:val="18"/>
              </w:rPr>
            </w:pPr>
            <w:r>
              <w:rPr>
                <w:rFonts w:ascii="Arial" w:hAnsi="Arial" w:cs="Arial"/>
                <w:sz w:val="18"/>
                <w:szCs w:val="18"/>
              </w:rPr>
              <w:t>i</w:t>
            </w:r>
            <w:r w:rsidR="00CF314F" w:rsidRPr="00CF314F">
              <w:rPr>
                <w:rFonts w:ascii="Arial" w:hAnsi="Arial" w:cs="Arial"/>
                <w:sz w:val="18"/>
                <w:szCs w:val="18"/>
              </w:rPr>
              <w:t>f requested, require authorised outlets to return all recreational fishery licences that have not been issued</w:t>
            </w:r>
          </w:p>
          <w:p w14:paraId="2EAB9C07" w14:textId="77777777" w:rsidR="00CF314F" w:rsidRPr="00CF314F" w:rsidRDefault="00086411" w:rsidP="00CF314F">
            <w:pPr>
              <w:pStyle w:val="TableBullet"/>
              <w:rPr>
                <w:rFonts w:ascii="Arial" w:hAnsi="Arial" w:cs="Arial"/>
                <w:sz w:val="18"/>
                <w:szCs w:val="18"/>
              </w:rPr>
            </w:pPr>
            <w:r>
              <w:rPr>
                <w:rFonts w:ascii="Arial" w:hAnsi="Arial" w:cs="Arial"/>
                <w:sz w:val="18"/>
                <w:szCs w:val="18"/>
              </w:rPr>
              <w:t>prohibit licences to be issued bearing a time and date prior to when the licence was purchased.</w:t>
            </w:r>
          </w:p>
          <w:p w14:paraId="088D7BE8" w14:textId="77777777" w:rsidR="00CF314F" w:rsidRPr="00CF314F" w:rsidRDefault="00CF314F" w:rsidP="00CF314F">
            <w:pPr>
              <w:pStyle w:val="Body"/>
              <w:rPr>
                <w:sz w:val="18"/>
                <w:szCs w:val="18"/>
              </w:rPr>
            </w:pPr>
            <w:r w:rsidRPr="00CF314F">
              <w:rPr>
                <w:sz w:val="18"/>
                <w:szCs w:val="18"/>
              </w:rPr>
              <w:t>These new provisions will attract penalties. These penalties have been developed in accordance with the government’s policy.</w:t>
            </w:r>
            <w:r>
              <w:rPr>
                <w:sz w:val="18"/>
                <w:szCs w:val="18"/>
              </w:rPr>
              <w:t xml:space="preserve"> </w:t>
            </w:r>
          </w:p>
        </w:tc>
      </w:tr>
      <w:tr w:rsidR="00CF314F" w:rsidRPr="00621C3F" w14:paraId="7A91DC01" w14:textId="77777777" w:rsidTr="00CF314F">
        <w:tc>
          <w:tcPr>
            <w:tcW w:w="2694" w:type="dxa"/>
          </w:tcPr>
          <w:p w14:paraId="78A8BE9E" w14:textId="77777777" w:rsidR="00CF314F" w:rsidRPr="00CF314F" w:rsidRDefault="00CF314F" w:rsidP="00CF314F">
            <w:pPr>
              <w:pStyle w:val="TableText"/>
              <w:rPr>
                <w:rFonts w:ascii="Arial" w:hAnsi="Arial" w:cs="Arial"/>
                <w:sz w:val="18"/>
                <w:szCs w:val="18"/>
              </w:rPr>
            </w:pPr>
            <w:r w:rsidRPr="00CF314F">
              <w:rPr>
                <w:rFonts w:ascii="Arial" w:hAnsi="Arial" w:cs="Arial"/>
                <w:sz w:val="18"/>
                <w:szCs w:val="18"/>
              </w:rPr>
              <w:t>Establish clear accountabilities between the Department and regulator</w:t>
            </w:r>
          </w:p>
        </w:tc>
        <w:tc>
          <w:tcPr>
            <w:tcW w:w="5714" w:type="dxa"/>
          </w:tcPr>
          <w:p w14:paraId="7CA5AAAE" w14:textId="77777777" w:rsidR="00CF314F" w:rsidRPr="00CF314F" w:rsidRDefault="00CF314F" w:rsidP="00DB3D1A">
            <w:pPr>
              <w:pStyle w:val="TableText"/>
              <w:rPr>
                <w:rFonts w:ascii="Arial" w:hAnsi="Arial" w:cs="Arial"/>
                <w:sz w:val="18"/>
                <w:szCs w:val="18"/>
              </w:rPr>
            </w:pPr>
            <w:r>
              <w:rPr>
                <w:rFonts w:ascii="Arial" w:hAnsi="Arial" w:cs="Arial"/>
                <w:sz w:val="18"/>
                <w:szCs w:val="18"/>
              </w:rPr>
              <w:t>N/A</w:t>
            </w:r>
          </w:p>
        </w:tc>
      </w:tr>
      <w:tr w:rsidR="00CF314F" w:rsidRPr="00621C3F" w14:paraId="18A41247" w14:textId="77777777" w:rsidTr="00CF314F">
        <w:tc>
          <w:tcPr>
            <w:tcW w:w="2694" w:type="dxa"/>
          </w:tcPr>
          <w:p w14:paraId="48B209E0" w14:textId="77777777" w:rsidR="00CF314F" w:rsidRPr="00CF314F" w:rsidRDefault="00CF314F" w:rsidP="00CF314F">
            <w:pPr>
              <w:pStyle w:val="TableText"/>
              <w:rPr>
                <w:rFonts w:ascii="Arial" w:hAnsi="Arial" w:cs="Arial"/>
                <w:sz w:val="18"/>
                <w:szCs w:val="18"/>
              </w:rPr>
            </w:pPr>
            <w:r w:rsidRPr="00CF314F">
              <w:rPr>
                <w:rFonts w:ascii="Arial" w:hAnsi="Arial" w:cs="Arial"/>
                <w:sz w:val="18"/>
                <w:szCs w:val="18"/>
              </w:rPr>
              <w:t>Implementation risks and monitoring</w:t>
            </w:r>
          </w:p>
        </w:tc>
        <w:tc>
          <w:tcPr>
            <w:tcW w:w="5714" w:type="dxa"/>
          </w:tcPr>
          <w:p w14:paraId="7131A56C" w14:textId="77777777" w:rsidR="00CF314F" w:rsidRPr="00CF314F" w:rsidRDefault="00CF314F" w:rsidP="00BB3288">
            <w:pPr>
              <w:pStyle w:val="TableText"/>
              <w:rPr>
                <w:rFonts w:ascii="Arial" w:hAnsi="Arial" w:cs="Arial"/>
                <w:sz w:val="18"/>
                <w:szCs w:val="18"/>
              </w:rPr>
            </w:pPr>
            <w:r>
              <w:rPr>
                <w:rFonts w:ascii="Arial" w:hAnsi="Arial" w:cs="Arial"/>
                <w:sz w:val="18"/>
                <w:szCs w:val="18"/>
              </w:rPr>
              <w:t xml:space="preserve">DEDJTR will be responsible for </w:t>
            </w:r>
            <w:r w:rsidRPr="00CF314F">
              <w:rPr>
                <w:rFonts w:ascii="Arial" w:hAnsi="Arial" w:cs="Arial"/>
                <w:sz w:val="18"/>
                <w:szCs w:val="18"/>
              </w:rPr>
              <w:t>monitor</w:t>
            </w:r>
            <w:r>
              <w:rPr>
                <w:rFonts w:ascii="Arial" w:hAnsi="Arial" w:cs="Arial"/>
                <w:sz w:val="18"/>
                <w:szCs w:val="18"/>
              </w:rPr>
              <w:t>ing</w:t>
            </w:r>
            <w:r w:rsidRPr="00CF314F">
              <w:rPr>
                <w:rFonts w:ascii="Arial" w:hAnsi="Arial" w:cs="Arial"/>
                <w:sz w:val="18"/>
                <w:szCs w:val="18"/>
              </w:rPr>
              <w:t xml:space="preserve"> implementation, track</w:t>
            </w:r>
            <w:r w:rsidR="00BB3288">
              <w:rPr>
                <w:rFonts w:ascii="Arial" w:hAnsi="Arial" w:cs="Arial"/>
                <w:sz w:val="18"/>
                <w:szCs w:val="18"/>
              </w:rPr>
              <w:t>ing</w:t>
            </w:r>
            <w:r w:rsidRPr="00CF314F">
              <w:rPr>
                <w:rFonts w:ascii="Arial" w:hAnsi="Arial" w:cs="Arial"/>
                <w:sz w:val="18"/>
                <w:szCs w:val="18"/>
              </w:rPr>
              <w:t xml:space="preserve"> progress and address</w:t>
            </w:r>
            <w:r w:rsidR="00BB3288">
              <w:rPr>
                <w:rFonts w:ascii="Arial" w:hAnsi="Arial" w:cs="Arial"/>
                <w:sz w:val="18"/>
                <w:szCs w:val="18"/>
              </w:rPr>
              <w:t>ing</w:t>
            </w:r>
            <w:r w:rsidRPr="00CF314F">
              <w:rPr>
                <w:rFonts w:ascii="Arial" w:hAnsi="Arial" w:cs="Arial"/>
                <w:sz w:val="18"/>
                <w:szCs w:val="18"/>
              </w:rPr>
              <w:t xml:space="preserve"> unforeseen implementation issues as they arise. This </w:t>
            </w:r>
            <w:r>
              <w:rPr>
                <w:rFonts w:ascii="Arial" w:hAnsi="Arial" w:cs="Arial"/>
                <w:sz w:val="18"/>
                <w:szCs w:val="18"/>
              </w:rPr>
              <w:t>will</w:t>
            </w:r>
            <w:r w:rsidRPr="00CF314F">
              <w:rPr>
                <w:rFonts w:ascii="Arial" w:hAnsi="Arial" w:cs="Arial"/>
                <w:sz w:val="18"/>
                <w:szCs w:val="18"/>
              </w:rPr>
              <w:t xml:space="preserve"> include ongoing stakeholder engagement during implementation to help identify and manage issues.</w:t>
            </w:r>
          </w:p>
        </w:tc>
      </w:tr>
    </w:tbl>
    <w:p w14:paraId="695DF2F3" w14:textId="77777777" w:rsidR="00595233" w:rsidRDefault="00595233">
      <w:pPr>
        <w:rPr>
          <w:rFonts w:eastAsiaTheme="majorEastAsia"/>
          <w:b/>
          <w:bCs/>
          <w:color w:val="1F497D" w:themeColor="text2"/>
          <w:sz w:val="26"/>
          <w:szCs w:val="26"/>
        </w:rPr>
      </w:pPr>
      <w:bookmarkStart w:id="33" w:name="_Toc441733989"/>
      <w:r>
        <w:br w:type="page"/>
      </w:r>
    </w:p>
    <w:p w14:paraId="543E4737" w14:textId="77777777" w:rsidR="00F40554" w:rsidRDefault="00F40554" w:rsidP="00BA50A4">
      <w:pPr>
        <w:pStyle w:val="Heading2"/>
        <w:numPr>
          <w:ilvl w:val="1"/>
          <w:numId w:val="14"/>
        </w:numPr>
      </w:pPr>
      <w:r w:rsidRPr="0008580A">
        <w:t>E</w:t>
      </w:r>
      <w:r w:rsidR="00CF314F">
        <w:t>valuation</w:t>
      </w:r>
      <w:bookmarkEnd w:id="33"/>
    </w:p>
    <w:p w14:paraId="743EFB3E" w14:textId="77777777" w:rsidR="008F303C" w:rsidRDefault="00F63E9C" w:rsidP="008F303C">
      <w:pPr>
        <w:pStyle w:val="Body"/>
      </w:pPr>
      <w:r>
        <w:t>While the expected impact of these fee increases would ordinarily warrant a detailed evaluation strategy to assess the impact</w:t>
      </w:r>
      <w:r w:rsidR="007269A7">
        <w:t xml:space="preserve"> of the fee increases, t</w:t>
      </w:r>
      <w:r w:rsidR="00C91998">
        <w:t xml:space="preserve">he Department notes that the Regulations that are to be amended </w:t>
      </w:r>
      <w:r w:rsidR="007269A7">
        <w:t xml:space="preserve">by these proposed changes themselves </w:t>
      </w:r>
      <w:r w:rsidR="00C91998">
        <w:t xml:space="preserve">sunset in </w:t>
      </w:r>
      <w:r w:rsidR="00C653C0">
        <w:t xml:space="preserve">January </w:t>
      </w:r>
      <w:r w:rsidR="00C91998">
        <w:t xml:space="preserve">2018, and </w:t>
      </w:r>
      <w:r w:rsidR="003D3E76">
        <w:t xml:space="preserve">the entire RFL arrangements </w:t>
      </w:r>
      <w:r w:rsidR="00C91998">
        <w:t xml:space="preserve">will be subject to a detailed assessment process </w:t>
      </w:r>
      <w:r w:rsidR="003D3E76">
        <w:t>prior to</w:t>
      </w:r>
      <w:r w:rsidR="00C653C0">
        <w:t xml:space="preserve"> that date</w:t>
      </w:r>
      <w:r w:rsidR="00C91998">
        <w:t xml:space="preserve">. </w:t>
      </w:r>
    </w:p>
    <w:p w14:paraId="2F3979CD" w14:textId="77777777" w:rsidR="008F303C" w:rsidRDefault="00620742" w:rsidP="008F303C">
      <w:pPr>
        <w:pStyle w:val="Body"/>
        <w:rPr>
          <w:rFonts w:eastAsia="Calibri"/>
        </w:rPr>
      </w:pPr>
      <w:r>
        <w:rPr>
          <w:rFonts w:eastAsia="Calibri"/>
        </w:rPr>
        <w:t xml:space="preserve">Within this context, the impact of the proposed fee increases will be incorporated into the comprehensive review of the Regulations. It is noted that this review must occur during 2017, and therefore a full assessment of </w:t>
      </w:r>
      <w:r w:rsidR="005F076B">
        <w:rPr>
          <w:rFonts w:eastAsia="Calibri"/>
        </w:rPr>
        <w:t xml:space="preserve">price changes from 2016/17 may be limited. </w:t>
      </w:r>
      <w:r w:rsidR="008F303C">
        <w:rPr>
          <w:rFonts w:eastAsia="Calibri"/>
        </w:rPr>
        <w:t xml:space="preserve">To the extent data allows, the Department will use this information and a more detailed policy analysis to assess the required longer term RFL revenue. </w:t>
      </w:r>
    </w:p>
    <w:p w14:paraId="4B02861D" w14:textId="77777777" w:rsidR="008F303C" w:rsidRPr="00B31FA2" w:rsidRDefault="008F303C" w:rsidP="001B004E">
      <w:pPr>
        <w:pStyle w:val="Body"/>
      </w:pPr>
      <w:r>
        <w:rPr>
          <w:rFonts w:eastAsia="Calibri"/>
        </w:rPr>
        <w:t>The Department is already</w:t>
      </w:r>
      <w:r w:rsidRPr="00746067">
        <w:t xml:space="preserve"> </w:t>
      </w:r>
      <w:r w:rsidRPr="00DC1373">
        <w:t xml:space="preserve">undertaking evaluation of social and economic benefits of previous investment in improving recreational fishing opportunities in Victoria including, for example, improving the efficiency and effectiveness of fish stocking and the provision of new or improved infrastructure and facilities. This work is intended to guide future investment decisions for recreational fishing licence revenue to those areas where it can deliver the greatest benefit to the </w:t>
      </w:r>
      <w:r>
        <w:t xml:space="preserve">recreational fishing sector and the </w:t>
      </w:r>
      <w:r w:rsidRPr="00DC1373">
        <w:t>Victorian community</w:t>
      </w:r>
      <w:r>
        <w:t xml:space="preserve"> more broadly</w:t>
      </w:r>
      <w:r w:rsidRPr="00DC1373">
        <w:t xml:space="preserve">. </w:t>
      </w:r>
      <w:r w:rsidR="00721324" w:rsidRPr="00FF2C43">
        <w:rPr>
          <w:color w:val="000000"/>
        </w:rPr>
        <w:t xml:space="preserve">For some individual initiatives and programs funded from the Trust Account there is usually an evaluation component written into the actual project. </w:t>
      </w:r>
      <w:r w:rsidR="00A66BE1">
        <w:rPr>
          <w:color w:val="000000"/>
        </w:rPr>
        <w:t xml:space="preserve">For example, </w:t>
      </w:r>
      <w:r w:rsidR="00721324" w:rsidRPr="00FF2C43">
        <w:rPr>
          <w:color w:val="000000"/>
        </w:rPr>
        <w:t>Fisheries Victoria led projects centred on artificial reefs, fish stocking and inland waterway habitat improvement projects. These evaluations assist in an overall assessment of the benefits of the Trust Account.</w:t>
      </w:r>
      <w:r w:rsidR="001B004E" w:rsidRPr="00FF2C43">
        <w:rPr>
          <w:color w:val="000000"/>
        </w:rPr>
        <w:t xml:space="preserve"> </w:t>
      </w:r>
      <w:r w:rsidRPr="00B31FA2">
        <w:t xml:space="preserve">The Department expects that such evaluation practices will become a </w:t>
      </w:r>
      <w:r w:rsidRPr="00FF2C43">
        <w:rPr>
          <w:rFonts w:eastAsia="Calibri"/>
        </w:rPr>
        <w:t>permanent</w:t>
      </w:r>
      <w:r w:rsidRPr="00B31FA2">
        <w:t xml:space="preserve"> feature of this investment program. </w:t>
      </w:r>
    </w:p>
    <w:p w14:paraId="3ADFDBCE" w14:textId="77777777" w:rsidR="008F303C" w:rsidRDefault="008F303C" w:rsidP="008F303C">
      <w:pPr>
        <w:pStyle w:val="Body"/>
        <w:rPr>
          <w:rFonts w:eastAsia="Calibri"/>
        </w:rPr>
      </w:pPr>
      <w:r>
        <w:rPr>
          <w:rFonts w:eastAsia="Calibri"/>
        </w:rPr>
        <w:t xml:space="preserve">Ahead of the sunsetting of the </w:t>
      </w:r>
      <w:r w:rsidR="001B004E">
        <w:rPr>
          <w:rFonts w:eastAsia="Calibri"/>
        </w:rPr>
        <w:t>fee R</w:t>
      </w:r>
      <w:r>
        <w:rPr>
          <w:rFonts w:eastAsia="Calibri"/>
        </w:rPr>
        <w:t xml:space="preserve">egulations (and parallel consideration of the overall regulatory framework that applies to recreational fishing), Fisheries Victoria intends to undertake a full review of all regulations before they sunset. This review will </w:t>
      </w:r>
      <w:r w:rsidR="003F4873">
        <w:rPr>
          <w:rFonts w:eastAsia="Calibri"/>
        </w:rPr>
        <w:t xml:space="preserve">include consultation with RFL stakeholders and will </w:t>
      </w:r>
      <w:r>
        <w:rPr>
          <w:rFonts w:eastAsia="Calibri"/>
        </w:rPr>
        <w:t>specifically consider:</w:t>
      </w:r>
    </w:p>
    <w:p w14:paraId="39003C70" w14:textId="77777777" w:rsidR="008F303C" w:rsidRDefault="008F303C" w:rsidP="00F97BD4">
      <w:pPr>
        <w:pStyle w:val="Bullet"/>
        <w:rPr>
          <w:rFonts w:eastAsia="Calibri"/>
        </w:rPr>
      </w:pPr>
      <w:r>
        <w:rPr>
          <w:rFonts w:eastAsia="Calibri"/>
        </w:rPr>
        <w:t>the policy principles that will inform future design of RFLs and associated fees, including the case for government regulation and the specific activities funded by fees</w:t>
      </w:r>
    </w:p>
    <w:p w14:paraId="591B5CEB" w14:textId="77777777" w:rsidR="008F303C" w:rsidRDefault="008F303C" w:rsidP="00F97BD4">
      <w:pPr>
        <w:pStyle w:val="Bullet"/>
        <w:rPr>
          <w:rFonts w:eastAsia="Calibri"/>
        </w:rPr>
      </w:pPr>
      <w:r>
        <w:rPr>
          <w:rFonts w:eastAsia="Calibri"/>
        </w:rPr>
        <w:t>a comprehensive analysis of the underlying costs and benefits (both public and private) of the government’s activities related to recreational fishing (administration, managing the sustainability of fishing and promoting the interests of the recreational fishing sector). This will include a more formal assessment of the willingness of recreational fishers to pay for improved recreational fishing opportunities and infrastructure.</w:t>
      </w:r>
      <w:r w:rsidR="001B004E">
        <w:rPr>
          <w:rFonts w:eastAsia="Calibri"/>
        </w:rPr>
        <w:t xml:space="preserve"> The </w:t>
      </w:r>
      <w:r w:rsidR="00654825">
        <w:rPr>
          <w:rFonts w:eastAsia="Calibri"/>
        </w:rPr>
        <w:t>Department</w:t>
      </w:r>
      <w:r w:rsidR="001B004E">
        <w:rPr>
          <w:rFonts w:eastAsia="Calibri"/>
        </w:rPr>
        <w:t xml:space="preserve"> considers that a more detailed </w:t>
      </w:r>
      <w:r w:rsidR="00654825">
        <w:rPr>
          <w:rFonts w:eastAsia="Calibri"/>
        </w:rPr>
        <w:t>measurement</w:t>
      </w:r>
      <w:r w:rsidR="001B004E">
        <w:rPr>
          <w:rFonts w:eastAsia="Calibri"/>
        </w:rPr>
        <w:t xml:space="preserve"> of willingness to pay will draw on people’s experiences with the proposed fee incre</w:t>
      </w:r>
      <w:r w:rsidR="00654825">
        <w:rPr>
          <w:rFonts w:eastAsia="Calibri"/>
        </w:rPr>
        <w:t>ases, and will therefore inform</w:t>
      </w:r>
      <w:r w:rsidR="00A0084A">
        <w:rPr>
          <w:rFonts w:eastAsia="Calibri"/>
        </w:rPr>
        <w:t xml:space="preserve"> an assessment on the impacts of the fee increases.</w:t>
      </w:r>
    </w:p>
    <w:p w14:paraId="09C8811C" w14:textId="77777777" w:rsidR="002F691D" w:rsidRDefault="00B31FA2" w:rsidP="00FF2C43">
      <w:pPr>
        <w:pStyle w:val="Body"/>
        <w:rPr>
          <w:rFonts w:eastAsia="Calibri"/>
        </w:rPr>
      </w:pPr>
      <w:r>
        <w:rPr>
          <w:rFonts w:eastAsia="Calibri"/>
        </w:rPr>
        <w:t xml:space="preserve">Fisheries Victoria will draw on </w:t>
      </w:r>
      <w:r w:rsidR="003F4873">
        <w:rPr>
          <w:rFonts w:eastAsia="Calibri"/>
        </w:rPr>
        <w:t>relevant data and</w:t>
      </w:r>
      <w:r>
        <w:rPr>
          <w:rFonts w:eastAsia="Calibri"/>
        </w:rPr>
        <w:t xml:space="preserve"> analysis to build a </w:t>
      </w:r>
      <w:r w:rsidR="003F4873">
        <w:rPr>
          <w:rFonts w:eastAsia="Calibri"/>
        </w:rPr>
        <w:t>robust</w:t>
      </w:r>
      <w:r>
        <w:rPr>
          <w:rFonts w:eastAsia="Calibri"/>
        </w:rPr>
        <w:t xml:space="preserve"> evidence base</w:t>
      </w:r>
      <w:r w:rsidR="00E70110">
        <w:rPr>
          <w:rFonts w:eastAsia="Calibri"/>
        </w:rPr>
        <w:t>.</w:t>
      </w:r>
      <w:r>
        <w:rPr>
          <w:rFonts w:eastAsia="Calibri"/>
        </w:rPr>
        <w:t xml:space="preserve"> </w:t>
      </w:r>
    </w:p>
    <w:p w14:paraId="6C0DCB90" w14:textId="77777777" w:rsidR="00C653C0" w:rsidRPr="00FF2C43" w:rsidRDefault="008F303C" w:rsidP="00FF2C43">
      <w:pPr>
        <w:pStyle w:val="Body"/>
        <w:rPr>
          <w:rFonts w:eastAsia="Calibri"/>
        </w:rPr>
      </w:pPr>
      <w:r>
        <w:rPr>
          <w:rFonts w:eastAsia="Calibri"/>
        </w:rPr>
        <w:t xml:space="preserve">The Department will closely monitor the impacts of the proposed fee increases over the next two </w:t>
      </w:r>
      <w:r w:rsidRPr="00282D54">
        <w:rPr>
          <w:rFonts w:eastAsia="Calibri"/>
        </w:rPr>
        <w:t>years</w:t>
      </w:r>
      <w:r>
        <w:rPr>
          <w:rFonts w:eastAsia="Calibri"/>
        </w:rPr>
        <w:t xml:space="preserve"> to assist in informing this broader review.</w:t>
      </w:r>
      <w:r w:rsidR="00A0084A">
        <w:rPr>
          <w:rFonts w:eastAsia="Calibri"/>
        </w:rPr>
        <w:t xml:space="preserve"> </w:t>
      </w:r>
      <w:r w:rsidR="00C653C0" w:rsidRPr="00FF2C43">
        <w:rPr>
          <w:rFonts w:eastAsia="Calibri"/>
        </w:rPr>
        <w:t xml:space="preserve">Part of the evaluation strategy </w:t>
      </w:r>
      <w:r w:rsidR="00A3121B" w:rsidRPr="00FF2C43">
        <w:rPr>
          <w:rFonts w:eastAsia="Calibri"/>
        </w:rPr>
        <w:t xml:space="preserve">specific to these proposed fee increases </w:t>
      </w:r>
      <w:r w:rsidR="00C653C0" w:rsidRPr="00FF2C43">
        <w:rPr>
          <w:rFonts w:eastAsia="Calibri"/>
        </w:rPr>
        <w:t xml:space="preserve">will include consulting recreational fishers on the impacts of the new prices on their fishing activities. Fisheries Victoria will consult through the </w:t>
      </w:r>
      <w:r w:rsidR="00A3121B" w:rsidRPr="00FF2C43">
        <w:rPr>
          <w:rFonts w:eastAsia="Calibri"/>
        </w:rPr>
        <w:t>ten</w:t>
      </w:r>
      <w:r w:rsidR="00C653C0" w:rsidRPr="00FF2C43">
        <w:rPr>
          <w:rFonts w:eastAsia="Calibri"/>
        </w:rPr>
        <w:t xml:space="preserve"> regional recreational fishing forums it holds each year, as well as through the Statewide Recreational Fishing Roundtable (SRFR), which meets quarterly. The SRFR provides an opportunity to identify areas of agreement on strategic issues, and aims to facilitate the development of policy options that will assist Fisheries Victoria to achieve its strategic vision. It also provides an opportunity to identify information and knowledge gaps, including research needs.</w:t>
      </w:r>
    </w:p>
    <w:p w14:paraId="68473C96" w14:textId="77777777" w:rsidR="00A3121B" w:rsidRDefault="00A3121B" w:rsidP="00FF2C43">
      <w:pPr>
        <w:pStyle w:val="Body"/>
      </w:pPr>
      <w:r w:rsidRPr="00FF2C43">
        <w:rPr>
          <w:rFonts w:eastAsia="Calibri"/>
        </w:rPr>
        <w:t>In addition</w:t>
      </w:r>
      <w:r>
        <w:t xml:space="preserve">, Fisheries </w:t>
      </w:r>
      <w:r w:rsidR="00282D54">
        <w:t>Victoria</w:t>
      </w:r>
      <w:r>
        <w:t xml:space="preserve"> will </w:t>
      </w:r>
      <w:r w:rsidR="003F4873">
        <w:t xml:space="preserve">continue to </w:t>
      </w:r>
      <w:r>
        <w:t xml:space="preserve">monitor </w:t>
      </w:r>
      <w:r w:rsidR="00282D54">
        <w:t>RFL</w:t>
      </w:r>
      <w:r>
        <w:t xml:space="preserve"> sales to determine</w:t>
      </w:r>
      <w:r w:rsidR="00282D54">
        <w:t>:</w:t>
      </w:r>
    </w:p>
    <w:p w14:paraId="0FEC2847" w14:textId="77777777" w:rsidR="00282D54" w:rsidRDefault="00595233" w:rsidP="00F97BD4">
      <w:pPr>
        <w:pStyle w:val="Bullet"/>
      </w:pPr>
      <w:r>
        <w:t>i</w:t>
      </w:r>
      <w:r w:rsidR="00282D54">
        <w:t>f the actual sales of licences aligns with the projected numbers, including within different licence categories</w:t>
      </w:r>
      <w:r w:rsidR="005B5AF1">
        <w:t xml:space="preserve"> and shifts between licence types, as this may affect the level of revenue and likely demand for associated </w:t>
      </w:r>
      <w:r>
        <w:t>recreational</w:t>
      </w:r>
      <w:r w:rsidR="005B5AF1">
        <w:t xml:space="preserve"> fishing </w:t>
      </w:r>
      <w:r w:rsidR="000F60DD">
        <w:t>initiatives and programs</w:t>
      </w:r>
      <w:r w:rsidR="005B5AF1">
        <w:t xml:space="preserve">, and may inform decisions about </w:t>
      </w:r>
      <w:r w:rsidR="00A4627E">
        <w:t>revenue targets in future years</w:t>
      </w:r>
    </w:p>
    <w:p w14:paraId="71D1E0D7" w14:textId="77777777" w:rsidR="00B20C6F" w:rsidRDefault="00595233" w:rsidP="00F97BD4">
      <w:pPr>
        <w:pStyle w:val="Bullet"/>
      </w:pPr>
      <w:r>
        <w:t>i</w:t>
      </w:r>
      <w:r w:rsidR="00A4627E">
        <w:t xml:space="preserve">f the assumed ongoing shift to online RFL sales meets expectations, which may affect </w:t>
      </w:r>
      <w:r w:rsidR="009B77BD">
        <w:t>revenue</w:t>
      </w:r>
      <w:r w:rsidR="00A4627E">
        <w:t xml:space="preserve"> collected, and also </w:t>
      </w:r>
      <w:r w:rsidR="00084716">
        <w:t>indicate the impacts on sales agents</w:t>
      </w:r>
      <w:r>
        <w:t>.</w:t>
      </w:r>
    </w:p>
    <w:p w14:paraId="1BAB8906" w14:textId="77777777" w:rsidR="00B20C6F" w:rsidRDefault="00B20C6F" w:rsidP="00E510D1">
      <w:pPr>
        <w:pStyle w:val="Body"/>
        <w:sectPr w:rsidR="00B20C6F" w:rsidSect="00F3009D">
          <w:headerReference w:type="even" r:id="rId58"/>
          <w:headerReference w:type="default" r:id="rId59"/>
          <w:footerReference w:type="default" r:id="rId60"/>
          <w:headerReference w:type="first" r:id="rId61"/>
          <w:footerReference w:type="first" r:id="rId62"/>
          <w:pgSz w:w="11900" w:h="16840"/>
          <w:pgMar w:top="1440" w:right="1800" w:bottom="1440" w:left="1800" w:header="708" w:footer="708" w:gutter="0"/>
          <w:cols w:space="708"/>
          <w:titlePg/>
          <w:docGrid w:linePitch="360"/>
        </w:sectPr>
      </w:pPr>
    </w:p>
    <w:p w14:paraId="1EB47AD5" w14:textId="77777777" w:rsidR="00E8235E" w:rsidRPr="00C85B01" w:rsidRDefault="00B43FC9" w:rsidP="0031213A">
      <w:pPr>
        <w:pStyle w:val="Heading1"/>
      </w:pPr>
      <w:bookmarkStart w:id="34" w:name="_Toc441733990"/>
      <w:r w:rsidRPr="0008580A">
        <w:t>C</w:t>
      </w:r>
      <w:r w:rsidR="0031213A">
        <w:t>onsultation</w:t>
      </w:r>
      <w:bookmarkEnd w:id="34"/>
    </w:p>
    <w:p w14:paraId="0CD8F414" w14:textId="77777777" w:rsidR="00332937" w:rsidRPr="0008580A" w:rsidRDefault="003F4873" w:rsidP="0031213A">
      <w:pPr>
        <w:pStyle w:val="Body"/>
      </w:pPr>
      <w:r>
        <w:t>In 2014, a</w:t>
      </w:r>
      <w:r w:rsidR="00332937" w:rsidRPr="0008580A">
        <w:t xml:space="preserve"> Recreational Fishery Licence Stakeholder Reference Group </w:t>
      </w:r>
      <w:r w:rsidR="00987B4B">
        <w:t>provided</w:t>
      </w:r>
      <w:r w:rsidR="00332937" w:rsidRPr="0008580A">
        <w:t xml:space="preserve"> advice regarding </w:t>
      </w:r>
      <w:r w:rsidR="001D3D3D">
        <w:t xml:space="preserve">potential </w:t>
      </w:r>
      <w:r w:rsidR="00332937" w:rsidRPr="0008580A">
        <w:t xml:space="preserve">changes to </w:t>
      </w:r>
      <w:r w:rsidR="00987B4B">
        <w:t>RFL</w:t>
      </w:r>
      <w:r w:rsidR="00332937" w:rsidRPr="0008580A">
        <w:t xml:space="preserve"> pricing and related compliance arrangements.</w:t>
      </w:r>
      <w:r w:rsidR="00987B4B">
        <w:t xml:space="preserve"> </w:t>
      </w:r>
      <w:r w:rsidR="004F2807">
        <w:t xml:space="preserve">Stakeholder </w:t>
      </w:r>
      <w:r w:rsidR="00332937" w:rsidRPr="0008580A">
        <w:t xml:space="preserve">Reference Group membership comprised organisations including, VRFish, </w:t>
      </w:r>
      <w:r w:rsidR="00CE0E9F" w:rsidRPr="0008580A">
        <w:t>Australian Fishing Trade Association, Futurefish Foundation, Boating Industry Association Victoria, Charter Boat Association, Australian Trout Foundation</w:t>
      </w:r>
      <w:r w:rsidR="00924B1A" w:rsidRPr="0008580A">
        <w:t>, Chair State-wide Recreational Fishing Roundtable Forum</w:t>
      </w:r>
      <w:r w:rsidR="00CE0E9F" w:rsidRPr="0008580A">
        <w:t xml:space="preserve"> and a </w:t>
      </w:r>
      <w:r w:rsidR="00BA3AB6">
        <w:t>non-</w:t>
      </w:r>
      <w:r w:rsidR="006A57B2">
        <w:t>DEDJTR</w:t>
      </w:r>
      <w:r w:rsidR="00BA3AB6">
        <w:t xml:space="preserve"> </w:t>
      </w:r>
      <w:r w:rsidR="00CE0E9F" w:rsidRPr="0008580A">
        <w:t xml:space="preserve">fisheries researcher.   </w:t>
      </w:r>
    </w:p>
    <w:p w14:paraId="7A186DAB" w14:textId="77777777" w:rsidR="007B2BDA" w:rsidRDefault="004B1C39" w:rsidP="007B2BDA">
      <w:pPr>
        <w:pStyle w:val="Body"/>
      </w:pPr>
      <w:r>
        <w:t>The valuable advice fro</w:t>
      </w:r>
      <w:r w:rsidR="007B2BDA">
        <w:t>m this group formed the basis of the new fees</w:t>
      </w:r>
      <w:r>
        <w:t xml:space="preserve"> now proposed and the various alternative options considered in this RIS.</w:t>
      </w:r>
      <w:r w:rsidR="00354DFB">
        <w:t xml:space="preserve"> There was broad support among these stakeholders for increasing RFL revenue to better support initiatives and programs for recreational fishers.</w:t>
      </w:r>
      <w:r>
        <w:t xml:space="preserve"> </w:t>
      </w:r>
    </w:p>
    <w:p w14:paraId="16342120" w14:textId="77777777" w:rsidR="00766C9A" w:rsidRDefault="00354DFB" w:rsidP="007B2BDA">
      <w:pPr>
        <w:pStyle w:val="Body"/>
      </w:pPr>
      <w:r>
        <w:t xml:space="preserve">In the preparation of this RIS, views of a </w:t>
      </w:r>
      <w:r w:rsidR="00504B6E">
        <w:t xml:space="preserve">smaller </w:t>
      </w:r>
      <w:r>
        <w:t xml:space="preserve">number of stakeholders </w:t>
      </w:r>
      <w:r w:rsidR="00504B6E">
        <w:t xml:space="preserve">(three fishing </w:t>
      </w:r>
      <w:r w:rsidR="00041CD0">
        <w:t>organisations</w:t>
      </w:r>
      <w:r w:rsidR="00504B6E">
        <w:t xml:space="preserve"> and </w:t>
      </w:r>
      <w:r w:rsidR="00041CD0">
        <w:t>one individual recreational fisher</w:t>
      </w:r>
      <w:r w:rsidR="00026E10">
        <w:t xml:space="preserve">y </w:t>
      </w:r>
      <w:r w:rsidR="000457C5">
        <w:t>researcher</w:t>
      </w:r>
      <w:r w:rsidR="00041CD0">
        <w:t>)</w:t>
      </w:r>
      <w:r w:rsidR="00504B6E">
        <w:t xml:space="preserve"> </w:t>
      </w:r>
      <w:r>
        <w:t>were sought</w:t>
      </w:r>
      <w:r w:rsidR="007179C9">
        <w:t xml:space="preserve">. </w:t>
      </w:r>
      <w:r w:rsidR="00766C9A">
        <w:t>These views included:</w:t>
      </w:r>
    </w:p>
    <w:p w14:paraId="68E78098" w14:textId="77777777" w:rsidR="00354DFB" w:rsidRDefault="00E13265" w:rsidP="00F97BD4">
      <w:pPr>
        <w:pStyle w:val="Bullet"/>
      </w:pPr>
      <w:r>
        <w:t>s</w:t>
      </w:r>
      <w:r w:rsidR="00766C9A">
        <w:t xml:space="preserve">upport for extra revenue available for recreational fishing initiatives in the short term, </w:t>
      </w:r>
      <w:r w:rsidR="00AA6291">
        <w:t>particularly</w:t>
      </w:r>
      <w:r w:rsidR="00195342">
        <w:t xml:space="preserve"> in light of the failure of fee revenue to match CPI increases, </w:t>
      </w:r>
      <w:r w:rsidR="00766C9A">
        <w:t xml:space="preserve">subject to a full review of </w:t>
      </w:r>
      <w:r w:rsidR="00A158F3">
        <w:t>the effectiveness of the program in the longer term</w:t>
      </w:r>
      <w:r w:rsidR="00354DFB">
        <w:t xml:space="preserve"> </w:t>
      </w:r>
    </w:p>
    <w:p w14:paraId="143D3B5C" w14:textId="77777777" w:rsidR="00A158F3" w:rsidRDefault="00E13265" w:rsidP="00F97BD4">
      <w:pPr>
        <w:pStyle w:val="Bullet"/>
      </w:pPr>
      <w:r>
        <w:t>s</w:t>
      </w:r>
      <w:r w:rsidR="00AC365B">
        <w:t>upport for a 3 day licence to replace the current 2 day licence</w:t>
      </w:r>
      <w:r w:rsidR="00B838F1">
        <w:t>, which exists in NSW and supports fishers on long weekends</w:t>
      </w:r>
    </w:p>
    <w:p w14:paraId="0C1B00BB" w14:textId="77777777" w:rsidR="00B838F1" w:rsidRDefault="00E13265" w:rsidP="00F97BD4">
      <w:pPr>
        <w:pStyle w:val="Bullet"/>
      </w:pPr>
      <w:r>
        <w:t>s</w:t>
      </w:r>
      <w:r w:rsidR="006057AA">
        <w:t>upport for a 5 per cent discount on 1 and 3 year licences</w:t>
      </w:r>
      <w:r>
        <w:t xml:space="preserve"> bought online</w:t>
      </w:r>
    </w:p>
    <w:p w14:paraId="02F7C447" w14:textId="77777777" w:rsidR="006057AA" w:rsidRDefault="00E13265" w:rsidP="00F97BD4">
      <w:pPr>
        <w:pStyle w:val="Bullet"/>
      </w:pPr>
      <w:r>
        <w:t>c</w:t>
      </w:r>
      <w:r w:rsidR="006057AA">
        <w:t xml:space="preserve">oncern over increasing the price of a 3 year licence proportionately more than the 1 year licence. Initially, a price of $100 for a 3 year licence was discussed, </w:t>
      </w:r>
      <w:r w:rsidR="007A40E9">
        <w:t xml:space="preserve">however stakeholders considered this was too high compared to the proposed 1 year licence price—this price would mean a 3 year licence would cost 95 per cent of three separate 1 year licences, compared to the current equivalent price being only 90 per cent. </w:t>
      </w:r>
      <w:r w:rsidR="000E028A">
        <w:t>Fisheries Victoria considered the arguments for this and now proposes a 3 year licence price of $95.</w:t>
      </w:r>
    </w:p>
    <w:p w14:paraId="76319010" w14:textId="77777777" w:rsidR="00195342" w:rsidRDefault="00195342" w:rsidP="007B2BDA">
      <w:pPr>
        <w:pStyle w:val="Body"/>
      </w:pPr>
      <w:r>
        <w:t xml:space="preserve">Views were also raised about changes to retailer commissions, however this </w:t>
      </w:r>
      <w:r w:rsidR="00AC365B">
        <w:t>would require change</w:t>
      </w:r>
      <w:r w:rsidR="000457C5">
        <w:t>s</w:t>
      </w:r>
      <w:r w:rsidR="00AC365B">
        <w:t xml:space="preserve"> to the </w:t>
      </w:r>
      <w:r w:rsidR="008F5D89">
        <w:t xml:space="preserve">Fisheries </w:t>
      </w:r>
      <w:r w:rsidR="00AC365B">
        <w:t>Act and is therefore outside the scope of this RIS.</w:t>
      </w:r>
    </w:p>
    <w:p w14:paraId="66709F76" w14:textId="77777777" w:rsidR="007D585D" w:rsidRDefault="00987B4B" w:rsidP="0031213A">
      <w:pPr>
        <w:pStyle w:val="Body"/>
      </w:pPr>
      <w:r>
        <w:t>Fisheries Victoria</w:t>
      </w:r>
      <w:r w:rsidR="007D585D" w:rsidRPr="007D585D">
        <w:t xml:space="preserve"> conducts annual Regional Recreational Fishing Forums (in conjunction with VRFish) to obtain feedback from recreational fishers on their priorities for improving recreational fishing around Victoria. Feedback provided by these forums is used to shape or guide the thinking of Fisheries Victoria on how to best deliver on these stakeholder</w:t>
      </w:r>
      <w:r w:rsidR="00E748B0">
        <w:t>’</w:t>
      </w:r>
      <w:r w:rsidR="007D585D" w:rsidRPr="007D585D">
        <w:t>s</w:t>
      </w:r>
      <w:r w:rsidR="007D585D">
        <w:t xml:space="preserve"> expectations</w:t>
      </w:r>
      <w:r w:rsidR="007D585D" w:rsidRPr="007D585D">
        <w:t>. T</w:t>
      </w:r>
      <w:r w:rsidR="007D585D">
        <w:t>h</w:t>
      </w:r>
      <w:r w:rsidR="007D585D" w:rsidRPr="007D585D">
        <w:t xml:space="preserve">is is also used to guide the deliberations of the Recreational Fishing Grants Working Group, whose role is to provide advice to the Minister (responsible for fisheries) on priorities for the expenditure of RFL Trust Account funds </w:t>
      </w:r>
      <w:r w:rsidR="00E23F6F">
        <w:t>–</w:t>
      </w:r>
      <w:r w:rsidR="007D585D" w:rsidRPr="007D585D">
        <w:t xml:space="preserve"> as g</w:t>
      </w:r>
      <w:r w:rsidR="00E23F6F">
        <w:t xml:space="preserve">overned by section 151B (3)(a) </w:t>
      </w:r>
      <w:r w:rsidR="007D585D" w:rsidRPr="007D585D">
        <w:t>of the</w:t>
      </w:r>
      <w:r w:rsidR="00E23F6F">
        <w:rPr>
          <w:i/>
          <w:iCs/>
        </w:rPr>
        <w:t xml:space="preserve"> Fisheries Act 1995 </w:t>
      </w:r>
      <w:r w:rsidR="007D585D" w:rsidRPr="007D585D">
        <w:t>(i.e. for the purpose of</w:t>
      </w:r>
      <w:r w:rsidR="00E23F6F">
        <w:t xml:space="preserve"> improving recreational fishing</w:t>
      </w:r>
      <w:r w:rsidR="007D585D" w:rsidRPr="007D585D">
        <w:t>)</w:t>
      </w:r>
      <w:r w:rsidR="00E23F6F">
        <w:t>.</w:t>
      </w:r>
    </w:p>
    <w:p w14:paraId="09A26722" w14:textId="77777777" w:rsidR="00B40984" w:rsidRPr="0008580A" w:rsidRDefault="00B40984" w:rsidP="0031213A">
      <w:pPr>
        <w:pStyle w:val="Body"/>
      </w:pPr>
      <w:r w:rsidRPr="0008580A">
        <w:t xml:space="preserve">A primary function of the RIS process is to allow the public to comment on the proposed Regulations before they are finalised. Public input provides valuable information and perspectives and improves the overall quality of regulations. Accordingly, feedback on the proposed Regulations is welcomed and encouraged. </w:t>
      </w:r>
      <w:r w:rsidR="00F20DB2">
        <w:t xml:space="preserve">Feedback is particularly sought from </w:t>
      </w:r>
      <w:r w:rsidR="00B11924" w:rsidRPr="006C36E2">
        <w:t>people that consider they are not represented by the bodies consulted to date. This may include anglers who only fish occasionally, or people that are considering taking up fishing for the first time.</w:t>
      </w:r>
    </w:p>
    <w:p w14:paraId="365B4118" w14:textId="77777777" w:rsidR="00B40984" w:rsidRPr="0008580A" w:rsidRDefault="00B40984" w:rsidP="0031213A">
      <w:pPr>
        <w:pStyle w:val="Body"/>
      </w:pPr>
      <w:r w:rsidRPr="0008580A">
        <w:t xml:space="preserve">The </w:t>
      </w:r>
      <w:r w:rsidRPr="00766AF1">
        <w:t>consultation</w:t>
      </w:r>
      <w:r w:rsidRPr="0008580A">
        <w:t xml:space="preserve"> period for this RIS will be </w:t>
      </w:r>
      <w:r w:rsidR="006C36E2">
        <w:t>35</w:t>
      </w:r>
      <w:r w:rsidR="00B3637B">
        <w:t xml:space="preserve"> </w:t>
      </w:r>
      <w:r w:rsidR="007D2DA8">
        <w:t>days</w:t>
      </w:r>
      <w:r w:rsidRPr="0008580A">
        <w:t xml:space="preserve">, with written comments required by no later than </w:t>
      </w:r>
      <w:r w:rsidR="006C36E2">
        <w:t>5:00 PM on 19 April 2016</w:t>
      </w:r>
      <w:r w:rsidRPr="0008580A">
        <w:t>.</w:t>
      </w:r>
    </w:p>
    <w:p w14:paraId="65DD02F8" w14:textId="77777777" w:rsidR="00C51AE0" w:rsidRPr="0008580A" w:rsidRDefault="00C51AE0" w:rsidP="006C6C78"/>
    <w:p w14:paraId="6AC7C858" w14:textId="77777777" w:rsidR="00EF48F6" w:rsidRPr="0008580A" w:rsidRDefault="00EF48F6" w:rsidP="006C6C78">
      <w:pPr>
        <w:sectPr w:rsidR="00EF48F6" w:rsidRPr="0008580A" w:rsidSect="00F3009D">
          <w:headerReference w:type="even" r:id="rId63"/>
          <w:headerReference w:type="default" r:id="rId64"/>
          <w:headerReference w:type="first" r:id="rId65"/>
          <w:footerReference w:type="first" r:id="rId66"/>
          <w:pgSz w:w="11900" w:h="16840"/>
          <w:pgMar w:top="1440" w:right="1800" w:bottom="1440" w:left="1800" w:header="708" w:footer="708" w:gutter="0"/>
          <w:cols w:space="708"/>
          <w:titlePg/>
          <w:docGrid w:linePitch="360"/>
        </w:sectPr>
      </w:pPr>
    </w:p>
    <w:p w14:paraId="0D5DD986" w14:textId="77777777" w:rsidR="00390C5B" w:rsidRDefault="00390C5B" w:rsidP="00C77710">
      <w:pPr>
        <w:pStyle w:val="Body"/>
        <w:rPr>
          <w:rFonts w:eastAsiaTheme="minorEastAsia"/>
        </w:rPr>
      </w:pPr>
    </w:p>
    <w:p w14:paraId="646E9F67" w14:textId="77777777" w:rsidR="00390C5B" w:rsidRDefault="00390C5B" w:rsidP="00C77710">
      <w:pPr>
        <w:pStyle w:val="Body"/>
        <w:rPr>
          <w:rFonts w:eastAsiaTheme="minorEastAsia"/>
        </w:rPr>
      </w:pPr>
    </w:p>
    <w:p w14:paraId="02E61554" w14:textId="77777777" w:rsidR="00390C5B" w:rsidRDefault="00390C5B" w:rsidP="00C77710">
      <w:pPr>
        <w:pStyle w:val="Body"/>
        <w:rPr>
          <w:rFonts w:eastAsiaTheme="minorEastAsia"/>
        </w:rPr>
      </w:pPr>
    </w:p>
    <w:p w14:paraId="4FCCE200" w14:textId="77777777" w:rsidR="00390C5B" w:rsidRDefault="00390C5B" w:rsidP="00C77710">
      <w:pPr>
        <w:pStyle w:val="Body"/>
        <w:rPr>
          <w:rFonts w:eastAsiaTheme="minorEastAsia"/>
        </w:rPr>
      </w:pPr>
    </w:p>
    <w:p w14:paraId="0206F379" w14:textId="77777777" w:rsidR="00390C5B" w:rsidRDefault="00390C5B" w:rsidP="00C77710">
      <w:pPr>
        <w:pStyle w:val="Body"/>
        <w:rPr>
          <w:rFonts w:eastAsiaTheme="minorEastAsia"/>
        </w:rPr>
      </w:pPr>
    </w:p>
    <w:p w14:paraId="5FB7086D" w14:textId="77777777" w:rsidR="00390C5B" w:rsidRDefault="00390C5B" w:rsidP="00C77710">
      <w:pPr>
        <w:pStyle w:val="Body"/>
        <w:rPr>
          <w:rFonts w:eastAsiaTheme="minorEastAsia"/>
        </w:rPr>
      </w:pPr>
    </w:p>
    <w:p w14:paraId="0BCB2288" w14:textId="77777777" w:rsidR="00C77710" w:rsidRDefault="00C77710" w:rsidP="00C77710">
      <w:pPr>
        <w:pStyle w:val="Body"/>
        <w:rPr>
          <w:rFonts w:eastAsiaTheme="minorEastAsia"/>
        </w:rPr>
      </w:pPr>
    </w:p>
    <w:p w14:paraId="0AF8793A" w14:textId="77777777" w:rsidR="00C77710" w:rsidRDefault="00C77710" w:rsidP="00C77710">
      <w:pPr>
        <w:pStyle w:val="Body"/>
        <w:rPr>
          <w:rFonts w:eastAsiaTheme="minorEastAsia"/>
        </w:rPr>
      </w:pPr>
    </w:p>
    <w:p w14:paraId="794F53EC" w14:textId="77777777" w:rsidR="00C77710" w:rsidRDefault="00C77710" w:rsidP="00C77710">
      <w:pPr>
        <w:pStyle w:val="Body"/>
        <w:rPr>
          <w:rFonts w:eastAsiaTheme="minorEastAsia"/>
        </w:rPr>
      </w:pPr>
    </w:p>
    <w:p w14:paraId="73538B3A" w14:textId="77777777" w:rsidR="00390C5B" w:rsidRDefault="00390C5B" w:rsidP="00C77710">
      <w:pPr>
        <w:pStyle w:val="Body"/>
        <w:rPr>
          <w:rFonts w:eastAsiaTheme="minorEastAsia"/>
        </w:rPr>
      </w:pPr>
    </w:p>
    <w:p w14:paraId="67113212" w14:textId="77777777" w:rsidR="000E0CD0" w:rsidRDefault="00184666" w:rsidP="000E0CD0">
      <w:pPr>
        <w:pStyle w:val="HeadingA"/>
        <w:rPr>
          <w:rFonts w:eastAsiaTheme="minorEastAsia"/>
        </w:rPr>
      </w:pPr>
      <w:bookmarkStart w:id="35" w:name="_Toc441733991"/>
      <w:r>
        <w:rPr>
          <w:rFonts w:eastAsiaTheme="minorEastAsia"/>
        </w:rPr>
        <w:t>Attachments</w:t>
      </w:r>
      <w:bookmarkEnd w:id="35"/>
    </w:p>
    <w:p w14:paraId="19BABC13" w14:textId="77777777" w:rsidR="003E35A0" w:rsidRDefault="003E35A0" w:rsidP="006C6C78"/>
    <w:p w14:paraId="2BCDEF15" w14:textId="77777777" w:rsidR="003E35A0" w:rsidRDefault="003E35A0" w:rsidP="006C6C78">
      <w:pPr>
        <w:sectPr w:rsidR="003E35A0" w:rsidSect="00F3009D">
          <w:headerReference w:type="first" r:id="rId67"/>
          <w:footerReference w:type="first" r:id="rId68"/>
          <w:pgSz w:w="11900" w:h="16840"/>
          <w:pgMar w:top="1440" w:right="1800" w:bottom="1440" w:left="1800" w:header="708" w:footer="708" w:gutter="0"/>
          <w:cols w:space="708"/>
          <w:titlePg/>
          <w:docGrid w:linePitch="360"/>
        </w:sectPr>
      </w:pPr>
    </w:p>
    <w:p w14:paraId="1659CBBA" w14:textId="77777777" w:rsidR="000E0CD0" w:rsidRPr="0008580A" w:rsidRDefault="000E0CD0" w:rsidP="000E0CD0">
      <w:pPr>
        <w:pStyle w:val="HB"/>
      </w:pPr>
      <w:bookmarkStart w:id="36" w:name="_Toc441733992"/>
      <w:r w:rsidRPr="00A64EEB">
        <w:rPr>
          <w:rFonts w:eastAsiaTheme="minorEastAsia"/>
        </w:rPr>
        <w:t>Attachment</w:t>
      </w:r>
      <w:r>
        <w:t xml:space="preserve"> </w:t>
      </w:r>
      <w:r w:rsidR="00390C5B">
        <w:t>A</w:t>
      </w:r>
      <w:r w:rsidRPr="0008580A">
        <w:t>: R</w:t>
      </w:r>
      <w:r>
        <w:t>ecreational Fisheries Licence fees in other jurisdictions</w:t>
      </w:r>
      <w:bookmarkEnd w:id="36"/>
    </w:p>
    <w:tbl>
      <w:tblPr>
        <w:tblStyle w:val="ColorfulList-Accent3"/>
        <w:tblW w:w="14283" w:type="dxa"/>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4A0" w:firstRow="1" w:lastRow="0" w:firstColumn="1" w:lastColumn="0" w:noHBand="0" w:noVBand="1"/>
      </w:tblPr>
      <w:tblGrid>
        <w:gridCol w:w="1384"/>
        <w:gridCol w:w="2552"/>
        <w:gridCol w:w="7512"/>
        <w:gridCol w:w="2835"/>
      </w:tblGrid>
      <w:tr w:rsidR="00EF48F6" w:rsidRPr="0008580A" w14:paraId="16B06886" w14:textId="77777777" w:rsidTr="00390C5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84" w:type="dxa"/>
            <w:tcBorders>
              <w:bottom w:val="none" w:sz="0" w:space="0" w:color="auto"/>
            </w:tcBorders>
            <w:shd w:val="clear" w:color="auto" w:fill="1F497D" w:themeFill="text2"/>
            <w:tcMar>
              <w:top w:w="85" w:type="dxa"/>
              <w:bottom w:w="85" w:type="dxa"/>
            </w:tcMar>
            <w:hideMark/>
          </w:tcPr>
          <w:p w14:paraId="0DE962E9" w14:textId="77777777" w:rsidR="00EF48F6" w:rsidRPr="00390C5B" w:rsidRDefault="002E4757" w:rsidP="006C6C78">
            <w:pPr>
              <w:rPr>
                <w:color w:val="auto"/>
                <w:sz w:val="18"/>
                <w:szCs w:val="18"/>
                <w:lang w:eastAsia="en-AU"/>
              </w:rPr>
            </w:pPr>
            <w:r w:rsidRPr="00390C5B">
              <w:rPr>
                <w:sz w:val="18"/>
                <w:szCs w:val="18"/>
                <w:lang w:eastAsia="en-AU"/>
              </w:rPr>
              <w:t>Jurisdiction</w:t>
            </w:r>
          </w:p>
        </w:tc>
        <w:tc>
          <w:tcPr>
            <w:tcW w:w="2552" w:type="dxa"/>
            <w:tcBorders>
              <w:bottom w:val="none" w:sz="0" w:space="0" w:color="auto"/>
            </w:tcBorders>
            <w:shd w:val="clear" w:color="auto" w:fill="1F497D" w:themeFill="text2"/>
            <w:tcMar>
              <w:top w:w="85" w:type="dxa"/>
              <w:bottom w:w="85" w:type="dxa"/>
            </w:tcMar>
          </w:tcPr>
          <w:p w14:paraId="4D842AEF" w14:textId="77777777" w:rsidR="00EF48F6" w:rsidRPr="00390C5B" w:rsidRDefault="00EF48F6" w:rsidP="006C6C78">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eastAsia="en-AU"/>
              </w:rPr>
            </w:pPr>
            <w:r w:rsidRPr="00390C5B">
              <w:rPr>
                <w:sz w:val="18"/>
                <w:szCs w:val="18"/>
                <w:lang w:eastAsia="en-AU"/>
              </w:rPr>
              <w:t>Licence prices</w:t>
            </w:r>
          </w:p>
        </w:tc>
        <w:tc>
          <w:tcPr>
            <w:tcW w:w="7512" w:type="dxa"/>
            <w:tcBorders>
              <w:bottom w:val="none" w:sz="0" w:space="0" w:color="auto"/>
            </w:tcBorders>
            <w:shd w:val="clear" w:color="auto" w:fill="1F497D" w:themeFill="text2"/>
            <w:tcMar>
              <w:top w:w="85" w:type="dxa"/>
              <w:bottom w:w="85" w:type="dxa"/>
            </w:tcMar>
          </w:tcPr>
          <w:p w14:paraId="626FE5B1" w14:textId="77777777" w:rsidR="00EF48F6" w:rsidRPr="00390C5B" w:rsidRDefault="008432C9" w:rsidP="006C6C78">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eastAsia="en-AU"/>
              </w:rPr>
            </w:pPr>
            <w:r w:rsidRPr="00390C5B">
              <w:rPr>
                <w:sz w:val="18"/>
                <w:szCs w:val="18"/>
                <w:lang w:eastAsia="en-AU"/>
              </w:rPr>
              <w:t>Exemptions/Concessions</w:t>
            </w:r>
          </w:p>
        </w:tc>
        <w:tc>
          <w:tcPr>
            <w:tcW w:w="2835" w:type="dxa"/>
            <w:tcBorders>
              <w:bottom w:val="none" w:sz="0" w:space="0" w:color="auto"/>
            </w:tcBorders>
            <w:shd w:val="clear" w:color="auto" w:fill="1F497D" w:themeFill="text2"/>
            <w:tcMar>
              <w:top w:w="85" w:type="dxa"/>
              <w:bottom w:w="85" w:type="dxa"/>
            </w:tcMar>
          </w:tcPr>
          <w:p w14:paraId="79CBB374" w14:textId="77777777" w:rsidR="00EF48F6" w:rsidRPr="00390C5B" w:rsidRDefault="00EF48F6" w:rsidP="006C6C78">
            <w:pPr>
              <w:cnfStyle w:val="100000000000" w:firstRow="1" w:lastRow="0" w:firstColumn="0" w:lastColumn="0" w:oddVBand="0" w:evenVBand="0" w:oddHBand="0" w:evenHBand="0" w:firstRowFirstColumn="0" w:firstRowLastColumn="0" w:lastRowFirstColumn="0" w:lastRowLastColumn="0"/>
              <w:rPr>
                <w:b w:val="0"/>
                <w:bCs w:val="0"/>
                <w:color w:val="auto"/>
                <w:sz w:val="18"/>
                <w:szCs w:val="18"/>
                <w:lang w:eastAsia="en-AU"/>
              </w:rPr>
            </w:pPr>
            <w:r w:rsidRPr="00390C5B">
              <w:rPr>
                <w:sz w:val="18"/>
                <w:szCs w:val="18"/>
                <w:lang w:eastAsia="en-AU"/>
              </w:rPr>
              <w:t>Other</w:t>
            </w:r>
          </w:p>
        </w:tc>
      </w:tr>
      <w:tr w:rsidR="00EF48F6" w:rsidRPr="0008580A" w14:paraId="0A27A8C0" w14:textId="77777777" w:rsidTr="00390C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08A68811" w14:textId="77777777" w:rsidR="00EF48F6" w:rsidRPr="00390C5B" w:rsidRDefault="00EF48F6" w:rsidP="006C6C78">
            <w:pPr>
              <w:rPr>
                <w:bCs w:val="0"/>
                <w:color w:val="auto"/>
                <w:sz w:val="18"/>
                <w:szCs w:val="18"/>
                <w:lang w:eastAsia="en-AU"/>
              </w:rPr>
            </w:pPr>
            <w:r w:rsidRPr="00390C5B">
              <w:rPr>
                <w:sz w:val="18"/>
                <w:szCs w:val="18"/>
                <w:lang w:eastAsia="en-AU"/>
              </w:rPr>
              <w:t>NSW</w:t>
            </w:r>
          </w:p>
        </w:tc>
        <w:tc>
          <w:tcPr>
            <w:tcW w:w="2552" w:type="dxa"/>
            <w:shd w:val="clear" w:color="auto" w:fill="auto"/>
            <w:tcMar>
              <w:top w:w="85" w:type="dxa"/>
              <w:bottom w:w="85" w:type="dxa"/>
            </w:tcMar>
          </w:tcPr>
          <w:p w14:paraId="77BEAE2B" w14:textId="77777777" w:rsidR="00EF48F6" w:rsidRPr="00390C5B" w:rsidRDefault="00EF48F6"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390C5B">
              <w:rPr>
                <w:sz w:val="18"/>
                <w:szCs w:val="18"/>
                <w:lang w:eastAsia="en-US"/>
              </w:rPr>
              <w:t>$7 - 3 days</w:t>
            </w:r>
          </w:p>
          <w:p w14:paraId="692C9816" w14:textId="77777777" w:rsidR="00EF48F6" w:rsidRPr="00390C5B" w:rsidRDefault="00EF48F6"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390C5B">
              <w:rPr>
                <w:sz w:val="18"/>
                <w:szCs w:val="18"/>
                <w:lang w:eastAsia="en-US"/>
              </w:rPr>
              <w:t>$14 - 1 month</w:t>
            </w:r>
          </w:p>
          <w:p w14:paraId="6ED3768E" w14:textId="77777777" w:rsidR="00EF48F6" w:rsidRPr="00390C5B" w:rsidRDefault="00EF48F6"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390C5B">
              <w:rPr>
                <w:sz w:val="18"/>
                <w:szCs w:val="18"/>
                <w:lang w:eastAsia="en-US"/>
              </w:rPr>
              <w:t>$35 - 1 year</w:t>
            </w:r>
          </w:p>
          <w:p w14:paraId="41781B60" w14:textId="77777777" w:rsidR="00EF48F6" w:rsidRPr="00390C5B" w:rsidRDefault="00EF48F6"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390C5B">
              <w:rPr>
                <w:sz w:val="18"/>
                <w:szCs w:val="18"/>
                <w:lang w:eastAsia="en-US"/>
              </w:rPr>
              <w:t>$85 - 3 years</w:t>
            </w:r>
          </w:p>
          <w:p w14:paraId="37BEFA08" w14:textId="77777777" w:rsidR="00EF48F6" w:rsidRPr="00390C5B" w:rsidRDefault="00EF48F6"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tc>
        <w:tc>
          <w:tcPr>
            <w:tcW w:w="7512" w:type="dxa"/>
            <w:shd w:val="clear" w:color="auto" w:fill="auto"/>
            <w:tcMar>
              <w:top w:w="85" w:type="dxa"/>
              <w:bottom w:w="85" w:type="dxa"/>
            </w:tcMar>
          </w:tcPr>
          <w:p w14:paraId="348ADBAD" w14:textId="77777777" w:rsidR="008747C0" w:rsidRPr="009376E8" w:rsidRDefault="002D2532"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Persons under the age of 18</w:t>
            </w:r>
          </w:p>
          <w:p w14:paraId="4E1A3C5C" w14:textId="77777777" w:rsidR="008747C0"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adult</w:t>
            </w:r>
            <w:r w:rsidR="003C0145" w:rsidRPr="009376E8">
              <w:rPr>
                <w:sz w:val="18"/>
                <w:szCs w:val="18"/>
                <w:lang w:eastAsia="en-US"/>
              </w:rPr>
              <w:t>s</w:t>
            </w:r>
            <w:r w:rsidRPr="009376E8">
              <w:rPr>
                <w:sz w:val="18"/>
                <w:szCs w:val="18"/>
                <w:lang w:eastAsia="en-US"/>
              </w:rPr>
              <w:t xml:space="preserve"> assisting a person under the age of 18 to take a fish using a single rod or to take prawns </w:t>
            </w:r>
            <w:r w:rsidR="002D2532" w:rsidRPr="009376E8">
              <w:rPr>
                <w:sz w:val="18"/>
                <w:szCs w:val="18"/>
                <w:lang w:eastAsia="en-US"/>
              </w:rPr>
              <w:t>using a single dip or scoop net</w:t>
            </w:r>
          </w:p>
          <w:p w14:paraId="5F8A7E52" w14:textId="77777777" w:rsidR="008747C0"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person</w:t>
            </w:r>
            <w:r w:rsidR="00FB6120" w:rsidRPr="009376E8">
              <w:rPr>
                <w:sz w:val="18"/>
                <w:szCs w:val="18"/>
                <w:lang w:eastAsia="en-US"/>
              </w:rPr>
              <w:t>s</w:t>
            </w:r>
            <w:r w:rsidRPr="009376E8">
              <w:rPr>
                <w:sz w:val="18"/>
                <w:szCs w:val="18"/>
                <w:lang w:eastAsia="en-US"/>
              </w:rPr>
              <w:t xml:space="preserve"> fishing in a private dam with a surface area of two hectar</w:t>
            </w:r>
            <w:r w:rsidR="002D2532" w:rsidRPr="009376E8">
              <w:rPr>
                <w:sz w:val="18"/>
                <w:szCs w:val="18"/>
                <w:lang w:eastAsia="en-US"/>
              </w:rPr>
              <w:t>es or less</w:t>
            </w:r>
          </w:p>
          <w:p w14:paraId="5F1CF504" w14:textId="77777777" w:rsidR="008747C0" w:rsidRPr="009376E8" w:rsidRDefault="00FB6120"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a</w:t>
            </w:r>
            <w:r w:rsidR="00EF48F6" w:rsidRPr="009376E8">
              <w:rPr>
                <w:sz w:val="18"/>
                <w:szCs w:val="18"/>
                <w:lang w:eastAsia="en-US"/>
              </w:rPr>
              <w:t>n Aboriginal person</w:t>
            </w:r>
          </w:p>
          <w:p w14:paraId="74F08380" w14:textId="77777777" w:rsidR="00EF48F6" w:rsidRPr="009376E8" w:rsidRDefault="00FB6120"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the holder of a</w:t>
            </w:r>
            <w:r w:rsidR="00EF48F6" w:rsidRPr="009376E8">
              <w:rPr>
                <w:sz w:val="18"/>
                <w:szCs w:val="18"/>
                <w:lang w:eastAsia="en-US"/>
              </w:rPr>
              <w:t xml:space="preserve"> </w:t>
            </w:r>
            <w:r w:rsidR="008747C0" w:rsidRPr="009376E8">
              <w:rPr>
                <w:sz w:val="18"/>
                <w:szCs w:val="18"/>
                <w:lang w:eastAsia="en-US"/>
              </w:rPr>
              <w:t xml:space="preserve">Centrelink </w:t>
            </w:r>
            <w:r w:rsidRPr="009376E8">
              <w:rPr>
                <w:sz w:val="18"/>
                <w:szCs w:val="18"/>
                <w:lang w:eastAsia="en-US"/>
              </w:rPr>
              <w:t xml:space="preserve">Pensioner Concession Card </w:t>
            </w:r>
          </w:p>
          <w:p w14:paraId="49F1B8AA" w14:textId="77777777" w:rsidR="00EF48F6"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 xml:space="preserve">current Pensioner Concession Card issued by the </w:t>
            </w:r>
            <w:r w:rsidR="008747C0" w:rsidRPr="009376E8">
              <w:rPr>
                <w:sz w:val="18"/>
                <w:szCs w:val="18"/>
                <w:lang w:eastAsia="en-US"/>
              </w:rPr>
              <w:t>Department of Veterans' Affairs</w:t>
            </w:r>
          </w:p>
          <w:p w14:paraId="594632A4" w14:textId="77777777" w:rsidR="00EF48F6"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Commonwealth Department of Veterans' Affairs Gold Treatment Card endorsed "Totally and Permanently</w:t>
            </w:r>
            <w:r w:rsidR="008747C0" w:rsidRPr="009376E8">
              <w:rPr>
                <w:sz w:val="18"/>
                <w:szCs w:val="18"/>
                <w:lang w:eastAsia="en-US"/>
              </w:rPr>
              <w:t xml:space="preserve"> Incapacitated"(TPI)</w:t>
            </w:r>
          </w:p>
          <w:p w14:paraId="75119218" w14:textId="77777777" w:rsidR="00EF48F6"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Commonwealth Department of Veterans' Affairs Gold Treatment Card endorsed "Extrem</w:t>
            </w:r>
            <w:r w:rsidR="008747C0" w:rsidRPr="009376E8">
              <w:rPr>
                <w:sz w:val="18"/>
                <w:szCs w:val="18"/>
                <w:lang w:eastAsia="en-US"/>
              </w:rPr>
              <w:t>e Disablement Adjustment" (EDA)</w:t>
            </w:r>
          </w:p>
          <w:p w14:paraId="3E1E9EBA" w14:textId="77777777" w:rsidR="00EF48F6" w:rsidRPr="009376E8" w:rsidRDefault="00EF48F6"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9376E8">
              <w:rPr>
                <w:sz w:val="18"/>
                <w:szCs w:val="18"/>
                <w:lang w:eastAsia="en-US"/>
              </w:rPr>
              <w:t>letter from the Commonwealth Department of Veterans' Affairs stating that the person receive a disability pension of 70 per cent or higher, or an intermediate pension.</w:t>
            </w:r>
          </w:p>
          <w:p w14:paraId="37BC10B9" w14:textId="77777777" w:rsidR="00EF48F6" w:rsidRPr="009376E8" w:rsidRDefault="00A7526F" w:rsidP="009376E8">
            <w:pPr>
              <w:pStyle w:val="ListParagraph"/>
              <w:numPr>
                <w:ilvl w:val="0"/>
                <w:numId w:val="33"/>
              </w:numPr>
              <w:spacing w:before="20"/>
              <w:ind w:left="318" w:hanging="284"/>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9376E8">
              <w:rPr>
                <w:sz w:val="18"/>
                <w:szCs w:val="18"/>
                <w:lang w:eastAsia="en-US"/>
              </w:rPr>
              <w:t xml:space="preserve">Holders of </w:t>
            </w:r>
            <w:r w:rsidR="00EF48F6" w:rsidRPr="009376E8">
              <w:rPr>
                <w:sz w:val="18"/>
                <w:szCs w:val="18"/>
                <w:lang w:eastAsia="en-US"/>
              </w:rPr>
              <w:t xml:space="preserve">Senior's Cards, Health Care Cards and Repatriation Health Cards </w:t>
            </w:r>
            <w:r w:rsidRPr="009376E8">
              <w:rPr>
                <w:sz w:val="18"/>
                <w:szCs w:val="18"/>
                <w:lang w:eastAsia="en-US"/>
              </w:rPr>
              <w:t>do</w:t>
            </w:r>
            <w:r w:rsidR="00EF48F6" w:rsidRPr="009376E8">
              <w:rPr>
                <w:sz w:val="18"/>
                <w:szCs w:val="18"/>
                <w:lang w:eastAsia="en-US"/>
              </w:rPr>
              <w:t xml:space="preserve"> not </w:t>
            </w:r>
            <w:r w:rsidRPr="009376E8">
              <w:rPr>
                <w:sz w:val="18"/>
                <w:szCs w:val="18"/>
                <w:lang w:eastAsia="en-US"/>
              </w:rPr>
              <w:t xml:space="preserve">receive </w:t>
            </w:r>
            <w:r w:rsidR="00EF48F6" w:rsidRPr="009376E8">
              <w:rPr>
                <w:sz w:val="18"/>
                <w:szCs w:val="18"/>
                <w:lang w:eastAsia="en-US"/>
              </w:rPr>
              <w:t>exempt</w:t>
            </w:r>
            <w:r w:rsidRPr="009376E8">
              <w:rPr>
                <w:sz w:val="18"/>
                <w:szCs w:val="18"/>
                <w:lang w:eastAsia="en-US"/>
              </w:rPr>
              <w:t>ion</w:t>
            </w:r>
            <w:r w:rsidR="00EF48F6" w:rsidRPr="009376E8">
              <w:rPr>
                <w:sz w:val="18"/>
                <w:szCs w:val="18"/>
                <w:lang w:eastAsia="en-US"/>
              </w:rPr>
              <w:t>.</w:t>
            </w:r>
          </w:p>
        </w:tc>
        <w:tc>
          <w:tcPr>
            <w:tcW w:w="2835" w:type="dxa"/>
            <w:shd w:val="clear" w:color="auto" w:fill="auto"/>
            <w:tcMar>
              <w:top w:w="85" w:type="dxa"/>
              <w:bottom w:w="85" w:type="dxa"/>
            </w:tcMar>
          </w:tcPr>
          <w:p w14:paraId="44DA6A2A" w14:textId="77777777" w:rsidR="00EF48F6" w:rsidRPr="00390C5B" w:rsidRDefault="003C0145"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US"/>
              </w:rPr>
            </w:pPr>
            <w:r w:rsidRPr="00390C5B">
              <w:rPr>
                <w:sz w:val="18"/>
                <w:szCs w:val="18"/>
              </w:rPr>
              <w:t>All money raised by the NSW Recreational Fishing Fee is placed into the Recreational Fishing Trusts and spent on improving recreational fishing in NSW.</w:t>
            </w:r>
          </w:p>
        </w:tc>
      </w:tr>
      <w:tr w:rsidR="00514CB8" w:rsidRPr="0008580A" w14:paraId="3001B077" w14:textId="77777777" w:rsidTr="00390C5B">
        <w:trPr>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2E8178E9" w14:textId="77777777" w:rsidR="00514CB8" w:rsidRPr="00390C5B" w:rsidRDefault="00514CB8" w:rsidP="006C6C78">
            <w:pPr>
              <w:rPr>
                <w:bCs w:val="0"/>
                <w:color w:val="auto"/>
                <w:sz w:val="18"/>
                <w:szCs w:val="18"/>
                <w:lang w:eastAsia="en-AU"/>
              </w:rPr>
            </w:pPr>
            <w:r w:rsidRPr="00390C5B">
              <w:rPr>
                <w:sz w:val="18"/>
                <w:szCs w:val="18"/>
                <w:lang w:eastAsia="en-AU"/>
              </w:rPr>
              <w:t>Western Australia</w:t>
            </w:r>
          </w:p>
        </w:tc>
        <w:tc>
          <w:tcPr>
            <w:tcW w:w="2552" w:type="dxa"/>
            <w:shd w:val="clear" w:color="auto" w:fill="auto"/>
            <w:tcMar>
              <w:top w:w="85" w:type="dxa"/>
              <w:bottom w:w="85" w:type="dxa"/>
            </w:tcMar>
          </w:tcPr>
          <w:p w14:paraId="38084E19"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All licences are for 1 year.</w:t>
            </w:r>
          </w:p>
          <w:p w14:paraId="31A8EB8D"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Recreational Fishing from Boat - $30.00</w:t>
            </w:r>
          </w:p>
          <w:p w14:paraId="38614B3A"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Rock Lobster - $40.00</w:t>
            </w:r>
          </w:p>
          <w:p w14:paraId="078FC318"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Abalone - $40.00</w:t>
            </w:r>
          </w:p>
          <w:p w14:paraId="313C2D16"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Marron - $40.00</w:t>
            </w:r>
          </w:p>
          <w:p w14:paraId="6C9A75C3"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Freshwater Angling - $40.00</w:t>
            </w:r>
          </w:p>
          <w:p w14:paraId="7CA4B2B2"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 xml:space="preserve">Net Fishing (set, haul, throw) - $40.00 </w:t>
            </w:r>
          </w:p>
          <w:p w14:paraId="5568566A"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a 10 per cent discount applies for more than 1 licence per transaction.</w:t>
            </w:r>
          </w:p>
        </w:tc>
        <w:tc>
          <w:tcPr>
            <w:tcW w:w="7512" w:type="dxa"/>
            <w:shd w:val="clear" w:color="auto" w:fill="auto"/>
            <w:tcMar>
              <w:top w:w="85" w:type="dxa"/>
              <w:bottom w:w="85" w:type="dxa"/>
            </w:tcMar>
          </w:tcPr>
          <w:p w14:paraId="1EC8152C"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Half fees apply for persons:</w:t>
            </w:r>
          </w:p>
          <w:p w14:paraId="7CE10BB4"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(a) under the age of 16 years</w:t>
            </w:r>
          </w:p>
          <w:p w14:paraId="608AE69C"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(b) who hold a Seniors Card issued by the Office of Seniors Interests</w:t>
            </w:r>
          </w:p>
          <w:p w14:paraId="4BBDD001"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(c) who receive:</w:t>
            </w:r>
          </w:p>
          <w:p w14:paraId="4BE18E54"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 xml:space="preserve">(i) an </w:t>
            </w:r>
            <w:r w:rsidRPr="00390C5B">
              <w:rPr>
                <w:sz w:val="18"/>
                <w:szCs w:val="18"/>
                <w:lang w:eastAsia="en-US"/>
              </w:rPr>
              <w:t>age, disability support or widows pension or allowance under the Social Security Act 1991 of the Commonwealth;</w:t>
            </w:r>
          </w:p>
          <w:p w14:paraId="271E0FCC"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US"/>
              </w:rPr>
              <w:t>(ii) a pension under the Coal Industry Superannuation Act 1989;</w:t>
            </w:r>
          </w:p>
          <w:p w14:paraId="4750D26F"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US"/>
              </w:rPr>
              <w:t>(iii) a pension as a widow of a member of the forces, a service pension or the special rate of pension as a person who is totally and permanently incapacitated, under the Veterans Entitle</w:t>
            </w:r>
            <w:r w:rsidRPr="00390C5B">
              <w:rPr>
                <w:sz w:val="18"/>
                <w:szCs w:val="18"/>
                <w:lang w:eastAsia="en-AU"/>
              </w:rPr>
              <w:t>ments Act 1986 of the Commonwealth; or</w:t>
            </w:r>
          </w:p>
          <w:p w14:paraId="02A5D78D" w14:textId="77777777" w:rsidR="00514CB8" w:rsidRDefault="00514CB8" w:rsidP="006C6C78">
            <w:pPr>
              <w:cnfStyle w:val="000000000000" w:firstRow="0" w:lastRow="0" w:firstColumn="0" w:lastColumn="0" w:oddVBand="0" w:evenVBand="0" w:oddHBand="0" w:evenHBand="0" w:firstRowFirstColumn="0" w:firstRowLastColumn="0" w:lastRowFirstColumn="0" w:lastRowLastColumn="0"/>
              <w:rPr>
                <w:sz w:val="18"/>
                <w:szCs w:val="18"/>
                <w:lang w:eastAsia="en-AU"/>
              </w:rPr>
            </w:pPr>
            <w:r w:rsidRPr="00390C5B">
              <w:rPr>
                <w:sz w:val="18"/>
                <w:szCs w:val="18"/>
                <w:lang w:eastAsia="en-AU"/>
              </w:rPr>
              <w:t>(d) who are the spouse, de facto partner, widow or widower of a person referred to in paragraph (c), or if who were the de facto partner of a person referred to in paragraph (c) immediately before their death.</w:t>
            </w:r>
          </w:p>
          <w:p w14:paraId="2F4AECED" w14:textId="77777777" w:rsidR="00BB7C06" w:rsidRPr="00390C5B" w:rsidRDefault="00BB7C06"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Pr>
                <w:sz w:val="18"/>
                <w:szCs w:val="18"/>
                <w:lang w:eastAsia="en-AU"/>
              </w:rPr>
              <w:t>Aboriginal people following an aboriginal tradition are exempt for a licence fee</w:t>
            </w:r>
          </w:p>
        </w:tc>
        <w:tc>
          <w:tcPr>
            <w:tcW w:w="2835" w:type="dxa"/>
            <w:shd w:val="clear" w:color="auto" w:fill="auto"/>
            <w:tcMar>
              <w:top w:w="85" w:type="dxa"/>
              <w:bottom w:w="85" w:type="dxa"/>
            </w:tcMar>
          </w:tcPr>
          <w:p w14:paraId="68701C7C" w14:textId="77777777" w:rsidR="00514CB8" w:rsidRPr="00390C5B" w:rsidRDefault="00514CB8"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 xml:space="preserve">All the money generated from recreational fishing licences is reinvested in initiatives that directly benefit </w:t>
            </w:r>
            <w:hyperlink r:id="rId69" w:history="1">
              <w:r w:rsidRPr="00390C5B">
                <w:rPr>
                  <w:sz w:val="18"/>
                  <w:szCs w:val="18"/>
                  <w:lang w:eastAsia="en-AU"/>
                </w:rPr>
                <w:t>recreational fishing in Western Australia</w:t>
              </w:r>
            </w:hyperlink>
            <w:r w:rsidRPr="00390C5B">
              <w:rPr>
                <w:sz w:val="18"/>
                <w:szCs w:val="18"/>
                <w:lang w:eastAsia="en-AU"/>
              </w:rPr>
              <w:t>.</w:t>
            </w:r>
          </w:p>
        </w:tc>
      </w:tr>
      <w:tr w:rsidR="00514CB8" w:rsidRPr="0008580A" w14:paraId="4FF1FCBB" w14:textId="77777777" w:rsidTr="00390C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4BDBA2E4" w14:textId="77777777" w:rsidR="00514CB8" w:rsidRPr="00390C5B" w:rsidRDefault="00514CB8" w:rsidP="006C6C78">
            <w:pPr>
              <w:rPr>
                <w:bCs w:val="0"/>
                <w:color w:val="auto"/>
                <w:sz w:val="18"/>
                <w:szCs w:val="18"/>
                <w:lang w:eastAsia="en-AU"/>
              </w:rPr>
            </w:pPr>
            <w:r w:rsidRPr="00390C5B">
              <w:rPr>
                <w:sz w:val="18"/>
                <w:szCs w:val="18"/>
                <w:lang w:eastAsia="en-AU"/>
              </w:rPr>
              <w:t>Tasmania</w:t>
            </w:r>
          </w:p>
        </w:tc>
        <w:tc>
          <w:tcPr>
            <w:tcW w:w="2552" w:type="dxa"/>
            <w:shd w:val="clear" w:color="auto" w:fill="auto"/>
            <w:tcMar>
              <w:top w:w="85" w:type="dxa"/>
              <w:bottom w:w="85" w:type="dxa"/>
            </w:tcMar>
          </w:tcPr>
          <w:p w14:paraId="4404E09E"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i/>
                <w:sz w:val="18"/>
                <w:szCs w:val="18"/>
                <w:lang w:eastAsia="en-AU"/>
              </w:rPr>
              <w:t>Sea fishing licence</w:t>
            </w:r>
            <w:r w:rsidRPr="00390C5B">
              <w:rPr>
                <w:sz w:val="18"/>
                <w:szCs w:val="18"/>
                <w:lang w:eastAsia="en-AU"/>
              </w:rPr>
              <w:t xml:space="preserve"> (lasts for defined season)</w:t>
            </w:r>
          </w:p>
          <w:p w14:paraId="0A29D46F"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w:t>
            </w:r>
            <w:r w:rsidR="006A57B2">
              <w:rPr>
                <w:sz w:val="18"/>
                <w:szCs w:val="18"/>
                <w:lang w:eastAsia="en-AU"/>
              </w:rPr>
              <w:t>52.85</w:t>
            </w:r>
            <w:r w:rsidRPr="00390C5B">
              <w:rPr>
                <w:sz w:val="18"/>
                <w:szCs w:val="18"/>
                <w:lang w:eastAsia="en-AU"/>
              </w:rPr>
              <w:t xml:space="preserve"> </w:t>
            </w:r>
          </w:p>
          <w:p w14:paraId="01C7614C"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p w14:paraId="58EC5236"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Inland Fisheries Licence</w:t>
            </w:r>
          </w:p>
          <w:p w14:paraId="7D1AC4E5"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i/>
                <w:color w:val="auto"/>
                <w:sz w:val="18"/>
                <w:szCs w:val="18"/>
                <w:lang w:eastAsia="en-AU"/>
              </w:rPr>
            </w:pPr>
            <w:r w:rsidRPr="00390C5B">
              <w:rPr>
                <w:sz w:val="18"/>
                <w:szCs w:val="18"/>
                <w:lang w:eastAsia="en-AU"/>
              </w:rPr>
              <w:t>Five season, 1 rod $3</w:t>
            </w:r>
            <w:r w:rsidR="006A57B2">
              <w:rPr>
                <w:sz w:val="18"/>
                <w:szCs w:val="18"/>
                <w:lang w:eastAsia="en-AU"/>
              </w:rPr>
              <w:t>51</w:t>
            </w:r>
          </w:p>
          <w:p w14:paraId="07008FE3"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Five season, 2 rods $4</w:t>
            </w:r>
            <w:r w:rsidR="006A57B2">
              <w:rPr>
                <w:sz w:val="18"/>
                <w:szCs w:val="18"/>
                <w:lang w:eastAsia="en-AU"/>
              </w:rPr>
              <w:t>21</w:t>
            </w:r>
          </w:p>
          <w:p w14:paraId="3B9CB355"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Full season, 1 Rod $7</w:t>
            </w:r>
            <w:r w:rsidR="006A57B2">
              <w:rPr>
                <w:sz w:val="18"/>
                <w:szCs w:val="18"/>
                <w:lang w:eastAsia="en-AU"/>
              </w:rPr>
              <w:t>3</w:t>
            </w:r>
            <w:r w:rsidRPr="00390C5B">
              <w:rPr>
                <w:sz w:val="18"/>
                <w:szCs w:val="18"/>
                <w:lang w:eastAsia="en-AU"/>
              </w:rPr>
              <w:t>.50</w:t>
            </w:r>
          </w:p>
          <w:p w14:paraId="0598A2BE"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Full season, 2 rods $</w:t>
            </w:r>
            <w:r w:rsidR="006A57B2">
              <w:rPr>
                <w:sz w:val="18"/>
                <w:szCs w:val="18"/>
                <w:lang w:eastAsia="en-AU"/>
              </w:rPr>
              <w:t>88.50</w:t>
            </w:r>
          </w:p>
          <w:p w14:paraId="4BA804DA"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28 days, 1 rod $5</w:t>
            </w:r>
            <w:r w:rsidR="0053402E">
              <w:rPr>
                <w:sz w:val="18"/>
                <w:szCs w:val="18"/>
                <w:lang w:eastAsia="en-AU"/>
              </w:rPr>
              <w:t>8</w:t>
            </w:r>
            <w:r w:rsidRPr="00390C5B">
              <w:rPr>
                <w:sz w:val="18"/>
                <w:szCs w:val="18"/>
                <w:lang w:eastAsia="en-AU"/>
              </w:rPr>
              <w:t>.50</w:t>
            </w:r>
          </w:p>
          <w:p w14:paraId="07CEF105"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28 days, 2 rods $</w:t>
            </w:r>
            <w:r w:rsidR="0053402E">
              <w:rPr>
                <w:sz w:val="18"/>
                <w:szCs w:val="18"/>
                <w:lang w:eastAsia="en-AU"/>
              </w:rPr>
              <w:t>66.00</w:t>
            </w:r>
          </w:p>
          <w:p w14:paraId="29010DC8"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7 days, 1 rod $3</w:t>
            </w:r>
            <w:r w:rsidR="0053402E">
              <w:rPr>
                <w:sz w:val="18"/>
                <w:szCs w:val="18"/>
                <w:lang w:eastAsia="en-AU"/>
              </w:rPr>
              <w:t>7</w:t>
            </w:r>
            <w:r w:rsidRPr="00390C5B">
              <w:rPr>
                <w:sz w:val="18"/>
                <w:szCs w:val="18"/>
                <w:lang w:eastAsia="en-AU"/>
              </w:rPr>
              <w:t>.50</w:t>
            </w:r>
          </w:p>
          <w:p w14:paraId="287A77A4"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7 days, 2 rods $</w:t>
            </w:r>
            <w:r w:rsidR="0053402E">
              <w:rPr>
                <w:sz w:val="18"/>
                <w:szCs w:val="18"/>
                <w:lang w:eastAsia="en-AU"/>
              </w:rPr>
              <w:t>45.00</w:t>
            </w:r>
          </w:p>
          <w:p w14:paraId="7D4C9B14"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48 hours, 1 rod $2</w:t>
            </w:r>
            <w:r w:rsidR="0053402E">
              <w:rPr>
                <w:sz w:val="18"/>
                <w:szCs w:val="18"/>
                <w:lang w:eastAsia="en-AU"/>
              </w:rPr>
              <w:t>2</w:t>
            </w:r>
            <w:r w:rsidRPr="00390C5B">
              <w:rPr>
                <w:sz w:val="18"/>
                <w:szCs w:val="18"/>
                <w:lang w:eastAsia="en-AU"/>
              </w:rPr>
              <w:t>.50</w:t>
            </w:r>
          </w:p>
          <w:p w14:paraId="7EE6398F"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48 hours, 2 rods, $</w:t>
            </w:r>
            <w:r w:rsidR="0053402E">
              <w:rPr>
                <w:sz w:val="18"/>
                <w:szCs w:val="18"/>
                <w:lang w:eastAsia="en-AU"/>
              </w:rPr>
              <w:t>30.00</w:t>
            </w:r>
          </w:p>
          <w:p w14:paraId="613B2759"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tc>
        <w:tc>
          <w:tcPr>
            <w:tcW w:w="7512" w:type="dxa"/>
            <w:shd w:val="clear" w:color="auto" w:fill="auto"/>
            <w:tcMar>
              <w:top w:w="85" w:type="dxa"/>
              <w:bottom w:w="85" w:type="dxa"/>
            </w:tcMar>
          </w:tcPr>
          <w:p w14:paraId="356159AC"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w:t>
            </w:r>
            <w:r w:rsidR="006A57B2">
              <w:rPr>
                <w:sz w:val="18"/>
                <w:szCs w:val="18"/>
                <w:lang w:eastAsia="en-AU"/>
              </w:rPr>
              <w:t>30</w:t>
            </w:r>
            <w:r w:rsidRPr="00390C5B">
              <w:rPr>
                <w:sz w:val="18"/>
                <w:szCs w:val="18"/>
                <w:lang w:eastAsia="en-AU"/>
              </w:rPr>
              <w:t>.20 fee for Commonwealth Pension card holders, Government-issued Seniors Card holders and persons under 16 years). Health Care Card holders are not eligible for concession.</w:t>
            </w:r>
          </w:p>
          <w:p w14:paraId="72B9FB3D"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p w14:paraId="63E8589B"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p w14:paraId="639C1F7A"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Pensioners, Seniors and Juveniles received discounted fees</w:t>
            </w:r>
            <w:r w:rsidR="0039101C" w:rsidRPr="00390C5B">
              <w:rPr>
                <w:sz w:val="18"/>
                <w:szCs w:val="18"/>
                <w:lang w:eastAsia="en-AU"/>
              </w:rPr>
              <w:t>.</w:t>
            </w:r>
          </w:p>
          <w:p w14:paraId="77707E1B"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tc>
        <w:tc>
          <w:tcPr>
            <w:tcW w:w="2835" w:type="dxa"/>
            <w:shd w:val="clear" w:color="auto" w:fill="auto"/>
            <w:tcMar>
              <w:top w:w="85" w:type="dxa"/>
              <w:bottom w:w="85" w:type="dxa"/>
            </w:tcMar>
          </w:tcPr>
          <w:p w14:paraId="31A2DC81" w14:textId="77777777" w:rsidR="00514CB8" w:rsidRPr="00390C5B" w:rsidRDefault="00514CB8"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Proceeds from licence fees go to Fishwise Fund which funds activities that improve education and the management of recreational fisheries.</w:t>
            </w:r>
          </w:p>
        </w:tc>
      </w:tr>
      <w:tr w:rsidR="00132433" w:rsidRPr="0008580A" w14:paraId="02EA040F" w14:textId="77777777" w:rsidTr="00390C5B">
        <w:trPr>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117970CC" w14:textId="77777777" w:rsidR="00132433" w:rsidRPr="00390C5B" w:rsidRDefault="00132433" w:rsidP="006C6C78">
            <w:pPr>
              <w:rPr>
                <w:bCs w:val="0"/>
                <w:color w:val="auto"/>
                <w:sz w:val="18"/>
                <w:szCs w:val="18"/>
                <w:lang w:eastAsia="en-AU"/>
              </w:rPr>
            </w:pPr>
            <w:r w:rsidRPr="00390C5B">
              <w:rPr>
                <w:sz w:val="18"/>
                <w:szCs w:val="18"/>
                <w:lang w:eastAsia="en-AU"/>
              </w:rPr>
              <w:t>Queensland</w:t>
            </w:r>
          </w:p>
        </w:tc>
        <w:tc>
          <w:tcPr>
            <w:tcW w:w="10064" w:type="dxa"/>
            <w:gridSpan w:val="2"/>
            <w:shd w:val="clear" w:color="auto" w:fill="auto"/>
            <w:tcMar>
              <w:top w:w="85" w:type="dxa"/>
              <w:bottom w:w="85" w:type="dxa"/>
            </w:tcMar>
          </w:tcPr>
          <w:p w14:paraId="7AE8F3EF" w14:textId="77777777" w:rsidR="00132433" w:rsidRPr="00390C5B" w:rsidRDefault="00132433" w:rsidP="00DF0D7D">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 xml:space="preserve">Anglers do not require a licence to fish recreationally </w:t>
            </w:r>
            <w:r w:rsidR="00DF0D7D" w:rsidRPr="00390C5B">
              <w:rPr>
                <w:sz w:val="18"/>
                <w:szCs w:val="18"/>
                <w:lang w:eastAsia="en-AU"/>
              </w:rPr>
              <w:t xml:space="preserve">across most of </w:t>
            </w:r>
            <w:r w:rsidRPr="00390C5B">
              <w:rPr>
                <w:sz w:val="18"/>
                <w:szCs w:val="18"/>
                <w:lang w:eastAsia="en-AU"/>
              </w:rPr>
              <w:t>Queensland</w:t>
            </w:r>
            <w:r w:rsidR="00DF0D7D" w:rsidRPr="00390C5B">
              <w:rPr>
                <w:sz w:val="18"/>
                <w:szCs w:val="18"/>
                <w:lang w:eastAsia="en-AU"/>
              </w:rPr>
              <w:t>; however, the Stock Impoundment Scheme requires anglers who fish in certain Queensland dams to purchase a permit</w:t>
            </w:r>
            <w:r w:rsidR="009507E9" w:rsidRPr="00390C5B">
              <w:rPr>
                <w:sz w:val="18"/>
                <w:szCs w:val="18"/>
                <w:lang w:eastAsia="en-AU"/>
              </w:rPr>
              <w:t>.</w:t>
            </w:r>
          </w:p>
        </w:tc>
        <w:tc>
          <w:tcPr>
            <w:tcW w:w="2835" w:type="dxa"/>
            <w:shd w:val="clear" w:color="auto" w:fill="auto"/>
            <w:tcMar>
              <w:top w:w="85" w:type="dxa"/>
              <w:bottom w:w="85" w:type="dxa"/>
            </w:tcMar>
          </w:tcPr>
          <w:p w14:paraId="55E31002" w14:textId="77777777" w:rsidR="00132433" w:rsidRPr="00390C5B" w:rsidRDefault="00132433" w:rsidP="006C6C78">
            <w:pPr>
              <w:cnfStyle w:val="000000000000" w:firstRow="0" w:lastRow="0" w:firstColumn="0" w:lastColumn="0" w:oddVBand="0" w:evenVBand="0" w:oddHBand="0" w:evenHBand="0" w:firstRowFirstColumn="0" w:firstRowLastColumn="0" w:lastRowFirstColumn="0" w:lastRowLastColumn="0"/>
              <w:rPr>
                <w:sz w:val="18"/>
                <w:szCs w:val="18"/>
                <w:lang w:eastAsia="en-AU"/>
              </w:rPr>
            </w:pPr>
          </w:p>
        </w:tc>
      </w:tr>
      <w:tr w:rsidR="001772C5" w:rsidRPr="0008580A" w14:paraId="02B4D8CC" w14:textId="77777777" w:rsidTr="00390C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66AA5311" w14:textId="77777777" w:rsidR="001772C5" w:rsidRPr="00390C5B" w:rsidRDefault="001772C5" w:rsidP="006C6C78">
            <w:pPr>
              <w:rPr>
                <w:bCs w:val="0"/>
                <w:color w:val="auto"/>
                <w:sz w:val="18"/>
                <w:szCs w:val="18"/>
                <w:lang w:eastAsia="en-AU"/>
              </w:rPr>
            </w:pPr>
            <w:r w:rsidRPr="00390C5B">
              <w:rPr>
                <w:sz w:val="18"/>
                <w:szCs w:val="18"/>
                <w:lang w:eastAsia="en-AU"/>
              </w:rPr>
              <w:t>South Australia</w:t>
            </w:r>
          </w:p>
        </w:tc>
        <w:tc>
          <w:tcPr>
            <w:tcW w:w="10064" w:type="dxa"/>
            <w:gridSpan w:val="2"/>
            <w:shd w:val="clear" w:color="auto" w:fill="auto"/>
            <w:tcMar>
              <w:top w:w="85" w:type="dxa"/>
              <w:bottom w:w="85" w:type="dxa"/>
            </w:tcMar>
          </w:tcPr>
          <w:p w14:paraId="2F41A60B" w14:textId="77777777" w:rsidR="001772C5" w:rsidRPr="00390C5B" w:rsidRDefault="001772C5"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 xml:space="preserve">No licence </w:t>
            </w:r>
            <w:r w:rsidR="0031794F" w:rsidRPr="00390C5B">
              <w:rPr>
                <w:sz w:val="18"/>
                <w:szCs w:val="18"/>
                <w:lang w:eastAsia="en-AU"/>
              </w:rPr>
              <w:t xml:space="preserve">is </w:t>
            </w:r>
            <w:r w:rsidRPr="00390C5B">
              <w:rPr>
                <w:sz w:val="18"/>
                <w:szCs w:val="18"/>
                <w:lang w:eastAsia="en-AU"/>
              </w:rPr>
              <w:t>required for recreational fishing, although registration is required for rock lobsters</w:t>
            </w:r>
            <w:r w:rsidR="009507E9" w:rsidRPr="00390C5B">
              <w:rPr>
                <w:sz w:val="18"/>
                <w:szCs w:val="18"/>
                <w:lang w:eastAsia="en-AU"/>
              </w:rPr>
              <w:t>.</w:t>
            </w:r>
          </w:p>
        </w:tc>
        <w:tc>
          <w:tcPr>
            <w:tcW w:w="2835" w:type="dxa"/>
            <w:shd w:val="clear" w:color="auto" w:fill="auto"/>
            <w:tcMar>
              <w:top w:w="85" w:type="dxa"/>
              <w:bottom w:w="85" w:type="dxa"/>
            </w:tcMar>
          </w:tcPr>
          <w:p w14:paraId="048BCFF0" w14:textId="77777777" w:rsidR="001772C5" w:rsidRPr="00390C5B" w:rsidRDefault="001772C5"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tc>
      </w:tr>
      <w:tr w:rsidR="00F60EF4" w:rsidRPr="0008580A" w14:paraId="6A0B55AB" w14:textId="77777777" w:rsidTr="00390C5B">
        <w:trPr>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6EEDBCD5" w14:textId="77777777" w:rsidR="00F60EF4" w:rsidRPr="00390C5B" w:rsidRDefault="00F60EF4" w:rsidP="006C6C78">
            <w:pPr>
              <w:rPr>
                <w:bCs w:val="0"/>
                <w:color w:val="auto"/>
                <w:sz w:val="18"/>
                <w:szCs w:val="18"/>
                <w:lang w:eastAsia="en-AU"/>
              </w:rPr>
            </w:pPr>
            <w:r w:rsidRPr="00390C5B">
              <w:rPr>
                <w:sz w:val="18"/>
                <w:szCs w:val="18"/>
                <w:lang w:eastAsia="en-AU"/>
              </w:rPr>
              <w:t>Northern Territory</w:t>
            </w:r>
          </w:p>
        </w:tc>
        <w:tc>
          <w:tcPr>
            <w:tcW w:w="10064" w:type="dxa"/>
            <w:gridSpan w:val="2"/>
            <w:shd w:val="clear" w:color="auto" w:fill="auto"/>
            <w:tcMar>
              <w:top w:w="85" w:type="dxa"/>
              <w:bottom w:w="85" w:type="dxa"/>
            </w:tcMar>
          </w:tcPr>
          <w:p w14:paraId="31723676" w14:textId="77777777" w:rsidR="00F60EF4" w:rsidRPr="00390C5B" w:rsidRDefault="00F60EF4" w:rsidP="006C6C78">
            <w:pPr>
              <w:cnfStyle w:val="000000000000" w:firstRow="0" w:lastRow="0" w:firstColumn="0" w:lastColumn="0" w:oddVBand="0" w:evenVBand="0" w:oddHBand="0" w:evenHBand="0" w:firstRowFirstColumn="0" w:firstRowLastColumn="0" w:lastRowFirstColumn="0" w:lastRowLastColumn="0"/>
              <w:rPr>
                <w:color w:val="auto"/>
                <w:sz w:val="18"/>
                <w:szCs w:val="18"/>
                <w:lang w:eastAsia="en-AU"/>
              </w:rPr>
            </w:pPr>
            <w:r w:rsidRPr="00390C5B">
              <w:rPr>
                <w:sz w:val="18"/>
                <w:szCs w:val="18"/>
                <w:lang w:eastAsia="en-AU"/>
              </w:rPr>
              <w:t>Anglers do not require a recreational fishing licence in the Northern Territory</w:t>
            </w:r>
            <w:r w:rsidR="009507E9" w:rsidRPr="00390C5B">
              <w:rPr>
                <w:sz w:val="18"/>
                <w:szCs w:val="18"/>
                <w:lang w:eastAsia="en-AU"/>
              </w:rPr>
              <w:t>.</w:t>
            </w:r>
          </w:p>
        </w:tc>
        <w:tc>
          <w:tcPr>
            <w:tcW w:w="2835" w:type="dxa"/>
            <w:shd w:val="clear" w:color="auto" w:fill="auto"/>
            <w:tcMar>
              <w:top w:w="85" w:type="dxa"/>
              <w:bottom w:w="85" w:type="dxa"/>
            </w:tcMar>
          </w:tcPr>
          <w:p w14:paraId="05A019D3" w14:textId="77777777" w:rsidR="00F60EF4" w:rsidRPr="00390C5B" w:rsidRDefault="00F60EF4" w:rsidP="006C6C78">
            <w:pPr>
              <w:cnfStyle w:val="000000000000" w:firstRow="0" w:lastRow="0" w:firstColumn="0" w:lastColumn="0" w:oddVBand="0" w:evenVBand="0" w:oddHBand="0" w:evenHBand="0" w:firstRowFirstColumn="0" w:firstRowLastColumn="0" w:lastRowFirstColumn="0" w:lastRowLastColumn="0"/>
              <w:rPr>
                <w:sz w:val="18"/>
                <w:szCs w:val="18"/>
                <w:lang w:eastAsia="en-AU"/>
              </w:rPr>
            </w:pPr>
          </w:p>
        </w:tc>
      </w:tr>
      <w:tr w:rsidR="001238B1" w:rsidRPr="0008580A" w14:paraId="4E5DC2AA" w14:textId="77777777" w:rsidTr="00390C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tcMar>
              <w:top w:w="85" w:type="dxa"/>
              <w:bottom w:w="85" w:type="dxa"/>
            </w:tcMar>
          </w:tcPr>
          <w:p w14:paraId="4FE26CCB" w14:textId="77777777" w:rsidR="001238B1" w:rsidRPr="00390C5B" w:rsidRDefault="001238B1" w:rsidP="006C6C78">
            <w:pPr>
              <w:rPr>
                <w:bCs w:val="0"/>
                <w:color w:val="auto"/>
                <w:sz w:val="18"/>
                <w:szCs w:val="18"/>
                <w:lang w:eastAsia="en-AU"/>
              </w:rPr>
            </w:pPr>
            <w:r w:rsidRPr="00390C5B">
              <w:rPr>
                <w:sz w:val="18"/>
                <w:szCs w:val="18"/>
                <w:lang w:eastAsia="en-AU"/>
              </w:rPr>
              <w:t>ACT</w:t>
            </w:r>
          </w:p>
        </w:tc>
        <w:tc>
          <w:tcPr>
            <w:tcW w:w="10064" w:type="dxa"/>
            <w:gridSpan w:val="2"/>
            <w:shd w:val="clear" w:color="auto" w:fill="auto"/>
            <w:tcMar>
              <w:top w:w="85" w:type="dxa"/>
              <w:bottom w:w="85" w:type="dxa"/>
            </w:tcMar>
          </w:tcPr>
          <w:p w14:paraId="3C748243" w14:textId="77777777" w:rsidR="001238B1" w:rsidRPr="00390C5B" w:rsidRDefault="001238B1" w:rsidP="006C6C78">
            <w:pPr>
              <w:cnfStyle w:val="000000100000" w:firstRow="0" w:lastRow="0" w:firstColumn="0" w:lastColumn="0" w:oddVBand="0" w:evenVBand="0" w:oddHBand="1" w:evenHBand="0" w:firstRowFirstColumn="0" w:firstRowLastColumn="0" w:lastRowFirstColumn="0" w:lastRowLastColumn="0"/>
              <w:rPr>
                <w:color w:val="auto"/>
                <w:sz w:val="18"/>
                <w:szCs w:val="18"/>
                <w:lang w:eastAsia="en-AU"/>
              </w:rPr>
            </w:pPr>
            <w:r w:rsidRPr="00390C5B">
              <w:rPr>
                <w:sz w:val="18"/>
                <w:szCs w:val="18"/>
                <w:lang w:eastAsia="en-AU"/>
              </w:rPr>
              <w:t>Recreational fishing in the public waters of the ACT does not require a licence</w:t>
            </w:r>
            <w:r w:rsidR="009507E9" w:rsidRPr="00390C5B">
              <w:rPr>
                <w:sz w:val="18"/>
                <w:szCs w:val="18"/>
                <w:lang w:eastAsia="en-AU"/>
              </w:rPr>
              <w:t>.</w:t>
            </w:r>
          </w:p>
        </w:tc>
        <w:tc>
          <w:tcPr>
            <w:tcW w:w="2835" w:type="dxa"/>
            <w:shd w:val="clear" w:color="auto" w:fill="auto"/>
            <w:tcMar>
              <w:top w:w="85" w:type="dxa"/>
              <w:bottom w:w="85" w:type="dxa"/>
            </w:tcMar>
          </w:tcPr>
          <w:p w14:paraId="5CB60800" w14:textId="77777777" w:rsidR="001238B1" w:rsidRPr="00390C5B" w:rsidRDefault="001238B1" w:rsidP="006C6C78">
            <w:pPr>
              <w:cnfStyle w:val="000000100000" w:firstRow="0" w:lastRow="0" w:firstColumn="0" w:lastColumn="0" w:oddVBand="0" w:evenVBand="0" w:oddHBand="1" w:evenHBand="0" w:firstRowFirstColumn="0" w:firstRowLastColumn="0" w:lastRowFirstColumn="0" w:lastRowLastColumn="0"/>
              <w:rPr>
                <w:sz w:val="18"/>
                <w:szCs w:val="18"/>
                <w:lang w:eastAsia="en-AU"/>
              </w:rPr>
            </w:pPr>
          </w:p>
        </w:tc>
      </w:tr>
    </w:tbl>
    <w:p w14:paraId="7E01C55A" w14:textId="77777777" w:rsidR="00C51AE0" w:rsidRPr="0008580A" w:rsidRDefault="00C51AE0" w:rsidP="006C6C78"/>
    <w:p w14:paraId="24FD067B" w14:textId="77777777" w:rsidR="00C51AE0" w:rsidRPr="0008580A" w:rsidRDefault="00C51AE0" w:rsidP="006C6C78"/>
    <w:p w14:paraId="19EE6F08" w14:textId="77777777" w:rsidR="00B15F0E" w:rsidRDefault="00B15F0E" w:rsidP="006C6C78">
      <w:pPr>
        <w:sectPr w:rsidR="00B15F0E" w:rsidSect="00F3009D">
          <w:headerReference w:type="even" r:id="rId70"/>
          <w:headerReference w:type="default" r:id="rId71"/>
          <w:footerReference w:type="default" r:id="rId72"/>
          <w:headerReference w:type="first" r:id="rId73"/>
          <w:footerReference w:type="first" r:id="rId74"/>
          <w:pgSz w:w="16840" w:h="11900" w:orient="landscape"/>
          <w:pgMar w:top="1800" w:right="1440" w:bottom="1800" w:left="1440" w:header="708" w:footer="708" w:gutter="0"/>
          <w:cols w:space="708"/>
          <w:titlePg/>
          <w:docGrid w:linePitch="360"/>
        </w:sectPr>
      </w:pPr>
    </w:p>
    <w:p w14:paraId="6B265148" w14:textId="77777777" w:rsidR="00390C5B" w:rsidRDefault="000E0CD0" w:rsidP="00390C5B">
      <w:pPr>
        <w:pStyle w:val="HB"/>
      </w:pPr>
      <w:bookmarkStart w:id="37" w:name="_Toc329001562"/>
      <w:bookmarkStart w:id="38" w:name="_Toc362532353"/>
      <w:bookmarkStart w:id="39" w:name="_Toc441733993"/>
      <w:r w:rsidRPr="00A64EEB">
        <w:rPr>
          <w:rFonts w:eastAsiaTheme="minorEastAsia"/>
        </w:rPr>
        <w:t>Attachment</w:t>
      </w:r>
      <w:r>
        <w:t xml:space="preserve"> </w:t>
      </w:r>
      <w:r w:rsidR="00390C5B">
        <w:t>B</w:t>
      </w:r>
      <w:r>
        <w:t xml:space="preserve">: </w:t>
      </w:r>
      <w:r w:rsidRPr="009822B6">
        <w:t>Payments to Recreational Fishing Grants Program and other projects during 201</w:t>
      </w:r>
      <w:r w:rsidR="00390C5B">
        <w:t>4/15</w:t>
      </w:r>
      <w:bookmarkEnd w:id="37"/>
      <w:bookmarkEnd w:id="38"/>
      <w:bookmarkEnd w:id="39"/>
    </w:p>
    <w:p w14:paraId="38092D05" w14:textId="77777777" w:rsidR="005A6549" w:rsidRPr="005A6549" w:rsidRDefault="005A6549" w:rsidP="005A6549">
      <w:pPr>
        <w:pStyle w:val="Body"/>
        <w:rPr>
          <w:i/>
          <w:lang w:eastAsia="en-US"/>
        </w:rPr>
      </w:pPr>
      <w:r w:rsidRPr="005A6549">
        <w:rPr>
          <w:i/>
          <w:lang w:eastAsia="en-US"/>
        </w:rPr>
        <w:t>Note: payments made in 2014/15 included new projects commenced as well as projects commenced in prior years that have payments remaining.</w:t>
      </w:r>
    </w:p>
    <w:tbl>
      <w:tblPr>
        <w:tblW w:w="9588" w:type="dxa"/>
        <w:tblInd w:w="108" w:type="dxa"/>
        <w:tblBorders>
          <w:top w:val="single" w:sz="8" w:space="0" w:color="0094B4"/>
          <w:bottom w:val="single" w:sz="8" w:space="0" w:color="0094B4"/>
          <w:insideH w:val="single" w:sz="8" w:space="0" w:color="0094B4"/>
        </w:tblBorders>
        <w:tblLayout w:type="fixed"/>
        <w:tblLook w:val="0000" w:firstRow="0" w:lastRow="0" w:firstColumn="0" w:lastColumn="0" w:noHBand="0" w:noVBand="0"/>
      </w:tblPr>
      <w:tblGrid>
        <w:gridCol w:w="6186"/>
        <w:gridCol w:w="1276"/>
        <w:gridCol w:w="2126"/>
      </w:tblGrid>
      <w:tr w:rsidR="00390C5B" w:rsidRPr="00A76DFB" w14:paraId="3F38BC17" w14:textId="77777777" w:rsidTr="00390C5B">
        <w:trPr>
          <w:cantSplit/>
        </w:trPr>
        <w:tc>
          <w:tcPr>
            <w:tcW w:w="6186" w:type="dxa"/>
            <w:shd w:val="clear" w:color="auto" w:fill="auto"/>
            <w:tcMar>
              <w:top w:w="57" w:type="dxa"/>
              <w:left w:w="57" w:type="dxa"/>
              <w:bottom w:w="57" w:type="dxa"/>
            </w:tcMar>
          </w:tcPr>
          <w:p w14:paraId="5310E804" w14:textId="77777777" w:rsidR="00390C5B" w:rsidRPr="00BE438B" w:rsidRDefault="00390C5B" w:rsidP="00390C5B">
            <w:pPr>
              <w:pStyle w:val="8pttabletext"/>
              <w:rPr>
                <w:b/>
                <w:sz w:val="18"/>
                <w:szCs w:val="18"/>
              </w:rPr>
            </w:pPr>
            <w:r w:rsidRPr="00BE438B">
              <w:rPr>
                <w:b/>
                <w:sz w:val="18"/>
                <w:szCs w:val="18"/>
              </w:rPr>
              <w:t>Projects initially announced in 200</w:t>
            </w:r>
            <w:r>
              <w:rPr>
                <w:b/>
                <w:sz w:val="18"/>
                <w:szCs w:val="18"/>
              </w:rPr>
              <w:t>7</w:t>
            </w:r>
            <w:r w:rsidRPr="00BE438B">
              <w:rPr>
                <w:b/>
                <w:sz w:val="18"/>
                <w:szCs w:val="18"/>
              </w:rPr>
              <w:t>/</w:t>
            </w:r>
            <w:r>
              <w:rPr>
                <w:b/>
                <w:sz w:val="18"/>
                <w:szCs w:val="18"/>
              </w:rPr>
              <w:t>08</w:t>
            </w:r>
          </w:p>
        </w:tc>
        <w:tc>
          <w:tcPr>
            <w:tcW w:w="1276" w:type="dxa"/>
            <w:shd w:val="clear" w:color="auto" w:fill="auto"/>
            <w:noWrap/>
            <w:tcMar>
              <w:top w:w="57" w:type="dxa"/>
              <w:left w:w="57" w:type="dxa"/>
              <w:bottom w:w="57" w:type="dxa"/>
              <w:right w:w="142" w:type="dxa"/>
            </w:tcMar>
          </w:tcPr>
          <w:p w14:paraId="4AA1BB11" w14:textId="77777777" w:rsidR="00390C5B" w:rsidRPr="004232D1" w:rsidRDefault="00390C5B" w:rsidP="00390C5B">
            <w:pPr>
              <w:pStyle w:val="8pttabletext"/>
              <w:jc w:val="right"/>
              <w:rPr>
                <w:b/>
              </w:rPr>
            </w:pPr>
          </w:p>
        </w:tc>
        <w:tc>
          <w:tcPr>
            <w:tcW w:w="2126" w:type="dxa"/>
            <w:shd w:val="clear" w:color="auto" w:fill="auto"/>
            <w:tcMar>
              <w:top w:w="57" w:type="dxa"/>
              <w:left w:w="57" w:type="dxa"/>
              <w:bottom w:w="57" w:type="dxa"/>
            </w:tcMar>
          </w:tcPr>
          <w:p w14:paraId="39925E4E" w14:textId="77777777" w:rsidR="00390C5B" w:rsidRPr="004232D1" w:rsidRDefault="00390C5B" w:rsidP="00390C5B">
            <w:pPr>
              <w:pStyle w:val="8pttabletext"/>
              <w:rPr>
                <w:b/>
              </w:rPr>
            </w:pPr>
          </w:p>
        </w:tc>
      </w:tr>
      <w:tr w:rsidR="00390C5B" w:rsidRPr="00A76DFB" w14:paraId="7E84021A" w14:textId="77777777" w:rsidTr="00390C5B">
        <w:trPr>
          <w:cantSplit/>
        </w:trPr>
        <w:tc>
          <w:tcPr>
            <w:tcW w:w="6186" w:type="dxa"/>
            <w:shd w:val="clear" w:color="auto" w:fill="auto"/>
            <w:tcMar>
              <w:top w:w="57" w:type="dxa"/>
              <w:left w:w="57" w:type="dxa"/>
              <w:bottom w:w="57" w:type="dxa"/>
            </w:tcMar>
          </w:tcPr>
          <w:p w14:paraId="7E948B74" w14:textId="77777777" w:rsidR="00390C5B" w:rsidRPr="00BE438B" w:rsidRDefault="00390C5B" w:rsidP="00390C5B">
            <w:pPr>
              <w:pStyle w:val="8pttabletext"/>
              <w:rPr>
                <w:b/>
                <w:sz w:val="18"/>
                <w:szCs w:val="18"/>
              </w:rPr>
            </w:pPr>
            <w:r w:rsidRPr="004232D1">
              <w:rPr>
                <w:b/>
              </w:rPr>
              <w:t>Large Grants Program</w:t>
            </w:r>
          </w:p>
        </w:tc>
        <w:tc>
          <w:tcPr>
            <w:tcW w:w="1276" w:type="dxa"/>
            <w:shd w:val="clear" w:color="auto" w:fill="auto"/>
            <w:noWrap/>
            <w:tcMar>
              <w:top w:w="57" w:type="dxa"/>
              <w:left w:w="57" w:type="dxa"/>
              <w:bottom w:w="57" w:type="dxa"/>
              <w:right w:w="142" w:type="dxa"/>
            </w:tcMar>
          </w:tcPr>
          <w:p w14:paraId="23B6DDD3" w14:textId="77777777" w:rsidR="00390C5B" w:rsidRPr="004232D1" w:rsidRDefault="00390C5B" w:rsidP="00390C5B">
            <w:pPr>
              <w:pStyle w:val="8pttabletext"/>
              <w:jc w:val="right"/>
              <w:rPr>
                <w:b/>
              </w:rPr>
            </w:pPr>
          </w:p>
        </w:tc>
        <w:tc>
          <w:tcPr>
            <w:tcW w:w="2126" w:type="dxa"/>
            <w:shd w:val="clear" w:color="auto" w:fill="auto"/>
            <w:tcMar>
              <w:top w:w="57" w:type="dxa"/>
              <w:left w:w="57" w:type="dxa"/>
              <w:bottom w:w="57" w:type="dxa"/>
            </w:tcMar>
          </w:tcPr>
          <w:p w14:paraId="3968A4B8" w14:textId="77777777" w:rsidR="00390C5B" w:rsidRPr="004232D1" w:rsidRDefault="00390C5B" w:rsidP="00390C5B">
            <w:pPr>
              <w:pStyle w:val="8pttabletext"/>
              <w:rPr>
                <w:b/>
              </w:rPr>
            </w:pPr>
          </w:p>
        </w:tc>
      </w:tr>
      <w:tr w:rsidR="00390C5B" w:rsidRPr="00A76DFB" w14:paraId="47F5AC78" w14:textId="77777777" w:rsidTr="00390C5B">
        <w:trPr>
          <w:cantSplit/>
        </w:trPr>
        <w:tc>
          <w:tcPr>
            <w:tcW w:w="6186" w:type="dxa"/>
            <w:shd w:val="clear" w:color="auto" w:fill="auto"/>
            <w:tcMar>
              <w:top w:w="57" w:type="dxa"/>
              <w:left w:w="57" w:type="dxa"/>
              <w:bottom w:w="57" w:type="dxa"/>
            </w:tcMar>
          </w:tcPr>
          <w:p w14:paraId="2951A8CA" w14:textId="77777777" w:rsidR="00390C5B" w:rsidRPr="00BE438B" w:rsidRDefault="00390C5B" w:rsidP="00390C5B">
            <w:pPr>
              <w:pStyle w:val="8pttabletext"/>
              <w:rPr>
                <w:b/>
                <w:sz w:val="18"/>
                <w:szCs w:val="18"/>
              </w:rPr>
            </w:pPr>
            <w:r w:rsidRPr="00F65BC9">
              <w:t>Evaluate and validate the utility of Research Angler Diary programs as a cost-effective monitoring and stock assessment tool for the management of small recreational fisheries</w:t>
            </w:r>
            <w:r>
              <w:t xml:space="preserve">. </w:t>
            </w:r>
            <w:r w:rsidRPr="00F65BC9">
              <w:t>Balance of 10% of funding. Total project funding of $270,000.</w:t>
            </w:r>
          </w:p>
        </w:tc>
        <w:tc>
          <w:tcPr>
            <w:tcW w:w="1276" w:type="dxa"/>
            <w:shd w:val="clear" w:color="auto" w:fill="DFEDF1"/>
            <w:noWrap/>
            <w:tcMar>
              <w:top w:w="57" w:type="dxa"/>
              <w:left w:w="57" w:type="dxa"/>
              <w:bottom w:w="57" w:type="dxa"/>
              <w:right w:w="142" w:type="dxa"/>
            </w:tcMar>
          </w:tcPr>
          <w:p w14:paraId="3CC52546" w14:textId="77777777" w:rsidR="00390C5B" w:rsidRPr="004C42A7" w:rsidRDefault="00390C5B" w:rsidP="00390C5B">
            <w:pPr>
              <w:pStyle w:val="8pttabletext"/>
              <w:jc w:val="right"/>
            </w:pPr>
            <w:r w:rsidRPr="004C42A7">
              <w:t>$27,000.00</w:t>
            </w:r>
          </w:p>
        </w:tc>
        <w:tc>
          <w:tcPr>
            <w:tcW w:w="2126" w:type="dxa"/>
            <w:shd w:val="clear" w:color="auto" w:fill="auto"/>
            <w:tcMar>
              <w:top w:w="57" w:type="dxa"/>
              <w:left w:w="57" w:type="dxa"/>
              <w:bottom w:w="57" w:type="dxa"/>
            </w:tcMar>
          </w:tcPr>
          <w:p w14:paraId="7233CABD" w14:textId="77777777" w:rsidR="00390C5B" w:rsidRPr="004232D1" w:rsidRDefault="00390C5B" w:rsidP="00390C5B">
            <w:pPr>
              <w:pStyle w:val="8pttabletext"/>
              <w:rPr>
                <w:b/>
              </w:rPr>
            </w:pPr>
            <w:r w:rsidRPr="00F01550">
              <w:t>Department of Environment and Primary Industries, Fisheries Victoria</w:t>
            </w:r>
          </w:p>
        </w:tc>
      </w:tr>
      <w:tr w:rsidR="00390C5B" w:rsidRPr="00A76DFB" w14:paraId="1ABFF900" w14:textId="77777777" w:rsidTr="00390C5B">
        <w:trPr>
          <w:cantSplit/>
        </w:trPr>
        <w:tc>
          <w:tcPr>
            <w:tcW w:w="6186" w:type="dxa"/>
            <w:shd w:val="clear" w:color="auto" w:fill="auto"/>
            <w:tcMar>
              <w:top w:w="57" w:type="dxa"/>
              <w:left w:w="57" w:type="dxa"/>
              <w:bottom w:w="57" w:type="dxa"/>
            </w:tcMar>
          </w:tcPr>
          <w:p w14:paraId="36E66284" w14:textId="77777777" w:rsidR="00390C5B" w:rsidRPr="00BE438B" w:rsidRDefault="00390C5B" w:rsidP="00390C5B">
            <w:pPr>
              <w:pStyle w:val="8pttabletext"/>
              <w:rPr>
                <w:b/>
                <w:sz w:val="18"/>
                <w:szCs w:val="18"/>
              </w:rPr>
            </w:pPr>
            <w:r w:rsidRPr="0073230D">
              <w:rPr>
                <w:b/>
              </w:rPr>
              <w:t>Sub-Total</w:t>
            </w:r>
          </w:p>
        </w:tc>
        <w:tc>
          <w:tcPr>
            <w:tcW w:w="1276" w:type="dxa"/>
            <w:shd w:val="clear" w:color="auto" w:fill="auto"/>
            <w:noWrap/>
            <w:tcMar>
              <w:top w:w="57" w:type="dxa"/>
              <w:left w:w="57" w:type="dxa"/>
              <w:bottom w:w="57" w:type="dxa"/>
              <w:right w:w="142" w:type="dxa"/>
            </w:tcMar>
          </w:tcPr>
          <w:p w14:paraId="3F5E4383" w14:textId="77777777" w:rsidR="00390C5B" w:rsidRPr="00BC1F16" w:rsidRDefault="00390C5B" w:rsidP="00390C5B">
            <w:pPr>
              <w:pStyle w:val="8pttabletext"/>
              <w:jc w:val="right"/>
              <w:rPr>
                <w:b/>
              </w:rPr>
            </w:pPr>
            <w:r w:rsidRPr="00BC1F16">
              <w:rPr>
                <w:b/>
              </w:rPr>
              <w:t>$27,000.00</w:t>
            </w:r>
          </w:p>
        </w:tc>
        <w:tc>
          <w:tcPr>
            <w:tcW w:w="2126" w:type="dxa"/>
            <w:shd w:val="clear" w:color="auto" w:fill="auto"/>
            <w:tcMar>
              <w:top w:w="57" w:type="dxa"/>
              <w:left w:w="57" w:type="dxa"/>
              <w:bottom w:w="57" w:type="dxa"/>
            </w:tcMar>
          </w:tcPr>
          <w:p w14:paraId="1E50BF1A" w14:textId="77777777" w:rsidR="00390C5B" w:rsidRPr="004232D1" w:rsidRDefault="00390C5B" w:rsidP="00390C5B">
            <w:pPr>
              <w:pStyle w:val="8pttabletext"/>
              <w:rPr>
                <w:b/>
              </w:rPr>
            </w:pPr>
          </w:p>
        </w:tc>
      </w:tr>
      <w:tr w:rsidR="00390C5B" w:rsidRPr="00A76DFB" w14:paraId="466C1EFB" w14:textId="77777777" w:rsidTr="00390C5B">
        <w:trPr>
          <w:cantSplit/>
        </w:trPr>
        <w:tc>
          <w:tcPr>
            <w:tcW w:w="6186" w:type="dxa"/>
            <w:shd w:val="clear" w:color="auto" w:fill="auto"/>
            <w:tcMar>
              <w:top w:w="57" w:type="dxa"/>
              <w:left w:w="57" w:type="dxa"/>
              <w:bottom w:w="57" w:type="dxa"/>
            </w:tcMar>
          </w:tcPr>
          <w:p w14:paraId="51C04373" w14:textId="77777777" w:rsidR="00390C5B" w:rsidRPr="00A8362B" w:rsidRDefault="00390C5B" w:rsidP="00390C5B">
            <w:pPr>
              <w:pStyle w:val="8pttabletext"/>
              <w:rPr>
                <w:b/>
                <w:strike/>
                <w:sz w:val="18"/>
                <w:szCs w:val="18"/>
              </w:rPr>
            </w:pPr>
            <w:r w:rsidRPr="00BE438B">
              <w:rPr>
                <w:b/>
                <w:sz w:val="18"/>
                <w:szCs w:val="18"/>
              </w:rPr>
              <w:t>Projects initially announced in 200</w:t>
            </w:r>
            <w:r>
              <w:rPr>
                <w:b/>
                <w:sz w:val="18"/>
                <w:szCs w:val="18"/>
              </w:rPr>
              <w:t>8</w:t>
            </w:r>
            <w:r w:rsidRPr="00BE438B">
              <w:rPr>
                <w:b/>
                <w:sz w:val="18"/>
                <w:szCs w:val="18"/>
              </w:rPr>
              <w:t>/</w:t>
            </w:r>
            <w:r>
              <w:rPr>
                <w:b/>
                <w:sz w:val="18"/>
                <w:szCs w:val="18"/>
              </w:rPr>
              <w:t>09</w:t>
            </w:r>
          </w:p>
        </w:tc>
        <w:tc>
          <w:tcPr>
            <w:tcW w:w="1276" w:type="dxa"/>
            <w:shd w:val="clear" w:color="auto" w:fill="auto"/>
            <w:noWrap/>
            <w:tcMar>
              <w:top w:w="57" w:type="dxa"/>
              <w:left w:w="57" w:type="dxa"/>
              <w:bottom w:w="57" w:type="dxa"/>
              <w:right w:w="142" w:type="dxa"/>
            </w:tcMar>
          </w:tcPr>
          <w:p w14:paraId="57E8736F" w14:textId="77777777" w:rsidR="00390C5B" w:rsidRPr="004232D1" w:rsidRDefault="00390C5B" w:rsidP="00390C5B">
            <w:pPr>
              <w:pStyle w:val="8pttabletext"/>
              <w:jc w:val="right"/>
              <w:rPr>
                <w:b/>
              </w:rPr>
            </w:pPr>
          </w:p>
        </w:tc>
        <w:tc>
          <w:tcPr>
            <w:tcW w:w="2126" w:type="dxa"/>
            <w:shd w:val="clear" w:color="auto" w:fill="auto"/>
            <w:tcMar>
              <w:top w:w="57" w:type="dxa"/>
              <w:left w:w="57" w:type="dxa"/>
              <w:bottom w:w="57" w:type="dxa"/>
            </w:tcMar>
          </w:tcPr>
          <w:p w14:paraId="0BA14F4E" w14:textId="77777777" w:rsidR="00390C5B" w:rsidRPr="004232D1" w:rsidRDefault="00390C5B" w:rsidP="00390C5B">
            <w:pPr>
              <w:pStyle w:val="8pttabletext"/>
              <w:rPr>
                <w:b/>
              </w:rPr>
            </w:pPr>
          </w:p>
        </w:tc>
      </w:tr>
      <w:tr w:rsidR="00390C5B" w:rsidRPr="00A76DFB" w14:paraId="303C51CF" w14:textId="77777777" w:rsidTr="00390C5B">
        <w:trPr>
          <w:cantSplit/>
        </w:trPr>
        <w:tc>
          <w:tcPr>
            <w:tcW w:w="6186" w:type="dxa"/>
            <w:shd w:val="clear" w:color="auto" w:fill="auto"/>
            <w:tcMar>
              <w:top w:w="57" w:type="dxa"/>
              <w:left w:w="57" w:type="dxa"/>
              <w:bottom w:w="57" w:type="dxa"/>
            </w:tcMar>
          </w:tcPr>
          <w:p w14:paraId="3CED4D23" w14:textId="77777777" w:rsidR="00390C5B" w:rsidRPr="00A8362B" w:rsidRDefault="00390C5B" w:rsidP="00390C5B">
            <w:pPr>
              <w:pStyle w:val="8pttabletext"/>
              <w:rPr>
                <w:b/>
                <w:strike/>
                <w:sz w:val="18"/>
                <w:szCs w:val="18"/>
              </w:rPr>
            </w:pPr>
            <w:r w:rsidRPr="004232D1">
              <w:rPr>
                <w:b/>
              </w:rPr>
              <w:t>Large Grants Program</w:t>
            </w:r>
          </w:p>
        </w:tc>
        <w:tc>
          <w:tcPr>
            <w:tcW w:w="1276" w:type="dxa"/>
            <w:shd w:val="clear" w:color="auto" w:fill="auto"/>
            <w:noWrap/>
            <w:tcMar>
              <w:top w:w="57" w:type="dxa"/>
              <w:left w:w="57" w:type="dxa"/>
              <w:bottom w:w="57" w:type="dxa"/>
              <w:right w:w="142" w:type="dxa"/>
            </w:tcMar>
          </w:tcPr>
          <w:p w14:paraId="76B51C44" w14:textId="77777777" w:rsidR="00390C5B" w:rsidRPr="004232D1" w:rsidRDefault="00390C5B" w:rsidP="00390C5B">
            <w:pPr>
              <w:pStyle w:val="8pttabletext"/>
              <w:jc w:val="right"/>
              <w:rPr>
                <w:b/>
              </w:rPr>
            </w:pPr>
          </w:p>
        </w:tc>
        <w:tc>
          <w:tcPr>
            <w:tcW w:w="2126" w:type="dxa"/>
            <w:shd w:val="clear" w:color="auto" w:fill="auto"/>
            <w:tcMar>
              <w:top w:w="57" w:type="dxa"/>
              <w:left w:w="57" w:type="dxa"/>
              <w:bottom w:w="57" w:type="dxa"/>
            </w:tcMar>
          </w:tcPr>
          <w:p w14:paraId="1D0A53C4" w14:textId="77777777" w:rsidR="00390C5B" w:rsidRPr="004232D1" w:rsidRDefault="00390C5B" w:rsidP="00390C5B">
            <w:pPr>
              <w:pStyle w:val="8pttabletext"/>
              <w:rPr>
                <w:b/>
              </w:rPr>
            </w:pPr>
          </w:p>
        </w:tc>
      </w:tr>
      <w:tr w:rsidR="00390C5B" w:rsidRPr="00055145" w14:paraId="325D4AF7" w14:textId="77777777" w:rsidTr="00390C5B">
        <w:trPr>
          <w:cantSplit/>
        </w:trPr>
        <w:tc>
          <w:tcPr>
            <w:tcW w:w="6186" w:type="dxa"/>
            <w:shd w:val="clear" w:color="auto" w:fill="auto"/>
            <w:tcMar>
              <w:top w:w="57" w:type="dxa"/>
              <w:left w:w="57" w:type="dxa"/>
              <w:bottom w:w="57" w:type="dxa"/>
            </w:tcMar>
          </w:tcPr>
          <w:p w14:paraId="151B303E" w14:textId="77777777" w:rsidR="00390C5B" w:rsidRPr="003621D6" w:rsidRDefault="00390C5B" w:rsidP="00390C5B">
            <w:pPr>
              <w:pStyle w:val="8pttabletext"/>
            </w:pPr>
            <w:r w:rsidRPr="003621D6">
              <w:t>Improve the sustainability of sand flathead stocks in Port Phillip Bay and across Victoria. Balance of 10% of funding. Total project funding of $300,000.</w:t>
            </w:r>
          </w:p>
          <w:p w14:paraId="4F167D49" w14:textId="77777777" w:rsidR="00390C5B" w:rsidRPr="001B4AEB" w:rsidRDefault="00390C5B" w:rsidP="00390C5B">
            <w:pPr>
              <w:pStyle w:val="8pttabletext"/>
              <w:rPr>
                <w:strike/>
                <w:highlight w:val="green"/>
              </w:rPr>
            </w:pPr>
          </w:p>
        </w:tc>
        <w:tc>
          <w:tcPr>
            <w:tcW w:w="1276" w:type="dxa"/>
            <w:shd w:val="clear" w:color="auto" w:fill="DFEDF1"/>
            <w:noWrap/>
            <w:tcMar>
              <w:top w:w="57" w:type="dxa"/>
              <w:left w:w="57" w:type="dxa"/>
              <w:bottom w:w="57" w:type="dxa"/>
              <w:right w:w="142" w:type="dxa"/>
            </w:tcMar>
          </w:tcPr>
          <w:p w14:paraId="2CD12D4A" w14:textId="77777777" w:rsidR="00390C5B" w:rsidRPr="001B4AEB" w:rsidRDefault="00390C5B" w:rsidP="00390C5B">
            <w:pPr>
              <w:pStyle w:val="8pttabletext"/>
              <w:jc w:val="right"/>
              <w:rPr>
                <w:strike/>
              </w:rPr>
            </w:pPr>
            <w:r w:rsidRPr="002212B9">
              <w:t>$30,000.00</w:t>
            </w:r>
          </w:p>
        </w:tc>
        <w:tc>
          <w:tcPr>
            <w:tcW w:w="2126" w:type="dxa"/>
            <w:shd w:val="clear" w:color="auto" w:fill="auto"/>
            <w:tcMar>
              <w:top w:w="57" w:type="dxa"/>
              <w:left w:w="57" w:type="dxa"/>
              <w:bottom w:w="57" w:type="dxa"/>
            </w:tcMar>
          </w:tcPr>
          <w:p w14:paraId="6FC34C91" w14:textId="77777777" w:rsidR="00390C5B" w:rsidRPr="001B4AEB" w:rsidRDefault="00390C5B" w:rsidP="00390C5B">
            <w:pPr>
              <w:pStyle w:val="8pttabletext"/>
              <w:rPr>
                <w:strike/>
              </w:rPr>
            </w:pPr>
            <w:r w:rsidRPr="00F01550">
              <w:t>Department of Environment and Primary Industries, Fisheries Victoria</w:t>
            </w:r>
          </w:p>
        </w:tc>
      </w:tr>
      <w:tr w:rsidR="00390C5B" w:rsidRPr="005C5EAF" w14:paraId="1336FFB9" w14:textId="77777777" w:rsidTr="00390C5B">
        <w:trPr>
          <w:cantSplit/>
        </w:trPr>
        <w:tc>
          <w:tcPr>
            <w:tcW w:w="6186" w:type="dxa"/>
            <w:shd w:val="clear" w:color="auto" w:fill="auto"/>
            <w:tcMar>
              <w:top w:w="57" w:type="dxa"/>
              <w:left w:w="57" w:type="dxa"/>
              <w:bottom w:w="57" w:type="dxa"/>
            </w:tcMar>
          </w:tcPr>
          <w:p w14:paraId="4011BBF9" w14:textId="77777777" w:rsidR="00390C5B" w:rsidRPr="004C42A7" w:rsidRDefault="00390C5B" w:rsidP="00390C5B">
            <w:pPr>
              <w:pStyle w:val="8pttabletext"/>
              <w:rPr>
                <w:b/>
                <w:highlight w:val="yellow"/>
              </w:rPr>
            </w:pPr>
            <w:r w:rsidRPr="004C42A7">
              <w:rPr>
                <w:b/>
              </w:rPr>
              <w:t>Sub-Total</w:t>
            </w:r>
          </w:p>
        </w:tc>
        <w:tc>
          <w:tcPr>
            <w:tcW w:w="1276" w:type="dxa"/>
            <w:shd w:val="clear" w:color="auto" w:fill="auto"/>
            <w:noWrap/>
            <w:tcMar>
              <w:top w:w="57" w:type="dxa"/>
              <w:left w:w="57" w:type="dxa"/>
              <w:bottom w:w="57" w:type="dxa"/>
              <w:right w:w="142" w:type="dxa"/>
            </w:tcMar>
          </w:tcPr>
          <w:p w14:paraId="03651BEC" w14:textId="77777777" w:rsidR="00390C5B" w:rsidRPr="004C42A7" w:rsidRDefault="00390C5B" w:rsidP="00390C5B">
            <w:pPr>
              <w:pStyle w:val="8pttabletext"/>
              <w:jc w:val="right"/>
              <w:rPr>
                <w:b/>
              </w:rPr>
            </w:pPr>
            <w:r w:rsidRPr="00BC1F16">
              <w:rPr>
                <w:b/>
              </w:rPr>
              <w:t>$</w:t>
            </w:r>
            <w:r>
              <w:rPr>
                <w:b/>
              </w:rPr>
              <w:t>30</w:t>
            </w:r>
            <w:r w:rsidRPr="00BC1F16">
              <w:rPr>
                <w:b/>
              </w:rPr>
              <w:t>,</w:t>
            </w:r>
            <w:r>
              <w:rPr>
                <w:b/>
              </w:rPr>
              <w:t>0</w:t>
            </w:r>
            <w:r w:rsidRPr="00BC1F16">
              <w:rPr>
                <w:b/>
              </w:rPr>
              <w:t>00.00</w:t>
            </w:r>
          </w:p>
        </w:tc>
        <w:tc>
          <w:tcPr>
            <w:tcW w:w="2126" w:type="dxa"/>
            <w:shd w:val="clear" w:color="auto" w:fill="auto"/>
            <w:tcMar>
              <w:top w:w="57" w:type="dxa"/>
              <w:left w:w="57" w:type="dxa"/>
              <w:bottom w:w="57" w:type="dxa"/>
            </w:tcMar>
          </w:tcPr>
          <w:p w14:paraId="58ECE5C1" w14:textId="77777777" w:rsidR="00390C5B" w:rsidRPr="004C42A7" w:rsidRDefault="00390C5B" w:rsidP="00390C5B">
            <w:pPr>
              <w:pStyle w:val="8pttabletext"/>
              <w:rPr>
                <w:b/>
              </w:rPr>
            </w:pPr>
          </w:p>
        </w:tc>
      </w:tr>
      <w:tr w:rsidR="00390C5B" w:rsidRPr="005C5EAF" w14:paraId="2D928613" w14:textId="77777777" w:rsidTr="00390C5B">
        <w:trPr>
          <w:cantSplit/>
        </w:trPr>
        <w:tc>
          <w:tcPr>
            <w:tcW w:w="6186" w:type="dxa"/>
            <w:shd w:val="clear" w:color="auto" w:fill="auto"/>
            <w:tcMar>
              <w:top w:w="57" w:type="dxa"/>
              <w:left w:w="57" w:type="dxa"/>
              <w:bottom w:w="57" w:type="dxa"/>
            </w:tcMar>
          </w:tcPr>
          <w:p w14:paraId="3FFD112F" w14:textId="77777777" w:rsidR="00390C5B" w:rsidRPr="002212B9" w:rsidRDefault="00390C5B" w:rsidP="00390C5B">
            <w:pPr>
              <w:pStyle w:val="8pttabletext"/>
              <w:rPr>
                <w:b/>
                <w:sz w:val="18"/>
                <w:szCs w:val="18"/>
              </w:rPr>
            </w:pPr>
            <w:r w:rsidRPr="002212B9">
              <w:rPr>
                <w:b/>
                <w:sz w:val="18"/>
                <w:szCs w:val="18"/>
              </w:rPr>
              <w:t>Projects initially announced in 2009/10</w:t>
            </w:r>
          </w:p>
        </w:tc>
        <w:tc>
          <w:tcPr>
            <w:tcW w:w="1276" w:type="dxa"/>
            <w:shd w:val="clear" w:color="auto" w:fill="auto"/>
            <w:noWrap/>
            <w:tcMar>
              <w:top w:w="57" w:type="dxa"/>
              <w:left w:w="57" w:type="dxa"/>
              <w:bottom w:w="57" w:type="dxa"/>
              <w:right w:w="142" w:type="dxa"/>
            </w:tcMar>
          </w:tcPr>
          <w:p w14:paraId="6A88FBA8" w14:textId="77777777" w:rsidR="00390C5B" w:rsidRPr="005C5EAF" w:rsidRDefault="00390C5B" w:rsidP="00390C5B">
            <w:pPr>
              <w:pStyle w:val="8pttabletext"/>
              <w:jc w:val="right"/>
              <w:rPr>
                <w:b/>
              </w:rPr>
            </w:pPr>
          </w:p>
        </w:tc>
        <w:tc>
          <w:tcPr>
            <w:tcW w:w="2126" w:type="dxa"/>
            <w:shd w:val="clear" w:color="auto" w:fill="auto"/>
            <w:tcMar>
              <w:top w:w="57" w:type="dxa"/>
              <w:left w:w="57" w:type="dxa"/>
              <w:bottom w:w="57" w:type="dxa"/>
            </w:tcMar>
          </w:tcPr>
          <w:p w14:paraId="242B5617" w14:textId="77777777" w:rsidR="00390C5B" w:rsidRPr="005C5EAF" w:rsidRDefault="00390C5B" w:rsidP="00390C5B">
            <w:pPr>
              <w:pStyle w:val="8pttabletext"/>
              <w:rPr>
                <w:b/>
              </w:rPr>
            </w:pPr>
          </w:p>
        </w:tc>
      </w:tr>
      <w:tr w:rsidR="00390C5B" w:rsidRPr="002B2EDE" w14:paraId="6D42FA39" w14:textId="77777777" w:rsidTr="00390C5B">
        <w:trPr>
          <w:cantSplit/>
        </w:trPr>
        <w:tc>
          <w:tcPr>
            <w:tcW w:w="6186" w:type="dxa"/>
            <w:shd w:val="clear" w:color="auto" w:fill="auto"/>
            <w:tcMar>
              <w:top w:w="57" w:type="dxa"/>
              <w:left w:w="57" w:type="dxa"/>
              <w:bottom w:w="57" w:type="dxa"/>
            </w:tcMar>
          </w:tcPr>
          <w:p w14:paraId="692E58F2" w14:textId="77777777" w:rsidR="00390C5B" w:rsidRPr="005C5EAF" w:rsidRDefault="00390C5B" w:rsidP="00390C5B">
            <w:pPr>
              <w:pStyle w:val="8pttabletext"/>
              <w:rPr>
                <w:b/>
              </w:rPr>
            </w:pPr>
            <w:r w:rsidRPr="00BE438B">
              <w:rPr>
                <w:b/>
              </w:rPr>
              <w:t>Commissioning Grants Program</w:t>
            </w:r>
          </w:p>
        </w:tc>
        <w:tc>
          <w:tcPr>
            <w:tcW w:w="1276" w:type="dxa"/>
            <w:shd w:val="clear" w:color="auto" w:fill="auto"/>
            <w:noWrap/>
            <w:tcMar>
              <w:top w:w="57" w:type="dxa"/>
              <w:left w:w="57" w:type="dxa"/>
              <w:bottom w:w="57" w:type="dxa"/>
              <w:right w:w="142" w:type="dxa"/>
            </w:tcMar>
          </w:tcPr>
          <w:p w14:paraId="32173825" w14:textId="77777777" w:rsidR="00390C5B" w:rsidRPr="005C5EAF" w:rsidRDefault="00390C5B" w:rsidP="00390C5B">
            <w:pPr>
              <w:pStyle w:val="8pttabletext"/>
              <w:jc w:val="right"/>
            </w:pPr>
          </w:p>
        </w:tc>
        <w:tc>
          <w:tcPr>
            <w:tcW w:w="2126" w:type="dxa"/>
            <w:shd w:val="clear" w:color="auto" w:fill="auto"/>
            <w:tcMar>
              <w:top w:w="57" w:type="dxa"/>
              <w:left w:w="57" w:type="dxa"/>
              <w:bottom w:w="57" w:type="dxa"/>
            </w:tcMar>
          </w:tcPr>
          <w:p w14:paraId="3FD1C36D" w14:textId="77777777" w:rsidR="00390C5B" w:rsidRPr="005C5EAF" w:rsidRDefault="00390C5B" w:rsidP="00390C5B">
            <w:pPr>
              <w:pStyle w:val="8pttabletext"/>
            </w:pPr>
          </w:p>
        </w:tc>
      </w:tr>
      <w:tr w:rsidR="00390C5B" w:rsidRPr="002B2EDE" w14:paraId="0780E8E2" w14:textId="77777777" w:rsidTr="00390C5B">
        <w:trPr>
          <w:cantSplit/>
        </w:trPr>
        <w:tc>
          <w:tcPr>
            <w:tcW w:w="6186" w:type="dxa"/>
            <w:shd w:val="clear" w:color="auto" w:fill="auto"/>
            <w:tcMar>
              <w:top w:w="57" w:type="dxa"/>
              <w:left w:w="57" w:type="dxa"/>
              <w:bottom w:w="57" w:type="dxa"/>
            </w:tcMar>
          </w:tcPr>
          <w:p w14:paraId="3D863D71" w14:textId="77777777" w:rsidR="00390C5B" w:rsidRPr="005C5EAF" w:rsidRDefault="00390C5B" w:rsidP="00390C5B">
            <w:pPr>
              <w:pStyle w:val="8pttabletext"/>
              <w:rPr>
                <w:b/>
              </w:rPr>
            </w:pPr>
            <w:r w:rsidRPr="00E70FFB">
              <w:t>Develop a premier Murray cod fishery at Lake Eildon. Balance of 10% of funding. Total project funding of $800,000.</w:t>
            </w:r>
          </w:p>
        </w:tc>
        <w:tc>
          <w:tcPr>
            <w:tcW w:w="1276" w:type="dxa"/>
            <w:shd w:val="clear" w:color="auto" w:fill="DFEDF1"/>
            <w:noWrap/>
            <w:tcMar>
              <w:top w:w="57" w:type="dxa"/>
              <w:left w:w="57" w:type="dxa"/>
              <w:bottom w:w="57" w:type="dxa"/>
              <w:right w:w="142" w:type="dxa"/>
            </w:tcMar>
          </w:tcPr>
          <w:p w14:paraId="61EFDEB5" w14:textId="77777777" w:rsidR="00390C5B" w:rsidRPr="005C5EAF" w:rsidRDefault="00390C5B" w:rsidP="00390C5B">
            <w:pPr>
              <w:pStyle w:val="8pttabletext"/>
              <w:jc w:val="right"/>
            </w:pPr>
            <w:r>
              <w:t>$80,000.00</w:t>
            </w:r>
          </w:p>
        </w:tc>
        <w:tc>
          <w:tcPr>
            <w:tcW w:w="2126" w:type="dxa"/>
            <w:shd w:val="clear" w:color="auto" w:fill="auto"/>
            <w:tcMar>
              <w:top w:w="57" w:type="dxa"/>
              <w:left w:w="57" w:type="dxa"/>
              <w:bottom w:w="57" w:type="dxa"/>
            </w:tcMar>
          </w:tcPr>
          <w:p w14:paraId="4A3FAA9B" w14:textId="77777777" w:rsidR="00390C5B" w:rsidRPr="005C5EAF" w:rsidRDefault="00390C5B" w:rsidP="00390C5B">
            <w:pPr>
              <w:pStyle w:val="8pttabletext"/>
            </w:pPr>
            <w:r w:rsidRPr="00767028">
              <w:t>Department of Environment and Primary Industries, Fisheries Victoria</w:t>
            </w:r>
          </w:p>
        </w:tc>
      </w:tr>
      <w:tr w:rsidR="00390C5B" w:rsidRPr="002B2EDE" w14:paraId="77819FD6" w14:textId="77777777" w:rsidTr="00390C5B">
        <w:trPr>
          <w:cantSplit/>
        </w:trPr>
        <w:tc>
          <w:tcPr>
            <w:tcW w:w="6186" w:type="dxa"/>
            <w:shd w:val="clear" w:color="auto" w:fill="auto"/>
            <w:tcMar>
              <w:top w:w="57" w:type="dxa"/>
              <w:left w:w="57" w:type="dxa"/>
              <w:bottom w:w="57" w:type="dxa"/>
            </w:tcMar>
          </w:tcPr>
          <w:p w14:paraId="7772E124" w14:textId="77777777" w:rsidR="00390C5B" w:rsidRPr="006E70D8" w:rsidRDefault="00390C5B" w:rsidP="00390C5B">
            <w:pPr>
              <w:pStyle w:val="8pttabletext"/>
              <w:rPr>
                <w:b/>
              </w:rPr>
            </w:pPr>
            <w:r w:rsidRPr="006E70D8">
              <w:rPr>
                <w:b/>
              </w:rPr>
              <w:t>Large Grants Program</w:t>
            </w:r>
          </w:p>
        </w:tc>
        <w:tc>
          <w:tcPr>
            <w:tcW w:w="1276" w:type="dxa"/>
            <w:shd w:val="clear" w:color="auto" w:fill="auto"/>
            <w:noWrap/>
            <w:tcMar>
              <w:top w:w="57" w:type="dxa"/>
              <w:left w:w="57" w:type="dxa"/>
              <w:bottom w:w="57" w:type="dxa"/>
              <w:right w:w="142" w:type="dxa"/>
            </w:tcMar>
          </w:tcPr>
          <w:p w14:paraId="0D342761" w14:textId="77777777" w:rsidR="00390C5B" w:rsidRPr="005C5EAF" w:rsidRDefault="00390C5B" w:rsidP="00390C5B">
            <w:pPr>
              <w:pStyle w:val="8pttabletext"/>
              <w:jc w:val="right"/>
            </w:pPr>
          </w:p>
        </w:tc>
        <w:tc>
          <w:tcPr>
            <w:tcW w:w="2126" w:type="dxa"/>
            <w:shd w:val="clear" w:color="auto" w:fill="auto"/>
            <w:tcMar>
              <w:top w:w="57" w:type="dxa"/>
              <w:left w:w="57" w:type="dxa"/>
              <w:bottom w:w="57" w:type="dxa"/>
            </w:tcMar>
          </w:tcPr>
          <w:p w14:paraId="24D76D1C" w14:textId="77777777" w:rsidR="00390C5B" w:rsidRPr="005C5EAF" w:rsidRDefault="00390C5B" w:rsidP="00390C5B">
            <w:pPr>
              <w:pStyle w:val="8pttabletext"/>
            </w:pPr>
          </w:p>
        </w:tc>
      </w:tr>
      <w:tr w:rsidR="00390C5B" w:rsidRPr="00055145" w14:paraId="695C9893" w14:textId="77777777" w:rsidTr="00390C5B">
        <w:trPr>
          <w:cantSplit/>
          <w:trHeight w:val="582"/>
        </w:trPr>
        <w:tc>
          <w:tcPr>
            <w:tcW w:w="6186" w:type="dxa"/>
            <w:shd w:val="clear" w:color="auto" w:fill="auto"/>
            <w:tcMar>
              <w:top w:w="57" w:type="dxa"/>
              <w:left w:w="57" w:type="dxa"/>
              <w:bottom w:w="57" w:type="dxa"/>
            </w:tcMar>
          </w:tcPr>
          <w:p w14:paraId="42DDDEAF" w14:textId="77777777" w:rsidR="00390C5B" w:rsidRPr="0073230D" w:rsidRDefault="00390C5B" w:rsidP="00390C5B">
            <w:pPr>
              <w:pStyle w:val="8pttabletext"/>
              <w:rPr>
                <w:b/>
              </w:rPr>
            </w:pPr>
            <w:r w:rsidRPr="006E70D8">
              <w:rPr>
                <w:bCs/>
              </w:rPr>
              <w:t>Increase fish habitat in the lower Loddon River, Macoma main channel to Kerang Weir and lower Pyramid Creek. Balance of 10% of funding. Total project funding of $150,100.</w:t>
            </w:r>
          </w:p>
        </w:tc>
        <w:tc>
          <w:tcPr>
            <w:tcW w:w="1276" w:type="dxa"/>
            <w:shd w:val="clear" w:color="auto" w:fill="DFEDF1"/>
            <w:noWrap/>
            <w:tcMar>
              <w:top w:w="57" w:type="dxa"/>
              <w:left w:w="57" w:type="dxa"/>
              <w:bottom w:w="57" w:type="dxa"/>
              <w:right w:w="142" w:type="dxa"/>
            </w:tcMar>
          </w:tcPr>
          <w:p w14:paraId="54B4C8D9" w14:textId="77777777" w:rsidR="00390C5B" w:rsidRPr="006E70D8" w:rsidRDefault="00390C5B" w:rsidP="00390C5B">
            <w:pPr>
              <w:pStyle w:val="8pttabletext"/>
              <w:jc w:val="right"/>
            </w:pPr>
            <w:r w:rsidRPr="006E70D8">
              <w:t>$15,010.00</w:t>
            </w:r>
          </w:p>
        </w:tc>
        <w:tc>
          <w:tcPr>
            <w:tcW w:w="2126" w:type="dxa"/>
            <w:shd w:val="clear" w:color="auto" w:fill="auto"/>
            <w:tcMar>
              <w:top w:w="57" w:type="dxa"/>
              <w:left w:w="57" w:type="dxa"/>
              <w:bottom w:w="57" w:type="dxa"/>
            </w:tcMar>
          </w:tcPr>
          <w:p w14:paraId="368A0E8A" w14:textId="77777777" w:rsidR="00390C5B" w:rsidRPr="006E70D8" w:rsidRDefault="00390C5B" w:rsidP="00390C5B">
            <w:pPr>
              <w:pStyle w:val="8pttabletext"/>
            </w:pPr>
            <w:r w:rsidRPr="006E70D8">
              <w:t>North Central Catchment Management Authority</w:t>
            </w:r>
          </w:p>
        </w:tc>
      </w:tr>
      <w:tr w:rsidR="00390C5B" w:rsidRPr="00BE438B" w14:paraId="1EE3E36B" w14:textId="77777777" w:rsidTr="00390C5B">
        <w:trPr>
          <w:cantSplit/>
        </w:trPr>
        <w:tc>
          <w:tcPr>
            <w:tcW w:w="6186" w:type="dxa"/>
            <w:shd w:val="clear" w:color="auto" w:fill="auto"/>
            <w:tcMar>
              <w:top w:w="57" w:type="dxa"/>
              <w:left w:w="57" w:type="dxa"/>
              <w:bottom w:w="57" w:type="dxa"/>
            </w:tcMar>
          </w:tcPr>
          <w:p w14:paraId="20563471" w14:textId="77777777" w:rsidR="00390C5B" w:rsidRPr="0073230D" w:rsidRDefault="00390C5B" w:rsidP="00390C5B">
            <w:pPr>
              <w:pStyle w:val="8pttabletext"/>
              <w:rPr>
                <w:b/>
              </w:rPr>
            </w:pPr>
            <w:r w:rsidRPr="0073230D">
              <w:rPr>
                <w:b/>
              </w:rPr>
              <w:t>Sub-Total</w:t>
            </w:r>
          </w:p>
        </w:tc>
        <w:tc>
          <w:tcPr>
            <w:tcW w:w="1276" w:type="dxa"/>
            <w:shd w:val="clear" w:color="auto" w:fill="auto"/>
            <w:noWrap/>
            <w:tcMar>
              <w:top w:w="57" w:type="dxa"/>
              <w:left w:w="57" w:type="dxa"/>
              <w:bottom w:w="57" w:type="dxa"/>
              <w:right w:w="142" w:type="dxa"/>
            </w:tcMar>
          </w:tcPr>
          <w:p w14:paraId="2626A240" w14:textId="77777777" w:rsidR="00390C5B" w:rsidRPr="0073230D" w:rsidRDefault="00390C5B" w:rsidP="00390C5B">
            <w:pPr>
              <w:pStyle w:val="8pttabletext"/>
              <w:jc w:val="right"/>
              <w:rPr>
                <w:b/>
              </w:rPr>
            </w:pPr>
            <w:r w:rsidRPr="00D62E4E">
              <w:rPr>
                <w:b/>
              </w:rPr>
              <w:t>$</w:t>
            </w:r>
            <w:r>
              <w:rPr>
                <w:b/>
              </w:rPr>
              <w:t>95</w:t>
            </w:r>
            <w:r w:rsidRPr="00D62E4E">
              <w:rPr>
                <w:b/>
              </w:rPr>
              <w:t>,</w:t>
            </w:r>
            <w:r>
              <w:rPr>
                <w:b/>
              </w:rPr>
              <w:t>010</w:t>
            </w:r>
            <w:r w:rsidRPr="00D62E4E">
              <w:rPr>
                <w:b/>
              </w:rPr>
              <w:t>.</w:t>
            </w:r>
            <w:r>
              <w:rPr>
                <w:b/>
              </w:rPr>
              <w:t>0</w:t>
            </w:r>
            <w:r w:rsidRPr="00D62E4E">
              <w:rPr>
                <w:b/>
              </w:rPr>
              <w:t>0</w:t>
            </w:r>
          </w:p>
        </w:tc>
        <w:tc>
          <w:tcPr>
            <w:tcW w:w="2126" w:type="dxa"/>
            <w:shd w:val="clear" w:color="auto" w:fill="auto"/>
            <w:tcMar>
              <w:top w:w="57" w:type="dxa"/>
              <w:left w:w="57" w:type="dxa"/>
              <w:bottom w:w="57" w:type="dxa"/>
            </w:tcMar>
          </w:tcPr>
          <w:p w14:paraId="332B4ADE" w14:textId="77777777" w:rsidR="00390C5B" w:rsidRPr="00BE438B" w:rsidRDefault="00390C5B" w:rsidP="00390C5B">
            <w:pPr>
              <w:pStyle w:val="8pttabletext"/>
              <w:rPr>
                <w:b/>
              </w:rPr>
            </w:pPr>
          </w:p>
        </w:tc>
      </w:tr>
      <w:tr w:rsidR="00390C5B" w:rsidRPr="00BE438B" w14:paraId="0F049495" w14:textId="77777777" w:rsidTr="00390C5B">
        <w:trPr>
          <w:cantSplit/>
        </w:trPr>
        <w:tc>
          <w:tcPr>
            <w:tcW w:w="6186" w:type="dxa"/>
            <w:shd w:val="clear" w:color="auto" w:fill="auto"/>
            <w:tcMar>
              <w:top w:w="57" w:type="dxa"/>
              <w:left w:w="57" w:type="dxa"/>
              <w:bottom w:w="57" w:type="dxa"/>
            </w:tcMar>
          </w:tcPr>
          <w:p w14:paraId="27983F43" w14:textId="77777777" w:rsidR="00390C5B" w:rsidRPr="00BE438B" w:rsidRDefault="00390C5B" w:rsidP="00390C5B">
            <w:pPr>
              <w:pStyle w:val="8pttabletext"/>
              <w:rPr>
                <w:b/>
                <w:sz w:val="18"/>
                <w:szCs w:val="18"/>
              </w:rPr>
            </w:pPr>
            <w:r w:rsidRPr="00BE438B">
              <w:rPr>
                <w:b/>
                <w:sz w:val="18"/>
                <w:szCs w:val="18"/>
              </w:rPr>
              <w:t>Projects initially announced in 2010/11</w:t>
            </w:r>
          </w:p>
        </w:tc>
        <w:tc>
          <w:tcPr>
            <w:tcW w:w="1276" w:type="dxa"/>
            <w:shd w:val="clear" w:color="auto" w:fill="auto"/>
            <w:noWrap/>
            <w:tcMar>
              <w:top w:w="57" w:type="dxa"/>
              <w:left w:w="57" w:type="dxa"/>
              <w:bottom w:w="57" w:type="dxa"/>
              <w:right w:w="142" w:type="dxa"/>
            </w:tcMar>
          </w:tcPr>
          <w:p w14:paraId="16BFBA72" w14:textId="77777777" w:rsidR="00390C5B" w:rsidRPr="00BE438B" w:rsidRDefault="00390C5B" w:rsidP="00390C5B">
            <w:pPr>
              <w:pStyle w:val="8pttabletext"/>
              <w:jc w:val="right"/>
              <w:rPr>
                <w:b/>
              </w:rPr>
            </w:pPr>
          </w:p>
        </w:tc>
        <w:tc>
          <w:tcPr>
            <w:tcW w:w="2126" w:type="dxa"/>
            <w:shd w:val="clear" w:color="auto" w:fill="auto"/>
            <w:tcMar>
              <w:top w:w="57" w:type="dxa"/>
              <w:left w:w="57" w:type="dxa"/>
              <w:bottom w:w="57" w:type="dxa"/>
            </w:tcMar>
          </w:tcPr>
          <w:p w14:paraId="5460575E" w14:textId="77777777" w:rsidR="00390C5B" w:rsidRPr="00BE438B" w:rsidRDefault="00390C5B" w:rsidP="00390C5B">
            <w:pPr>
              <w:pStyle w:val="8pttabletext"/>
              <w:rPr>
                <w:b/>
              </w:rPr>
            </w:pPr>
          </w:p>
        </w:tc>
      </w:tr>
      <w:tr w:rsidR="00390C5B" w:rsidRPr="00B31E5B" w14:paraId="1D81417C" w14:textId="77777777" w:rsidTr="00390C5B">
        <w:trPr>
          <w:cantSplit/>
        </w:trPr>
        <w:tc>
          <w:tcPr>
            <w:tcW w:w="6186" w:type="dxa"/>
            <w:shd w:val="clear" w:color="auto" w:fill="auto"/>
            <w:tcMar>
              <w:top w:w="57" w:type="dxa"/>
              <w:left w:w="57" w:type="dxa"/>
              <w:bottom w:w="57" w:type="dxa"/>
            </w:tcMar>
          </w:tcPr>
          <w:p w14:paraId="3DC4CD07" w14:textId="77777777" w:rsidR="00390C5B" w:rsidRPr="004232D1" w:rsidRDefault="00390C5B" w:rsidP="00390C5B">
            <w:pPr>
              <w:pStyle w:val="8pttabletext"/>
            </w:pPr>
            <w:r w:rsidRPr="004232D1">
              <w:rPr>
                <w:b/>
              </w:rPr>
              <w:t>Large Grants Program</w:t>
            </w:r>
          </w:p>
        </w:tc>
        <w:tc>
          <w:tcPr>
            <w:tcW w:w="1276" w:type="dxa"/>
            <w:shd w:val="clear" w:color="auto" w:fill="auto"/>
            <w:noWrap/>
            <w:tcMar>
              <w:top w:w="57" w:type="dxa"/>
              <w:left w:w="57" w:type="dxa"/>
              <w:bottom w:w="57" w:type="dxa"/>
              <w:right w:w="142" w:type="dxa"/>
            </w:tcMar>
          </w:tcPr>
          <w:p w14:paraId="41FA6886" w14:textId="77777777" w:rsidR="00390C5B" w:rsidRPr="004232D1" w:rsidRDefault="00390C5B" w:rsidP="00390C5B">
            <w:pPr>
              <w:pStyle w:val="8pttabletext"/>
              <w:jc w:val="right"/>
            </w:pPr>
          </w:p>
        </w:tc>
        <w:tc>
          <w:tcPr>
            <w:tcW w:w="2126" w:type="dxa"/>
            <w:shd w:val="clear" w:color="auto" w:fill="auto"/>
            <w:tcMar>
              <w:top w:w="57" w:type="dxa"/>
              <w:left w:w="57" w:type="dxa"/>
              <w:bottom w:w="57" w:type="dxa"/>
            </w:tcMar>
          </w:tcPr>
          <w:p w14:paraId="3E88B47F" w14:textId="77777777" w:rsidR="00390C5B" w:rsidRPr="004232D1" w:rsidRDefault="00390C5B" w:rsidP="00390C5B">
            <w:pPr>
              <w:pStyle w:val="8pttabletext"/>
            </w:pPr>
          </w:p>
        </w:tc>
      </w:tr>
      <w:tr w:rsidR="00390C5B" w:rsidRPr="00D25B7F" w14:paraId="5893A2A9" w14:textId="77777777" w:rsidTr="00390C5B">
        <w:trPr>
          <w:cantSplit/>
        </w:trPr>
        <w:tc>
          <w:tcPr>
            <w:tcW w:w="6186" w:type="dxa"/>
            <w:shd w:val="clear" w:color="auto" w:fill="auto"/>
            <w:tcMar>
              <w:top w:w="57" w:type="dxa"/>
              <w:left w:w="57" w:type="dxa"/>
              <w:bottom w:w="57" w:type="dxa"/>
            </w:tcMar>
          </w:tcPr>
          <w:p w14:paraId="02B9E141" w14:textId="77777777" w:rsidR="00390C5B" w:rsidRPr="004F12AC" w:rsidRDefault="00390C5B" w:rsidP="00390C5B">
            <w:pPr>
              <w:pStyle w:val="8pttabletext"/>
            </w:pPr>
            <w:r w:rsidRPr="007845E7">
              <w:t>Spawning sources, movement patterns, and nursery area replenishment of spawning populations of King George whiting in south-eastern Australia - closing the life history loop.</w:t>
            </w:r>
            <w:r>
              <w:t xml:space="preserve"> </w:t>
            </w:r>
            <w:r w:rsidRPr="000222B5">
              <w:t>90%</w:t>
            </w:r>
            <w:r>
              <w:t xml:space="preserve"> </w:t>
            </w:r>
            <w:r w:rsidRPr="000222B5">
              <w:t>instalment of year t</w:t>
            </w:r>
            <w:r>
              <w:t xml:space="preserve">wo </w:t>
            </w:r>
            <w:r w:rsidRPr="000222B5">
              <w:t>funding</w:t>
            </w:r>
            <w:r w:rsidRPr="007845E7">
              <w:t>. Total project funding of $126,000.</w:t>
            </w:r>
          </w:p>
        </w:tc>
        <w:tc>
          <w:tcPr>
            <w:tcW w:w="1276" w:type="dxa"/>
            <w:shd w:val="clear" w:color="auto" w:fill="DFEDF1"/>
            <w:noWrap/>
            <w:tcMar>
              <w:top w:w="57" w:type="dxa"/>
              <w:left w:w="57" w:type="dxa"/>
              <w:bottom w:w="57" w:type="dxa"/>
              <w:right w:w="142" w:type="dxa"/>
            </w:tcMar>
          </w:tcPr>
          <w:p w14:paraId="30033EB9" w14:textId="77777777" w:rsidR="00390C5B" w:rsidRDefault="00390C5B" w:rsidP="00390C5B">
            <w:pPr>
              <w:pStyle w:val="8pttabletext"/>
              <w:jc w:val="right"/>
            </w:pPr>
            <w:r>
              <w:t>$57,600.00</w:t>
            </w:r>
          </w:p>
        </w:tc>
        <w:tc>
          <w:tcPr>
            <w:tcW w:w="2126" w:type="dxa"/>
            <w:shd w:val="clear" w:color="auto" w:fill="auto"/>
            <w:tcMar>
              <w:top w:w="57" w:type="dxa"/>
              <w:left w:w="57" w:type="dxa"/>
              <w:bottom w:w="57" w:type="dxa"/>
            </w:tcMar>
          </w:tcPr>
          <w:p w14:paraId="078A1D53" w14:textId="77777777" w:rsidR="00390C5B" w:rsidRDefault="00390C5B" w:rsidP="00390C5B">
            <w:pPr>
              <w:pStyle w:val="8pttabletext"/>
            </w:pPr>
            <w:r w:rsidRPr="007845E7">
              <w:t>University of Melbourne</w:t>
            </w:r>
          </w:p>
        </w:tc>
      </w:tr>
      <w:tr w:rsidR="00390C5B" w:rsidRPr="00D25B7F" w14:paraId="66692110" w14:textId="77777777" w:rsidTr="00390C5B">
        <w:trPr>
          <w:cantSplit/>
        </w:trPr>
        <w:tc>
          <w:tcPr>
            <w:tcW w:w="6186" w:type="dxa"/>
            <w:shd w:val="clear" w:color="auto" w:fill="auto"/>
            <w:tcMar>
              <w:top w:w="57" w:type="dxa"/>
              <w:left w:w="57" w:type="dxa"/>
              <w:bottom w:w="57" w:type="dxa"/>
            </w:tcMar>
          </w:tcPr>
          <w:p w14:paraId="32D41F5D" w14:textId="77777777" w:rsidR="00390C5B" w:rsidRPr="000222B5" w:rsidRDefault="00390C5B" w:rsidP="00390C5B">
            <w:pPr>
              <w:pStyle w:val="8pttabletext"/>
            </w:pPr>
            <w:r w:rsidRPr="004F12AC">
              <w:t xml:space="preserve">Establish a reliable supply of Catfish fingerlings to restore Victoria’s catfish recreational fishery. </w:t>
            </w:r>
            <w:r>
              <w:t xml:space="preserve">90% of year three funding. </w:t>
            </w:r>
            <w:r w:rsidRPr="004F12AC">
              <w:t>Total project funding of $133,920.</w:t>
            </w:r>
          </w:p>
        </w:tc>
        <w:tc>
          <w:tcPr>
            <w:tcW w:w="1276" w:type="dxa"/>
            <w:shd w:val="clear" w:color="auto" w:fill="DFEDF1"/>
            <w:noWrap/>
            <w:tcMar>
              <w:top w:w="57" w:type="dxa"/>
              <w:left w:w="57" w:type="dxa"/>
              <w:bottom w:w="57" w:type="dxa"/>
              <w:right w:w="142" w:type="dxa"/>
            </w:tcMar>
          </w:tcPr>
          <w:p w14:paraId="0EC3F0D4" w14:textId="77777777" w:rsidR="00390C5B" w:rsidRPr="00F63F59" w:rsidRDefault="00390C5B" w:rsidP="00390C5B">
            <w:pPr>
              <w:pStyle w:val="8pttabletext"/>
              <w:jc w:val="right"/>
            </w:pPr>
            <w:r>
              <w:t>$43,560.00</w:t>
            </w:r>
          </w:p>
        </w:tc>
        <w:tc>
          <w:tcPr>
            <w:tcW w:w="2126" w:type="dxa"/>
            <w:shd w:val="clear" w:color="auto" w:fill="auto"/>
            <w:tcMar>
              <w:top w:w="57" w:type="dxa"/>
              <w:left w:w="57" w:type="dxa"/>
              <w:bottom w:w="57" w:type="dxa"/>
            </w:tcMar>
          </w:tcPr>
          <w:p w14:paraId="0DFAB7C8" w14:textId="77777777" w:rsidR="00390C5B" w:rsidRDefault="00390C5B" w:rsidP="00390C5B">
            <w:pPr>
              <w:pStyle w:val="8pttabletext"/>
            </w:pPr>
            <w:r>
              <w:t>Native Fish Australia</w:t>
            </w:r>
          </w:p>
        </w:tc>
      </w:tr>
      <w:tr w:rsidR="00390C5B" w:rsidRPr="00A76DFB" w14:paraId="1747CA92" w14:textId="77777777" w:rsidTr="00390C5B">
        <w:trPr>
          <w:cantSplit/>
        </w:trPr>
        <w:tc>
          <w:tcPr>
            <w:tcW w:w="6186" w:type="dxa"/>
            <w:shd w:val="clear" w:color="auto" w:fill="auto"/>
            <w:tcMar>
              <w:top w:w="57" w:type="dxa"/>
              <w:left w:w="57" w:type="dxa"/>
              <w:bottom w:w="57" w:type="dxa"/>
            </w:tcMar>
          </w:tcPr>
          <w:p w14:paraId="6A263F7F" w14:textId="77777777" w:rsidR="00390C5B" w:rsidRPr="00965A0F" w:rsidRDefault="00390C5B" w:rsidP="00390C5B">
            <w:pPr>
              <w:pStyle w:val="8pttabletext"/>
              <w:rPr>
                <w:b/>
              </w:rPr>
            </w:pPr>
            <w:r w:rsidRPr="00965A0F">
              <w:rPr>
                <w:b/>
              </w:rPr>
              <w:t>Sub-Total</w:t>
            </w:r>
          </w:p>
        </w:tc>
        <w:tc>
          <w:tcPr>
            <w:tcW w:w="1276" w:type="dxa"/>
            <w:shd w:val="clear" w:color="auto" w:fill="auto"/>
            <w:noWrap/>
            <w:tcMar>
              <w:top w:w="57" w:type="dxa"/>
              <w:left w:w="57" w:type="dxa"/>
              <w:bottom w:w="57" w:type="dxa"/>
              <w:right w:w="142" w:type="dxa"/>
            </w:tcMar>
          </w:tcPr>
          <w:p w14:paraId="585EDF6D" w14:textId="77777777" w:rsidR="00390C5B" w:rsidRPr="00965A0F" w:rsidRDefault="00390C5B" w:rsidP="00390C5B">
            <w:pPr>
              <w:pStyle w:val="8pttabletext"/>
              <w:jc w:val="right"/>
              <w:rPr>
                <w:b/>
              </w:rPr>
            </w:pPr>
            <w:r w:rsidRPr="00D62E4E">
              <w:rPr>
                <w:b/>
              </w:rPr>
              <w:t>$</w:t>
            </w:r>
            <w:r>
              <w:rPr>
                <w:b/>
              </w:rPr>
              <w:t>101</w:t>
            </w:r>
            <w:r w:rsidRPr="00D62E4E">
              <w:rPr>
                <w:b/>
              </w:rPr>
              <w:t>,</w:t>
            </w:r>
            <w:r>
              <w:rPr>
                <w:b/>
              </w:rPr>
              <w:t>160</w:t>
            </w:r>
            <w:r w:rsidRPr="00D62E4E">
              <w:rPr>
                <w:b/>
              </w:rPr>
              <w:t>.</w:t>
            </w:r>
            <w:r>
              <w:rPr>
                <w:b/>
              </w:rPr>
              <w:t>00</w:t>
            </w:r>
          </w:p>
        </w:tc>
        <w:tc>
          <w:tcPr>
            <w:tcW w:w="2126" w:type="dxa"/>
            <w:shd w:val="clear" w:color="auto" w:fill="auto"/>
            <w:tcMar>
              <w:top w:w="57" w:type="dxa"/>
              <w:left w:w="57" w:type="dxa"/>
              <w:bottom w:w="57" w:type="dxa"/>
            </w:tcMar>
          </w:tcPr>
          <w:p w14:paraId="4AAE2ED7" w14:textId="77777777" w:rsidR="00390C5B" w:rsidRPr="001355E7" w:rsidRDefault="00390C5B" w:rsidP="00390C5B">
            <w:pPr>
              <w:pStyle w:val="8pttabletext"/>
              <w:rPr>
                <w:b/>
                <w:highlight w:val="yellow"/>
              </w:rPr>
            </w:pPr>
          </w:p>
        </w:tc>
      </w:tr>
      <w:tr w:rsidR="00390C5B" w:rsidRPr="00BE438B" w14:paraId="129E5B30" w14:textId="77777777" w:rsidTr="00390C5B">
        <w:trPr>
          <w:cantSplit/>
        </w:trPr>
        <w:tc>
          <w:tcPr>
            <w:tcW w:w="6186" w:type="dxa"/>
            <w:shd w:val="clear" w:color="auto" w:fill="auto"/>
            <w:tcMar>
              <w:top w:w="57" w:type="dxa"/>
              <w:left w:w="57" w:type="dxa"/>
              <w:bottom w:w="57" w:type="dxa"/>
            </w:tcMar>
          </w:tcPr>
          <w:p w14:paraId="3832FC0F" w14:textId="77777777" w:rsidR="00390C5B" w:rsidRPr="00BE438B" w:rsidRDefault="00390C5B" w:rsidP="00390C5B">
            <w:pPr>
              <w:pStyle w:val="8pttabletext"/>
              <w:rPr>
                <w:b/>
                <w:sz w:val="18"/>
                <w:szCs w:val="18"/>
              </w:rPr>
            </w:pPr>
            <w:r w:rsidRPr="00BE438B">
              <w:rPr>
                <w:b/>
                <w:sz w:val="18"/>
                <w:szCs w:val="18"/>
              </w:rPr>
              <w:t>Projects initially announced in 2011/12</w:t>
            </w:r>
          </w:p>
        </w:tc>
        <w:tc>
          <w:tcPr>
            <w:tcW w:w="1276" w:type="dxa"/>
            <w:shd w:val="clear" w:color="auto" w:fill="auto"/>
            <w:noWrap/>
            <w:tcMar>
              <w:top w:w="57" w:type="dxa"/>
              <w:left w:w="57" w:type="dxa"/>
              <w:bottom w:w="57" w:type="dxa"/>
              <w:right w:w="142" w:type="dxa"/>
            </w:tcMar>
          </w:tcPr>
          <w:p w14:paraId="16FCAE0F" w14:textId="77777777" w:rsidR="00390C5B" w:rsidRPr="00BE438B" w:rsidRDefault="00390C5B" w:rsidP="00390C5B">
            <w:pPr>
              <w:pStyle w:val="8pttabletext"/>
              <w:jc w:val="right"/>
            </w:pPr>
          </w:p>
        </w:tc>
        <w:tc>
          <w:tcPr>
            <w:tcW w:w="2126" w:type="dxa"/>
            <w:shd w:val="clear" w:color="auto" w:fill="auto"/>
            <w:tcMar>
              <w:top w:w="57" w:type="dxa"/>
              <w:left w:w="57" w:type="dxa"/>
              <w:bottom w:w="57" w:type="dxa"/>
            </w:tcMar>
          </w:tcPr>
          <w:p w14:paraId="76AE2A6C" w14:textId="77777777" w:rsidR="00390C5B" w:rsidRPr="00BE438B" w:rsidRDefault="00390C5B" w:rsidP="00390C5B">
            <w:pPr>
              <w:pStyle w:val="8pttabletext"/>
            </w:pPr>
          </w:p>
        </w:tc>
      </w:tr>
      <w:tr w:rsidR="00390C5B" w:rsidRPr="001A3038" w14:paraId="4F51BEF3" w14:textId="77777777" w:rsidTr="00390C5B">
        <w:trPr>
          <w:cantSplit/>
        </w:trPr>
        <w:tc>
          <w:tcPr>
            <w:tcW w:w="6186" w:type="dxa"/>
            <w:shd w:val="clear" w:color="auto" w:fill="auto"/>
            <w:tcMar>
              <w:top w:w="57" w:type="dxa"/>
              <w:left w:w="57" w:type="dxa"/>
              <w:bottom w:w="57" w:type="dxa"/>
            </w:tcMar>
          </w:tcPr>
          <w:p w14:paraId="601CEDEB" w14:textId="77777777" w:rsidR="00390C5B" w:rsidRPr="001355E7" w:rsidRDefault="00390C5B" w:rsidP="00390C5B">
            <w:pPr>
              <w:pStyle w:val="8pttabletext"/>
              <w:rPr>
                <w:highlight w:val="yellow"/>
              </w:rPr>
            </w:pPr>
            <w:r w:rsidRPr="00E71E9A">
              <w:rPr>
                <w:b/>
              </w:rPr>
              <w:t>Large Grants Program</w:t>
            </w:r>
          </w:p>
        </w:tc>
        <w:tc>
          <w:tcPr>
            <w:tcW w:w="1276" w:type="dxa"/>
            <w:shd w:val="clear" w:color="auto" w:fill="auto"/>
            <w:noWrap/>
            <w:tcMar>
              <w:top w:w="57" w:type="dxa"/>
              <w:left w:w="57" w:type="dxa"/>
              <w:bottom w:w="57" w:type="dxa"/>
              <w:right w:w="142" w:type="dxa"/>
            </w:tcMar>
          </w:tcPr>
          <w:p w14:paraId="50E03406" w14:textId="77777777" w:rsidR="00390C5B" w:rsidRPr="001355E7" w:rsidRDefault="00390C5B" w:rsidP="00390C5B">
            <w:pPr>
              <w:pStyle w:val="8pttabletext"/>
              <w:jc w:val="right"/>
              <w:rPr>
                <w:highlight w:val="yellow"/>
              </w:rPr>
            </w:pPr>
          </w:p>
        </w:tc>
        <w:tc>
          <w:tcPr>
            <w:tcW w:w="2126" w:type="dxa"/>
            <w:shd w:val="clear" w:color="auto" w:fill="auto"/>
            <w:tcMar>
              <w:top w:w="57" w:type="dxa"/>
              <w:left w:w="57" w:type="dxa"/>
              <w:bottom w:w="57" w:type="dxa"/>
            </w:tcMar>
          </w:tcPr>
          <w:p w14:paraId="4438BA59" w14:textId="77777777" w:rsidR="00390C5B" w:rsidRPr="001355E7" w:rsidRDefault="00390C5B" w:rsidP="00390C5B">
            <w:pPr>
              <w:pStyle w:val="8pttabletext"/>
              <w:rPr>
                <w:highlight w:val="yellow"/>
              </w:rPr>
            </w:pPr>
          </w:p>
        </w:tc>
      </w:tr>
      <w:tr w:rsidR="00390C5B" w:rsidRPr="00B64E8C" w14:paraId="25AF5BC1" w14:textId="77777777" w:rsidTr="00390C5B">
        <w:trPr>
          <w:cantSplit/>
        </w:trPr>
        <w:tc>
          <w:tcPr>
            <w:tcW w:w="6186" w:type="dxa"/>
            <w:shd w:val="clear" w:color="auto" w:fill="auto"/>
            <w:tcMar>
              <w:top w:w="57" w:type="dxa"/>
              <w:left w:w="57" w:type="dxa"/>
              <w:bottom w:w="57" w:type="dxa"/>
            </w:tcMar>
          </w:tcPr>
          <w:p w14:paraId="0E174938" w14:textId="77777777" w:rsidR="00390C5B" w:rsidRPr="000222B5" w:rsidRDefault="00390C5B" w:rsidP="00390C5B">
            <w:pPr>
              <w:pStyle w:val="8pttabletext"/>
            </w:pPr>
            <w:r w:rsidRPr="00C96B3B">
              <w:rPr>
                <w:bCs/>
              </w:rPr>
              <w:t xml:space="preserve">Define the spawning needs of calamari in Port Phillip Bay. </w:t>
            </w:r>
            <w:r w:rsidRPr="00C96B3B">
              <w:t xml:space="preserve">Balance of 10% of funding. </w:t>
            </w:r>
            <w:r w:rsidRPr="00C96B3B">
              <w:rPr>
                <w:bCs/>
              </w:rPr>
              <w:t>Total project funding of $199,078.</w:t>
            </w:r>
          </w:p>
        </w:tc>
        <w:tc>
          <w:tcPr>
            <w:tcW w:w="1276" w:type="dxa"/>
            <w:shd w:val="clear" w:color="auto" w:fill="DFEDF1"/>
            <w:noWrap/>
            <w:tcMar>
              <w:top w:w="57" w:type="dxa"/>
              <w:left w:w="57" w:type="dxa"/>
              <w:bottom w:w="57" w:type="dxa"/>
              <w:right w:w="142" w:type="dxa"/>
            </w:tcMar>
          </w:tcPr>
          <w:p w14:paraId="2E60B420" w14:textId="77777777" w:rsidR="00390C5B" w:rsidRPr="00F63F59" w:rsidRDefault="00390C5B" w:rsidP="00390C5B">
            <w:pPr>
              <w:pStyle w:val="8pttabletext"/>
              <w:jc w:val="right"/>
            </w:pPr>
            <w:r>
              <w:t>$19,907.80</w:t>
            </w:r>
          </w:p>
        </w:tc>
        <w:tc>
          <w:tcPr>
            <w:tcW w:w="2126" w:type="dxa"/>
            <w:shd w:val="clear" w:color="auto" w:fill="auto"/>
            <w:tcMar>
              <w:top w:w="57" w:type="dxa"/>
              <w:left w:w="57" w:type="dxa"/>
              <w:bottom w:w="57" w:type="dxa"/>
            </w:tcMar>
          </w:tcPr>
          <w:p w14:paraId="4EEAEDBD" w14:textId="77777777" w:rsidR="00390C5B" w:rsidRPr="0032373E" w:rsidRDefault="00390C5B" w:rsidP="00390C5B">
            <w:pPr>
              <w:pStyle w:val="8pttabletext"/>
            </w:pPr>
            <w:r w:rsidRPr="0032373E">
              <w:t>Department of Environment and Primary Industries, Fisheries Victoria</w:t>
            </w:r>
          </w:p>
        </w:tc>
      </w:tr>
      <w:tr w:rsidR="00390C5B" w:rsidRPr="00B64E8C" w14:paraId="09FC68CB" w14:textId="77777777" w:rsidTr="00390C5B">
        <w:trPr>
          <w:cantSplit/>
        </w:trPr>
        <w:tc>
          <w:tcPr>
            <w:tcW w:w="6186" w:type="dxa"/>
            <w:shd w:val="clear" w:color="auto" w:fill="auto"/>
            <w:tcMar>
              <w:top w:w="57" w:type="dxa"/>
              <w:left w:w="57" w:type="dxa"/>
              <w:bottom w:w="57" w:type="dxa"/>
            </w:tcMar>
          </w:tcPr>
          <w:p w14:paraId="535FCAC3" w14:textId="77777777" w:rsidR="00390C5B" w:rsidRPr="000222B5" w:rsidRDefault="00390C5B" w:rsidP="00390C5B">
            <w:pPr>
              <w:pStyle w:val="8pttabletext"/>
            </w:pPr>
            <w:r w:rsidRPr="000222B5">
              <w:t xml:space="preserve">Create a new Estuary perch recreational fishery in south-west Victoria. </w:t>
            </w:r>
            <w:r>
              <w:t>Balance of 1</w:t>
            </w:r>
            <w:r w:rsidRPr="000222B5">
              <w:t>0% funding. Total project funding of $150,000 over three years.</w:t>
            </w:r>
          </w:p>
        </w:tc>
        <w:tc>
          <w:tcPr>
            <w:tcW w:w="1276" w:type="dxa"/>
            <w:shd w:val="clear" w:color="auto" w:fill="DFEDF1"/>
            <w:noWrap/>
            <w:tcMar>
              <w:top w:w="57" w:type="dxa"/>
              <w:left w:w="57" w:type="dxa"/>
              <w:bottom w:w="57" w:type="dxa"/>
              <w:right w:w="142" w:type="dxa"/>
            </w:tcMar>
          </w:tcPr>
          <w:p w14:paraId="1CF277E7" w14:textId="77777777" w:rsidR="00390C5B" w:rsidRPr="00F63F59" w:rsidRDefault="00390C5B" w:rsidP="00390C5B">
            <w:pPr>
              <w:pStyle w:val="8pttabletext"/>
              <w:jc w:val="right"/>
            </w:pPr>
            <w:r w:rsidRPr="00F63F59">
              <w:t>$</w:t>
            </w:r>
            <w:r>
              <w:t>1</w:t>
            </w:r>
            <w:r w:rsidRPr="00F63F59">
              <w:t>5,000.00</w:t>
            </w:r>
          </w:p>
        </w:tc>
        <w:tc>
          <w:tcPr>
            <w:tcW w:w="2126" w:type="dxa"/>
            <w:shd w:val="clear" w:color="auto" w:fill="auto"/>
            <w:tcMar>
              <w:top w:w="57" w:type="dxa"/>
              <w:left w:w="57" w:type="dxa"/>
              <w:bottom w:w="57" w:type="dxa"/>
            </w:tcMar>
          </w:tcPr>
          <w:p w14:paraId="1CEEA353" w14:textId="77777777" w:rsidR="00390C5B" w:rsidRPr="0032373E" w:rsidRDefault="00390C5B" w:rsidP="00390C5B">
            <w:pPr>
              <w:pStyle w:val="8pttabletext"/>
            </w:pPr>
            <w:r w:rsidRPr="0032373E">
              <w:t>Department of Environment and Primary Industries, Fisheries Victoria</w:t>
            </w:r>
          </w:p>
        </w:tc>
      </w:tr>
      <w:tr w:rsidR="00390C5B" w:rsidRPr="0022673B" w14:paraId="713013E0" w14:textId="77777777" w:rsidTr="00390C5B">
        <w:trPr>
          <w:cantSplit/>
        </w:trPr>
        <w:tc>
          <w:tcPr>
            <w:tcW w:w="6186" w:type="dxa"/>
            <w:shd w:val="clear" w:color="auto" w:fill="auto"/>
            <w:tcMar>
              <w:top w:w="57" w:type="dxa"/>
              <w:left w:w="57" w:type="dxa"/>
              <w:bottom w:w="57" w:type="dxa"/>
            </w:tcMar>
          </w:tcPr>
          <w:p w14:paraId="334CEBB8" w14:textId="77777777" w:rsidR="00390C5B" w:rsidRPr="000222B5" w:rsidRDefault="00390C5B" w:rsidP="00390C5B">
            <w:pPr>
              <w:pStyle w:val="8pttabletext"/>
            </w:pPr>
            <w:r w:rsidRPr="000222B5">
              <w:t xml:space="preserve">Establish a new Australian Bass recreational fishery in the Nicholson River. </w:t>
            </w:r>
            <w:r>
              <w:t>Balance of 1</w:t>
            </w:r>
            <w:r w:rsidRPr="000222B5">
              <w:t xml:space="preserve">0% funding. Total project funding of $100,000 over three years. </w:t>
            </w:r>
          </w:p>
        </w:tc>
        <w:tc>
          <w:tcPr>
            <w:tcW w:w="1276" w:type="dxa"/>
            <w:shd w:val="clear" w:color="auto" w:fill="DFEDF1"/>
            <w:noWrap/>
            <w:tcMar>
              <w:top w:w="57" w:type="dxa"/>
              <w:left w:w="57" w:type="dxa"/>
              <w:bottom w:w="57" w:type="dxa"/>
              <w:right w:w="142" w:type="dxa"/>
            </w:tcMar>
          </w:tcPr>
          <w:p w14:paraId="28FBBF9F" w14:textId="77777777" w:rsidR="00390C5B" w:rsidRPr="00F63F59" w:rsidRDefault="00390C5B" w:rsidP="00390C5B">
            <w:pPr>
              <w:pStyle w:val="8pttabletext"/>
              <w:jc w:val="right"/>
            </w:pPr>
            <w:r w:rsidRPr="00F63F59">
              <w:t>$1</w:t>
            </w:r>
            <w:r>
              <w:t>0</w:t>
            </w:r>
            <w:r w:rsidRPr="00F63F59">
              <w:t>,000.00</w:t>
            </w:r>
          </w:p>
        </w:tc>
        <w:tc>
          <w:tcPr>
            <w:tcW w:w="2126" w:type="dxa"/>
            <w:shd w:val="clear" w:color="auto" w:fill="auto"/>
            <w:tcMar>
              <w:top w:w="57" w:type="dxa"/>
              <w:left w:w="57" w:type="dxa"/>
              <w:bottom w:w="57" w:type="dxa"/>
            </w:tcMar>
          </w:tcPr>
          <w:p w14:paraId="5CF2FF11" w14:textId="77777777" w:rsidR="00390C5B" w:rsidRPr="0032373E" w:rsidRDefault="00390C5B" w:rsidP="00390C5B">
            <w:pPr>
              <w:pStyle w:val="8pttabletext"/>
            </w:pPr>
            <w:r w:rsidRPr="0032373E">
              <w:t>Department of Environment and Primary Industries, Fisheries Victoria</w:t>
            </w:r>
          </w:p>
        </w:tc>
      </w:tr>
      <w:tr w:rsidR="00390C5B" w:rsidRPr="002B2EDE" w14:paraId="0E0CAD83" w14:textId="77777777" w:rsidTr="00390C5B">
        <w:trPr>
          <w:cantSplit/>
        </w:trPr>
        <w:tc>
          <w:tcPr>
            <w:tcW w:w="6186" w:type="dxa"/>
            <w:shd w:val="clear" w:color="auto" w:fill="auto"/>
            <w:tcMar>
              <w:top w:w="57" w:type="dxa"/>
              <w:left w:w="57" w:type="dxa"/>
              <w:bottom w:w="57" w:type="dxa"/>
            </w:tcMar>
          </w:tcPr>
          <w:p w14:paraId="5C777D5F" w14:textId="77777777" w:rsidR="00390C5B" w:rsidRPr="000222B5" w:rsidRDefault="00390C5B" w:rsidP="00390C5B">
            <w:pPr>
              <w:pStyle w:val="8pttabletext"/>
            </w:pPr>
            <w:r w:rsidRPr="006104C1">
              <w:rPr>
                <w:bCs/>
              </w:rPr>
              <w:t>Assess the post-release survival of southern bluefin tuna from recreational fishing (Tasmania and Victoria). Balance of 10% of funding.</w:t>
            </w:r>
            <w:r w:rsidRPr="006104C1">
              <w:t xml:space="preserve"> </w:t>
            </w:r>
            <w:r w:rsidRPr="006104C1">
              <w:rPr>
                <w:bCs/>
              </w:rPr>
              <w:t>Total project funding of $69,460.</w:t>
            </w:r>
          </w:p>
        </w:tc>
        <w:tc>
          <w:tcPr>
            <w:tcW w:w="1276" w:type="dxa"/>
            <w:shd w:val="clear" w:color="auto" w:fill="DFEDF1"/>
            <w:noWrap/>
            <w:tcMar>
              <w:top w:w="57" w:type="dxa"/>
              <w:left w:w="57" w:type="dxa"/>
              <w:bottom w:w="57" w:type="dxa"/>
              <w:right w:w="142" w:type="dxa"/>
            </w:tcMar>
          </w:tcPr>
          <w:p w14:paraId="6F118F3C" w14:textId="77777777" w:rsidR="00390C5B" w:rsidRPr="003330A9" w:rsidRDefault="00390C5B" w:rsidP="00390C5B">
            <w:pPr>
              <w:pStyle w:val="8pttabletext"/>
              <w:jc w:val="right"/>
            </w:pPr>
            <w:r w:rsidRPr="003330A9">
              <w:t>$</w:t>
            </w:r>
            <w:r>
              <w:t>7</w:t>
            </w:r>
            <w:r w:rsidRPr="003330A9">
              <w:t>,6</w:t>
            </w:r>
            <w:r>
              <w:t>40</w:t>
            </w:r>
            <w:r w:rsidRPr="003330A9">
              <w:t>.</w:t>
            </w:r>
            <w:r>
              <w:t>6</w:t>
            </w:r>
            <w:r w:rsidRPr="003330A9">
              <w:t>0</w:t>
            </w:r>
          </w:p>
        </w:tc>
        <w:tc>
          <w:tcPr>
            <w:tcW w:w="2126" w:type="dxa"/>
            <w:shd w:val="clear" w:color="auto" w:fill="auto"/>
            <w:tcMar>
              <w:top w:w="57" w:type="dxa"/>
              <w:left w:w="57" w:type="dxa"/>
              <w:bottom w:w="57" w:type="dxa"/>
            </w:tcMar>
          </w:tcPr>
          <w:p w14:paraId="0FB0D5F4" w14:textId="77777777" w:rsidR="00390C5B" w:rsidRPr="003330A9" w:rsidRDefault="00390C5B" w:rsidP="00390C5B">
            <w:pPr>
              <w:pStyle w:val="8pttabletext"/>
            </w:pPr>
            <w:r w:rsidRPr="003330A9">
              <w:t>Institute for Marine and Antarctic Studies - University of Tasmania</w:t>
            </w:r>
          </w:p>
        </w:tc>
      </w:tr>
      <w:tr w:rsidR="00390C5B" w:rsidRPr="002B2EDE" w14:paraId="18346785" w14:textId="77777777" w:rsidTr="00390C5B">
        <w:trPr>
          <w:cantSplit/>
        </w:trPr>
        <w:tc>
          <w:tcPr>
            <w:tcW w:w="6186" w:type="dxa"/>
            <w:shd w:val="clear" w:color="auto" w:fill="auto"/>
            <w:tcMar>
              <w:top w:w="57" w:type="dxa"/>
              <w:left w:w="57" w:type="dxa"/>
              <w:bottom w:w="57" w:type="dxa"/>
            </w:tcMar>
          </w:tcPr>
          <w:p w14:paraId="17693317" w14:textId="77777777" w:rsidR="00390C5B" w:rsidRPr="005B5CE5" w:rsidRDefault="00390C5B" w:rsidP="00390C5B">
            <w:pPr>
              <w:pStyle w:val="8pttabletext"/>
            </w:pPr>
            <w:r w:rsidRPr="006C0745">
              <w:t>Improve recreational fisher access and facilities along the Goulburn River, Shepparton. Balance of 10% of funding. Total project funding of $25,000.</w:t>
            </w:r>
          </w:p>
        </w:tc>
        <w:tc>
          <w:tcPr>
            <w:tcW w:w="1276" w:type="dxa"/>
            <w:shd w:val="clear" w:color="auto" w:fill="DFEDF1"/>
            <w:noWrap/>
            <w:tcMar>
              <w:top w:w="57" w:type="dxa"/>
              <w:left w:w="57" w:type="dxa"/>
              <w:bottom w:w="57" w:type="dxa"/>
              <w:right w:w="142" w:type="dxa"/>
            </w:tcMar>
          </w:tcPr>
          <w:p w14:paraId="39D9AB2F" w14:textId="77777777" w:rsidR="00390C5B" w:rsidRDefault="00390C5B" w:rsidP="00390C5B">
            <w:pPr>
              <w:pStyle w:val="8pttabletext"/>
              <w:jc w:val="right"/>
            </w:pPr>
            <w:r>
              <w:t>$2,500.00</w:t>
            </w:r>
          </w:p>
        </w:tc>
        <w:tc>
          <w:tcPr>
            <w:tcW w:w="2126" w:type="dxa"/>
            <w:shd w:val="clear" w:color="auto" w:fill="auto"/>
            <w:tcMar>
              <w:top w:w="57" w:type="dxa"/>
              <w:left w:w="57" w:type="dxa"/>
              <w:bottom w:w="57" w:type="dxa"/>
            </w:tcMar>
          </w:tcPr>
          <w:p w14:paraId="6E88FBE5" w14:textId="77777777" w:rsidR="00390C5B" w:rsidRPr="0032373E" w:rsidRDefault="00390C5B" w:rsidP="00390C5B">
            <w:pPr>
              <w:pStyle w:val="8pttabletext"/>
            </w:pPr>
            <w:r>
              <w:t>Goulburn Broken Catchment Management Authority</w:t>
            </w:r>
          </w:p>
        </w:tc>
      </w:tr>
      <w:tr w:rsidR="00390C5B" w:rsidRPr="002B2EDE" w14:paraId="24AEC5DA" w14:textId="77777777" w:rsidTr="00390C5B">
        <w:trPr>
          <w:cantSplit/>
        </w:trPr>
        <w:tc>
          <w:tcPr>
            <w:tcW w:w="6186" w:type="dxa"/>
            <w:shd w:val="clear" w:color="auto" w:fill="auto"/>
            <w:tcMar>
              <w:top w:w="57" w:type="dxa"/>
              <w:left w:w="57" w:type="dxa"/>
              <w:bottom w:w="57" w:type="dxa"/>
            </w:tcMar>
          </w:tcPr>
          <w:p w14:paraId="2D741F60" w14:textId="77777777" w:rsidR="00390C5B" w:rsidRPr="000222B5" w:rsidRDefault="00390C5B" w:rsidP="00390C5B">
            <w:pPr>
              <w:pStyle w:val="8pttabletext"/>
            </w:pPr>
            <w:r w:rsidRPr="005B5CE5">
              <w:t>Produce &amp; distribute a ‘Victorian Fishing Trail’ brochure for the seasoned recreational fisher. Balance of 10% of funding. Total project funding of $11,900.</w:t>
            </w:r>
          </w:p>
        </w:tc>
        <w:tc>
          <w:tcPr>
            <w:tcW w:w="1276" w:type="dxa"/>
            <w:shd w:val="clear" w:color="auto" w:fill="DFEDF1"/>
            <w:noWrap/>
            <w:tcMar>
              <w:top w:w="57" w:type="dxa"/>
              <w:left w:w="57" w:type="dxa"/>
              <w:bottom w:w="57" w:type="dxa"/>
              <w:right w:w="142" w:type="dxa"/>
            </w:tcMar>
          </w:tcPr>
          <w:p w14:paraId="5AE47958" w14:textId="77777777" w:rsidR="00390C5B" w:rsidRPr="00F63F59" w:rsidRDefault="00390C5B" w:rsidP="00390C5B">
            <w:pPr>
              <w:pStyle w:val="8pttabletext"/>
              <w:jc w:val="right"/>
            </w:pPr>
            <w:r>
              <w:t>$1,190.00</w:t>
            </w:r>
          </w:p>
        </w:tc>
        <w:tc>
          <w:tcPr>
            <w:tcW w:w="2126" w:type="dxa"/>
            <w:shd w:val="clear" w:color="auto" w:fill="auto"/>
            <w:tcMar>
              <w:top w:w="57" w:type="dxa"/>
              <w:left w:w="57" w:type="dxa"/>
              <w:bottom w:w="57" w:type="dxa"/>
            </w:tcMar>
          </w:tcPr>
          <w:p w14:paraId="0A100C26" w14:textId="77777777" w:rsidR="00390C5B" w:rsidRPr="0032373E" w:rsidRDefault="00390C5B" w:rsidP="00390C5B">
            <w:pPr>
              <w:pStyle w:val="8pttabletext"/>
            </w:pPr>
            <w:r w:rsidRPr="0032373E">
              <w:t>Department of Environment and Primary Industries, Fisheries Victoria</w:t>
            </w:r>
          </w:p>
        </w:tc>
      </w:tr>
      <w:tr w:rsidR="00390C5B" w:rsidRPr="001B7437" w14:paraId="041763FE" w14:textId="77777777" w:rsidTr="00390C5B">
        <w:trPr>
          <w:cantSplit/>
          <w:trHeight w:val="528"/>
        </w:trPr>
        <w:tc>
          <w:tcPr>
            <w:tcW w:w="6186" w:type="dxa"/>
            <w:shd w:val="clear" w:color="auto" w:fill="auto"/>
            <w:tcMar>
              <w:top w:w="57" w:type="dxa"/>
              <w:left w:w="57" w:type="dxa"/>
              <w:bottom w:w="57" w:type="dxa"/>
            </w:tcMar>
          </w:tcPr>
          <w:p w14:paraId="5FE910F0" w14:textId="77777777" w:rsidR="00390C5B" w:rsidRPr="005C20B9" w:rsidRDefault="00390C5B" w:rsidP="00390C5B">
            <w:pPr>
              <w:pStyle w:val="8pttabletext"/>
              <w:rPr>
                <w:bCs/>
                <w:strike/>
                <w:spacing w:val="-4"/>
              </w:rPr>
            </w:pPr>
            <w:r w:rsidRPr="005B5CE5">
              <w:t>Produce and distribute a ‘Kayak fishing in Victoria’ educational brochure. B</w:t>
            </w:r>
            <w:r w:rsidRPr="005B5CE5">
              <w:rPr>
                <w:bCs/>
              </w:rPr>
              <w:t>alance of 10% of funding.</w:t>
            </w:r>
            <w:r w:rsidRPr="005B5CE5">
              <w:t xml:space="preserve"> Total project funding of $10,095.</w:t>
            </w:r>
          </w:p>
        </w:tc>
        <w:tc>
          <w:tcPr>
            <w:tcW w:w="1276" w:type="dxa"/>
            <w:shd w:val="clear" w:color="auto" w:fill="DFEDF1"/>
            <w:noWrap/>
            <w:tcMar>
              <w:top w:w="57" w:type="dxa"/>
              <w:left w:w="57" w:type="dxa"/>
              <w:bottom w:w="57" w:type="dxa"/>
              <w:right w:w="142" w:type="dxa"/>
            </w:tcMar>
          </w:tcPr>
          <w:p w14:paraId="0B3BB1BD" w14:textId="77777777" w:rsidR="00390C5B" w:rsidRPr="005C20B9" w:rsidRDefault="00390C5B" w:rsidP="00390C5B">
            <w:pPr>
              <w:pStyle w:val="8pttabletext"/>
              <w:jc w:val="right"/>
              <w:rPr>
                <w:strike/>
              </w:rPr>
            </w:pPr>
            <w:r w:rsidRPr="005B5CE5">
              <w:t>$1,009.50</w:t>
            </w:r>
          </w:p>
        </w:tc>
        <w:tc>
          <w:tcPr>
            <w:tcW w:w="2126" w:type="dxa"/>
            <w:shd w:val="clear" w:color="auto" w:fill="auto"/>
            <w:tcMar>
              <w:top w:w="57" w:type="dxa"/>
              <w:left w:w="57" w:type="dxa"/>
              <w:bottom w:w="57" w:type="dxa"/>
            </w:tcMar>
          </w:tcPr>
          <w:p w14:paraId="0C1E5E61" w14:textId="77777777" w:rsidR="00390C5B" w:rsidRPr="005C20B9" w:rsidRDefault="00390C5B" w:rsidP="00390C5B">
            <w:pPr>
              <w:pStyle w:val="8pttabletext"/>
              <w:rPr>
                <w:strike/>
              </w:rPr>
            </w:pPr>
            <w:r w:rsidRPr="0032373E">
              <w:t>Department of Environment and Primary Industries, Fisheries Victoria</w:t>
            </w:r>
          </w:p>
        </w:tc>
      </w:tr>
      <w:tr w:rsidR="00390C5B" w:rsidRPr="00FB0DEF" w14:paraId="2B31D460" w14:textId="77777777" w:rsidTr="00390C5B">
        <w:trPr>
          <w:cantSplit/>
        </w:trPr>
        <w:tc>
          <w:tcPr>
            <w:tcW w:w="6186" w:type="dxa"/>
            <w:shd w:val="clear" w:color="auto" w:fill="auto"/>
            <w:tcMar>
              <w:top w:w="57" w:type="dxa"/>
              <w:left w:w="57" w:type="dxa"/>
              <w:bottom w:w="57" w:type="dxa"/>
            </w:tcMar>
          </w:tcPr>
          <w:p w14:paraId="1063B5F5" w14:textId="77777777" w:rsidR="00390C5B" w:rsidRPr="0009474A" w:rsidRDefault="00390C5B" w:rsidP="00390C5B">
            <w:pPr>
              <w:pStyle w:val="8pttabletext"/>
              <w:rPr>
                <w:b/>
              </w:rPr>
            </w:pPr>
            <w:r w:rsidRPr="0009474A">
              <w:rPr>
                <w:b/>
              </w:rPr>
              <w:t>Sub-Total</w:t>
            </w:r>
          </w:p>
        </w:tc>
        <w:tc>
          <w:tcPr>
            <w:tcW w:w="1276" w:type="dxa"/>
            <w:shd w:val="clear" w:color="auto" w:fill="auto"/>
            <w:noWrap/>
            <w:tcMar>
              <w:top w:w="57" w:type="dxa"/>
              <w:left w:w="57" w:type="dxa"/>
              <w:bottom w:w="57" w:type="dxa"/>
              <w:right w:w="142" w:type="dxa"/>
            </w:tcMar>
          </w:tcPr>
          <w:p w14:paraId="5C4831B3" w14:textId="77777777" w:rsidR="00390C5B" w:rsidRPr="00F63F59" w:rsidRDefault="00390C5B" w:rsidP="00390C5B">
            <w:pPr>
              <w:pStyle w:val="8pttabletext"/>
              <w:jc w:val="right"/>
              <w:rPr>
                <w:b/>
              </w:rPr>
            </w:pPr>
            <w:r w:rsidRPr="003330A9">
              <w:rPr>
                <w:b/>
              </w:rPr>
              <w:t>$5</w:t>
            </w:r>
            <w:r>
              <w:rPr>
                <w:b/>
              </w:rPr>
              <w:t>7</w:t>
            </w:r>
            <w:r w:rsidRPr="003330A9">
              <w:rPr>
                <w:b/>
              </w:rPr>
              <w:t>,</w:t>
            </w:r>
            <w:r>
              <w:rPr>
                <w:b/>
              </w:rPr>
              <w:t>247</w:t>
            </w:r>
            <w:r w:rsidRPr="003330A9">
              <w:rPr>
                <w:b/>
              </w:rPr>
              <w:t>.</w:t>
            </w:r>
            <w:r>
              <w:rPr>
                <w:b/>
              </w:rPr>
              <w:t>9</w:t>
            </w:r>
            <w:r w:rsidRPr="003330A9">
              <w:rPr>
                <w:b/>
              </w:rPr>
              <w:t>0</w:t>
            </w:r>
          </w:p>
        </w:tc>
        <w:tc>
          <w:tcPr>
            <w:tcW w:w="2126" w:type="dxa"/>
            <w:shd w:val="clear" w:color="auto" w:fill="auto"/>
            <w:tcMar>
              <w:top w:w="57" w:type="dxa"/>
              <w:left w:w="57" w:type="dxa"/>
              <w:bottom w:w="57" w:type="dxa"/>
            </w:tcMar>
          </w:tcPr>
          <w:p w14:paraId="58A7749F" w14:textId="77777777" w:rsidR="00390C5B" w:rsidRPr="0009474A" w:rsidRDefault="00390C5B" w:rsidP="00390C5B">
            <w:pPr>
              <w:pStyle w:val="8pttabletext"/>
            </w:pPr>
          </w:p>
        </w:tc>
      </w:tr>
      <w:tr w:rsidR="00390C5B" w:rsidRPr="002234C8" w14:paraId="54D48414" w14:textId="77777777" w:rsidTr="00390C5B">
        <w:trPr>
          <w:cantSplit/>
        </w:trPr>
        <w:tc>
          <w:tcPr>
            <w:tcW w:w="6186" w:type="dxa"/>
            <w:shd w:val="clear" w:color="auto" w:fill="auto"/>
            <w:tcMar>
              <w:top w:w="57" w:type="dxa"/>
              <w:left w:w="57" w:type="dxa"/>
              <w:bottom w:w="57" w:type="dxa"/>
            </w:tcMar>
          </w:tcPr>
          <w:p w14:paraId="31AD2DD5" w14:textId="77777777" w:rsidR="00390C5B" w:rsidRPr="002234C8" w:rsidRDefault="00390C5B" w:rsidP="00390C5B">
            <w:pPr>
              <w:pStyle w:val="8pttabletext"/>
              <w:rPr>
                <w:b/>
                <w:sz w:val="18"/>
                <w:szCs w:val="18"/>
              </w:rPr>
            </w:pPr>
            <w:r w:rsidRPr="002234C8">
              <w:rPr>
                <w:b/>
                <w:sz w:val="18"/>
                <w:szCs w:val="18"/>
              </w:rPr>
              <w:t xml:space="preserve">Projects </w:t>
            </w:r>
            <w:r>
              <w:rPr>
                <w:b/>
                <w:sz w:val="18"/>
                <w:szCs w:val="18"/>
              </w:rPr>
              <w:t xml:space="preserve">initially </w:t>
            </w:r>
            <w:r w:rsidRPr="002234C8">
              <w:rPr>
                <w:b/>
                <w:sz w:val="18"/>
                <w:szCs w:val="18"/>
              </w:rPr>
              <w:t>announced in 2012/13</w:t>
            </w:r>
            <w:r w:rsidRPr="002234C8">
              <w:rPr>
                <w:b/>
                <w:sz w:val="18"/>
                <w:szCs w:val="18"/>
              </w:rPr>
              <w:tab/>
            </w:r>
            <w:r w:rsidRPr="002234C8">
              <w:rPr>
                <w:b/>
                <w:sz w:val="18"/>
                <w:szCs w:val="18"/>
              </w:rPr>
              <w:tab/>
            </w:r>
          </w:p>
        </w:tc>
        <w:tc>
          <w:tcPr>
            <w:tcW w:w="1276" w:type="dxa"/>
            <w:shd w:val="clear" w:color="auto" w:fill="auto"/>
            <w:noWrap/>
            <w:tcMar>
              <w:top w:w="57" w:type="dxa"/>
              <w:left w:w="57" w:type="dxa"/>
              <w:bottom w:w="57" w:type="dxa"/>
              <w:right w:w="142" w:type="dxa"/>
            </w:tcMar>
          </w:tcPr>
          <w:p w14:paraId="5BC41EBE" w14:textId="77777777" w:rsidR="00390C5B" w:rsidRPr="002234C8" w:rsidRDefault="00390C5B" w:rsidP="00390C5B">
            <w:pPr>
              <w:pStyle w:val="8pttabletext"/>
              <w:jc w:val="right"/>
              <w:rPr>
                <w:b/>
              </w:rPr>
            </w:pPr>
          </w:p>
        </w:tc>
        <w:tc>
          <w:tcPr>
            <w:tcW w:w="2126" w:type="dxa"/>
            <w:shd w:val="clear" w:color="auto" w:fill="auto"/>
            <w:tcMar>
              <w:top w:w="57" w:type="dxa"/>
              <w:left w:w="57" w:type="dxa"/>
              <w:bottom w:w="57" w:type="dxa"/>
            </w:tcMar>
          </w:tcPr>
          <w:p w14:paraId="0DDC3B1D" w14:textId="77777777" w:rsidR="00390C5B" w:rsidRPr="002234C8" w:rsidRDefault="00390C5B" w:rsidP="00390C5B">
            <w:pPr>
              <w:pStyle w:val="8pttabletext"/>
              <w:rPr>
                <w:b/>
              </w:rPr>
            </w:pPr>
          </w:p>
        </w:tc>
      </w:tr>
      <w:tr w:rsidR="00390C5B" w:rsidRPr="002234C8" w14:paraId="2B367C8A" w14:textId="77777777" w:rsidTr="00390C5B">
        <w:trPr>
          <w:cantSplit/>
        </w:trPr>
        <w:tc>
          <w:tcPr>
            <w:tcW w:w="6186" w:type="dxa"/>
            <w:shd w:val="clear" w:color="auto" w:fill="auto"/>
            <w:tcMar>
              <w:top w:w="57" w:type="dxa"/>
              <w:left w:w="57" w:type="dxa"/>
              <w:bottom w:w="57" w:type="dxa"/>
            </w:tcMar>
          </w:tcPr>
          <w:p w14:paraId="77DBC41C" w14:textId="77777777" w:rsidR="00390C5B" w:rsidRPr="000222B5" w:rsidRDefault="00390C5B" w:rsidP="00390C5B">
            <w:pPr>
              <w:pStyle w:val="8pttabletext"/>
              <w:rPr>
                <w:b/>
              </w:rPr>
            </w:pPr>
            <w:r w:rsidRPr="000222B5">
              <w:rPr>
                <w:b/>
              </w:rPr>
              <w:t>Large Grants Program</w:t>
            </w:r>
          </w:p>
        </w:tc>
        <w:tc>
          <w:tcPr>
            <w:tcW w:w="1276" w:type="dxa"/>
            <w:shd w:val="clear" w:color="auto" w:fill="auto"/>
            <w:noWrap/>
            <w:tcMar>
              <w:top w:w="57" w:type="dxa"/>
              <w:left w:w="57" w:type="dxa"/>
              <w:bottom w:w="57" w:type="dxa"/>
              <w:right w:w="142" w:type="dxa"/>
            </w:tcMar>
          </w:tcPr>
          <w:p w14:paraId="44FF6600" w14:textId="77777777" w:rsidR="00390C5B" w:rsidRPr="002234C8" w:rsidRDefault="00390C5B" w:rsidP="00390C5B">
            <w:pPr>
              <w:pStyle w:val="8pttabletext"/>
              <w:jc w:val="right"/>
              <w:rPr>
                <w:b/>
              </w:rPr>
            </w:pPr>
          </w:p>
        </w:tc>
        <w:tc>
          <w:tcPr>
            <w:tcW w:w="2126" w:type="dxa"/>
            <w:shd w:val="clear" w:color="auto" w:fill="auto"/>
            <w:tcMar>
              <w:top w:w="57" w:type="dxa"/>
              <w:left w:w="57" w:type="dxa"/>
              <w:bottom w:w="57" w:type="dxa"/>
            </w:tcMar>
          </w:tcPr>
          <w:p w14:paraId="14F8E359" w14:textId="77777777" w:rsidR="00390C5B" w:rsidRPr="002234C8" w:rsidRDefault="00390C5B" w:rsidP="00390C5B">
            <w:pPr>
              <w:pStyle w:val="8pttabletext"/>
              <w:rPr>
                <w:b/>
              </w:rPr>
            </w:pPr>
          </w:p>
        </w:tc>
      </w:tr>
      <w:tr w:rsidR="00390C5B" w:rsidRPr="001E62DD" w14:paraId="4536CCA9" w14:textId="77777777" w:rsidTr="00390C5B">
        <w:trPr>
          <w:cantSplit/>
        </w:trPr>
        <w:tc>
          <w:tcPr>
            <w:tcW w:w="6186" w:type="dxa"/>
            <w:shd w:val="clear" w:color="auto" w:fill="auto"/>
            <w:tcMar>
              <w:top w:w="57" w:type="dxa"/>
              <w:left w:w="57" w:type="dxa"/>
              <w:bottom w:w="57" w:type="dxa"/>
            </w:tcMar>
          </w:tcPr>
          <w:p w14:paraId="64547E3E" w14:textId="77777777" w:rsidR="00390C5B" w:rsidRPr="000222B5" w:rsidRDefault="00390C5B" w:rsidP="00390C5B">
            <w:pPr>
              <w:pStyle w:val="8pttabletext"/>
            </w:pPr>
            <w:r w:rsidRPr="000222B5">
              <w:t xml:space="preserve">Install 120 large wood structures in the Mitchell, Nicholson, Tambo and Snowy Rivers. 90% instalment of year </w:t>
            </w:r>
            <w:r>
              <w:t xml:space="preserve">three </w:t>
            </w:r>
            <w:r w:rsidRPr="000222B5">
              <w:t>funding</w:t>
            </w:r>
            <w:r>
              <w:t xml:space="preserve">. </w:t>
            </w:r>
            <w:r w:rsidRPr="000222B5">
              <w:t>Total project funding of $300,000.</w:t>
            </w:r>
          </w:p>
        </w:tc>
        <w:tc>
          <w:tcPr>
            <w:tcW w:w="1276" w:type="dxa"/>
            <w:shd w:val="clear" w:color="auto" w:fill="DFEDF1"/>
            <w:noWrap/>
            <w:tcMar>
              <w:top w:w="57" w:type="dxa"/>
              <w:left w:w="57" w:type="dxa"/>
              <w:bottom w:w="57" w:type="dxa"/>
              <w:right w:w="142" w:type="dxa"/>
            </w:tcMar>
          </w:tcPr>
          <w:p w14:paraId="187BEEA3" w14:textId="77777777" w:rsidR="00390C5B" w:rsidRPr="00F63F59" w:rsidRDefault="00390C5B" w:rsidP="00390C5B">
            <w:pPr>
              <w:pStyle w:val="8pttabletext"/>
              <w:jc w:val="right"/>
            </w:pPr>
            <w:r w:rsidRPr="00F63F59">
              <w:t>$</w:t>
            </w:r>
            <w:r>
              <w:t>9</w:t>
            </w:r>
            <w:r w:rsidRPr="00F63F59">
              <w:t>0,000.00</w:t>
            </w:r>
          </w:p>
        </w:tc>
        <w:tc>
          <w:tcPr>
            <w:tcW w:w="2126" w:type="dxa"/>
            <w:shd w:val="clear" w:color="auto" w:fill="auto"/>
            <w:tcMar>
              <w:top w:w="57" w:type="dxa"/>
              <w:left w:w="57" w:type="dxa"/>
              <w:bottom w:w="57" w:type="dxa"/>
            </w:tcMar>
          </w:tcPr>
          <w:p w14:paraId="657E9C15" w14:textId="77777777" w:rsidR="00390C5B" w:rsidRPr="0032373E" w:rsidRDefault="00390C5B" w:rsidP="00390C5B">
            <w:pPr>
              <w:pStyle w:val="8pttabletext"/>
            </w:pPr>
            <w:r w:rsidRPr="002234C8">
              <w:t>East Gippsland Catchment Management Authority</w:t>
            </w:r>
          </w:p>
        </w:tc>
      </w:tr>
      <w:tr w:rsidR="00390C5B" w:rsidRPr="0032373E" w14:paraId="04484423" w14:textId="77777777" w:rsidTr="00390C5B">
        <w:tblPrEx>
          <w:tblBorders>
            <w:top w:val="single" w:sz="8" w:space="0" w:color="F58426"/>
            <w:bottom w:val="single" w:sz="8" w:space="0" w:color="F58426"/>
            <w:insideH w:val="single" w:sz="8" w:space="0" w:color="F58426"/>
          </w:tblBorders>
        </w:tblPrEx>
        <w:trPr>
          <w:cantSplit/>
        </w:trPr>
        <w:tc>
          <w:tcPr>
            <w:tcW w:w="6186" w:type="dxa"/>
            <w:shd w:val="clear" w:color="auto" w:fill="auto"/>
            <w:tcMar>
              <w:top w:w="57" w:type="dxa"/>
              <w:left w:w="57" w:type="dxa"/>
              <w:bottom w:w="57" w:type="dxa"/>
            </w:tcMar>
          </w:tcPr>
          <w:p w14:paraId="625652F9" w14:textId="77777777" w:rsidR="00390C5B" w:rsidRPr="000222B5" w:rsidRDefault="00390C5B" w:rsidP="00390C5B">
            <w:pPr>
              <w:pStyle w:val="8pttabletext"/>
            </w:pPr>
            <w:r w:rsidRPr="00C73DB1">
              <w:t xml:space="preserve">Develop and implement a consistent method for assessing the sustainability of Murray cod in the Murray Darling Basin. </w:t>
            </w:r>
            <w:r>
              <w:t xml:space="preserve">90% instalment of year two funding. </w:t>
            </w:r>
            <w:r w:rsidRPr="00C73DB1">
              <w:t>Total project funding of $150,000.</w:t>
            </w:r>
          </w:p>
        </w:tc>
        <w:tc>
          <w:tcPr>
            <w:tcW w:w="1276" w:type="dxa"/>
            <w:shd w:val="clear" w:color="auto" w:fill="DFEDF1"/>
            <w:noWrap/>
            <w:tcMar>
              <w:top w:w="57" w:type="dxa"/>
              <w:left w:w="57" w:type="dxa"/>
              <w:bottom w:w="57" w:type="dxa"/>
              <w:right w:w="142" w:type="dxa"/>
            </w:tcMar>
          </w:tcPr>
          <w:p w14:paraId="24BA03A9" w14:textId="77777777" w:rsidR="00390C5B" w:rsidRPr="00F63F59" w:rsidRDefault="00390C5B" w:rsidP="00390C5B">
            <w:pPr>
              <w:pStyle w:val="8pttabletext"/>
              <w:jc w:val="right"/>
            </w:pPr>
            <w:r>
              <w:t>$45,000.00</w:t>
            </w:r>
          </w:p>
        </w:tc>
        <w:tc>
          <w:tcPr>
            <w:tcW w:w="2126" w:type="dxa"/>
            <w:shd w:val="clear" w:color="auto" w:fill="auto"/>
            <w:tcMar>
              <w:top w:w="57" w:type="dxa"/>
              <w:left w:w="57" w:type="dxa"/>
              <w:bottom w:w="57" w:type="dxa"/>
            </w:tcMar>
          </w:tcPr>
          <w:p w14:paraId="0F2B1EC6" w14:textId="77777777" w:rsidR="00390C5B" w:rsidRPr="0032373E" w:rsidRDefault="00390C5B" w:rsidP="00390C5B">
            <w:pPr>
              <w:pStyle w:val="8pttabletext"/>
            </w:pPr>
            <w:r>
              <w:t xml:space="preserve">Greenfish Consulting Pty Ltd </w:t>
            </w:r>
          </w:p>
        </w:tc>
      </w:tr>
      <w:tr w:rsidR="00390C5B" w:rsidRPr="00DD2D9D" w14:paraId="63938354" w14:textId="77777777" w:rsidTr="00390C5B">
        <w:trPr>
          <w:cantSplit/>
        </w:trPr>
        <w:tc>
          <w:tcPr>
            <w:tcW w:w="6186" w:type="dxa"/>
            <w:shd w:val="clear" w:color="auto" w:fill="auto"/>
            <w:tcMar>
              <w:top w:w="57" w:type="dxa"/>
              <w:left w:w="57" w:type="dxa"/>
              <w:bottom w:w="57" w:type="dxa"/>
            </w:tcMar>
          </w:tcPr>
          <w:p w14:paraId="636A9AA6" w14:textId="77777777" w:rsidR="00390C5B" w:rsidRPr="000222B5" w:rsidRDefault="00390C5B" w:rsidP="00390C5B">
            <w:pPr>
              <w:pStyle w:val="8pttabletext"/>
            </w:pPr>
            <w:r w:rsidRPr="000222B5">
              <w:t>Victorian ‘Fishers for Fish Habitat’ Program. 90%</w:t>
            </w:r>
            <w:r>
              <w:t xml:space="preserve"> </w:t>
            </w:r>
            <w:r w:rsidRPr="000222B5">
              <w:t>instalment of year t</w:t>
            </w:r>
            <w:r>
              <w:t>hree</w:t>
            </w:r>
            <w:r w:rsidRPr="000222B5">
              <w:t xml:space="preserve"> funding. Total project funding of $114,000 over three years.</w:t>
            </w:r>
          </w:p>
        </w:tc>
        <w:tc>
          <w:tcPr>
            <w:tcW w:w="1276" w:type="dxa"/>
            <w:shd w:val="clear" w:color="auto" w:fill="DFEDF1"/>
            <w:noWrap/>
            <w:tcMar>
              <w:top w:w="57" w:type="dxa"/>
              <w:left w:w="57" w:type="dxa"/>
              <w:bottom w:w="57" w:type="dxa"/>
              <w:right w:w="142" w:type="dxa"/>
            </w:tcMar>
          </w:tcPr>
          <w:p w14:paraId="0BBBCB64" w14:textId="77777777" w:rsidR="00390C5B" w:rsidRPr="00F63F59" w:rsidRDefault="00390C5B" w:rsidP="00390C5B">
            <w:pPr>
              <w:pStyle w:val="8pttabletext"/>
              <w:jc w:val="right"/>
            </w:pPr>
            <w:r w:rsidRPr="00F63F59">
              <w:t>$34,200.00</w:t>
            </w:r>
          </w:p>
        </w:tc>
        <w:tc>
          <w:tcPr>
            <w:tcW w:w="2126" w:type="dxa"/>
            <w:shd w:val="clear" w:color="auto" w:fill="auto"/>
            <w:tcMar>
              <w:top w:w="57" w:type="dxa"/>
              <w:left w:w="57" w:type="dxa"/>
              <w:bottom w:w="57" w:type="dxa"/>
            </w:tcMar>
          </w:tcPr>
          <w:p w14:paraId="3E76832F" w14:textId="77777777" w:rsidR="00390C5B" w:rsidRPr="0032373E" w:rsidRDefault="00390C5B" w:rsidP="00390C5B">
            <w:pPr>
              <w:pStyle w:val="8pttabletext"/>
            </w:pPr>
            <w:r w:rsidRPr="0032373E">
              <w:t>Department of Environment and Primary Industries, Arthur Rylah Institute</w:t>
            </w:r>
          </w:p>
        </w:tc>
      </w:tr>
      <w:tr w:rsidR="00390C5B" w:rsidRPr="00DD2D9D" w14:paraId="350AE845" w14:textId="77777777" w:rsidTr="00390C5B">
        <w:trPr>
          <w:cantSplit/>
        </w:trPr>
        <w:tc>
          <w:tcPr>
            <w:tcW w:w="6186" w:type="dxa"/>
            <w:shd w:val="clear" w:color="auto" w:fill="auto"/>
            <w:tcMar>
              <w:top w:w="57" w:type="dxa"/>
              <w:left w:w="57" w:type="dxa"/>
              <w:bottom w:w="57" w:type="dxa"/>
            </w:tcMar>
          </w:tcPr>
          <w:p w14:paraId="2D2224E1" w14:textId="77777777" w:rsidR="00390C5B" w:rsidRPr="00DA7479" w:rsidRDefault="00390C5B" w:rsidP="00390C5B">
            <w:pPr>
              <w:pStyle w:val="8pttabletext"/>
            </w:pPr>
            <w:r w:rsidRPr="00DA7479">
              <w:t>Fishcare ‘Fish Right’ workshops – conduct 450 junior recreational fisher workshops across Victoria. 90% instalment of year three funding. Total project funding of $113,500 over three years.</w:t>
            </w:r>
          </w:p>
        </w:tc>
        <w:tc>
          <w:tcPr>
            <w:tcW w:w="1276" w:type="dxa"/>
            <w:shd w:val="clear" w:color="auto" w:fill="DFEDF1"/>
            <w:noWrap/>
            <w:tcMar>
              <w:top w:w="57" w:type="dxa"/>
              <w:left w:w="57" w:type="dxa"/>
              <w:bottom w:w="57" w:type="dxa"/>
              <w:right w:w="142" w:type="dxa"/>
            </w:tcMar>
          </w:tcPr>
          <w:p w14:paraId="11ED8CC7" w14:textId="77777777" w:rsidR="00390C5B" w:rsidRPr="00A83E7F" w:rsidRDefault="00390C5B" w:rsidP="00390C5B">
            <w:pPr>
              <w:pStyle w:val="8pttabletext"/>
              <w:jc w:val="right"/>
            </w:pPr>
            <w:r w:rsidRPr="00DA7479">
              <w:t>$32,850.00</w:t>
            </w:r>
          </w:p>
        </w:tc>
        <w:tc>
          <w:tcPr>
            <w:tcW w:w="2126" w:type="dxa"/>
            <w:shd w:val="clear" w:color="auto" w:fill="auto"/>
            <w:tcMar>
              <w:top w:w="57" w:type="dxa"/>
              <w:left w:w="57" w:type="dxa"/>
              <w:bottom w:w="57" w:type="dxa"/>
            </w:tcMar>
          </w:tcPr>
          <w:p w14:paraId="613E7B3E" w14:textId="77777777" w:rsidR="00390C5B" w:rsidRPr="00DA7479" w:rsidRDefault="00390C5B" w:rsidP="00390C5B">
            <w:pPr>
              <w:pStyle w:val="8pttabletext"/>
            </w:pPr>
            <w:r w:rsidRPr="00DA7479">
              <w:t>Fishcare Victoria Inc.</w:t>
            </w:r>
          </w:p>
        </w:tc>
      </w:tr>
      <w:tr w:rsidR="00390C5B" w:rsidRPr="00DD2D9D" w14:paraId="54A00093" w14:textId="77777777" w:rsidTr="00390C5B">
        <w:trPr>
          <w:cantSplit/>
        </w:trPr>
        <w:tc>
          <w:tcPr>
            <w:tcW w:w="6186" w:type="dxa"/>
            <w:shd w:val="clear" w:color="auto" w:fill="auto"/>
            <w:tcMar>
              <w:top w:w="57" w:type="dxa"/>
              <w:left w:w="57" w:type="dxa"/>
              <w:bottom w:w="57" w:type="dxa"/>
            </w:tcMar>
          </w:tcPr>
          <w:p w14:paraId="7E7D645F" w14:textId="77777777" w:rsidR="00390C5B" w:rsidRPr="000222B5" w:rsidRDefault="00390C5B" w:rsidP="00390C5B">
            <w:pPr>
              <w:pStyle w:val="8pttabletext"/>
            </w:pPr>
            <w:r w:rsidRPr="000222B5">
              <w:t>Monitor the Chinook salmon fish stocking program at lakes Purrumbete and Bullen Merri. 90%</w:t>
            </w:r>
            <w:r>
              <w:t xml:space="preserve"> </w:t>
            </w:r>
            <w:r w:rsidRPr="000222B5">
              <w:t>instalment of year t</w:t>
            </w:r>
            <w:r>
              <w:t>hree</w:t>
            </w:r>
            <w:r w:rsidRPr="000222B5">
              <w:t xml:space="preserve"> funding. Total funding of $115,667 over three years.</w:t>
            </w:r>
          </w:p>
        </w:tc>
        <w:tc>
          <w:tcPr>
            <w:tcW w:w="1276" w:type="dxa"/>
            <w:shd w:val="clear" w:color="auto" w:fill="DFEDF1"/>
            <w:noWrap/>
            <w:tcMar>
              <w:top w:w="57" w:type="dxa"/>
              <w:left w:w="57" w:type="dxa"/>
              <w:bottom w:w="57" w:type="dxa"/>
              <w:right w:w="142" w:type="dxa"/>
            </w:tcMar>
          </w:tcPr>
          <w:p w14:paraId="2B809164" w14:textId="77777777" w:rsidR="00390C5B" w:rsidRPr="00F63F59" w:rsidRDefault="00390C5B" w:rsidP="00390C5B">
            <w:pPr>
              <w:pStyle w:val="8pttabletext"/>
              <w:jc w:val="right"/>
            </w:pPr>
            <w:r w:rsidRPr="00F63F59">
              <w:t>$</w:t>
            </w:r>
            <w:r>
              <w:t>31</w:t>
            </w:r>
            <w:r w:rsidRPr="00F63F59">
              <w:t>,6</w:t>
            </w:r>
            <w:r>
              <w:t>08</w:t>
            </w:r>
            <w:r w:rsidRPr="00F63F59">
              <w:t>.</w:t>
            </w:r>
            <w:r>
              <w:t>00</w:t>
            </w:r>
          </w:p>
        </w:tc>
        <w:tc>
          <w:tcPr>
            <w:tcW w:w="2126" w:type="dxa"/>
            <w:shd w:val="clear" w:color="auto" w:fill="auto"/>
            <w:tcMar>
              <w:top w:w="57" w:type="dxa"/>
              <w:left w:w="57" w:type="dxa"/>
              <w:bottom w:w="57" w:type="dxa"/>
            </w:tcMar>
          </w:tcPr>
          <w:p w14:paraId="7E566CFC" w14:textId="77777777" w:rsidR="00390C5B" w:rsidRPr="0032373E" w:rsidRDefault="00390C5B" w:rsidP="00390C5B">
            <w:pPr>
              <w:pStyle w:val="8pttabletext"/>
            </w:pPr>
            <w:r w:rsidRPr="0032373E">
              <w:t>Lake Purrumbete Angling Club Inc.</w:t>
            </w:r>
          </w:p>
        </w:tc>
      </w:tr>
      <w:tr w:rsidR="00390C5B" w:rsidRPr="001E62DD" w14:paraId="3E5C3BEA" w14:textId="77777777" w:rsidTr="00390C5B">
        <w:trPr>
          <w:cantSplit/>
          <w:trHeight w:val="598"/>
        </w:trPr>
        <w:tc>
          <w:tcPr>
            <w:tcW w:w="6186" w:type="dxa"/>
            <w:shd w:val="clear" w:color="auto" w:fill="auto"/>
            <w:tcMar>
              <w:top w:w="57" w:type="dxa"/>
              <w:left w:w="57" w:type="dxa"/>
              <w:bottom w:w="57" w:type="dxa"/>
            </w:tcMar>
          </w:tcPr>
          <w:p w14:paraId="1942D927" w14:textId="77777777" w:rsidR="00390C5B" w:rsidRPr="000222B5" w:rsidRDefault="00390C5B" w:rsidP="00390C5B">
            <w:pPr>
              <w:pStyle w:val="8pttabletext"/>
            </w:pPr>
            <w:r w:rsidRPr="000222B5">
              <w:t xml:space="preserve">Growing the success of Macquarie Perch breeding for future stocking into Victorian waterways. </w:t>
            </w:r>
            <w:r>
              <w:t>90%</w:t>
            </w:r>
            <w:r w:rsidRPr="000222B5">
              <w:t xml:space="preserve"> instalment of year </w:t>
            </w:r>
            <w:r>
              <w:t>two</w:t>
            </w:r>
            <w:r w:rsidRPr="000222B5">
              <w:t xml:space="preserve"> funding. Total project funding of $58,510 over two years.</w:t>
            </w:r>
          </w:p>
        </w:tc>
        <w:tc>
          <w:tcPr>
            <w:tcW w:w="1276" w:type="dxa"/>
            <w:shd w:val="clear" w:color="auto" w:fill="DFEDF1"/>
            <w:noWrap/>
            <w:tcMar>
              <w:top w:w="57" w:type="dxa"/>
              <w:left w:w="57" w:type="dxa"/>
              <w:bottom w:w="57" w:type="dxa"/>
              <w:right w:w="142" w:type="dxa"/>
            </w:tcMar>
          </w:tcPr>
          <w:p w14:paraId="3491672A" w14:textId="77777777" w:rsidR="00390C5B" w:rsidRPr="0026098C" w:rsidRDefault="00390C5B" w:rsidP="00390C5B">
            <w:pPr>
              <w:pStyle w:val="8pttabletext"/>
              <w:jc w:val="right"/>
            </w:pPr>
            <w:r w:rsidRPr="0026098C">
              <w:t>$13,500.00</w:t>
            </w:r>
          </w:p>
        </w:tc>
        <w:tc>
          <w:tcPr>
            <w:tcW w:w="2126" w:type="dxa"/>
            <w:shd w:val="clear" w:color="auto" w:fill="auto"/>
            <w:tcMar>
              <w:top w:w="57" w:type="dxa"/>
              <w:left w:w="57" w:type="dxa"/>
              <w:bottom w:w="57" w:type="dxa"/>
            </w:tcMar>
          </w:tcPr>
          <w:p w14:paraId="492F805D" w14:textId="77777777" w:rsidR="00390C5B" w:rsidRPr="0026098C" w:rsidRDefault="00390C5B" w:rsidP="00390C5B">
            <w:pPr>
              <w:pStyle w:val="8pttabletext"/>
            </w:pPr>
            <w:r w:rsidRPr="0026098C">
              <w:t>Monash University</w:t>
            </w:r>
          </w:p>
        </w:tc>
      </w:tr>
      <w:tr w:rsidR="00390C5B" w:rsidRPr="00DD2D9D" w14:paraId="72579589" w14:textId="77777777" w:rsidTr="00390C5B">
        <w:trPr>
          <w:cantSplit/>
        </w:trPr>
        <w:tc>
          <w:tcPr>
            <w:tcW w:w="6186" w:type="dxa"/>
            <w:shd w:val="clear" w:color="auto" w:fill="auto"/>
            <w:tcMar>
              <w:top w:w="57" w:type="dxa"/>
              <w:left w:w="57" w:type="dxa"/>
              <w:bottom w:w="57" w:type="dxa"/>
            </w:tcMar>
          </w:tcPr>
          <w:p w14:paraId="73734876" w14:textId="77777777" w:rsidR="00390C5B" w:rsidRPr="00AC6009" w:rsidRDefault="00390C5B" w:rsidP="00390C5B">
            <w:pPr>
              <w:pStyle w:val="8pttabletext"/>
              <w:rPr>
                <w:strike/>
              </w:rPr>
            </w:pPr>
            <w:r w:rsidRPr="006C0745">
              <w:t>Broken River Weir (Broken River) Fish Migration Initiative (Feasibility and Design phase). Balance of 10% of funding. Total project funding of $45,000.</w:t>
            </w:r>
          </w:p>
        </w:tc>
        <w:tc>
          <w:tcPr>
            <w:tcW w:w="1276" w:type="dxa"/>
            <w:shd w:val="clear" w:color="auto" w:fill="DFEDF1"/>
            <w:noWrap/>
            <w:tcMar>
              <w:top w:w="57" w:type="dxa"/>
              <w:left w:w="57" w:type="dxa"/>
              <w:bottom w:w="57" w:type="dxa"/>
              <w:right w:w="142" w:type="dxa"/>
            </w:tcMar>
          </w:tcPr>
          <w:p w14:paraId="28AFC982" w14:textId="77777777" w:rsidR="00390C5B" w:rsidRPr="00AC6009" w:rsidRDefault="00390C5B" w:rsidP="00390C5B">
            <w:pPr>
              <w:pStyle w:val="8pttabletext"/>
              <w:jc w:val="right"/>
              <w:rPr>
                <w:strike/>
              </w:rPr>
            </w:pPr>
            <w:r>
              <w:t>$4,500.00</w:t>
            </w:r>
          </w:p>
        </w:tc>
        <w:tc>
          <w:tcPr>
            <w:tcW w:w="2126" w:type="dxa"/>
            <w:shd w:val="clear" w:color="auto" w:fill="auto"/>
            <w:tcMar>
              <w:top w:w="57" w:type="dxa"/>
              <w:left w:w="57" w:type="dxa"/>
              <w:bottom w:w="57" w:type="dxa"/>
            </w:tcMar>
          </w:tcPr>
          <w:p w14:paraId="7AD256C4" w14:textId="77777777" w:rsidR="00390C5B" w:rsidRPr="00AC6009" w:rsidRDefault="00390C5B" w:rsidP="00390C5B">
            <w:pPr>
              <w:pStyle w:val="8pttabletext"/>
              <w:rPr>
                <w:strike/>
              </w:rPr>
            </w:pPr>
            <w:r>
              <w:t>Goulburn Broken Catchment Management Authority</w:t>
            </w:r>
          </w:p>
        </w:tc>
      </w:tr>
      <w:tr w:rsidR="00390C5B" w:rsidRPr="001A3038" w14:paraId="18175D29" w14:textId="77777777" w:rsidTr="00390C5B">
        <w:trPr>
          <w:cantSplit/>
        </w:trPr>
        <w:tc>
          <w:tcPr>
            <w:tcW w:w="6186" w:type="dxa"/>
            <w:shd w:val="clear" w:color="auto" w:fill="auto"/>
            <w:tcMar>
              <w:top w:w="57" w:type="dxa"/>
              <w:left w:w="57" w:type="dxa"/>
              <w:bottom w:w="57" w:type="dxa"/>
            </w:tcMar>
          </w:tcPr>
          <w:p w14:paraId="25109E2F" w14:textId="77777777" w:rsidR="00390C5B" w:rsidRPr="00B91B47" w:rsidRDefault="00390C5B" w:rsidP="00390C5B">
            <w:pPr>
              <w:pStyle w:val="8pttabletext"/>
              <w:rPr>
                <w:b/>
              </w:rPr>
            </w:pPr>
            <w:r w:rsidRPr="00B91B47">
              <w:rPr>
                <w:b/>
              </w:rPr>
              <w:t>Sub-Total</w:t>
            </w:r>
          </w:p>
        </w:tc>
        <w:tc>
          <w:tcPr>
            <w:tcW w:w="1276" w:type="dxa"/>
            <w:shd w:val="clear" w:color="auto" w:fill="auto"/>
            <w:noWrap/>
            <w:tcMar>
              <w:top w:w="57" w:type="dxa"/>
              <w:left w:w="57" w:type="dxa"/>
              <w:bottom w:w="57" w:type="dxa"/>
              <w:right w:w="142" w:type="dxa"/>
            </w:tcMar>
          </w:tcPr>
          <w:p w14:paraId="09913CD5" w14:textId="77777777" w:rsidR="00390C5B" w:rsidRPr="00F63F59" w:rsidRDefault="00390C5B" w:rsidP="00390C5B">
            <w:pPr>
              <w:pStyle w:val="8pttabletext"/>
              <w:jc w:val="right"/>
              <w:rPr>
                <w:b/>
              </w:rPr>
            </w:pPr>
            <w:r w:rsidRPr="0026098C">
              <w:rPr>
                <w:b/>
              </w:rPr>
              <w:t>$2</w:t>
            </w:r>
            <w:r>
              <w:rPr>
                <w:b/>
              </w:rPr>
              <w:t>51</w:t>
            </w:r>
            <w:r w:rsidRPr="0026098C">
              <w:rPr>
                <w:b/>
              </w:rPr>
              <w:t>,658.</w:t>
            </w:r>
            <w:r>
              <w:rPr>
                <w:b/>
              </w:rPr>
              <w:t>0</w:t>
            </w:r>
            <w:r w:rsidRPr="0026098C">
              <w:rPr>
                <w:b/>
              </w:rPr>
              <w:t>0</w:t>
            </w:r>
          </w:p>
        </w:tc>
        <w:tc>
          <w:tcPr>
            <w:tcW w:w="2126" w:type="dxa"/>
            <w:shd w:val="clear" w:color="auto" w:fill="auto"/>
            <w:tcMar>
              <w:top w:w="57" w:type="dxa"/>
              <w:left w:w="57" w:type="dxa"/>
              <w:bottom w:w="57" w:type="dxa"/>
            </w:tcMar>
          </w:tcPr>
          <w:p w14:paraId="23D75CFF" w14:textId="77777777" w:rsidR="00390C5B" w:rsidRPr="001355E7" w:rsidRDefault="00390C5B" w:rsidP="00390C5B">
            <w:pPr>
              <w:pStyle w:val="8pttabletext"/>
              <w:rPr>
                <w:highlight w:val="yellow"/>
              </w:rPr>
            </w:pPr>
          </w:p>
        </w:tc>
      </w:tr>
      <w:tr w:rsidR="00390C5B" w:rsidRPr="002234C8" w14:paraId="28365C10" w14:textId="77777777" w:rsidTr="00390C5B">
        <w:trPr>
          <w:cantSplit/>
        </w:trPr>
        <w:tc>
          <w:tcPr>
            <w:tcW w:w="6186" w:type="dxa"/>
            <w:shd w:val="clear" w:color="auto" w:fill="auto"/>
            <w:tcMar>
              <w:top w:w="57" w:type="dxa"/>
              <w:left w:w="57" w:type="dxa"/>
              <w:bottom w:w="57" w:type="dxa"/>
            </w:tcMar>
          </w:tcPr>
          <w:p w14:paraId="535D9C0D" w14:textId="77777777" w:rsidR="00390C5B" w:rsidRPr="002234C8" w:rsidRDefault="00390C5B" w:rsidP="00390C5B">
            <w:pPr>
              <w:pStyle w:val="8pttabletext"/>
              <w:rPr>
                <w:b/>
              </w:rPr>
            </w:pPr>
            <w:r w:rsidRPr="00BF016D">
              <w:rPr>
                <w:b/>
                <w:sz w:val="18"/>
                <w:szCs w:val="18"/>
              </w:rPr>
              <w:t xml:space="preserve">Projects </w:t>
            </w:r>
            <w:r>
              <w:rPr>
                <w:b/>
                <w:sz w:val="18"/>
                <w:szCs w:val="18"/>
              </w:rPr>
              <w:t xml:space="preserve">initially </w:t>
            </w:r>
            <w:r w:rsidRPr="00BF016D">
              <w:rPr>
                <w:b/>
                <w:sz w:val="18"/>
                <w:szCs w:val="18"/>
              </w:rPr>
              <w:t>announced in 2013/14</w:t>
            </w:r>
          </w:p>
        </w:tc>
        <w:tc>
          <w:tcPr>
            <w:tcW w:w="1276" w:type="dxa"/>
            <w:shd w:val="clear" w:color="auto" w:fill="auto"/>
            <w:noWrap/>
            <w:tcMar>
              <w:top w:w="57" w:type="dxa"/>
              <w:left w:w="57" w:type="dxa"/>
              <w:bottom w:w="57" w:type="dxa"/>
              <w:right w:w="142" w:type="dxa"/>
            </w:tcMar>
          </w:tcPr>
          <w:p w14:paraId="4938745E" w14:textId="77777777" w:rsidR="00390C5B" w:rsidRPr="002234C8" w:rsidRDefault="00390C5B" w:rsidP="00390C5B">
            <w:pPr>
              <w:pStyle w:val="8pttabletext"/>
              <w:jc w:val="right"/>
              <w:rPr>
                <w:b/>
              </w:rPr>
            </w:pPr>
          </w:p>
        </w:tc>
        <w:tc>
          <w:tcPr>
            <w:tcW w:w="2126" w:type="dxa"/>
            <w:shd w:val="clear" w:color="auto" w:fill="auto"/>
            <w:tcMar>
              <w:top w:w="57" w:type="dxa"/>
              <w:left w:w="57" w:type="dxa"/>
              <w:bottom w:w="57" w:type="dxa"/>
            </w:tcMar>
          </w:tcPr>
          <w:p w14:paraId="15D5053B" w14:textId="77777777" w:rsidR="00390C5B" w:rsidRPr="002234C8" w:rsidRDefault="00390C5B" w:rsidP="00390C5B">
            <w:pPr>
              <w:pStyle w:val="8pttabletext"/>
              <w:rPr>
                <w:b/>
              </w:rPr>
            </w:pPr>
          </w:p>
        </w:tc>
      </w:tr>
      <w:tr w:rsidR="00390C5B" w:rsidRPr="002234C8" w14:paraId="2A91C5A9" w14:textId="77777777" w:rsidTr="00390C5B">
        <w:trPr>
          <w:cantSplit/>
        </w:trPr>
        <w:tc>
          <w:tcPr>
            <w:tcW w:w="6186" w:type="dxa"/>
            <w:shd w:val="clear" w:color="auto" w:fill="auto"/>
            <w:tcMar>
              <w:top w:w="57" w:type="dxa"/>
              <w:left w:w="57" w:type="dxa"/>
              <w:bottom w:w="57" w:type="dxa"/>
            </w:tcMar>
          </w:tcPr>
          <w:p w14:paraId="48768B0F" w14:textId="77777777" w:rsidR="00390C5B" w:rsidRPr="002234C8" w:rsidRDefault="00390C5B" w:rsidP="00390C5B">
            <w:pPr>
              <w:pStyle w:val="8pttabletext"/>
              <w:rPr>
                <w:b/>
              </w:rPr>
            </w:pPr>
            <w:r w:rsidRPr="00BE438B">
              <w:rPr>
                <w:b/>
              </w:rPr>
              <w:t>Commissioning Grants Program</w:t>
            </w:r>
          </w:p>
        </w:tc>
        <w:tc>
          <w:tcPr>
            <w:tcW w:w="1276" w:type="dxa"/>
            <w:shd w:val="clear" w:color="auto" w:fill="auto"/>
            <w:noWrap/>
            <w:tcMar>
              <w:top w:w="57" w:type="dxa"/>
              <w:left w:w="57" w:type="dxa"/>
              <w:bottom w:w="57" w:type="dxa"/>
              <w:right w:w="142" w:type="dxa"/>
            </w:tcMar>
          </w:tcPr>
          <w:p w14:paraId="06C18F9A" w14:textId="77777777" w:rsidR="00390C5B" w:rsidRPr="002234C8" w:rsidRDefault="00390C5B" w:rsidP="00390C5B">
            <w:pPr>
              <w:pStyle w:val="8pttabletext"/>
              <w:jc w:val="right"/>
              <w:rPr>
                <w:b/>
              </w:rPr>
            </w:pPr>
          </w:p>
        </w:tc>
        <w:tc>
          <w:tcPr>
            <w:tcW w:w="2126" w:type="dxa"/>
            <w:shd w:val="clear" w:color="auto" w:fill="auto"/>
            <w:tcMar>
              <w:top w:w="57" w:type="dxa"/>
              <w:left w:w="57" w:type="dxa"/>
              <w:bottom w:w="57" w:type="dxa"/>
            </w:tcMar>
          </w:tcPr>
          <w:p w14:paraId="4AAEAF8E" w14:textId="77777777" w:rsidR="00390C5B" w:rsidRPr="002234C8" w:rsidRDefault="00390C5B" w:rsidP="00390C5B">
            <w:pPr>
              <w:pStyle w:val="8pttabletext"/>
              <w:rPr>
                <w:b/>
              </w:rPr>
            </w:pPr>
          </w:p>
        </w:tc>
      </w:tr>
      <w:tr w:rsidR="00390C5B" w:rsidRPr="002234C8" w14:paraId="7181F58D" w14:textId="77777777" w:rsidTr="00390C5B">
        <w:trPr>
          <w:cantSplit/>
        </w:trPr>
        <w:tc>
          <w:tcPr>
            <w:tcW w:w="6186" w:type="dxa"/>
            <w:shd w:val="clear" w:color="auto" w:fill="auto"/>
            <w:tcMar>
              <w:top w:w="57" w:type="dxa"/>
              <w:left w:w="57" w:type="dxa"/>
              <w:bottom w:w="57" w:type="dxa"/>
            </w:tcMar>
          </w:tcPr>
          <w:p w14:paraId="3558AD87" w14:textId="77777777" w:rsidR="00390C5B" w:rsidRPr="002234C8" w:rsidRDefault="00390C5B" w:rsidP="00390C5B">
            <w:pPr>
              <w:rPr>
                <w:b/>
              </w:rPr>
            </w:pPr>
            <w:r w:rsidRPr="00D85C92">
              <w:rPr>
                <w:sz w:val="16"/>
                <w:szCs w:val="16"/>
                <w:lang w:eastAsia="en-AU"/>
              </w:rPr>
              <w:t>Better Recreational Fishing Through Informed Fish Stocking (stocking an additional 1,110,000 fish over 3 years, fish surveys, development of an on-line fish stocking search engine, and captive breeding of Macquarie perch).</w:t>
            </w:r>
            <w:r>
              <w:t xml:space="preserve"> </w:t>
            </w:r>
            <w:r w:rsidRPr="002B05F5">
              <w:rPr>
                <w:sz w:val="16"/>
                <w:szCs w:val="16"/>
                <w:lang w:eastAsia="en-AU"/>
              </w:rPr>
              <w:t xml:space="preserve">90% </w:t>
            </w:r>
            <w:r w:rsidRPr="00D41768">
              <w:rPr>
                <w:sz w:val="16"/>
                <w:szCs w:val="16"/>
                <w:lang w:eastAsia="en-AU"/>
              </w:rPr>
              <w:t>instalment</w:t>
            </w:r>
            <w:r w:rsidRPr="002B05F5">
              <w:rPr>
                <w:sz w:val="16"/>
                <w:szCs w:val="16"/>
                <w:lang w:eastAsia="en-AU"/>
              </w:rPr>
              <w:t xml:space="preserve"> of year </w:t>
            </w:r>
            <w:r>
              <w:rPr>
                <w:sz w:val="16"/>
                <w:szCs w:val="16"/>
                <w:lang w:eastAsia="en-AU"/>
              </w:rPr>
              <w:t xml:space="preserve">one </w:t>
            </w:r>
            <w:r w:rsidRPr="002B05F5">
              <w:rPr>
                <w:sz w:val="16"/>
                <w:szCs w:val="16"/>
                <w:lang w:eastAsia="en-AU"/>
              </w:rPr>
              <w:t xml:space="preserve">funding. Total project funding of </w:t>
            </w:r>
            <w:r w:rsidRPr="008517C9">
              <w:rPr>
                <w:sz w:val="16"/>
                <w:szCs w:val="16"/>
                <w:lang w:eastAsia="en-AU"/>
              </w:rPr>
              <w:t>$990,600.00</w:t>
            </w:r>
            <w:r>
              <w:rPr>
                <w:sz w:val="16"/>
                <w:szCs w:val="16"/>
                <w:lang w:eastAsia="en-AU"/>
              </w:rP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2605D24F" w14:textId="77777777" w:rsidR="00390C5B" w:rsidRPr="002234C8" w:rsidRDefault="00390C5B" w:rsidP="00390C5B">
            <w:pPr>
              <w:pStyle w:val="8pttabletext"/>
              <w:jc w:val="right"/>
              <w:rPr>
                <w:b/>
              </w:rPr>
            </w:pPr>
            <w:r>
              <w:t>$290,700.00</w:t>
            </w:r>
          </w:p>
        </w:tc>
        <w:tc>
          <w:tcPr>
            <w:tcW w:w="2126" w:type="dxa"/>
            <w:shd w:val="clear" w:color="auto" w:fill="auto"/>
            <w:tcMar>
              <w:top w:w="57" w:type="dxa"/>
              <w:left w:w="57" w:type="dxa"/>
              <w:bottom w:w="57" w:type="dxa"/>
            </w:tcMar>
          </w:tcPr>
          <w:p w14:paraId="4861F85D" w14:textId="77777777" w:rsidR="00390C5B" w:rsidRPr="002234C8" w:rsidRDefault="00390C5B" w:rsidP="00390C5B">
            <w:pPr>
              <w:pStyle w:val="8pttabletext"/>
              <w:rPr>
                <w:b/>
              </w:rPr>
            </w:pPr>
            <w:r w:rsidRPr="00D85C92">
              <w:t>Department of Environment and Primary Industries, Fisheries Victoria</w:t>
            </w:r>
          </w:p>
        </w:tc>
      </w:tr>
      <w:tr w:rsidR="00390C5B" w:rsidRPr="002234C8" w14:paraId="7444AA79" w14:textId="77777777" w:rsidTr="00390C5B">
        <w:trPr>
          <w:cantSplit/>
        </w:trPr>
        <w:tc>
          <w:tcPr>
            <w:tcW w:w="6186" w:type="dxa"/>
            <w:shd w:val="clear" w:color="auto" w:fill="auto"/>
            <w:tcMar>
              <w:top w:w="57" w:type="dxa"/>
              <w:left w:w="57" w:type="dxa"/>
              <w:bottom w:w="57" w:type="dxa"/>
            </w:tcMar>
          </w:tcPr>
          <w:p w14:paraId="21B62666" w14:textId="77777777" w:rsidR="00390C5B" w:rsidRPr="00C52879" w:rsidRDefault="00390C5B" w:rsidP="00390C5B">
            <w:pPr>
              <w:pStyle w:val="8pttabletext"/>
            </w:pPr>
            <w:r w:rsidRPr="00C52879">
              <w:t>Wild Trout Fisheries Management Program (investigate the likely cause(s) of the decline in wild trout fishing in Victoria and, where possible, improve wild trout fishing through informed fisheries management interventions).</w:t>
            </w:r>
            <w:r>
              <w:t xml:space="preserve"> 90% </w:t>
            </w:r>
            <w:r w:rsidRPr="00C52879">
              <w:t>instalment of year one funding. Total project funding of $56</w:t>
            </w:r>
            <w:r>
              <w:t>0</w:t>
            </w:r>
            <w:r w:rsidRPr="00C52879">
              <w:t>,000.00</w:t>
            </w:r>
            <w:r>
              <w:t xml:space="preserve"> </w:t>
            </w:r>
            <w:r w:rsidRPr="00C52879">
              <w:t>over t</w:t>
            </w:r>
            <w:r>
              <w:t xml:space="preserve">hree </w:t>
            </w:r>
            <w:r w:rsidRPr="00C52879">
              <w:t>years.</w:t>
            </w:r>
          </w:p>
        </w:tc>
        <w:tc>
          <w:tcPr>
            <w:tcW w:w="1276" w:type="dxa"/>
            <w:shd w:val="clear" w:color="auto" w:fill="DFEDF1"/>
            <w:noWrap/>
            <w:tcMar>
              <w:top w:w="57" w:type="dxa"/>
              <w:left w:w="57" w:type="dxa"/>
              <w:bottom w:w="57" w:type="dxa"/>
              <w:right w:w="142" w:type="dxa"/>
            </w:tcMar>
          </w:tcPr>
          <w:p w14:paraId="63EBDA6A" w14:textId="77777777" w:rsidR="00390C5B" w:rsidRPr="00C52879" w:rsidRDefault="00390C5B" w:rsidP="00390C5B">
            <w:pPr>
              <w:pStyle w:val="8pttabletext"/>
              <w:jc w:val="right"/>
            </w:pPr>
            <w:r>
              <w:t>$229,500</w:t>
            </w:r>
            <w:r w:rsidRPr="00C52879">
              <w:t>.00</w:t>
            </w:r>
          </w:p>
        </w:tc>
        <w:tc>
          <w:tcPr>
            <w:tcW w:w="2126" w:type="dxa"/>
            <w:shd w:val="clear" w:color="auto" w:fill="auto"/>
            <w:tcMar>
              <w:top w:w="57" w:type="dxa"/>
              <w:left w:w="57" w:type="dxa"/>
              <w:bottom w:w="57" w:type="dxa"/>
            </w:tcMar>
          </w:tcPr>
          <w:p w14:paraId="6A26F9A9" w14:textId="77777777" w:rsidR="00390C5B" w:rsidRPr="002234C8" w:rsidRDefault="00390C5B" w:rsidP="00390C5B">
            <w:pPr>
              <w:pStyle w:val="8pttabletext"/>
              <w:rPr>
                <w:b/>
              </w:rPr>
            </w:pPr>
            <w:r w:rsidRPr="00D85C92">
              <w:t>Department of Environment and Primary Industries, Fisheries Victoria</w:t>
            </w:r>
          </w:p>
        </w:tc>
      </w:tr>
      <w:tr w:rsidR="00390C5B" w:rsidRPr="002234C8" w14:paraId="083F7047" w14:textId="77777777" w:rsidTr="00390C5B">
        <w:trPr>
          <w:cantSplit/>
        </w:trPr>
        <w:tc>
          <w:tcPr>
            <w:tcW w:w="6186" w:type="dxa"/>
            <w:shd w:val="clear" w:color="auto" w:fill="auto"/>
            <w:tcMar>
              <w:top w:w="57" w:type="dxa"/>
              <w:left w:w="57" w:type="dxa"/>
              <w:bottom w:w="57" w:type="dxa"/>
            </w:tcMar>
          </w:tcPr>
          <w:p w14:paraId="094CDB3F" w14:textId="77777777" w:rsidR="00390C5B" w:rsidRPr="002234C8" w:rsidRDefault="00390C5B" w:rsidP="00390C5B">
            <w:pPr>
              <w:pStyle w:val="8pttabletext"/>
              <w:rPr>
                <w:b/>
              </w:rPr>
            </w:pPr>
            <w:r w:rsidRPr="00D85C92">
              <w:t>2014/15 Communication and Compliance Products (production of a series of communication products and measuring devices to provide recreational fishers with up-to-date information on Fisheries regulations).</w:t>
            </w:r>
            <w:r>
              <w:t xml:space="preserve"> 90% </w:t>
            </w:r>
            <w:r w:rsidRPr="00F36AD1">
              <w:t>instalment of year one funding. Total project funding of $230,981.61</w:t>
            </w:r>
            <w:r>
              <w:t xml:space="preserve"> </w:t>
            </w:r>
            <w:r w:rsidRPr="00F36AD1">
              <w:t xml:space="preserve">over </w:t>
            </w:r>
            <w:r>
              <w:t xml:space="preserve">one </w:t>
            </w:r>
            <w:r w:rsidRPr="00F36AD1">
              <w:t>year.</w:t>
            </w:r>
          </w:p>
        </w:tc>
        <w:tc>
          <w:tcPr>
            <w:tcW w:w="1276" w:type="dxa"/>
            <w:shd w:val="clear" w:color="auto" w:fill="DFEDF1"/>
            <w:noWrap/>
            <w:tcMar>
              <w:top w:w="57" w:type="dxa"/>
              <w:left w:w="57" w:type="dxa"/>
              <w:bottom w:w="57" w:type="dxa"/>
              <w:right w:w="142" w:type="dxa"/>
            </w:tcMar>
          </w:tcPr>
          <w:p w14:paraId="6483B9F4" w14:textId="77777777" w:rsidR="00390C5B" w:rsidRPr="00B6577D" w:rsidRDefault="00390C5B" w:rsidP="00390C5B">
            <w:pPr>
              <w:pStyle w:val="8pttabletext"/>
              <w:jc w:val="right"/>
            </w:pPr>
            <w:r w:rsidRPr="00B6577D">
              <w:t>$207,883.45</w:t>
            </w:r>
          </w:p>
        </w:tc>
        <w:tc>
          <w:tcPr>
            <w:tcW w:w="2126" w:type="dxa"/>
            <w:shd w:val="clear" w:color="auto" w:fill="auto"/>
            <w:tcMar>
              <w:top w:w="57" w:type="dxa"/>
              <w:left w:w="57" w:type="dxa"/>
              <w:bottom w:w="57" w:type="dxa"/>
            </w:tcMar>
          </w:tcPr>
          <w:p w14:paraId="2C81BD14" w14:textId="77777777" w:rsidR="00390C5B" w:rsidRPr="002234C8" w:rsidRDefault="00390C5B" w:rsidP="00390C5B">
            <w:pPr>
              <w:pStyle w:val="8pttabletext"/>
              <w:rPr>
                <w:b/>
              </w:rPr>
            </w:pPr>
            <w:r w:rsidRPr="00D85C92">
              <w:t>Department of Environment and Primary Industries, Fisheries Victoria</w:t>
            </w:r>
          </w:p>
        </w:tc>
      </w:tr>
      <w:tr w:rsidR="00390C5B" w:rsidRPr="002234C8" w14:paraId="18DE29EC" w14:textId="77777777" w:rsidTr="00390C5B">
        <w:trPr>
          <w:cantSplit/>
        </w:trPr>
        <w:tc>
          <w:tcPr>
            <w:tcW w:w="6186" w:type="dxa"/>
            <w:shd w:val="clear" w:color="auto" w:fill="auto"/>
            <w:tcMar>
              <w:top w:w="57" w:type="dxa"/>
              <w:left w:w="57" w:type="dxa"/>
              <w:bottom w:w="57" w:type="dxa"/>
            </w:tcMar>
          </w:tcPr>
          <w:p w14:paraId="04C2F644" w14:textId="77777777" w:rsidR="00390C5B" w:rsidRPr="002234C8" w:rsidRDefault="00390C5B" w:rsidP="00390C5B">
            <w:pPr>
              <w:pStyle w:val="8pttabletext"/>
              <w:rPr>
                <w:b/>
              </w:rPr>
            </w:pPr>
            <w:r w:rsidRPr="00B91B47">
              <w:rPr>
                <w:b/>
              </w:rPr>
              <w:t>Sub-Total</w:t>
            </w:r>
          </w:p>
        </w:tc>
        <w:tc>
          <w:tcPr>
            <w:tcW w:w="1276" w:type="dxa"/>
            <w:shd w:val="clear" w:color="auto" w:fill="auto"/>
            <w:noWrap/>
            <w:tcMar>
              <w:top w:w="57" w:type="dxa"/>
              <w:left w:w="57" w:type="dxa"/>
              <w:bottom w:w="57" w:type="dxa"/>
              <w:right w:w="142" w:type="dxa"/>
            </w:tcMar>
          </w:tcPr>
          <w:p w14:paraId="466E3118" w14:textId="77777777" w:rsidR="00390C5B" w:rsidRPr="002234C8" w:rsidRDefault="00390C5B" w:rsidP="00390C5B">
            <w:pPr>
              <w:pStyle w:val="8pttabletext"/>
              <w:jc w:val="right"/>
              <w:rPr>
                <w:b/>
              </w:rPr>
            </w:pPr>
            <w:r>
              <w:rPr>
                <w:b/>
              </w:rPr>
              <w:t>$728,083.45</w:t>
            </w:r>
          </w:p>
        </w:tc>
        <w:tc>
          <w:tcPr>
            <w:tcW w:w="2126" w:type="dxa"/>
            <w:shd w:val="clear" w:color="auto" w:fill="auto"/>
            <w:tcMar>
              <w:top w:w="57" w:type="dxa"/>
              <w:left w:w="57" w:type="dxa"/>
              <w:bottom w:w="57" w:type="dxa"/>
            </w:tcMar>
          </w:tcPr>
          <w:p w14:paraId="0C5E4DDF" w14:textId="77777777" w:rsidR="00390C5B" w:rsidRPr="002234C8" w:rsidRDefault="00390C5B" w:rsidP="00390C5B">
            <w:pPr>
              <w:pStyle w:val="8pttabletext"/>
              <w:rPr>
                <w:b/>
              </w:rPr>
            </w:pPr>
          </w:p>
        </w:tc>
      </w:tr>
      <w:tr w:rsidR="00390C5B" w:rsidRPr="002234C8" w14:paraId="0DC7BB86" w14:textId="77777777" w:rsidTr="00390C5B">
        <w:trPr>
          <w:cantSplit/>
        </w:trPr>
        <w:tc>
          <w:tcPr>
            <w:tcW w:w="6186" w:type="dxa"/>
            <w:shd w:val="clear" w:color="auto" w:fill="auto"/>
            <w:tcMar>
              <w:top w:w="57" w:type="dxa"/>
              <w:left w:w="57" w:type="dxa"/>
              <w:bottom w:w="57" w:type="dxa"/>
            </w:tcMar>
          </w:tcPr>
          <w:p w14:paraId="1DFB0845" w14:textId="77777777" w:rsidR="00390C5B" w:rsidRPr="002234C8" w:rsidRDefault="00390C5B" w:rsidP="00390C5B">
            <w:pPr>
              <w:pStyle w:val="8pttabletext"/>
              <w:rPr>
                <w:b/>
              </w:rPr>
            </w:pPr>
            <w:r w:rsidRPr="002234C8">
              <w:rPr>
                <w:b/>
              </w:rPr>
              <w:t>Large Grants Program</w:t>
            </w:r>
          </w:p>
        </w:tc>
        <w:tc>
          <w:tcPr>
            <w:tcW w:w="1276" w:type="dxa"/>
            <w:shd w:val="clear" w:color="auto" w:fill="auto"/>
            <w:noWrap/>
            <w:tcMar>
              <w:top w:w="57" w:type="dxa"/>
              <w:left w:w="57" w:type="dxa"/>
              <w:bottom w:w="57" w:type="dxa"/>
              <w:right w:w="142" w:type="dxa"/>
            </w:tcMar>
          </w:tcPr>
          <w:p w14:paraId="4279081F" w14:textId="77777777" w:rsidR="00390C5B" w:rsidRPr="002234C8" w:rsidRDefault="00390C5B" w:rsidP="00390C5B">
            <w:pPr>
              <w:pStyle w:val="8pttabletext"/>
              <w:jc w:val="right"/>
              <w:rPr>
                <w:b/>
              </w:rPr>
            </w:pPr>
          </w:p>
        </w:tc>
        <w:tc>
          <w:tcPr>
            <w:tcW w:w="2126" w:type="dxa"/>
            <w:shd w:val="clear" w:color="auto" w:fill="auto"/>
            <w:tcMar>
              <w:top w:w="57" w:type="dxa"/>
              <w:left w:w="57" w:type="dxa"/>
              <w:bottom w:w="57" w:type="dxa"/>
            </w:tcMar>
          </w:tcPr>
          <w:p w14:paraId="38396AEC" w14:textId="77777777" w:rsidR="00390C5B" w:rsidRPr="002234C8" w:rsidRDefault="00390C5B" w:rsidP="00390C5B">
            <w:pPr>
              <w:pStyle w:val="8pttabletext"/>
              <w:rPr>
                <w:b/>
              </w:rPr>
            </w:pPr>
          </w:p>
        </w:tc>
      </w:tr>
      <w:tr w:rsidR="00390C5B" w:rsidRPr="000222B5" w14:paraId="2C42D44E" w14:textId="77777777" w:rsidTr="00390C5B">
        <w:trPr>
          <w:cantSplit/>
        </w:trPr>
        <w:tc>
          <w:tcPr>
            <w:tcW w:w="6186" w:type="dxa"/>
            <w:shd w:val="clear" w:color="auto" w:fill="auto"/>
            <w:tcMar>
              <w:top w:w="57" w:type="dxa"/>
              <w:left w:w="57" w:type="dxa"/>
              <w:bottom w:w="57" w:type="dxa"/>
            </w:tcMar>
          </w:tcPr>
          <w:p w14:paraId="4271CAB6" w14:textId="77777777" w:rsidR="00390C5B" w:rsidRPr="00D85C92" w:rsidRDefault="00390C5B" w:rsidP="00390C5B">
            <w:pPr>
              <w:rPr>
                <w:sz w:val="16"/>
                <w:szCs w:val="16"/>
                <w:lang w:eastAsia="en-AU"/>
              </w:rPr>
            </w:pPr>
            <w:r w:rsidRPr="00D85C92">
              <w:rPr>
                <w:sz w:val="16"/>
                <w:szCs w:val="16"/>
                <w:lang w:eastAsia="en-AU"/>
              </w:rPr>
              <w:t>Understanding the economic contribution of recreational fishing to the State of Victoria (Ernst &amp; Young).</w:t>
            </w:r>
            <w:r>
              <w:rPr>
                <w:sz w:val="16"/>
                <w:szCs w:val="16"/>
                <w:lang w:eastAsia="en-AU"/>
              </w:rPr>
              <w:t xml:space="preserve"> </w:t>
            </w:r>
            <w:r w:rsidRPr="009A6D70">
              <w:rPr>
                <w:sz w:val="16"/>
                <w:szCs w:val="16"/>
                <w:lang w:eastAsia="en-AU"/>
              </w:rPr>
              <w:t>90% instalment of year one funding</w:t>
            </w:r>
            <w:r w:rsidRPr="003D40CB">
              <w:rPr>
                <w:sz w:val="16"/>
                <w:szCs w:val="16"/>
                <w:lang w:eastAsia="en-AU"/>
              </w:rPr>
              <w:t>. Total project funding of $</w:t>
            </w:r>
            <w:r>
              <w:rPr>
                <w:sz w:val="16"/>
                <w:szCs w:val="16"/>
                <w:lang w:eastAsia="en-AU"/>
              </w:rPr>
              <w:t>10</w:t>
            </w:r>
            <w:r w:rsidRPr="003D40CB">
              <w:rPr>
                <w:sz w:val="16"/>
                <w:szCs w:val="16"/>
                <w:lang w:eastAsia="en-AU"/>
              </w:rPr>
              <w:t>0,</w:t>
            </w:r>
            <w:r>
              <w:rPr>
                <w:sz w:val="16"/>
                <w:szCs w:val="16"/>
                <w:lang w:eastAsia="en-AU"/>
              </w:rPr>
              <w:t>000</w:t>
            </w:r>
            <w:r w:rsidRPr="003D40CB">
              <w:rPr>
                <w:sz w:val="16"/>
                <w:szCs w:val="16"/>
                <w:lang w:eastAsia="en-AU"/>
              </w:rPr>
              <w:t>.</w:t>
            </w:r>
            <w:r>
              <w:rPr>
                <w:sz w:val="16"/>
                <w:szCs w:val="16"/>
                <w:lang w:eastAsia="en-AU"/>
              </w:rPr>
              <w:t>0</w:t>
            </w:r>
            <w:r w:rsidRPr="003D40CB">
              <w:rPr>
                <w:sz w:val="16"/>
                <w:szCs w:val="16"/>
                <w:lang w:eastAsia="en-AU"/>
              </w:rPr>
              <w:t>0 over one year.</w:t>
            </w:r>
          </w:p>
        </w:tc>
        <w:tc>
          <w:tcPr>
            <w:tcW w:w="1276" w:type="dxa"/>
            <w:shd w:val="clear" w:color="auto" w:fill="DFEDF1"/>
            <w:noWrap/>
            <w:tcMar>
              <w:top w:w="57" w:type="dxa"/>
              <w:left w:w="57" w:type="dxa"/>
              <w:bottom w:w="57" w:type="dxa"/>
              <w:right w:w="142" w:type="dxa"/>
            </w:tcMar>
          </w:tcPr>
          <w:p w14:paraId="227A8973" w14:textId="77777777" w:rsidR="00390C5B" w:rsidRDefault="00390C5B" w:rsidP="00390C5B">
            <w:pPr>
              <w:pStyle w:val="8pttabletext"/>
              <w:jc w:val="right"/>
            </w:pPr>
            <w:r>
              <w:t>$90,000.00</w:t>
            </w:r>
          </w:p>
        </w:tc>
        <w:tc>
          <w:tcPr>
            <w:tcW w:w="2126" w:type="dxa"/>
            <w:shd w:val="clear" w:color="auto" w:fill="auto"/>
            <w:tcMar>
              <w:top w:w="57" w:type="dxa"/>
              <w:left w:w="57" w:type="dxa"/>
              <w:bottom w:w="57" w:type="dxa"/>
            </w:tcMar>
          </w:tcPr>
          <w:p w14:paraId="51F7D8BE" w14:textId="77777777" w:rsidR="00390C5B" w:rsidRPr="00D85C92" w:rsidRDefault="00390C5B" w:rsidP="00390C5B">
            <w:pPr>
              <w:rPr>
                <w:sz w:val="16"/>
                <w:szCs w:val="16"/>
                <w:lang w:eastAsia="en-AU"/>
              </w:rPr>
            </w:pPr>
            <w:r>
              <w:rPr>
                <w:sz w:val="16"/>
                <w:szCs w:val="16"/>
                <w:lang w:eastAsia="en-AU"/>
              </w:rPr>
              <w:t>VRFish</w:t>
            </w:r>
          </w:p>
        </w:tc>
      </w:tr>
      <w:tr w:rsidR="00390C5B" w:rsidRPr="000222B5" w14:paraId="05B6FDD1" w14:textId="77777777" w:rsidTr="00390C5B">
        <w:trPr>
          <w:cantSplit/>
        </w:trPr>
        <w:tc>
          <w:tcPr>
            <w:tcW w:w="6186" w:type="dxa"/>
            <w:shd w:val="clear" w:color="auto" w:fill="auto"/>
            <w:tcMar>
              <w:top w:w="57" w:type="dxa"/>
              <w:left w:w="57" w:type="dxa"/>
              <w:bottom w:w="57" w:type="dxa"/>
            </w:tcMar>
          </w:tcPr>
          <w:p w14:paraId="1AD781AA" w14:textId="77777777" w:rsidR="00390C5B" w:rsidRPr="00D85C92" w:rsidRDefault="00390C5B" w:rsidP="00390C5B">
            <w:pPr>
              <w:rPr>
                <w:sz w:val="16"/>
                <w:szCs w:val="16"/>
                <w:lang w:eastAsia="en-AU"/>
              </w:rPr>
            </w:pPr>
            <w:r w:rsidRPr="00D85C92">
              <w:rPr>
                <w:sz w:val="16"/>
                <w:szCs w:val="16"/>
                <w:lang w:eastAsia="en-AU"/>
              </w:rPr>
              <w:t>Mitta Mitta River Habitat Rehabilitation Project- Eskdale to high water mark of Lake Hume.</w:t>
            </w:r>
            <w:r>
              <w:rPr>
                <w:sz w:val="16"/>
                <w:szCs w:val="16"/>
                <w:lang w:eastAsia="en-AU"/>
              </w:rPr>
              <w:t xml:space="preserve"> </w:t>
            </w:r>
            <w:r w:rsidRPr="009A6D70">
              <w:rPr>
                <w:sz w:val="16"/>
                <w:szCs w:val="16"/>
                <w:lang w:eastAsia="en-AU"/>
              </w:rPr>
              <w:t>90% instalment of year one funding</w:t>
            </w:r>
            <w:r w:rsidRPr="002B05F5">
              <w:rPr>
                <w:sz w:val="16"/>
                <w:szCs w:val="16"/>
                <w:lang w:eastAsia="en-AU"/>
              </w:rPr>
              <w:t xml:space="preserve">. Total project funding of </w:t>
            </w:r>
            <w:r w:rsidRPr="008E0C70">
              <w:rPr>
                <w:sz w:val="16"/>
                <w:szCs w:val="16"/>
                <w:lang w:eastAsia="en-AU"/>
              </w:rPr>
              <w:t>$266,981.82</w:t>
            </w:r>
            <w: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58961B9E" w14:textId="77777777" w:rsidR="00390C5B" w:rsidRDefault="00390C5B" w:rsidP="00390C5B">
            <w:pPr>
              <w:pStyle w:val="8pttabletext"/>
              <w:jc w:val="right"/>
            </w:pPr>
            <w:r>
              <w:t>$81,114.55</w:t>
            </w:r>
          </w:p>
        </w:tc>
        <w:tc>
          <w:tcPr>
            <w:tcW w:w="2126" w:type="dxa"/>
            <w:shd w:val="clear" w:color="auto" w:fill="auto"/>
            <w:tcMar>
              <w:top w:w="57" w:type="dxa"/>
              <w:left w:w="57" w:type="dxa"/>
              <w:bottom w:w="57" w:type="dxa"/>
            </w:tcMar>
          </w:tcPr>
          <w:p w14:paraId="11AE5378" w14:textId="77777777" w:rsidR="00390C5B" w:rsidRPr="00D85C92" w:rsidRDefault="00390C5B" w:rsidP="00390C5B">
            <w:pPr>
              <w:rPr>
                <w:sz w:val="16"/>
                <w:szCs w:val="16"/>
                <w:lang w:eastAsia="en-AU"/>
              </w:rPr>
            </w:pPr>
            <w:r w:rsidRPr="00D85C92">
              <w:rPr>
                <w:sz w:val="16"/>
                <w:szCs w:val="16"/>
                <w:lang w:eastAsia="en-AU"/>
              </w:rPr>
              <w:t>North East Catchment Management Authority</w:t>
            </w:r>
          </w:p>
          <w:p w14:paraId="67C4D89D" w14:textId="77777777" w:rsidR="00390C5B" w:rsidRDefault="00390C5B" w:rsidP="00390C5B">
            <w:pPr>
              <w:pStyle w:val="8pttabletext"/>
            </w:pPr>
          </w:p>
        </w:tc>
      </w:tr>
      <w:tr w:rsidR="00390C5B" w:rsidRPr="000222B5" w14:paraId="2B9C3E7D" w14:textId="77777777" w:rsidTr="00390C5B">
        <w:trPr>
          <w:cantSplit/>
        </w:trPr>
        <w:tc>
          <w:tcPr>
            <w:tcW w:w="6186" w:type="dxa"/>
            <w:shd w:val="clear" w:color="auto" w:fill="auto"/>
            <w:tcMar>
              <w:top w:w="57" w:type="dxa"/>
              <w:left w:w="57" w:type="dxa"/>
              <w:bottom w:w="57" w:type="dxa"/>
            </w:tcMar>
          </w:tcPr>
          <w:p w14:paraId="5833FB4A" w14:textId="77777777" w:rsidR="00390C5B" w:rsidRPr="000222B5" w:rsidRDefault="00390C5B" w:rsidP="00390C5B">
            <w:r w:rsidRPr="00D85C92">
              <w:rPr>
                <w:sz w:val="16"/>
                <w:szCs w:val="16"/>
                <w:lang w:eastAsia="en-AU"/>
              </w:rPr>
              <w:t xml:space="preserve">Improving Recreational Fishing Access at Konongwootong Reservoir. </w:t>
            </w:r>
            <w:r w:rsidRPr="009A6D70">
              <w:rPr>
                <w:sz w:val="16"/>
                <w:szCs w:val="16"/>
                <w:lang w:eastAsia="en-AU"/>
              </w:rPr>
              <w:t>90% instalment of year one funding</w:t>
            </w:r>
            <w:r w:rsidRPr="002B05F5">
              <w:rPr>
                <w:sz w:val="16"/>
                <w:szCs w:val="16"/>
                <w:lang w:eastAsia="en-AU"/>
              </w:rPr>
              <w:t>. Total project funding of $231,818.18 over three years.</w:t>
            </w:r>
          </w:p>
        </w:tc>
        <w:tc>
          <w:tcPr>
            <w:tcW w:w="1276" w:type="dxa"/>
            <w:shd w:val="clear" w:color="auto" w:fill="DFEDF1"/>
            <w:noWrap/>
            <w:tcMar>
              <w:top w:w="57" w:type="dxa"/>
              <w:left w:w="57" w:type="dxa"/>
              <w:bottom w:w="57" w:type="dxa"/>
              <w:right w:w="142" w:type="dxa"/>
            </w:tcMar>
          </w:tcPr>
          <w:p w14:paraId="5D3C20D8" w14:textId="77777777" w:rsidR="00390C5B" w:rsidRPr="00F63F59" w:rsidRDefault="00390C5B" w:rsidP="00390C5B">
            <w:pPr>
              <w:pStyle w:val="8pttabletext"/>
              <w:jc w:val="right"/>
            </w:pPr>
            <w:r>
              <w:t>$73,636.36</w:t>
            </w:r>
          </w:p>
        </w:tc>
        <w:tc>
          <w:tcPr>
            <w:tcW w:w="2126" w:type="dxa"/>
            <w:shd w:val="clear" w:color="auto" w:fill="auto"/>
            <w:tcMar>
              <w:top w:w="57" w:type="dxa"/>
              <w:left w:w="57" w:type="dxa"/>
              <w:bottom w:w="57" w:type="dxa"/>
            </w:tcMar>
          </w:tcPr>
          <w:p w14:paraId="66C4EBF0" w14:textId="77777777" w:rsidR="00390C5B" w:rsidRPr="000222B5" w:rsidRDefault="00390C5B" w:rsidP="00390C5B">
            <w:pPr>
              <w:pStyle w:val="8pttabletext"/>
            </w:pPr>
            <w:r>
              <w:t>Wannon Water Corporation</w:t>
            </w:r>
          </w:p>
        </w:tc>
      </w:tr>
      <w:tr w:rsidR="00390C5B" w:rsidRPr="000222B5" w14:paraId="3DCCB3B4" w14:textId="77777777" w:rsidTr="00390C5B">
        <w:trPr>
          <w:cantSplit/>
        </w:trPr>
        <w:tc>
          <w:tcPr>
            <w:tcW w:w="6186" w:type="dxa"/>
            <w:shd w:val="clear" w:color="auto" w:fill="auto"/>
            <w:tcMar>
              <w:top w:w="57" w:type="dxa"/>
              <w:left w:w="57" w:type="dxa"/>
              <w:bottom w:w="57" w:type="dxa"/>
            </w:tcMar>
          </w:tcPr>
          <w:p w14:paraId="24161542" w14:textId="77777777" w:rsidR="00390C5B" w:rsidRPr="00D85C92" w:rsidRDefault="00390C5B" w:rsidP="00390C5B">
            <w:pPr>
              <w:rPr>
                <w:sz w:val="16"/>
                <w:szCs w:val="16"/>
                <w:lang w:eastAsia="en-AU"/>
              </w:rPr>
            </w:pPr>
            <w:r w:rsidRPr="00D85C92">
              <w:rPr>
                <w:sz w:val="16"/>
                <w:szCs w:val="16"/>
                <w:lang w:eastAsia="en-AU"/>
              </w:rPr>
              <w:t>Assessing the benefits of instream habitat works for fish populations in the Goulburn catchment.</w:t>
            </w:r>
            <w:r>
              <w:rPr>
                <w:sz w:val="16"/>
                <w:szCs w:val="16"/>
                <w:lang w:eastAsia="en-AU"/>
              </w:rPr>
              <w:t xml:space="preserve"> </w:t>
            </w:r>
            <w:r w:rsidRPr="009A6D70">
              <w:rPr>
                <w:sz w:val="16"/>
                <w:szCs w:val="16"/>
                <w:lang w:eastAsia="en-AU"/>
              </w:rPr>
              <w:t>90% instalment of year one funding</w:t>
            </w:r>
            <w:r w:rsidRPr="00B4494A">
              <w:rPr>
                <w:sz w:val="16"/>
                <w:szCs w:val="16"/>
                <w:lang w:eastAsia="en-AU"/>
              </w:rPr>
              <w:t>. Total project funding of $76,000.00 over one year.</w:t>
            </w:r>
          </w:p>
        </w:tc>
        <w:tc>
          <w:tcPr>
            <w:tcW w:w="1276" w:type="dxa"/>
            <w:shd w:val="clear" w:color="auto" w:fill="DFEDF1"/>
            <w:noWrap/>
            <w:tcMar>
              <w:top w:w="57" w:type="dxa"/>
              <w:left w:w="57" w:type="dxa"/>
              <w:bottom w:w="57" w:type="dxa"/>
              <w:right w:w="142" w:type="dxa"/>
            </w:tcMar>
          </w:tcPr>
          <w:p w14:paraId="7E3A4244" w14:textId="77777777" w:rsidR="00390C5B" w:rsidRDefault="00390C5B" w:rsidP="00390C5B">
            <w:pPr>
              <w:pStyle w:val="8pttabletext"/>
              <w:jc w:val="right"/>
            </w:pPr>
            <w:r>
              <w:t>$68,400.00</w:t>
            </w:r>
          </w:p>
        </w:tc>
        <w:tc>
          <w:tcPr>
            <w:tcW w:w="2126" w:type="dxa"/>
            <w:shd w:val="clear" w:color="auto" w:fill="auto"/>
            <w:tcMar>
              <w:top w:w="57" w:type="dxa"/>
              <w:left w:w="57" w:type="dxa"/>
              <w:bottom w:w="57" w:type="dxa"/>
            </w:tcMar>
          </w:tcPr>
          <w:p w14:paraId="1C0D1AE0" w14:textId="77777777" w:rsidR="00390C5B" w:rsidRPr="00D85C92" w:rsidRDefault="00390C5B" w:rsidP="00390C5B">
            <w:pPr>
              <w:rPr>
                <w:sz w:val="16"/>
                <w:szCs w:val="16"/>
                <w:lang w:eastAsia="en-AU"/>
              </w:rPr>
            </w:pPr>
            <w:r w:rsidRPr="00D85C92">
              <w:rPr>
                <w:sz w:val="16"/>
                <w:szCs w:val="16"/>
                <w:lang w:eastAsia="en-AU"/>
              </w:rPr>
              <w:t>Goulburn Broken Catchment Management Authority</w:t>
            </w:r>
          </w:p>
        </w:tc>
      </w:tr>
      <w:tr w:rsidR="00390C5B" w:rsidRPr="000222B5" w14:paraId="19D4C4A6" w14:textId="77777777" w:rsidTr="00390C5B">
        <w:trPr>
          <w:cantSplit/>
        </w:trPr>
        <w:tc>
          <w:tcPr>
            <w:tcW w:w="6186" w:type="dxa"/>
            <w:shd w:val="clear" w:color="auto" w:fill="auto"/>
            <w:tcMar>
              <w:top w:w="57" w:type="dxa"/>
              <w:left w:w="57" w:type="dxa"/>
              <w:bottom w:w="57" w:type="dxa"/>
            </w:tcMar>
          </w:tcPr>
          <w:p w14:paraId="7116E04C" w14:textId="77777777" w:rsidR="00390C5B" w:rsidRPr="006B0D1D" w:rsidRDefault="00390C5B" w:rsidP="00390C5B">
            <w:r w:rsidRPr="00D85C92">
              <w:rPr>
                <w:sz w:val="16"/>
                <w:szCs w:val="16"/>
                <w:lang w:eastAsia="en-AU"/>
              </w:rPr>
              <w:t>Renewed Fish Habitat for both Native &amp; Trout Fishing in King River NE Victoria.</w:t>
            </w:r>
            <w:r w:rsidRPr="00D85C92">
              <w:t xml:space="preserve"> </w:t>
            </w:r>
            <w:r w:rsidRPr="009A6D70">
              <w:rPr>
                <w:sz w:val="16"/>
                <w:szCs w:val="16"/>
                <w:lang w:eastAsia="en-AU"/>
              </w:rPr>
              <w:t>90% instalment of year one funding</w:t>
            </w:r>
            <w:r w:rsidRPr="002B05F5">
              <w:rPr>
                <w:sz w:val="16"/>
                <w:szCs w:val="16"/>
                <w:lang w:eastAsia="en-AU"/>
              </w:rPr>
              <w:t xml:space="preserve">. Total project funding of </w:t>
            </w:r>
            <w:r w:rsidRPr="000D3193">
              <w:rPr>
                <w:sz w:val="16"/>
                <w:szCs w:val="16"/>
                <w:lang w:eastAsia="en-AU"/>
              </w:rPr>
              <w:t>$190,226.82</w:t>
            </w:r>
            <w:r>
              <w:rPr>
                <w:sz w:val="16"/>
                <w:szCs w:val="16"/>
                <w:lang w:eastAsia="en-AU"/>
              </w:rP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15A7B0A2" w14:textId="77777777" w:rsidR="00390C5B" w:rsidRDefault="00390C5B" w:rsidP="00390C5B">
            <w:pPr>
              <w:pStyle w:val="8pttabletext"/>
              <w:jc w:val="right"/>
            </w:pPr>
            <w:r>
              <w:t>$64,245.68</w:t>
            </w:r>
          </w:p>
        </w:tc>
        <w:tc>
          <w:tcPr>
            <w:tcW w:w="2126" w:type="dxa"/>
            <w:shd w:val="clear" w:color="auto" w:fill="auto"/>
            <w:tcMar>
              <w:top w:w="57" w:type="dxa"/>
              <w:left w:w="57" w:type="dxa"/>
              <w:bottom w:w="57" w:type="dxa"/>
            </w:tcMar>
          </w:tcPr>
          <w:p w14:paraId="5D2FF56A" w14:textId="77777777" w:rsidR="00390C5B" w:rsidRPr="00D85C92" w:rsidRDefault="00390C5B" w:rsidP="00390C5B">
            <w:pPr>
              <w:rPr>
                <w:sz w:val="16"/>
                <w:szCs w:val="16"/>
                <w:lang w:eastAsia="en-AU"/>
              </w:rPr>
            </w:pPr>
            <w:r w:rsidRPr="00D85C92">
              <w:rPr>
                <w:sz w:val="16"/>
                <w:szCs w:val="16"/>
                <w:lang w:eastAsia="en-AU"/>
              </w:rPr>
              <w:t>King Valley Tourism Association</w:t>
            </w:r>
          </w:p>
          <w:p w14:paraId="13E6D70D" w14:textId="77777777" w:rsidR="00390C5B" w:rsidRPr="006B0D1D" w:rsidRDefault="00390C5B" w:rsidP="00390C5B">
            <w:pPr>
              <w:rPr>
                <w:sz w:val="16"/>
                <w:szCs w:val="16"/>
                <w:lang w:eastAsia="en-AU"/>
              </w:rPr>
            </w:pPr>
          </w:p>
        </w:tc>
      </w:tr>
      <w:tr w:rsidR="00390C5B" w:rsidRPr="000222B5" w14:paraId="4B3E4AEA" w14:textId="77777777" w:rsidTr="00390C5B">
        <w:trPr>
          <w:cantSplit/>
        </w:trPr>
        <w:tc>
          <w:tcPr>
            <w:tcW w:w="6186" w:type="dxa"/>
            <w:shd w:val="clear" w:color="auto" w:fill="auto"/>
            <w:tcMar>
              <w:top w:w="57" w:type="dxa"/>
              <w:left w:w="57" w:type="dxa"/>
              <w:bottom w:w="57" w:type="dxa"/>
            </w:tcMar>
          </w:tcPr>
          <w:p w14:paraId="1288CD41" w14:textId="77777777" w:rsidR="00390C5B" w:rsidRPr="000222B5" w:rsidRDefault="00390C5B" w:rsidP="00390C5B">
            <w:pPr>
              <w:pStyle w:val="8pttabletext"/>
            </w:pPr>
            <w:r w:rsidRPr="00D85C92">
              <w:t>Fitzroy River Recreational Fishing Access Project, including the construction of an all abilities access fishing platform.</w:t>
            </w:r>
            <w:r>
              <w:t xml:space="preserve"> </w:t>
            </w:r>
            <w:r w:rsidRPr="009A6D70">
              <w:t>90% instalment of year one funding</w:t>
            </w:r>
            <w:r w:rsidRPr="00E604BC">
              <w:t>. Total project funding of $60,460.80</w:t>
            </w:r>
            <w:r>
              <w:t xml:space="preserve"> </w:t>
            </w:r>
            <w:r w:rsidRPr="00E604BC">
              <w:t>over one year.</w:t>
            </w:r>
          </w:p>
        </w:tc>
        <w:tc>
          <w:tcPr>
            <w:tcW w:w="1276" w:type="dxa"/>
            <w:shd w:val="clear" w:color="auto" w:fill="DFEDF1"/>
            <w:noWrap/>
            <w:tcMar>
              <w:top w:w="57" w:type="dxa"/>
              <w:left w:w="57" w:type="dxa"/>
              <w:bottom w:w="57" w:type="dxa"/>
              <w:right w:w="142" w:type="dxa"/>
            </w:tcMar>
          </w:tcPr>
          <w:p w14:paraId="2536EBE4" w14:textId="77777777" w:rsidR="00390C5B" w:rsidRPr="00F63F59" w:rsidRDefault="00390C5B" w:rsidP="00390C5B">
            <w:pPr>
              <w:pStyle w:val="8pttabletext"/>
              <w:jc w:val="right"/>
            </w:pPr>
            <w:r w:rsidRPr="003D5370">
              <w:t>$54,414.72</w:t>
            </w:r>
          </w:p>
        </w:tc>
        <w:tc>
          <w:tcPr>
            <w:tcW w:w="2126" w:type="dxa"/>
            <w:shd w:val="clear" w:color="auto" w:fill="auto"/>
            <w:tcMar>
              <w:top w:w="57" w:type="dxa"/>
              <w:left w:w="57" w:type="dxa"/>
              <w:bottom w:w="57" w:type="dxa"/>
            </w:tcMar>
          </w:tcPr>
          <w:p w14:paraId="470442EC" w14:textId="77777777" w:rsidR="00390C5B" w:rsidRPr="00D85C92" w:rsidRDefault="00390C5B" w:rsidP="00390C5B">
            <w:pPr>
              <w:rPr>
                <w:sz w:val="16"/>
                <w:szCs w:val="16"/>
                <w:lang w:eastAsia="en-AU"/>
              </w:rPr>
            </w:pPr>
            <w:r w:rsidRPr="00D85C92">
              <w:rPr>
                <w:sz w:val="16"/>
                <w:szCs w:val="16"/>
                <w:lang w:eastAsia="en-AU"/>
              </w:rPr>
              <w:t>Fitzroy River Public Purposes Reserve</w:t>
            </w:r>
          </w:p>
          <w:p w14:paraId="09884150" w14:textId="77777777" w:rsidR="00390C5B" w:rsidRPr="000222B5" w:rsidRDefault="00390C5B" w:rsidP="00390C5B">
            <w:pPr>
              <w:pStyle w:val="8pttabletext"/>
            </w:pPr>
          </w:p>
        </w:tc>
      </w:tr>
      <w:tr w:rsidR="00390C5B" w:rsidRPr="000222B5" w14:paraId="1DA6B073" w14:textId="77777777" w:rsidTr="00390C5B">
        <w:trPr>
          <w:cantSplit/>
        </w:trPr>
        <w:tc>
          <w:tcPr>
            <w:tcW w:w="6186" w:type="dxa"/>
            <w:shd w:val="clear" w:color="auto" w:fill="auto"/>
            <w:tcMar>
              <w:top w:w="57" w:type="dxa"/>
              <w:left w:w="57" w:type="dxa"/>
              <w:bottom w:w="57" w:type="dxa"/>
            </w:tcMar>
          </w:tcPr>
          <w:p w14:paraId="2FCCDD55" w14:textId="77777777" w:rsidR="00390C5B" w:rsidRPr="006B0D1D" w:rsidRDefault="00390C5B" w:rsidP="00390C5B">
            <w:r w:rsidRPr="00D85C92">
              <w:rPr>
                <w:sz w:val="16"/>
                <w:szCs w:val="16"/>
                <w:lang w:eastAsia="en-AU"/>
              </w:rPr>
              <w:t xml:space="preserve">Putting Locals First - Construct two all abilities access fishing platforms at Spring Creek. </w:t>
            </w:r>
            <w:r w:rsidRPr="009A6D70">
              <w:rPr>
                <w:sz w:val="16"/>
                <w:szCs w:val="16"/>
                <w:lang w:eastAsia="en-AU"/>
              </w:rPr>
              <w:t>90% instalment of year one funding</w:t>
            </w:r>
            <w:r w:rsidRPr="003E6A9B">
              <w:rPr>
                <w:sz w:val="16"/>
                <w:szCs w:val="16"/>
                <w:lang w:eastAsia="en-AU"/>
              </w:rPr>
              <w:t>. Total project funding of $54,545.45</w:t>
            </w:r>
            <w:r>
              <w:rPr>
                <w:sz w:val="16"/>
                <w:szCs w:val="16"/>
                <w:lang w:eastAsia="en-AU"/>
              </w:rPr>
              <w:t xml:space="preserve"> </w:t>
            </w:r>
            <w:r w:rsidRPr="003E6A9B">
              <w:rPr>
                <w:sz w:val="16"/>
                <w:szCs w:val="16"/>
                <w:lang w:eastAsia="en-AU"/>
              </w:rPr>
              <w:t>over one year.</w:t>
            </w:r>
          </w:p>
        </w:tc>
        <w:tc>
          <w:tcPr>
            <w:tcW w:w="1276" w:type="dxa"/>
            <w:shd w:val="clear" w:color="auto" w:fill="DFEDF1"/>
            <w:noWrap/>
            <w:tcMar>
              <w:top w:w="57" w:type="dxa"/>
              <w:left w:w="57" w:type="dxa"/>
              <w:bottom w:w="57" w:type="dxa"/>
              <w:right w:w="142" w:type="dxa"/>
            </w:tcMar>
          </w:tcPr>
          <w:p w14:paraId="6153D60D" w14:textId="77777777" w:rsidR="00390C5B" w:rsidRDefault="00390C5B" w:rsidP="00390C5B">
            <w:pPr>
              <w:pStyle w:val="8pttabletext"/>
              <w:jc w:val="right"/>
            </w:pPr>
            <w:r>
              <w:t>$49,090.91</w:t>
            </w:r>
          </w:p>
        </w:tc>
        <w:tc>
          <w:tcPr>
            <w:tcW w:w="2126" w:type="dxa"/>
            <w:shd w:val="clear" w:color="auto" w:fill="auto"/>
            <w:tcMar>
              <w:top w:w="57" w:type="dxa"/>
              <w:left w:w="57" w:type="dxa"/>
              <w:bottom w:w="57" w:type="dxa"/>
            </w:tcMar>
          </w:tcPr>
          <w:p w14:paraId="68479832" w14:textId="77777777" w:rsidR="00390C5B" w:rsidRPr="006B0D1D" w:rsidRDefault="00390C5B" w:rsidP="00390C5B">
            <w:pPr>
              <w:rPr>
                <w:sz w:val="16"/>
                <w:szCs w:val="16"/>
                <w:lang w:eastAsia="en-AU"/>
              </w:rPr>
            </w:pPr>
            <w:r w:rsidRPr="003E6A9B">
              <w:rPr>
                <w:sz w:val="16"/>
                <w:szCs w:val="16"/>
                <w:lang w:eastAsia="en-AU"/>
              </w:rPr>
              <w:t>Surfcoast Shire</w:t>
            </w:r>
          </w:p>
        </w:tc>
      </w:tr>
      <w:tr w:rsidR="00390C5B" w:rsidRPr="000222B5" w14:paraId="38F52C6C" w14:textId="77777777" w:rsidTr="00390C5B">
        <w:trPr>
          <w:cantSplit/>
        </w:trPr>
        <w:tc>
          <w:tcPr>
            <w:tcW w:w="6186" w:type="dxa"/>
            <w:shd w:val="clear" w:color="auto" w:fill="auto"/>
            <w:tcMar>
              <w:top w:w="57" w:type="dxa"/>
              <w:left w:w="57" w:type="dxa"/>
              <w:bottom w:w="57" w:type="dxa"/>
            </w:tcMar>
          </w:tcPr>
          <w:p w14:paraId="1ECBF00A" w14:textId="77777777" w:rsidR="00390C5B" w:rsidRPr="000222B5" w:rsidRDefault="00390C5B" w:rsidP="00390C5B">
            <w:pPr>
              <w:pStyle w:val="8pttabletext"/>
            </w:pPr>
            <w:r w:rsidRPr="006B0D1D">
              <w:t>Fecundity and egg quality of dusky flathead (</w:t>
            </w:r>
            <w:r w:rsidRPr="001F4734">
              <w:rPr>
                <w:i/>
              </w:rPr>
              <w:t>Platycephalidae fuscus</w:t>
            </w:r>
            <w:r w:rsidRPr="006B0D1D">
              <w:t>) in East Gippsland, Victoria.</w:t>
            </w:r>
            <w:r>
              <w:t xml:space="preserve"> 90% </w:t>
            </w:r>
            <w:r w:rsidRPr="00725A40">
              <w:t>instalment of year one funding. Total project funding of $49,638.75</w:t>
            </w:r>
            <w:r>
              <w:t xml:space="preserve"> </w:t>
            </w:r>
            <w:r w:rsidRPr="00725A40">
              <w:t xml:space="preserve">over </w:t>
            </w:r>
            <w:r>
              <w:t>one year</w:t>
            </w:r>
            <w:r w:rsidRPr="00725A40">
              <w:t>.</w:t>
            </w:r>
          </w:p>
        </w:tc>
        <w:tc>
          <w:tcPr>
            <w:tcW w:w="1276" w:type="dxa"/>
            <w:shd w:val="clear" w:color="auto" w:fill="DFEDF1"/>
            <w:noWrap/>
            <w:tcMar>
              <w:top w:w="57" w:type="dxa"/>
              <w:left w:w="57" w:type="dxa"/>
              <w:bottom w:w="57" w:type="dxa"/>
              <w:right w:w="142" w:type="dxa"/>
            </w:tcMar>
          </w:tcPr>
          <w:p w14:paraId="10C47552" w14:textId="77777777" w:rsidR="00390C5B" w:rsidRPr="00F63F59" w:rsidRDefault="00390C5B" w:rsidP="00390C5B">
            <w:pPr>
              <w:pStyle w:val="8pttabletext"/>
              <w:jc w:val="right"/>
            </w:pPr>
            <w:r>
              <w:t>$44,674.88</w:t>
            </w:r>
          </w:p>
        </w:tc>
        <w:tc>
          <w:tcPr>
            <w:tcW w:w="2126" w:type="dxa"/>
            <w:shd w:val="clear" w:color="auto" w:fill="auto"/>
            <w:tcMar>
              <w:top w:w="57" w:type="dxa"/>
              <w:left w:w="57" w:type="dxa"/>
              <w:bottom w:w="57" w:type="dxa"/>
            </w:tcMar>
          </w:tcPr>
          <w:p w14:paraId="5BD57B6B" w14:textId="77777777" w:rsidR="00390C5B" w:rsidRPr="006B0D1D" w:rsidRDefault="00390C5B" w:rsidP="00390C5B">
            <w:pPr>
              <w:rPr>
                <w:sz w:val="16"/>
                <w:szCs w:val="16"/>
                <w:lang w:eastAsia="en-AU"/>
              </w:rPr>
            </w:pPr>
            <w:r w:rsidRPr="006B0D1D">
              <w:rPr>
                <w:sz w:val="16"/>
                <w:szCs w:val="16"/>
                <w:lang w:eastAsia="en-AU"/>
              </w:rPr>
              <w:t>Charles Sturt University</w:t>
            </w:r>
          </w:p>
          <w:p w14:paraId="27EC8D4B" w14:textId="77777777" w:rsidR="00390C5B" w:rsidRPr="000222B5" w:rsidRDefault="00390C5B" w:rsidP="00390C5B">
            <w:pPr>
              <w:pStyle w:val="8pttabletext"/>
            </w:pPr>
          </w:p>
        </w:tc>
      </w:tr>
      <w:tr w:rsidR="00390C5B" w:rsidRPr="000222B5" w14:paraId="2616D9E9" w14:textId="77777777" w:rsidTr="00390C5B">
        <w:trPr>
          <w:cantSplit/>
        </w:trPr>
        <w:tc>
          <w:tcPr>
            <w:tcW w:w="6186" w:type="dxa"/>
            <w:shd w:val="clear" w:color="auto" w:fill="auto"/>
            <w:tcMar>
              <w:top w:w="57" w:type="dxa"/>
              <w:left w:w="57" w:type="dxa"/>
              <w:bottom w:w="57" w:type="dxa"/>
            </w:tcMar>
          </w:tcPr>
          <w:p w14:paraId="30B5EB39" w14:textId="77777777" w:rsidR="00390C5B" w:rsidRPr="00D85C92" w:rsidRDefault="00390C5B" w:rsidP="00390C5B">
            <w:pPr>
              <w:rPr>
                <w:sz w:val="16"/>
                <w:szCs w:val="16"/>
                <w:lang w:eastAsia="en-AU"/>
              </w:rPr>
            </w:pPr>
            <w:r w:rsidRPr="002C40D4">
              <w:rPr>
                <w:sz w:val="16"/>
                <w:szCs w:val="16"/>
                <w:lang w:eastAsia="en-AU"/>
              </w:rPr>
              <w:t xml:space="preserve">Construct two all ability access fishing platforms and install two in-stream log structures in the Tarra River Estuary, Tarraville. </w:t>
            </w:r>
            <w:r>
              <w:rPr>
                <w:sz w:val="16"/>
                <w:szCs w:val="16"/>
                <w:lang w:eastAsia="en-AU"/>
              </w:rPr>
              <w:t xml:space="preserve">90% </w:t>
            </w:r>
            <w:r w:rsidRPr="005745F4">
              <w:rPr>
                <w:sz w:val="16"/>
                <w:szCs w:val="16"/>
                <w:lang w:eastAsia="en-AU"/>
              </w:rPr>
              <w:t>instalment of year one funding. Total project funding of $39,440.00</w:t>
            </w:r>
            <w:r>
              <w:rPr>
                <w:sz w:val="16"/>
                <w:szCs w:val="16"/>
                <w:lang w:eastAsia="en-AU"/>
              </w:rPr>
              <w:t xml:space="preserve"> </w:t>
            </w:r>
            <w:r w:rsidRPr="005745F4">
              <w:rPr>
                <w:sz w:val="16"/>
                <w:szCs w:val="16"/>
                <w:lang w:eastAsia="en-AU"/>
              </w:rPr>
              <w:t>over one year.</w:t>
            </w:r>
          </w:p>
        </w:tc>
        <w:tc>
          <w:tcPr>
            <w:tcW w:w="1276" w:type="dxa"/>
            <w:shd w:val="clear" w:color="auto" w:fill="DFEDF1"/>
            <w:noWrap/>
            <w:tcMar>
              <w:top w:w="57" w:type="dxa"/>
              <w:left w:w="57" w:type="dxa"/>
              <w:bottom w:w="57" w:type="dxa"/>
              <w:right w:w="142" w:type="dxa"/>
            </w:tcMar>
          </w:tcPr>
          <w:p w14:paraId="4E0DC831" w14:textId="77777777" w:rsidR="00390C5B" w:rsidRDefault="00390C5B" w:rsidP="00390C5B">
            <w:pPr>
              <w:pStyle w:val="8pttabletext"/>
              <w:jc w:val="right"/>
            </w:pPr>
            <w:r>
              <w:t>$35,496.00</w:t>
            </w:r>
          </w:p>
        </w:tc>
        <w:tc>
          <w:tcPr>
            <w:tcW w:w="2126" w:type="dxa"/>
            <w:shd w:val="clear" w:color="auto" w:fill="auto"/>
            <w:tcMar>
              <w:top w:w="57" w:type="dxa"/>
              <w:left w:w="57" w:type="dxa"/>
              <w:bottom w:w="57" w:type="dxa"/>
            </w:tcMar>
          </w:tcPr>
          <w:p w14:paraId="01C5DB84" w14:textId="77777777" w:rsidR="00390C5B" w:rsidRPr="006B0D1D" w:rsidRDefault="00390C5B" w:rsidP="00390C5B">
            <w:pPr>
              <w:rPr>
                <w:sz w:val="16"/>
                <w:szCs w:val="16"/>
                <w:lang w:eastAsia="en-AU"/>
              </w:rPr>
            </w:pPr>
            <w:r w:rsidRPr="006B0D1D">
              <w:rPr>
                <w:sz w:val="16"/>
                <w:szCs w:val="16"/>
                <w:lang w:eastAsia="en-AU"/>
              </w:rPr>
              <w:t>West Gippsland Catchment Management Authority</w:t>
            </w:r>
          </w:p>
          <w:p w14:paraId="1E831705" w14:textId="77777777" w:rsidR="00390C5B" w:rsidRDefault="00390C5B" w:rsidP="00390C5B">
            <w:pPr>
              <w:pStyle w:val="8pttabletext"/>
            </w:pPr>
          </w:p>
        </w:tc>
      </w:tr>
      <w:tr w:rsidR="00390C5B" w:rsidRPr="000222B5" w14:paraId="54B97B5F" w14:textId="77777777" w:rsidTr="00390C5B">
        <w:trPr>
          <w:cantSplit/>
        </w:trPr>
        <w:tc>
          <w:tcPr>
            <w:tcW w:w="6186" w:type="dxa"/>
            <w:shd w:val="clear" w:color="auto" w:fill="auto"/>
            <w:tcMar>
              <w:top w:w="57" w:type="dxa"/>
              <w:left w:w="57" w:type="dxa"/>
              <w:bottom w:w="57" w:type="dxa"/>
            </w:tcMar>
          </w:tcPr>
          <w:p w14:paraId="55B287E0" w14:textId="77777777" w:rsidR="00390C5B" w:rsidRPr="000222B5" w:rsidRDefault="00390C5B" w:rsidP="00390C5B">
            <w:r w:rsidRPr="00D85C92">
              <w:rPr>
                <w:sz w:val="16"/>
                <w:szCs w:val="16"/>
                <w:lang w:eastAsia="en-AU"/>
              </w:rPr>
              <w:t>Improving access to and evaluating the effectiveness of a Merri River Estuary Fish Habitat Hotspot</w:t>
            </w:r>
            <w:r>
              <w:rPr>
                <w:sz w:val="16"/>
                <w:szCs w:val="16"/>
                <w:lang w:eastAsia="en-AU"/>
              </w:rPr>
              <w:t xml:space="preserve">. 90% </w:t>
            </w:r>
            <w:r w:rsidRPr="002B05F5">
              <w:rPr>
                <w:sz w:val="16"/>
                <w:szCs w:val="16"/>
                <w:lang w:eastAsia="en-AU"/>
              </w:rPr>
              <w:t xml:space="preserve">instalment of year </w:t>
            </w:r>
            <w:r>
              <w:rPr>
                <w:sz w:val="16"/>
                <w:szCs w:val="16"/>
                <w:lang w:eastAsia="en-AU"/>
              </w:rPr>
              <w:t xml:space="preserve">one </w:t>
            </w:r>
            <w:r w:rsidRPr="002B05F5">
              <w:rPr>
                <w:sz w:val="16"/>
                <w:szCs w:val="16"/>
                <w:lang w:eastAsia="en-AU"/>
              </w:rPr>
              <w:t xml:space="preserve">funding. Total project funding of </w:t>
            </w:r>
            <w:r w:rsidRPr="008E0C70">
              <w:rPr>
                <w:sz w:val="16"/>
                <w:szCs w:val="16"/>
                <w:lang w:eastAsia="en-AU"/>
              </w:rPr>
              <w:t>$</w:t>
            </w:r>
            <w:r w:rsidRPr="000D3193">
              <w:rPr>
                <w:sz w:val="16"/>
                <w:szCs w:val="16"/>
                <w:lang w:eastAsia="en-AU"/>
              </w:rPr>
              <w:t>80,181.82</w:t>
            </w:r>
            <w:r>
              <w:rPr>
                <w:sz w:val="16"/>
                <w:szCs w:val="16"/>
                <w:lang w:eastAsia="en-AU"/>
              </w:rP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3D137A1C" w14:textId="77777777" w:rsidR="00390C5B" w:rsidRPr="00F63F59" w:rsidRDefault="00390C5B" w:rsidP="00390C5B">
            <w:pPr>
              <w:pStyle w:val="8pttabletext"/>
              <w:jc w:val="right"/>
            </w:pPr>
            <w:r>
              <w:t>$34,036.36</w:t>
            </w:r>
          </w:p>
        </w:tc>
        <w:tc>
          <w:tcPr>
            <w:tcW w:w="2126" w:type="dxa"/>
            <w:shd w:val="clear" w:color="auto" w:fill="auto"/>
            <w:tcMar>
              <w:top w:w="57" w:type="dxa"/>
              <w:left w:w="57" w:type="dxa"/>
              <w:bottom w:w="57" w:type="dxa"/>
            </w:tcMar>
          </w:tcPr>
          <w:p w14:paraId="2F4066EE" w14:textId="77777777" w:rsidR="00390C5B" w:rsidRPr="000222B5" w:rsidRDefault="00390C5B" w:rsidP="00390C5B">
            <w:pPr>
              <w:pStyle w:val="8pttabletext"/>
            </w:pPr>
            <w:r>
              <w:t>Glenelg Hopkins C</w:t>
            </w:r>
            <w:r w:rsidRPr="000D3193">
              <w:t>atchment Management Authority</w:t>
            </w:r>
          </w:p>
        </w:tc>
      </w:tr>
      <w:tr w:rsidR="00390C5B" w:rsidRPr="000222B5" w14:paraId="31904BA6" w14:textId="77777777" w:rsidTr="00390C5B">
        <w:trPr>
          <w:cantSplit/>
        </w:trPr>
        <w:tc>
          <w:tcPr>
            <w:tcW w:w="6186" w:type="dxa"/>
            <w:shd w:val="clear" w:color="auto" w:fill="auto"/>
            <w:tcMar>
              <w:top w:w="57" w:type="dxa"/>
              <w:left w:w="57" w:type="dxa"/>
              <w:bottom w:w="57" w:type="dxa"/>
            </w:tcMar>
          </w:tcPr>
          <w:p w14:paraId="6ABECD37" w14:textId="77777777" w:rsidR="00390C5B" w:rsidRPr="00D85C92" w:rsidRDefault="00390C5B" w:rsidP="00390C5B">
            <w:pPr>
              <w:rPr>
                <w:sz w:val="16"/>
                <w:szCs w:val="16"/>
                <w:lang w:eastAsia="en-AU"/>
              </w:rPr>
            </w:pPr>
            <w:r w:rsidRPr="006B0D1D">
              <w:rPr>
                <w:sz w:val="16"/>
                <w:szCs w:val="16"/>
                <w:lang w:eastAsia="en-AU"/>
              </w:rPr>
              <w:t>Upper Ovens River In-stream Habitat Restoration Project, Harrietville.</w:t>
            </w:r>
            <w:r>
              <w:rPr>
                <w:sz w:val="16"/>
                <w:szCs w:val="16"/>
                <w:lang w:eastAsia="en-AU"/>
              </w:rPr>
              <w:t xml:space="preserve"> 90% </w:t>
            </w:r>
            <w:r w:rsidRPr="00725A40">
              <w:rPr>
                <w:sz w:val="16"/>
                <w:szCs w:val="16"/>
                <w:lang w:eastAsia="en-AU"/>
              </w:rPr>
              <w:t xml:space="preserve">instalment of year one funding. Total project funding of </w:t>
            </w:r>
            <w:r w:rsidRPr="005B7B75">
              <w:rPr>
                <w:sz w:val="16"/>
                <w:szCs w:val="16"/>
                <w:lang w:eastAsia="en-AU"/>
              </w:rPr>
              <w:t>$35,222.50</w:t>
            </w:r>
            <w:r>
              <w:rPr>
                <w:sz w:val="16"/>
                <w:szCs w:val="16"/>
                <w:lang w:eastAsia="en-AU"/>
              </w:rPr>
              <w:t xml:space="preserve"> </w:t>
            </w:r>
            <w:r w:rsidRPr="00725A40">
              <w:rPr>
                <w:sz w:val="16"/>
                <w:szCs w:val="16"/>
                <w:lang w:eastAsia="en-AU"/>
              </w:rPr>
              <w:t>over one year.</w:t>
            </w:r>
          </w:p>
        </w:tc>
        <w:tc>
          <w:tcPr>
            <w:tcW w:w="1276" w:type="dxa"/>
            <w:shd w:val="clear" w:color="auto" w:fill="DFEDF1"/>
            <w:noWrap/>
            <w:tcMar>
              <w:top w:w="57" w:type="dxa"/>
              <w:left w:w="57" w:type="dxa"/>
              <w:bottom w:w="57" w:type="dxa"/>
              <w:right w:w="142" w:type="dxa"/>
            </w:tcMar>
          </w:tcPr>
          <w:p w14:paraId="34D3B1CA" w14:textId="77777777" w:rsidR="00390C5B" w:rsidRDefault="00390C5B" w:rsidP="00390C5B">
            <w:pPr>
              <w:pStyle w:val="8pttabletext"/>
              <w:jc w:val="right"/>
            </w:pPr>
            <w:r>
              <w:t>$31,700.25</w:t>
            </w:r>
          </w:p>
        </w:tc>
        <w:tc>
          <w:tcPr>
            <w:tcW w:w="2126" w:type="dxa"/>
            <w:shd w:val="clear" w:color="auto" w:fill="auto"/>
            <w:tcMar>
              <w:top w:w="57" w:type="dxa"/>
              <w:left w:w="57" w:type="dxa"/>
              <w:bottom w:w="57" w:type="dxa"/>
            </w:tcMar>
          </w:tcPr>
          <w:p w14:paraId="3858610F" w14:textId="77777777" w:rsidR="00390C5B" w:rsidRPr="00D85C92" w:rsidRDefault="00390C5B" w:rsidP="00390C5B">
            <w:r w:rsidRPr="006B0D1D">
              <w:rPr>
                <w:sz w:val="16"/>
                <w:szCs w:val="16"/>
                <w:lang w:eastAsia="en-AU"/>
              </w:rPr>
              <w:t>Harrietville Community Forum Inc.</w:t>
            </w:r>
          </w:p>
        </w:tc>
      </w:tr>
      <w:tr w:rsidR="00390C5B" w:rsidRPr="000222B5" w14:paraId="5AEB10DD" w14:textId="77777777" w:rsidTr="00390C5B">
        <w:trPr>
          <w:cantSplit/>
        </w:trPr>
        <w:tc>
          <w:tcPr>
            <w:tcW w:w="6186" w:type="dxa"/>
            <w:shd w:val="clear" w:color="auto" w:fill="auto"/>
            <w:tcMar>
              <w:top w:w="57" w:type="dxa"/>
              <w:left w:w="57" w:type="dxa"/>
              <w:bottom w:w="57" w:type="dxa"/>
            </w:tcMar>
          </w:tcPr>
          <w:p w14:paraId="07B2F8EC" w14:textId="77777777" w:rsidR="00390C5B" w:rsidRPr="00D85C92" w:rsidRDefault="00390C5B" w:rsidP="00390C5B">
            <w:pPr>
              <w:rPr>
                <w:sz w:val="16"/>
                <w:szCs w:val="16"/>
                <w:lang w:eastAsia="en-AU"/>
              </w:rPr>
            </w:pPr>
            <w:r w:rsidRPr="00D85C92">
              <w:rPr>
                <w:sz w:val="16"/>
                <w:szCs w:val="16"/>
                <w:lang w:eastAsia="en-AU"/>
              </w:rPr>
              <w:t>Native Fish Habitat Enhancement in the Lower Broken Creek between Numurkah and Nathalia.</w:t>
            </w:r>
            <w:r>
              <w:rPr>
                <w:sz w:val="16"/>
                <w:szCs w:val="16"/>
                <w:lang w:eastAsia="en-AU"/>
              </w:rPr>
              <w:t xml:space="preserve"> 90% </w:t>
            </w:r>
            <w:r w:rsidRPr="002B05F5">
              <w:rPr>
                <w:sz w:val="16"/>
                <w:szCs w:val="16"/>
                <w:lang w:eastAsia="en-AU"/>
              </w:rPr>
              <w:t xml:space="preserve">instalment of year </w:t>
            </w:r>
            <w:r>
              <w:rPr>
                <w:sz w:val="16"/>
                <w:szCs w:val="16"/>
                <w:lang w:eastAsia="en-AU"/>
              </w:rPr>
              <w:t xml:space="preserve">one </w:t>
            </w:r>
            <w:r w:rsidRPr="002B05F5">
              <w:rPr>
                <w:sz w:val="16"/>
                <w:szCs w:val="16"/>
                <w:lang w:eastAsia="en-AU"/>
              </w:rPr>
              <w:t xml:space="preserve">funding. Total project funding of </w:t>
            </w:r>
            <w:r w:rsidRPr="002C7C03">
              <w:rPr>
                <w:sz w:val="16"/>
                <w:szCs w:val="16"/>
                <w:lang w:eastAsia="en-AU"/>
              </w:rPr>
              <w:t>$68,727.27</w:t>
            </w:r>
            <w:r>
              <w:rPr>
                <w:sz w:val="16"/>
                <w:szCs w:val="16"/>
                <w:lang w:eastAsia="en-AU"/>
              </w:rPr>
              <w:t xml:space="preserve"> </w:t>
            </w:r>
            <w:r w:rsidRPr="002B05F5">
              <w:rPr>
                <w:sz w:val="16"/>
                <w:szCs w:val="16"/>
                <w:lang w:eastAsia="en-AU"/>
              </w:rPr>
              <w:t>over t</w:t>
            </w:r>
            <w:r>
              <w:rPr>
                <w:sz w:val="16"/>
                <w:szCs w:val="16"/>
                <w:lang w:eastAsia="en-AU"/>
              </w:rPr>
              <w:t>wo</w:t>
            </w:r>
            <w:r w:rsidRPr="002B05F5">
              <w:rPr>
                <w:sz w:val="16"/>
                <w:szCs w:val="16"/>
                <w:lang w:eastAsia="en-AU"/>
              </w:rPr>
              <w:t xml:space="preserve"> years.</w:t>
            </w:r>
          </w:p>
        </w:tc>
        <w:tc>
          <w:tcPr>
            <w:tcW w:w="1276" w:type="dxa"/>
            <w:shd w:val="clear" w:color="auto" w:fill="DFEDF1"/>
            <w:noWrap/>
            <w:tcMar>
              <w:top w:w="57" w:type="dxa"/>
              <w:left w:w="57" w:type="dxa"/>
              <w:bottom w:w="57" w:type="dxa"/>
              <w:right w:w="142" w:type="dxa"/>
            </w:tcMar>
          </w:tcPr>
          <w:p w14:paraId="78043280" w14:textId="77777777" w:rsidR="00390C5B" w:rsidRDefault="00390C5B" w:rsidP="00390C5B">
            <w:pPr>
              <w:pStyle w:val="8pttabletext"/>
              <w:jc w:val="right"/>
            </w:pPr>
            <w:r>
              <w:t>$30,927.27</w:t>
            </w:r>
          </w:p>
        </w:tc>
        <w:tc>
          <w:tcPr>
            <w:tcW w:w="2126" w:type="dxa"/>
            <w:shd w:val="clear" w:color="auto" w:fill="auto"/>
            <w:tcMar>
              <w:top w:w="57" w:type="dxa"/>
              <w:left w:w="57" w:type="dxa"/>
              <w:bottom w:w="57" w:type="dxa"/>
            </w:tcMar>
          </w:tcPr>
          <w:p w14:paraId="54123E40" w14:textId="77777777" w:rsidR="00390C5B" w:rsidRDefault="00390C5B" w:rsidP="00390C5B">
            <w:pPr>
              <w:pStyle w:val="8pttabletext"/>
            </w:pPr>
            <w:r w:rsidRPr="00D85C92">
              <w:t>Goulburn Broken Catchment Management Authority</w:t>
            </w:r>
          </w:p>
        </w:tc>
      </w:tr>
      <w:tr w:rsidR="00390C5B" w:rsidRPr="000222B5" w14:paraId="6213B068" w14:textId="77777777" w:rsidTr="00390C5B">
        <w:trPr>
          <w:cantSplit/>
        </w:trPr>
        <w:tc>
          <w:tcPr>
            <w:tcW w:w="6186" w:type="dxa"/>
            <w:shd w:val="clear" w:color="auto" w:fill="auto"/>
            <w:tcMar>
              <w:top w:w="57" w:type="dxa"/>
              <w:left w:w="57" w:type="dxa"/>
              <w:bottom w:w="57" w:type="dxa"/>
            </w:tcMar>
          </w:tcPr>
          <w:p w14:paraId="06F2D28B" w14:textId="77777777" w:rsidR="00390C5B" w:rsidRPr="00D85C92" w:rsidRDefault="00390C5B" w:rsidP="00390C5B">
            <w:pPr>
              <w:rPr>
                <w:sz w:val="16"/>
                <w:szCs w:val="16"/>
                <w:lang w:eastAsia="en-AU"/>
              </w:rPr>
            </w:pPr>
            <w:r w:rsidRPr="006B0D1D">
              <w:rPr>
                <w:sz w:val="16"/>
                <w:szCs w:val="16"/>
                <w:lang w:eastAsia="en-AU"/>
              </w:rPr>
              <w:t>Construct angler access stairs at Boggaley Creek</w:t>
            </w:r>
            <w:r>
              <w:rPr>
                <w:sz w:val="16"/>
                <w:szCs w:val="16"/>
                <w:lang w:eastAsia="en-AU"/>
              </w:rPr>
              <w:t xml:space="preserve">, </w:t>
            </w:r>
            <w:r w:rsidRPr="006B0D1D">
              <w:rPr>
                <w:sz w:val="16"/>
                <w:szCs w:val="16"/>
                <w:lang w:eastAsia="en-AU"/>
              </w:rPr>
              <w:t>13 km from Lorne.</w:t>
            </w:r>
            <w:r>
              <w:rPr>
                <w:sz w:val="16"/>
                <w:szCs w:val="16"/>
                <w:lang w:eastAsia="en-AU"/>
              </w:rPr>
              <w:t xml:space="preserve"> 90% </w:t>
            </w:r>
            <w:r w:rsidRPr="00BE6311">
              <w:rPr>
                <w:sz w:val="16"/>
                <w:szCs w:val="16"/>
                <w:lang w:eastAsia="en-AU"/>
              </w:rPr>
              <w:t>instalment of year one funding</w:t>
            </w:r>
            <w:r>
              <w:rPr>
                <w:sz w:val="16"/>
                <w:szCs w:val="16"/>
                <w:lang w:eastAsia="en-AU"/>
              </w:rPr>
              <w:t xml:space="preserve"> plus balance of funding</w:t>
            </w:r>
            <w:r w:rsidRPr="00BE6311">
              <w:rPr>
                <w:sz w:val="16"/>
                <w:szCs w:val="16"/>
                <w:lang w:eastAsia="en-AU"/>
              </w:rPr>
              <w:t>. Total project funding of $3</w:t>
            </w:r>
            <w:r>
              <w:rPr>
                <w:sz w:val="16"/>
                <w:szCs w:val="16"/>
                <w:lang w:eastAsia="en-AU"/>
              </w:rPr>
              <w:t>0</w:t>
            </w:r>
            <w:r w:rsidRPr="00BE6311">
              <w:rPr>
                <w:sz w:val="16"/>
                <w:szCs w:val="16"/>
                <w:lang w:eastAsia="en-AU"/>
              </w:rPr>
              <w:t>,</w:t>
            </w:r>
            <w:r>
              <w:rPr>
                <w:sz w:val="16"/>
                <w:szCs w:val="16"/>
                <w:lang w:eastAsia="en-AU"/>
              </w:rPr>
              <w:t>720.58</w:t>
            </w:r>
            <w:r w:rsidRPr="00BE6311">
              <w:rPr>
                <w:sz w:val="16"/>
                <w:szCs w:val="16"/>
                <w:lang w:eastAsia="en-AU"/>
              </w:rPr>
              <w:t>.</w:t>
            </w:r>
          </w:p>
        </w:tc>
        <w:tc>
          <w:tcPr>
            <w:tcW w:w="1276" w:type="dxa"/>
            <w:shd w:val="clear" w:color="auto" w:fill="DFEDF1"/>
            <w:noWrap/>
            <w:tcMar>
              <w:top w:w="57" w:type="dxa"/>
              <w:left w:w="57" w:type="dxa"/>
              <w:bottom w:w="57" w:type="dxa"/>
              <w:right w:w="142" w:type="dxa"/>
            </w:tcMar>
          </w:tcPr>
          <w:p w14:paraId="2C83D352" w14:textId="77777777" w:rsidR="00390C5B" w:rsidRPr="0049528A" w:rsidRDefault="00390C5B" w:rsidP="00390C5B">
            <w:pPr>
              <w:pStyle w:val="8pttabletext"/>
              <w:jc w:val="right"/>
            </w:pPr>
            <w:r w:rsidRPr="0049528A">
              <w:t>$30,720.58</w:t>
            </w:r>
          </w:p>
        </w:tc>
        <w:tc>
          <w:tcPr>
            <w:tcW w:w="2126" w:type="dxa"/>
            <w:shd w:val="clear" w:color="auto" w:fill="auto"/>
            <w:tcMar>
              <w:top w:w="57" w:type="dxa"/>
              <w:left w:w="57" w:type="dxa"/>
              <w:bottom w:w="57" w:type="dxa"/>
            </w:tcMar>
          </w:tcPr>
          <w:p w14:paraId="584ECCCD" w14:textId="77777777" w:rsidR="00390C5B" w:rsidRPr="0049528A" w:rsidRDefault="00390C5B" w:rsidP="00390C5B">
            <w:pPr>
              <w:pStyle w:val="8pttabletext"/>
            </w:pPr>
            <w:r w:rsidRPr="0049528A">
              <w:t>Association of Geelong &amp; District Angling Clubs Inc.</w:t>
            </w:r>
          </w:p>
        </w:tc>
      </w:tr>
      <w:tr w:rsidR="00390C5B" w:rsidRPr="000222B5" w14:paraId="491F5C58" w14:textId="77777777" w:rsidTr="00390C5B">
        <w:trPr>
          <w:cantSplit/>
        </w:trPr>
        <w:tc>
          <w:tcPr>
            <w:tcW w:w="6186" w:type="dxa"/>
            <w:shd w:val="clear" w:color="auto" w:fill="auto"/>
            <w:tcMar>
              <w:top w:w="57" w:type="dxa"/>
              <w:left w:w="57" w:type="dxa"/>
              <w:bottom w:w="57" w:type="dxa"/>
            </w:tcMar>
          </w:tcPr>
          <w:p w14:paraId="2863811D" w14:textId="77777777" w:rsidR="00390C5B" w:rsidRPr="000222B5" w:rsidRDefault="00390C5B" w:rsidP="006A57B2">
            <w:r w:rsidRPr="00D85C92">
              <w:rPr>
                <w:sz w:val="16"/>
                <w:szCs w:val="16"/>
                <w:lang w:eastAsia="en-AU"/>
              </w:rPr>
              <w:t>Evaluating the status of the Murray crayfish recreational fishery in Victo</w:t>
            </w:r>
            <w:r w:rsidR="006A57B2">
              <w:rPr>
                <w:sz w:val="16"/>
                <w:szCs w:val="16"/>
                <w:lang w:eastAsia="en-AU"/>
              </w:rPr>
              <w:t>ria</w:t>
            </w:r>
            <w:r w:rsidRPr="00D85C92">
              <w:rPr>
                <w:sz w:val="16"/>
                <w:szCs w:val="16"/>
                <w:lang w:eastAsia="en-AU"/>
              </w:rPr>
              <w:t>. The project will focus on waterways of northern Victoria where Murray crayfish are known to occur, including the Mitta Mitta, Kiewa, Ovens and Goulburn rivers.</w:t>
            </w:r>
            <w:r>
              <w:t xml:space="preserve"> </w:t>
            </w:r>
            <w:r w:rsidRPr="006E6235">
              <w:rPr>
                <w:sz w:val="16"/>
                <w:szCs w:val="16"/>
                <w:lang w:eastAsia="en-AU"/>
              </w:rPr>
              <w:t>90%</w:t>
            </w:r>
            <w:r>
              <w:t xml:space="preserve"> </w:t>
            </w:r>
            <w:r w:rsidRPr="002B05F5">
              <w:rPr>
                <w:sz w:val="16"/>
                <w:szCs w:val="16"/>
                <w:lang w:eastAsia="en-AU"/>
              </w:rPr>
              <w:t xml:space="preserve">instalment of year </w:t>
            </w:r>
            <w:r>
              <w:rPr>
                <w:sz w:val="16"/>
                <w:szCs w:val="16"/>
                <w:lang w:eastAsia="en-AU"/>
              </w:rPr>
              <w:t xml:space="preserve">one </w:t>
            </w:r>
            <w:r w:rsidRPr="002B05F5">
              <w:rPr>
                <w:sz w:val="16"/>
                <w:szCs w:val="16"/>
                <w:lang w:eastAsia="en-AU"/>
              </w:rPr>
              <w:t xml:space="preserve">funding. Total project funding of </w:t>
            </w:r>
            <w:r w:rsidRPr="008E0C70">
              <w:rPr>
                <w:sz w:val="16"/>
                <w:szCs w:val="16"/>
                <w:lang w:eastAsia="en-AU"/>
              </w:rPr>
              <w:t>$</w:t>
            </w:r>
            <w:r w:rsidRPr="000D3193">
              <w:rPr>
                <w:sz w:val="16"/>
                <w:szCs w:val="16"/>
                <w:lang w:eastAsia="en-AU"/>
              </w:rPr>
              <w:t>65,818.18</w:t>
            </w:r>
            <w:r>
              <w:rPr>
                <w:sz w:val="16"/>
                <w:szCs w:val="16"/>
                <w:lang w:eastAsia="en-AU"/>
              </w:rP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0C5D0EA1" w14:textId="77777777" w:rsidR="00390C5B" w:rsidRPr="00F63F59" w:rsidRDefault="00390C5B" w:rsidP="00390C5B">
            <w:pPr>
              <w:pStyle w:val="8pttabletext"/>
              <w:jc w:val="right"/>
            </w:pPr>
            <w:r>
              <w:t>$29,209.09</w:t>
            </w:r>
          </w:p>
        </w:tc>
        <w:tc>
          <w:tcPr>
            <w:tcW w:w="2126" w:type="dxa"/>
            <w:shd w:val="clear" w:color="auto" w:fill="auto"/>
            <w:tcMar>
              <w:top w:w="57" w:type="dxa"/>
              <w:left w:w="57" w:type="dxa"/>
              <w:bottom w:w="57" w:type="dxa"/>
            </w:tcMar>
          </w:tcPr>
          <w:p w14:paraId="6906E8D7" w14:textId="77777777" w:rsidR="00390C5B" w:rsidRPr="000222B5" w:rsidRDefault="00390C5B" w:rsidP="00390C5B">
            <w:pPr>
              <w:pStyle w:val="8pttabletext"/>
            </w:pPr>
            <w:r>
              <w:t>Nature Glenelg Trust</w:t>
            </w:r>
          </w:p>
        </w:tc>
      </w:tr>
      <w:tr w:rsidR="00390C5B" w:rsidRPr="000222B5" w14:paraId="2B780714" w14:textId="77777777" w:rsidTr="00390C5B">
        <w:trPr>
          <w:cantSplit/>
        </w:trPr>
        <w:tc>
          <w:tcPr>
            <w:tcW w:w="6186" w:type="dxa"/>
            <w:shd w:val="clear" w:color="auto" w:fill="auto"/>
            <w:tcMar>
              <w:top w:w="57" w:type="dxa"/>
              <w:left w:w="57" w:type="dxa"/>
              <w:bottom w:w="57" w:type="dxa"/>
            </w:tcMar>
          </w:tcPr>
          <w:p w14:paraId="53266672" w14:textId="77777777" w:rsidR="00390C5B" w:rsidRPr="00E604BC" w:rsidRDefault="00390C5B" w:rsidP="00390C5B">
            <w:pPr>
              <w:rPr>
                <w:sz w:val="16"/>
                <w:szCs w:val="16"/>
                <w:lang w:eastAsia="en-AU"/>
              </w:rPr>
            </w:pPr>
            <w:r w:rsidRPr="006B0D1D">
              <w:rPr>
                <w:sz w:val="16"/>
                <w:szCs w:val="16"/>
                <w:lang w:eastAsia="en-AU"/>
              </w:rPr>
              <w:t xml:space="preserve">Upper Coliban Recreation Area Foreshore Access Track. </w:t>
            </w:r>
            <w:r>
              <w:rPr>
                <w:sz w:val="16"/>
                <w:szCs w:val="16"/>
                <w:lang w:eastAsia="en-AU"/>
              </w:rPr>
              <w:t xml:space="preserve">90% </w:t>
            </w:r>
            <w:r w:rsidRPr="00725A40">
              <w:rPr>
                <w:sz w:val="16"/>
                <w:szCs w:val="16"/>
                <w:lang w:eastAsia="en-AU"/>
              </w:rPr>
              <w:t xml:space="preserve">instalment of year one funding. Total project funding of </w:t>
            </w:r>
            <w:r w:rsidRPr="00E604BC">
              <w:rPr>
                <w:sz w:val="16"/>
                <w:szCs w:val="16"/>
                <w:lang w:eastAsia="en-AU"/>
              </w:rPr>
              <w:t>$28,982.27</w:t>
            </w:r>
            <w:r>
              <w:rPr>
                <w:sz w:val="16"/>
                <w:szCs w:val="16"/>
                <w:lang w:eastAsia="en-AU"/>
              </w:rPr>
              <w:t xml:space="preserve"> </w:t>
            </w:r>
            <w:r w:rsidRPr="00725A40">
              <w:rPr>
                <w:sz w:val="16"/>
                <w:szCs w:val="16"/>
                <w:lang w:eastAsia="en-AU"/>
              </w:rPr>
              <w:t>over one year.</w:t>
            </w:r>
          </w:p>
        </w:tc>
        <w:tc>
          <w:tcPr>
            <w:tcW w:w="1276" w:type="dxa"/>
            <w:shd w:val="clear" w:color="auto" w:fill="DFEDF1"/>
            <w:noWrap/>
            <w:tcMar>
              <w:top w:w="57" w:type="dxa"/>
              <w:left w:w="57" w:type="dxa"/>
              <w:bottom w:w="57" w:type="dxa"/>
              <w:right w:w="142" w:type="dxa"/>
            </w:tcMar>
          </w:tcPr>
          <w:p w14:paraId="03351263" w14:textId="77777777" w:rsidR="00390C5B" w:rsidRDefault="00390C5B" w:rsidP="00390C5B">
            <w:pPr>
              <w:pStyle w:val="8pttabletext"/>
              <w:jc w:val="right"/>
            </w:pPr>
            <w:r>
              <w:t>$26,329.50</w:t>
            </w:r>
          </w:p>
        </w:tc>
        <w:tc>
          <w:tcPr>
            <w:tcW w:w="2126" w:type="dxa"/>
            <w:shd w:val="clear" w:color="auto" w:fill="auto"/>
            <w:tcMar>
              <w:top w:w="57" w:type="dxa"/>
              <w:left w:w="57" w:type="dxa"/>
              <w:bottom w:w="57" w:type="dxa"/>
            </w:tcMar>
          </w:tcPr>
          <w:p w14:paraId="260F13D1" w14:textId="77777777" w:rsidR="00390C5B" w:rsidRPr="006B0D1D" w:rsidRDefault="00390C5B" w:rsidP="00390C5B">
            <w:pPr>
              <w:rPr>
                <w:sz w:val="16"/>
                <w:szCs w:val="16"/>
                <w:lang w:eastAsia="en-AU"/>
              </w:rPr>
            </w:pPr>
            <w:r w:rsidRPr="006B0D1D">
              <w:rPr>
                <w:sz w:val="16"/>
                <w:szCs w:val="16"/>
                <w:lang w:eastAsia="en-AU"/>
              </w:rPr>
              <w:t>Coliban Region Water Corporation</w:t>
            </w:r>
          </w:p>
        </w:tc>
      </w:tr>
      <w:tr w:rsidR="00390C5B" w:rsidRPr="000222B5" w14:paraId="2316C556" w14:textId="77777777" w:rsidTr="00390C5B">
        <w:trPr>
          <w:cantSplit/>
        </w:trPr>
        <w:tc>
          <w:tcPr>
            <w:tcW w:w="6186" w:type="dxa"/>
            <w:shd w:val="clear" w:color="auto" w:fill="auto"/>
            <w:tcMar>
              <w:top w:w="57" w:type="dxa"/>
              <w:left w:w="57" w:type="dxa"/>
              <w:bottom w:w="57" w:type="dxa"/>
            </w:tcMar>
          </w:tcPr>
          <w:p w14:paraId="36B4660E" w14:textId="77777777" w:rsidR="00390C5B" w:rsidRPr="00D85C92" w:rsidRDefault="00390C5B" w:rsidP="00390C5B">
            <w:pPr>
              <w:rPr>
                <w:sz w:val="16"/>
                <w:szCs w:val="16"/>
                <w:lang w:eastAsia="en-AU"/>
              </w:rPr>
            </w:pPr>
            <w:r w:rsidRPr="00E604BC">
              <w:rPr>
                <w:sz w:val="16"/>
                <w:szCs w:val="16"/>
                <w:lang w:eastAsia="en-AU"/>
              </w:rPr>
              <w:t xml:space="preserve">Construct an all abilities fishing platform and increase fish habitat in the Tarwin River estuary/Andersons Inlet at Tarwin Lower. </w:t>
            </w:r>
            <w:r>
              <w:rPr>
                <w:sz w:val="16"/>
                <w:szCs w:val="16"/>
                <w:lang w:eastAsia="en-AU"/>
              </w:rPr>
              <w:t xml:space="preserve">90% </w:t>
            </w:r>
            <w:r w:rsidRPr="00E604BC">
              <w:rPr>
                <w:sz w:val="16"/>
                <w:szCs w:val="16"/>
                <w:lang w:eastAsia="en-AU"/>
              </w:rPr>
              <w:t>instalment of year one funding. Total project funding of $34,150.00 over two years.</w:t>
            </w:r>
          </w:p>
        </w:tc>
        <w:tc>
          <w:tcPr>
            <w:tcW w:w="1276" w:type="dxa"/>
            <w:shd w:val="clear" w:color="auto" w:fill="DFEDF1"/>
            <w:noWrap/>
            <w:tcMar>
              <w:top w:w="57" w:type="dxa"/>
              <w:left w:w="57" w:type="dxa"/>
              <w:bottom w:w="57" w:type="dxa"/>
              <w:right w:w="142" w:type="dxa"/>
            </w:tcMar>
          </w:tcPr>
          <w:p w14:paraId="41BBEE1E" w14:textId="77777777" w:rsidR="00390C5B" w:rsidRDefault="00390C5B" w:rsidP="00390C5B">
            <w:pPr>
              <w:pStyle w:val="8pttabletext"/>
              <w:jc w:val="right"/>
            </w:pPr>
            <w:r>
              <w:t>$23,355.00</w:t>
            </w:r>
          </w:p>
        </w:tc>
        <w:tc>
          <w:tcPr>
            <w:tcW w:w="2126" w:type="dxa"/>
            <w:shd w:val="clear" w:color="auto" w:fill="auto"/>
            <w:tcMar>
              <w:top w:w="57" w:type="dxa"/>
              <w:left w:w="57" w:type="dxa"/>
              <w:bottom w:w="57" w:type="dxa"/>
            </w:tcMar>
          </w:tcPr>
          <w:p w14:paraId="61AAD63B" w14:textId="77777777" w:rsidR="00390C5B" w:rsidRPr="006B0D1D" w:rsidRDefault="00390C5B" w:rsidP="00390C5B">
            <w:pPr>
              <w:rPr>
                <w:sz w:val="16"/>
                <w:szCs w:val="16"/>
                <w:lang w:eastAsia="en-AU"/>
              </w:rPr>
            </w:pPr>
            <w:r w:rsidRPr="006B0D1D">
              <w:rPr>
                <w:sz w:val="16"/>
                <w:szCs w:val="16"/>
                <w:lang w:eastAsia="en-AU"/>
              </w:rPr>
              <w:t>West Gippsland Catchment Management Authority</w:t>
            </w:r>
          </w:p>
          <w:p w14:paraId="71E96D66" w14:textId="77777777" w:rsidR="00390C5B" w:rsidRDefault="00390C5B" w:rsidP="00390C5B">
            <w:pPr>
              <w:pStyle w:val="8pttabletext"/>
            </w:pPr>
          </w:p>
        </w:tc>
      </w:tr>
      <w:tr w:rsidR="00390C5B" w:rsidRPr="000222B5" w14:paraId="1913285B" w14:textId="77777777" w:rsidTr="00390C5B">
        <w:trPr>
          <w:cantSplit/>
        </w:trPr>
        <w:tc>
          <w:tcPr>
            <w:tcW w:w="6186" w:type="dxa"/>
            <w:shd w:val="clear" w:color="auto" w:fill="auto"/>
            <w:tcMar>
              <w:top w:w="57" w:type="dxa"/>
              <w:left w:w="57" w:type="dxa"/>
              <w:bottom w:w="57" w:type="dxa"/>
            </w:tcMar>
          </w:tcPr>
          <w:p w14:paraId="3B9D41A5" w14:textId="77777777" w:rsidR="00390C5B" w:rsidRPr="00D85C92" w:rsidRDefault="00390C5B" w:rsidP="00390C5B">
            <w:pPr>
              <w:rPr>
                <w:sz w:val="16"/>
                <w:szCs w:val="16"/>
                <w:lang w:eastAsia="en-AU"/>
              </w:rPr>
            </w:pPr>
            <w:r w:rsidRPr="006B0D1D">
              <w:rPr>
                <w:sz w:val="16"/>
                <w:szCs w:val="16"/>
                <w:lang w:eastAsia="en-AU"/>
              </w:rPr>
              <w:t>Gellibrand River Blackfish Population Assessment</w:t>
            </w:r>
            <w:r>
              <w:rPr>
                <w:sz w:val="16"/>
                <w:szCs w:val="16"/>
                <w:lang w:eastAsia="en-AU"/>
              </w:rPr>
              <w:t xml:space="preserve">. 90% </w:t>
            </w:r>
            <w:r w:rsidRPr="00725A40">
              <w:rPr>
                <w:sz w:val="16"/>
                <w:szCs w:val="16"/>
                <w:lang w:eastAsia="en-AU"/>
              </w:rPr>
              <w:t xml:space="preserve">instalment of year one funding. Total project funding of </w:t>
            </w:r>
            <w:r w:rsidRPr="00E604BC">
              <w:rPr>
                <w:sz w:val="16"/>
                <w:szCs w:val="16"/>
                <w:lang w:eastAsia="en-AU"/>
              </w:rPr>
              <w:t>$22,147.27</w:t>
            </w:r>
            <w:r>
              <w:rPr>
                <w:sz w:val="16"/>
                <w:szCs w:val="16"/>
                <w:lang w:eastAsia="en-AU"/>
              </w:rPr>
              <w:t xml:space="preserve"> </w:t>
            </w:r>
            <w:r w:rsidRPr="00725A40">
              <w:rPr>
                <w:sz w:val="16"/>
                <w:szCs w:val="16"/>
                <w:lang w:eastAsia="en-AU"/>
              </w:rPr>
              <w:t>over one year.</w:t>
            </w:r>
          </w:p>
        </w:tc>
        <w:tc>
          <w:tcPr>
            <w:tcW w:w="1276" w:type="dxa"/>
            <w:shd w:val="clear" w:color="auto" w:fill="DFEDF1"/>
            <w:noWrap/>
            <w:tcMar>
              <w:top w:w="57" w:type="dxa"/>
              <w:left w:w="57" w:type="dxa"/>
              <w:bottom w:w="57" w:type="dxa"/>
              <w:right w:w="142" w:type="dxa"/>
            </w:tcMar>
          </w:tcPr>
          <w:p w14:paraId="1AEC22C5" w14:textId="77777777" w:rsidR="00390C5B" w:rsidRDefault="00390C5B" w:rsidP="00390C5B">
            <w:pPr>
              <w:pStyle w:val="8pttabletext"/>
              <w:jc w:val="right"/>
            </w:pPr>
            <w:r>
              <w:t>$19,932.55</w:t>
            </w:r>
          </w:p>
        </w:tc>
        <w:tc>
          <w:tcPr>
            <w:tcW w:w="2126" w:type="dxa"/>
            <w:shd w:val="clear" w:color="auto" w:fill="auto"/>
            <w:tcMar>
              <w:top w:w="57" w:type="dxa"/>
              <w:left w:w="57" w:type="dxa"/>
              <w:bottom w:w="57" w:type="dxa"/>
            </w:tcMar>
          </w:tcPr>
          <w:p w14:paraId="6FFEB282" w14:textId="77777777" w:rsidR="00390C5B" w:rsidRDefault="00390C5B" w:rsidP="00390C5B">
            <w:r w:rsidRPr="006B0D1D">
              <w:rPr>
                <w:sz w:val="16"/>
                <w:szCs w:val="16"/>
                <w:lang w:eastAsia="en-AU"/>
              </w:rPr>
              <w:t>Corangamite Catchment Management Authority</w:t>
            </w:r>
          </w:p>
        </w:tc>
      </w:tr>
      <w:tr w:rsidR="00390C5B" w:rsidRPr="000222B5" w14:paraId="0ADE8F4D" w14:textId="77777777" w:rsidTr="00390C5B">
        <w:trPr>
          <w:cantSplit/>
        </w:trPr>
        <w:tc>
          <w:tcPr>
            <w:tcW w:w="6186" w:type="dxa"/>
            <w:shd w:val="clear" w:color="auto" w:fill="auto"/>
            <w:tcMar>
              <w:top w:w="57" w:type="dxa"/>
              <w:left w:w="57" w:type="dxa"/>
              <w:bottom w:w="57" w:type="dxa"/>
            </w:tcMar>
          </w:tcPr>
          <w:p w14:paraId="0EFFD9BE" w14:textId="77777777" w:rsidR="00390C5B" w:rsidRPr="000222B5" w:rsidRDefault="00390C5B" w:rsidP="00390C5B">
            <w:r w:rsidRPr="00D85C92">
              <w:rPr>
                <w:sz w:val="16"/>
                <w:szCs w:val="16"/>
                <w:lang w:eastAsia="en-AU"/>
              </w:rPr>
              <w:t>Install a further 90 Seal the loop' fishing line disposal bins around Victoria</w:t>
            </w:r>
            <w:r>
              <w:rPr>
                <w:sz w:val="16"/>
                <w:szCs w:val="16"/>
                <w:lang w:eastAsia="en-AU"/>
              </w:rPr>
              <w:t xml:space="preserve">. 90% </w:t>
            </w:r>
            <w:r w:rsidRPr="002B05F5">
              <w:rPr>
                <w:sz w:val="16"/>
                <w:szCs w:val="16"/>
                <w:lang w:eastAsia="en-AU"/>
              </w:rPr>
              <w:t xml:space="preserve">instalment of year </w:t>
            </w:r>
            <w:r>
              <w:rPr>
                <w:sz w:val="16"/>
                <w:szCs w:val="16"/>
                <w:lang w:eastAsia="en-AU"/>
              </w:rPr>
              <w:t xml:space="preserve">one </w:t>
            </w:r>
            <w:r w:rsidRPr="002B05F5">
              <w:rPr>
                <w:sz w:val="16"/>
                <w:szCs w:val="16"/>
                <w:lang w:eastAsia="en-AU"/>
              </w:rPr>
              <w:t xml:space="preserve">funding. Total project funding of </w:t>
            </w:r>
            <w:r w:rsidRPr="008E0C70">
              <w:rPr>
                <w:sz w:val="16"/>
                <w:szCs w:val="16"/>
                <w:lang w:eastAsia="en-AU"/>
              </w:rPr>
              <w:t>$</w:t>
            </w:r>
            <w:r w:rsidRPr="002C7C03">
              <w:rPr>
                <w:sz w:val="16"/>
                <w:szCs w:val="16"/>
                <w:lang w:eastAsia="en-AU"/>
              </w:rPr>
              <w:t>60,000.00</w:t>
            </w:r>
            <w:r>
              <w:rPr>
                <w:sz w:val="16"/>
                <w:szCs w:val="16"/>
                <w:lang w:eastAsia="en-AU"/>
              </w:rPr>
              <w:t xml:space="preserve"> </w:t>
            </w:r>
            <w:r w:rsidRPr="002B05F5">
              <w:rPr>
                <w:sz w:val="16"/>
                <w:szCs w:val="16"/>
                <w:lang w:eastAsia="en-AU"/>
              </w:rPr>
              <w:t>over three years.</w:t>
            </w:r>
          </w:p>
        </w:tc>
        <w:tc>
          <w:tcPr>
            <w:tcW w:w="1276" w:type="dxa"/>
            <w:shd w:val="clear" w:color="auto" w:fill="DFEDF1"/>
            <w:noWrap/>
            <w:tcMar>
              <w:top w:w="57" w:type="dxa"/>
              <w:left w:w="57" w:type="dxa"/>
              <w:bottom w:w="57" w:type="dxa"/>
              <w:right w:w="142" w:type="dxa"/>
            </w:tcMar>
          </w:tcPr>
          <w:p w14:paraId="085107B9" w14:textId="77777777" w:rsidR="00390C5B" w:rsidRPr="00F63F59" w:rsidRDefault="00390C5B" w:rsidP="00390C5B">
            <w:pPr>
              <w:pStyle w:val="8pttabletext"/>
              <w:jc w:val="right"/>
            </w:pPr>
            <w:r>
              <w:t>$18,000.00</w:t>
            </w:r>
          </w:p>
        </w:tc>
        <w:tc>
          <w:tcPr>
            <w:tcW w:w="2126" w:type="dxa"/>
            <w:shd w:val="clear" w:color="auto" w:fill="auto"/>
            <w:tcMar>
              <w:top w:w="57" w:type="dxa"/>
              <w:left w:w="57" w:type="dxa"/>
              <w:bottom w:w="57" w:type="dxa"/>
            </w:tcMar>
          </w:tcPr>
          <w:p w14:paraId="27A1F271" w14:textId="77777777" w:rsidR="00390C5B" w:rsidRPr="000222B5" w:rsidRDefault="00390C5B" w:rsidP="00390C5B">
            <w:r w:rsidRPr="00D85C92">
              <w:rPr>
                <w:sz w:val="16"/>
                <w:szCs w:val="16"/>
                <w:lang w:eastAsia="en-AU"/>
              </w:rPr>
              <w:t>Zoological Parks And Gardens Board</w:t>
            </w:r>
          </w:p>
        </w:tc>
      </w:tr>
      <w:tr w:rsidR="00390C5B" w:rsidRPr="000222B5" w14:paraId="7C2E7A90" w14:textId="77777777" w:rsidTr="00390C5B">
        <w:trPr>
          <w:cantSplit/>
        </w:trPr>
        <w:tc>
          <w:tcPr>
            <w:tcW w:w="6186" w:type="dxa"/>
            <w:shd w:val="clear" w:color="auto" w:fill="auto"/>
            <w:tcMar>
              <w:top w:w="57" w:type="dxa"/>
              <w:left w:w="57" w:type="dxa"/>
              <w:bottom w:w="57" w:type="dxa"/>
            </w:tcMar>
          </w:tcPr>
          <w:p w14:paraId="172C43EF" w14:textId="77777777" w:rsidR="00390C5B" w:rsidRPr="000222B5" w:rsidRDefault="00390C5B" w:rsidP="00390C5B">
            <w:r w:rsidRPr="006B0D1D">
              <w:rPr>
                <w:sz w:val="16"/>
                <w:szCs w:val="16"/>
                <w:lang w:eastAsia="en-AU"/>
              </w:rPr>
              <w:t>Install a solar light above the Swan Bay boat ramp</w:t>
            </w:r>
            <w:r>
              <w:t xml:space="preserve">. </w:t>
            </w:r>
            <w:r w:rsidRPr="006E6235">
              <w:rPr>
                <w:sz w:val="16"/>
                <w:szCs w:val="16"/>
                <w:lang w:eastAsia="en-AU"/>
              </w:rPr>
              <w:t xml:space="preserve">90% </w:t>
            </w:r>
            <w:r w:rsidRPr="00725A40">
              <w:rPr>
                <w:sz w:val="16"/>
                <w:szCs w:val="16"/>
                <w:lang w:eastAsia="en-AU"/>
              </w:rPr>
              <w:t xml:space="preserve">instalment of year one funding. Total project funding of </w:t>
            </w:r>
            <w:r w:rsidRPr="00A22E01">
              <w:rPr>
                <w:sz w:val="16"/>
                <w:szCs w:val="16"/>
                <w:lang w:eastAsia="en-AU"/>
              </w:rPr>
              <w:t>$11,677.00</w:t>
            </w:r>
            <w:r>
              <w:rPr>
                <w:sz w:val="16"/>
                <w:szCs w:val="16"/>
                <w:lang w:eastAsia="en-AU"/>
              </w:rPr>
              <w:t xml:space="preserve"> </w:t>
            </w:r>
            <w:r w:rsidRPr="00725A40">
              <w:rPr>
                <w:sz w:val="16"/>
                <w:szCs w:val="16"/>
                <w:lang w:eastAsia="en-AU"/>
              </w:rPr>
              <w:t>over one year</w:t>
            </w:r>
            <w:r>
              <w:rPr>
                <w:sz w:val="16"/>
                <w:szCs w:val="16"/>
                <w:lang w:eastAsia="en-AU"/>
              </w:rPr>
              <w:t xml:space="preserve"> plus additional $1,780.00 for approved project variation</w:t>
            </w:r>
            <w:r w:rsidRPr="00725A40">
              <w:rPr>
                <w:sz w:val="16"/>
                <w:szCs w:val="16"/>
                <w:lang w:eastAsia="en-AU"/>
              </w:rPr>
              <w:t>.</w:t>
            </w:r>
          </w:p>
        </w:tc>
        <w:tc>
          <w:tcPr>
            <w:tcW w:w="1276" w:type="dxa"/>
            <w:shd w:val="clear" w:color="auto" w:fill="DFEDF1"/>
            <w:noWrap/>
            <w:tcMar>
              <w:top w:w="57" w:type="dxa"/>
              <w:left w:w="57" w:type="dxa"/>
              <w:bottom w:w="57" w:type="dxa"/>
              <w:right w:w="142" w:type="dxa"/>
            </w:tcMar>
          </w:tcPr>
          <w:p w14:paraId="1836DBD4" w14:textId="77777777" w:rsidR="00390C5B" w:rsidRPr="00F63F59" w:rsidRDefault="00390C5B" w:rsidP="00390C5B">
            <w:pPr>
              <w:pStyle w:val="8pttabletext"/>
              <w:jc w:val="right"/>
            </w:pPr>
            <w:r>
              <w:t>$13,457.00</w:t>
            </w:r>
          </w:p>
        </w:tc>
        <w:tc>
          <w:tcPr>
            <w:tcW w:w="2126" w:type="dxa"/>
            <w:shd w:val="clear" w:color="auto" w:fill="auto"/>
            <w:tcMar>
              <w:top w:w="57" w:type="dxa"/>
              <w:left w:w="57" w:type="dxa"/>
              <w:bottom w:w="57" w:type="dxa"/>
            </w:tcMar>
          </w:tcPr>
          <w:p w14:paraId="0B9C09BE" w14:textId="77777777" w:rsidR="00390C5B" w:rsidRPr="000222B5" w:rsidRDefault="00390C5B" w:rsidP="00390C5B">
            <w:pPr>
              <w:pStyle w:val="8pttabletext"/>
            </w:pPr>
            <w:r w:rsidRPr="00BC6482">
              <w:t>Association of Geelong &amp; District Angling Clubs Inc.</w:t>
            </w:r>
          </w:p>
        </w:tc>
      </w:tr>
      <w:tr w:rsidR="00390C5B" w:rsidRPr="000222B5" w14:paraId="3235ADE3" w14:textId="77777777" w:rsidTr="00390C5B">
        <w:trPr>
          <w:cantSplit/>
        </w:trPr>
        <w:tc>
          <w:tcPr>
            <w:tcW w:w="6186" w:type="dxa"/>
            <w:shd w:val="clear" w:color="auto" w:fill="auto"/>
            <w:tcMar>
              <w:top w:w="57" w:type="dxa"/>
              <w:left w:w="57" w:type="dxa"/>
              <w:bottom w:w="57" w:type="dxa"/>
            </w:tcMar>
          </w:tcPr>
          <w:p w14:paraId="1E20DD87" w14:textId="77777777" w:rsidR="00390C5B" w:rsidRPr="000222B5" w:rsidRDefault="00390C5B" w:rsidP="00390C5B">
            <w:r w:rsidRPr="00A22E01">
              <w:rPr>
                <w:sz w:val="16"/>
                <w:szCs w:val="16"/>
                <w:lang w:eastAsia="en-AU"/>
              </w:rPr>
              <w:t>Install a solar light above the Clifton Springs boat ramp</w:t>
            </w:r>
            <w:r>
              <w:rPr>
                <w:sz w:val="16"/>
                <w:szCs w:val="16"/>
                <w:lang w:eastAsia="en-AU"/>
              </w:rPr>
              <w:t xml:space="preserve">. 90% </w:t>
            </w:r>
            <w:r w:rsidRPr="00725A40">
              <w:rPr>
                <w:sz w:val="16"/>
                <w:szCs w:val="16"/>
                <w:lang w:eastAsia="en-AU"/>
              </w:rPr>
              <w:t xml:space="preserve">instalment of year one funding. Total project funding of </w:t>
            </w:r>
            <w:r w:rsidRPr="00A22E01">
              <w:rPr>
                <w:sz w:val="16"/>
                <w:szCs w:val="16"/>
                <w:lang w:eastAsia="en-AU"/>
              </w:rPr>
              <w:t>$11,677.00</w:t>
            </w:r>
            <w:r>
              <w:rPr>
                <w:sz w:val="16"/>
                <w:szCs w:val="16"/>
                <w:lang w:eastAsia="en-AU"/>
              </w:rPr>
              <w:t xml:space="preserve"> </w:t>
            </w:r>
            <w:r w:rsidRPr="00725A40">
              <w:rPr>
                <w:sz w:val="16"/>
                <w:szCs w:val="16"/>
                <w:lang w:eastAsia="en-AU"/>
              </w:rPr>
              <w:t>over one year.</w:t>
            </w:r>
          </w:p>
        </w:tc>
        <w:tc>
          <w:tcPr>
            <w:tcW w:w="1276" w:type="dxa"/>
            <w:shd w:val="clear" w:color="auto" w:fill="DFEDF1"/>
            <w:noWrap/>
            <w:tcMar>
              <w:top w:w="57" w:type="dxa"/>
              <w:left w:w="57" w:type="dxa"/>
              <w:bottom w:w="57" w:type="dxa"/>
              <w:right w:w="142" w:type="dxa"/>
            </w:tcMar>
          </w:tcPr>
          <w:p w14:paraId="6DDF3737" w14:textId="77777777" w:rsidR="00390C5B" w:rsidRPr="00F63F59" w:rsidRDefault="00390C5B" w:rsidP="00390C5B">
            <w:pPr>
              <w:pStyle w:val="8pttabletext"/>
              <w:jc w:val="right"/>
            </w:pPr>
            <w:r>
              <w:t>$10,509.30</w:t>
            </w:r>
          </w:p>
        </w:tc>
        <w:tc>
          <w:tcPr>
            <w:tcW w:w="2126" w:type="dxa"/>
            <w:shd w:val="clear" w:color="auto" w:fill="auto"/>
            <w:tcMar>
              <w:top w:w="57" w:type="dxa"/>
              <w:left w:w="57" w:type="dxa"/>
              <w:bottom w:w="57" w:type="dxa"/>
            </w:tcMar>
          </w:tcPr>
          <w:p w14:paraId="27563B82" w14:textId="77777777" w:rsidR="00390C5B" w:rsidRPr="000222B5" w:rsidRDefault="00390C5B" w:rsidP="00390C5B">
            <w:pPr>
              <w:pStyle w:val="8pttabletext"/>
            </w:pPr>
            <w:r w:rsidRPr="00BC6482">
              <w:t>Association of Geelong &amp; District Angling Clubs Inc.</w:t>
            </w:r>
          </w:p>
        </w:tc>
      </w:tr>
      <w:tr w:rsidR="00390C5B" w:rsidRPr="000222B5" w14:paraId="38C3325B" w14:textId="77777777" w:rsidTr="00390C5B">
        <w:trPr>
          <w:cantSplit/>
        </w:trPr>
        <w:tc>
          <w:tcPr>
            <w:tcW w:w="6186" w:type="dxa"/>
            <w:shd w:val="clear" w:color="auto" w:fill="auto"/>
            <w:tcMar>
              <w:top w:w="57" w:type="dxa"/>
              <w:left w:w="57" w:type="dxa"/>
              <w:bottom w:w="57" w:type="dxa"/>
            </w:tcMar>
          </w:tcPr>
          <w:p w14:paraId="505CB821" w14:textId="77777777" w:rsidR="00390C5B" w:rsidRPr="00F76C3C" w:rsidRDefault="00390C5B" w:rsidP="00390C5B">
            <w:pPr>
              <w:pStyle w:val="8pttabletext"/>
            </w:pPr>
            <w:r w:rsidRPr="00F76C3C">
              <w:t xml:space="preserve">Quantifying the recreational catch and effort from the Corio Bay region of Port Phillip Bay. </w:t>
            </w:r>
            <w:r>
              <w:t>Balance of 10%</w:t>
            </w:r>
            <w:r w:rsidRPr="00F76C3C">
              <w:t xml:space="preserve"> of funding. Total project funding of $80,000.</w:t>
            </w:r>
          </w:p>
        </w:tc>
        <w:tc>
          <w:tcPr>
            <w:tcW w:w="1276" w:type="dxa"/>
            <w:shd w:val="clear" w:color="auto" w:fill="DFEDF1"/>
            <w:noWrap/>
            <w:tcMar>
              <w:top w:w="57" w:type="dxa"/>
              <w:left w:w="57" w:type="dxa"/>
              <w:bottom w:w="57" w:type="dxa"/>
              <w:right w:w="142" w:type="dxa"/>
            </w:tcMar>
          </w:tcPr>
          <w:p w14:paraId="10109B97" w14:textId="77777777" w:rsidR="00390C5B" w:rsidRPr="00F76C3C" w:rsidRDefault="00390C5B" w:rsidP="00390C5B">
            <w:pPr>
              <w:pStyle w:val="8pttabletext"/>
              <w:jc w:val="right"/>
            </w:pPr>
            <w:r w:rsidRPr="00F76C3C">
              <w:t>$</w:t>
            </w:r>
            <w:r>
              <w:t>8</w:t>
            </w:r>
            <w:r w:rsidRPr="00F76C3C">
              <w:t>,000.00</w:t>
            </w:r>
          </w:p>
        </w:tc>
        <w:tc>
          <w:tcPr>
            <w:tcW w:w="2126" w:type="dxa"/>
            <w:shd w:val="clear" w:color="auto" w:fill="auto"/>
            <w:tcMar>
              <w:top w:w="57" w:type="dxa"/>
              <w:left w:w="57" w:type="dxa"/>
              <w:bottom w:w="57" w:type="dxa"/>
            </w:tcMar>
          </w:tcPr>
          <w:p w14:paraId="682D9BE9" w14:textId="77777777" w:rsidR="00390C5B" w:rsidRPr="00F76C3C" w:rsidRDefault="00390C5B" w:rsidP="00390C5B">
            <w:pPr>
              <w:pStyle w:val="8pttabletext"/>
            </w:pPr>
            <w:r w:rsidRPr="00F76C3C">
              <w:t>Department of Environment and Primary Industries, Fisheries Victoria</w:t>
            </w:r>
          </w:p>
        </w:tc>
      </w:tr>
      <w:tr w:rsidR="00390C5B" w:rsidRPr="000222B5" w14:paraId="6CC8B6F5" w14:textId="77777777" w:rsidTr="00390C5B">
        <w:trPr>
          <w:cantSplit/>
        </w:trPr>
        <w:tc>
          <w:tcPr>
            <w:tcW w:w="6186" w:type="dxa"/>
            <w:shd w:val="clear" w:color="auto" w:fill="auto"/>
            <w:tcMar>
              <w:top w:w="57" w:type="dxa"/>
              <w:left w:w="57" w:type="dxa"/>
              <w:bottom w:w="57" w:type="dxa"/>
            </w:tcMar>
          </w:tcPr>
          <w:p w14:paraId="336F9870" w14:textId="77777777" w:rsidR="00390C5B" w:rsidRPr="000222B5" w:rsidRDefault="00390C5B" w:rsidP="00390C5B">
            <w:pPr>
              <w:pStyle w:val="8pttabletext"/>
              <w:rPr>
                <w:b/>
              </w:rPr>
            </w:pPr>
            <w:r w:rsidRPr="000222B5">
              <w:rPr>
                <w:b/>
              </w:rPr>
              <w:t>Sub-Total</w:t>
            </w:r>
          </w:p>
        </w:tc>
        <w:tc>
          <w:tcPr>
            <w:tcW w:w="1276" w:type="dxa"/>
            <w:shd w:val="clear" w:color="auto" w:fill="auto"/>
            <w:noWrap/>
            <w:tcMar>
              <w:top w:w="57" w:type="dxa"/>
              <w:left w:w="57" w:type="dxa"/>
              <w:bottom w:w="57" w:type="dxa"/>
              <w:right w:w="142" w:type="dxa"/>
            </w:tcMar>
          </w:tcPr>
          <w:p w14:paraId="5B37D02F" w14:textId="77777777" w:rsidR="00390C5B" w:rsidRPr="000222B5" w:rsidRDefault="00390C5B" w:rsidP="00390C5B">
            <w:pPr>
              <w:pStyle w:val="8pttabletext"/>
              <w:jc w:val="right"/>
              <w:rPr>
                <w:b/>
              </w:rPr>
            </w:pPr>
            <w:r w:rsidRPr="003D5370">
              <w:rPr>
                <w:b/>
              </w:rPr>
              <w:t>$8</w:t>
            </w:r>
            <w:r>
              <w:rPr>
                <w:b/>
              </w:rPr>
              <w:t>37</w:t>
            </w:r>
            <w:r w:rsidRPr="003D5370">
              <w:rPr>
                <w:b/>
              </w:rPr>
              <w:t>,250.00</w:t>
            </w:r>
          </w:p>
        </w:tc>
        <w:tc>
          <w:tcPr>
            <w:tcW w:w="2126" w:type="dxa"/>
            <w:shd w:val="clear" w:color="auto" w:fill="auto"/>
            <w:tcMar>
              <w:top w:w="57" w:type="dxa"/>
              <w:left w:w="57" w:type="dxa"/>
              <w:bottom w:w="57" w:type="dxa"/>
            </w:tcMar>
          </w:tcPr>
          <w:p w14:paraId="073A9091" w14:textId="77777777" w:rsidR="00390C5B" w:rsidRPr="000222B5" w:rsidRDefault="00390C5B" w:rsidP="00390C5B">
            <w:pPr>
              <w:pStyle w:val="8pttabletext"/>
            </w:pPr>
          </w:p>
        </w:tc>
      </w:tr>
      <w:tr w:rsidR="00390C5B" w:rsidRPr="000222B5" w14:paraId="15582DC5" w14:textId="77777777" w:rsidTr="00390C5B">
        <w:trPr>
          <w:cantSplit/>
        </w:trPr>
        <w:tc>
          <w:tcPr>
            <w:tcW w:w="6186" w:type="dxa"/>
            <w:shd w:val="clear" w:color="auto" w:fill="auto"/>
            <w:tcMar>
              <w:top w:w="57" w:type="dxa"/>
              <w:left w:w="57" w:type="dxa"/>
              <w:bottom w:w="57" w:type="dxa"/>
            </w:tcMar>
          </w:tcPr>
          <w:p w14:paraId="6B1FBC41" w14:textId="77777777" w:rsidR="00390C5B" w:rsidRPr="000222B5" w:rsidRDefault="00390C5B" w:rsidP="00390C5B">
            <w:pPr>
              <w:pStyle w:val="8pttabletext"/>
            </w:pPr>
            <w:r w:rsidRPr="000222B5">
              <w:rPr>
                <w:b/>
              </w:rPr>
              <w:t>Small Grants Program</w:t>
            </w:r>
          </w:p>
        </w:tc>
        <w:tc>
          <w:tcPr>
            <w:tcW w:w="1276" w:type="dxa"/>
            <w:shd w:val="clear" w:color="auto" w:fill="auto"/>
            <w:noWrap/>
            <w:tcMar>
              <w:top w:w="57" w:type="dxa"/>
              <w:left w:w="57" w:type="dxa"/>
              <w:bottom w:w="57" w:type="dxa"/>
              <w:right w:w="142" w:type="dxa"/>
            </w:tcMar>
          </w:tcPr>
          <w:p w14:paraId="3B85EF24" w14:textId="77777777" w:rsidR="00390C5B" w:rsidRPr="000222B5" w:rsidRDefault="00390C5B" w:rsidP="00390C5B">
            <w:pPr>
              <w:pStyle w:val="8pttabletext"/>
              <w:jc w:val="right"/>
            </w:pPr>
          </w:p>
        </w:tc>
        <w:tc>
          <w:tcPr>
            <w:tcW w:w="2126" w:type="dxa"/>
            <w:shd w:val="clear" w:color="auto" w:fill="auto"/>
            <w:tcMar>
              <w:top w:w="57" w:type="dxa"/>
              <w:left w:w="57" w:type="dxa"/>
              <w:bottom w:w="57" w:type="dxa"/>
            </w:tcMar>
          </w:tcPr>
          <w:p w14:paraId="1C3416B7" w14:textId="77777777" w:rsidR="00390C5B" w:rsidRPr="000222B5" w:rsidRDefault="00390C5B" w:rsidP="00390C5B">
            <w:pPr>
              <w:pStyle w:val="8pttabletext"/>
            </w:pPr>
          </w:p>
        </w:tc>
      </w:tr>
      <w:tr w:rsidR="00390C5B" w:rsidRPr="000222B5" w14:paraId="2903D994" w14:textId="77777777" w:rsidTr="00390C5B">
        <w:trPr>
          <w:cantSplit/>
        </w:trPr>
        <w:tc>
          <w:tcPr>
            <w:tcW w:w="6186" w:type="dxa"/>
            <w:shd w:val="clear" w:color="auto" w:fill="auto"/>
            <w:tcMar>
              <w:top w:w="57" w:type="dxa"/>
              <w:left w:w="57" w:type="dxa"/>
              <w:bottom w:w="57" w:type="dxa"/>
            </w:tcMar>
          </w:tcPr>
          <w:p w14:paraId="72E09663" w14:textId="77777777" w:rsidR="00390C5B" w:rsidRPr="001F4734" w:rsidRDefault="00390C5B" w:rsidP="00390C5B">
            <w:pPr>
              <w:pStyle w:val="8pttabletext"/>
              <w:rPr>
                <w:b/>
              </w:rPr>
            </w:pPr>
            <w:r w:rsidRPr="001F4734">
              <w:t>Family Come and Try Fishing Day</w:t>
            </w:r>
          </w:p>
        </w:tc>
        <w:tc>
          <w:tcPr>
            <w:tcW w:w="1276" w:type="dxa"/>
            <w:shd w:val="clear" w:color="auto" w:fill="DFEDF1"/>
            <w:noWrap/>
            <w:tcMar>
              <w:top w:w="57" w:type="dxa"/>
              <w:left w:w="57" w:type="dxa"/>
              <w:bottom w:w="57" w:type="dxa"/>
              <w:right w:w="142" w:type="dxa"/>
            </w:tcMar>
          </w:tcPr>
          <w:p w14:paraId="2CF63A2B" w14:textId="77777777" w:rsidR="00390C5B" w:rsidRPr="001F4734" w:rsidRDefault="00390C5B" w:rsidP="00390C5B">
            <w:pPr>
              <w:pStyle w:val="8pttabletext"/>
              <w:jc w:val="right"/>
            </w:pPr>
            <w:r w:rsidRPr="001F4734">
              <w:t>$5,500.00</w:t>
            </w:r>
          </w:p>
        </w:tc>
        <w:tc>
          <w:tcPr>
            <w:tcW w:w="2126" w:type="dxa"/>
            <w:shd w:val="clear" w:color="auto" w:fill="auto"/>
            <w:tcMar>
              <w:top w:w="57" w:type="dxa"/>
              <w:left w:w="57" w:type="dxa"/>
              <w:bottom w:w="57" w:type="dxa"/>
            </w:tcMar>
          </w:tcPr>
          <w:p w14:paraId="7D22542A" w14:textId="77777777" w:rsidR="00390C5B" w:rsidRPr="001F4734" w:rsidRDefault="00390C5B" w:rsidP="00390C5B">
            <w:pPr>
              <w:pStyle w:val="8pttabletext"/>
            </w:pPr>
            <w:r w:rsidRPr="001F4734">
              <w:t>Nathalia Angling Club</w:t>
            </w:r>
          </w:p>
        </w:tc>
      </w:tr>
      <w:tr w:rsidR="00390C5B" w:rsidRPr="000222B5" w14:paraId="64135B40" w14:textId="77777777" w:rsidTr="00390C5B">
        <w:trPr>
          <w:cantSplit/>
        </w:trPr>
        <w:tc>
          <w:tcPr>
            <w:tcW w:w="6186" w:type="dxa"/>
            <w:shd w:val="clear" w:color="auto" w:fill="auto"/>
            <w:tcMar>
              <w:top w:w="57" w:type="dxa"/>
              <w:left w:w="57" w:type="dxa"/>
              <w:bottom w:w="57" w:type="dxa"/>
            </w:tcMar>
          </w:tcPr>
          <w:p w14:paraId="13BEC23C" w14:textId="77777777" w:rsidR="00390C5B" w:rsidRPr="001F4734" w:rsidRDefault="00390C5B" w:rsidP="00390C5B">
            <w:pPr>
              <w:pStyle w:val="8pttabletext"/>
            </w:pPr>
            <w:r w:rsidRPr="001F4734">
              <w:t>Community Fishing Festival</w:t>
            </w:r>
          </w:p>
        </w:tc>
        <w:tc>
          <w:tcPr>
            <w:tcW w:w="1276" w:type="dxa"/>
            <w:shd w:val="clear" w:color="auto" w:fill="DFEDF1"/>
            <w:noWrap/>
            <w:tcMar>
              <w:top w:w="57" w:type="dxa"/>
              <w:left w:w="57" w:type="dxa"/>
              <w:bottom w:w="57" w:type="dxa"/>
              <w:right w:w="142" w:type="dxa"/>
            </w:tcMar>
          </w:tcPr>
          <w:p w14:paraId="182E2582" w14:textId="77777777" w:rsidR="00390C5B" w:rsidRPr="001F4734" w:rsidRDefault="00390C5B" w:rsidP="00390C5B">
            <w:pPr>
              <w:pStyle w:val="8pttabletext"/>
              <w:jc w:val="right"/>
            </w:pPr>
            <w:r w:rsidRPr="001F4734">
              <w:t>$5,020.00</w:t>
            </w:r>
          </w:p>
        </w:tc>
        <w:tc>
          <w:tcPr>
            <w:tcW w:w="2126" w:type="dxa"/>
            <w:shd w:val="clear" w:color="auto" w:fill="auto"/>
            <w:tcMar>
              <w:top w:w="57" w:type="dxa"/>
              <w:left w:w="57" w:type="dxa"/>
              <w:bottom w:w="57" w:type="dxa"/>
            </w:tcMar>
          </w:tcPr>
          <w:p w14:paraId="3D61980F" w14:textId="77777777" w:rsidR="00390C5B" w:rsidRPr="001F4734" w:rsidRDefault="00390C5B" w:rsidP="00390C5B">
            <w:pPr>
              <w:pStyle w:val="8pttabletext"/>
            </w:pPr>
            <w:r w:rsidRPr="001F4734">
              <w:t>Yarra Valley Fly Fishers</w:t>
            </w:r>
          </w:p>
        </w:tc>
      </w:tr>
      <w:tr w:rsidR="00390C5B" w:rsidRPr="000222B5" w14:paraId="499E5630" w14:textId="77777777" w:rsidTr="00390C5B">
        <w:trPr>
          <w:cantSplit/>
        </w:trPr>
        <w:tc>
          <w:tcPr>
            <w:tcW w:w="6186" w:type="dxa"/>
            <w:shd w:val="clear" w:color="auto" w:fill="auto"/>
            <w:tcMar>
              <w:top w:w="57" w:type="dxa"/>
              <w:left w:w="57" w:type="dxa"/>
              <w:bottom w:w="57" w:type="dxa"/>
            </w:tcMar>
          </w:tcPr>
          <w:p w14:paraId="55A0A45A" w14:textId="77777777" w:rsidR="00390C5B" w:rsidRPr="001F4734" w:rsidRDefault="00390C5B" w:rsidP="00390C5B">
            <w:pPr>
              <w:pStyle w:val="8pttabletext"/>
            </w:pPr>
            <w:r w:rsidRPr="001F4734">
              <w:t>Determining population structures of mulloway in Western Victoria</w:t>
            </w:r>
          </w:p>
        </w:tc>
        <w:tc>
          <w:tcPr>
            <w:tcW w:w="1276" w:type="dxa"/>
            <w:shd w:val="clear" w:color="auto" w:fill="DFEDF1"/>
            <w:noWrap/>
            <w:tcMar>
              <w:top w:w="57" w:type="dxa"/>
              <w:left w:w="57" w:type="dxa"/>
              <w:bottom w:w="57" w:type="dxa"/>
              <w:right w:w="142" w:type="dxa"/>
            </w:tcMar>
          </w:tcPr>
          <w:p w14:paraId="0ECE0570" w14:textId="77777777" w:rsidR="00390C5B" w:rsidRPr="001F4734" w:rsidRDefault="00390C5B" w:rsidP="00390C5B">
            <w:pPr>
              <w:pStyle w:val="8pttabletext"/>
              <w:jc w:val="right"/>
            </w:pPr>
            <w:r w:rsidRPr="001F4734">
              <w:t>$5,000.00</w:t>
            </w:r>
          </w:p>
        </w:tc>
        <w:tc>
          <w:tcPr>
            <w:tcW w:w="2126" w:type="dxa"/>
            <w:shd w:val="clear" w:color="auto" w:fill="auto"/>
            <w:tcMar>
              <w:top w:w="57" w:type="dxa"/>
              <w:left w:w="57" w:type="dxa"/>
              <w:bottom w:w="57" w:type="dxa"/>
            </w:tcMar>
          </w:tcPr>
          <w:p w14:paraId="10B34D04" w14:textId="77777777" w:rsidR="00390C5B" w:rsidRPr="001F4734" w:rsidRDefault="00390C5B" w:rsidP="00390C5B">
            <w:pPr>
              <w:pStyle w:val="8pttabletext"/>
            </w:pPr>
            <w:r w:rsidRPr="001F4734">
              <w:t>Nature Glenelg Trust</w:t>
            </w:r>
          </w:p>
        </w:tc>
      </w:tr>
      <w:tr w:rsidR="00390C5B" w:rsidRPr="000222B5" w14:paraId="0BC4B714" w14:textId="77777777" w:rsidTr="00390C5B">
        <w:trPr>
          <w:cantSplit/>
        </w:trPr>
        <w:tc>
          <w:tcPr>
            <w:tcW w:w="6186" w:type="dxa"/>
            <w:shd w:val="clear" w:color="auto" w:fill="auto"/>
            <w:tcMar>
              <w:top w:w="57" w:type="dxa"/>
              <w:left w:w="57" w:type="dxa"/>
              <w:bottom w:w="57" w:type="dxa"/>
            </w:tcMar>
          </w:tcPr>
          <w:p w14:paraId="5A5D5111" w14:textId="77777777" w:rsidR="00390C5B" w:rsidRPr="001F4734" w:rsidRDefault="00390C5B" w:rsidP="00390C5B">
            <w:pPr>
              <w:pStyle w:val="8pttabletext"/>
            </w:pPr>
            <w:r w:rsidRPr="001F4734">
              <w:t>Fishing in Greater Shepparton</w:t>
            </w:r>
          </w:p>
        </w:tc>
        <w:tc>
          <w:tcPr>
            <w:tcW w:w="1276" w:type="dxa"/>
            <w:shd w:val="clear" w:color="auto" w:fill="DFEDF1"/>
            <w:noWrap/>
            <w:tcMar>
              <w:top w:w="57" w:type="dxa"/>
              <w:left w:w="57" w:type="dxa"/>
              <w:bottom w:w="57" w:type="dxa"/>
              <w:right w:w="142" w:type="dxa"/>
            </w:tcMar>
          </w:tcPr>
          <w:p w14:paraId="48FBED04" w14:textId="77777777" w:rsidR="00390C5B" w:rsidRPr="001F4734" w:rsidRDefault="00390C5B" w:rsidP="00390C5B">
            <w:pPr>
              <w:pStyle w:val="8pttabletext"/>
              <w:jc w:val="right"/>
            </w:pPr>
            <w:r w:rsidRPr="001F4734">
              <w:t>$5,000.00</w:t>
            </w:r>
          </w:p>
        </w:tc>
        <w:tc>
          <w:tcPr>
            <w:tcW w:w="2126" w:type="dxa"/>
            <w:shd w:val="clear" w:color="auto" w:fill="auto"/>
            <w:tcMar>
              <w:top w:w="57" w:type="dxa"/>
              <w:left w:w="57" w:type="dxa"/>
              <w:bottom w:w="57" w:type="dxa"/>
            </w:tcMar>
          </w:tcPr>
          <w:p w14:paraId="03C08541" w14:textId="77777777" w:rsidR="00390C5B" w:rsidRPr="001F4734" w:rsidRDefault="00390C5B" w:rsidP="00390C5B">
            <w:pPr>
              <w:pStyle w:val="8pttabletext"/>
            </w:pPr>
            <w:r w:rsidRPr="001F4734">
              <w:t>City of Greater Shepparton</w:t>
            </w:r>
          </w:p>
        </w:tc>
      </w:tr>
      <w:tr w:rsidR="00390C5B" w:rsidRPr="000222B5" w14:paraId="0E12593C" w14:textId="77777777" w:rsidTr="00390C5B">
        <w:trPr>
          <w:cantSplit/>
        </w:trPr>
        <w:tc>
          <w:tcPr>
            <w:tcW w:w="6186" w:type="dxa"/>
            <w:shd w:val="clear" w:color="auto" w:fill="auto"/>
            <w:tcMar>
              <w:top w:w="57" w:type="dxa"/>
              <w:left w:w="57" w:type="dxa"/>
              <w:bottom w:w="57" w:type="dxa"/>
            </w:tcMar>
          </w:tcPr>
          <w:p w14:paraId="14B0310B" w14:textId="77777777" w:rsidR="00390C5B" w:rsidRPr="001F4734" w:rsidRDefault="00390C5B" w:rsidP="00390C5B">
            <w:pPr>
              <w:pStyle w:val="8pttabletext"/>
            </w:pPr>
            <w:r w:rsidRPr="001F4734">
              <w:t>It’s ‘Fishing Country' brochure project</w:t>
            </w:r>
          </w:p>
        </w:tc>
        <w:tc>
          <w:tcPr>
            <w:tcW w:w="1276" w:type="dxa"/>
            <w:shd w:val="clear" w:color="auto" w:fill="DFEDF1"/>
            <w:noWrap/>
            <w:tcMar>
              <w:top w:w="57" w:type="dxa"/>
              <w:left w:w="57" w:type="dxa"/>
              <w:bottom w:w="57" w:type="dxa"/>
              <w:right w:w="142" w:type="dxa"/>
            </w:tcMar>
          </w:tcPr>
          <w:p w14:paraId="46561E01" w14:textId="77777777" w:rsidR="00390C5B" w:rsidRPr="001F4734" w:rsidRDefault="00390C5B" w:rsidP="00390C5B">
            <w:pPr>
              <w:pStyle w:val="8pttabletext"/>
              <w:jc w:val="right"/>
            </w:pPr>
            <w:r w:rsidRPr="001F4734">
              <w:t>$5,000.00</w:t>
            </w:r>
          </w:p>
        </w:tc>
        <w:tc>
          <w:tcPr>
            <w:tcW w:w="2126" w:type="dxa"/>
            <w:shd w:val="clear" w:color="auto" w:fill="auto"/>
            <w:tcMar>
              <w:top w:w="57" w:type="dxa"/>
              <w:left w:w="57" w:type="dxa"/>
              <w:bottom w:w="57" w:type="dxa"/>
            </w:tcMar>
          </w:tcPr>
          <w:p w14:paraId="70C9F03D" w14:textId="77777777" w:rsidR="00390C5B" w:rsidRPr="001F4734" w:rsidRDefault="00390C5B" w:rsidP="00390C5B">
            <w:pPr>
              <w:pStyle w:val="8pttabletext"/>
            </w:pPr>
            <w:r w:rsidRPr="001F4734">
              <w:t>Moira Shire Council </w:t>
            </w:r>
          </w:p>
        </w:tc>
      </w:tr>
      <w:tr w:rsidR="00390C5B" w:rsidRPr="000222B5" w14:paraId="1E39085A" w14:textId="77777777" w:rsidTr="00390C5B">
        <w:trPr>
          <w:cantSplit/>
        </w:trPr>
        <w:tc>
          <w:tcPr>
            <w:tcW w:w="6186" w:type="dxa"/>
            <w:shd w:val="clear" w:color="auto" w:fill="auto"/>
            <w:tcMar>
              <w:top w:w="57" w:type="dxa"/>
              <w:left w:w="57" w:type="dxa"/>
              <w:bottom w:w="57" w:type="dxa"/>
            </w:tcMar>
          </w:tcPr>
          <w:p w14:paraId="70F61D0C" w14:textId="77777777" w:rsidR="00390C5B" w:rsidRPr="001F4734" w:rsidRDefault="00390C5B" w:rsidP="00390C5B">
            <w:pPr>
              <w:pStyle w:val="8pttabletext"/>
            </w:pPr>
            <w:r w:rsidRPr="001F4734">
              <w:t xml:space="preserve">Sustainable Fishing Exhibit </w:t>
            </w:r>
          </w:p>
        </w:tc>
        <w:tc>
          <w:tcPr>
            <w:tcW w:w="1276" w:type="dxa"/>
            <w:shd w:val="clear" w:color="auto" w:fill="DFEDF1"/>
            <w:noWrap/>
            <w:tcMar>
              <w:top w:w="57" w:type="dxa"/>
              <w:left w:w="57" w:type="dxa"/>
              <w:bottom w:w="57" w:type="dxa"/>
              <w:right w:w="142" w:type="dxa"/>
            </w:tcMar>
          </w:tcPr>
          <w:p w14:paraId="2CC555CA" w14:textId="77777777" w:rsidR="00390C5B" w:rsidRPr="001F4734" w:rsidRDefault="00390C5B" w:rsidP="00390C5B">
            <w:pPr>
              <w:pStyle w:val="8pttabletext"/>
              <w:jc w:val="right"/>
            </w:pPr>
            <w:r w:rsidRPr="001F4734">
              <w:t>$5,000.00</w:t>
            </w:r>
          </w:p>
        </w:tc>
        <w:tc>
          <w:tcPr>
            <w:tcW w:w="2126" w:type="dxa"/>
            <w:shd w:val="clear" w:color="auto" w:fill="auto"/>
            <w:tcMar>
              <w:top w:w="57" w:type="dxa"/>
              <w:left w:w="57" w:type="dxa"/>
              <w:bottom w:w="57" w:type="dxa"/>
            </w:tcMar>
          </w:tcPr>
          <w:p w14:paraId="2978E6BF" w14:textId="77777777" w:rsidR="00390C5B" w:rsidRPr="001F4734" w:rsidRDefault="00390C5B" w:rsidP="00390C5B">
            <w:pPr>
              <w:pStyle w:val="8pttabletext"/>
            </w:pPr>
            <w:r w:rsidRPr="001F4734">
              <w:t>Warrnambool Offshore &amp; Light Game Fishing Club</w:t>
            </w:r>
          </w:p>
        </w:tc>
      </w:tr>
      <w:tr w:rsidR="00390C5B" w:rsidRPr="000222B5" w14:paraId="16782996" w14:textId="77777777" w:rsidTr="00390C5B">
        <w:trPr>
          <w:cantSplit/>
        </w:trPr>
        <w:tc>
          <w:tcPr>
            <w:tcW w:w="6186" w:type="dxa"/>
            <w:shd w:val="clear" w:color="auto" w:fill="auto"/>
            <w:tcMar>
              <w:top w:w="57" w:type="dxa"/>
              <w:left w:w="57" w:type="dxa"/>
              <w:bottom w:w="57" w:type="dxa"/>
            </w:tcMar>
          </w:tcPr>
          <w:p w14:paraId="0D022BCE" w14:textId="77777777" w:rsidR="00390C5B" w:rsidRPr="001F4734" w:rsidRDefault="00390C5B" w:rsidP="00390C5B">
            <w:pPr>
              <w:pStyle w:val="8pttabletext"/>
            </w:pPr>
            <w:r w:rsidRPr="001F4734">
              <w:t>Maximising quality and reducing incidental mortality of tuna workshops</w:t>
            </w:r>
          </w:p>
        </w:tc>
        <w:tc>
          <w:tcPr>
            <w:tcW w:w="1276" w:type="dxa"/>
            <w:shd w:val="clear" w:color="auto" w:fill="DFEDF1"/>
            <w:noWrap/>
            <w:tcMar>
              <w:top w:w="57" w:type="dxa"/>
              <w:left w:w="57" w:type="dxa"/>
              <w:bottom w:w="57" w:type="dxa"/>
              <w:right w:w="142" w:type="dxa"/>
            </w:tcMar>
          </w:tcPr>
          <w:p w14:paraId="27573FC6" w14:textId="77777777" w:rsidR="00390C5B" w:rsidRPr="001F4734" w:rsidRDefault="00390C5B" w:rsidP="00390C5B">
            <w:pPr>
              <w:pStyle w:val="8pttabletext"/>
              <w:jc w:val="right"/>
            </w:pPr>
            <w:r w:rsidRPr="001F4734">
              <w:t>$4,992.50</w:t>
            </w:r>
          </w:p>
        </w:tc>
        <w:tc>
          <w:tcPr>
            <w:tcW w:w="2126" w:type="dxa"/>
            <w:shd w:val="clear" w:color="auto" w:fill="auto"/>
            <w:tcMar>
              <w:top w:w="57" w:type="dxa"/>
              <w:left w:w="57" w:type="dxa"/>
              <w:bottom w:w="57" w:type="dxa"/>
            </w:tcMar>
          </w:tcPr>
          <w:p w14:paraId="593662C6" w14:textId="77777777" w:rsidR="00390C5B" w:rsidRPr="001F4734" w:rsidRDefault="00390C5B" w:rsidP="00390C5B">
            <w:pPr>
              <w:pStyle w:val="8pttabletext"/>
            </w:pPr>
            <w:r w:rsidRPr="001F4734">
              <w:t>Panaquatic Health Solutions</w:t>
            </w:r>
          </w:p>
        </w:tc>
      </w:tr>
      <w:tr w:rsidR="00390C5B" w:rsidRPr="000222B5" w14:paraId="049CB6DF" w14:textId="77777777" w:rsidTr="00390C5B">
        <w:trPr>
          <w:cantSplit/>
        </w:trPr>
        <w:tc>
          <w:tcPr>
            <w:tcW w:w="6186" w:type="dxa"/>
            <w:shd w:val="clear" w:color="auto" w:fill="auto"/>
            <w:tcMar>
              <w:top w:w="57" w:type="dxa"/>
              <w:left w:w="57" w:type="dxa"/>
              <w:bottom w:w="57" w:type="dxa"/>
            </w:tcMar>
          </w:tcPr>
          <w:p w14:paraId="1AE0294D" w14:textId="77777777" w:rsidR="00390C5B" w:rsidRPr="001F4734" w:rsidRDefault="00390C5B" w:rsidP="00390C5B">
            <w:pPr>
              <w:pStyle w:val="8pttabletext"/>
            </w:pPr>
            <w:r w:rsidRPr="001F4734">
              <w:t xml:space="preserve">Homeless Community Fishing Program </w:t>
            </w:r>
          </w:p>
        </w:tc>
        <w:tc>
          <w:tcPr>
            <w:tcW w:w="1276" w:type="dxa"/>
            <w:shd w:val="clear" w:color="auto" w:fill="DFEDF1"/>
            <w:noWrap/>
            <w:tcMar>
              <w:top w:w="57" w:type="dxa"/>
              <w:left w:w="57" w:type="dxa"/>
              <w:bottom w:w="57" w:type="dxa"/>
              <w:right w:w="142" w:type="dxa"/>
            </w:tcMar>
          </w:tcPr>
          <w:p w14:paraId="249D1F3A" w14:textId="77777777" w:rsidR="00390C5B" w:rsidRPr="001F4734" w:rsidRDefault="00390C5B" w:rsidP="00390C5B">
            <w:pPr>
              <w:pStyle w:val="8pttabletext"/>
              <w:jc w:val="right"/>
            </w:pPr>
            <w:r w:rsidRPr="001F4734">
              <w:t>$4,954.55</w:t>
            </w:r>
          </w:p>
        </w:tc>
        <w:tc>
          <w:tcPr>
            <w:tcW w:w="2126" w:type="dxa"/>
            <w:shd w:val="clear" w:color="auto" w:fill="auto"/>
            <w:tcMar>
              <w:top w:w="57" w:type="dxa"/>
              <w:left w:w="57" w:type="dxa"/>
              <w:bottom w:w="57" w:type="dxa"/>
            </w:tcMar>
          </w:tcPr>
          <w:p w14:paraId="3AC3CD03" w14:textId="77777777" w:rsidR="00390C5B" w:rsidRPr="001F4734" w:rsidRDefault="00390C5B" w:rsidP="00390C5B">
            <w:pPr>
              <w:pStyle w:val="8pttabletext"/>
            </w:pPr>
            <w:r w:rsidRPr="001F4734">
              <w:t>The Salvation Army</w:t>
            </w:r>
          </w:p>
        </w:tc>
      </w:tr>
      <w:tr w:rsidR="00390C5B" w:rsidRPr="000222B5" w14:paraId="486B8EE9" w14:textId="77777777" w:rsidTr="00390C5B">
        <w:trPr>
          <w:cantSplit/>
        </w:trPr>
        <w:tc>
          <w:tcPr>
            <w:tcW w:w="6186" w:type="dxa"/>
            <w:shd w:val="clear" w:color="auto" w:fill="auto"/>
            <w:tcMar>
              <w:top w:w="57" w:type="dxa"/>
              <w:left w:w="57" w:type="dxa"/>
              <w:bottom w:w="57" w:type="dxa"/>
            </w:tcMar>
          </w:tcPr>
          <w:p w14:paraId="0B204721" w14:textId="77777777" w:rsidR="00390C5B" w:rsidRPr="001F4734" w:rsidRDefault="00390C5B" w:rsidP="00390C5B">
            <w:pPr>
              <w:pStyle w:val="8pttabletext"/>
            </w:pPr>
            <w:r w:rsidRPr="001F4734">
              <w:t>Maximising quality and reducing incidental mortality of tuna – extension</w:t>
            </w:r>
            <w:r w:rsidRPr="001F4734">
              <w:tab/>
            </w:r>
            <w:r w:rsidRPr="001F4734">
              <w:tab/>
            </w:r>
          </w:p>
        </w:tc>
        <w:tc>
          <w:tcPr>
            <w:tcW w:w="1276" w:type="dxa"/>
            <w:shd w:val="clear" w:color="auto" w:fill="DFEDF1"/>
            <w:noWrap/>
            <w:tcMar>
              <w:top w:w="57" w:type="dxa"/>
              <w:left w:w="57" w:type="dxa"/>
              <w:bottom w:w="57" w:type="dxa"/>
              <w:right w:w="142" w:type="dxa"/>
            </w:tcMar>
          </w:tcPr>
          <w:p w14:paraId="705586B7" w14:textId="77777777" w:rsidR="00390C5B" w:rsidRPr="001F4734" w:rsidRDefault="00390C5B" w:rsidP="00390C5B">
            <w:pPr>
              <w:pStyle w:val="8pttabletext"/>
              <w:jc w:val="right"/>
            </w:pPr>
            <w:r w:rsidRPr="001F4734">
              <w:t>$4,925.00</w:t>
            </w:r>
          </w:p>
        </w:tc>
        <w:tc>
          <w:tcPr>
            <w:tcW w:w="2126" w:type="dxa"/>
            <w:shd w:val="clear" w:color="auto" w:fill="auto"/>
            <w:tcMar>
              <w:top w:w="57" w:type="dxa"/>
              <w:left w:w="57" w:type="dxa"/>
              <w:bottom w:w="57" w:type="dxa"/>
            </w:tcMar>
          </w:tcPr>
          <w:p w14:paraId="1C1E107F" w14:textId="77777777" w:rsidR="00390C5B" w:rsidRPr="001F4734" w:rsidRDefault="00390C5B" w:rsidP="00390C5B">
            <w:pPr>
              <w:pStyle w:val="8pttabletext"/>
            </w:pPr>
            <w:r w:rsidRPr="001F4734">
              <w:t>Panaquatic Health Solutions</w:t>
            </w:r>
          </w:p>
        </w:tc>
      </w:tr>
      <w:tr w:rsidR="00390C5B" w:rsidRPr="000222B5" w14:paraId="2312791D" w14:textId="77777777" w:rsidTr="00390C5B">
        <w:trPr>
          <w:cantSplit/>
        </w:trPr>
        <w:tc>
          <w:tcPr>
            <w:tcW w:w="6186" w:type="dxa"/>
            <w:shd w:val="clear" w:color="auto" w:fill="auto"/>
            <w:tcMar>
              <w:top w:w="57" w:type="dxa"/>
              <w:left w:w="57" w:type="dxa"/>
              <w:bottom w:w="57" w:type="dxa"/>
            </w:tcMar>
          </w:tcPr>
          <w:p w14:paraId="61565204" w14:textId="77777777" w:rsidR="00390C5B" w:rsidRPr="001F4734" w:rsidRDefault="00390C5B" w:rsidP="00390C5B">
            <w:pPr>
              <w:pStyle w:val="8pttabletext"/>
            </w:pPr>
            <w:r w:rsidRPr="001F4734">
              <w:t>Green Tackle Guide</w:t>
            </w:r>
          </w:p>
        </w:tc>
        <w:tc>
          <w:tcPr>
            <w:tcW w:w="1276" w:type="dxa"/>
            <w:shd w:val="clear" w:color="auto" w:fill="DFEDF1"/>
            <w:noWrap/>
            <w:tcMar>
              <w:top w:w="57" w:type="dxa"/>
              <w:left w:w="57" w:type="dxa"/>
              <w:bottom w:w="57" w:type="dxa"/>
              <w:right w:w="142" w:type="dxa"/>
            </w:tcMar>
          </w:tcPr>
          <w:p w14:paraId="47954755" w14:textId="77777777" w:rsidR="00390C5B" w:rsidRPr="001F4734" w:rsidRDefault="00390C5B" w:rsidP="00390C5B">
            <w:pPr>
              <w:pStyle w:val="8pttabletext"/>
              <w:jc w:val="right"/>
            </w:pPr>
            <w:r w:rsidRPr="001F4734">
              <w:t>$4,818.18</w:t>
            </w:r>
          </w:p>
        </w:tc>
        <w:tc>
          <w:tcPr>
            <w:tcW w:w="2126" w:type="dxa"/>
            <w:shd w:val="clear" w:color="auto" w:fill="auto"/>
            <w:tcMar>
              <w:top w:w="57" w:type="dxa"/>
              <w:left w:w="57" w:type="dxa"/>
              <w:bottom w:w="57" w:type="dxa"/>
            </w:tcMar>
          </w:tcPr>
          <w:p w14:paraId="44DE6697" w14:textId="77777777" w:rsidR="00390C5B" w:rsidRPr="001F4734" w:rsidRDefault="00390C5B" w:rsidP="00390C5B">
            <w:pPr>
              <w:pStyle w:val="8pttabletext"/>
            </w:pPr>
            <w:r w:rsidRPr="001F4734">
              <w:t>Fishcare Victoria Inc.</w:t>
            </w:r>
          </w:p>
        </w:tc>
      </w:tr>
      <w:tr w:rsidR="00390C5B" w:rsidRPr="000222B5" w14:paraId="74068944" w14:textId="77777777" w:rsidTr="00390C5B">
        <w:trPr>
          <w:cantSplit/>
        </w:trPr>
        <w:tc>
          <w:tcPr>
            <w:tcW w:w="6186" w:type="dxa"/>
            <w:shd w:val="clear" w:color="auto" w:fill="auto"/>
            <w:tcMar>
              <w:top w:w="57" w:type="dxa"/>
              <w:left w:w="57" w:type="dxa"/>
              <w:bottom w:w="57" w:type="dxa"/>
            </w:tcMar>
          </w:tcPr>
          <w:p w14:paraId="16BD013D" w14:textId="77777777" w:rsidR="00390C5B" w:rsidRPr="001F4734" w:rsidRDefault="00390C5B" w:rsidP="00390C5B">
            <w:pPr>
              <w:pStyle w:val="8pttabletext"/>
            </w:pPr>
            <w:r w:rsidRPr="001F4734">
              <w:t>Thresher shark, best practice catch, handling and release</w:t>
            </w:r>
          </w:p>
        </w:tc>
        <w:tc>
          <w:tcPr>
            <w:tcW w:w="1276" w:type="dxa"/>
            <w:shd w:val="clear" w:color="auto" w:fill="DFEDF1"/>
            <w:noWrap/>
            <w:tcMar>
              <w:top w:w="57" w:type="dxa"/>
              <w:left w:w="57" w:type="dxa"/>
              <w:bottom w:w="57" w:type="dxa"/>
              <w:right w:w="142" w:type="dxa"/>
            </w:tcMar>
          </w:tcPr>
          <w:p w14:paraId="6BE5415F" w14:textId="77777777" w:rsidR="00390C5B" w:rsidRPr="001F4734" w:rsidRDefault="00390C5B" w:rsidP="00390C5B">
            <w:pPr>
              <w:pStyle w:val="8pttabletext"/>
              <w:jc w:val="right"/>
            </w:pPr>
            <w:r w:rsidRPr="001F4734">
              <w:t>$4,545.45</w:t>
            </w:r>
          </w:p>
        </w:tc>
        <w:tc>
          <w:tcPr>
            <w:tcW w:w="2126" w:type="dxa"/>
            <w:shd w:val="clear" w:color="auto" w:fill="auto"/>
            <w:tcMar>
              <w:top w:w="57" w:type="dxa"/>
              <w:left w:w="57" w:type="dxa"/>
              <w:bottom w:w="57" w:type="dxa"/>
            </w:tcMar>
          </w:tcPr>
          <w:p w14:paraId="5509CCE6" w14:textId="77777777" w:rsidR="00390C5B" w:rsidRPr="001F4734" w:rsidRDefault="00390C5B" w:rsidP="00390C5B">
            <w:pPr>
              <w:pStyle w:val="8pttabletext"/>
            </w:pPr>
            <w:r w:rsidRPr="001F4734">
              <w:t>VRFish</w:t>
            </w:r>
          </w:p>
        </w:tc>
      </w:tr>
      <w:tr w:rsidR="00390C5B" w:rsidRPr="000222B5" w14:paraId="44FD0A34" w14:textId="77777777" w:rsidTr="00390C5B">
        <w:trPr>
          <w:cantSplit/>
        </w:trPr>
        <w:tc>
          <w:tcPr>
            <w:tcW w:w="6186" w:type="dxa"/>
            <w:shd w:val="clear" w:color="auto" w:fill="auto"/>
            <w:tcMar>
              <w:top w:w="57" w:type="dxa"/>
              <w:left w:w="57" w:type="dxa"/>
              <w:bottom w:w="57" w:type="dxa"/>
            </w:tcMar>
          </w:tcPr>
          <w:p w14:paraId="39CCDD41" w14:textId="77777777" w:rsidR="00390C5B" w:rsidRPr="001F4734" w:rsidRDefault="00390C5B" w:rsidP="00390C5B">
            <w:pPr>
              <w:pStyle w:val="8pttabletext"/>
            </w:pPr>
            <w:r w:rsidRPr="001F4734">
              <w:t>Young Future Leaders at National Recreational Fishing Conference</w:t>
            </w:r>
          </w:p>
        </w:tc>
        <w:tc>
          <w:tcPr>
            <w:tcW w:w="1276" w:type="dxa"/>
            <w:shd w:val="clear" w:color="auto" w:fill="DFEDF1"/>
            <w:noWrap/>
            <w:tcMar>
              <w:top w:w="57" w:type="dxa"/>
              <w:left w:w="57" w:type="dxa"/>
              <w:bottom w:w="57" w:type="dxa"/>
              <w:right w:w="142" w:type="dxa"/>
            </w:tcMar>
          </w:tcPr>
          <w:p w14:paraId="0350E1A8" w14:textId="77777777" w:rsidR="00390C5B" w:rsidRPr="001F4734" w:rsidRDefault="00390C5B" w:rsidP="00390C5B">
            <w:pPr>
              <w:pStyle w:val="8pttabletext"/>
              <w:jc w:val="right"/>
            </w:pPr>
            <w:r w:rsidRPr="001F4734">
              <w:t>$4,545.45</w:t>
            </w:r>
          </w:p>
        </w:tc>
        <w:tc>
          <w:tcPr>
            <w:tcW w:w="2126" w:type="dxa"/>
            <w:shd w:val="clear" w:color="auto" w:fill="auto"/>
            <w:tcMar>
              <w:top w:w="57" w:type="dxa"/>
              <w:left w:w="57" w:type="dxa"/>
              <w:bottom w:w="57" w:type="dxa"/>
            </w:tcMar>
          </w:tcPr>
          <w:p w14:paraId="50ED91BE" w14:textId="77777777" w:rsidR="00390C5B" w:rsidRPr="001F4734" w:rsidRDefault="00390C5B" w:rsidP="00390C5B">
            <w:pPr>
              <w:pStyle w:val="8pttabletext"/>
            </w:pPr>
            <w:r w:rsidRPr="001F4734">
              <w:t>VRFish</w:t>
            </w:r>
          </w:p>
        </w:tc>
      </w:tr>
      <w:tr w:rsidR="00390C5B" w:rsidRPr="000222B5" w14:paraId="672B645E" w14:textId="77777777" w:rsidTr="00390C5B">
        <w:trPr>
          <w:cantSplit/>
        </w:trPr>
        <w:tc>
          <w:tcPr>
            <w:tcW w:w="6186" w:type="dxa"/>
            <w:shd w:val="clear" w:color="auto" w:fill="auto"/>
            <w:tcMar>
              <w:top w:w="57" w:type="dxa"/>
              <w:left w:w="57" w:type="dxa"/>
              <w:bottom w:w="57" w:type="dxa"/>
            </w:tcMar>
          </w:tcPr>
          <w:p w14:paraId="3A7D581D" w14:textId="77777777" w:rsidR="00390C5B" w:rsidRPr="001F4734" w:rsidRDefault="00390C5B" w:rsidP="00390C5B">
            <w:pPr>
              <w:pStyle w:val="8pttabletext"/>
            </w:pPr>
            <w:r w:rsidRPr="001F4734">
              <w:t>Southern Fly Fishers Open Day</w:t>
            </w:r>
          </w:p>
        </w:tc>
        <w:tc>
          <w:tcPr>
            <w:tcW w:w="1276" w:type="dxa"/>
            <w:shd w:val="clear" w:color="auto" w:fill="DFEDF1"/>
            <w:noWrap/>
            <w:tcMar>
              <w:top w:w="57" w:type="dxa"/>
              <w:left w:w="57" w:type="dxa"/>
              <w:bottom w:w="57" w:type="dxa"/>
              <w:right w:w="142" w:type="dxa"/>
            </w:tcMar>
          </w:tcPr>
          <w:p w14:paraId="75AA2799" w14:textId="77777777" w:rsidR="00390C5B" w:rsidRPr="001F4734" w:rsidRDefault="00390C5B" w:rsidP="00390C5B">
            <w:pPr>
              <w:pStyle w:val="8pttabletext"/>
              <w:jc w:val="right"/>
            </w:pPr>
            <w:r>
              <w:t>$</w:t>
            </w:r>
            <w:r w:rsidRPr="001F4734">
              <w:t>4,495.00</w:t>
            </w:r>
          </w:p>
        </w:tc>
        <w:tc>
          <w:tcPr>
            <w:tcW w:w="2126" w:type="dxa"/>
            <w:shd w:val="clear" w:color="auto" w:fill="auto"/>
            <w:tcMar>
              <w:top w:w="57" w:type="dxa"/>
              <w:left w:w="57" w:type="dxa"/>
              <w:bottom w:w="57" w:type="dxa"/>
            </w:tcMar>
          </w:tcPr>
          <w:p w14:paraId="1BBE1B56" w14:textId="77777777" w:rsidR="00390C5B" w:rsidRPr="001F4734" w:rsidRDefault="00390C5B" w:rsidP="00390C5B">
            <w:pPr>
              <w:pStyle w:val="8pttabletext"/>
            </w:pPr>
            <w:r w:rsidRPr="001F4734">
              <w:t>Southern Fly Fishers</w:t>
            </w:r>
          </w:p>
        </w:tc>
      </w:tr>
      <w:tr w:rsidR="00390C5B" w:rsidRPr="000222B5" w14:paraId="2C603D47" w14:textId="77777777" w:rsidTr="00390C5B">
        <w:trPr>
          <w:cantSplit/>
        </w:trPr>
        <w:tc>
          <w:tcPr>
            <w:tcW w:w="6186" w:type="dxa"/>
            <w:shd w:val="clear" w:color="auto" w:fill="auto"/>
            <w:tcMar>
              <w:top w:w="57" w:type="dxa"/>
              <w:left w:w="57" w:type="dxa"/>
              <w:bottom w:w="57" w:type="dxa"/>
            </w:tcMar>
          </w:tcPr>
          <w:p w14:paraId="06B657D9" w14:textId="77777777" w:rsidR="00390C5B" w:rsidRPr="001F4734" w:rsidRDefault="00390C5B" w:rsidP="00390C5B">
            <w:pPr>
              <w:pStyle w:val="8pttabletext"/>
            </w:pPr>
            <w:r w:rsidRPr="001F4734">
              <w:t>Junior Fishing Experience</w:t>
            </w:r>
          </w:p>
        </w:tc>
        <w:tc>
          <w:tcPr>
            <w:tcW w:w="1276" w:type="dxa"/>
            <w:shd w:val="clear" w:color="auto" w:fill="DFEDF1"/>
            <w:noWrap/>
            <w:tcMar>
              <w:top w:w="57" w:type="dxa"/>
              <w:left w:w="57" w:type="dxa"/>
              <w:bottom w:w="57" w:type="dxa"/>
              <w:right w:w="142" w:type="dxa"/>
            </w:tcMar>
          </w:tcPr>
          <w:p w14:paraId="1C54D050" w14:textId="77777777" w:rsidR="00390C5B" w:rsidRPr="001F4734" w:rsidRDefault="00390C5B" w:rsidP="00390C5B">
            <w:pPr>
              <w:pStyle w:val="8pttabletext"/>
              <w:jc w:val="right"/>
            </w:pPr>
            <w:r w:rsidRPr="001F4734">
              <w:t>$4,000.00</w:t>
            </w:r>
          </w:p>
        </w:tc>
        <w:tc>
          <w:tcPr>
            <w:tcW w:w="2126" w:type="dxa"/>
            <w:shd w:val="clear" w:color="auto" w:fill="auto"/>
            <w:tcMar>
              <w:top w:w="57" w:type="dxa"/>
              <w:left w:w="57" w:type="dxa"/>
              <w:bottom w:w="57" w:type="dxa"/>
            </w:tcMar>
          </w:tcPr>
          <w:p w14:paraId="7CC8548A" w14:textId="77777777" w:rsidR="00390C5B" w:rsidRPr="001F4734" w:rsidRDefault="00390C5B" w:rsidP="00390C5B">
            <w:pPr>
              <w:pStyle w:val="8pttabletext"/>
            </w:pPr>
            <w:r w:rsidRPr="001F4734">
              <w:t>Port Franklin Tennis Club</w:t>
            </w:r>
          </w:p>
        </w:tc>
      </w:tr>
      <w:tr w:rsidR="00390C5B" w:rsidRPr="000222B5" w14:paraId="5FE53BFC" w14:textId="77777777" w:rsidTr="00390C5B">
        <w:trPr>
          <w:cantSplit/>
        </w:trPr>
        <w:tc>
          <w:tcPr>
            <w:tcW w:w="6186" w:type="dxa"/>
            <w:shd w:val="clear" w:color="auto" w:fill="auto"/>
            <w:tcMar>
              <w:top w:w="57" w:type="dxa"/>
              <w:left w:w="57" w:type="dxa"/>
              <w:bottom w:w="57" w:type="dxa"/>
            </w:tcMar>
          </w:tcPr>
          <w:p w14:paraId="031B8C1D" w14:textId="77777777" w:rsidR="00390C5B" w:rsidRPr="001F4734" w:rsidRDefault="00390C5B" w:rsidP="00390C5B">
            <w:pPr>
              <w:pStyle w:val="8pttabletext"/>
            </w:pPr>
            <w:r w:rsidRPr="001F4734">
              <w:t>Estuary perch Weigh Your Catch rulers</w:t>
            </w:r>
          </w:p>
        </w:tc>
        <w:tc>
          <w:tcPr>
            <w:tcW w:w="1276" w:type="dxa"/>
            <w:shd w:val="clear" w:color="auto" w:fill="DFEDF1"/>
            <w:noWrap/>
            <w:tcMar>
              <w:top w:w="57" w:type="dxa"/>
              <w:left w:w="57" w:type="dxa"/>
              <w:bottom w:w="57" w:type="dxa"/>
              <w:right w:w="142" w:type="dxa"/>
            </w:tcMar>
          </w:tcPr>
          <w:p w14:paraId="52DAD44E" w14:textId="77777777" w:rsidR="00390C5B" w:rsidRPr="001F4734" w:rsidRDefault="00390C5B" w:rsidP="00390C5B">
            <w:pPr>
              <w:pStyle w:val="8pttabletext"/>
              <w:jc w:val="right"/>
            </w:pPr>
            <w:r w:rsidRPr="001F4734">
              <w:t>$3,909.09</w:t>
            </w:r>
          </w:p>
        </w:tc>
        <w:tc>
          <w:tcPr>
            <w:tcW w:w="2126" w:type="dxa"/>
            <w:shd w:val="clear" w:color="auto" w:fill="auto"/>
            <w:tcMar>
              <w:top w:w="57" w:type="dxa"/>
              <w:left w:w="57" w:type="dxa"/>
              <w:bottom w:w="57" w:type="dxa"/>
            </w:tcMar>
          </w:tcPr>
          <w:p w14:paraId="300F8EC7" w14:textId="77777777" w:rsidR="00390C5B" w:rsidRPr="001F4734" w:rsidRDefault="00390C5B" w:rsidP="00390C5B">
            <w:pPr>
              <w:pStyle w:val="8pttabletext"/>
            </w:pPr>
            <w:r w:rsidRPr="001F4734">
              <w:t>Fishcare Victoria Inc.</w:t>
            </w:r>
          </w:p>
        </w:tc>
      </w:tr>
      <w:tr w:rsidR="00390C5B" w:rsidRPr="000222B5" w14:paraId="0DD8DE12" w14:textId="77777777" w:rsidTr="00390C5B">
        <w:trPr>
          <w:cantSplit/>
        </w:trPr>
        <w:tc>
          <w:tcPr>
            <w:tcW w:w="6186" w:type="dxa"/>
            <w:shd w:val="clear" w:color="auto" w:fill="auto"/>
            <w:tcMar>
              <w:top w:w="57" w:type="dxa"/>
              <w:left w:w="57" w:type="dxa"/>
              <w:bottom w:w="57" w:type="dxa"/>
            </w:tcMar>
          </w:tcPr>
          <w:p w14:paraId="783B2EA0" w14:textId="77777777" w:rsidR="00390C5B" w:rsidRPr="001F4734" w:rsidRDefault="00390C5B" w:rsidP="00390C5B">
            <w:pPr>
              <w:pStyle w:val="8pttabletext"/>
            </w:pPr>
            <w:r w:rsidRPr="001F4734">
              <w:t>Mates Day on the Bay</w:t>
            </w:r>
          </w:p>
        </w:tc>
        <w:tc>
          <w:tcPr>
            <w:tcW w:w="1276" w:type="dxa"/>
            <w:shd w:val="clear" w:color="auto" w:fill="DFEDF1"/>
            <w:noWrap/>
            <w:tcMar>
              <w:top w:w="57" w:type="dxa"/>
              <w:left w:w="57" w:type="dxa"/>
              <w:bottom w:w="57" w:type="dxa"/>
              <w:right w:w="142" w:type="dxa"/>
            </w:tcMar>
          </w:tcPr>
          <w:p w14:paraId="1178A88A" w14:textId="77777777" w:rsidR="00390C5B" w:rsidRPr="001F4734" w:rsidRDefault="00390C5B" w:rsidP="00390C5B">
            <w:pPr>
              <w:pStyle w:val="8pttabletext"/>
              <w:jc w:val="right"/>
            </w:pPr>
            <w:r w:rsidRPr="001F4734">
              <w:t>$3,772.73</w:t>
            </w:r>
          </w:p>
        </w:tc>
        <w:tc>
          <w:tcPr>
            <w:tcW w:w="2126" w:type="dxa"/>
            <w:shd w:val="clear" w:color="auto" w:fill="auto"/>
            <w:tcMar>
              <w:top w:w="57" w:type="dxa"/>
              <w:left w:w="57" w:type="dxa"/>
              <w:bottom w:w="57" w:type="dxa"/>
            </w:tcMar>
          </w:tcPr>
          <w:p w14:paraId="5CE665B6" w14:textId="77777777" w:rsidR="00390C5B" w:rsidRPr="001F4734" w:rsidRDefault="00390C5B" w:rsidP="00390C5B">
            <w:pPr>
              <w:pStyle w:val="8pttabletext"/>
            </w:pPr>
            <w:r w:rsidRPr="001F4734">
              <w:t>Futurefish Foundation</w:t>
            </w:r>
          </w:p>
        </w:tc>
      </w:tr>
      <w:tr w:rsidR="00390C5B" w:rsidRPr="000222B5" w14:paraId="437CB34B" w14:textId="77777777" w:rsidTr="00390C5B">
        <w:trPr>
          <w:cantSplit/>
        </w:trPr>
        <w:tc>
          <w:tcPr>
            <w:tcW w:w="6186" w:type="dxa"/>
            <w:shd w:val="clear" w:color="auto" w:fill="auto"/>
            <w:tcMar>
              <w:top w:w="57" w:type="dxa"/>
              <w:left w:w="57" w:type="dxa"/>
              <w:bottom w:w="57" w:type="dxa"/>
            </w:tcMar>
          </w:tcPr>
          <w:p w14:paraId="53CC220B" w14:textId="77777777" w:rsidR="00390C5B" w:rsidRPr="001F4734" w:rsidRDefault="00390C5B" w:rsidP="00390C5B">
            <w:pPr>
              <w:pStyle w:val="8pttabletext"/>
            </w:pPr>
            <w:r w:rsidRPr="001F4734">
              <w:t>Schools Fishing Program </w:t>
            </w:r>
          </w:p>
        </w:tc>
        <w:tc>
          <w:tcPr>
            <w:tcW w:w="1276" w:type="dxa"/>
            <w:shd w:val="clear" w:color="auto" w:fill="DFEDF1"/>
            <w:noWrap/>
            <w:tcMar>
              <w:top w:w="57" w:type="dxa"/>
              <w:left w:w="57" w:type="dxa"/>
              <w:bottom w:w="57" w:type="dxa"/>
              <w:right w:w="142" w:type="dxa"/>
            </w:tcMar>
          </w:tcPr>
          <w:p w14:paraId="5942E11A" w14:textId="77777777" w:rsidR="00390C5B" w:rsidRPr="001F4734" w:rsidRDefault="00390C5B" w:rsidP="00390C5B">
            <w:pPr>
              <w:pStyle w:val="8pttabletext"/>
              <w:jc w:val="right"/>
            </w:pPr>
            <w:r w:rsidRPr="001F4734">
              <w:t>$3,454.55</w:t>
            </w:r>
          </w:p>
        </w:tc>
        <w:tc>
          <w:tcPr>
            <w:tcW w:w="2126" w:type="dxa"/>
            <w:shd w:val="clear" w:color="auto" w:fill="auto"/>
            <w:tcMar>
              <w:top w:w="57" w:type="dxa"/>
              <w:left w:w="57" w:type="dxa"/>
              <w:bottom w:w="57" w:type="dxa"/>
            </w:tcMar>
          </w:tcPr>
          <w:p w14:paraId="75C28BDE" w14:textId="77777777" w:rsidR="00390C5B" w:rsidRPr="001F4734" w:rsidRDefault="00390C5B" w:rsidP="00390C5B">
            <w:pPr>
              <w:pStyle w:val="8pttabletext"/>
            </w:pPr>
            <w:r w:rsidRPr="001F4734">
              <w:t>Colac Otway Shire </w:t>
            </w:r>
          </w:p>
        </w:tc>
      </w:tr>
      <w:tr w:rsidR="00390C5B" w:rsidRPr="000222B5" w14:paraId="11FB9D89" w14:textId="77777777" w:rsidTr="00390C5B">
        <w:trPr>
          <w:cantSplit/>
        </w:trPr>
        <w:tc>
          <w:tcPr>
            <w:tcW w:w="6186" w:type="dxa"/>
            <w:shd w:val="clear" w:color="auto" w:fill="auto"/>
            <w:tcMar>
              <w:top w:w="57" w:type="dxa"/>
              <w:left w:w="57" w:type="dxa"/>
              <w:bottom w:w="57" w:type="dxa"/>
            </w:tcMar>
          </w:tcPr>
          <w:p w14:paraId="21F7109A" w14:textId="77777777" w:rsidR="00390C5B" w:rsidRPr="001F4734" w:rsidRDefault="00390C5B" w:rsidP="00390C5B">
            <w:pPr>
              <w:pStyle w:val="8pttabletext"/>
            </w:pPr>
            <w:r w:rsidRPr="001F4734">
              <w:t>Hook Line &amp; Sinker Fishathon</w:t>
            </w:r>
          </w:p>
        </w:tc>
        <w:tc>
          <w:tcPr>
            <w:tcW w:w="1276" w:type="dxa"/>
            <w:shd w:val="clear" w:color="auto" w:fill="DFEDF1"/>
            <w:noWrap/>
            <w:tcMar>
              <w:top w:w="57" w:type="dxa"/>
              <w:left w:w="57" w:type="dxa"/>
              <w:bottom w:w="57" w:type="dxa"/>
              <w:right w:w="142" w:type="dxa"/>
            </w:tcMar>
          </w:tcPr>
          <w:p w14:paraId="1E449AF2" w14:textId="77777777" w:rsidR="00390C5B" w:rsidRPr="001F4734" w:rsidRDefault="00390C5B" w:rsidP="00390C5B">
            <w:pPr>
              <w:pStyle w:val="8pttabletext"/>
              <w:jc w:val="right"/>
            </w:pPr>
            <w:r w:rsidRPr="001F4734">
              <w:t>$3,172.23</w:t>
            </w:r>
          </w:p>
        </w:tc>
        <w:tc>
          <w:tcPr>
            <w:tcW w:w="2126" w:type="dxa"/>
            <w:shd w:val="clear" w:color="auto" w:fill="auto"/>
            <w:tcMar>
              <w:top w:w="57" w:type="dxa"/>
              <w:left w:w="57" w:type="dxa"/>
              <w:bottom w:w="57" w:type="dxa"/>
            </w:tcMar>
          </w:tcPr>
          <w:p w14:paraId="48F8F5D4" w14:textId="77777777" w:rsidR="00390C5B" w:rsidRPr="001F4734" w:rsidRDefault="00390C5B" w:rsidP="00390C5B">
            <w:pPr>
              <w:pStyle w:val="8pttabletext"/>
            </w:pPr>
            <w:r w:rsidRPr="001F4734">
              <w:t>City of Wodonga</w:t>
            </w:r>
          </w:p>
        </w:tc>
      </w:tr>
      <w:tr w:rsidR="00390C5B" w:rsidRPr="000222B5" w14:paraId="2F7E98CB" w14:textId="77777777" w:rsidTr="00390C5B">
        <w:trPr>
          <w:cantSplit/>
        </w:trPr>
        <w:tc>
          <w:tcPr>
            <w:tcW w:w="6186" w:type="dxa"/>
            <w:shd w:val="clear" w:color="auto" w:fill="auto"/>
            <w:tcMar>
              <w:top w:w="57" w:type="dxa"/>
              <w:left w:w="57" w:type="dxa"/>
              <w:bottom w:w="57" w:type="dxa"/>
            </w:tcMar>
          </w:tcPr>
          <w:p w14:paraId="7CD74A3C" w14:textId="77777777" w:rsidR="00390C5B" w:rsidRPr="001F4734" w:rsidRDefault="00390C5B" w:rsidP="00390C5B">
            <w:pPr>
              <w:pStyle w:val="8pttabletext"/>
            </w:pPr>
            <w:r w:rsidRPr="001F4734">
              <w:t>Light over fish cleaning table Limeburners Boat Ramp </w:t>
            </w:r>
          </w:p>
        </w:tc>
        <w:tc>
          <w:tcPr>
            <w:tcW w:w="1276" w:type="dxa"/>
            <w:shd w:val="clear" w:color="auto" w:fill="DFEDF1"/>
            <w:noWrap/>
            <w:tcMar>
              <w:top w:w="57" w:type="dxa"/>
              <w:left w:w="57" w:type="dxa"/>
              <w:bottom w:w="57" w:type="dxa"/>
              <w:right w:w="142" w:type="dxa"/>
            </w:tcMar>
          </w:tcPr>
          <w:p w14:paraId="6A47EC36" w14:textId="77777777" w:rsidR="00390C5B" w:rsidRPr="001F4734" w:rsidRDefault="00390C5B" w:rsidP="00390C5B">
            <w:pPr>
              <w:pStyle w:val="8pttabletext"/>
              <w:jc w:val="right"/>
            </w:pPr>
            <w:r w:rsidRPr="001F4734">
              <w:t>$3,154.55</w:t>
            </w:r>
          </w:p>
        </w:tc>
        <w:tc>
          <w:tcPr>
            <w:tcW w:w="2126" w:type="dxa"/>
            <w:shd w:val="clear" w:color="auto" w:fill="auto"/>
            <w:tcMar>
              <w:top w:w="57" w:type="dxa"/>
              <w:left w:w="57" w:type="dxa"/>
              <w:bottom w:w="57" w:type="dxa"/>
            </w:tcMar>
          </w:tcPr>
          <w:p w14:paraId="643DBCBD" w14:textId="77777777" w:rsidR="00390C5B" w:rsidRPr="001F4734" w:rsidRDefault="00390C5B" w:rsidP="00390C5B">
            <w:pPr>
              <w:pStyle w:val="8pttabletext"/>
            </w:pPr>
            <w:r w:rsidRPr="001F4734">
              <w:t>Association of Geelong &amp; District Angling Clubs Inc.</w:t>
            </w:r>
          </w:p>
        </w:tc>
      </w:tr>
      <w:tr w:rsidR="00390C5B" w:rsidRPr="000222B5" w14:paraId="41DAC73C" w14:textId="77777777" w:rsidTr="00390C5B">
        <w:trPr>
          <w:cantSplit/>
        </w:trPr>
        <w:tc>
          <w:tcPr>
            <w:tcW w:w="6186" w:type="dxa"/>
            <w:shd w:val="clear" w:color="auto" w:fill="auto"/>
            <w:tcMar>
              <w:top w:w="57" w:type="dxa"/>
              <w:left w:w="57" w:type="dxa"/>
              <w:bottom w:w="57" w:type="dxa"/>
            </w:tcMar>
          </w:tcPr>
          <w:p w14:paraId="26B8806F" w14:textId="77777777" w:rsidR="00390C5B" w:rsidRPr="001F4734" w:rsidRDefault="00390C5B" w:rsidP="00390C5B">
            <w:pPr>
              <w:pStyle w:val="8pttabletext"/>
            </w:pPr>
            <w:r w:rsidRPr="001F4734">
              <w:t>Lake Meran Family Fishing Fun Day</w:t>
            </w:r>
          </w:p>
        </w:tc>
        <w:tc>
          <w:tcPr>
            <w:tcW w:w="1276" w:type="dxa"/>
            <w:shd w:val="clear" w:color="auto" w:fill="DFEDF1"/>
            <w:noWrap/>
            <w:tcMar>
              <w:top w:w="57" w:type="dxa"/>
              <w:left w:w="57" w:type="dxa"/>
              <w:bottom w:w="57" w:type="dxa"/>
              <w:right w:w="142" w:type="dxa"/>
            </w:tcMar>
          </w:tcPr>
          <w:p w14:paraId="0F23F041" w14:textId="77777777" w:rsidR="00390C5B" w:rsidRPr="001F4734" w:rsidRDefault="00390C5B" w:rsidP="00390C5B">
            <w:pPr>
              <w:pStyle w:val="8pttabletext"/>
              <w:jc w:val="right"/>
            </w:pPr>
            <w:r w:rsidRPr="001F4734">
              <w:t>$3,050.00</w:t>
            </w:r>
          </w:p>
        </w:tc>
        <w:tc>
          <w:tcPr>
            <w:tcW w:w="2126" w:type="dxa"/>
            <w:shd w:val="clear" w:color="auto" w:fill="auto"/>
            <w:tcMar>
              <w:top w:w="57" w:type="dxa"/>
              <w:left w:w="57" w:type="dxa"/>
              <w:bottom w:w="57" w:type="dxa"/>
            </w:tcMar>
          </w:tcPr>
          <w:p w14:paraId="70C49D7D" w14:textId="77777777" w:rsidR="00390C5B" w:rsidRPr="001F4734" w:rsidRDefault="00390C5B" w:rsidP="00390C5B">
            <w:pPr>
              <w:pStyle w:val="8pttabletext"/>
            </w:pPr>
            <w:r w:rsidRPr="001F4734">
              <w:t>Lake Meran Public Purposes Committee</w:t>
            </w:r>
          </w:p>
        </w:tc>
      </w:tr>
      <w:tr w:rsidR="00390C5B" w:rsidRPr="000222B5" w14:paraId="71C01BA8" w14:textId="77777777" w:rsidTr="00390C5B">
        <w:trPr>
          <w:cantSplit/>
        </w:trPr>
        <w:tc>
          <w:tcPr>
            <w:tcW w:w="6186" w:type="dxa"/>
            <w:shd w:val="clear" w:color="auto" w:fill="auto"/>
            <w:tcMar>
              <w:top w:w="57" w:type="dxa"/>
              <w:left w:w="57" w:type="dxa"/>
              <w:bottom w:w="57" w:type="dxa"/>
            </w:tcMar>
          </w:tcPr>
          <w:p w14:paraId="011A2856" w14:textId="77777777" w:rsidR="00390C5B" w:rsidRPr="001F4734" w:rsidRDefault="00390C5B" w:rsidP="00390C5B">
            <w:pPr>
              <w:pStyle w:val="8pttabletext"/>
            </w:pPr>
            <w:r w:rsidRPr="001F4734">
              <w:t>Family Fishing Day</w:t>
            </w:r>
          </w:p>
        </w:tc>
        <w:tc>
          <w:tcPr>
            <w:tcW w:w="1276" w:type="dxa"/>
            <w:shd w:val="clear" w:color="auto" w:fill="DFEDF1"/>
            <w:noWrap/>
            <w:tcMar>
              <w:top w:w="57" w:type="dxa"/>
              <w:left w:w="57" w:type="dxa"/>
              <w:bottom w:w="57" w:type="dxa"/>
              <w:right w:w="142" w:type="dxa"/>
            </w:tcMar>
          </w:tcPr>
          <w:p w14:paraId="638A0F0E" w14:textId="77777777" w:rsidR="00390C5B" w:rsidRPr="001F4734" w:rsidRDefault="00390C5B" w:rsidP="00390C5B">
            <w:pPr>
              <w:pStyle w:val="8pttabletext"/>
              <w:jc w:val="right"/>
            </w:pPr>
            <w:r w:rsidRPr="001F4734">
              <w:t>$2,980.00</w:t>
            </w:r>
          </w:p>
        </w:tc>
        <w:tc>
          <w:tcPr>
            <w:tcW w:w="2126" w:type="dxa"/>
            <w:shd w:val="clear" w:color="auto" w:fill="auto"/>
            <w:tcMar>
              <w:top w:w="57" w:type="dxa"/>
              <w:left w:w="57" w:type="dxa"/>
              <w:bottom w:w="57" w:type="dxa"/>
            </w:tcMar>
          </w:tcPr>
          <w:p w14:paraId="4270858C" w14:textId="77777777" w:rsidR="00390C5B" w:rsidRPr="001F4734" w:rsidRDefault="00390C5B" w:rsidP="00390C5B">
            <w:pPr>
              <w:pStyle w:val="8pttabletext"/>
            </w:pPr>
            <w:r w:rsidRPr="001F4734">
              <w:t>Underra Angling Club</w:t>
            </w:r>
          </w:p>
        </w:tc>
      </w:tr>
      <w:tr w:rsidR="00390C5B" w:rsidRPr="000222B5" w14:paraId="2D103F43" w14:textId="77777777" w:rsidTr="00390C5B">
        <w:trPr>
          <w:cantSplit/>
        </w:trPr>
        <w:tc>
          <w:tcPr>
            <w:tcW w:w="6186" w:type="dxa"/>
            <w:shd w:val="clear" w:color="auto" w:fill="auto"/>
            <w:tcMar>
              <w:top w:w="57" w:type="dxa"/>
              <w:left w:w="57" w:type="dxa"/>
              <w:bottom w:w="57" w:type="dxa"/>
            </w:tcMar>
          </w:tcPr>
          <w:p w14:paraId="71F1E707" w14:textId="77777777" w:rsidR="00390C5B" w:rsidRPr="001F4734" w:rsidRDefault="00390C5B" w:rsidP="00390C5B">
            <w:pPr>
              <w:pStyle w:val="8pttabletext"/>
            </w:pPr>
            <w:r w:rsidRPr="001F4734">
              <w:t>Catch a Carp Day March 2015</w:t>
            </w:r>
          </w:p>
        </w:tc>
        <w:tc>
          <w:tcPr>
            <w:tcW w:w="1276" w:type="dxa"/>
            <w:shd w:val="clear" w:color="auto" w:fill="DFEDF1"/>
            <w:noWrap/>
            <w:tcMar>
              <w:top w:w="57" w:type="dxa"/>
              <w:left w:w="57" w:type="dxa"/>
              <w:bottom w:w="57" w:type="dxa"/>
              <w:right w:w="142" w:type="dxa"/>
            </w:tcMar>
          </w:tcPr>
          <w:p w14:paraId="6838E011" w14:textId="77777777" w:rsidR="00390C5B" w:rsidRPr="001F4734" w:rsidRDefault="00390C5B" w:rsidP="00390C5B">
            <w:pPr>
              <w:pStyle w:val="8pttabletext"/>
              <w:jc w:val="right"/>
            </w:pPr>
            <w:r w:rsidRPr="001F4734">
              <w:t>$2,948.62</w:t>
            </w:r>
          </w:p>
        </w:tc>
        <w:tc>
          <w:tcPr>
            <w:tcW w:w="2126" w:type="dxa"/>
            <w:shd w:val="clear" w:color="auto" w:fill="auto"/>
            <w:tcMar>
              <w:top w:w="57" w:type="dxa"/>
              <w:left w:w="57" w:type="dxa"/>
              <w:bottom w:w="57" w:type="dxa"/>
            </w:tcMar>
          </w:tcPr>
          <w:p w14:paraId="68F8D500" w14:textId="77777777" w:rsidR="00390C5B" w:rsidRPr="001F4734" w:rsidRDefault="00390C5B" w:rsidP="00390C5B">
            <w:pPr>
              <w:pStyle w:val="8pttabletext"/>
            </w:pPr>
            <w:r w:rsidRPr="001F4734">
              <w:t>Riverside Golf Club</w:t>
            </w:r>
          </w:p>
        </w:tc>
      </w:tr>
      <w:tr w:rsidR="00390C5B" w:rsidRPr="000222B5" w14:paraId="67B27BFE" w14:textId="77777777" w:rsidTr="00390C5B">
        <w:trPr>
          <w:cantSplit/>
        </w:trPr>
        <w:tc>
          <w:tcPr>
            <w:tcW w:w="6186" w:type="dxa"/>
            <w:shd w:val="clear" w:color="auto" w:fill="auto"/>
            <w:tcMar>
              <w:top w:w="57" w:type="dxa"/>
              <w:left w:w="57" w:type="dxa"/>
              <w:bottom w:w="57" w:type="dxa"/>
            </w:tcMar>
          </w:tcPr>
          <w:p w14:paraId="6357B425" w14:textId="77777777" w:rsidR="00390C5B" w:rsidRPr="001F4734" w:rsidRDefault="00390C5B" w:rsidP="00390C5B">
            <w:pPr>
              <w:pStyle w:val="8pttabletext"/>
            </w:pPr>
            <w:r w:rsidRPr="001F4734">
              <w:t>Come &amp; Try Fishing Day</w:t>
            </w:r>
          </w:p>
        </w:tc>
        <w:tc>
          <w:tcPr>
            <w:tcW w:w="1276" w:type="dxa"/>
            <w:shd w:val="clear" w:color="auto" w:fill="DFEDF1"/>
            <w:noWrap/>
            <w:tcMar>
              <w:top w:w="57" w:type="dxa"/>
              <w:left w:w="57" w:type="dxa"/>
              <w:bottom w:w="57" w:type="dxa"/>
              <w:right w:w="142" w:type="dxa"/>
            </w:tcMar>
          </w:tcPr>
          <w:p w14:paraId="36A6E23C" w14:textId="77777777" w:rsidR="00390C5B" w:rsidRPr="001F4734" w:rsidRDefault="00390C5B" w:rsidP="00390C5B">
            <w:pPr>
              <w:pStyle w:val="8pttabletext"/>
              <w:jc w:val="right"/>
            </w:pPr>
            <w:r w:rsidRPr="001F4734">
              <w:t>$2,933.00</w:t>
            </w:r>
          </w:p>
        </w:tc>
        <w:tc>
          <w:tcPr>
            <w:tcW w:w="2126" w:type="dxa"/>
            <w:shd w:val="clear" w:color="auto" w:fill="auto"/>
            <w:tcMar>
              <w:top w:w="57" w:type="dxa"/>
              <w:left w:w="57" w:type="dxa"/>
              <w:bottom w:w="57" w:type="dxa"/>
            </w:tcMar>
          </w:tcPr>
          <w:p w14:paraId="3B41D5C3" w14:textId="77777777" w:rsidR="00390C5B" w:rsidRPr="001F4734" w:rsidRDefault="00390C5B" w:rsidP="00390C5B">
            <w:pPr>
              <w:pStyle w:val="8pttabletext"/>
            </w:pPr>
            <w:r w:rsidRPr="001F4734">
              <w:t>Wangaratta Fly Fishing Club</w:t>
            </w:r>
          </w:p>
        </w:tc>
      </w:tr>
      <w:tr w:rsidR="00390C5B" w:rsidRPr="000222B5" w14:paraId="120D23B7" w14:textId="77777777" w:rsidTr="00390C5B">
        <w:trPr>
          <w:cantSplit/>
        </w:trPr>
        <w:tc>
          <w:tcPr>
            <w:tcW w:w="6186" w:type="dxa"/>
            <w:shd w:val="clear" w:color="auto" w:fill="auto"/>
            <w:tcMar>
              <w:top w:w="57" w:type="dxa"/>
              <w:left w:w="57" w:type="dxa"/>
              <w:bottom w:w="57" w:type="dxa"/>
            </w:tcMar>
          </w:tcPr>
          <w:p w14:paraId="454BBD87" w14:textId="77777777" w:rsidR="00390C5B" w:rsidRPr="001F4734" w:rsidRDefault="00390C5B" w:rsidP="00390C5B">
            <w:pPr>
              <w:pStyle w:val="8pttabletext"/>
            </w:pPr>
            <w:r w:rsidRPr="001F4734">
              <w:t>Live native fish display at 4x4 Fishing and Boating Expo </w:t>
            </w:r>
          </w:p>
        </w:tc>
        <w:tc>
          <w:tcPr>
            <w:tcW w:w="1276" w:type="dxa"/>
            <w:shd w:val="clear" w:color="auto" w:fill="DFEDF1"/>
            <w:noWrap/>
            <w:tcMar>
              <w:top w:w="57" w:type="dxa"/>
              <w:left w:w="57" w:type="dxa"/>
              <w:bottom w:w="57" w:type="dxa"/>
              <w:right w:w="142" w:type="dxa"/>
            </w:tcMar>
          </w:tcPr>
          <w:p w14:paraId="05B2C05C" w14:textId="77777777" w:rsidR="00390C5B" w:rsidRPr="001F4734" w:rsidRDefault="00390C5B" w:rsidP="00390C5B">
            <w:pPr>
              <w:pStyle w:val="8pttabletext"/>
              <w:jc w:val="right"/>
            </w:pPr>
            <w:r w:rsidRPr="001F4734">
              <w:t>$2,575.00</w:t>
            </w:r>
          </w:p>
        </w:tc>
        <w:tc>
          <w:tcPr>
            <w:tcW w:w="2126" w:type="dxa"/>
            <w:shd w:val="clear" w:color="auto" w:fill="auto"/>
            <w:tcMar>
              <w:top w:w="57" w:type="dxa"/>
              <w:left w:w="57" w:type="dxa"/>
              <w:bottom w:w="57" w:type="dxa"/>
            </w:tcMar>
          </w:tcPr>
          <w:p w14:paraId="358A3482" w14:textId="77777777" w:rsidR="00390C5B" w:rsidRPr="001F4734" w:rsidRDefault="00390C5B" w:rsidP="00390C5B">
            <w:pPr>
              <w:pStyle w:val="8pttabletext"/>
            </w:pPr>
            <w:r w:rsidRPr="001F4734">
              <w:t>Native Fish Australia Inc.</w:t>
            </w:r>
          </w:p>
        </w:tc>
      </w:tr>
      <w:tr w:rsidR="00390C5B" w:rsidRPr="003A00B7" w14:paraId="10A5F86B" w14:textId="77777777" w:rsidTr="00390C5B">
        <w:trPr>
          <w:cantSplit/>
        </w:trPr>
        <w:tc>
          <w:tcPr>
            <w:tcW w:w="6186" w:type="dxa"/>
            <w:shd w:val="clear" w:color="auto" w:fill="auto"/>
            <w:tcMar>
              <w:top w:w="57" w:type="dxa"/>
              <w:left w:w="57" w:type="dxa"/>
              <w:bottom w:w="57" w:type="dxa"/>
            </w:tcMar>
          </w:tcPr>
          <w:p w14:paraId="1D1FD7B5" w14:textId="77777777" w:rsidR="00390C5B" w:rsidRPr="001F4734" w:rsidRDefault="00390C5B" w:rsidP="00390C5B">
            <w:pPr>
              <w:pStyle w:val="8pttabletext"/>
            </w:pPr>
            <w:r w:rsidRPr="001F4734">
              <w:t>Conduct a fishing stand at Agricultural Show</w:t>
            </w:r>
          </w:p>
        </w:tc>
        <w:tc>
          <w:tcPr>
            <w:tcW w:w="1276" w:type="dxa"/>
            <w:shd w:val="clear" w:color="auto" w:fill="DFEDF1"/>
            <w:noWrap/>
            <w:tcMar>
              <w:top w:w="57" w:type="dxa"/>
              <w:left w:w="57" w:type="dxa"/>
              <w:bottom w:w="57" w:type="dxa"/>
              <w:right w:w="142" w:type="dxa"/>
            </w:tcMar>
          </w:tcPr>
          <w:p w14:paraId="69A30561" w14:textId="77777777" w:rsidR="00390C5B" w:rsidRPr="001F4734" w:rsidRDefault="00390C5B" w:rsidP="00390C5B">
            <w:pPr>
              <w:pStyle w:val="8pttabletext"/>
              <w:jc w:val="right"/>
            </w:pPr>
            <w:r w:rsidRPr="001F4734">
              <w:t>$2,500.00</w:t>
            </w:r>
          </w:p>
        </w:tc>
        <w:tc>
          <w:tcPr>
            <w:tcW w:w="2126" w:type="dxa"/>
            <w:shd w:val="clear" w:color="auto" w:fill="auto"/>
            <w:tcMar>
              <w:top w:w="57" w:type="dxa"/>
              <w:left w:w="57" w:type="dxa"/>
              <w:bottom w:w="57" w:type="dxa"/>
            </w:tcMar>
          </w:tcPr>
          <w:p w14:paraId="2E125725" w14:textId="77777777" w:rsidR="00390C5B" w:rsidRPr="001F4734" w:rsidRDefault="00390C5B" w:rsidP="00390C5B">
            <w:pPr>
              <w:pStyle w:val="8pttabletext"/>
            </w:pPr>
            <w:r w:rsidRPr="001F4734">
              <w:t>Yarram Agricultural Society</w:t>
            </w:r>
          </w:p>
        </w:tc>
      </w:tr>
      <w:tr w:rsidR="00390C5B" w:rsidRPr="003A00B7" w14:paraId="36FF2BBC" w14:textId="77777777" w:rsidTr="00390C5B">
        <w:trPr>
          <w:cantSplit/>
        </w:trPr>
        <w:tc>
          <w:tcPr>
            <w:tcW w:w="6186" w:type="dxa"/>
            <w:shd w:val="clear" w:color="auto" w:fill="auto"/>
            <w:tcMar>
              <w:top w:w="57" w:type="dxa"/>
              <w:left w:w="57" w:type="dxa"/>
              <w:bottom w:w="57" w:type="dxa"/>
            </w:tcMar>
          </w:tcPr>
          <w:p w14:paraId="4A37C968" w14:textId="77777777" w:rsidR="00390C5B" w:rsidRPr="001F4734" w:rsidRDefault="00390C5B" w:rsidP="00390C5B">
            <w:pPr>
              <w:pStyle w:val="8pttabletext"/>
            </w:pPr>
            <w:r w:rsidRPr="001F4734">
              <w:t>Light over fish cleaning table at Clifton Springs</w:t>
            </w:r>
          </w:p>
        </w:tc>
        <w:tc>
          <w:tcPr>
            <w:tcW w:w="1276" w:type="dxa"/>
            <w:shd w:val="clear" w:color="auto" w:fill="DFEDF1"/>
            <w:noWrap/>
            <w:tcMar>
              <w:top w:w="57" w:type="dxa"/>
              <w:left w:w="57" w:type="dxa"/>
              <w:bottom w:w="57" w:type="dxa"/>
              <w:right w:w="142" w:type="dxa"/>
            </w:tcMar>
          </w:tcPr>
          <w:p w14:paraId="59367EE2" w14:textId="77777777" w:rsidR="00390C5B" w:rsidRPr="001F4734" w:rsidRDefault="00390C5B" w:rsidP="00390C5B">
            <w:pPr>
              <w:pStyle w:val="8pttabletext"/>
              <w:jc w:val="right"/>
            </w:pPr>
            <w:r w:rsidRPr="001F4734">
              <w:t>$1,954.55</w:t>
            </w:r>
          </w:p>
        </w:tc>
        <w:tc>
          <w:tcPr>
            <w:tcW w:w="2126" w:type="dxa"/>
            <w:shd w:val="clear" w:color="auto" w:fill="auto"/>
            <w:tcMar>
              <w:top w:w="57" w:type="dxa"/>
              <w:left w:w="57" w:type="dxa"/>
              <w:bottom w:w="57" w:type="dxa"/>
            </w:tcMar>
          </w:tcPr>
          <w:p w14:paraId="1AAE97B8" w14:textId="77777777" w:rsidR="00390C5B" w:rsidRPr="001F4734" w:rsidRDefault="00390C5B" w:rsidP="00390C5B">
            <w:pPr>
              <w:pStyle w:val="8pttabletext"/>
            </w:pPr>
            <w:r w:rsidRPr="001F4734">
              <w:t>Association of Geelong &amp; District Angling Clubs Inc.</w:t>
            </w:r>
          </w:p>
        </w:tc>
      </w:tr>
      <w:tr w:rsidR="00390C5B" w:rsidRPr="003A00B7" w14:paraId="499B70EF" w14:textId="77777777" w:rsidTr="00390C5B">
        <w:trPr>
          <w:cantSplit/>
        </w:trPr>
        <w:tc>
          <w:tcPr>
            <w:tcW w:w="6186" w:type="dxa"/>
            <w:shd w:val="clear" w:color="auto" w:fill="auto"/>
            <w:tcMar>
              <w:top w:w="57" w:type="dxa"/>
              <w:left w:w="57" w:type="dxa"/>
              <w:bottom w:w="57" w:type="dxa"/>
            </w:tcMar>
          </w:tcPr>
          <w:p w14:paraId="763DA67B" w14:textId="77777777" w:rsidR="00390C5B" w:rsidRPr="001F4734" w:rsidRDefault="00390C5B" w:rsidP="00390C5B">
            <w:pPr>
              <w:pStyle w:val="8pttabletext"/>
            </w:pPr>
            <w:r>
              <w:t>Boating and fishing safety course</w:t>
            </w:r>
          </w:p>
        </w:tc>
        <w:tc>
          <w:tcPr>
            <w:tcW w:w="1276" w:type="dxa"/>
            <w:shd w:val="clear" w:color="auto" w:fill="DFEDF1"/>
            <w:noWrap/>
            <w:tcMar>
              <w:top w:w="57" w:type="dxa"/>
              <w:left w:w="57" w:type="dxa"/>
              <w:bottom w:w="57" w:type="dxa"/>
              <w:right w:w="142" w:type="dxa"/>
            </w:tcMar>
          </w:tcPr>
          <w:p w14:paraId="3628BF0F" w14:textId="77777777" w:rsidR="00390C5B" w:rsidRPr="001F4734" w:rsidRDefault="00390C5B" w:rsidP="00390C5B">
            <w:pPr>
              <w:pStyle w:val="8pttabletext"/>
              <w:jc w:val="right"/>
            </w:pPr>
            <w:r>
              <w:t>$2,010.00</w:t>
            </w:r>
          </w:p>
        </w:tc>
        <w:tc>
          <w:tcPr>
            <w:tcW w:w="2126" w:type="dxa"/>
            <w:shd w:val="clear" w:color="auto" w:fill="auto"/>
            <w:tcMar>
              <w:top w:w="57" w:type="dxa"/>
              <w:left w:w="57" w:type="dxa"/>
              <w:bottom w:w="57" w:type="dxa"/>
            </w:tcMar>
          </w:tcPr>
          <w:p w14:paraId="54367E63" w14:textId="77777777" w:rsidR="00390C5B" w:rsidRPr="001F4734" w:rsidRDefault="00390C5B" w:rsidP="00390C5B">
            <w:pPr>
              <w:pStyle w:val="8pttabletext"/>
            </w:pPr>
            <w:r>
              <w:t>Venus Bay Angling Club</w:t>
            </w:r>
          </w:p>
        </w:tc>
      </w:tr>
      <w:tr w:rsidR="00390C5B" w:rsidRPr="000222B5" w14:paraId="068EAEE6" w14:textId="77777777" w:rsidTr="00390C5B">
        <w:trPr>
          <w:cantSplit/>
        </w:trPr>
        <w:tc>
          <w:tcPr>
            <w:tcW w:w="6186" w:type="dxa"/>
            <w:shd w:val="clear" w:color="auto" w:fill="auto"/>
            <w:tcMar>
              <w:top w:w="57" w:type="dxa"/>
              <w:left w:w="57" w:type="dxa"/>
              <w:bottom w:w="57" w:type="dxa"/>
            </w:tcMar>
          </w:tcPr>
          <w:p w14:paraId="6B4859E9" w14:textId="77777777" w:rsidR="00390C5B" w:rsidRPr="001F4734" w:rsidRDefault="00390C5B" w:rsidP="00390C5B">
            <w:pPr>
              <w:pStyle w:val="8pttabletext"/>
            </w:pPr>
            <w:r w:rsidRPr="001F4734">
              <w:t>The Ron Nelson Memorial Junior fishing Clinic 2014</w:t>
            </w:r>
          </w:p>
        </w:tc>
        <w:tc>
          <w:tcPr>
            <w:tcW w:w="1276" w:type="dxa"/>
            <w:shd w:val="clear" w:color="auto" w:fill="DFEDF1"/>
            <w:noWrap/>
            <w:tcMar>
              <w:top w:w="57" w:type="dxa"/>
              <w:left w:w="57" w:type="dxa"/>
              <w:bottom w:w="57" w:type="dxa"/>
              <w:right w:w="142" w:type="dxa"/>
            </w:tcMar>
          </w:tcPr>
          <w:p w14:paraId="51AE3EB9" w14:textId="77777777" w:rsidR="00390C5B" w:rsidRPr="001F4734" w:rsidRDefault="00390C5B" w:rsidP="00390C5B">
            <w:pPr>
              <w:pStyle w:val="8pttabletext"/>
              <w:jc w:val="right"/>
            </w:pPr>
            <w:r w:rsidRPr="001F4734">
              <w:t>$1,618.</w:t>
            </w:r>
            <w:r>
              <w:t>18</w:t>
            </w:r>
          </w:p>
        </w:tc>
        <w:tc>
          <w:tcPr>
            <w:tcW w:w="2126" w:type="dxa"/>
            <w:shd w:val="clear" w:color="auto" w:fill="auto"/>
            <w:tcMar>
              <w:top w:w="57" w:type="dxa"/>
              <w:left w:w="57" w:type="dxa"/>
              <w:bottom w:w="57" w:type="dxa"/>
            </w:tcMar>
          </w:tcPr>
          <w:p w14:paraId="24A91B72" w14:textId="77777777" w:rsidR="00390C5B" w:rsidRPr="001F4734" w:rsidRDefault="00390C5B" w:rsidP="00390C5B">
            <w:pPr>
              <w:pStyle w:val="8pttabletext"/>
            </w:pPr>
            <w:r w:rsidRPr="001F4734">
              <w:t>Association of Geelong &amp; District Angling Clubs Inc.</w:t>
            </w:r>
          </w:p>
        </w:tc>
      </w:tr>
      <w:tr w:rsidR="00390C5B" w:rsidRPr="000222B5" w14:paraId="1B3D521F" w14:textId="77777777" w:rsidTr="00390C5B">
        <w:trPr>
          <w:cantSplit/>
        </w:trPr>
        <w:tc>
          <w:tcPr>
            <w:tcW w:w="6186" w:type="dxa"/>
            <w:shd w:val="clear" w:color="auto" w:fill="auto"/>
            <w:tcMar>
              <w:top w:w="57" w:type="dxa"/>
              <w:left w:w="57" w:type="dxa"/>
              <w:bottom w:w="57" w:type="dxa"/>
            </w:tcMar>
          </w:tcPr>
          <w:p w14:paraId="2AD84FCC" w14:textId="77777777" w:rsidR="00390C5B" w:rsidRPr="001F4734" w:rsidRDefault="00390C5B" w:rsidP="00390C5B">
            <w:pPr>
              <w:pStyle w:val="8pttabletext"/>
            </w:pPr>
            <w:r w:rsidRPr="001F4734">
              <w:t>Come and Try Fishing Day</w:t>
            </w:r>
          </w:p>
        </w:tc>
        <w:tc>
          <w:tcPr>
            <w:tcW w:w="1276" w:type="dxa"/>
            <w:shd w:val="clear" w:color="auto" w:fill="DFEDF1"/>
            <w:noWrap/>
            <w:tcMar>
              <w:top w:w="57" w:type="dxa"/>
              <w:left w:w="57" w:type="dxa"/>
              <w:bottom w:w="57" w:type="dxa"/>
              <w:right w:w="142" w:type="dxa"/>
            </w:tcMar>
          </w:tcPr>
          <w:p w14:paraId="477A1F53" w14:textId="77777777" w:rsidR="00390C5B" w:rsidRPr="001F4734" w:rsidRDefault="00390C5B" w:rsidP="00390C5B">
            <w:pPr>
              <w:pStyle w:val="8pttabletext"/>
              <w:jc w:val="right"/>
            </w:pPr>
            <w:r w:rsidRPr="001F4734">
              <w:t>$1,572.00</w:t>
            </w:r>
          </w:p>
        </w:tc>
        <w:tc>
          <w:tcPr>
            <w:tcW w:w="2126" w:type="dxa"/>
            <w:shd w:val="clear" w:color="auto" w:fill="auto"/>
            <w:tcMar>
              <w:top w:w="57" w:type="dxa"/>
              <w:left w:w="57" w:type="dxa"/>
              <w:bottom w:w="57" w:type="dxa"/>
            </w:tcMar>
          </w:tcPr>
          <w:p w14:paraId="3310814E" w14:textId="77777777" w:rsidR="00390C5B" w:rsidRPr="001F4734" w:rsidRDefault="00390C5B" w:rsidP="00390C5B">
            <w:pPr>
              <w:pStyle w:val="8pttabletext"/>
            </w:pPr>
            <w:r w:rsidRPr="001F4734">
              <w:t>Port Welshpool Working Group Inc.</w:t>
            </w:r>
          </w:p>
        </w:tc>
      </w:tr>
      <w:tr w:rsidR="00390C5B" w:rsidRPr="000222B5" w14:paraId="7F8C3EBF" w14:textId="77777777" w:rsidTr="00390C5B">
        <w:trPr>
          <w:cantSplit/>
        </w:trPr>
        <w:tc>
          <w:tcPr>
            <w:tcW w:w="6186" w:type="dxa"/>
            <w:shd w:val="clear" w:color="auto" w:fill="auto"/>
            <w:tcMar>
              <w:top w:w="57" w:type="dxa"/>
              <w:left w:w="57" w:type="dxa"/>
              <w:bottom w:w="57" w:type="dxa"/>
            </w:tcMar>
          </w:tcPr>
          <w:p w14:paraId="1A843F5D" w14:textId="77777777" w:rsidR="00390C5B" w:rsidRPr="001F4734" w:rsidRDefault="00390C5B" w:rsidP="00390C5B">
            <w:pPr>
              <w:pStyle w:val="8pttabletext"/>
            </w:pPr>
            <w:r w:rsidRPr="001F4734">
              <w:t xml:space="preserve">Come </w:t>
            </w:r>
            <w:r w:rsidR="006A57B2">
              <w:t xml:space="preserve">and </w:t>
            </w:r>
            <w:r w:rsidRPr="001F4734">
              <w:t>Try Fishing Day</w:t>
            </w:r>
          </w:p>
        </w:tc>
        <w:tc>
          <w:tcPr>
            <w:tcW w:w="1276" w:type="dxa"/>
            <w:shd w:val="clear" w:color="auto" w:fill="DFEDF1"/>
            <w:noWrap/>
            <w:tcMar>
              <w:top w:w="57" w:type="dxa"/>
              <w:left w:w="57" w:type="dxa"/>
              <w:bottom w:w="57" w:type="dxa"/>
              <w:right w:w="142" w:type="dxa"/>
            </w:tcMar>
          </w:tcPr>
          <w:p w14:paraId="5E7F8CEE" w14:textId="77777777" w:rsidR="00390C5B" w:rsidRPr="001F4734" w:rsidRDefault="00390C5B" w:rsidP="00390C5B">
            <w:pPr>
              <w:pStyle w:val="8pttabletext"/>
              <w:jc w:val="right"/>
            </w:pPr>
            <w:r w:rsidRPr="001F4734">
              <w:t>$1,477.27</w:t>
            </w:r>
          </w:p>
        </w:tc>
        <w:tc>
          <w:tcPr>
            <w:tcW w:w="2126" w:type="dxa"/>
            <w:shd w:val="clear" w:color="auto" w:fill="auto"/>
            <w:tcMar>
              <w:top w:w="57" w:type="dxa"/>
              <w:left w:w="57" w:type="dxa"/>
              <w:bottom w:w="57" w:type="dxa"/>
            </w:tcMar>
          </w:tcPr>
          <w:p w14:paraId="5E4E5E80" w14:textId="77777777" w:rsidR="00390C5B" w:rsidRPr="001F4734" w:rsidRDefault="00390C5B" w:rsidP="00390C5B">
            <w:pPr>
              <w:pStyle w:val="8pttabletext"/>
            </w:pPr>
            <w:r w:rsidRPr="001F4734">
              <w:t>Bogong Outdoor Education Centre</w:t>
            </w:r>
          </w:p>
        </w:tc>
      </w:tr>
      <w:tr w:rsidR="00390C5B" w:rsidRPr="000222B5" w14:paraId="60A9CC6D" w14:textId="77777777" w:rsidTr="00390C5B">
        <w:trPr>
          <w:cantSplit/>
        </w:trPr>
        <w:tc>
          <w:tcPr>
            <w:tcW w:w="6186" w:type="dxa"/>
            <w:shd w:val="clear" w:color="auto" w:fill="auto"/>
            <w:tcMar>
              <w:top w:w="57" w:type="dxa"/>
              <w:left w:w="57" w:type="dxa"/>
              <w:bottom w:w="57" w:type="dxa"/>
            </w:tcMar>
          </w:tcPr>
          <w:p w14:paraId="425014F5" w14:textId="77777777" w:rsidR="00390C5B" w:rsidRPr="001F4734" w:rsidRDefault="00390C5B" w:rsidP="00390C5B">
            <w:pPr>
              <w:pStyle w:val="8pttabletext"/>
            </w:pPr>
            <w:r w:rsidRPr="001F4734">
              <w:t>NE Rivers access works information pamphlet</w:t>
            </w:r>
          </w:p>
        </w:tc>
        <w:tc>
          <w:tcPr>
            <w:tcW w:w="1276" w:type="dxa"/>
            <w:shd w:val="clear" w:color="auto" w:fill="DFEDF1"/>
            <w:noWrap/>
            <w:tcMar>
              <w:top w:w="57" w:type="dxa"/>
              <w:left w:w="57" w:type="dxa"/>
              <w:bottom w:w="57" w:type="dxa"/>
              <w:right w:w="142" w:type="dxa"/>
            </w:tcMar>
          </w:tcPr>
          <w:p w14:paraId="1540C051" w14:textId="77777777" w:rsidR="00390C5B" w:rsidRPr="001F4734" w:rsidRDefault="00390C5B" w:rsidP="00390C5B">
            <w:pPr>
              <w:pStyle w:val="8pttabletext"/>
              <w:jc w:val="right"/>
            </w:pPr>
            <w:r w:rsidRPr="001F4734">
              <w:t>$1,125.</w:t>
            </w:r>
            <w:r>
              <w:t>0</w:t>
            </w:r>
            <w:r w:rsidRPr="001F4734">
              <w:t>0</w:t>
            </w:r>
          </w:p>
        </w:tc>
        <w:tc>
          <w:tcPr>
            <w:tcW w:w="2126" w:type="dxa"/>
            <w:shd w:val="clear" w:color="auto" w:fill="auto"/>
            <w:tcMar>
              <w:top w:w="57" w:type="dxa"/>
              <w:left w:w="57" w:type="dxa"/>
              <w:bottom w:w="57" w:type="dxa"/>
            </w:tcMar>
          </w:tcPr>
          <w:p w14:paraId="701E9793" w14:textId="77777777" w:rsidR="00390C5B" w:rsidRPr="001F4734" w:rsidRDefault="00390C5B" w:rsidP="00390C5B">
            <w:pPr>
              <w:pStyle w:val="8pttabletext"/>
            </w:pPr>
            <w:r w:rsidRPr="001F4734">
              <w:t>Australian Trout Foundation Inc.</w:t>
            </w:r>
          </w:p>
        </w:tc>
      </w:tr>
      <w:tr w:rsidR="00390C5B" w:rsidRPr="000222B5" w14:paraId="676BB6F6" w14:textId="77777777" w:rsidTr="00390C5B">
        <w:trPr>
          <w:cantSplit/>
        </w:trPr>
        <w:tc>
          <w:tcPr>
            <w:tcW w:w="6186" w:type="dxa"/>
            <w:shd w:val="clear" w:color="auto" w:fill="auto"/>
            <w:tcMar>
              <w:top w:w="57" w:type="dxa"/>
              <w:left w:w="57" w:type="dxa"/>
              <w:bottom w:w="57" w:type="dxa"/>
            </w:tcMar>
          </w:tcPr>
          <w:p w14:paraId="6D144C55" w14:textId="77777777" w:rsidR="00390C5B" w:rsidRPr="001F4734" w:rsidRDefault="00390C5B" w:rsidP="00390C5B">
            <w:pPr>
              <w:pStyle w:val="8pttabletext"/>
            </w:pPr>
            <w:r w:rsidRPr="001F4734">
              <w:t>Kids Fishing Day</w:t>
            </w:r>
          </w:p>
        </w:tc>
        <w:tc>
          <w:tcPr>
            <w:tcW w:w="1276" w:type="dxa"/>
            <w:shd w:val="clear" w:color="auto" w:fill="DFEDF1"/>
            <w:noWrap/>
            <w:tcMar>
              <w:top w:w="57" w:type="dxa"/>
              <w:left w:w="57" w:type="dxa"/>
              <w:bottom w:w="57" w:type="dxa"/>
              <w:right w:w="142" w:type="dxa"/>
            </w:tcMar>
          </w:tcPr>
          <w:p w14:paraId="3EC157CF" w14:textId="77777777" w:rsidR="00390C5B" w:rsidRPr="001F4734" w:rsidRDefault="00390C5B" w:rsidP="00390C5B">
            <w:pPr>
              <w:pStyle w:val="8pttabletext"/>
              <w:jc w:val="right"/>
            </w:pPr>
            <w:r w:rsidRPr="001F4734">
              <w:t>$1,008.00</w:t>
            </w:r>
          </w:p>
        </w:tc>
        <w:tc>
          <w:tcPr>
            <w:tcW w:w="2126" w:type="dxa"/>
            <w:shd w:val="clear" w:color="auto" w:fill="auto"/>
            <w:tcMar>
              <w:top w:w="57" w:type="dxa"/>
              <w:left w:w="57" w:type="dxa"/>
              <w:bottom w:w="57" w:type="dxa"/>
            </w:tcMar>
          </w:tcPr>
          <w:p w14:paraId="1A526EA7" w14:textId="77777777" w:rsidR="00390C5B" w:rsidRPr="001F4734" w:rsidRDefault="00390C5B" w:rsidP="00390C5B">
            <w:pPr>
              <w:pStyle w:val="8pttabletext"/>
            </w:pPr>
            <w:r w:rsidRPr="001F4734">
              <w:t>Ballarat District Anglers Association</w:t>
            </w:r>
          </w:p>
        </w:tc>
      </w:tr>
      <w:tr w:rsidR="00390C5B" w:rsidRPr="000222B5" w14:paraId="4D6A8E7C" w14:textId="77777777" w:rsidTr="00390C5B">
        <w:trPr>
          <w:cantSplit/>
        </w:trPr>
        <w:tc>
          <w:tcPr>
            <w:tcW w:w="6186" w:type="dxa"/>
            <w:shd w:val="clear" w:color="auto" w:fill="auto"/>
            <w:tcMar>
              <w:top w:w="57" w:type="dxa"/>
              <w:left w:w="57" w:type="dxa"/>
              <w:bottom w:w="57" w:type="dxa"/>
            </w:tcMar>
          </w:tcPr>
          <w:p w14:paraId="2A56E159" w14:textId="77777777" w:rsidR="00390C5B" w:rsidRPr="001F4734" w:rsidRDefault="00390C5B" w:rsidP="00390C5B">
            <w:pPr>
              <w:pStyle w:val="8pttabletext"/>
            </w:pPr>
            <w:r w:rsidRPr="001F4734">
              <w:t>Know Your Limits signage</w:t>
            </w:r>
            <w:r w:rsidRPr="001F4734">
              <w:tab/>
            </w:r>
            <w:r w:rsidRPr="001F4734">
              <w:tab/>
            </w:r>
          </w:p>
        </w:tc>
        <w:tc>
          <w:tcPr>
            <w:tcW w:w="1276" w:type="dxa"/>
            <w:shd w:val="clear" w:color="auto" w:fill="DFEDF1"/>
            <w:noWrap/>
            <w:tcMar>
              <w:top w:w="57" w:type="dxa"/>
              <w:left w:w="57" w:type="dxa"/>
              <w:bottom w:w="57" w:type="dxa"/>
              <w:right w:w="142" w:type="dxa"/>
            </w:tcMar>
          </w:tcPr>
          <w:p w14:paraId="620FCEF9" w14:textId="77777777" w:rsidR="00390C5B" w:rsidRPr="001F4734" w:rsidRDefault="00390C5B" w:rsidP="00390C5B">
            <w:pPr>
              <w:pStyle w:val="8pttabletext"/>
              <w:jc w:val="right"/>
            </w:pPr>
            <w:r w:rsidRPr="001F4734">
              <w:t>$913.00</w:t>
            </w:r>
          </w:p>
        </w:tc>
        <w:tc>
          <w:tcPr>
            <w:tcW w:w="2126" w:type="dxa"/>
            <w:shd w:val="clear" w:color="auto" w:fill="auto"/>
            <w:tcMar>
              <w:top w:w="57" w:type="dxa"/>
              <w:left w:w="57" w:type="dxa"/>
              <w:bottom w:w="57" w:type="dxa"/>
            </w:tcMar>
          </w:tcPr>
          <w:p w14:paraId="138416C7" w14:textId="77777777" w:rsidR="00390C5B" w:rsidRPr="001F4734" w:rsidRDefault="00390C5B" w:rsidP="00390C5B">
            <w:pPr>
              <w:pStyle w:val="8pttabletext"/>
            </w:pPr>
            <w:r w:rsidRPr="001F4734">
              <w:t>Lake Purrumbete Angling Club</w:t>
            </w:r>
          </w:p>
        </w:tc>
      </w:tr>
      <w:tr w:rsidR="00390C5B" w:rsidRPr="000222B5" w14:paraId="3646734C" w14:textId="77777777" w:rsidTr="00390C5B">
        <w:trPr>
          <w:cantSplit/>
        </w:trPr>
        <w:tc>
          <w:tcPr>
            <w:tcW w:w="6186" w:type="dxa"/>
            <w:shd w:val="clear" w:color="auto" w:fill="auto"/>
            <w:tcMar>
              <w:top w:w="57" w:type="dxa"/>
              <w:left w:w="57" w:type="dxa"/>
              <w:bottom w:w="57" w:type="dxa"/>
            </w:tcMar>
          </w:tcPr>
          <w:p w14:paraId="0BE8FBC0" w14:textId="77777777" w:rsidR="00390C5B" w:rsidRPr="001F4734" w:rsidRDefault="00390C5B" w:rsidP="00390C5B">
            <w:pPr>
              <w:pStyle w:val="8pttabletext"/>
            </w:pPr>
            <w:r w:rsidRPr="001F4734">
              <w:t>Fishcare Fun Day</w:t>
            </w:r>
          </w:p>
        </w:tc>
        <w:tc>
          <w:tcPr>
            <w:tcW w:w="1276" w:type="dxa"/>
            <w:shd w:val="clear" w:color="auto" w:fill="DFEDF1"/>
            <w:noWrap/>
            <w:tcMar>
              <w:top w:w="57" w:type="dxa"/>
              <w:left w:w="57" w:type="dxa"/>
              <w:bottom w:w="57" w:type="dxa"/>
              <w:right w:w="142" w:type="dxa"/>
            </w:tcMar>
          </w:tcPr>
          <w:p w14:paraId="040E99EB" w14:textId="77777777" w:rsidR="00390C5B" w:rsidRPr="001F4734" w:rsidRDefault="00390C5B" w:rsidP="00390C5B">
            <w:pPr>
              <w:pStyle w:val="8pttabletext"/>
              <w:jc w:val="right"/>
            </w:pPr>
            <w:r w:rsidRPr="001F4734">
              <w:t>$900.00</w:t>
            </w:r>
          </w:p>
        </w:tc>
        <w:tc>
          <w:tcPr>
            <w:tcW w:w="2126" w:type="dxa"/>
            <w:shd w:val="clear" w:color="auto" w:fill="auto"/>
            <w:tcMar>
              <w:top w:w="57" w:type="dxa"/>
              <w:left w:w="57" w:type="dxa"/>
              <w:bottom w:w="57" w:type="dxa"/>
            </w:tcMar>
          </w:tcPr>
          <w:p w14:paraId="3F338372" w14:textId="77777777" w:rsidR="00390C5B" w:rsidRPr="001F4734" w:rsidRDefault="00390C5B" w:rsidP="00390C5B">
            <w:pPr>
              <w:pStyle w:val="8pttabletext"/>
            </w:pPr>
            <w:r w:rsidRPr="001F4734">
              <w:t>Bemm River Angling Club</w:t>
            </w:r>
          </w:p>
        </w:tc>
      </w:tr>
      <w:tr w:rsidR="00390C5B" w:rsidRPr="000222B5" w14:paraId="4397387C" w14:textId="77777777" w:rsidTr="00390C5B">
        <w:trPr>
          <w:cantSplit/>
        </w:trPr>
        <w:tc>
          <w:tcPr>
            <w:tcW w:w="6186" w:type="dxa"/>
            <w:shd w:val="clear" w:color="auto" w:fill="auto"/>
            <w:tcMar>
              <w:top w:w="57" w:type="dxa"/>
              <w:left w:w="57" w:type="dxa"/>
              <w:bottom w:w="57" w:type="dxa"/>
            </w:tcMar>
          </w:tcPr>
          <w:p w14:paraId="47C1FE01" w14:textId="77777777" w:rsidR="00390C5B" w:rsidRPr="001F4734" w:rsidRDefault="00390C5B" w:rsidP="00390C5B">
            <w:pPr>
              <w:pStyle w:val="8pttabletext"/>
            </w:pPr>
            <w:r w:rsidRPr="001F4734">
              <w:t>Footings for weigh gantry at Apollo Bay</w:t>
            </w:r>
          </w:p>
        </w:tc>
        <w:tc>
          <w:tcPr>
            <w:tcW w:w="1276" w:type="dxa"/>
            <w:shd w:val="clear" w:color="auto" w:fill="DFEDF1"/>
            <w:noWrap/>
            <w:tcMar>
              <w:top w:w="57" w:type="dxa"/>
              <w:left w:w="57" w:type="dxa"/>
              <w:bottom w:w="57" w:type="dxa"/>
              <w:right w:w="142" w:type="dxa"/>
            </w:tcMar>
          </w:tcPr>
          <w:p w14:paraId="783A4C91" w14:textId="77777777" w:rsidR="00390C5B" w:rsidRPr="001F4734" w:rsidRDefault="00390C5B" w:rsidP="00390C5B">
            <w:pPr>
              <w:pStyle w:val="8pttabletext"/>
              <w:jc w:val="right"/>
            </w:pPr>
            <w:r w:rsidRPr="001F4734">
              <w:t>$818.18</w:t>
            </w:r>
          </w:p>
        </w:tc>
        <w:tc>
          <w:tcPr>
            <w:tcW w:w="2126" w:type="dxa"/>
            <w:shd w:val="clear" w:color="auto" w:fill="auto"/>
            <w:tcMar>
              <w:top w:w="57" w:type="dxa"/>
              <w:left w:w="57" w:type="dxa"/>
              <w:bottom w:w="57" w:type="dxa"/>
            </w:tcMar>
          </w:tcPr>
          <w:p w14:paraId="6F985F91" w14:textId="77777777" w:rsidR="00390C5B" w:rsidRPr="001F4734" w:rsidRDefault="00390C5B" w:rsidP="00390C5B">
            <w:pPr>
              <w:pStyle w:val="8pttabletext"/>
            </w:pPr>
            <w:r w:rsidRPr="001F4734">
              <w:t>Association of Geelong &amp; District Angling Clubs Inc.</w:t>
            </w:r>
          </w:p>
        </w:tc>
      </w:tr>
      <w:tr w:rsidR="00390C5B" w:rsidRPr="000222B5" w14:paraId="13631807" w14:textId="77777777" w:rsidTr="00390C5B">
        <w:trPr>
          <w:cantSplit/>
        </w:trPr>
        <w:tc>
          <w:tcPr>
            <w:tcW w:w="6186" w:type="dxa"/>
            <w:shd w:val="clear" w:color="auto" w:fill="auto"/>
            <w:tcMar>
              <w:top w:w="57" w:type="dxa"/>
              <w:left w:w="57" w:type="dxa"/>
              <w:bottom w:w="57" w:type="dxa"/>
            </w:tcMar>
          </w:tcPr>
          <w:p w14:paraId="1B5EBBCD" w14:textId="77777777" w:rsidR="00390C5B" w:rsidRPr="001F4734" w:rsidRDefault="00390C5B" w:rsidP="00390C5B">
            <w:pPr>
              <w:pStyle w:val="8pttabletext"/>
            </w:pPr>
            <w:r w:rsidRPr="001F4734">
              <w:t>Come and Try Junior Fishing Event</w:t>
            </w:r>
          </w:p>
        </w:tc>
        <w:tc>
          <w:tcPr>
            <w:tcW w:w="1276" w:type="dxa"/>
            <w:shd w:val="clear" w:color="auto" w:fill="DFEDF1"/>
            <w:noWrap/>
            <w:tcMar>
              <w:top w:w="57" w:type="dxa"/>
              <w:left w:w="57" w:type="dxa"/>
              <w:bottom w:w="57" w:type="dxa"/>
              <w:right w:w="142" w:type="dxa"/>
            </w:tcMar>
          </w:tcPr>
          <w:p w14:paraId="1C575748" w14:textId="77777777" w:rsidR="00390C5B" w:rsidRPr="001F4734" w:rsidRDefault="00390C5B" w:rsidP="00390C5B">
            <w:pPr>
              <w:pStyle w:val="8pttabletext"/>
              <w:jc w:val="right"/>
            </w:pPr>
            <w:r w:rsidRPr="001F4734">
              <w:t>$632.00</w:t>
            </w:r>
          </w:p>
        </w:tc>
        <w:tc>
          <w:tcPr>
            <w:tcW w:w="2126" w:type="dxa"/>
            <w:shd w:val="clear" w:color="auto" w:fill="auto"/>
            <w:tcMar>
              <w:top w:w="57" w:type="dxa"/>
              <w:left w:w="57" w:type="dxa"/>
              <w:bottom w:w="57" w:type="dxa"/>
            </w:tcMar>
          </w:tcPr>
          <w:p w14:paraId="5DBC1449" w14:textId="77777777" w:rsidR="00390C5B" w:rsidRPr="001F4734" w:rsidRDefault="00390C5B" w:rsidP="00390C5B">
            <w:pPr>
              <w:pStyle w:val="8pttabletext"/>
            </w:pPr>
            <w:r w:rsidRPr="001F4734">
              <w:t>Donald Angling Club</w:t>
            </w:r>
          </w:p>
        </w:tc>
      </w:tr>
      <w:tr w:rsidR="00390C5B" w:rsidRPr="000222B5" w14:paraId="3F869268" w14:textId="77777777" w:rsidTr="00390C5B">
        <w:trPr>
          <w:cantSplit/>
        </w:trPr>
        <w:tc>
          <w:tcPr>
            <w:tcW w:w="6186" w:type="dxa"/>
            <w:shd w:val="clear" w:color="auto" w:fill="auto"/>
            <w:tcMar>
              <w:top w:w="57" w:type="dxa"/>
              <w:left w:w="57" w:type="dxa"/>
              <w:bottom w:w="57" w:type="dxa"/>
            </w:tcMar>
          </w:tcPr>
          <w:p w14:paraId="5B9D8069" w14:textId="77777777" w:rsidR="00390C5B" w:rsidRPr="001F4734" w:rsidRDefault="00390C5B" w:rsidP="00390C5B">
            <w:pPr>
              <w:pStyle w:val="8pttabletext"/>
            </w:pPr>
            <w:r w:rsidRPr="001F4734">
              <w:t>Junior Angler Workshop</w:t>
            </w:r>
          </w:p>
        </w:tc>
        <w:tc>
          <w:tcPr>
            <w:tcW w:w="1276" w:type="dxa"/>
            <w:shd w:val="clear" w:color="auto" w:fill="DFEDF1"/>
            <w:noWrap/>
            <w:tcMar>
              <w:top w:w="57" w:type="dxa"/>
              <w:left w:w="57" w:type="dxa"/>
              <w:bottom w:w="57" w:type="dxa"/>
              <w:right w:w="142" w:type="dxa"/>
            </w:tcMar>
          </w:tcPr>
          <w:p w14:paraId="44541B01" w14:textId="77777777" w:rsidR="00390C5B" w:rsidRPr="001F4734" w:rsidRDefault="00390C5B" w:rsidP="00390C5B">
            <w:pPr>
              <w:pStyle w:val="8pttabletext"/>
              <w:jc w:val="right"/>
            </w:pPr>
            <w:r w:rsidRPr="001F4734">
              <w:t>$540.00</w:t>
            </w:r>
          </w:p>
        </w:tc>
        <w:tc>
          <w:tcPr>
            <w:tcW w:w="2126" w:type="dxa"/>
            <w:shd w:val="clear" w:color="auto" w:fill="auto"/>
            <w:tcMar>
              <w:top w:w="57" w:type="dxa"/>
              <w:left w:w="57" w:type="dxa"/>
              <w:bottom w:w="57" w:type="dxa"/>
            </w:tcMar>
          </w:tcPr>
          <w:p w14:paraId="699CCD8D" w14:textId="77777777" w:rsidR="00390C5B" w:rsidRPr="001F4734" w:rsidRDefault="00390C5B" w:rsidP="00390C5B">
            <w:pPr>
              <w:pStyle w:val="8pttabletext"/>
            </w:pPr>
            <w:r w:rsidRPr="001F4734">
              <w:t>Twin Rivers Business &amp; Tourism Association</w:t>
            </w:r>
          </w:p>
        </w:tc>
      </w:tr>
      <w:tr w:rsidR="00390C5B" w:rsidRPr="000222B5" w14:paraId="1C403835" w14:textId="77777777" w:rsidTr="00390C5B">
        <w:trPr>
          <w:cantSplit/>
        </w:trPr>
        <w:tc>
          <w:tcPr>
            <w:tcW w:w="6186" w:type="dxa"/>
            <w:shd w:val="clear" w:color="auto" w:fill="auto"/>
            <w:tcMar>
              <w:top w:w="57" w:type="dxa"/>
              <w:left w:w="57" w:type="dxa"/>
              <w:bottom w:w="57" w:type="dxa"/>
            </w:tcMar>
          </w:tcPr>
          <w:p w14:paraId="28AB871C" w14:textId="77777777" w:rsidR="00390C5B" w:rsidRPr="001F4734" w:rsidRDefault="00390C5B" w:rsidP="00390C5B">
            <w:pPr>
              <w:pStyle w:val="8pttabletext"/>
            </w:pPr>
            <w:r w:rsidRPr="001F4734">
              <w:t>Come and Try Fishing Weekend</w:t>
            </w:r>
          </w:p>
        </w:tc>
        <w:tc>
          <w:tcPr>
            <w:tcW w:w="1276" w:type="dxa"/>
            <w:shd w:val="clear" w:color="auto" w:fill="DFEDF1"/>
            <w:noWrap/>
            <w:tcMar>
              <w:top w:w="57" w:type="dxa"/>
              <w:left w:w="57" w:type="dxa"/>
              <w:bottom w:w="57" w:type="dxa"/>
              <w:right w:w="142" w:type="dxa"/>
            </w:tcMar>
          </w:tcPr>
          <w:p w14:paraId="576B0327" w14:textId="77777777" w:rsidR="00390C5B" w:rsidRPr="001F4734" w:rsidRDefault="00390C5B" w:rsidP="00390C5B">
            <w:pPr>
              <w:pStyle w:val="8pttabletext"/>
              <w:jc w:val="right"/>
            </w:pPr>
            <w:r w:rsidRPr="001F4734">
              <w:t>$400.00</w:t>
            </w:r>
          </w:p>
        </w:tc>
        <w:tc>
          <w:tcPr>
            <w:tcW w:w="2126" w:type="dxa"/>
            <w:shd w:val="clear" w:color="auto" w:fill="auto"/>
            <w:tcMar>
              <w:top w:w="57" w:type="dxa"/>
              <w:left w:w="57" w:type="dxa"/>
              <w:bottom w:w="57" w:type="dxa"/>
            </w:tcMar>
          </w:tcPr>
          <w:p w14:paraId="3F64E209" w14:textId="77777777" w:rsidR="00390C5B" w:rsidRPr="001F4734" w:rsidRDefault="00390C5B" w:rsidP="00390C5B">
            <w:pPr>
              <w:pStyle w:val="8pttabletext"/>
            </w:pPr>
            <w:r w:rsidRPr="001F4734">
              <w:t>Dunlop Bayswater Angling Club</w:t>
            </w:r>
          </w:p>
        </w:tc>
      </w:tr>
      <w:tr w:rsidR="00390C5B" w:rsidRPr="000222B5" w14:paraId="280ECE9C" w14:textId="77777777" w:rsidTr="00390C5B">
        <w:trPr>
          <w:cantSplit/>
        </w:trPr>
        <w:tc>
          <w:tcPr>
            <w:tcW w:w="6186" w:type="dxa"/>
            <w:shd w:val="clear" w:color="auto" w:fill="auto"/>
            <w:tcMar>
              <w:top w:w="57" w:type="dxa"/>
              <w:left w:w="57" w:type="dxa"/>
              <w:bottom w:w="57" w:type="dxa"/>
            </w:tcMar>
          </w:tcPr>
          <w:p w14:paraId="66B900EC" w14:textId="77777777" w:rsidR="00390C5B" w:rsidRPr="001F4734" w:rsidRDefault="00390C5B" w:rsidP="00390C5B">
            <w:pPr>
              <w:pStyle w:val="8pttabletext"/>
            </w:pPr>
            <w:r w:rsidRPr="001F4734">
              <w:t>Come and Try Fishing Family Day</w:t>
            </w:r>
          </w:p>
        </w:tc>
        <w:tc>
          <w:tcPr>
            <w:tcW w:w="1276" w:type="dxa"/>
            <w:shd w:val="clear" w:color="auto" w:fill="DFEDF1"/>
            <w:noWrap/>
            <w:tcMar>
              <w:top w:w="57" w:type="dxa"/>
              <w:left w:w="57" w:type="dxa"/>
              <w:bottom w:w="57" w:type="dxa"/>
              <w:right w:w="142" w:type="dxa"/>
            </w:tcMar>
          </w:tcPr>
          <w:p w14:paraId="62655C5D" w14:textId="77777777" w:rsidR="00390C5B" w:rsidRPr="001F4734" w:rsidRDefault="00390C5B" w:rsidP="00390C5B">
            <w:pPr>
              <w:pStyle w:val="8pttabletext"/>
              <w:jc w:val="right"/>
            </w:pPr>
            <w:r w:rsidRPr="001F4734">
              <w:t>$400.00</w:t>
            </w:r>
          </w:p>
        </w:tc>
        <w:tc>
          <w:tcPr>
            <w:tcW w:w="2126" w:type="dxa"/>
            <w:shd w:val="clear" w:color="auto" w:fill="auto"/>
            <w:tcMar>
              <w:top w:w="57" w:type="dxa"/>
              <w:left w:w="57" w:type="dxa"/>
              <w:bottom w:w="57" w:type="dxa"/>
            </w:tcMar>
          </w:tcPr>
          <w:p w14:paraId="65953493" w14:textId="77777777" w:rsidR="00390C5B" w:rsidRPr="001F4734" w:rsidRDefault="00390C5B" w:rsidP="00390C5B">
            <w:pPr>
              <w:pStyle w:val="8pttabletext"/>
            </w:pPr>
            <w:r w:rsidRPr="001F4734">
              <w:t>Fishcare South West Inc.</w:t>
            </w:r>
          </w:p>
        </w:tc>
      </w:tr>
      <w:tr w:rsidR="00390C5B" w:rsidRPr="000222B5" w14:paraId="19087171" w14:textId="77777777" w:rsidTr="00390C5B">
        <w:trPr>
          <w:cantSplit/>
        </w:trPr>
        <w:tc>
          <w:tcPr>
            <w:tcW w:w="6186" w:type="dxa"/>
            <w:shd w:val="clear" w:color="auto" w:fill="auto"/>
            <w:tcMar>
              <w:top w:w="57" w:type="dxa"/>
              <w:left w:w="57" w:type="dxa"/>
              <w:bottom w:w="57" w:type="dxa"/>
            </w:tcMar>
          </w:tcPr>
          <w:p w14:paraId="5B18FD07" w14:textId="77777777" w:rsidR="00390C5B" w:rsidRPr="000222B5" w:rsidRDefault="00390C5B" w:rsidP="00390C5B">
            <w:pPr>
              <w:pStyle w:val="8pttabletext"/>
              <w:rPr>
                <w:sz w:val="18"/>
                <w:szCs w:val="24"/>
              </w:rPr>
            </w:pPr>
            <w:r w:rsidRPr="000222B5">
              <w:rPr>
                <w:b/>
              </w:rPr>
              <w:t>Sub-Total</w:t>
            </w:r>
          </w:p>
        </w:tc>
        <w:tc>
          <w:tcPr>
            <w:tcW w:w="1276" w:type="dxa"/>
            <w:shd w:val="clear" w:color="auto" w:fill="auto"/>
            <w:noWrap/>
            <w:tcMar>
              <w:top w:w="57" w:type="dxa"/>
              <w:left w:w="57" w:type="dxa"/>
              <w:bottom w:w="57" w:type="dxa"/>
              <w:right w:w="142" w:type="dxa"/>
            </w:tcMar>
          </w:tcPr>
          <w:p w14:paraId="68AFE4E2" w14:textId="77777777" w:rsidR="00390C5B" w:rsidRPr="00F63F59" w:rsidRDefault="00390C5B" w:rsidP="00390C5B">
            <w:pPr>
              <w:pStyle w:val="8pttabletext"/>
              <w:jc w:val="right"/>
              <w:rPr>
                <w:b/>
              </w:rPr>
            </w:pPr>
            <w:r w:rsidRPr="001F4734">
              <w:rPr>
                <w:b/>
              </w:rPr>
              <w:t>$11</w:t>
            </w:r>
            <w:r>
              <w:rPr>
                <w:b/>
              </w:rPr>
              <w:t>7</w:t>
            </w:r>
            <w:r w:rsidRPr="001F4734">
              <w:rPr>
                <w:b/>
              </w:rPr>
              <w:t>,</w:t>
            </w:r>
            <w:r>
              <w:rPr>
                <w:b/>
              </w:rPr>
              <w:t>614</w:t>
            </w:r>
            <w:r w:rsidRPr="001F4734">
              <w:rPr>
                <w:b/>
              </w:rPr>
              <w:t>.0</w:t>
            </w:r>
            <w:r>
              <w:rPr>
                <w:b/>
              </w:rPr>
              <w:t>8</w:t>
            </w:r>
          </w:p>
        </w:tc>
        <w:tc>
          <w:tcPr>
            <w:tcW w:w="2126" w:type="dxa"/>
            <w:shd w:val="clear" w:color="auto" w:fill="auto"/>
            <w:tcMar>
              <w:top w:w="57" w:type="dxa"/>
              <w:left w:w="57" w:type="dxa"/>
              <w:bottom w:w="57" w:type="dxa"/>
            </w:tcMar>
          </w:tcPr>
          <w:p w14:paraId="3EECAF28" w14:textId="77777777" w:rsidR="00390C5B" w:rsidRPr="000222B5" w:rsidRDefault="00390C5B" w:rsidP="00390C5B">
            <w:pPr>
              <w:pStyle w:val="8pttabletext"/>
            </w:pPr>
          </w:p>
        </w:tc>
      </w:tr>
      <w:tr w:rsidR="00390C5B" w:rsidRPr="00C65BFD" w14:paraId="0FB114E4" w14:textId="77777777" w:rsidTr="00390C5B">
        <w:trPr>
          <w:cantSplit/>
        </w:trPr>
        <w:tc>
          <w:tcPr>
            <w:tcW w:w="6186" w:type="dxa"/>
            <w:shd w:val="clear" w:color="auto" w:fill="auto"/>
            <w:tcMar>
              <w:top w:w="57" w:type="dxa"/>
              <w:left w:w="57" w:type="dxa"/>
              <w:bottom w:w="57" w:type="dxa"/>
            </w:tcMar>
          </w:tcPr>
          <w:p w14:paraId="73F4C2B5" w14:textId="77777777" w:rsidR="00390C5B" w:rsidRPr="000222B5" w:rsidRDefault="00390C5B" w:rsidP="00390C5B">
            <w:pPr>
              <w:pStyle w:val="8pttabletext"/>
              <w:rPr>
                <w:b/>
                <w:bCs/>
              </w:rPr>
            </w:pPr>
            <w:r w:rsidRPr="000222B5">
              <w:rPr>
                <w:b/>
                <w:bCs/>
              </w:rPr>
              <w:t>Disbursements net of GST</w:t>
            </w:r>
          </w:p>
        </w:tc>
        <w:tc>
          <w:tcPr>
            <w:tcW w:w="1276" w:type="dxa"/>
            <w:shd w:val="clear" w:color="auto" w:fill="auto"/>
            <w:noWrap/>
            <w:tcMar>
              <w:top w:w="57" w:type="dxa"/>
              <w:left w:w="57" w:type="dxa"/>
              <w:bottom w:w="57" w:type="dxa"/>
              <w:right w:w="142" w:type="dxa"/>
            </w:tcMar>
          </w:tcPr>
          <w:p w14:paraId="0FDE7E9C" w14:textId="77777777" w:rsidR="00390C5B" w:rsidRPr="00F63F59" w:rsidRDefault="00390C5B" w:rsidP="00390C5B">
            <w:pPr>
              <w:pStyle w:val="8pttabletext"/>
              <w:jc w:val="right"/>
              <w:rPr>
                <w:b/>
                <w:bCs/>
              </w:rPr>
            </w:pPr>
            <w:r w:rsidRPr="003D5370">
              <w:rPr>
                <w:b/>
                <w:bCs/>
              </w:rPr>
              <w:t>$2,245,023.43</w:t>
            </w:r>
          </w:p>
        </w:tc>
        <w:tc>
          <w:tcPr>
            <w:tcW w:w="2126" w:type="dxa"/>
            <w:shd w:val="clear" w:color="auto" w:fill="auto"/>
            <w:tcMar>
              <w:top w:w="57" w:type="dxa"/>
              <w:left w:w="57" w:type="dxa"/>
              <w:bottom w:w="57" w:type="dxa"/>
            </w:tcMar>
          </w:tcPr>
          <w:p w14:paraId="65ABED07" w14:textId="77777777" w:rsidR="00390C5B" w:rsidRPr="000222B5" w:rsidRDefault="00390C5B" w:rsidP="00390C5B">
            <w:pPr>
              <w:pStyle w:val="8pttabletext"/>
              <w:rPr>
                <w:b/>
                <w:bCs/>
              </w:rPr>
            </w:pPr>
            <w:r w:rsidRPr="000222B5">
              <w:rPr>
                <w:b/>
                <w:bCs/>
              </w:rPr>
              <w:t> </w:t>
            </w:r>
          </w:p>
        </w:tc>
      </w:tr>
    </w:tbl>
    <w:p w14:paraId="177B1F29" w14:textId="77777777" w:rsidR="00184666" w:rsidRDefault="000E0CD0" w:rsidP="00390C5B">
      <w:pPr>
        <w:pStyle w:val="HB"/>
        <w:rPr>
          <w:rFonts w:eastAsiaTheme="minorEastAsia"/>
        </w:rPr>
        <w:sectPr w:rsidR="00184666" w:rsidSect="00F3009D">
          <w:headerReference w:type="even" r:id="rId75"/>
          <w:headerReference w:type="default" r:id="rId76"/>
          <w:pgSz w:w="11906" w:h="16838"/>
          <w:pgMar w:top="1440" w:right="1440" w:bottom="1440" w:left="1440" w:header="708" w:footer="708" w:gutter="0"/>
          <w:cols w:space="708"/>
          <w:docGrid w:linePitch="360"/>
        </w:sectPr>
      </w:pPr>
      <w:r w:rsidRPr="009822B6">
        <w:br/>
      </w:r>
    </w:p>
    <w:p w14:paraId="69672170" w14:textId="77777777" w:rsidR="000E0CD0" w:rsidRDefault="000E0CD0" w:rsidP="000E0CD0">
      <w:pPr>
        <w:pStyle w:val="HB"/>
      </w:pPr>
      <w:bookmarkStart w:id="40" w:name="_Toc441733994"/>
      <w:r w:rsidRPr="00A64EEB">
        <w:rPr>
          <w:rFonts w:eastAsiaTheme="minorEastAsia"/>
        </w:rPr>
        <w:t>Attachment</w:t>
      </w:r>
      <w:r>
        <w:t xml:space="preserve"> </w:t>
      </w:r>
      <w:r w:rsidR="00390C5B">
        <w:t>C</w:t>
      </w:r>
      <w:r>
        <w:t xml:space="preserve">: </w:t>
      </w:r>
      <w:r w:rsidRPr="009822B6">
        <w:t xml:space="preserve"> </w:t>
      </w:r>
      <w:r w:rsidRPr="00B20C1D">
        <w:t>201</w:t>
      </w:r>
      <w:r w:rsidR="006D502A">
        <w:t>4</w:t>
      </w:r>
      <w:r w:rsidRPr="00B20C1D">
        <w:t>/1</w:t>
      </w:r>
      <w:r w:rsidR="006D502A">
        <w:t>5</w:t>
      </w:r>
      <w:r w:rsidRPr="00B20C1D">
        <w:t xml:space="preserve"> Recreational Fishing (Large) Grants Program </w:t>
      </w:r>
      <w:r>
        <w:t>–</w:t>
      </w:r>
      <w:r w:rsidRPr="00B20C1D">
        <w:t xml:space="preserve"> </w:t>
      </w:r>
      <w:r w:rsidR="00F753EE">
        <w:t>data on</w:t>
      </w:r>
      <w:r>
        <w:t xml:space="preserve"> </w:t>
      </w:r>
      <w:r w:rsidRPr="00B20C1D">
        <w:t>projects not funded</w:t>
      </w:r>
      <w:bookmarkEnd w:id="40"/>
    </w:p>
    <w:p w14:paraId="347AB2B6" w14:textId="77777777" w:rsidR="005A6549" w:rsidRDefault="005A6549" w:rsidP="00543CB6">
      <w:pPr>
        <w:pStyle w:val="Body"/>
      </w:pPr>
    </w:p>
    <w:p w14:paraId="6226AE9B" w14:textId="77777777" w:rsidR="005956BF" w:rsidRPr="00B20C1D" w:rsidRDefault="005956BF" w:rsidP="00543CB6">
      <w:pPr>
        <w:pStyle w:val="Body"/>
      </w:pPr>
      <w:r w:rsidRPr="00B20C1D">
        <w:t xml:space="preserve">The following table lists </w:t>
      </w:r>
      <w:r w:rsidR="00F753EE">
        <w:t xml:space="preserve">the number of applications and total values of project application made in </w:t>
      </w:r>
      <w:r w:rsidRPr="00B20C1D">
        <w:t>201</w:t>
      </w:r>
      <w:r w:rsidR="00390C5B">
        <w:t>4/15</w:t>
      </w:r>
      <w:r w:rsidRPr="00B20C1D">
        <w:t xml:space="preserve"> </w:t>
      </w:r>
      <w:r w:rsidR="00F753EE">
        <w:t>that were</w:t>
      </w:r>
      <w:r w:rsidRPr="00B20C1D">
        <w:t xml:space="preserve"> assessed as having a net benefit to the sector, but there was insufficient funding available. </w:t>
      </w:r>
      <w:r w:rsidR="00F753EE">
        <w:t>The department considers this shows the indicative scale of additional projects that could be funded in the future that would have an overall net benefit.</w:t>
      </w:r>
    </w:p>
    <w:tbl>
      <w:tblPr>
        <w:tblStyle w:val="MediumShading1-Accent1"/>
        <w:tblW w:w="9654" w:type="dxa"/>
        <w:tblLook w:val="04A0" w:firstRow="1" w:lastRow="0" w:firstColumn="1" w:lastColumn="0" w:noHBand="0" w:noVBand="1"/>
      </w:tblPr>
      <w:tblGrid>
        <w:gridCol w:w="2660"/>
        <w:gridCol w:w="2693"/>
        <w:gridCol w:w="4301"/>
      </w:tblGrid>
      <w:tr w:rsidR="004E444C" w:rsidRPr="00080D53" w14:paraId="1B0DBC80" w14:textId="77777777" w:rsidTr="00FF2C4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60" w:type="dxa"/>
            <w:hideMark/>
          </w:tcPr>
          <w:p w14:paraId="01055CE2" w14:textId="77777777" w:rsidR="004E444C" w:rsidRPr="00B20C1D" w:rsidRDefault="004E444C" w:rsidP="006C6C78">
            <w:r w:rsidRPr="00B20C1D">
              <w:t>Project Category</w:t>
            </w:r>
          </w:p>
        </w:tc>
        <w:tc>
          <w:tcPr>
            <w:tcW w:w="2693" w:type="dxa"/>
            <w:hideMark/>
          </w:tcPr>
          <w:p w14:paraId="45C90525" w14:textId="77777777" w:rsidR="004E444C" w:rsidRPr="00B20C1D" w:rsidRDefault="00F753EE" w:rsidP="00F753EE">
            <w:pPr>
              <w:cnfStyle w:val="100000000000" w:firstRow="1" w:lastRow="0" w:firstColumn="0" w:lastColumn="0" w:oddVBand="0" w:evenVBand="0" w:oddHBand="0" w:evenHBand="0" w:firstRowFirstColumn="0" w:firstRowLastColumn="0" w:lastRowFirstColumn="0" w:lastRowLastColumn="0"/>
            </w:pPr>
            <w:r>
              <w:t>Number of projects not funded</w:t>
            </w:r>
          </w:p>
        </w:tc>
        <w:tc>
          <w:tcPr>
            <w:tcW w:w="4301" w:type="dxa"/>
            <w:hideMark/>
          </w:tcPr>
          <w:p w14:paraId="4BD73B60" w14:textId="77777777" w:rsidR="004E444C" w:rsidRPr="00B20C1D" w:rsidRDefault="004E444C" w:rsidP="00FF2C43">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20C1D">
              <w:t>Total $ sought (GST inc)</w:t>
            </w:r>
          </w:p>
        </w:tc>
      </w:tr>
      <w:tr w:rsidR="00F753EE" w:rsidRPr="00980C67" w14:paraId="7DB3729F" w14:textId="77777777" w:rsidTr="00FF2C4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60" w:type="dxa"/>
          </w:tcPr>
          <w:p w14:paraId="7905402E" w14:textId="77777777" w:rsidR="00F753EE" w:rsidRPr="00B20C1D" w:rsidRDefault="00F753EE" w:rsidP="006C6C78">
            <w:r w:rsidRPr="00B20C1D">
              <w:t>Education, Information &amp; training</w:t>
            </w:r>
          </w:p>
        </w:tc>
        <w:tc>
          <w:tcPr>
            <w:tcW w:w="2693" w:type="dxa"/>
          </w:tcPr>
          <w:p w14:paraId="597C2211" w14:textId="77777777" w:rsidR="00F753EE" w:rsidRPr="00B20C1D" w:rsidRDefault="00671F23" w:rsidP="00671F23">
            <w:pPr>
              <w:jc w:val="center"/>
              <w:cnfStyle w:val="000000100000" w:firstRow="0" w:lastRow="0" w:firstColumn="0" w:lastColumn="0" w:oddVBand="0" w:evenVBand="0" w:oddHBand="1" w:evenHBand="0" w:firstRowFirstColumn="0" w:firstRowLastColumn="0" w:lastRowFirstColumn="0" w:lastRowLastColumn="0"/>
            </w:pPr>
            <w:r>
              <w:t>2</w:t>
            </w:r>
          </w:p>
        </w:tc>
        <w:tc>
          <w:tcPr>
            <w:tcW w:w="4301" w:type="dxa"/>
          </w:tcPr>
          <w:p w14:paraId="0A33BBAC" w14:textId="77777777" w:rsidR="00F753EE" w:rsidRPr="00B20C1D" w:rsidRDefault="00671F23" w:rsidP="00671F23">
            <w:pPr>
              <w:ind w:right="649"/>
              <w:jc w:val="right"/>
              <w:cnfStyle w:val="000000100000" w:firstRow="0" w:lastRow="0" w:firstColumn="0" w:lastColumn="0" w:oddVBand="0" w:evenVBand="0" w:oddHBand="1" w:evenHBand="0" w:firstRowFirstColumn="0" w:firstRowLastColumn="0" w:lastRowFirstColumn="0" w:lastRowLastColumn="0"/>
            </w:pPr>
            <w:r>
              <w:rPr>
                <w:rFonts w:cs="Times New Roman"/>
              </w:rPr>
              <w:t>$67,562</w:t>
            </w:r>
          </w:p>
        </w:tc>
      </w:tr>
      <w:tr w:rsidR="00F753EE" w:rsidRPr="00980C67" w14:paraId="5E1AEA06" w14:textId="77777777" w:rsidTr="00FF2C43">
        <w:trPr>
          <w:cnfStyle w:val="000000010000" w:firstRow="0" w:lastRow="0" w:firstColumn="0" w:lastColumn="0" w:oddVBand="0" w:evenVBand="0" w:oddHBand="0" w:evenHBand="1"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60" w:type="dxa"/>
          </w:tcPr>
          <w:p w14:paraId="6841465B" w14:textId="77777777" w:rsidR="00F753EE" w:rsidRPr="00B20C1D" w:rsidRDefault="00F753EE" w:rsidP="006C6C78">
            <w:r w:rsidRPr="00B20C1D">
              <w:t>Access &amp; Facilities</w:t>
            </w:r>
          </w:p>
        </w:tc>
        <w:tc>
          <w:tcPr>
            <w:tcW w:w="2693" w:type="dxa"/>
          </w:tcPr>
          <w:p w14:paraId="2B34EFFF" w14:textId="77777777" w:rsidR="00F753EE" w:rsidRPr="00B20C1D" w:rsidRDefault="00671F23" w:rsidP="00671F23">
            <w:pPr>
              <w:jc w:val="center"/>
              <w:cnfStyle w:val="000000010000" w:firstRow="0" w:lastRow="0" w:firstColumn="0" w:lastColumn="0" w:oddVBand="0" w:evenVBand="0" w:oddHBand="0" w:evenHBand="1" w:firstRowFirstColumn="0" w:firstRowLastColumn="0" w:lastRowFirstColumn="0" w:lastRowLastColumn="0"/>
            </w:pPr>
            <w:r>
              <w:t>9</w:t>
            </w:r>
          </w:p>
        </w:tc>
        <w:tc>
          <w:tcPr>
            <w:tcW w:w="4301" w:type="dxa"/>
          </w:tcPr>
          <w:p w14:paraId="28E7C26F" w14:textId="77777777" w:rsidR="00F753EE" w:rsidRPr="00B20C1D" w:rsidRDefault="00671F23" w:rsidP="00671F23">
            <w:pPr>
              <w:ind w:right="649"/>
              <w:jc w:val="right"/>
              <w:cnfStyle w:val="000000010000" w:firstRow="0" w:lastRow="0" w:firstColumn="0" w:lastColumn="0" w:oddVBand="0" w:evenVBand="0" w:oddHBand="0" w:evenHBand="1" w:firstRowFirstColumn="0" w:firstRowLastColumn="0" w:lastRowFirstColumn="0" w:lastRowLastColumn="0"/>
            </w:pPr>
            <w:r>
              <w:rPr>
                <w:rFonts w:cs="Times New Roman"/>
              </w:rPr>
              <w:t>$887,076</w:t>
            </w:r>
          </w:p>
        </w:tc>
      </w:tr>
      <w:tr w:rsidR="00F753EE" w:rsidRPr="00980C67" w14:paraId="65D9E335" w14:textId="77777777" w:rsidTr="00FF2C4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60" w:type="dxa"/>
          </w:tcPr>
          <w:p w14:paraId="4990CFE1" w14:textId="77777777" w:rsidR="00F753EE" w:rsidRPr="00B20C1D" w:rsidRDefault="00F753EE" w:rsidP="006C6C78">
            <w:r w:rsidRPr="00B20C1D">
              <w:t>Research</w:t>
            </w:r>
          </w:p>
        </w:tc>
        <w:tc>
          <w:tcPr>
            <w:tcW w:w="2693" w:type="dxa"/>
          </w:tcPr>
          <w:p w14:paraId="5383D390" w14:textId="77777777" w:rsidR="00F753EE" w:rsidRPr="00B20C1D" w:rsidRDefault="00671F23" w:rsidP="00671F23">
            <w:pPr>
              <w:jc w:val="center"/>
              <w:cnfStyle w:val="000000100000" w:firstRow="0" w:lastRow="0" w:firstColumn="0" w:lastColumn="0" w:oddVBand="0" w:evenVBand="0" w:oddHBand="1" w:evenHBand="0" w:firstRowFirstColumn="0" w:firstRowLastColumn="0" w:lastRowFirstColumn="0" w:lastRowLastColumn="0"/>
            </w:pPr>
            <w:r>
              <w:t>6</w:t>
            </w:r>
          </w:p>
        </w:tc>
        <w:tc>
          <w:tcPr>
            <w:tcW w:w="4301" w:type="dxa"/>
          </w:tcPr>
          <w:p w14:paraId="03581994" w14:textId="77777777" w:rsidR="00F753EE" w:rsidRPr="00B20C1D" w:rsidRDefault="00671F23" w:rsidP="00671F23">
            <w:pPr>
              <w:ind w:right="649"/>
              <w:jc w:val="right"/>
              <w:cnfStyle w:val="000000100000" w:firstRow="0" w:lastRow="0" w:firstColumn="0" w:lastColumn="0" w:oddVBand="0" w:evenVBand="0" w:oddHBand="1" w:evenHBand="0" w:firstRowFirstColumn="0" w:firstRowLastColumn="0" w:lastRowFirstColumn="0" w:lastRowLastColumn="0"/>
            </w:pPr>
            <w:r>
              <w:rPr>
                <w:rFonts w:cs="Times New Roman"/>
              </w:rPr>
              <w:t>$518,084</w:t>
            </w:r>
          </w:p>
        </w:tc>
      </w:tr>
      <w:tr w:rsidR="00F753EE" w:rsidRPr="00980C67" w14:paraId="1C867977" w14:textId="77777777" w:rsidTr="00FF2C43">
        <w:trPr>
          <w:cnfStyle w:val="000000010000" w:firstRow="0" w:lastRow="0" w:firstColumn="0" w:lastColumn="0" w:oddVBand="0" w:evenVBand="0" w:oddHBand="0" w:evenHBand="1"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60" w:type="dxa"/>
          </w:tcPr>
          <w:p w14:paraId="72EE5B0B" w14:textId="77777777" w:rsidR="00F753EE" w:rsidRPr="00B20C1D" w:rsidRDefault="00F753EE" w:rsidP="006C6C78">
            <w:r w:rsidRPr="00B20C1D">
              <w:t>Sustainability &amp; Habitat Improvement</w:t>
            </w:r>
          </w:p>
        </w:tc>
        <w:tc>
          <w:tcPr>
            <w:tcW w:w="2693" w:type="dxa"/>
          </w:tcPr>
          <w:p w14:paraId="3D279953" w14:textId="77777777" w:rsidR="00F753EE" w:rsidRPr="00B20C1D" w:rsidRDefault="00671F23" w:rsidP="00671F23">
            <w:pPr>
              <w:jc w:val="center"/>
              <w:cnfStyle w:val="000000010000" w:firstRow="0" w:lastRow="0" w:firstColumn="0" w:lastColumn="0" w:oddVBand="0" w:evenVBand="0" w:oddHBand="0" w:evenHBand="1" w:firstRowFirstColumn="0" w:firstRowLastColumn="0" w:lastRowFirstColumn="0" w:lastRowLastColumn="0"/>
            </w:pPr>
            <w:r>
              <w:t>6</w:t>
            </w:r>
          </w:p>
        </w:tc>
        <w:tc>
          <w:tcPr>
            <w:tcW w:w="4301" w:type="dxa"/>
          </w:tcPr>
          <w:p w14:paraId="3331E762" w14:textId="77777777" w:rsidR="00F753EE" w:rsidRPr="00B20C1D" w:rsidRDefault="00671F23" w:rsidP="00671F23">
            <w:pPr>
              <w:ind w:right="649"/>
              <w:jc w:val="right"/>
              <w:cnfStyle w:val="000000010000" w:firstRow="0" w:lastRow="0" w:firstColumn="0" w:lastColumn="0" w:oddVBand="0" w:evenVBand="0" w:oddHBand="0" w:evenHBand="1" w:firstRowFirstColumn="0" w:firstRowLastColumn="0" w:lastRowFirstColumn="0" w:lastRowLastColumn="0"/>
            </w:pPr>
            <w:r>
              <w:rPr>
                <w:rFonts w:cs="Times New Roman"/>
              </w:rPr>
              <w:t>$784,515</w:t>
            </w:r>
          </w:p>
        </w:tc>
      </w:tr>
      <w:tr w:rsidR="00F753EE" w:rsidRPr="00671F23" w14:paraId="1DAB33C0" w14:textId="77777777" w:rsidTr="00FF2C4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60" w:type="dxa"/>
          </w:tcPr>
          <w:p w14:paraId="6DEE7C0E" w14:textId="77777777" w:rsidR="00F753EE" w:rsidRPr="00671F23" w:rsidRDefault="00F753EE" w:rsidP="006C6C78">
            <w:r w:rsidRPr="00671F23">
              <w:t>Total</w:t>
            </w:r>
          </w:p>
        </w:tc>
        <w:tc>
          <w:tcPr>
            <w:tcW w:w="2693" w:type="dxa"/>
          </w:tcPr>
          <w:p w14:paraId="711A1D45" w14:textId="77777777" w:rsidR="00F753EE" w:rsidRPr="00671F23" w:rsidRDefault="00671F23" w:rsidP="00671F23">
            <w:pPr>
              <w:jc w:val="center"/>
              <w:cnfStyle w:val="000000100000" w:firstRow="0" w:lastRow="0" w:firstColumn="0" w:lastColumn="0" w:oddVBand="0" w:evenVBand="0" w:oddHBand="1" w:evenHBand="0" w:firstRowFirstColumn="0" w:firstRowLastColumn="0" w:lastRowFirstColumn="0" w:lastRowLastColumn="0"/>
              <w:rPr>
                <w:b/>
              </w:rPr>
            </w:pPr>
            <w:r w:rsidRPr="00671F23">
              <w:rPr>
                <w:b/>
              </w:rPr>
              <w:t>23</w:t>
            </w:r>
          </w:p>
        </w:tc>
        <w:tc>
          <w:tcPr>
            <w:tcW w:w="4301" w:type="dxa"/>
          </w:tcPr>
          <w:p w14:paraId="11E1C765" w14:textId="77777777" w:rsidR="00F753EE" w:rsidRPr="00671F23" w:rsidRDefault="00671F23" w:rsidP="00671F23">
            <w:pPr>
              <w:ind w:right="649"/>
              <w:jc w:val="right"/>
              <w:cnfStyle w:val="000000100000" w:firstRow="0" w:lastRow="0" w:firstColumn="0" w:lastColumn="0" w:oddVBand="0" w:evenVBand="0" w:oddHBand="1" w:evenHBand="0" w:firstRowFirstColumn="0" w:firstRowLastColumn="0" w:lastRowFirstColumn="0" w:lastRowLastColumn="0"/>
              <w:rPr>
                <w:b/>
              </w:rPr>
            </w:pPr>
            <w:r w:rsidRPr="00671F23">
              <w:rPr>
                <w:b/>
              </w:rPr>
              <w:t>$2,257,237</w:t>
            </w:r>
          </w:p>
        </w:tc>
      </w:tr>
    </w:tbl>
    <w:p w14:paraId="4BED2038" w14:textId="77777777" w:rsidR="006C36E2" w:rsidRDefault="006C36E2" w:rsidP="006C6C78">
      <w:pPr>
        <w:sectPr w:rsidR="006C36E2" w:rsidSect="00433230">
          <w:headerReference w:type="even" r:id="rId77"/>
          <w:headerReference w:type="default" r:id="rId78"/>
          <w:pgSz w:w="11910" w:h="16840"/>
          <w:pgMar w:top="1560" w:right="1680" w:bottom="2620" w:left="1680" w:header="1674" w:footer="1967" w:gutter="0"/>
          <w:cols w:space="720"/>
        </w:sectPr>
      </w:pPr>
    </w:p>
    <w:p w14:paraId="6EE05442" w14:textId="77777777" w:rsidR="00A75144" w:rsidRPr="00A75144" w:rsidRDefault="00A75144" w:rsidP="00A75144">
      <w:pPr>
        <w:spacing w:after="200" w:line="276" w:lineRule="auto"/>
        <w:jc w:val="center"/>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STATUTORY RULES 2016</w:t>
      </w:r>
    </w:p>
    <w:p w14:paraId="2F0D6961"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S. R. No.   /2016</w:t>
      </w:r>
    </w:p>
    <w:p w14:paraId="30907C64"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p>
    <w:p w14:paraId="3200CD1D"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Fisheries Act 1995</w:t>
      </w:r>
    </w:p>
    <w:p w14:paraId="63C9A1A2"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p>
    <w:p w14:paraId="494AA45C"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Fisheries and Fisheries (Fees, Royalties and Levies) Amendment (Recreational Fishery Licence) Regulations 2016</w:t>
      </w:r>
    </w:p>
    <w:p w14:paraId="4F903576" w14:textId="77777777" w:rsidR="00A75144" w:rsidRPr="00A75144" w:rsidRDefault="00A75144" w:rsidP="00A75144">
      <w:pPr>
        <w:spacing w:after="200" w:line="276" w:lineRule="auto"/>
        <w:jc w:val="center"/>
        <w:rPr>
          <w:rFonts w:ascii="Times New Roman" w:eastAsia="Calibri" w:hAnsi="Times New Roman" w:cs="Times New Roman"/>
          <w:b/>
          <w:sz w:val="22"/>
          <w:szCs w:val="22"/>
          <w:lang w:eastAsia="en-US"/>
        </w:rPr>
      </w:pPr>
    </w:p>
    <w:p w14:paraId="6A5FDA1D"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The Governor in Council makes the following Regulations:</w:t>
      </w:r>
    </w:p>
    <w:p w14:paraId="7A3F7A1A"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Dated:</w:t>
      </w:r>
    </w:p>
    <w:p w14:paraId="703C230A"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Responsible Minister:</w:t>
      </w:r>
    </w:p>
    <w:p w14:paraId="4E19308A"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p>
    <w:p w14:paraId="37680C5A" w14:textId="77777777" w:rsidR="00A75144" w:rsidRPr="00A75144" w:rsidRDefault="00A75144" w:rsidP="00A75144">
      <w:pPr>
        <w:spacing w:after="200" w:line="276" w:lineRule="auto"/>
        <w:ind w:left="720"/>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JAALA PULFORD</w:t>
      </w:r>
    </w:p>
    <w:p w14:paraId="2DAEB9F4" w14:textId="77777777" w:rsidR="00A75144" w:rsidRPr="00A75144" w:rsidRDefault="00A75144" w:rsidP="00A75144">
      <w:pPr>
        <w:spacing w:after="200" w:line="276" w:lineRule="auto"/>
        <w:ind w:left="720"/>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Minister for Agriculture</w:t>
      </w:r>
    </w:p>
    <w:p w14:paraId="232096A4"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t>Clerk of the Executive Council</w:t>
      </w:r>
    </w:p>
    <w:p w14:paraId="343FD29E" w14:textId="77777777" w:rsidR="00A75144" w:rsidRPr="00A75144" w:rsidRDefault="00A75144" w:rsidP="00A75144">
      <w:pPr>
        <w:spacing w:after="200" w:line="276" w:lineRule="auto"/>
        <w:jc w:val="center"/>
        <w:rPr>
          <w:rFonts w:ascii="Times New Roman" w:eastAsia="Calibri" w:hAnsi="Times New Roman" w:cs="Times New Roman"/>
          <w:b/>
          <w:sz w:val="32"/>
          <w:szCs w:val="32"/>
          <w:lang w:eastAsia="en-US"/>
        </w:rPr>
      </w:pPr>
      <w:r w:rsidRPr="00A75144">
        <w:rPr>
          <w:rFonts w:ascii="Times New Roman" w:eastAsia="Calibri" w:hAnsi="Times New Roman" w:cs="Times New Roman"/>
          <w:b/>
          <w:sz w:val="32"/>
          <w:szCs w:val="32"/>
          <w:lang w:eastAsia="en-US"/>
        </w:rPr>
        <w:t>Part 1 - Preliminary</w:t>
      </w:r>
    </w:p>
    <w:p w14:paraId="0F7FC45A"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Objectives</w:t>
      </w:r>
    </w:p>
    <w:p w14:paraId="339C7914"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14DDB994"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The objectives of these Regulations are –</w:t>
      </w:r>
    </w:p>
    <w:p w14:paraId="192516EB"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3EECF908" w14:textId="77777777" w:rsidR="00A75144" w:rsidRPr="00A75144" w:rsidRDefault="00A75144" w:rsidP="00A75144">
      <w:pPr>
        <w:numPr>
          <w:ilvl w:val="0"/>
          <w:numId w:val="35"/>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amend the Fisheries Regulations 2009—</w:t>
      </w:r>
    </w:p>
    <w:p w14:paraId="241A8292" w14:textId="77777777" w:rsidR="00A75144" w:rsidRPr="00A75144" w:rsidRDefault="00A75144" w:rsidP="00A75144">
      <w:pPr>
        <w:numPr>
          <w:ilvl w:val="0"/>
          <w:numId w:val="36"/>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 xml:space="preserve">to provide further in relation to exemptions from the requirement to hold a recreational fishery licence under the </w:t>
      </w:r>
      <w:r w:rsidRPr="00A75144">
        <w:rPr>
          <w:rFonts w:ascii="Times New Roman" w:eastAsia="Calibri" w:hAnsi="Times New Roman" w:cs="Times New Roman"/>
          <w:b/>
          <w:sz w:val="22"/>
          <w:szCs w:val="22"/>
          <w:lang w:eastAsia="en-US"/>
        </w:rPr>
        <w:t>Fisheries Act 1995</w:t>
      </w:r>
      <w:r w:rsidRPr="00A75144">
        <w:rPr>
          <w:rFonts w:ascii="Times New Roman" w:eastAsia="Calibri" w:hAnsi="Times New Roman" w:cs="Times New Roman"/>
          <w:sz w:val="22"/>
          <w:szCs w:val="22"/>
          <w:lang w:eastAsia="en-US"/>
        </w:rPr>
        <w:t xml:space="preserve"> ; and</w:t>
      </w:r>
    </w:p>
    <w:p w14:paraId="280FECA3" w14:textId="77777777" w:rsidR="00A75144" w:rsidRPr="00A75144" w:rsidRDefault="00A75144" w:rsidP="00A75144">
      <w:pPr>
        <w:numPr>
          <w:ilvl w:val="0"/>
          <w:numId w:val="36"/>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insert offences in relation to recreational fishery licences; and</w:t>
      </w:r>
    </w:p>
    <w:p w14:paraId="05F5FBA4" w14:textId="77777777" w:rsidR="00A75144" w:rsidRPr="00A75144" w:rsidRDefault="00A75144" w:rsidP="00A75144">
      <w:pPr>
        <w:numPr>
          <w:ilvl w:val="0"/>
          <w:numId w:val="35"/>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amend the Fisheries (Fees, Royalties and Levies) Regulations 2008—</w:t>
      </w:r>
    </w:p>
    <w:p w14:paraId="48C36E90" w14:textId="77777777" w:rsidR="00A75144" w:rsidRPr="00A75144" w:rsidRDefault="00A75144" w:rsidP="00A75144">
      <w:pPr>
        <w:numPr>
          <w:ilvl w:val="0"/>
          <w:numId w:val="38"/>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amend the application fee for a group recreational fishery licence; and</w:t>
      </w:r>
    </w:p>
    <w:p w14:paraId="0C7555B2" w14:textId="77777777" w:rsidR="00A75144" w:rsidRPr="00A75144" w:rsidRDefault="00A75144" w:rsidP="00A75144">
      <w:pPr>
        <w:numPr>
          <w:ilvl w:val="0"/>
          <w:numId w:val="38"/>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amend the levies payable for recreational fishery licences; and</w:t>
      </w:r>
    </w:p>
    <w:p w14:paraId="0C6536CE" w14:textId="77777777" w:rsidR="00A75144" w:rsidRPr="00A75144" w:rsidRDefault="00A75144" w:rsidP="00A75144">
      <w:pPr>
        <w:numPr>
          <w:ilvl w:val="0"/>
          <w:numId w:val="38"/>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to provide for reduced levies for certain recreational fishery licences.</w:t>
      </w:r>
    </w:p>
    <w:p w14:paraId="21F42599"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2E53313B"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Authorising provisions</w:t>
      </w:r>
    </w:p>
    <w:p w14:paraId="48946552" w14:textId="77777777" w:rsidR="00A75144" w:rsidRPr="00A75144" w:rsidRDefault="00A75144" w:rsidP="00A75144">
      <w:pPr>
        <w:spacing w:after="200" w:line="276" w:lineRule="auto"/>
        <w:ind w:left="1080"/>
        <w:rPr>
          <w:rFonts w:ascii="Times New Roman" w:eastAsia="Calibri" w:hAnsi="Times New Roman" w:cs="Times New Roman"/>
          <w:b/>
          <w:sz w:val="22"/>
          <w:szCs w:val="22"/>
          <w:lang w:eastAsia="en-US"/>
        </w:rPr>
      </w:pPr>
      <w:r w:rsidRPr="00A75144">
        <w:rPr>
          <w:rFonts w:ascii="Times New Roman" w:eastAsia="Calibri" w:hAnsi="Times New Roman" w:cs="Times New Roman"/>
          <w:sz w:val="22"/>
          <w:szCs w:val="22"/>
          <w:lang w:eastAsia="en-US"/>
        </w:rPr>
        <w:t xml:space="preserve">These Regulations are made under sections 151A and 153 of the </w:t>
      </w:r>
      <w:r w:rsidRPr="00A75144">
        <w:rPr>
          <w:rFonts w:ascii="Times New Roman" w:eastAsia="Calibri" w:hAnsi="Times New Roman" w:cs="Times New Roman"/>
          <w:b/>
          <w:sz w:val="22"/>
          <w:szCs w:val="22"/>
          <w:lang w:eastAsia="en-US"/>
        </w:rPr>
        <w:t>Fisheries Act 1995.</w:t>
      </w:r>
    </w:p>
    <w:p w14:paraId="7FFFE02A"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br w:type="column"/>
        <w:t>Commencement</w:t>
      </w:r>
    </w:p>
    <w:p w14:paraId="1647A23F"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55280F72" w14:textId="77777777" w:rsidR="00A75144" w:rsidRPr="00A75144" w:rsidRDefault="00A75144" w:rsidP="00A75144">
      <w:pPr>
        <w:numPr>
          <w:ilvl w:val="0"/>
          <w:numId w:val="42"/>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These Regulations, except Division 2 of Part 3, come into operation on 1 July 2016.</w:t>
      </w:r>
    </w:p>
    <w:p w14:paraId="7CE569F8" w14:textId="77777777" w:rsidR="00A75144" w:rsidRPr="00A75144" w:rsidRDefault="00A75144" w:rsidP="00A75144">
      <w:pPr>
        <w:spacing w:after="200" w:line="276" w:lineRule="auto"/>
        <w:ind w:left="1440"/>
        <w:contextualSpacing/>
        <w:rPr>
          <w:rFonts w:ascii="Times New Roman" w:eastAsia="Calibri" w:hAnsi="Times New Roman" w:cs="Times New Roman"/>
          <w:sz w:val="22"/>
          <w:szCs w:val="22"/>
          <w:lang w:eastAsia="en-US"/>
        </w:rPr>
      </w:pPr>
    </w:p>
    <w:p w14:paraId="081F3BF8" w14:textId="77777777" w:rsidR="00A75144" w:rsidRPr="00A75144" w:rsidRDefault="00A75144" w:rsidP="00A75144">
      <w:pPr>
        <w:numPr>
          <w:ilvl w:val="0"/>
          <w:numId w:val="42"/>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Division 2 of Part 3 of these Regulations comes into operation on 1 July 2017.</w:t>
      </w:r>
    </w:p>
    <w:p w14:paraId="314C49B9" w14:textId="77777777" w:rsidR="00A75144" w:rsidRPr="00A75144" w:rsidRDefault="00A75144" w:rsidP="00A75144">
      <w:pPr>
        <w:spacing w:after="200" w:line="276" w:lineRule="auto"/>
        <w:ind w:left="1080"/>
        <w:contextualSpacing/>
        <w:rPr>
          <w:rFonts w:ascii="Times New Roman" w:eastAsia="Calibri" w:hAnsi="Times New Roman" w:cs="Times New Roman"/>
          <w:b/>
          <w:sz w:val="22"/>
          <w:szCs w:val="22"/>
          <w:lang w:eastAsia="en-US"/>
        </w:rPr>
      </w:pPr>
    </w:p>
    <w:p w14:paraId="56B513A0" w14:textId="77777777" w:rsidR="00A75144" w:rsidRPr="00A75144" w:rsidRDefault="00A75144" w:rsidP="00A75144">
      <w:pPr>
        <w:spacing w:after="200" w:line="276" w:lineRule="auto"/>
        <w:ind w:left="1080"/>
        <w:contextualSpacing/>
        <w:rPr>
          <w:rFonts w:ascii="Times New Roman" w:eastAsia="Calibri" w:hAnsi="Times New Roman" w:cs="Times New Roman"/>
          <w:b/>
          <w:sz w:val="32"/>
          <w:szCs w:val="32"/>
          <w:lang w:eastAsia="en-US"/>
        </w:rPr>
      </w:pPr>
      <w:r w:rsidRPr="00A75144">
        <w:rPr>
          <w:rFonts w:ascii="Times New Roman" w:eastAsia="Calibri" w:hAnsi="Times New Roman" w:cs="Times New Roman"/>
          <w:b/>
          <w:sz w:val="32"/>
          <w:szCs w:val="32"/>
          <w:lang w:eastAsia="en-US"/>
        </w:rPr>
        <w:t>Part 2 – Amendments to the Fisheries Regulations 2009</w:t>
      </w:r>
    </w:p>
    <w:p w14:paraId="7BBEBDA8" w14:textId="77777777" w:rsidR="00A75144" w:rsidRPr="00A75144" w:rsidRDefault="00A75144" w:rsidP="00A75144">
      <w:pPr>
        <w:spacing w:after="200" w:line="276" w:lineRule="auto"/>
        <w:ind w:left="1080"/>
        <w:contextualSpacing/>
        <w:rPr>
          <w:rFonts w:ascii="Times New Roman" w:eastAsia="Calibri" w:hAnsi="Times New Roman" w:cs="Times New Roman"/>
          <w:b/>
          <w:sz w:val="22"/>
          <w:szCs w:val="22"/>
          <w:lang w:eastAsia="en-US"/>
        </w:rPr>
      </w:pPr>
    </w:p>
    <w:p w14:paraId="5F7EE2BF"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Exemptions from requirement to hold recreational fishery licence</w:t>
      </w:r>
    </w:p>
    <w:p w14:paraId="21CD9806" w14:textId="77777777" w:rsidR="00A75144" w:rsidRPr="00A75144" w:rsidRDefault="00A75144" w:rsidP="00A75144">
      <w:pPr>
        <w:spacing w:after="200" w:line="276" w:lineRule="auto"/>
        <w:ind w:left="1080"/>
        <w:contextualSpacing/>
        <w:rPr>
          <w:rFonts w:ascii="Times New Roman" w:eastAsia="Calibri" w:hAnsi="Times New Roman" w:cs="Times New Roman"/>
          <w:b/>
          <w:sz w:val="22"/>
          <w:szCs w:val="22"/>
          <w:lang w:eastAsia="en-US"/>
        </w:rPr>
      </w:pPr>
    </w:p>
    <w:p w14:paraId="674DE177"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regulation 66(2) of the Fisheries Regulations 2009</w:t>
      </w:r>
      <w:r w:rsidRPr="00A75144">
        <w:rPr>
          <w:rFonts w:ascii="Times New Roman" w:eastAsia="Calibri" w:hAnsi="Times New Roman" w:cs="Times New Roman"/>
          <w:sz w:val="22"/>
          <w:szCs w:val="22"/>
          <w:vertAlign w:val="superscript"/>
          <w:lang w:eastAsia="en-US"/>
        </w:rPr>
        <w:t>1</w:t>
      </w:r>
      <w:r w:rsidRPr="00A75144">
        <w:rPr>
          <w:rFonts w:ascii="Times New Roman" w:eastAsia="Calibri" w:hAnsi="Times New Roman" w:cs="Times New Roman"/>
          <w:sz w:val="22"/>
          <w:szCs w:val="22"/>
          <w:lang w:eastAsia="en-US"/>
        </w:rPr>
        <w:t xml:space="preserve"> </w:t>
      </w:r>
      <w:r w:rsidRPr="00A75144">
        <w:rPr>
          <w:rFonts w:ascii="Times New Roman" w:eastAsia="Calibri" w:hAnsi="Times New Roman" w:cs="Times New Roman"/>
          <w:b/>
          <w:sz w:val="22"/>
          <w:szCs w:val="22"/>
          <w:lang w:eastAsia="en-US"/>
        </w:rPr>
        <w:t>substitute</w:t>
      </w:r>
      <w:r w:rsidRPr="00A75144">
        <w:rPr>
          <w:rFonts w:ascii="Times New Roman" w:eastAsia="Calibri" w:hAnsi="Times New Roman" w:cs="Times New Roman"/>
          <w:sz w:val="22"/>
          <w:szCs w:val="22"/>
          <w:lang w:eastAsia="en-US"/>
        </w:rPr>
        <w:t>—</w:t>
      </w:r>
    </w:p>
    <w:p w14:paraId="31CF706B" w14:textId="77777777" w:rsidR="00A75144" w:rsidRPr="00A75144" w:rsidRDefault="00A75144" w:rsidP="00A75144">
      <w:pPr>
        <w:spacing w:after="200" w:line="276" w:lineRule="auto"/>
        <w:ind w:left="2160" w:hanging="720"/>
        <w:contextualSpacing/>
        <w:rPr>
          <w:rFonts w:ascii="Times New Roman" w:eastAsia="Calibri" w:hAnsi="Times New Roman" w:cs="Times New Roman"/>
          <w:sz w:val="22"/>
          <w:szCs w:val="22"/>
          <w:lang w:eastAsia="en-US"/>
        </w:rPr>
      </w:pPr>
    </w:p>
    <w:p w14:paraId="7E1878B5"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“(2)</w:t>
      </w:r>
      <w:r w:rsidRPr="00A75144">
        <w:rPr>
          <w:rFonts w:ascii="Times New Roman" w:eastAsia="Calibri" w:hAnsi="Times New Roman" w:cs="Times New Roman"/>
          <w:sz w:val="22"/>
          <w:szCs w:val="22"/>
          <w:lang w:eastAsia="en-US"/>
        </w:rPr>
        <w:tab/>
      </w:r>
      <w:r w:rsidRPr="00A75144">
        <w:rPr>
          <w:rFonts w:ascii="Times New Roman" w:eastAsia="Calibri" w:hAnsi="Times New Roman" w:cs="Times New Roman"/>
          <w:sz w:val="22"/>
          <w:szCs w:val="22"/>
          <w:lang w:eastAsia="en-US"/>
        </w:rPr>
        <w:tab/>
        <w:t>In this regulation—</w:t>
      </w:r>
    </w:p>
    <w:p w14:paraId="0BDBAEAB" w14:textId="77777777" w:rsidR="00A75144" w:rsidRPr="00A75144" w:rsidRDefault="00A75144" w:rsidP="00A75144">
      <w:pPr>
        <w:spacing w:after="200" w:line="276" w:lineRule="auto"/>
        <w:ind w:left="2160" w:hanging="720"/>
        <w:contextualSpacing/>
        <w:rPr>
          <w:rFonts w:ascii="Times New Roman" w:eastAsia="Calibri" w:hAnsi="Times New Roman" w:cs="Times New Roman"/>
          <w:sz w:val="22"/>
          <w:szCs w:val="22"/>
          <w:lang w:eastAsia="en-US"/>
        </w:rPr>
      </w:pPr>
    </w:p>
    <w:p w14:paraId="05C893CA" w14:textId="77777777" w:rsidR="00A75144" w:rsidRPr="00A75144" w:rsidRDefault="00A75144" w:rsidP="00A75144">
      <w:pPr>
        <w:spacing w:after="200" w:line="276" w:lineRule="auto"/>
        <w:ind w:left="216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b/>
          <w:i/>
          <w:sz w:val="22"/>
          <w:szCs w:val="22"/>
          <w:lang w:eastAsia="en-US"/>
        </w:rPr>
        <w:t>Senior’s Card</w:t>
      </w:r>
      <w:r w:rsidRPr="00A75144">
        <w:rPr>
          <w:rFonts w:ascii="Times New Roman" w:eastAsia="Calibri" w:hAnsi="Times New Roman" w:cs="Times New Roman"/>
          <w:sz w:val="22"/>
          <w:szCs w:val="22"/>
          <w:lang w:eastAsia="en-US"/>
        </w:rPr>
        <w:t xml:space="preserve"> means—</w:t>
      </w:r>
    </w:p>
    <w:p w14:paraId="7ADA72AA" w14:textId="77777777" w:rsidR="00A75144" w:rsidRPr="00A75144" w:rsidRDefault="00A75144" w:rsidP="00A75144">
      <w:pPr>
        <w:spacing w:after="200" w:line="276" w:lineRule="auto"/>
        <w:ind w:left="288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(a)</w:t>
      </w:r>
      <w:r w:rsidRPr="00A75144">
        <w:rPr>
          <w:rFonts w:ascii="Times New Roman" w:eastAsia="Calibri" w:hAnsi="Times New Roman" w:cs="Times New Roman"/>
          <w:sz w:val="22"/>
          <w:szCs w:val="22"/>
          <w:lang w:eastAsia="en-US"/>
        </w:rPr>
        <w:tab/>
        <w:t>a Victorian Senior’s Card issued by the Victorian Government, other than a Senior’s Business Discount Card issued by the Victorian Government; or</w:t>
      </w:r>
    </w:p>
    <w:p w14:paraId="296DCC22" w14:textId="77777777" w:rsidR="00A75144" w:rsidRPr="00A75144" w:rsidRDefault="00A75144" w:rsidP="00A75144">
      <w:pPr>
        <w:spacing w:after="200" w:line="276" w:lineRule="auto"/>
        <w:ind w:left="288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(b)</w:t>
      </w:r>
      <w:r w:rsidRPr="00A75144">
        <w:rPr>
          <w:rFonts w:ascii="Times New Roman" w:eastAsia="Calibri" w:hAnsi="Times New Roman" w:cs="Times New Roman"/>
          <w:sz w:val="22"/>
          <w:szCs w:val="22"/>
          <w:lang w:eastAsia="en-US"/>
        </w:rPr>
        <w:tab/>
        <w:t>a Senior’s Card issued by the Government of another State or a Territory.”.</w:t>
      </w:r>
    </w:p>
    <w:p w14:paraId="743D0F3D" w14:textId="77777777" w:rsidR="00A75144" w:rsidRPr="00A75144" w:rsidRDefault="00A75144" w:rsidP="00A75144">
      <w:pPr>
        <w:spacing w:after="200" w:line="276" w:lineRule="auto"/>
        <w:ind w:left="1440"/>
        <w:contextualSpacing/>
        <w:rPr>
          <w:rFonts w:ascii="Times New Roman" w:eastAsia="Calibri" w:hAnsi="Times New Roman" w:cs="Times New Roman"/>
          <w:sz w:val="22"/>
          <w:szCs w:val="22"/>
          <w:lang w:eastAsia="en-US"/>
        </w:rPr>
      </w:pPr>
    </w:p>
    <w:p w14:paraId="657E7DA9"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New regulation 67B inserted</w:t>
      </w:r>
    </w:p>
    <w:p w14:paraId="40A7A8D1"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7B042D65" w14:textId="77777777" w:rsidR="00A75144" w:rsidRPr="00A75144" w:rsidRDefault="00A75144" w:rsidP="00A75144">
      <w:pPr>
        <w:spacing w:after="200" w:line="276" w:lineRule="auto"/>
        <w:ind w:left="1080"/>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sz w:val="22"/>
          <w:szCs w:val="22"/>
          <w:lang w:eastAsia="en-US"/>
        </w:rPr>
        <w:t xml:space="preserve">In Division 4 of the Fisheries Regulations 2009, before regulation 68 </w:t>
      </w:r>
      <w:r w:rsidRPr="00A75144">
        <w:rPr>
          <w:rFonts w:ascii="Times New Roman" w:eastAsia="Calibri" w:hAnsi="Times New Roman" w:cs="Times New Roman"/>
          <w:b/>
          <w:sz w:val="22"/>
          <w:szCs w:val="22"/>
          <w:lang w:eastAsia="en-US"/>
        </w:rPr>
        <w:t>insert—</w:t>
      </w:r>
    </w:p>
    <w:p w14:paraId="6A4E62DE" w14:textId="77777777" w:rsidR="00A75144" w:rsidRPr="00A75144" w:rsidRDefault="00A75144" w:rsidP="00A75144">
      <w:pPr>
        <w:spacing w:after="200" w:line="276" w:lineRule="auto"/>
        <w:ind w:left="1440"/>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“67B</w:t>
      </w:r>
      <w:r w:rsidRPr="00A75144">
        <w:rPr>
          <w:rFonts w:ascii="Times New Roman" w:eastAsia="Calibri" w:hAnsi="Times New Roman" w:cs="Times New Roman"/>
          <w:b/>
          <w:sz w:val="22"/>
          <w:szCs w:val="22"/>
          <w:lang w:eastAsia="en-US"/>
        </w:rPr>
        <w:tab/>
        <w:t>Definition</w:t>
      </w:r>
    </w:p>
    <w:p w14:paraId="5C33BD22" w14:textId="77777777" w:rsidR="00A75144" w:rsidRPr="00A75144" w:rsidRDefault="00A75144" w:rsidP="00A75144">
      <w:pPr>
        <w:spacing w:after="200" w:line="276" w:lineRule="auto"/>
        <w:ind w:left="2160"/>
        <w:rPr>
          <w:rFonts w:ascii="Times New Roman" w:eastAsia="Calibri" w:hAnsi="Times New Roman" w:cs="Times New Roman"/>
          <w:b/>
          <w:sz w:val="22"/>
          <w:szCs w:val="22"/>
          <w:lang w:eastAsia="en-US"/>
        </w:rPr>
      </w:pPr>
      <w:r w:rsidRPr="00A75144">
        <w:rPr>
          <w:rFonts w:ascii="Times New Roman" w:eastAsia="Calibri" w:hAnsi="Times New Roman" w:cs="Times New Roman"/>
          <w:sz w:val="22"/>
          <w:szCs w:val="22"/>
          <w:lang w:eastAsia="en-US"/>
        </w:rPr>
        <w:t xml:space="preserve">In this Division </w:t>
      </w:r>
      <w:r w:rsidRPr="00A75144">
        <w:rPr>
          <w:rFonts w:ascii="Times New Roman" w:eastAsia="Calibri" w:hAnsi="Times New Roman" w:cs="Times New Roman"/>
          <w:b/>
          <w:i/>
          <w:sz w:val="22"/>
          <w:szCs w:val="22"/>
          <w:lang w:eastAsia="en-US"/>
        </w:rPr>
        <w:t xml:space="preserve">authorised person </w:t>
      </w:r>
      <w:r w:rsidRPr="00A75144">
        <w:rPr>
          <w:rFonts w:ascii="Times New Roman" w:eastAsia="Calibri" w:hAnsi="Times New Roman" w:cs="Times New Roman"/>
          <w:sz w:val="22"/>
          <w:szCs w:val="22"/>
          <w:lang w:eastAsia="en-US"/>
        </w:rPr>
        <w:t>means a person authorised by the Secretary to issue a recreational fishery licence under section 45(2) of the Act.”.</w:t>
      </w:r>
    </w:p>
    <w:p w14:paraId="47EB9D10" w14:textId="77777777" w:rsidR="00A75144" w:rsidRPr="00A75144" w:rsidRDefault="00A75144" w:rsidP="00A75144">
      <w:pPr>
        <w:numPr>
          <w:ilvl w:val="0"/>
          <w:numId w:val="34"/>
        </w:numPr>
        <w:spacing w:after="200" w:line="276" w:lineRule="auto"/>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New regulations 69AA  and 69AAB inserted</w:t>
      </w:r>
    </w:p>
    <w:p w14:paraId="34F5553E"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p>
    <w:p w14:paraId="42D3EA9D" w14:textId="77777777" w:rsidR="00A75144" w:rsidRPr="00A75144" w:rsidRDefault="00A75144" w:rsidP="00A75144">
      <w:pPr>
        <w:spacing w:after="200" w:line="276" w:lineRule="auto"/>
        <w:ind w:left="10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 xml:space="preserve">After regulation 69 of the Fisheries Regulations 2009 </w:t>
      </w:r>
      <w:r w:rsidRPr="00A75144">
        <w:rPr>
          <w:rFonts w:ascii="Times New Roman" w:eastAsia="Calibri" w:hAnsi="Times New Roman" w:cs="Times New Roman"/>
          <w:b/>
          <w:sz w:val="22"/>
          <w:szCs w:val="22"/>
          <w:lang w:eastAsia="en-US"/>
        </w:rPr>
        <w:t>insert—</w:t>
      </w:r>
    </w:p>
    <w:p w14:paraId="56DC60A0" w14:textId="77777777" w:rsidR="00A75144" w:rsidRPr="00A75144" w:rsidRDefault="00A75144" w:rsidP="00A75144">
      <w:pPr>
        <w:spacing w:after="200" w:line="276" w:lineRule="auto"/>
        <w:ind w:left="1080"/>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“69AA</w:t>
      </w:r>
      <w:r w:rsidRPr="00A75144">
        <w:rPr>
          <w:rFonts w:ascii="Times New Roman" w:eastAsia="Calibri" w:hAnsi="Times New Roman" w:cs="Times New Roman"/>
          <w:b/>
          <w:sz w:val="22"/>
          <w:szCs w:val="22"/>
          <w:lang w:eastAsia="en-US"/>
        </w:rPr>
        <w:tab/>
        <w:t>Offence to fail to return unissued recreational fishery licences</w:t>
      </w:r>
    </w:p>
    <w:p w14:paraId="5F73C0ED" w14:textId="77777777" w:rsidR="00A75144" w:rsidRPr="00A75144" w:rsidRDefault="00A75144" w:rsidP="00A75144">
      <w:pPr>
        <w:numPr>
          <w:ilvl w:val="0"/>
          <w:numId w:val="40"/>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The Secretary may, in writing, request an authorised person to return any unissued recreational fishery licences given to the person by the Secretary.</w:t>
      </w:r>
    </w:p>
    <w:p w14:paraId="76BD2607" w14:textId="77777777" w:rsidR="00A75144" w:rsidRPr="00A75144" w:rsidRDefault="00A75144" w:rsidP="00A75144">
      <w:pPr>
        <w:spacing w:after="200" w:line="276" w:lineRule="auto"/>
        <w:ind w:left="1800"/>
        <w:contextualSpacing/>
        <w:rPr>
          <w:rFonts w:ascii="Times New Roman" w:eastAsia="Calibri" w:hAnsi="Times New Roman" w:cs="Times New Roman"/>
          <w:sz w:val="22"/>
          <w:szCs w:val="22"/>
          <w:lang w:eastAsia="en-US"/>
        </w:rPr>
      </w:pPr>
    </w:p>
    <w:p w14:paraId="5168C3E4" w14:textId="77777777" w:rsidR="00A75144" w:rsidRPr="00A75144" w:rsidRDefault="00A75144" w:rsidP="00A75144">
      <w:pPr>
        <w:numPr>
          <w:ilvl w:val="0"/>
          <w:numId w:val="40"/>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An authorised person must comply with a request under subregulation (1) within 14 days after receiving the request.</w:t>
      </w:r>
    </w:p>
    <w:p w14:paraId="3B2FEAA7" w14:textId="77777777" w:rsidR="00A75144" w:rsidRPr="00A75144" w:rsidRDefault="00A75144" w:rsidP="00A75144">
      <w:pPr>
        <w:spacing w:after="200" w:line="276" w:lineRule="auto"/>
        <w:ind w:left="1800"/>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Penalty:</w:t>
      </w:r>
      <w:r w:rsidRPr="00A75144">
        <w:rPr>
          <w:rFonts w:ascii="Times New Roman" w:eastAsia="Calibri" w:hAnsi="Times New Roman" w:cs="Times New Roman"/>
          <w:sz w:val="22"/>
          <w:szCs w:val="22"/>
          <w:lang w:eastAsia="en-US"/>
        </w:rPr>
        <w:tab/>
        <w:t>20 penalty units.</w:t>
      </w:r>
    </w:p>
    <w:p w14:paraId="3849E6EE" w14:textId="77777777" w:rsidR="00A75144" w:rsidRPr="00A75144" w:rsidRDefault="00A75144" w:rsidP="00A75144">
      <w:pPr>
        <w:spacing w:after="200" w:line="276" w:lineRule="auto"/>
        <w:ind w:left="1080"/>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69AAB</w:t>
      </w:r>
      <w:r w:rsidRPr="00A75144">
        <w:rPr>
          <w:rFonts w:ascii="Times New Roman" w:eastAsia="Calibri" w:hAnsi="Times New Roman" w:cs="Times New Roman"/>
          <w:b/>
          <w:sz w:val="22"/>
          <w:szCs w:val="22"/>
          <w:lang w:eastAsia="en-US"/>
        </w:rPr>
        <w:tab/>
        <w:t>Offence to issue recreational fishery licence with incorrect date and time</w:t>
      </w:r>
    </w:p>
    <w:p w14:paraId="062CFF46" w14:textId="77777777" w:rsidR="00A75144" w:rsidRPr="00A75144" w:rsidRDefault="00A75144" w:rsidP="00A75144">
      <w:pPr>
        <w:spacing w:after="200" w:line="276" w:lineRule="auto"/>
        <w:ind w:left="2160"/>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An authorised person must not issue a recreational fishery licence that specifies a date or time which is before the date on which, or the time at which, the licence was issued.</w:t>
      </w:r>
    </w:p>
    <w:p w14:paraId="0749C67F" w14:textId="77777777" w:rsidR="00A75144" w:rsidRPr="00A75144" w:rsidRDefault="00A75144" w:rsidP="00A75144">
      <w:pPr>
        <w:spacing w:after="200" w:line="276" w:lineRule="auto"/>
        <w:ind w:left="2160"/>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Penalty:</w:t>
      </w:r>
      <w:r w:rsidRPr="00A75144">
        <w:rPr>
          <w:rFonts w:ascii="Times New Roman" w:eastAsia="Calibri" w:hAnsi="Times New Roman" w:cs="Times New Roman"/>
          <w:sz w:val="22"/>
          <w:szCs w:val="22"/>
          <w:lang w:eastAsia="en-US"/>
        </w:rPr>
        <w:tab/>
        <w:t>20 penalty units.”.</w:t>
      </w:r>
    </w:p>
    <w:p w14:paraId="3450B41A"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32"/>
          <w:szCs w:val="32"/>
          <w:lang w:eastAsia="en-US"/>
        </w:rPr>
      </w:pPr>
      <w:r w:rsidRPr="00A75144">
        <w:rPr>
          <w:rFonts w:ascii="Times New Roman" w:eastAsia="Calibri" w:hAnsi="Times New Roman" w:cs="Times New Roman"/>
          <w:b/>
          <w:sz w:val="32"/>
          <w:szCs w:val="32"/>
          <w:lang w:eastAsia="en-US"/>
        </w:rPr>
        <w:t>Part 3-Amendments to the Fisheries (Fees, Royalties and Levies) Regulations 2008</w:t>
      </w:r>
    </w:p>
    <w:p w14:paraId="171A2B9B"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22"/>
          <w:szCs w:val="22"/>
          <w:lang w:eastAsia="en-US"/>
        </w:rPr>
      </w:pPr>
    </w:p>
    <w:p w14:paraId="62078AD6"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28"/>
          <w:szCs w:val="28"/>
          <w:lang w:eastAsia="en-US"/>
        </w:rPr>
      </w:pPr>
      <w:r w:rsidRPr="00A75144">
        <w:rPr>
          <w:rFonts w:ascii="Times New Roman" w:eastAsia="Calibri" w:hAnsi="Times New Roman" w:cs="Times New Roman"/>
          <w:b/>
          <w:sz w:val="28"/>
          <w:szCs w:val="28"/>
          <w:lang w:eastAsia="en-US"/>
        </w:rPr>
        <w:t>Division 1-Fees and levies for 1 July 2016 to 30 June 2017</w:t>
      </w:r>
    </w:p>
    <w:p w14:paraId="5666100E"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22"/>
          <w:szCs w:val="22"/>
          <w:lang w:eastAsia="en-US"/>
        </w:rPr>
      </w:pPr>
    </w:p>
    <w:p w14:paraId="2482BA89" w14:textId="77777777" w:rsidR="00A75144" w:rsidRPr="00A75144" w:rsidRDefault="00A75144" w:rsidP="00A75144">
      <w:pPr>
        <w:spacing w:after="200" w:line="276" w:lineRule="auto"/>
        <w:ind w:left="720"/>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7</w:t>
      </w:r>
      <w:r w:rsidRPr="00A75144">
        <w:rPr>
          <w:rFonts w:ascii="Times New Roman" w:eastAsia="Calibri" w:hAnsi="Times New Roman" w:cs="Times New Roman"/>
          <w:b/>
          <w:sz w:val="22"/>
          <w:szCs w:val="22"/>
          <w:lang w:eastAsia="en-US"/>
        </w:rPr>
        <w:tab/>
        <w:t>Fees payable for group recreational fishery licences</w:t>
      </w:r>
    </w:p>
    <w:p w14:paraId="463ADE41"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p>
    <w:p w14:paraId="5B6D3E33" w14:textId="77777777" w:rsidR="00A75144" w:rsidRPr="00A75144" w:rsidRDefault="00A75144" w:rsidP="00A75144">
      <w:pPr>
        <w:numPr>
          <w:ilvl w:val="0"/>
          <w:numId w:val="43"/>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the heading to regulation 24 of the Fisheries (Fees, Royalties and Levies) Regulations 2008</w:t>
      </w:r>
      <w:r w:rsidRPr="00A75144">
        <w:rPr>
          <w:rFonts w:ascii="Times New Roman" w:eastAsia="Calibri" w:hAnsi="Times New Roman" w:cs="Times New Roman"/>
          <w:sz w:val="22"/>
          <w:szCs w:val="22"/>
          <w:vertAlign w:val="superscript"/>
          <w:lang w:eastAsia="en-US"/>
        </w:rPr>
        <w:t>2</w:t>
      </w:r>
      <w:r w:rsidRPr="00A75144">
        <w:rPr>
          <w:rFonts w:ascii="Times New Roman" w:eastAsia="Calibri" w:hAnsi="Times New Roman" w:cs="Times New Roman"/>
          <w:sz w:val="22"/>
          <w:szCs w:val="22"/>
          <w:lang w:eastAsia="en-US"/>
        </w:rPr>
        <w:t>, after “</w:t>
      </w:r>
      <w:r w:rsidRPr="00A75144">
        <w:rPr>
          <w:rFonts w:ascii="Times New Roman" w:eastAsia="Calibri" w:hAnsi="Times New Roman" w:cs="Times New Roman"/>
          <w:b/>
          <w:sz w:val="22"/>
          <w:szCs w:val="22"/>
          <w:lang w:eastAsia="en-US"/>
        </w:rPr>
        <w:t>for</w:t>
      </w:r>
      <w:r w:rsidRPr="00A75144">
        <w:rPr>
          <w:rFonts w:ascii="Times New Roman" w:eastAsia="Calibri" w:hAnsi="Times New Roman" w:cs="Times New Roman"/>
          <w:sz w:val="22"/>
          <w:szCs w:val="22"/>
          <w:lang w:eastAsia="en-US"/>
        </w:rPr>
        <w:t xml:space="preserve">” </w:t>
      </w:r>
      <w:r w:rsidRPr="00A75144">
        <w:rPr>
          <w:rFonts w:ascii="Times New Roman" w:eastAsia="Calibri" w:hAnsi="Times New Roman" w:cs="Times New Roman"/>
          <w:b/>
          <w:sz w:val="22"/>
          <w:szCs w:val="22"/>
          <w:lang w:eastAsia="en-US"/>
        </w:rPr>
        <w:t>insert</w:t>
      </w:r>
      <w:r w:rsidRPr="00A75144">
        <w:rPr>
          <w:rFonts w:ascii="Times New Roman" w:eastAsia="Calibri" w:hAnsi="Times New Roman" w:cs="Times New Roman"/>
          <w:sz w:val="22"/>
          <w:szCs w:val="22"/>
          <w:lang w:eastAsia="en-US"/>
        </w:rPr>
        <w:t xml:space="preserve"> “</w:t>
      </w:r>
      <w:r w:rsidRPr="00A75144">
        <w:rPr>
          <w:rFonts w:ascii="Times New Roman" w:eastAsia="Calibri" w:hAnsi="Times New Roman" w:cs="Times New Roman"/>
          <w:b/>
          <w:sz w:val="22"/>
          <w:szCs w:val="22"/>
          <w:lang w:eastAsia="en-US"/>
        </w:rPr>
        <w:t>group</w:t>
      </w:r>
      <w:r w:rsidRPr="00A75144">
        <w:rPr>
          <w:rFonts w:ascii="Times New Roman" w:eastAsia="Calibri" w:hAnsi="Times New Roman" w:cs="Times New Roman"/>
          <w:sz w:val="22"/>
          <w:szCs w:val="22"/>
          <w:lang w:eastAsia="en-US"/>
        </w:rPr>
        <w:t>”.</w:t>
      </w:r>
    </w:p>
    <w:p w14:paraId="08F81B86" w14:textId="77777777" w:rsidR="00A75144" w:rsidRPr="00A75144" w:rsidRDefault="00A75144" w:rsidP="00A75144">
      <w:pPr>
        <w:spacing w:after="200" w:line="276" w:lineRule="auto"/>
        <w:ind w:left="1800"/>
        <w:contextualSpacing/>
        <w:rPr>
          <w:rFonts w:ascii="Times New Roman" w:eastAsia="Calibri" w:hAnsi="Times New Roman" w:cs="Times New Roman"/>
          <w:sz w:val="22"/>
          <w:szCs w:val="22"/>
          <w:lang w:eastAsia="en-US"/>
        </w:rPr>
      </w:pPr>
    </w:p>
    <w:p w14:paraId="314493DC" w14:textId="77777777" w:rsidR="00A75144" w:rsidRPr="00A75144" w:rsidRDefault="00A75144" w:rsidP="00A75144">
      <w:pPr>
        <w:numPr>
          <w:ilvl w:val="0"/>
          <w:numId w:val="43"/>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regulation 24(1) of the Fisheries (Fees, Royalties and Levies) Regulations 2008 for “$24.50”</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“$35”.</w:t>
      </w:r>
    </w:p>
    <w:p w14:paraId="2EE930E5"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p>
    <w:p w14:paraId="43059017" w14:textId="77777777" w:rsidR="00A75144" w:rsidRPr="00A75144" w:rsidRDefault="00A75144" w:rsidP="00A75144">
      <w:pPr>
        <w:spacing w:after="200" w:line="276" w:lineRule="auto"/>
        <w:ind w:left="720"/>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8</w:t>
      </w:r>
      <w:r w:rsidRPr="00A75144">
        <w:rPr>
          <w:rFonts w:ascii="Times New Roman" w:eastAsia="Calibri" w:hAnsi="Times New Roman" w:cs="Times New Roman"/>
          <w:b/>
          <w:sz w:val="22"/>
          <w:szCs w:val="22"/>
          <w:lang w:eastAsia="en-US"/>
        </w:rPr>
        <w:tab/>
        <w:t>Levies payable for recreational fishery licences</w:t>
      </w:r>
    </w:p>
    <w:p w14:paraId="4775A676"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p>
    <w:p w14:paraId="077FCA1F" w14:textId="77777777" w:rsidR="00A75144" w:rsidRPr="00A75144" w:rsidRDefault="00A75144" w:rsidP="00A75144">
      <w:pPr>
        <w:numPr>
          <w:ilvl w:val="0"/>
          <w:numId w:val="44"/>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 xml:space="preserve">For regulation 25(2) of the Fisheries (Fees, Royalties and Levies) Regulations 2008 </w:t>
      </w:r>
      <w:r w:rsidRPr="00A75144">
        <w:rPr>
          <w:rFonts w:ascii="Times New Roman" w:eastAsia="Calibri" w:hAnsi="Times New Roman" w:cs="Times New Roman"/>
          <w:b/>
          <w:sz w:val="22"/>
          <w:szCs w:val="22"/>
          <w:lang w:eastAsia="en-US"/>
        </w:rPr>
        <w:t>substitute</w:t>
      </w:r>
      <w:r w:rsidRPr="00A75144">
        <w:rPr>
          <w:rFonts w:ascii="Times New Roman" w:eastAsia="Calibri" w:hAnsi="Times New Roman" w:cs="Times New Roman"/>
          <w:sz w:val="22"/>
          <w:szCs w:val="22"/>
          <w:lang w:eastAsia="en-US"/>
        </w:rPr>
        <w:t>—</w:t>
      </w:r>
    </w:p>
    <w:p w14:paraId="4C79C527" w14:textId="77777777" w:rsidR="00A75144" w:rsidRPr="00A75144" w:rsidRDefault="00A75144" w:rsidP="00A75144">
      <w:pPr>
        <w:spacing w:after="200" w:line="276" w:lineRule="auto"/>
        <w:ind w:left="1440"/>
        <w:contextualSpacing/>
        <w:rPr>
          <w:rFonts w:ascii="Times New Roman" w:eastAsia="Calibri" w:hAnsi="Times New Roman" w:cs="Times New Roman"/>
          <w:sz w:val="22"/>
          <w:szCs w:val="22"/>
          <w:lang w:eastAsia="en-US"/>
        </w:rPr>
      </w:pPr>
    </w:p>
    <w:p w14:paraId="768D445A" w14:textId="77777777" w:rsidR="00A75144" w:rsidRPr="00A75144" w:rsidRDefault="00A75144" w:rsidP="00A75144">
      <w:pPr>
        <w:spacing w:after="200" w:line="276" w:lineRule="auto"/>
        <w:ind w:left="252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“(2)</w:t>
      </w:r>
      <w:r w:rsidRPr="00A75144">
        <w:rPr>
          <w:rFonts w:ascii="Times New Roman" w:eastAsia="Calibri" w:hAnsi="Times New Roman" w:cs="Times New Roman"/>
          <w:sz w:val="22"/>
          <w:szCs w:val="22"/>
          <w:lang w:eastAsia="en-US"/>
        </w:rPr>
        <w:tab/>
        <w:t>For the purposes of section 151(1) of the Act, the following levies are prescribed—</w:t>
      </w:r>
    </w:p>
    <w:p w14:paraId="24843313" w14:textId="77777777" w:rsidR="00A75144" w:rsidRPr="00A75144" w:rsidRDefault="00A75144" w:rsidP="00A75144">
      <w:pPr>
        <w:numPr>
          <w:ilvl w:val="0"/>
          <w:numId w:val="39"/>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3 years, $95;</w:t>
      </w:r>
    </w:p>
    <w:p w14:paraId="7EA81579" w14:textId="77777777" w:rsidR="00A75144" w:rsidRPr="00A75144" w:rsidRDefault="00A75144" w:rsidP="00A75144">
      <w:pPr>
        <w:numPr>
          <w:ilvl w:val="0"/>
          <w:numId w:val="39"/>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1 year, $35;</w:t>
      </w:r>
    </w:p>
    <w:p w14:paraId="114CBE4B" w14:textId="77777777" w:rsidR="00A75144" w:rsidRPr="00A75144" w:rsidRDefault="00A75144" w:rsidP="00A75144">
      <w:pPr>
        <w:numPr>
          <w:ilvl w:val="0"/>
          <w:numId w:val="39"/>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28 days, $20;</w:t>
      </w:r>
    </w:p>
    <w:p w14:paraId="482CF61F" w14:textId="77777777" w:rsidR="00A75144" w:rsidRPr="00A75144" w:rsidRDefault="00A75144" w:rsidP="00A75144">
      <w:pPr>
        <w:numPr>
          <w:ilvl w:val="0"/>
          <w:numId w:val="39"/>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3 days, $10.</w:t>
      </w:r>
    </w:p>
    <w:p w14:paraId="7FEAE9E9" w14:textId="77777777" w:rsidR="00A75144" w:rsidRPr="00A75144" w:rsidRDefault="00A75144" w:rsidP="00A75144">
      <w:pPr>
        <w:spacing w:after="200" w:line="276" w:lineRule="auto"/>
        <w:ind w:left="2880"/>
        <w:contextualSpacing/>
        <w:rPr>
          <w:rFonts w:ascii="Times New Roman" w:eastAsia="Calibri" w:hAnsi="Times New Roman" w:cs="Times New Roman"/>
          <w:sz w:val="22"/>
          <w:szCs w:val="22"/>
          <w:lang w:eastAsia="en-US"/>
        </w:rPr>
      </w:pPr>
    </w:p>
    <w:p w14:paraId="721C8A00" w14:textId="77777777" w:rsidR="00A75144" w:rsidRPr="00A75144" w:rsidRDefault="00A75144" w:rsidP="00A75144">
      <w:pPr>
        <w:spacing w:after="200" w:line="276" w:lineRule="auto"/>
        <w:ind w:left="252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(2A)</w:t>
      </w:r>
      <w:r w:rsidRPr="00A75144">
        <w:rPr>
          <w:rFonts w:ascii="Times New Roman" w:eastAsia="Calibri" w:hAnsi="Times New Roman" w:cs="Times New Roman"/>
          <w:sz w:val="22"/>
          <w:szCs w:val="22"/>
          <w:lang w:eastAsia="en-US"/>
        </w:rPr>
        <w:tab/>
        <w:t>Despite subregulation (2)(a) and (b), the levy prescribed for the purposes of section 151(1) of the Act for a recreational fishery licence that is applied for online through the website administered by the Department of Economic Development, Jobs, Transport and Resources is—</w:t>
      </w:r>
    </w:p>
    <w:p w14:paraId="4BE713AA" w14:textId="77777777" w:rsidR="00A75144" w:rsidRPr="00A75144" w:rsidRDefault="00A75144" w:rsidP="00A75144">
      <w:pPr>
        <w:spacing w:after="200" w:line="276" w:lineRule="auto"/>
        <w:ind w:left="2160" w:hanging="720"/>
        <w:contextualSpacing/>
        <w:rPr>
          <w:rFonts w:ascii="Times New Roman" w:eastAsia="Calibri" w:hAnsi="Times New Roman" w:cs="Times New Roman"/>
          <w:sz w:val="22"/>
          <w:szCs w:val="22"/>
          <w:lang w:eastAsia="en-US"/>
        </w:rPr>
      </w:pPr>
    </w:p>
    <w:p w14:paraId="7AEA4FB9" w14:textId="77777777" w:rsidR="00A75144" w:rsidRPr="00A75144" w:rsidRDefault="00A75144" w:rsidP="00A75144">
      <w:pPr>
        <w:numPr>
          <w:ilvl w:val="0"/>
          <w:numId w:val="47"/>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3 years, $90;</w:t>
      </w:r>
    </w:p>
    <w:p w14:paraId="0A016CCA" w14:textId="77777777" w:rsidR="00A75144" w:rsidRPr="00A75144" w:rsidRDefault="00A75144" w:rsidP="00A75144">
      <w:pPr>
        <w:numPr>
          <w:ilvl w:val="0"/>
          <w:numId w:val="47"/>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for a recreational fishery licence with a duration of 1 year, $33.”.</w:t>
      </w:r>
    </w:p>
    <w:p w14:paraId="73B7292B" w14:textId="77777777" w:rsidR="00A75144" w:rsidRPr="00A75144" w:rsidRDefault="00A75144" w:rsidP="00A75144">
      <w:pPr>
        <w:spacing w:after="200" w:line="276" w:lineRule="auto"/>
        <w:ind w:left="3240" w:hanging="720"/>
        <w:contextualSpacing/>
        <w:rPr>
          <w:rFonts w:ascii="Times New Roman" w:eastAsia="Calibri" w:hAnsi="Times New Roman" w:cs="Times New Roman"/>
          <w:sz w:val="22"/>
          <w:szCs w:val="22"/>
          <w:lang w:eastAsia="en-US"/>
        </w:rPr>
      </w:pPr>
    </w:p>
    <w:p w14:paraId="54B341C5" w14:textId="77777777" w:rsidR="00A75144" w:rsidRPr="00A75144" w:rsidRDefault="00A75144" w:rsidP="00A75144">
      <w:pPr>
        <w:spacing w:after="200" w:line="276" w:lineRule="auto"/>
        <w:ind w:left="2520" w:hanging="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(2)</w:t>
      </w:r>
      <w:r w:rsidRPr="00A75144">
        <w:rPr>
          <w:rFonts w:ascii="Times New Roman" w:eastAsia="Calibri" w:hAnsi="Times New Roman" w:cs="Times New Roman"/>
          <w:sz w:val="22"/>
          <w:szCs w:val="22"/>
          <w:lang w:eastAsia="en-US"/>
        </w:rPr>
        <w:tab/>
        <w:t xml:space="preserve">In regulation 25(3) and (4) of the Fisheries (Fees, Royalties and Levies) Regulations 2008, for subregulation (2), </w:t>
      </w:r>
      <w:r w:rsidRPr="00A75144">
        <w:rPr>
          <w:rFonts w:ascii="Times New Roman" w:eastAsia="Calibri" w:hAnsi="Times New Roman" w:cs="Times New Roman"/>
          <w:b/>
          <w:sz w:val="22"/>
          <w:szCs w:val="22"/>
          <w:lang w:eastAsia="en-US"/>
        </w:rPr>
        <w:t xml:space="preserve">substitute </w:t>
      </w:r>
      <w:r w:rsidRPr="00A75144">
        <w:rPr>
          <w:rFonts w:ascii="Times New Roman" w:eastAsia="Calibri" w:hAnsi="Times New Roman" w:cs="Times New Roman"/>
          <w:sz w:val="22"/>
          <w:szCs w:val="22"/>
          <w:lang w:eastAsia="en-US"/>
        </w:rPr>
        <w:t>“subregulation (2) or (2A)”.</w:t>
      </w:r>
    </w:p>
    <w:p w14:paraId="7BEEF2D0"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22"/>
          <w:szCs w:val="22"/>
          <w:lang w:eastAsia="en-US"/>
        </w:rPr>
      </w:pPr>
    </w:p>
    <w:p w14:paraId="18E60402" w14:textId="77777777" w:rsidR="00A75144" w:rsidRPr="00A75144" w:rsidRDefault="00A75144" w:rsidP="00A75144">
      <w:pPr>
        <w:spacing w:after="200" w:line="276" w:lineRule="auto"/>
        <w:ind w:left="720"/>
        <w:contextualSpacing/>
        <w:jc w:val="center"/>
        <w:rPr>
          <w:rFonts w:ascii="Times New Roman" w:eastAsia="Calibri" w:hAnsi="Times New Roman" w:cs="Times New Roman"/>
          <w:b/>
          <w:sz w:val="28"/>
          <w:szCs w:val="28"/>
          <w:lang w:eastAsia="en-US"/>
        </w:rPr>
      </w:pPr>
      <w:r w:rsidRPr="00A75144">
        <w:rPr>
          <w:rFonts w:ascii="Times New Roman" w:eastAsia="Calibri" w:hAnsi="Times New Roman" w:cs="Times New Roman"/>
          <w:b/>
          <w:sz w:val="28"/>
          <w:szCs w:val="28"/>
          <w:lang w:eastAsia="en-US"/>
        </w:rPr>
        <w:t>Division 2-Fees and levies from 1 July 2017</w:t>
      </w:r>
    </w:p>
    <w:p w14:paraId="4B3490AD" w14:textId="77777777" w:rsidR="00A75144" w:rsidRPr="00A75144" w:rsidRDefault="00A75144" w:rsidP="00A75144">
      <w:pPr>
        <w:spacing w:after="200" w:line="276" w:lineRule="auto"/>
        <w:ind w:left="720"/>
        <w:contextualSpacing/>
        <w:rPr>
          <w:rFonts w:ascii="Times New Roman" w:eastAsia="Calibri" w:hAnsi="Times New Roman" w:cs="Times New Roman"/>
          <w:b/>
          <w:sz w:val="22"/>
          <w:szCs w:val="22"/>
          <w:lang w:eastAsia="en-US"/>
        </w:rPr>
      </w:pPr>
    </w:p>
    <w:p w14:paraId="3A9F0F6B" w14:textId="77777777" w:rsidR="00A75144" w:rsidRPr="00A75144" w:rsidRDefault="00A75144" w:rsidP="00A75144">
      <w:pPr>
        <w:spacing w:after="200" w:line="276" w:lineRule="auto"/>
        <w:ind w:left="720"/>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9</w:t>
      </w:r>
      <w:r w:rsidRPr="00A75144">
        <w:rPr>
          <w:rFonts w:ascii="Times New Roman" w:eastAsia="Calibri" w:hAnsi="Times New Roman" w:cs="Times New Roman"/>
          <w:b/>
          <w:sz w:val="22"/>
          <w:szCs w:val="22"/>
          <w:lang w:eastAsia="en-US"/>
        </w:rPr>
        <w:tab/>
        <w:t>Fees payable for group recreational fishery licences</w:t>
      </w:r>
    </w:p>
    <w:p w14:paraId="031F5C28"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p>
    <w:p w14:paraId="651F2DAA" w14:textId="77777777" w:rsidR="00A75144" w:rsidRPr="00A75144" w:rsidRDefault="00A75144" w:rsidP="00A75144">
      <w:pPr>
        <w:spacing w:after="200" w:line="276" w:lineRule="auto"/>
        <w:ind w:left="144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regulation 24(1) of the Fisheries (Fees, Royalties and Levies) Regulations 2008</w:t>
      </w:r>
      <w:r w:rsidRPr="00A75144">
        <w:rPr>
          <w:rFonts w:ascii="Times New Roman" w:eastAsia="Calibri" w:hAnsi="Times New Roman" w:cs="Times New Roman"/>
          <w:sz w:val="22"/>
          <w:szCs w:val="22"/>
          <w:vertAlign w:val="superscript"/>
          <w:lang w:eastAsia="en-US"/>
        </w:rPr>
        <w:t>2</w:t>
      </w:r>
      <w:r w:rsidRPr="00A75144">
        <w:rPr>
          <w:rFonts w:ascii="Times New Roman" w:eastAsia="Calibri" w:hAnsi="Times New Roman" w:cs="Times New Roman"/>
          <w:sz w:val="22"/>
          <w:szCs w:val="22"/>
          <w:lang w:eastAsia="en-US"/>
        </w:rPr>
        <w:t xml:space="preserve"> for “$35”</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“2.51 fee units”.</w:t>
      </w:r>
    </w:p>
    <w:p w14:paraId="7827C95E"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br w:type="column"/>
      </w:r>
    </w:p>
    <w:p w14:paraId="29652099" w14:textId="77777777" w:rsidR="00A75144" w:rsidRPr="00A75144" w:rsidRDefault="00A75144" w:rsidP="00A75144">
      <w:pPr>
        <w:spacing w:after="200" w:line="276" w:lineRule="auto"/>
        <w:ind w:left="720"/>
        <w:contextualSpacing/>
        <w:rPr>
          <w:rFonts w:ascii="Times New Roman" w:eastAsia="Calibri" w:hAnsi="Times New Roman" w:cs="Times New Roman"/>
          <w:b/>
          <w:sz w:val="22"/>
          <w:szCs w:val="22"/>
          <w:lang w:eastAsia="en-US"/>
        </w:rPr>
      </w:pPr>
      <w:r w:rsidRPr="00A75144">
        <w:rPr>
          <w:rFonts w:ascii="Times New Roman" w:eastAsia="Calibri" w:hAnsi="Times New Roman" w:cs="Times New Roman"/>
          <w:b/>
          <w:sz w:val="22"/>
          <w:szCs w:val="22"/>
          <w:lang w:eastAsia="en-US"/>
        </w:rPr>
        <w:t>10</w:t>
      </w:r>
      <w:r w:rsidRPr="00A75144">
        <w:rPr>
          <w:rFonts w:ascii="Times New Roman" w:eastAsia="Calibri" w:hAnsi="Times New Roman" w:cs="Times New Roman"/>
          <w:b/>
          <w:sz w:val="22"/>
          <w:szCs w:val="22"/>
          <w:lang w:eastAsia="en-US"/>
        </w:rPr>
        <w:tab/>
        <w:t>Levies payable for recreational fishery licences</w:t>
      </w:r>
    </w:p>
    <w:p w14:paraId="27A05464" w14:textId="77777777" w:rsidR="00A75144" w:rsidRPr="00A75144" w:rsidRDefault="00A75144" w:rsidP="00A75144">
      <w:pPr>
        <w:spacing w:after="200" w:line="276" w:lineRule="auto"/>
        <w:ind w:left="720"/>
        <w:contextualSpacing/>
        <w:rPr>
          <w:rFonts w:ascii="Times New Roman" w:eastAsia="Calibri" w:hAnsi="Times New Roman" w:cs="Times New Roman"/>
          <w:sz w:val="22"/>
          <w:szCs w:val="22"/>
          <w:lang w:eastAsia="en-US"/>
        </w:rPr>
      </w:pPr>
    </w:p>
    <w:p w14:paraId="4CD24CC1" w14:textId="77777777" w:rsidR="00A75144" w:rsidRPr="00A75144" w:rsidRDefault="00A75144" w:rsidP="00A75144">
      <w:pPr>
        <w:numPr>
          <w:ilvl w:val="0"/>
          <w:numId w:val="45"/>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regulation 25(2) of the Fisheries (Fees, Royalties and Levies) Regulations 2008—</w:t>
      </w:r>
    </w:p>
    <w:p w14:paraId="3AD76C71" w14:textId="77777777" w:rsidR="00A75144" w:rsidRPr="00A75144" w:rsidRDefault="00A75144" w:rsidP="00A75144">
      <w:pPr>
        <w:spacing w:after="200" w:line="276" w:lineRule="auto"/>
        <w:ind w:left="1440"/>
        <w:contextualSpacing/>
        <w:rPr>
          <w:rFonts w:ascii="Times New Roman" w:eastAsia="Calibri" w:hAnsi="Times New Roman" w:cs="Times New Roman"/>
          <w:sz w:val="22"/>
          <w:szCs w:val="22"/>
          <w:lang w:eastAsia="en-US"/>
        </w:rPr>
      </w:pPr>
    </w:p>
    <w:p w14:paraId="75680D34" w14:textId="77777777" w:rsidR="00A75144" w:rsidRPr="00A75144" w:rsidRDefault="00A75144" w:rsidP="00A75144">
      <w:pPr>
        <w:numPr>
          <w:ilvl w:val="0"/>
          <w:numId w:val="41"/>
        </w:numPr>
        <w:spacing w:after="200" w:line="276" w:lineRule="auto"/>
        <w:ind w:left="25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(a) for “$95”</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“6.8 fee units”;</w:t>
      </w:r>
    </w:p>
    <w:p w14:paraId="33CF8225" w14:textId="77777777" w:rsidR="00A75144" w:rsidRPr="00A75144" w:rsidRDefault="00A75144" w:rsidP="00A75144">
      <w:pPr>
        <w:numPr>
          <w:ilvl w:val="0"/>
          <w:numId w:val="41"/>
        </w:numPr>
        <w:spacing w:after="200" w:line="276" w:lineRule="auto"/>
        <w:ind w:left="25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(b) for “$35”</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“2.51 fee units”;</w:t>
      </w:r>
    </w:p>
    <w:p w14:paraId="3AC0A1D4" w14:textId="77777777" w:rsidR="00A75144" w:rsidRPr="00A75144" w:rsidRDefault="00A75144" w:rsidP="00A75144">
      <w:pPr>
        <w:numPr>
          <w:ilvl w:val="0"/>
          <w:numId w:val="41"/>
        </w:numPr>
        <w:spacing w:after="200" w:line="276" w:lineRule="auto"/>
        <w:ind w:left="25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(c) for “$20”</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“1.43 fee units”;</w:t>
      </w:r>
    </w:p>
    <w:p w14:paraId="0B0D1A6F" w14:textId="77777777" w:rsidR="00A75144" w:rsidRPr="00A75144" w:rsidRDefault="00A75144" w:rsidP="00A75144">
      <w:pPr>
        <w:numPr>
          <w:ilvl w:val="0"/>
          <w:numId w:val="41"/>
        </w:numPr>
        <w:spacing w:after="200" w:line="276" w:lineRule="auto"/>
        <w:ind w:left="252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(d) for “10”</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“1 fee unit”.</w:t>
      </w:r>
    </w:p>
    <w:p w14:paraId="10BBD4B1" w14:textId="77777777" w:rsidR="00A75144" w:rsidRPr="00A75144" w:rsidRDefault="00A75144" w:rsidP="00A75144">
      <w:pPr>
        <w:spacing w:after="200" w:line="276" w:lineRule="auto"/>
        <w:ind w:left="2520"/>
        <w:contextualSpacing/>
        <w:rPr>
          <w:rFonts w:ascii="Times New Roman" w:eastAsia="Calibri" w:hAnsi="Times New Roman" w:cs="Times New Roman"/>
          <w:sz w:val="22"/>
          <w:szCs w:val="22"/>
          <w:lang w:eastAsia="en-US"/>
        </w:rPr>
      </w:pPr>
    </w:p>
    <w:p w14:paraId="10DB3EE7" w14:textId="77777777" w:rsidR="00A75144" w:rsidRPr="00A75144" w:rsidRDefault="00A75144" w:rsidP="00A75144">
      <w:pPr>
        <w:numPr>
          <w:ilvl w:val="0"/>
          <w:numId w:val="45"/>
        </w:numPr>
        <w:spacing w:after="200" w:line="276" w:lineRule="auto"/>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regulation 25(2A) of the Fisheries (Fees, Royalties and Levies) Regulations 2008—</w:t>
      </w:r>
    </w:p>
    <w:p w14:paraId="4608EB06" w14:textId="77777777" w:rsidR="00A75144" w:rsidRPr="00A75144" w:rsidRDefault="00A75144" w:rsidP="00A75144">
      <w:pPr>
        <w:numPr>
          <w:ilvl w:val="0"/>
          <w:numId w:val="46"/>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(a) for ”$90”</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“6.44 fee units”;</w:t>
      </w:r>
    </w:p>
    <w:p w14:paraId="5F2D2D7A" w14:textId="77777777" w:rsidR="00A75144" w:rsidRPr="00A75144" w:rsidRDefault="00A75144" w:rsidP="00A75144">
      <w:pPr>
        <w:numPr>
          <w:ilvl w:val="0"/>
          <w:numId w:val="46"/>
        </w:numPr>
        <w:spacing w:after="200" w:line="276" w:lineRule="auto"/>
        <w:ind w:left="2880"/>
        <w:contextualSpacing/>
        <w:rPr>
          <w:rFonts w:ascii="Times New Roman" w:eastAsia="Calibri" w:hAnsi="Times New Roman" w:cs="Times New Roman"/>
          <w:sz w:val="22"/>
          <w:szCs w:val="22"/>
          <w:lang w:eastAsia="en-US"/>
        </w:rPr>
      </w:pPr>
      <w:r w:rsidRPr="00A75144">
        <w:rPr>
          <w:rFonts w:ascii="Times New Roman" w:eastAsia="Calibri" w:hAnsi="Times New Roman" w:cs="Times New Roman"/>
          <w:sz w:val="22"/>
          <w:szCs w:val="22"/>
          <w:lang w:eastAsia="en-US"/>
        </w:rPr>
        <w:t>in paragraph (b) for “$33”</w:t>
      </w:r>
      <w:r w:rsidRPr="00A75144">
        <w:rPr>
          <w:rFonts w:ascii="Times New Roman" w:eastAsia="Calibri" w:hAnsi="Times New Roman" w:cs="Times New Roman"/>
          <w:b/>
          <w:sz w:val="22"/>
          <w:szCs w:val="22"/>
          <w:lang w:eastAsia="en-US"/>
        </w:rPr>
        <w:t xml:space="preserve"> substitute</w:t>
      </w:r>
      <w:r w:rsidRPr="00A75144">
        <w:rPr>
          <w:rFonts w:ascii="Times New Roman" w:eastAsia="Calibri" w:hAnsi="Times New Roman" w:cs="Times New Roman"/>
          <w:sz w:val="22"/>
          <w:szCs w:val="22"/>
          <w:lang w:eastAsia="en-US"/>
        </w:rPr>
        <w:t xml:space="preserve"> “2.36 fee units”.</w:t>
      </w:r>
    </w:p>
    <w:p w14:paraId="63369B87" w14:textId="77777777" w:rsidR="00A75144" w:rsidRPr="00A75144" w:rsidRDefault="00A75144" w:rsidP="00A75144">
      <w:pPr>
        <w:pBdr>
          <w:bottom w:val="single" w:sz="12" w:space="1" w:color="auto"/>
        </w:pBdr>
        <w:spacing w:after="200" w:line="276" w:lineRule="auto"/>
        <w:ind w:left="2880" w:hanging="720"/>
        <w:rPr>
          <w:rFonts w:ascii="Times New Roman" w:eastAsia="Calibri" w:hAnsi="Times New Roman" w:cs="Times New Roman"/>
          <w:sz w:val="22"/>
          <w:szCs w:val="22"/>
          <w:lang w:eastAsia="en-US"/>
        </w:rPr>
      </w:pPr>
    </w:p>
    <w:p w14:paraId="40F96DB3" w14:textId="77777777" w:rsidR="00A75144" w:rsidRPr="00A75144" w:rsidRDefault="00A75144" w:rsidP="00A75144">
      <w:pPr>
        <w:spacing w:after="200" w:line="276" w:lineRule="auto"/>
        <w:ind w:left="2880" w:hanging="720"/>
        <w:jc w:val="center"/>
        <w:rPr>
          <w:rFonts w:ascii="Times New Roman" w:eastAsia="Calibri" w:hAnsi="Times New Roman" w:cs="Times New Roman"/>
          <w:sz w:val="18"/>
          <w:szCs w:val="18"/>
          <w:lang w:eastAsia="en-US"/>
        </w:rPr>
      </w:pPr>
      <w:r w:rsidRPr="00A75144">
        <w:rPr>
          <w:rFonts w:ascii="Times New Roman" w:eastAsia="Calibri" w:hAnsi="Times New Roman" w:cs="Times New Roman"/>
          <w:sz w:val="18"/>
          <w:szCs w:val="18"/>
          <w:lang w:eastAsia="en-US"/>
        </w:rPr>
        <w:t>ENDNOTES</w:t>
      </w:r>
    </w:p>
    <w:p w14:paraId="3BF235D5" w14:textId="77777777" w:rsidR="00A75144" w:rsidRPr="00A75144" w:rsidRDefault="00A75144" w:rsidP="00A75144">
      <w:pPr>
        <w:spacing w:after="200" w:line="276" w:lineRule="auto"/>
        <w:ind w:left="720"/>
        <w:contextualSpacing/>
        <w:rPr>
          <w:rFonts w:ascii="Times New Roman" w:eastAsia="Calibri" w:hAnsi="Times New Roman" w:cs="Times New Roman"/>
          <w:sz w:val="18"/>
          <w:szCs w:val="18"/>
          <w:lang w:eastAsia="en-US"/>
        </w:rPr>
      </w:pPr>
      <w:r w:rsidRPr="00A75144">
        <w:rPr>
          <w:rFonts w:ascii="Times New Roman" w:eastAsia="Calibri" w:hAnsi="Times New Roman" w:cs="Times New Roman"/>
          <w:sz w:val="18"/>
          <w:szCs w:val="18"/>
          <w:vertAlign w:val="superscript"/>
          <w:lang w:eastAsia="en-US"/>
        </w:rPr>
        <w:t>1</w:t>
      </w:r>
      <w:r w:rsidRPr="00A75144">
        <w:rPr>
          <w:rFonts w:ascii="Times New Roman" w:eastAsia="Calibri" w:hAnsi="Times New Roman" w:cs="Times New Roman"/>
          <w:sz w:val="18"/>
          <w:szCs w:val="18"/>
          <w:lang w:eastAsia="en-US"/>
        </w:rPr>
        <w:t xml:space="preserve"> Reg.4: S.R. No. 2/2009 Reprint No. 1 as at October 2013.  Reprinted to S. R. No. 18/2013.  Subsequently amended by S. R. Nos. 168/2013, 5/2014, 96/2014 and XX/2016.</w:t>
      </w:r>
    </w:p>
    <w:p w14:paraId="560802FF" w14:textId="77777777" w:rsidR="00A75144" w:rsidRPr="00A75144" w:rsidRDefault="00A75144" w:rsidP="00A75144">
      <w:pPr>
        <w:spacing w:after="200" w:line="276" w:lineRule="auto"/>
        <w:ind w:left="720"/>
        <w:rPr>
          <w:rFonts w:ascii="Times New Roman" w:eastAsia="Calibri" w:hAnsi="Times New Roman" w:cs="Times New Roman"/>
          <w:sz w:val="18"/>
          <w:szCs w:val="18"/>
          <w:lang w:eastAsia="en-US"/>
        </w:rPr>
      </w:pPr>
      <w:r w:rsidRPr="00A75144">
        <w:rPr>
          <w:rFonts w:ascii="Times New Roman" w:eastAsia="Calibri" w:hAnsi="Times New Roman" w:cs="Times New Roman"/>
          <w:sz w:val="18"/>
          <w:szCs w:val="18"/>
          <w:vertAlign w:val="superscript"/>
          <w:lang w:eastAsia="en-US"/>
        </w:rPr>
        <w:t>2</w:t>
      </w:r>
      <w:r w:rsidRPr="00A75144">
        <w:rPr>
          <w:rFonts w:ascii="Times New Roman" w:eastAsia="Calibri" w:hAnsi="Times New Roman" w:cs="Times New Roman"/>
          <w:sz w:val="18"/>
          <w:szCs w:val="18"/>
          <w:lang w:eastAsia="en-US"/>
        </w:rPr>
        <w:t xml:space="preserve"> Reg.7(1): S. R. No. 4/2008. Reprint No. 1 as at 1 April 2014. Reprinted to S. R. No. 5/2014.  Subsequently amended by S R No. 96/2014, 12/2015 and XX/2016</w:t>
      </w:r>
    </w:p>
    <w:p w14:paraId="0C67C994" w14:textId="77777777" w:rsidR="00A75144" w:rsidRPr="00A75144" w:rsidRDefault="00A75144" w:rsidP="00A75144">
      <w:pPr>
        <w:spacing w:after="200" w:line="276" w:lineRule="auto"/>
        <w:rPr>
          <w:rFonts w:ascii="Times New Roman" w:eastAsia="Calibri" w:hAnsi="Times New Roman" w:cs="Times New Roman"/>
          <w:sz w:val="22"/>
          <w:szCs w:val="22"/>
          <w:lang w:eastAsia="en-US"/>
        </w:rPr>
      </w:pPr>
    </w:p>
    <w:p w14:paraId="2BF6BE0F" w14:textId="6F50191D" w:rsidR="00322762" w:rsidRDefault="00322762" w:rsidP="006C6C78"/>
    <w:sectPr w:rsidR="00322762" w:rsidSect="00A75144">
      <w:headerReference w:type="even" r:id="rId79"/>
      <w:headerReference w:type="default" r:id="rId80"/>
      <w:footerReference w:type="default" r:id="rId8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66B42" w14:textId="77777777" w:rsidR="00792EFD" w:rsidRDefault="00792EFD" w:rsidP="006C6C78">
      <w:r>
        <w:separator/>
      </w:r>
    </w:p>
  </w:endnote>
  <w:endnote w:type="continuationSeparator" w:id="0">
    <w:p w14:paraId="3064395B" w14:textId="77777777" w:rsidR="00792EFD" w:rsidRDefault="00792EFD" w:rsidP="006C6C78">
      <w:r>
        <w:continuationSeparator/>
      </w:r>
    </w:p>
  </w:endnote>
  <w:endnote w:type="continuationNotice" w:id="1">
    <w:p w14:paraId="632D768E" w14:textId="77777777" w:rsidR="00792EFD" w:rsidRDefault="00792EFD" w:rsidP="006C6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Interstate-Light">
    <w:altName w:val="Times New Roman"/>
    <w:panose1 w:val="00000000000000000000"/>
    <w:charset w:val="00"/>
    <w:family w:val="auto"/>
    <w:notTrueType/>
    <w:pitch w:val="variable"/>
    <w:sig w:usb0="00000003" w:usb1="00000000" w:usb2="00000000" w:usb3="00000000" w:csb0="00000001" w:csb1="00000000"/>
  </w:font>
  <w:font w:name="MetaBold-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axis Regular/Regular SC">
    <w:altName w:val="Cambria"/>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E20E1" w14:textId="77777777" w:rsidR="007719D0" w:rsidRDefault="007719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79757"/>
      <w:docPartObj>
        <w:docPartGallery w:val="Page Numbers (Bottom of Page)"/>
        <w:docPartUnique/>
      </w:docPartObj>
    </w:sdtPr>
    <w:sdtEndPr>
      <w:rPr>
        <w:noProof/>
      </w:rPr>
    </w:sdtEndPr>
    <w:sdtContent>
      <w:p w14:paraId="16F9CDE2" w14:textId="77777777" w:rsidR="00792EFD" w:rsidRPr="000039F1" w:rsidRDefault="00792EFD" w:rsidP="00C50C2F">
        <w:pPr>
          <w:pStyle w:val="Footer"/>
          <w:jc w:val="right"/>
        </w:pPr>
        <w:r>
          <w:fldChar w:fldCharType="begin"/>
        </w:r>
        <w:r>
          <w:instrText xml:space="preserve"> PAGE   \* MERGEFORMAT </w:instrText>
        </w:r>
        <w:r>
          <w:fldChar w:fldCharType="separate"/>
        </w:r>
        <w:r w:rsidR="002424F8">
          <w:rPr>
            <w:noProof/>
          </w:rPr>
          <w:t>i</w:t>
        </w:r>
        <w:r>
          <w:rPr>
            <w:noProof/>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172AD" w14:textId="77777777" w:rsidR="00792EFD" w:rsidRPr="005C1CD5" w:rsidRDefault="00792EFD" w:rsidP="006C6C78">
    <w:pPr>
      <w:pStyle w:val="Footer"/>
    </w:pP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3</w:t>
    </w:r>
    <w:r w:rsidRPr="005C1CD5">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396140"/>
      <w:docPartObj>
        <w:docPartGallery w:val="Page Numbers (Bottom of Page)"/>
        <w:docPartUnique/>
      </w:docPartObj>
    </w:sdtPr>
    <w:sdtEndPr>
      <w:rPr>
        <w:noProof/>
      </w:rPr>
    </w:sdtEndPr>
    <w:sdtContent>
      <w:p w14:paraId="6C717AC2" w14:textId="3C647D3F" w:rsidR="00792EFD" w:rsidRPr="00C4595A" w:rsidRDefault="00792EFD" w:rsidP="006C6C78">
        <w:pPr>
          <w:pStyle w:val="Footer"/>
        </w:pPr>
        <w:r>
          <w:tab/>
        </w:r>
        <w:r>
          <w:tab/>
        </w:r>
        <w:r w:rsidRPr="00C4595A">
          <w:fldChar w:fldCharType="begin"/>
        </w:r>
        <w:r w:rsidRPr="00C4595A">
          <w:instrText xml:space="preserve"> PAGE   \* MERGEFORMAT </w:instrText>
        </w:r>
        <w:r w:rsidRPr="00C4595A">
          <w:fldChar w:fldCharType="separate"/>
        </w:r>
        <w:r w:rsidR="002424F8">
          <w:rPr>
            <w:noProof/>
          </w:rPr>
          <w:t>1</w:t>
        </w:r>
        <w:r w:rsidRPr="00C4595A">
          <w:rPr>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9316"/>
      <w:docPartObj>
        <w:docPartGallery w:val="Page Numbers (Bottom of Page)"/>
        <w:docPartUnique/>
      </w:docPartObj>
    </w:sdtPr>
    <w:sdtEndPr>
      <w:rPr>
        <w:noProof/>
      </w:rPr>
    </w:sdtEndPr>
    <w:sdtContent>
      <w:p w14:paraId="53FFEE58" w14:textId="77777777" w:rsidR="00792EFD" w:rsidRDefault="00792EFD" w:rsidP="001722FF">
        <w:pPr>
          <w:pStyle w:val="Footer"/>
          <w:jc w:val="right"/>
        </w:pPr>
        <w:r>
          <w:fldChar w:fldCharType="begin"/>
        </w:r>
        <w:r>
          <w:instrText xml:space="preserve"> PAGE   \* MERGEFORMAT </w:instrText>
        </w:r>
        <w:r>
          <w:fldChar w:fldCharType="separate"/>
        </w:r>
        <w:r>
          <w:rPr>
            <w:noProof/>
          </w:rPr>
          <w:t>20</w:t>
        </w:r>
        <w:r>
          <w:rPr>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2F4D" w14:textId="77777777" w:rsidR="00792EFD" w:rsidRPr="005C1CD5" w:rsidRDefault="00792EFD" w:rsidP="006C6C78">
    <w:pPr>
      <w:pStyle w:val="Footer"/>
    </w:pP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20</w:t>
    </w:r>
    <w:r w:rsidRPr="005C1CD5">
      <w:rPr>
        <w:rStyle w:val="PageNumber"/>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539645"/>
      <w:docPartObj>
        <w:docPartGallery w:val="Page Numbers (Bottom of Page)"/>
        <w:docPartUnique/>
      </w:docPartObj>
    </w:sdtPr>
    <w:sdtEndPr>
      <w:rPr>
        <w:noProof/>
      </w:rPr>
    </w:sdtEndPr>
    <w:sdtContent>
      <w:p w14:paraId="41CF9349" w14:textId="77777777" w:rsidR="00792EFD" w:rsidRDefault="00792EFD" w:rsidP="003D7E65">
        <w:pPr>
          <w:pStyle w:val="Footer"/>
          <w:jc w:val="right"/>
        </w:pPr>
        <w:r>
          <w:fldChar w:fldCharType="begin"/>
        </w:r>
        <w:r>
          <w:instrText xml:space="preserve"> PAGE   \* MERGEFORMAT </w:instrText>
        </w:r>
        <w:r>
          <w:fldChar w:fldCharType="separate"/>
        </w:r>
        <w:r w:rsidR="002424F8">
          <w:rPr>
            <w:noProof/>
          </w:rPr>
          <w:t>4</w:t>
        </w:r>
        <w:r>
          <w:rPr>
            <w:noProof/>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158305"/>
      <w:docPartObj>
        <w:docPartGallery w:val="Page Numbers (Bottom of Page)"/>
        <w:docPartUnique/>
      </w:docPartObj>
    </w:sdtPr>
    <w:sdtEndPr>
      <w:rPr>
        <w:noProof/>
      </w:rPr>
    </w:sdtEndPr>
    <w:sdtContent>
      <w:p w14:paraId="23CA8659" w14:textId="723CFFF7" w:rsidR="00792EFD" w:rsidRDefault="00792EFD" w:rsidP="00072245">
        <w:pPr>
          <w:pStyle w:val="Footer"/>
          <w:ind w:left="4320" w:firstLine="3600"/>
        </w:pPr>
        <w:r>
          <w:tab/>
        </w:r>
        <w:r>
          <w:tab/>
        </w:r>
        <w:r>
          <w:tab/>
        </w:r>
        <w:r>
          <w:tab/>
        </w:r>
        <w:r>
          <w:tab/>
        </w:r>
        <w:r>
          <w:tab/>
        </w:r>
        <w:r>
          <w:tab/>
        </w:r>
        <w:r>
          <w:tab/>
        </w:r>
        <w:r>
          <w:fldChar w:fldCharType="begin"/>
        </w:r>
        <w:r>
          <w:instrText xml:space="preserve"> PAGE   \* MERGEFORMAT </w:instrText>
        </w:r>
        <w:r>
          <w:fldChar w:fldCharType="separate"/>
        </w:r>
        <w:r w:rsidR="002424F8">
          <w:rPr>
            <w:noProof/>
          </w:rPr>
          <w:t>23</w:t>
        </w:r>
        <w:r>
          <w:rPr>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881654"/>
      <w:docPartObj>
        <w:docPartGallery w:val="Page Numbers (Bottom of Page)"/>
        <w:docPartUnique/>
      </w:docPartObj>
    </w:sdtPr>
    <w:sdtEndPr>
      <w:rPr>
        <w:noProof/>
      </w:rPr>
    </w:sdtEndPr>
    <w:sdtContent>
      <w:p w14:paraId="6A1E0852" w14:textId="77777777" w:rsidR="00792EFD" w:rsidRDefault="00792EFD" w:rsidP="009206E4">
        <w:pPr>
          <w:pStyle w:val="Footer"/>
          <w:jc w:val="right"/>
        </w:pPr>
        <w:r>
          <w:fldChar w:fldCharType="begin"/>
        </w:r>
        <w:r>
          <w:instrText xml:space="preserve"> PAGE   \* MERGEFORMAT </w:instrText>
        </w:r>
        <w:r>
          <w:fldChar w:fldCharType="separate"/>
        </w:r>
        <w:r>
          <w:rPr>
            <w:noProof/>
          </w:rPr>
          <w:t>40</w:t>
        </w:r>
        <w:r>
          <w:rPr>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ABD8" w14:textId="37D319B2" w:rsidR="00792EFD" w:rsidRPr="005C1CD5" w:rsidRDefault="00792EFD" w:rsidP="006C6C78">
    <w:pPr>
      <w:pStyle w:val="Footer"/>
    </w:pP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22</w:t>
    </w:r>
    <w:r w:rsidRPr="005C1CD5">
      <w:rPr>
        <w:rStyle w:val="PageNumber"/>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DCA3E" w14:textId="1ED4707C" w:rsidR="00792EFD" w:rsidRPr="005C1CD5" w:rsidRDefault="00792EFD" w:rsidP="006C6C78">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27</w:t>
    </w:r>
    <w:r w:rsidRPr="005C1CD5">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65C79" w14:textId="77777777" w:rsidR="007719D0" w:rsidRDefault="007719D0">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93E76" w14:textId="539C8C00" w:rsidR="00792EFD" w:rsidRPr="00813A7E" w:rsidRDefault="00792EFD" w:rsidP="00813A7E">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2424F8">
      <w:rPr>
        <w:rStyle w:val="PageNumber"/>
        <w:noProof/>
      </w:rPr>
      <w:t>26</w:t>
    </w:r>
    <w:r>
      <w:rPr>
        <w:rStyle w:val="PageNumber"/>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4B92F" w14:textId="77777777" w:rsidR="00792EFD" w:rsidRPr="005C1CD5" w:rsidRDefault="00792EFD" w:rsidP="006C6C78">
    <w:pPr>
      <w:pStyle w:val="Footer"/>
    </w:pP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29</w:t>
    </w:r>
    <w:r w:rsidRPr="005C1CD5">
      <w:rPr>
        <w:rStyle w:val="PageNumber"/>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990076"/>
      <w:docPartObj>
        <w:docPartGallery w:val="Page Numbers (Bottom of Page)"/>
        <w:docPartUnique/>
      </w:docPartObj>
    </w:sdtPr>
    <w:sdtEndPr>
      <w:rPr>
        <w:noProof/>
      </w:rPr>
    </w:sdtEndPr>
    <w:sdtContent>
      <w:p w14:paraId="4A44C853" w14:textId="77777777" w:rsidR="00792EFD" w:rsidRDefault="00792EFD" w:rsidP="009206E4">
        <w:pPr>
          <w:pStyle w:val="Footer"/>
          <w:jc w:val="right"/>
        </w:pPr>
        <w:r>
          <w:fldChar w:fldCharType="begin"/>
        </w:r>
        <w:r>
          <w:instrText xml:space="preserve"> PAGE   \* MERGEFORMAT </w:instrText>
        </w:r>
        <w:r>
          <w:fldChar w:fldCharType="separate"/>
        </w:r>
        <w:r w:rsidR="002424F8">
          <w:rPr>
            <w:noProof/>
          </w:rPr>
          <w:t>28</w:t>
        </w:r>
        <w:r>
          <w:rPr>
            <w:noProof/>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986190"/>
      <w:docPartObj>
        <w:docPartGallery w:val="Page Numbers (Bottom of Page)"/>
        <w:docPartUnique/>
      </w:docPartObj>
    </w:sdtPr>
    <w:sdtEndPr>
      <w:rPr>
        <w:noProof/>
      </w:rPr>
    </w:sdtEndPr>
    <w:sdtContent>
      <w:p w14:paraId="49888B1A" w14:textId="77777777" w:rsidR="00792EFD" w:rsidRDefault="00792EFD" w:rsidP="00072245">
        <w:pPr>
          <w:pStyle w:val="Footer"/>
          <w:ind w:left="4320" w:firstLine="3600"/>
        </w:pPr>
        <w:r>
          <w:fldChar w:fldCharType="begin"/>
        </w:r>
        <w:r>
          <w:instrText xml:space="preserve"> PAGE   \* MERGEFORMAT </w:instrText>
        </w:r>
        <w:r>
          <w:fldChar w:fldCharType="separate"/>
        </w:r>
        <w:r w:rsidR="002424F8">
          <w:rPr>
            <w:noProof/>
          </w:rPr>
          <w:t>30</w:t>
        </w:r>
        <w:r>
          <w:rPr>
            <w:noProof/>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087259"/>
      <w:docPartObj>
        <w:docPartGallery w:val="Page Numbers (Bottom of Page)"/>
        <w:docPartUnique/>
      </w:docPartObj>
    </w:sdtPr>
    <w:sdtEndPr>
      <w:rPr>
        <w:noProof/>
      </w:rPr>
    </w:sdtEndPr>
    <w:sdtContent>
      <w:p w14:paraId="3C10D022" w14:textId="77777777" w:rsidR="00792EFD" w:rsidRDefault="00792EFD" w:rsidP="00072245">
        <w:pPr>
          <w:pStyle w:val="Footer"/>
          <w:ind w:left="4320" w:firstLine="3600"/>
        </w:pPr>
        <w:r>
          <w:fldChar w:fldCharType="begin"/>
        </w:r>
        <w:r>
          <w:instrText xml:space="preserve"> PAGE   \* MERGEFORMAT </w:instrText>
        </w:r>
        <w:r>
          <w:fldChar w:fldCharType="separate"/>
        </w:r>
        <w:r w:rsidR="002424F8">
          <w:rPr>
            <w:noProof/>
          </w:rPr>
          <w:t>31</w:t>
        </w:r>
        <w:r>
          <w:rPr>
            <w:noProof/>
          </w:rP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F9187" w14:textId="77777777" w:rsidR="00792EFD" w:rsidRPr="005C1CD5" w:rsidRDefault="00792EFD" w:rsidP="006C6C78">
    <w:pPr>
      <w:pStyle w:val="Footer"/>
    </w:pPr>
    <w:r>
      <w:rPr>
        <w:rStyle w:val="PageNumber"/>
      </w:rPr>
      <w:tab/>
    </w:r>
    <w:r>
      <w:rPr>
        <w:rStyle w:val="PageNumber"/>
      </w:rPr>
      <w:tab/>
    </w:r>
    <w:r w:rsidRPr="005C1CD5">
      <w:rPr>
        <w:rStyle w:val="PageNumber"/>
      </w:rPr>
      <w:fldChar w:fldCharType="begin"/>
    </w:r>
    <w:r w:rsidRPr="005C1CD5">
      <w:rPr>
        <w:rStyle w:val="PageNumber"/>
      </w:rPr>
      <w:instrText xml:space="preserve"> PAGE </w:instrText>
    </w:r>
    <w:r w:rsidRPr="005C1CD5">
      <w:rPr>
        <w:rStyle w:val="PageNumber"/>
      </w:rPr>
      <w:fldChar w:fldCharType="separate"/>
    </w:r>
    <w:r w:rsidR="002424F8">
      <w:rPr>
        <w:rStyle w:val="PageNumber"/>
        <w:noProof/>
      </w:rPr>
      <w:t>39</w:t>
    </w:r>
    <w:r w:rsidRPr="005C1CD5">
      <w:rPr>
        <w:rStyle w:val="PageNumber"/>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496951"/>
      <w:docPartObj>
        <w:docPartGallery w:val="Page Numbers (Bottom of Page)"/>
        <w:docPartUnique/>
      </w:docPartObj>
    </w:sdtPr>
    <w:sdtEndPr>
      <w:rPr>
        <w:noProof/>
      </w:rPr>
    </w:sdtEndPr>
    <w:sdtContent>
      <w:p w14:paraId="76C44590" w14:textId="77777777" w:rsidR="00792EFD" w:rsidRPr="00371DFB" w:rsidRDefault="00792EFD" w:rsidP="009562C7">
        <w:pPr>
          <w:pStyle w:val="Footer"/>
          <w:jc w:val="right"/>
        </w:pPr>
        <w:r>
          <w:fldChar w:fldCharType="begin"/>
        </w:r>
        <w:r>
          <w:instrText xml:space="preserve"> PAGE   \* MERGEFORMAT </w:instrText>
        </w:r>
        <w:r>
          <w:fldChar w:fldCharType="separate"/>
        </w:r>
        <w:r w:rsidR="002424F8">
          <w:rPr>
            <w:noProof/>
          </w:rPr>
          <w:t>32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784159"/>
      <w:docPartObj>
        <w:docPartGallery w:val="Page Numbers (Bottom of Page)"/>
        <w:docPartUnique/>
      </w:docPartObj>
    </w:sdtPr>
    <w:sdtEndPr>
      <w:rPr>
        <w:noProof/>
      </w:rPr>
    </w:sdtEndPr>
    <w:sdtContent>
      <w:p w14:paraId="1D5DBD8D" w14:textId="77777777" w:rsidR="00792EFD" w:rsidRDefault="00792EFD">
        <w:pPr>
          <w:pStyle w:val="Footer"/>
          <w:jc w:val="right"/>
        </w:pPr>
        <w:r>
          <w:fldChar w:fldCharType="begin"/>
        </w:r>
        <w:r>
          <w:instrText xml:space="preserve"> PAGE   \* MERGEFORMAT </w:instrText>
        </w:r>
        <w:r>
          <w:fldChar w:fldCharType="separate"/>
        </w:r>
        <w:r w:rsidR="002424F8">
          <w:rPr>
            <w:noProof/>
          </w:rPr>
          <w:t>43</w:t>
        </w:r>
        <w:r>
          <w:rPr>
            <w:noProof/>
          </w:rPr>
          <w:fldChar w:fldCharType="end"/>
        </w:r>
      </w:p>
    </w:sdtContent>
  </w:sdt>
  <w:p w14:paraId="303D99DF" w14:textId="77777777" w:rsidR="00792EFD" w:rsidRDefault="00792E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2229F" w14:textId="77777777" w:rsidR="007719D0" w:rsidRDefault="007719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FB833" w14:textId="77777777" w:rsidR="00792EFD" w:rsidRDefault="00792EFD" w:rsidP="006C6C7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FAF98" w14:textId="77777777" w:rsidR="00792EFD" w:rsidRPr="00371DFB" w:rsidRDefault="00792EFD" w:rsidP="006C6C78">
    <w:pPr>
      <w:pStyle w:val="Footer"/>
      <w:rPr>
        <w:rFonts w:asciiTheme="majorHAnsi" w:hAnsiTheme="majorHAnsi"/>
      </w:rPr>
    </w:pPr>
    <w:r>
      <w:tab/>
    </w:r>
    <w:r>
      <w:tab/>
    </w:r>
    <w:r>
      <w:tab/>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4D787" w14:textId="77777777" w:rsidR="00792EFD" w:rsidRDefault="00792EFD" w:rsidP="006C6C7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62783" w14:textId="77777777" w:rsidR="00792EFD" w:rsidRDefault="00792EFD" w:rsidP="006C6C7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30565"/>
      <w:docPartObj>
        <w:docPartGallery w:val="Page Numbers (Bottom of Page)"/>
        <w:docPartUnique/>
      </w:docPartObj>
    </w:sdtPr>
    <w:sdtEndPr>
      <w:rPr>
        <w:noProof/>
      </w:rPr>
    </w:sdtEndPr>
    <w:sdtContent>
      <w:p w14:paraId="79A65724" w14:textId="77777777" w:rsidR="00792EFD" w:rsidRDefault="00792EFD" w:rsidP="00072245">
        <w:pPr>
          <w:pStyle w:val="Footer"/>
          <w:ind w:left="4320" w:firstLine="3600"/>
        </w:pPr>
        <w:r>
          <w:fldChar w:fldCharType="begin"/>
        </w:r>
        <w:r>
          <w:instrText xml:space="preserve"> PAGE   \* MERGEFORMAT </w:instrText>
        </w:r>
        <w:r>
          <w:fldChar w:fldCharType="separate"/>
        </w:r>
        <w:r>
          <w:rPr>
            <w:noProof/>
          </w:rPr>
          <w:t>2</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129399"/>
      <w:docPartObj>
        <w:docPartGallery w:val="Page Numbers (Bottom of Page)"/>
        <w:docPartUnique/>
      </w:docPartObj>
    </w:sdtPr>
    <w:sdtEndPr>
      <w:rPr>
        <w:noProof/>
      </w:rPr>
    </w:sdtEndPr>
    <w:sdtContent>
      <w:p w14:paraId="65C20587" w14:textId="77777777" w:rsidR="00792EFD" w:rsidRPr="00397058" w:rsidRDefault="00792EFD" w:rsidP="00C50C2F">
        <w:pPr>
          <w:pStyle w:val="Footer"/>
          <w:jc w:val="right"/>
        </w:pPr>
        <w:r>
          <w:fldChar w:fldCharType="begin"/>
        </w:r>
        <w:r>
          <w:instrText xml:space="preserve"> PAGE   \* MERGEFORMAT </w:instrText>
        </w:r>
        <w:r>
          <w:fldChar w:fldCharType="separate"/>
        </w:r>
        <w:r w:rsidR="002424F8">
          <w:rPr>
            <w:noProof/>
          </w:rPr>
          <w:t>iv</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F23DB" w14:textId="77777777" w:rsidR="00792EFD" w:rsidRDefault="00792EFD" w:rsidP="006C6C78">
      <w:r>
        <w:separator/>
      </w:r>
    </w:p>
  </w:footnote>
  <w:footnote w:type="continuationSeparator" w:id="0">
    <w:p w14:paraId="3DF204D3" w14:textId="77777777" w:rsidR="00792EFD" w:rsidRDefault="00792EFD" w:rsidP="006C6C78">
      <w:r>
        <w:continuationSeparator/>
      </w:r>
    </w:p>
  </w:footnote>
  <w:footnote w:type="continuationNotice" w:id="1">
    <w:p w14:paraId="5F3E98E2" w14:textId="77777777" w:rsidR="00792EFD" w:rsidRDefault="00792EFD" w:rsidP="006C6C78"/>
  </w:footnote>
  <w:footnote w:id="2">
    <w:p w14:paraId="6B826EBC" w14:textId="77777777" w:rsidR="00792EFD" w:rsidRPr="00AE7257" w:rsidRDefault="00792EFD">
      <w:pPr>
        <w:pStyle w:val="FootnoteText"/>
        <w:rPr>
          <w:sz w:val="18"/>
          <w:szCs w:val="18"/>
        </w:rPr>
      </w:pPr>
      <w:r w:rsidRPr="00AE7257">
        <w:rPr>
          <w:rStyle w:val="FootnoteReference"/>
          <w:sz w:val="18"/>
          <w:szCs w:val="18"/>
        </w:rPr>
        <w:footnoteRef/>
      </w:r>
      <w:r w:rsidRPr="00AE7257">
        <w:rPr>
          <w:sz w:val="18"/>
          <w:szCs w:val="18"/>
        </w:rPr>
        <w:t xml:space="preserve"> Group licences are not common, and the actual costs associated with administration of the licence and the impact of the fishing undertaken by the group will be different in each case. The issue of a Group licence is discretionary by the Department, and is based on the particular circumstances of a proposed recreational fishing event.</w:t>
      </w:r>
    </w:p>
  </w:footnote>
  <w:footnote w:id="3">
    <w:p w14:paraId="05DF159E" w14:textId="77777777" w:rsidR="00792EFD" w:rsidRPr="00AE7257" w:rsidRDefault="00792EFD" w:rsidP="00A34474">
      <w:pPr>
        <w:pStyle w:val="Footernotes"/>
        <w:rPr>
          <w:sz w:val="18"/>
          <w:szCs w:val="18"/>
        </w:rPr>
      </w:pPr>
      <w:r w:rsidRPr="00AE7257">
        <w:rPr>
          <w:rStyle w:val="FootnoteReference"/>
          <w:sz w:val="18"/>
          <w:szCs w:val="18"/>
        </w:rPr>
        <w:footnoteRef/>
      </w:r>
      <w:r w:rsidRPr="00AE7257">
        <w:rPr>
          <w:sz w:val="18"/>
          <w:szCs w:val="18"/>
        </w:rPr>
        <w:t xml:space="preserve"> The study was undertaken by Ernst &amp; Young, commissioned by VRFish. It is available on the VRFish website. The results are based on extensive primary market research.</w:t>
      </w:r>
    </w:p>
  </w:footnote>
  <w:footnote w:id="4">
    <w:p w14:paraId="5A4CF07D" w14:textId="77777777" w:rsidR="00792EFD" w:rsidRPr="00AE7257" w:rsidRDefault="00792EFD" w:rsidP="009D04F0">
      <w:pPr>
        <w:pStyle w:val="Footernotes"/>
        <w:rPr>
          <w:sz w:val="18"/>
          <w:szCs w:val="18"/>
        </w:rPr>
      </w:pPr>
      <w:r w:rsidRPr="00AE7257">
        <w:rPr>
          <w:rStyle w:val="FootnoteReference"/>
          <w:sz w:val="18"/>
          <w:szCs w:val="18"/>
        </w:rPr>
        <w:footnoteRef/>
      </w:r>
      <w:r w:rsidRPr="00AE7257">
        <w:rPr>
          <w:sz w:val="18"/>
          <w:szCs w:val="18"/>
        </w:rPr>
        <w:t xml:space="preserve"> Licence duration varies from 2 days to 3 years, so the number of licences issued in a single year does not equal the number of individuals licensed to fish in any year.</w:t>
      </w:r>
    </w:p>
  </w:footnote>
  <w:footnote w:id="5">
    <w:p w14:paraId="54B2DE0D" w14:textId="77777777" w:rsidR="00792EFD" w:rsidRPr="00AE7257" w:rsidRDefault="00792EFD" w:rsidP="00326F41">
      <w:pPr>
        <w:pStyle w:val="Footernotes"/>
        <w:rPr>
          <w:rFonts w:eastAsia="Calibri"/>
          <w:sz w:val="18"/>
          <w:szCs w:val="18"/>
        </w:rPr>
      </w:pPr>
      <w:r w:rsidRPr="00AE7257">
        <w:rPr>
          <w:rStyle w:val="FootnoteReference"/>
          <w:sz w:val="18"/>
          <w:szCs w:val="18"/>
        </w:rPr>
        <w:footnoteRef/>
      </w:r>
      <w:r w:rsidRPr="00AE7257">
        <w:rPr>
          <w:sz w:val="18"/>
          <w:szCs w:val="18"/>
        </w:rPr>
        <w:t xml:space="preserve"> </w:t>
      </w:r>
      <w:r w:rsidRPr="00AE7257">
        <w:rPr>
          <w:rFonts w:eastAsia="Calibri"/>
          <w:sz w:val="18"/>
          <w:szCs w:val="18"/>
        </w:rPr>
        <w:t xml:space="preserve">The State's population is expected to grow from 5.6 million to 10 million over the next 40 years. The proportion of the population aged 65 years and older is projected to increase from 14 per cent to 22 per cent by 2051. Source: </w:t>
      </w:r>
      <w:r w:rsidRPr="00AE7257">
        <w:rPr>
          <w:rFonts w:eastAsia="Calibri"/>
          <w:i/>
          <w:sz w:val="18"/>
          <w:szCs w:val="18"/>
        </w:rPr>
        <w:t>Victoria in Future</w:t>
      </w:r>
      <w:r w:rsidRPr="00AE7257">
        <w:rPr>
          <w:rFonts w:eastAsia="Calibri"/>
          <w:sz w:val="18"/>
          <w:szCs w:val="18"/>
        </w:rPr>
        <w:t xml:space="preserve"> (</w:t>
      </w:r>
      <w:r>
        <w:rPr>
          <w:rFonts w:eastAsia="Calibri"/>
          <w:sz w:val="18"/>
          <w:szCs w:val="18"/>
        </w:rPr>
        <w:t>2015) Department of Environment</w:t>
      </w:r>
      <w:r w:rsidRPr="00AE7257">
        <w:rPr>
          <w:rFonts w:eastAsia="Calibri"/>
          <w:sz w:val="18"/>
          <w:szCs w:val="18"/>
        </w:rPr>
        <w:t>, Land, Water and Planning.</w:t>
      </w:r>
    </w:p>
    <w:p w14:paraId="6CFD6F1D" w14:textId="77777777" w:rsidR="00792EFD" w:rsidRPr="00AE7257" w:rsidRDefault="00792EFD" w:rsidP="00326F41">
      <w:pPr>
        <w:pStyle w:val="FootnoteText"/>
        <w:rPr>
          <w:sz w:val="18"/>
          <w:szCs w:val="18"/>
        </w:rPr>
      </w:pPr>
    </w:p>
  </w:footnote>
  <w:footnote w:id="6">
    <w:p w14:paraId="519C95EF" w14:textId="77777777" w:rsidR="00792EFD" w:rsidRPr="00AE7257" w:rsidRDefault="00792EFD">
      <w:pPr>
        <w:pStyle w:val="FootnoteText"/>
        <w:rPr>
          <w:sz w:val="18"/>
          <w:szCs w:val="18"/>
        </w:rPr>
      </w:pPr>
      <w:r w:rsidRPr="00AE7257">
        <w:rPr>
          <w:rStyle w:val="FootnoteReference"/>
          <w:sz w:val="18"/>
          <w:szCs w:val="18"/>
        </w:rPr>
        <w:footnoteRef/>
      </w:r>
      <w:r w:rsidRPr="00AE7257">
        <w:rPr>
          <w:sz w:val="18"/>
          <w:szCs w:val="18"/>
        </w:rPr>
        <w:t xml:space="preserve"> The proposed Regulations would change the fees from money amounts into </w:t>
      </w:r>
      <w:r>
        <w:rPr>
          <w:sz w:val="18"/>
          <w:szCs w:val="18"/>
        </w:rPr>
        <w:t>fee units</w:t>
      </w:r>
      <w:r w:rsidRPr="00AE7257">
        <w:rPr>
          <w:sz w:val="18"/>
          <w:szCs w:val="18"/>
        </w:rPr>
        <w:t xml:space="preserve"> to allow annual indexation under the </w:t>
      </w:r>
      <w:r w:rsidRPr="00954A2E">
        <w:rPr>
          <w:sz w:val="18"/>
          <w:szCs w:val="18"/>
        </w:rPr>
        <w:t>Monetary Units Act</w:t>
      </w:r>
      <w:r w:rsidRPr="00AE7257">
        <w:rPr>
          <w:sz w:val="18"/>
          <w:szCs w:val="18"/>
        </w:rPr>
        <w:t>.</w:t>
      </w:r>
    </w:p>
  </w:footnote>
  <w:footnote w:id="7">
    <w:p w14:paraId="7F30C8F6" w14:textId="77777777" w:rsidR="00792EFD" w:rsidRPr="000F1E0F" w:rsidRDefault="00792EFD">
      <w:pPr>
        <w:pStyle w:val="FootnoteText"/>
        <w:rPr>
          <w:sz w:val="18"/>
          <w:szCs w:val="18"/>
          <w:lang w:val="en-US"/>
        </w:rPr>
      </w:pPr>
      <w:r w:rsidRPr="000F1E0F">
        <w:rPr>
          <w:rStyle w:val="FootnoteReference"/>
          <w:sz w:val="18"/>
          <w:szCs w:val="18"/>
        </w:rPr>
        <w:footnoteRef/>
      </w:r>
      <w:r w:rsidRPr="000F1E0F">
        <w:rPr>
          <w:sz w:val="18"/>
          <w:szCs w:val="18"/>
        </w:rPr>
        <w:t xml:space="preserve"> </w:t>
      </w:r>
      <w:r w:rsidRPr="000F1E0F">
        <w:rPr>
          <w:sz w:val="18"/>
          <w:szCs w:val="18"/>
          <w:lang w:val="en-US"/>
        </w:rPr>
        <w:t xml:space="preserve">Although, it is noted that this impact is not in itself a concern for the analysis in this RIS. For example, if there are </w:t>
      </w:r>
      <w:r>
        <w:rPr>
          <w:sz w:val="18"/>
          <w:szCs w:val="18"/>
          <w:lang w:val="en-US"/>
        </w:rPr>
        <w:t>fewer</w:t>
      </w:r>
      <w:r w:rsidRPr="000F1E0F">
        <w:rPr>
          <w:sz w:val="18"/>
          <w:szCs w:val="18"/>
          <w:lang w:val="en-US"/>
        </w:rPr>
        <w:t xml:space="preserve"> fishers than expected due to the proposed changes, or a shift to short-duration licences, these both will result in less revenue collected, but will also mean that there is less demand for additional funding for fishing infrastructure and </w:t>
      </w:r>
      <w:r>
        <w:rPr>
          <w:sz w:val="18"/>
          <w:szCs w:val="18"/>
          <w:lang w:val="en-US"/>
        </w:rPr>
        <w:t>other initiatives</w:t>
      </w:r>
      <w:r w:rsidRPr="000F1E0F">
        <w:rPr>
          <w:sz w:val="18"/>
          <w:szCs w:val="18"/>
          <w:lang w:val="en-US"/>
        </w:rPr>
        <w:t xml:space="preserve">. </w:t>
      </w:r>
    </w:p>
  </w:footnote>
  <w:footnote w:id="8">
    <w:p w14:paraId="0D9A8F17" w14:textId="77777777" w:rsidR="00792EFD" w:rsidRPr="00AE7257" w:rsidRDefault="00792EFD">
      <w:pPr>
        <w:pStyle w:val="FootnoteText"/>
        <w:rPr>
          <w:sz w:val="18"/>
          <w:szCs w:val="18"/>
        </w:rPr>
      </w:pPr>
      <w:r w:rsidRPr="00AE7257">
        <w:rPr>
          <w:rStyle w:val="FootnoteReference"/>
          <w:sz w:val="18"/>
          <w:szCs w:val="18"/>
        </w:rPr>
        <w:footnoteRef/>
      </w:r>
      <w:r w:rsidRPr="001C7208">
        <w:rPr>
          <w:sz w:val="18"/>
          <w:szCs w:val="18"/>
        </w:rPr>
        <w:t xml:space="preserve"> Persons under 18 would not be included in any option, as they are exempt under the Fisheries Act</w:t>
      </w:r>
      <w:r w:rsidRPr="00AE7257">
        <w:rPr>
          <w:sz w:val="18"/>
          <w:szCs w:val="18"/>
        </w:rPr>
        <w:t>. The classes of exempt persons that would be brought into the fee structure are persons over 70 years of age, and persons exempt due to their holding a relevant pension or concession card.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29268" w14:textId="77777777" w:rsidR="00792EFD" w:rsidRDefault="00792EFD" w:rsidP="00A64EEB">
    <w:pPr>
      <w:spacing w:line="14" w:lineRule="auto"/>
    </w:pPr>
    <w:r>
      <w:rPr>
        <w:noProof/>
        <w:sz w:val="22"/>
        <w:szCs w:val="22"/>
        <w:lang w:eastAsia="en-AU"/>
      </w:rPr>
      <mc:AlternateContent>
        <mc:Choice Requires="wpg">
          <w:drawing>
            <wp:anchor distT="0" distB="0" distL="114300" distR="114300" simplePos="0" relativeHeight="251657216" behindDoc="1" locked="0" layoutInCell="1" allowOverlap="1" wp14:anchorId="283D189B" wp14:editId="4AE5C34E">
              <wp:simplePos x="0" y="0"/>
              <wp:positionH relativeFrom="page">
                <wp:posOffset>1781810</wp:posOffset>
              </wp:positionH>
              <wp:positionV relativeFrom="page">
                <wp:posOffset>1886585</wp:posOffset>
              </wp:positionV>
              <wp:extent cx="3998595" cy="1270"/>
              <wp:effectExtent l="10160" t="10160" r="10795" b="762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8595" cy="1270"/>
                        <a:chOff x="2806" y="2971"/>
                        <a:chExt cx="6297" cy="2"/>
                      </a:xfrm>
                    </wpg:grpSpPr>
                    <wps:wsp>
                      <wps:cNvPr id="112" name="Freeform 45"/>
                      <wps:cNvSpPr>
                        <a:spLocks/>
                      </wps:cNvSpPr>
                      <wps:spPr bwMode="auto">
                        <a:xfrm>
                          <a:off x="2806" y="2971"/>
                          <a:ext cx="6297" cy="2"/>
                        </a:xfrm>
                        <a:custGeom>
                          <a:avLst/>
                          <a:gdLst>
                            <a:gd name="T0" fmla="+- 0 2806 2806"/>
                            <a:gd name="T1" fmla="*/ T0 w 6297"/>
                            <a:gd name="T2" fmla="+- 0 9102 2806"/>
                            <a:gd name="T3" fmla="*/ T2 w 6297"/>
                          </a:gdLst>
                          <a:ahLst/>
                          <a:cxnLst>
                            <a:cxn ang="0">
                              <a:pos x="T1" y="0"/>
                            </a:cxn>
                            <a:cxn ang="0">
                              <a:pos x="T3" y="0"/>
                            </a:cxn>
                          </a:cxnLst>
                          <a:rect l="0" t="0" r="r" b="b"/>
                          <a:pathLst>
                            <a:path w="6297">
                              <a:moveTo>
                                <a:pt x="0" y="0"/>
                              </a:moveTo>
                              <a:lnTo>
                                <a:pt x="629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11" o:spid="_x0000_s1026" style="position:absolute;margin-left:140.3pt;margin-top:148.55pt;width:314.85pt;height:.1pt;z-index:-251659264;mso-position-horizontal-relative:page;mso-position-vertical-relative:page" coordorigin="2806,2971" coordsize="6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">
              <v:shape id="Freeform 45" o:spid="_x0000_s1027" style="position:absolute;left:2806;top:2971;width:6297;height:2;visibility:visible;mso-wrap-style:square;v-text-anchor:top" coordsize="6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9EMIA&#10;AADcAAAADwAAAGRycy9kb3ducmV2LnhtbERPPWvDMBDdC/kP4gLZatkeTHGshFBoaIcUnCadD+tq&#10;m0gnx1Ic999XhUK3e7zPq7azNWKi0feOFWRJCoK4cbrnVsHp4+XxCYQPyBqNY1LwTR62m8VDhaV2&#10;d65pOoZWxBD2JSroQhhKKX3TkUWfuIE4cl9utBgiHFupR7zHcGtknqaFtNhzbOhwoOeOmsvxZhXc&#10;9sYU80Ff8+zzgm81yvP7blJqtZx3axCB5vAv/nO/6jg/y+H3mXi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70QwgAAANwAAAAPAAAAAAAAAAAAAAAAAJgCAABkcnMvZG93&#10;bnJldi54bWxQSwUGAAAAAAQABAD1AAAAhwMAAAAA&#10;" path="m,l6296,e" filled="f" strokeweight=".58pt">
                <v:path arrowok="t" o:connecttype="custom" o:connectlocs="0,0;6296,0" o:connectangles="0,0"/>
              </v:shape>
              <w10:wrap anchorx="page" anchory="page"/>
            </v:group>
          </w:pict>
        </mc:Fallback>
      </mc:AlternateContent>
    </w:r>
  </w:p>
  <w:p w14:paraId="34874339" w14:textId="77777777" w:rsidR="00792EFD" w:rsidRPr="008047A1" w:rsidRDefault="00792EFD" w:rsidP="008047A1">
    <w:pPr>
      <w:pStyle w:val="Header"/>
      <w:jc w:val="right"/>
      <w:rPr>
        <w:i/>
        <w:color w:val="808080" w:themeColor="background1" w:themeShade="80"/>
      </w:rPr>
    </w:pPr>
    <w:r w:rsidRPr="008047A1">
      <w:rPr>
        <w:i/>
        <w:color w:val="808080" w:themeColor="background1" w:themeShade="80"/>
      </w:rPr>
      <w:t>Chapter 2: What is changing and why?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704FC" w14:textId="77777777" w:rsidR="00792EFD" w:rsidRPr="004D71C5" w:rsidRDefault="00792EFD" w:rsidP="00A34474">
    <w:pPr>
      <w:pStyle w:val="Header"/>
      <w:jc w:val="right"/>
    </w:pPr>
    <w:r w:rsidRPr="004D71C5">
      <w:t xml:space="preserve">Chapter 1: </w:t>
    </w:r>
    <w:r>
      <w:t>Background</w:t>
    </w:r>
  </w:p>
  <w:p w14:paraId="66D71F05" w14:textId="77777777" w:rsidR="00792EFD" w:rsidRDefault="00792EFD" w:rsidP="00A34474">
    <w:pPr>
      <w:spacing w:line="14" w:lineRule="auto"/>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392B5" w14:textId="77777777" w:rsidR="00792EFD" w:rsidRPr="00296C3D" w:rsidRDefault="00792EFD" w:rsidP="00813A7E">
    <w:pPr>
      <w:pStyle w:val="Header"/>
      <w:jc w:val="right"/>
      <w:rPr>
        <w:i/>
        <w:sz w:val="18"/>
        <w:szCs w:val="18"/>
      </w:rPr>
    </w:pPr>
    <w:r w:rsidRPr="00296C3D">
      <w:rPr>
        <w:i/>
        <w:sz w:val="18"/>
        <w:szCs w:val="18"/>
      </w:rPr>
      <w:t>Chapter 1: Background</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3C706" w14:textId="1B699421" w:rsidR="00792EFD" w:rsidRPr="00813A7E" w:rsidRDefault="00792EFD" w:rsidP="00813A7E">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FFCD7" w14:textId="77777777" w:rsidR="00792EFD" w:rsidRDefault="00792EFD" w:rsidP="00A64EEB">
    <w:pPr>
      <w:spacing w:line="14" w:lineRule="auto"/>
    </w:pPr>
  </w:p>
  <w:p w14:paraId="76C386A4" w14:textId="77777777" w:rsidR="00792EFD" w:rsidRPr="00B12C57" w:rsidRDefault="00792EFD" w:rsidP="0013402E">
    <w:pPr>
      <w:pStyle w:val="Header"/>
      <w:jc w:val="right"/>
      <w:rPr>
        <w:color w:val="808080" w:themeColor="background1" w:themeShade="80"/>
      </w:rPr>
    </w:pPr>
    <w:r w:rsidRPr="00B12C57">
      <w:rPr>
        <w:color w:val="808080" w:themeColor="background1" w:themeShade="80"/>
      </w:rPr>
      <w:t>Chapter 2: RFL Fees</w:t>
    </w:r>
  </w:p>
  <w:p w14:paraId="461126CE" w14:textId="77777777" w:rsidR="00792EFD" w:rsidRPr="008047A1" w:rsidRDefault="00792EFD" w:rsidP="0013402E">
    <w:pPr>
      <w:pStyle w:val="Header"/>
      <w:rPr>
        <w:i/>
        <w:color w:val="808080" w:themeColor="background1" w:themeShade="8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7D224" w14:textId="0403B83E" w:rsidR="00792EFD" w:rsidRPr="00296C3D" w:rsidRDefault="00792EFD" w:rsidP="006C6C78">
    <w:pPr>
      <w:pStyle w:val="Header"/>
      <w:rPr>
        <w:i/>
        <w:color w:val="808080" w:themeColor="background1" w:themeShade="80"/>
        <w:sz w:val="18"/>
        <w:szCs w:val="18"/>
      </w:rPr>
    </w:pPr>
    <w:r w:rsidRPr="00296C3D">
      <w:rPr>
        <w:i/>
        <w:color w:val="808080" w:themeColor="background1" w:themeShade="80"/>
        <w:sz w:val="18"/>
        <w:szCs w:val="18"/>
      </w:rPr>
      <w:tab/>
    </w:r>
    <w:r w:rsidRPr="00296C3D">
      <w:rPr>
        <w:i/>
        <w:color w:val="808080" w:themeColor="background1" w:themeShade="80"/>
        <w:sz w:val="18"/>
        <w:szCs w:val="18"/>
      </w:rPr>
      <w:tab/>
      <w:t>Chapter 2: RFL fees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51644" w14:textId="36D77DD9" w:rsidR="00792EFD" w:rsidRPr="00813A7E" w:rsidRDefault="00792EFD" w:rsidP="00813A7E">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11420" w14:textId="77777777" w:rsidR="00792EFD" w:rsidRPr="008047A1" w:rsidRDefault="00792EFD" w:rsidP="00844133">
    <w:pPr>
      <w:pStyle w:val="Header"/>
      <w:jc w:val="right"/>
      <w:rPr>
        <w:i/>
        <w:color w:val="808080" w:themeColor="background1" w:themeShade="80"/>
      </w:rPr>
    </w:pPr>
    <w:r w:rsidRPr="008047A1">
      <w:rPr>
        <w:i/>
        <w:color w:val="808080" w:themeColor="background1" w:themeShade="80"/>
      </w:rPr>
      <w:t xml:space="preserve">Chapter </w:t>
    </w:r>
    <w:r>
      <w:rPr>
        <w:i/>
        <w:color w:val="808080" w:themeColor="background1" w:themeShade="80"/>
      </w:rPr>
      <w:t>3</w:t>
    </w:r>
    <w:r w:rsidRPr="008047A1">
      <w:rPr>
        <w:i/>
        <w:color w:val="808080" w:themeColor="background1" w:themeShade="80"/>
      </w:rPr>
      <w:t xml:space="preserve">: </w:t>
    </w:r>
    <w:r>
      <w:rPr>
        <w:i/>
        <w:color w:val="808080" w:themeColor="background1" w:themeShade="80"/>
      </w:rPr>
      <w:t>Objectives and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2EF89" w14:textId="6198E5A8" w:rsidR="00792EFD" w:rsidRPr="00296C3D" w:rsidRDefault="00792EFD" w:rsidP="00844133">
    <w:pPr>
      <w:pStyle w:val="Header"/>
      <w:rPr>
        <w:i/>
        <w:color w:val="808080" w:themeColor="background1" w:themeShade="80"/>
        <w:sz w:val="18"/>
        <w:szCs w:val="18"/>
      </w:rPr>
    </w:pPr>
    <w:r w:rsidRPr="00296C3D">
      <w:rPr>
        <w:i/>
        <w:color w:val="808080" w:themeColor="background1" w:themeShade="80"/>
        <w:sz w:val="18"/>
        <w:szCs w:val="18"/>
      </w:rPr>
      <w:tab/>
    </w:r>
    <w:r w:rsidRPr="00296C3D">
      <w:rPr>
        <w:i/>
        <w:color w:val="808080" w:themeColor="background1" w:themeShade="80"/>
        <w:sz w:val="18"/>
        <w:szCs w:val="18"/>
      </w:rPr>
      <w:tab/>
      <w:t>Chapter 3: Objectives and options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7C8D2" w14:textId="1DBFC944" w:rsidR="00792EFD" w:rsidRPr="00813A7E" w:rsidRDefault="00792EFD" w:rsidP="00813A7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DB470" w14:textId="77777777" w:rsidR="00792EFD" w:rsidRPr="008047A1" w:rsidRDefault="00792EFD" w:rsidP="00337BFC">
    <w:pPr>
      <w:pStyle w:val="Header"/>
      <w:jc w:val="right"/>
      <w:rPr>
        <w:i/>
        <w:color w:val="808080" w:themeColor="background1" w:themeShade="80"/>
      </w:rPr>
    </w:pPr>
    <w:r w:rsidRPr="008047A1">
      <w:rPr>
        <w:i/>
        <w:color w:val="808080" w:themeColor="background1" w:themeShade="80"/>
      </w:rPr>
      <w:t xml:space="preserve">Chapter </w:t>
    </w:r>
    <w:r>
      <w:rPr>
        <w:i/>
        <w:color w:val="808080" w:themeColor="background1" w:themeShade="80"/>
      </w:rPr>
      <w:t>4</w:t>
    </w:r>
    <w:r w:rsidRPr="008047A1">
      <w:rPr>
        <w:i/>
        <w:color w:val="808080" w:themeColor="background1" w:themeShade="80"/>
      </w:rPr>
      <w:t xml:space="preserve">: </w:t>
    </w:r>
    <w:r>
      <w:rPr>
        <w:i/>
        <w:color w:val="808080" w:themeColor="background1" w:themeShade="80"/>
      </w:rPr>
      <w:t>Comparative assessment of options</w:t>
    </w:r>
  </w:p>
  <w:p w14:paraId="2D402B78" w14:textId="77777777" w:rsidR="00792EFD" w:rsidRPr="00337BFC" w:rsidRDefault="00792EFD" w:rsidP="00337BF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001CB" w14:textId="77777777" w:rsidR="007719D0" w:rsidRDefault="007719D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E43F9" w14:textId="7B6F2720" w:rsidR="00792EFD" w:rsidRPr="00296C3D" w:rsidRDefault="00792EFD" w:rsidP="00337BFC">
    <w:pPr>
      <w:pStyle w:val="Header"/>
      <w:rPr>
        <w:i/>
        <w:color w:val="808080" w:themeColor="background1" w:themeShade="80"/>
        <w:sz w:val="18"/>
        <w:szCs w:val="18"/>
      </w:rPr>
    </w:pPr>
    <w:r w:rsidRPr="00296C3D">
      <w:rPr>
        <w:i/>
        <w:color w:val="808080" w:themeColor="background1" w:themeShade="80"/>
        <w:sz w:val="18"/>
        <w:szCs w:val="18"/>
      </w:rPr>
      <w:tab/>
    </w:r>
    <w:r w:rsidRPr="00296C3D">
      <w:rPr>
        <w:i/>
        <w:color w:val="808080" w:themeColor="background1" w:themeShade="80"/>
        <w:sz w:val="18"/>
        <w:szCs w:val="18"/>
      </w:rPr>
      <w:tab/>
      <w:t>Chapter 4: Comparative assessment of options</w:t>
    </w:r>
  </w:p>
  <w:p w14:paraId="4CC24833" w14:textId="77777777" w:rsidR="00792EFD" w:rsidRPr="00337BFC" w:rsidRDefault="00792EFD" w:rsidP="00337BFC">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82A6E" w14:textId="41AF4176" w:rsidR="00792EFD" w:rsidRPr="00813A7E" w:rsidRDefault="00792EFD" w:rsidP="00813A7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E6D5B" w14:textId="77777777" w:rsidR="00792EFD" w:rsidRPr="00337BFC" w:rsidRDefault="00792EFD" w:rsidP="00337BFC">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8A7DB" w14:textId="77777777" w:rsidR="00792EFD" w:rsidRPr="00296C3D" w:rsidRDefault="00792EFD" w:rsidP="00813A7E">
    <w:pPr>
      <w:pStyle w:val="Header"/>
      <w:rPr>
        <w:i/>
        <w:color w:val="808080" w:themeColor="background1" w:themeShade="80"/>
        <w:sz w:val="18"/>
        <w:szCs w:val="18"/>
      </w:rPr>
    </w:pPr>
    <w:r w:rsidRPr="00296C3D">
      <w:rPr>
        <w:i/>
        <w:color w:val="808080" w:themeColor="background1" w:themeShade="80"/>
        <w:sz w:val="18"/>
        <w:szCs w:val="18"/>
      </w:rPr>
      <w:tab/>
    </w:r>
    <w:r w:rsidRPr="00296C3D">
      <w:rPr>
        <w:i/>
        <w:color w:val="808080" w:themeColor="background1" w:themeShade="80"/>
        <w:sz w:val="18"/>
        <w:szCs w:val="18"/>
      </w:rPr>
      <w:tab/>
      <w:t>Chapter 4: Comparative assessment of options</w:t>
    </w:r>
  </w:p>
  <w:p w14:paraId="4B83CC12" w14:textId="77777777" w:rsidR="00792EFD" w:rsidRPr="00813A7E" w:rsidRDefault="00792EFD" w:rsidP="00813A7E">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50AE9" w14:textId="77777777" w:rsidR="00792EFD" w:rsidRPr="0013402E" w:rsidRDefault="00792EFD" w:rsidP="0013402E">
    <w:pPr>
      <w:pStyle w:val="Header"/>
      <w:rPr>
        <w:i/>
        <w:color w:val="808080" w:themeColor="background1" w:themeShade="80"/>
      </w:rPr>
    </w:pPr>
    <w:r w:rsidRPr="008047A1">
      <w:rPr>
        <w:i/>
        <w:color w:val="808080" w:themeColor="background1" w:themeShade="80"/>
      </w:rPr>
      <w:t xml:space="preserve">Chapter </w:t>
    </w:r>
    <w:r>
      <w:rPr>
        <w:i/>
        <w:color w:val="808080" w:themeColor="background1" w:themeShade="80"/>
      </w:rPr>
      <w:t>5</w:t>
    </w:r>
    <w:r w:rsidRPr="008047A1">
      <w:rPr>
        <w:i/>
        <w:color w:val="808080" w:themeColor="background1" w:themeShade="80"/>
      </w:rPr>
      <w:t xml:space="preserve">: </w:t>
    </w:r>
    <w:r>
      <w:rPr>
        <w:i/>
        <w:color w:val="808080" w:themeColor="background1" w:themeShade="80"/>
      </w:rPr>
      <w:t>Implementation and enforcement</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3DF65" w14:textId="2C6DEBB5" w:rsidR="00792EFD" w:rsidRPr="00296C3D" w:rsidRDefault="00792EFD" w:rsidP="00844133">
    <w:pPr>
      <w:pStyle w:val="Header"/>
      <w:rPr>
        <w:i/>
        <w:color w:val="808080" w:themeColor="background1" w:themeShade="80"/>
        <w:sz w:val="18"/>
        <w:szCs w:val="18"/>
      </w:rPr>
    </w:pPr>
    <w:r w:rsidRPr="00296C3D">
      <w:rPr>
        <w:i/>
        <w:color w:val="808080" w:themeColor="background1" w:themeShade="80"/>
        <w:sz w:val="18"/>
        <w:szCs w:val="18"/>
      </w:rPr>
      <w:tab/>
    </w:r>
    <w:r w:rsidRPr="00296C3D">
      <w:rPr>
        <w:i/>
        <w:color w:val="808080" w:themeColor="background1" w:themeShade="80"/>
        <w:sz w:val="18"/>
        <w:szCs w:val="18"/>
      </w:rPr>
      <w:tab/>
      <w:t>Chapter 5: Implementation and enforcement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A1091" w14:textId="388DA133" w:rsidR="00792EFD" w:rsidRPr="00813A7E" w:rsidRDefault="00792EFD" w:rsidP="00813A7E">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00A5E" w14:textId="77777777" w:rsidR="00792EFD" w:rsidRPr="008047A1" w:rsidRDefault="00792EFD" w:rsidP="00184666">
    <w:pPr>
      <w:pStyle w:val="Header"/>
      <w:jc w:val="right"/>
      <w:rPr>
        <w:i/>
        <w:color w:val="808080" w:themeColor="background1" w:themeShade="80"/>
      </w:rPr>
    </w:pPr>
    <w:r w:rsidRPr="008047A1">
      <w:rPr>
        <w:i/>
        <w:color w:val="808080" w:themeColor="background1" w:themeShade="80"/>
      </w:rPr>
      <w:t xml:space="preserve">Chapter </w:t>
    </w:r>
    <w:r>
      <w:rPr>
        <w:i/>
        <w:color w:val="808080" w:themeColor="background1" w:themeShade="80"/>
      </w:rPr>
      <w:t>7</w:t>
    </w:r>
    <w:r w:rsidRPr="008047A1">
      <w:rPr>
        <w:i/>
        <w:color w:val="808080" w:themeColor="background1" w:themeShade="80"/>
      </w:rPr>
      <w:t xml:space="preserve">: </w:t>
    </w:r>
    <w:r>
      <w:rPr>
        <w:i/>
        <w:color w:val="808080" w:themeColor="background1" w:themeShade="80"/>
      </w:rPr>
      <w:t>Consultation</w:t>
    </w:r>
  </w:p>
  <w:p w14:paraId="281A627C" w14:textId="77777777" w:rsidR="00792EFD" w:rsidRPr="00844133" w:rsidRDefault="00792EFD" w:rsidP="00844133">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9C257" w14:textId="77777777" w:rsidR="00792EFD" w:rsidRPr="0013402E" w:rsidRDefault="00792EFD" w:rsidP="0013402E">
    <w:pPr>
      <w:pStyle w:val="Header"/>
      <w:jc w:val="right"/>
      <w:rPr>
        <w:i/>
        <w:color w:val="808080" w:themeColor="background1" w:themeShade="80"/>
      </w:rPr>
    </w:pPr>
    <w:r w:rsidRPr="008047A1">
      <w:rPr>
        <w:i/>
        <w:color w:val="808080" w:themeColor="background1" w:themeShade="80"/>
      </w:rPr>
      <w:t xml:space="preserve">Chapter </w:t>
    </w:r>
    <w:r>
      <w:rPr>
        <w:i/>
        <w:color w:val="808080" w:themeColor="background1" w:themeShade="80"/>
      </w:rPr>
      <w:t>7: Consultation</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56786" w14:textId="77777777" w:rsidR="00792EFD" w:rsidRPr="0013402E" w:rsidRDefault="00792EFD" w:rsidP="00134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EFA5A" w14:textId="77777777" w:rsidR="007719D0" w:rsidRDefault="007719D0">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95087" w14:textId="77777777" w:rsidR="00792EFD" w:rsidRPr="0013402E" w:rsidRDefault="00792EFD" w:rsidP="0013402E">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40E77" w14:textId="77777777" w:rsidR="00792EFD" w:rsidRPr="0013402E" w:rsidRDefault="00792EFD" w:rsidP="0013402E">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64D32" w14:textId="484DE9CF" w:rsidR="00792EFD" w:rsidRPr="001159EE" w:rsidRDefault="00792EFD" w:rsidP="001159EE">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02B09" w14:textId="77777777" w:rsidR="00792EFD" w:rsidRPr="0013402E" w:rsidRDefault="00792EFD" w:rsidP="0013402E">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A4333" w14:textId="77777777" w:rsidR="00792EFD" w:rsidRPr="00390C5B" w:rsidRDefault="00792EFD" w:rsidP="00390C5B">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D2CD5" w14:textId="77777777" w:rsidR="00792EFD" w:rsidRPr="00390C5B" w:rsidRDefault="00792EFD" w:rsidP="00390C5B">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F2027" w14:textId="77777777" w:rsidR="00792EFD" w:rsidRDefault="00792EFD" w:rsidP="004F7EFD">
    <w:pPr>
      <w:spacing w:line="14" w:lineRule="auto"/>
    </w:pPr>
  </w:p>
  <w:p w14:paraId="3DF13E00" w14:textId="77777777" w:rsidR="00792EFD" w:rsidRPr="004F7EFD" w:rsidRDefault="00792EFD" w:rsidP="004F7EFD">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6F9A3" w14:textId="77777777" w:rsidR="00792EFD" w:rsidRDefault="00792EFD">
    <w:pPr>
      <w:spacing w:line="14" w:lineRule="auto"/>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B8A4" w14:textId="7B88968F" w:rsidR="00792EFD" w:rsidRDefault="00792EFD" w:rsidP="00A75144">
    <w:pPr>
      <w:jc w:val="center"/>
    </w:pPr>
    <w:r w:rsidRPr="00E8269B">
      <w:rPr>
        <w:color w:val="FF0000"/>
      </w:rPr>
      <w:t>Exposure Draft</w:t>
    </w:r>
  </w:p>
  <w:p w14:paraId="7C8620D9" w14:textId="77777777" w:rsidR="00792EFD" w:rsidRPr="004F7EFD" w:rsidRDefault="00792EFD" w:rsidP="004F7EFD">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CFD8C" w14:textId="77777777" w:rsidR="00792EFD" w:rsidRPr="00E8269B" w:rsidRDefault="00792EFD" w:rsidP="00A75144">
    <w:pPr>
      <w:pStyle w:val="Header"/>
      <w:jc w:val="center"/>
      <w:rPr>
        <w:color w:val="FF0000"/>
      </w:rPr>
    </w:pPr>
    <w:r w:rsidRPr="00E8269B">
      <w:rPr>
        <w:color w:val="FF0000"/>
      </w:rPr>
      <w:t>Exposure Draft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E2118" w14:textId="77777777" w:rsidR="00792EFD" w:rsidRDefault="00792EFD" w:rsidP="006C6C78">
    <w:pPr>
      <w:pStyle w:val="Header"/>
    </w:pPr>
  </w:p>
  <w:p w14:paraId="0B786080" w14:textId="77777777" w:rsidR="00792EFD" w:rsidRDefault="00792EFD" w:rsidP="006C6C78">
    <w:pPr>
      <w:pStyle w:val="Header"/>
    </w:pPr>
  </w:p>
  <w:p w14:paraId="241ACC9E" w14:textId="77777777" w:rsidR="00792EFD" w:rsidRDefault="00792EFD" w:rsidP="006C6C78">
    <w:pPr>
      <w:pStyle w:val="Header"/>
    </w:pPr>
  </w:p>
  <w:p w14:paraId="33289321" w14:textId="77777777" w:rsidR="00792EFD" w:rsidRDefault="00792EFD" w:rsidP="006C6C78">
    <w:pPr>
      <w:pStyle w:val="Header"/>
    </w:pPr>
  </w:p>
  <w:p w14:paraId="36A128A3" w14:textId="77777777" w:rsidR="00792EFD" w:rsidRDefault="00792EFD" w:rsidP="006C6C7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E09D0" w14:textId="77777777" w:rsidR="00792EFD" w:rsidRDefault="00792EFD" w:rsidP="006C6C7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8A39F" w14:textId="77777777" w:rsidR="00792EFD" w:rsidRDefault="00792EFD" w:rsidP="006C6C7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0DEFE" w14:textId="77777777" w:rsidR="00792EFD" w:rsidRDefault="00792EFD" w:rsidP="00A64EEB">
    <w:pPr>
      <w:spacing w:line="14" w:lineRule="auto"/>
    </w:pPr>
  </w:p>
  <w:p w14:paraId="0147AE17" w14:textId="77777777" w:rsidR="00792EFD" w:rsidRPr="008047A1" w:rsidRDefault="00792EFD" w:rsidP="008047A1">
    <w:pPr>
      <w:pStyle w:val="Header"/>
      <w:rPr>
        <w:i/>
        <w:color w:val="808080" w:themeColor="background1" w:themeShade="80"/>
      </w:rPr>
    </w:pPr>
    <w:r w:rsidRPr="008047A1">
      <w:rPr>
        <w:i/>
        <w:color w:val="808080" w:themeColor="background1" w:themeShade="80"/>
      </w:rPr>
      <w:t>Summary</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570C9" w14:textId="77777777" w:rsidR="00792EFD" w:rsidRPr="008047A1" w:rsidRDefault="00792EFD" w:rsidP="008047A1">
    <w:pPr>
      <w:pStyle w:val="Header"/>
      <w:jc w:val="right"/>
      <w:rPr>
        <w:i/>
        <w:color w:val="808080" w:themeColor="background1" w:themeShade="80"/>
      </w:rPr>
    </w:pPr>
    <w:r w:rsidRPr="008047A1">
      <w:rPr>
        <w:i/>
        <w:color w:val="808080" w:themeColor="background1" w:themeShade="80"/>
      </w:rPr>
      <w:t>Summary</w:t>
    </w:r>
  </w:p>
  <w:p w14:paraId="7E947AA0" w14:textId="77777777" w:rsidR="00792EFD" w:rsidRPr="008047A1" w:rsidRDefault="00792EFD" w:rsidP="008047A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6DDAC" w14:textId="77777777" w:rsidR="00792EFD" w:rsidRPr="00FF2C43" w:rsidRDefault="00792EFD" w:rsidP="00FF2C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FB9"/>
    <w:multiLevelType w:val="hybridMultilevel"/>
    <w:tmpl w:val="471C516A"/>
    <w:lvl w:ilvl="0" w:tplc="DCFA13BA">
      <w:start w:val="1"/>
      <w:numFmt w:val="lowerLetter"/>
      <w:lvlText w:val="(%1)"/>
      <w:lvlJc w:val="left"/>
      <w:pPr>
        <w:ind w:left="3240" w:hanging="72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
    <w:nsid w:val="02ED7D31"/>
    <w:multiLevelType w:val="multilevel"/>
    <w:tmpl w:val="B68EFEFC"/>
    <w:lvl w:ilvl="0">
      <w:start w:val="1"/>
      <w:numFmt w:val="decimal"/>
      <w:lvlText w:val="%1"/>
      <w:lvlJc w:val="left"/>
      <w:pPr>
        <w:ind w:left="432" w:hanging="432"/>
      </w:pPr>
      <w:rPr>
        <w:rFonts w:hint="default"/>
      </w:rPr>
    </w:lvl>
    <w:lvl w:ilvl="1">
      <w:start w:val="1"/>
      <w:numFmt w:val="none"/>
      <w:lvlText w:val="4.2"/>
      <w:lvlJc w:val="left"/>
      <w:pPr>
        <w:ind w:left="576" w:hanging="576"/>
      </w:pPr>
      <w:rPr>
        <w:rFonts w:hint="default"/>
        <w:sz w:val="26"/>
        <w:szCs w:val="26"/>
      </w:rPr>
    </w:lvl>
    <w:lvl w:ilvl="2">
      <w:start w:val="1"/>
      <w:numFmt w:val="none"/>
      <w:lvlText w:val="3.3.4"/>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E55E17"/>
    <w:multiLevelType w:val="multilevel"/>
    <w:tmpl w:val="7F02FE76"/>
    <w:lvl w:ilvl="0">
      <w:start w:val="1"/>
      <w:numFmt w:val="decimal"/>
      <w:lvlText w:val="%1"/>
      <w:lvlJc w:val="left"/>
      <w:pPr>
        <w:ind w:left="432" w:hanging="432"/>
      </w:pPr>
      <w:rPr>
        <w:rFonts w:hint="default"/>
      </w:rPr>
    </w:lvl>
    <w:lvl w:ilvl="1">
      <w:start w:val="1"/>
      <w:numFmt w:val="none"/>
      <w:lvlText w:val="3.3"/>
      <w:lvlJc w:val="left"/>
      <w:pPr>
        <w:ind w:left="576" w:hanging="576"/>
      </w:pPr>
      <w:rPr>
        <w:rFonts w:hint="default"/>
        <w:sz w:val="26"/>
        <w:szCs w:val="26"/>
      </w:rPr>
    </w:lvl>
    <w:lvl w:ilvl="2">
      <w:start w:val="1"/>
      <w:numFmt w:val="none"/>
      <w:lvlText w:val="3.3.1"/>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7A43F12"/>
    <w:multiLevelType w:val="hybridMultilevel"/>
    <w:tmpl w:val="62304482"/>
    <w:lvl w:ilvl="0" w:tplc="7B46A09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nsid w:val="081956F9"/>
    <w:multiLevelType w:val="hybridMultilevel"/>
    <w:tmpl w:val="CC2C61A0"/>
    <w:lvl w:ilvl="0" w:tplc="C5F02AAE">
      <w:start w:val="1"/>
      <w:numFmt w:val="bullet"/>
      <w:pStyle w:val="Bullet"/>
      <w:lvlText w:val=""/>
      <w:lvlJc w:val="left"/>
      <w:pPr>
        <w:tabs>
          <w:tab w:val="num" w:pos="720"/>
        </w:tabs>
        <w:ind w:left="720" w:hanging="360"/>
      </w:pPr>
      <w:rPr>
        <w:rFonts w:ascii="Symbol" w:hAnsi="Symbol" w:hint="default"/>
      </w:rPr>
    </w:lvl>
    <w:lvl w:ilvl="1" w:tplc="CDBA1164">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041E71"/>
    <w:multiLevelType w:val="hybridMultilevel"/>
    <w:tmpl w:val="52201D38"/>
    <w:lvl w:ilvl="0" w:tplc="CBECACD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nsid w:val="0A5F1B92"/>
    <w:multiLevelType w:val="hybridMultilevel"/>
    <w:tmpl w:val="B8449EAA"/>
    <w:lvl w:ilvl="0" w:tplc="4BA680C4">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nsid w:val="0EF56DCD"/>
    <w:multiLevelType w:val="hybridMultilevel"/>
    <w:tmpl w:val="1BDE56D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038761F"/>
    <w:multiLevelType w:val="hybridMultilevel"/>
    <w:tmpl w:val="4434FA34"/>
    <w:lvl w:ilvl="0" w:tplc="979A7F3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11257BA3"/>
    <w:multiLevelType w:val="multilevel"/>
    <w:tmpl w:val="6EA08FA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none"/>
      <w:lvlText w:val="3.3.3"/>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131410CC"/>
    <w:multiLevelType w:val="multilevel"/>
    <w:tmpl w:val="8D9042E0"/>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sz w:val="26"/>
        <w:szCs w:val="26"/>
      </w:rPr>
    </w:lvl>
    <w:lvl w:ilvl="2">
      <w:start w:val="1"/>
      <w:numFmt w:val="none"/>
      <w:lvlText w:val="3.3.4"/>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50A67E3"/>
    <w:multiLevelType w:val="multilevel"/>
    <w:tmpl w:val="EFF8A29A"/>
    <w:lvl w:ilvl="0">
      <w:start w:val="1"/>
      <w:numFmt w:val="decimal"/>
      <w:lvlText w:val="%1"/>
      <w:lvlJc w:val="left"/>
      <w:pPr>
        <w:ind w:left="432" w:hanging="432"/>
      </w:pPr>
      <w:rPr>
        <w:rFonts w:hint="default"/>
      </w:rPr>
    </w:lvl>
    <w:lvl w:ilvl="1">
      <w:start w:val="1"/>
      <w:numFmt w:val="decimal"/>
      <w:lvlText w:val="%2.2"/>
      <w:lvlJc w:val="left"/>
      <w:pPr>
        <w:ind w:left="860" w:hanging="576"/>
      </w:pPr>
      <w:rPr>
        <w:rFonts w:hint="default"/>
        <w:sz w:val="26"/>
        <w:szCs w:val="26"/>
      </w:rPr>
    </w:lvl>
    <w:lvl w:ilvl="2">
      <w:start w:val="1"/>
      <w:numFmt w:val="none"/>
      <w:lvlText w:val="2.2.5"/>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A91555E"/>
    <w:multiLevelType w:val="multilevel"/>
    <w:tmpl w:val="F21A6D42"/>
    <w:lvl w:ilvl="0">
      <w:start w:val="1"/>
      <w:numFmt w:val="decimal"/>
      <w:lvlText w:val="%1"/>
      <w:lvlJc w:val="left"/>
      <w:pPr>
        <w:ind w:left="432" w:hanging="432"/>
      </w:pPr>
      <w:rPr>
        <w:rFonts w:hint="default"/>
      </w:rPr>
    </w:lvl>
    <w:lvl w:ilvl="1">
      <w:start w:val="1"/>
      <w:numFmt w:val="none"/>
      <w:lvlText w:val="4.3"/>
      <w:lvlJc w:val="left"/>
      <w:pPr>
        <w:ind w:left="576" w:hanging="576"/>
      </w:pPr>
      <w:rPr>
        <w:rFonts w:hint="default"/>
        <w:sz w:val="26"/>
        <w:szCs w:val="26"/>
      </w:rPr>
    </w:lvl>
    <w:lvl w:ilvl="2">
      <w:start w:val="1"/>
      <w:numFmt w:val="decimal"/>
      <w:lvlText w:val="4.2.%3"/>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5DB6AAB"/>
    <w:multiLevelType w:val="multilevel"/>
    <w:tmpl w:val="333046D2"/>
    <w:lvl w:ilvl="0">
      <w:start w:val="1"/>
      <w:numFmt w:val="decimal"/>
      <w:pStyle w:val="Heading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61820EB"/>
    <w:multiLevelType w:val="multilevel"/>
    <w:tmpl w:val="7E9A60BE"/>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none"/>
      <w:lvlText w:val="2.2.3"/>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6B22F55"/>
    <w:multiLevelType w:val="hybridMultilevel"/>
    <w:tmpl w:val="28EAE70C"/>
    <w:lvl w:ilvl="0" w:tplc="91C0E44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nsid w:val="35D31A7B"/>
    <w:multiLevelType w:val="hybridMultilevel"/>
    <w:tmpl w:val="384AFFB6"/>
    <w:lvl w:ilvl="0" w:tplc="0FEE96DE">
      <w:start w:val="1"/>
      <w:numFmt w:val="decimal"/>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F95397"/>
    <w:multiLevelType w:val="multilevel"/>
    <w:tmpl w:val="096E360E"/>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none"/>
      <w:lvlText w:val="2.1.2"/>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164588E"/>
    <w:multiLevelType w:val="multilevel"/>
    <w:tmpl w:val="D72E882A"/>
    <w:lvl w:ilvl="0">
      <w:start w:val="1"/>
      <w:numFmt w:val="decimal"/>
      <w:lvlText w:val="%1"/>
      <w:lvlJc w:val="left"/>
      <w:pPr>
        <w:ind w:left="432" w:hanging="432"/>
      </w:pPr>
      <w:rPr>
        <w:rFonts w:hint="default"/>
      </w:rPr>
    </w:lvl>
    <w:lvl w:ilvl="1">
      <w:start w:val="1"/>
      <w:numFmt w:val="none"/>
      <w:lvlText w:val="3.3"/>
      <w:lvlJc w:val="left"/>
      <w:pPr>
        <w:ind w:left="576" w:hanging="576"/>
      </w:pPr>
      <w:rPr>
        <w:rFonts w:hint="default"/>
        <w:sz w:val="26"/>
        <w:szCs w:val="26"/>
      </w:rPr>
    </w:lvl>
    <w:lvl w:ilvl="2">
      <w:start w:val="1"/>
      <w:numFmt w:val="none"/>
      <w:lvlText w:val="3.3.4"/>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269041B"/>
    <w:multiLevelType w:val="singleLevel"/>
    <w:tmpl w:val="7C7653B4"/>
    <w:lvl w:ilvl="0">
      <w:start w:val="1"/>
      <w:numFmt w:val="bullet"/>
      <w:pStyle w:val="Bullet0"/>
      <w:lvlText w:val=""/>
      <w:lvlJc w:val="left"/>
      <w:pPr>
        <w:tabs>
          <w:tab w:val="num" w:pos="360"/>
        </w:tabs>
        <w:ind w:left="360" w:hanging="360"/>
      </w:pPr>
      <w:rPr>
        <w:rFonts w:ascii="Symbol" w:hAnsi="Symbol" w:hint="default"/>
        <w:sz w:val="20"/>
      </w:rPr>
    </w:lvl>
  </w:abstractNum>
  <w:abstractNum w:abstractNumId="20">
    <w:nsid w:val="43C64BAB"/>
    <w:multiLevelType w:val="hybridMultilevel"/>
    <w:tmpl w:val="3A38D8E2"/>
    <w:lvl w:ilvl="0" w:tplc="197ABBD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nsid w:val="446D3A6A"/>
    <w:multiLevelType w:val="multilevel"/>
    <w:tmpl w:val="A214506C"/>
    <w:lvl w:ilvl="0">
      <w:start w:val="1"/>
      <w:numFmt w:val="bullet"/>
      <w:pStyle w:val="Bullet1"/>
      <w:lvlText w:val=""/>
      <w:lvlJc w:val="left"/>
      <w:pPr>
        <w:tabs>
          <w:tab w:val="num" w:pos="1077"/>
        </w:tabs>
        <w:ind w:left="1077" w:hanging="283"/>
      </w:pPr>
      <w:rPr>
        <w:rFonts w:ascii="Symbol" w:hAnsi="Symbol" w:hint="default"/>
        <w:b w:val="0"/>
        <w:i w:val="0"/>
        <w:vanish w:val="0"/>
        <w:color w:val="auto"/>
        <w:sz w:val="22"/>
      </w:rPr>
    </w:lvl>
    <w:lvl w:ilvl="1">
      <w:start w:val="1"/>
      <w:numFmt w:val="bullet"/>
      <w:pStyle w:val="Bullet2"/>
      <w:lvlText w:val="–"/>
      <w:lvlJc w:val="left"/>
      <w:pPr>
        <w:tabs>
          <w:tab w:val="num" w:pos="1361"/>
        </w:tabs>
        <w:ind w:left="1361" w:hanging="284"/>
      </w:pPr>
      <w:rPr>
        <w:rFonts w:ascii="Calibri" w:hAnsi="Calibri" w:hint="default"/>
        <w:b w:val="0"/>
        <w:i w:val="0"/>
        <w:vanish w:val="0"/>
        <w:color w:val="auto"/>
        <w:sz w:val="22"/>
      </w:rPr>
    </w:lvl>
    <w:lvl w:ilvl="2">
      <w:start w:val="1"/>
      <w:numFmt w:val="bullet"/>
      <w:pStyle w:val="Bullet3"/>
      <w:lvlText w:val=""/>
      <w:lvlJc w:val="left"/>
      <w:pPr>
        <w:tabs>
          <w:tab w:val="num" w:pos="1644"/>
        </w:tabs>
        <w:ind w:left="1644" w:hanging="283"/>
      </w:pPr>
      <w:rPr>
        <w:rFonts w:ascii="Symbol" w:hAnsi="Symbol" w:hint="default"/>
        <w:b w:val="0"/>
        <w:i w:val="0"/>
        <w:vanish w:val="0"/>
        <w:color w:val="auto"/>
        <w:sz w:val="22"/>
      </w:rPr>
    </w:lvl>
    <w:lvl w:ilvl="3">
      <w:start w:val="1"/>
      <w:numFmt w:val="bullet"/>
      <w:lvlText w:val=""/>
      <w:lvlJc w:val="left"/>
      <w:pPr>
        <w:tabs>
          <w:tab w:val="num" w:pos="1928"/>
        </w:tabs>
        <w:ind w:left="1928" w:hanging="284"/>
      </w:pPr>
      <w:rPr>
        <w:rFonts w:ascii="Symbol" w:hAnsi="Symbol" w:hint="default"/>
        <w:b w:val="0"/>
        <w:i w:val="0"/>
        <w:vanish w:val="0"/>
        <w:color w:val="auto"/>
        <w:sz w:val="22"/>
      </w:rPr>
    </w:lvl>
    <w:lvl w:ilvl="4">
      <w:start w:val="1"/>
      <w:numFmt w:val="bullet"/>
      <w:lvlText w:val=""/>
      <w:lvlJc w:val="left"/>
      <w:pPr>
        <w:tabs>
          <w:tab w:val="num" w:pos="2211"/>
        </w:tabs>
        <w:ind w:left="2211" w:hanging="283"/>
      </w:pPr>
      <w:rPr>
        <w:rFonts w:ascii="Symbol" w:hAnsi="Symbol" w:hint="default"/>
        <w:b w:val="0"/>
        <w:i w:val="0"/>
        <w:vanish w:val="0"/>
        <w:color w:val="auto"/>
        <w:sz w:val="22"/>
      </w:rPr>
    </w:lvl>
    <w:lvl w:ilvl="5">
      <w:start w:val="1"/>
      <w:numFmt w:val="bullet"/>
      <w:lvlText w:val=""/>
      <w:lvlJc w:val="left"/>
      <w:pPr>
        <w:tabs>
          <w:tab w:val="num" w:pos="2495"/>
        </w:tabs>
        <w:ind w:left="2495" w:hanging="284"/>
      </w:pPr>
      <w:rPr>
        <w:rFonts w:ascii="Symbol" w:hAnsi="Symbol"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22">
    <w:nsid w:val="4AB71ABB"/>
    <w:multiLevelType w:val="multilevel"/>
    <w:tmpl w:val="90EE77D2"/>
    <w:lvl w:ilvl="0">
      <w:start w:val="1"/>
      <w:numFmt w:val="decimal"/>
      <w:lvlText w:val="%1"/>
      <w:lvlJc w:val="left"/>
      <w:pPr>
        <w:ind w:left="432" w:hanging="432"/>
      </w:pPr>
      <w:rPr>
        <w:rFonts w:hint="default"/>
      </w:rPr>
    </w:lvl>
    <w:lvl w:ilvl="1">
      <w:start w:val="1"/>
      <w:numFmt w:val="none"/>
      <w:lvlText w:val="4.2"/>
      <w:lvlJc w:val="left"/>
      <w:pPr>
        <w:ind w:left="576" w:hanging="576"/>
      </w:pPr>
      <w:rPr>
        <w:rFonts w:hint="default"/>
        <w:sz w:val="26"/>
        <w:szCs w:val="26"/>
      </w:rPr>
    </w:lvl>
    <w:lvl w:ilvl="2">
      <w:start w:val="1"/>
      <w:numFmt w:val="decimal"/>
      <w:lvlText w:val="4.2.%3"/>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58B04EA"/>
    <w:multiLevelType w:val="hybridMultilevel"/>
    <w:tmpl w:val="0FEC138C"/>
    <w:lvl w:ilvl="0" w:tplc="00C6F84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5A5A68C2"/>
    <w:multiLevelType w:val="hybridMultilevel"/>
    <w:tmpl w:val="A45C0B7E"/>
    <w:lvl w:ilvl="0" w:tplc="FE0E0CF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nsid w:val="5B312654"/>
    <w:multiLevelType w:val="hybridMultilevel"/>
    <w:tmpl w:val="3A38D8E2"/>
    <w:lvl w:ilvl="0" w:tplc="197ABBDA">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nsid w:val="5DE30F3A"/>
    <w:multiLevelType w:val="hybridMultilevel"/>
    <w:tmpl w:val="0AA004C8"/>
    <w:lvl w:ilvl="0" w:tplc="BE184E32">
      <w:start w:val="1"/>
      <w:numFmt w:val="bullet"/>
      <w:pStyle w:val="ListParagraph"/>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7">
    <w:nsid w:val="66551A1C"/>
    <w:multiLevelType w:val="multilevel"/>
    <w:tmpl w:val="8F9AA32A"/>
    <w:lvl w:ilvl="0">
      <w:start w:val="1"/>
      <w:numFmt w:val="bullet"/>
      <w:pStyle w:val="TableBullet"/>
      <w:lvlText w:val=""/>
      <w:lvlJc w:val="left"/>
      <w:pPr>
        <w:tabs>
          <w:tab w:val="num" w:pos="227"/>
        </w:tabs>
        <w:ind w:left="227" w:hanging="227"/>
      </w:pPr>
      <w:rPr>
        <w:rFonts w:ascii="Symbol" w:hAnsi="Symbol" w:cs="Calibri" w:hint="default"/>
        <w:b w:val="0"/>
        <w:i w:val="0"/>
        <w:sz w:val="18"/>
      </w:rPr>
    </w:lvl>
    <w:lvl w:ilvl="1">
      <w:start w:val="1"/>
      <w:numFmt w:val="bullet"/>
      <w:pStyle w:val="TableBulletDash"/>
      <w:lvlText w:val="–"/>
      <w:lvlJc w:val="left"/>
      <w:pPr>
        <w:tabs>
          <w:tab w:val="num" w:pos="454"/>
        </w:tabs>
        <w:ind w:left="454" w:hanging="227"/>
      </w:pPr>
      <w:rPr>
        <w:rFonts w:ascii="Calibri" w:hAnsi="Calibri" w:cs="Calibri" w:hint="default"/>
        <w:b w:val="0"/>
        <w:i w:val="0"/>
        <w:sz w:val="18"/>
      </w:rPr>
    </w:lvl>
    <w:lvl w:ilvl="2">
      <w:start w:val="1"/>
      <w:numFmt w:val="bullet"/>
      <w:lvlText w:val=""/>
      <w:lvlJc w:val="left"/>
      <w:pPr>
        <w:tabs>
          <w:tab w:val="num" w:pos="680"/>
        </w:tabs>
        <w:ind w:left="680" w:hanging="226"/>
      </w:pPr>
      <w:rPr>
        <w:rFonts w:ascii="Symbol" w:hAnsi="Symbol" w:cs="Calibri" w:hint="default"/>
        <w:b w:val="0"/>
        <w:i w:val="0"/>
        <w:sz w:val="18"/>
      </w:rPr>
    </w:lvl>
    <w:lvl w:ilvl="3">
      <w:start w:val="1"/>
      <w:numFmt w:val="bullet"/>
      <w:lvlText w:val=""/>
      <w:lvlJc w:val="left"/>
      <w:pPr>
        <w:tabs>
          <w:tab w:val="num" w:pos="907"/>
        </w:tabs>
        <w:ind w:left="907" w:hanging="227"/>
      </w:pPr>
      <w:rPr>
        <w:rFonts w:ascii="Symbol" w:hAnsi="Symbol" w:cs="Calibri" w:hint="default"/>
        <w:b w:val="0"/>
        <w:i w:val="0"/>
        <w:sz w:val="18"/>
      </w:rPr>
    </w:lvl>
    <w:lvl w:ilvl="4">
      <w:start w:val="1"/>
      <w:numFmt w:val="bullet"/>
      <w:lvlText w:val=""/>
      <w:lvlJc w:val="left"/>
      <w:pPr>
        <w:tabs>
          <w:tab w:val="num" w:pos="1134"/>
        </w:tabs>
        <w:ind w:left="1134" w:hanging="227"/>
      </w:pPr>
      <w:rPr>
        <w:rFonts w:ascii="Symbol" w:hAnsi="Symbol" w:cs="Calibri" w:hint="default"/>
        <w:b w:val="0"/>
        <w:i w:val="0"/>
        <w:sz w:val="18"/>
      </w:rPr>
    </w:lvl>
    <w:lvl w:ilvl="5">
      <w:start w:val="1"/>
      <w:numFmt w:val="bullet"/>
      <w:lvlText w:val=""/>
      <w:lvlJc w:val="left"/>
      <w:pPr>
        <w:tabs>
          <w:tab w:val="num" w:pos="1361"/>
        </w:tabs>
        <w:ind w:left="1361" w:hanging="227"/>
      </w:pPr>
      <w:rPr>
        <w:rFonts w:ascii="Symbol" w:hAnsi="Symbol" w:cs="Calibri" w:hint="default"/>
        <w:b w:val="0"/>
        <w:i w:val="0"/>
        <w:sz w:val="18"/>
      </w:rPr>
    </w:lvl>
    <w:lvl w:ilvl="6">
      <w:start w:val="1"/>
      <w:numFmt w:val="bullet"/>
      <w:lvlText w:val=""/>
      <w:lvlJc w:val="left"/>
      <w:pPr>
        <w:tabs>
          <w:tab w:val="num" w:pos="1587"/>
        </w:tabs>
        <w:ind w:left="1587" w:hanging="226"/>
      </w:pPr>
      <w:rPr>
        <w:rFonts w:ascii="Symbol" w:hAnsi="Symbol" w:cs="Calibri" w:hint="default"/>
        <w:b w:val="0"/>
        <w:i w:val="0"/>
        <w:sz w:val="18"/>
      </w:rPr>
    </w:lvl>
    <w:lvl w:ilvl="7">
      <w:start w:val="1"/>
      <w:numFmt w:val="bullet"/>
      <w:lvlText w:val=""/>
      <w:lvlJc w:val="left"/>
      <w:pPr>
        <w:tabs>
          <w:tab w:val="num" w:pos="1814"/>
        </w:tabs>
        <w:ind w:left="1814" w:hanging="227"/>
      </w:pPr>
      <w:rPr>
        <w:rFonts w:ascii="Symbol" w:hAnsi="Symbol" w:cs="Calibri" w:hint="default"/>
        <w:b w:val="0"/>
        <w:i w:val="0"/>
        <w:sz w:val="18"/>
      </w:rPr>
    </w:lvl>
    <w:lvl w:ilvl="8">
      <w:start w:val="1"/>
      <w:numFmt w:val="bullet"/>
      <w:lvlText w:val=""/>
      <w:lvlJc w:val="left"/>
      <w:pPr>
        <w:tabs>
          <w:tab w:val="num" w:pos="2041"/>
        </w:tabs>
        <w:ind w:left="2041" w:hanging="227"/>
      </w:pPr>
      <w:rPr>
        <w:rFonts w:ascii="Symbol" w:hAnsi="Symbol" w:cs="Calibri" w:hint="default"/>
        <w:b w:val="0"/>
        <w:i w:val="0"/>
        <w:sz w:val="18"/>
      </w:rPr>
    </w:lvl>
  </w:abstractNum>
  <w:abstractNum w:abstractNumId="28">
    <w:nsid w:val="66F050F9"/>
    <w:multiLevelType w:val="multilevel"/>
    <w:tmpl w:val="4BEC256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none"/>
      <w:lvlText w:val="2.2.4"/>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D2D1DD3"/>
    <w:multiLevelType w:val="hybridMultilevel"/>
    <w:tmpl w:val="7BC83E38"/>
    <w:lvl w:ilvl="0" w:tplc="53F08B2A">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F3A6082"/>
    <w:multiLevelType w:val="hybridMultilevel"/>
    <w:tmpl w:val="3A38D8E2"/>
    <w:lvl w:ilvl="0" w:tplc="197ABBD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74773CEB"/>
    <w:multiLevelType w:val="hybridMultilevel"/>
    <w:tmpl w:val="A28ECE9E"/>
    <w:lvl w:ilvl="0" w:tplc="EF786038">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nsid w:val="7A611E7B"/>
    <w:multiLevelType w:val="multilevel"/>
    <w:tmpl w:val="681683A4"/>
    <w:lvl w:ilvl="0">
      <w:start w:val="1"/>
      <w:numFmt w:val="decimal"/>
      <w:lvlText w:val="%1"/>
      <w:lvlJc w:val="left"/>
      <w:pPr>
        <w:ind w:left="432" w:hanging="432"/>
      </w:pPr>
      <w:rPr>
        <w:rFonts w:hint="default"/>
      </w:rPr>
    </w:lvl>
    <w:lvl w:ilvl="1">
      <w:start w:val="1"/>
      <w:numFmt w:val="decimal"/>
      <w:lvlText w:val="5.%2"/>
      <w:lvlJc w:val="left"/>
      <w:pPr>
        <w:ind w:left="576" w:hanging="576"/>
      </w:pPr>
      <w:rPr>
        <w:rFonts w:hint="default"/>
        <w:sz w:val="26"/>
        <w:szCs w:val="26"/>
      </w:rPr>
    </w:lvl>
    <w:lvl w:ilvl="2">
      <w:start w:val="1"/>
      <w:numFmt w:val="decimal"/>
      <w:lvlText w:val="4.2.%3"/>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C9244CB"/>
    <w:multiLevelType w:val="hybridMultilevel"/>
    <w:tmpl w:val="AEB84496"/>
    <w:lvl w:ilvl="0" w:tplc="8ECA42B0">
      <w:start w:val="1"/>
      <w:numFmt w:val="bullet"/>
      <w:lvlText w:val=""/>
      <w:lvlJc w:val="left"/>
      <w:pPr>
        <w:ind w:left="405" w:hanging="360"/>
      </w:pPr>
      <w:rPr>
        <w:rFonts w:ascii="Symbol" w:hAnsi="Symbol"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4">
    <w:nsid w:val="7D4F2553"/>
    <w:multiLevelType w:val="multilevel"/>
    <w:tmpl w:val="7126192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none"/>
      <w:lvlText w:val="2.2.2"/>
      <w:lvlJc w:val="left"/>
      <w:pPr>
        <w:ind w:left="114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FF11FBF"/>
    <w:multiLevelType w:val="hybridMultilevel"/>
    <w:tmpl w:val="9BC8CD1E"/>
    <w:lvl w:ilvl="0" w:tplc="A906D010">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9"/>
  </w:num>
  <w:num w:numId="2">
    <w:abstractNumId w:val="4"/>
  </w:num>
  <w:num w:numId="3">
    <w:abstractNumId w:val="9"/>
  </w:num>
  <w:num w:numId="4">
    <w:abstractNumId w:val="26"/>
  </w:num>
  <w:num w:numId="5">
    <w:abstractNumId w:val="21"/>
  </w:num>
  <w:num w:numId="6">
    <w:abstractNumId w:val="13"/>
  </w:num>
  <w:num w:numId="7">
    <w:abstractNumId w:val="13"/>
    <w:lvlOverride w:ilvl="0">
      <w:startOverride w:val="3"/>
    </w:lvlOverride>
  </w:num>
  <w:num w:numId="8">
    <w:abstractNumId w:val="16"/>
  </w:num>
  <w:num w:numId="9">
    <w:abstractNumId w:val="18"/>
  </w:num>
  <w:num w:numId="10">
    <w:abstractNumId w:val="10"/>
  </w:num>
  <w:num w:numId="11">
    <w:abstractNumId w:val="1"/>
  </w:num>
  <w:num w:numId="12">
    <w:abstractNumId w:val="22"/>
  </w:num>
  <w:num w:numId="13">
    <w:abstractNumId w:val="12"/>
  </w:num>
  <w:num w:numId="14">
    <w:abstractNumId w:val="32"/>
  </w:num>
  <w:num w:numId="15">
    <w:abstractNumId w:val="17"/>
  </w:num>
  <w:num w:numId="16">
    <w:abstractNumId w:val="34"/>
  </w:num>
  <w:num w:numId="17">
    <w:abstractNumId w:val="14"/>
  </w:num>
  <w:num w:numId="18">
    <w:abstractNumId w:val="28"/>
  </w:num>
  <w:num w:numId="19">
    <w:abstractNumId w:val="11"/>
  </w:num>
  <w:num w:numId="20">
    <w:abstractNumId w:val="2"/>
  </w:num>
  <w:num w:numId="21">
    <w:abstractNumId w:val="33"/>
  </w:num>
  <w:num w:numId="22">
    <w:abstractNumId w:val="16"/>
  </w:num>
  <w:num w:numId="23">
    <w:abstractNumId w:val="16"/>
  </w:num>
  <w:num w:numId="24">
    <w:abstractNumId w:val="4"/>
  </w:num>
  <w:num w:numId="25">
    <w:abstractNumId w:val="16"/>
  </w:num>
  <w:num w:numId="26">
    <w:abstractNumId w:val="16"/>
  </w:num>
  <w:num w:numId="27">
    <w:abstractNumId w:val="16"/>
  </w:num>
  <w:num w:numId="28">
    <w:abstractNumId w:val="13"/>
  </w:num>
  <w:num w:numId="29">
    <w:abstractNumId w:val="27"/>
  </w:num>
  <w:num w:numId="30">
    <w:abstractNumId w:val="4"/>
  </w:num>
  <w:num w:numId="31">
    <w:abstractNumId w:val="4"/>
  </w:num>
  <w:num w:numId="32">
    <w:abstractNumId w:val="4"/>
  </w:num>
  <w:num w:numId="33">
    <w:abstractNumId w:val="7"/>
  </w:num>
  <w:num w:numId="34">
    <w:abstractNumId w:val="29"/>
  </w:num>
  <w:num w:numId="35">
    <w:abstractNumId w:val="8"/>
  </w:num>
  <w:num w:numId="36">
    <w:abstractNumId w:val="31"/>
  </w:num>
  <w:num w:numId="37">
    <w:abstractNumId w:val="5"/>
  </w:num>
  <w:num w:numId="38">
    <w:abstractNumId w:val="3"/>
  </w:num>
  <w:num w:numId="39">
    <w:abstractNumId w:val="30"/>
  </w:num>
  <w:num w:numId="40">
    <w:abstractNumId w:val="6"/>
  </w:num>
  <w:num w:numId="41">
    <w:abstractNumId w:val="25"/>
  </w:num>
  <w:num w:numId="42">
    <w:abstractNumId w:val="23"/>
  </w:num>
  <w:num w:numId="43">
    <w:abstractNumId w:val="15"/>
  </w:num>
  <w:num w:numId="44">
    <w:abstractNumId w:val="35"/>
  </w:num>
  <w:num w:numId="45">
    <w:abstractNumId w:val="24"/>
  </w:num>
  <w:num w:numId="46">
    <w:abstractNumId w:val="20"/>
  </w:num>
  <w:num w:numId="47">
    <w:abstractNumId w:val="0"/>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Phillips">
    <w15:presenceInfo w15:providerId="None" w15:userId="Peter Phil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ocumentProtection w:edit="readOnly" w:enforcement="1" w:cryptProviderType="rsaFull" w:cryptAlgorithmClass="hash" w:cryptAlgorithmType="typeAny" w:cryptAlgorithmSid="4" w:cryptSpinCount="100000" w:hash="FmRTegcJ7UV0pky8EDJKTCQMfCM=" w:salt="RzWZhTK2U037BqC+qXqy8A=="/>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86"/>
    <w:rsid w:val="0000002D"/>
    <w:rsid w:val="00000E6D"/>
    <w:rsid w:val="00001CA3"/>
    <w:rsid w:val="00001EA5"/>
    <w:rsid w:val="00001EAC"/>
    <w:rsid w:val="000020F3"/>
    <w:rsid w:val="00002601"/>
    <w:rsid w:val="00002A90"/>
    <w:rsid w:val="00002F57"/>
    <w:rsid w:val="000033C4"/>
    <w:rsid w:val="000034B1"/>
    <w:rsid w:val="000039F1"/>
    <w:rsid w:val="00003FB0"/>
    <w:rsid w:val="000040CC"/>
    <w:rsid w:val="000052C6"/>
    <w:rsid w:val="000052EA"/>
    <w:rsid w:val="00005D3A"/>
    <w:rsid w:val="000062E3"/>
    <w:rsid w:val="00006447"/>
    <w:rsid w:val="00006B3E"/>
    <w:rsid w:val="00007118"/>
    <w:rsid w:val="000073E5"/>
    <w:rsid w:val="00007EFD"/>
    <w:rsid w:val="00010231"/>
    <w:rsid w:val="000110E4"/>
    <w:rsid w:val="00011AC8"/>
    <w:rsid w:val="000129AC"/>
    <w:rsid w:val="00013360"/>
    <w:rsid w:val="00013605"/>
    <w:rsid w:val="0001393A"/>
    <w:rsid w:val="00014104"/>
    <w:rsid w:val="00014D04"/>
    <w:rsid w:val="00015C95"/>
    <w:rsid w:val="00016BB8"/>
    <w:rsid w:val="0001739B"/>
    <w:rsid w:val="00017A15"/>
    <w:rsid w:val="00017A2E"/>
    <w:rsid w:val="00017AF2"/>
    <w:rsid w:val="00020203"/>
    <w:rsid w:val="00020CA3"/>
    <w:rsid w:val="0002128C"/>
    <w:rsid w:val="00021C33"/>
    <w:rsid w:val="0002213D"/>
    <w:rsid w:val="00022FB1"/>
    <w:rsid w:val="0002341A"/>
    <w:rsid w:val="00023612"/>
    <w:rsid w:val="00023C77"/>
    <w:rsid w:val="00023F12"/>
    <w:rsid w:val="000243F6"/>
    <w:rsid w:val="0002472D"/>
    <w:rsid w:val="00024952"/>
    <w:rsid w:val="00024D47"/>
    <w:rsid w:val="000251B6"/>
    <w:rsid w:val="0002671A"/>
    <w:rsid w:val="00026D02"/>
    <w:rsid w:val="00026E10"/>
    <w:rsid w:val="000272F8"/>
    <w:rsid w:val="00027846"/>
    <w:rsid w:val="00027D75"/>
    <w:rsid w:val="00030194"/>
    <w:rsid w:val="00030629"/>
    <w:rsid w:val="00030E36"/>
    <w:rsid w:val="00031394"/>
    <w:rsid w:val="00031643"/>
    <w:rsid w:val="00031908"/>
    <w:rsid w:val="00031C4C"/>
    <w:rsid w:val="0003237F"/>
    <w:rsid w:val="000327B6"/>
    <w:rsid w:val="00033A12"/>
    <w:rsid w:val="0003458E"/>
    <w:rsid w:val="00034C20"/>
    <w:rsid w:val="00034D74"/>
    <w:rsid w:val="00034F73"/>
    <w:rsid w:val="000368F8"/>
    <w:rsid w:val="00037332"/>
    <w:rsid w:val="00037B22"/>
    <w:rsid w:val="00037B2A"/>
    <w:rsid w:val="00037E37"/>
    <w:rsid w:val="0004045E"/>
    <w:rsid w:val="00040479"/>
    <w:rsid w:val="000406F4"/>
    <w:rsid w:val="000419D4"/>
    <w:rsid w:val="00041CC0"/>
    <w:rsid w:val="00041CD0"/>
    <w:rsid w:val="000423CB"/>
    <w:rsid w:val="000425B0"/>
    <w:rsid w:val="0004350B"/>
    <w:rsid w:val="000436AA"/>
    <w:rsid w:val="0004447A"/>
    <w:rsid w:val="0004453D"/>
    <w:rsid w:val="00044C44"/>
    <w:rsid w:val="0004567C"/>
    <w:rsid w:val="000457C5"/>
    <w:rsid w:val="0004588F"/>
    <w:rsid w:val="00045E47"/>
    <w:rsid w:val="00046129"/>
    <w:rsid w:val="00046741"/>
    <w:rsid w:val="00047513"/>
    <w:rsid w:val="00050108"/>
    <w:rsid w:val="00050392"/>
    <w:rsid w:val="00050573"/>
    <w:rsid w:val="000505DE"/>
    <w:rsid w:val="000505F4"/>
    <w:rsid w:val="0005070E"/>
    <w:rsid w:val="00050B7B"/>
    <w:rsid w:val="00051241"/>
    <w:rsid w:val="00051FB0"/>
    <w:rsid w:val="00052076"/>
    <w:rsid w:val="0005292D"/>
    <w:rsid w:val="00052BED"/>
    <w:rsid w:val="00053805"/>
    <w:rsid w:val="00053A40"/>
    <w:rsid w:val="0005419C"/>
    <w:rsid w:val="000547D7"/>
    <w:rsid w:val="00055643"/>
    <w:rsid w:val="00055B10"/>
    <w:rsid w:val="00055F08"/>
    <w:rsid w:val="000560A3"/>
    <w:rsid w:val="000561A0"/>
    <w:rsid w:val="0005650D"/>
    <w:rsid w:val="0005677C"/>
    <w:rsid w:val="00056D51"/>
    <w:rsid w:val="00057423"/>
    <w:rsid w:val="0005762F"/>
    <w:rsid w:val="00057C5B"/>
    <w:rsid w:val="00057D40"/>
    <w:rsid w:val="00057EF4"/>
    <w:rsid w:val="00060312"/>
    <w:rsid w:val="00060373"/>
    <w:rsid w:val="00060387"/>
    <w:rsid w:val="0006097C"/>
    <w:rsid w:val="00061D36"/>
    <w:rsid w:val="000621DD"/>
    <w:rsid w:val="00063578"/>
    <w:rsid w:val="00063CE9"/>
    <w:rsid w:val="0006465D"/>
    <w:rsid w:val="00065076"/>
    <w:rsid w:val="000662D1"/>
    <w:rsid w:val="00066BBC"/>
    <w:rsid w:val="00066F5B"/>
    <w:rsid w:val="00070163"/>
    <w:rsid w:val="0007019F"/>
    <w:rsid w:val="00070766"/>
    <w:rsid w:val="00070D4A"/>
    <w:rsid w:val="0007119C"/>
    <w:rsid w:val="00072009"/>
    <w:rsid w:val="00072245"/>
    <w:rsid w:val="0007342B"/>
    <w:rsid w:val="000736A0"/>
    <w:rsid w:val="00073786"/>
    <w:rsid w:val="00073BCE"/>
    <w:rsid w:val="0007425B"/>
    <w:rsid w:val="00075095"/>
    <w:rsid w:val="0007541D"/>
    <w:rsid w:val="00075A14"/>
    <w:rsid w:val="00075F50"/>
    <w:rsid w:val="00076065"/>
    <w:rsid w:val="00076083"/>
    <w:rsid w:val="000763C9"/>
    <w:rsid w:val="00077780"/>
    <w:rsid w:val="000779CF"/>
    <w:rsid w:val="00077E1F"/>
    <w:rsid w:val="00080D53"/>
    <w:rsid w:val="00081254"/>
    <w:rsid w:val="000821E2"/>
    <w:rsid w:val="00082850"/>
    <w:rsid w:val="00082A72"/>
    <w:rsid w:val="00082DAF"/>
    <w:rsid w:val="00082DE2"/>
    <w:rsid w:val="00083923"/>
    <w:rsid w:val="000839A3"/>
    <w:rsid w:val="00083A96"/>
    <w:rsid w:val="00084716"/>
    <w:rsid w:val="00084B87"/>
    <w:rsid w:val="00084E3E"/>
    <w:rsid w:val="00085195"/>
    <w:rsid w:val="0008580A"/>
    <w:rsid w:val="0008598D"/>
    <w:rsid w:val="00086411"/>
    <w:rsid w:val="00086997"/>
    <w:rsid w:val="00086E5F"/>
    <w:rsid w:val="00086F16"/>
    <w:rsid w:val="0008778C"/>
    <w:rsid w:val="000877C3"/>
    <w:rsid w:val="00087B21"/>
    <w:rsid w:val="00087DE7"/>
    <w:rsid w:val="000901B7"/>
    <w:rsid w:val="0009029E"/>
    <w:rsid w:val="00090F45"/>
    <w:rsid w:val="000918FA"/>
    <w:rsid w:val="00091CBB"/>
    <w:rsid w:val="0009228D"/>
    <w:rsid w:val="00092430"/>
    <w:rsid w:val="0009352C"/>
    <w:rsid w:val="00093687"/>
    <w:rsid w:val="00093BEB"/>
    <w:rsid w:val="00093C3D"/>
    <w:rsid w:val="00094581"/>
    <w:rsid w:val="00094D0F"/>
    <w:rsid w:val="00095672"/>
    <w:rsid w:val="000961EC"/>
    <w:rsid w:val="00096347"/>
    <w:rsid w:val="00096B04"/>
    <w:rsid w:val="00096B81"/>
    <w:rsid w:val="00096E94"/>
    <w:rsid w:val="0009701E"/>
    <w:rsid w:val="000973B0"/>
    <w:rsid w:val="000976FD"/>
    <w:rsid w:val="0009771B"/>
    <w:rsid w:val="000A0390"/>
    <w:rsid w:val="000A05F2"/>
    <w:rsid w:val="000A09BB"/>
    <w:rsid w:val="000A09F1"/>
    <w:rsid w:val="000A18B7"/>
    <w:rsid w:val="000A1E1B"/>
    <w:rsid w:val="000A263F"/>
    <w:rsid w:val="000A2FDC"/>
    <w:rsid w:val="000A32B0"/>
    <w:rsid w:val="000A35B7"/>
    <w:rsid w:val="000A3ABB"/>
    <w:rsid w:val="000A3B8F"/>
    <w:rsid w:val="000A3D18"/>
    <w:rsid w:val="000A3EDC"/>
    <w:rsid w:val="000A3EFB"/>
    <w:rsid w:val="000A3FC9"/>
    <w:rsid w:val="000A45B4"/>
    <w:rsid w:val="000A4790"/>
    <w:rsid w:val="000A4C0C"/>
    <w:rsid w:val="000A5505"/>
    <w:rsid w:val="000A58F1"/>
    <w:rsid w:val="000A6755"/>
    <w:rsid w:val="000A68AA"/>
    <w:rsid w:val="000A6F6A"/>
    <w:rsid w:val="000B00A5"/>
    <w:rsid w:val="000B027E"/>
    <w:rsid w:val="000B07E2"/>
    <w:rsid w:val="000B115F"/>
    <w:rsid w:val="000B12ED"/>
    <w:rsid w:val="000B1E2F"/>
    <w:rsid w:val="000B23CF"/>
    <w:rsid w:val="000B2799"/>
    <w:rsid w:val="000B29C0"/>
    <w:rsid w:val="000B2EA2"/>
    <w:rsid w:val="000B34FE"/>
    <w:rsid w:val="000B3D34"/>
    <w:rsid w:val="000B4C6D"/>
    <w:rsid w:val="000B500D"/>
    <w:rsid w:val="000B56F9"/>
    <w:rsid w:val="000B590D"/>
    <w:rsid w:val="000B65F2"/>
    <w:rsid w:val="000B69B5"/>
    <w:rsid w:val="000B777B"/>
    <w:rsid w:val="000C014A"/>
    <w:rsid w:val="000C0282"/>
    <w:rsid w:val="000C03C0"/>
    <w:rsid w:val="000C0588"/>
    <w:rsid w:val="000C0DBC"/>
    <w:rsid w:val="000C233B"/>
    <w:rsid w:val="000C2600"/>
    <w:rsid w:val="000C2720"/>
    <w:rsid w:val="000C278D"/>
    <w:rsid w:val="000C3129"/>
    <w:rsid w:val="000C3170"/>
    <w:rsid w:val="000C35A6"/>
    <w:rsid w:val="000C3908"/>
    <w:rsid w:val="000C3E07"/>
    <w:rsid w:val="000C46C4"/>
    <w:rsid w:val="000C5441"/>
    <w:rsid w:val="000C564E"/>
    <w:rsid w:val="000C5F36"/>
    <w:rsid w:val="000C6192"/>
    <w:rsid w:val="000C6801"/>
    <w:rsid w:val="000C6B50"/>
    <w:rsid w:val="000C6CD6"/>
    <w:rsid w:val="000C7CFF"/>
    <w:rsid w:val="000D008A"/>
    <w:rsid w:val="000D075F"/>
    <w:rsid w:val="000D1349"/>
    <w:rsid w:val="000D16E0"/>
    <w:rsid w:val="000D1875"/>
    <w:rsid w:val="000D1CC9"/>
    <w:rsid w:val="000D2640"/>
    <w:rsid w:val="000D2754"/>
    <w:rsid w:val="000D3559"/>
    <w:rsid w:val="000D402A"/>
    <w:rsid w:val="000D4097"/>
    <w:rsid w:val="000D42DC"/>
    <w:rsid w:val="000D47ED"/>
    <w:rsid w:val="000D5464"/>
    <w:rsid w:val="000D556A"/>
    <w:rsid w:val="000D6364"/>
    <w:rsid w:val="000D63FD"/>
    <w:rsid w:val="000D7042"/>
    <w:rsid w:val="000D73B0"/>
    <w:rsid w:val="000D76C9"/>
    <w:rsid w:val="000D7BE2"/>
    <w:rsid w:val="000D7DFD"/>
    <w:rsid w:val="000E028A"/>
    <w:rsid w:val="000E03F4"/>
    <w:rsid w:val="000E099B"/>
    <w:rsid w:val="000E0B41"/>
    <w:rsid w:val="000E0CD0"/>
    <w:rsid w:val="000E1635"/>
    <w:rsid w:val="000E207C"/>
    <w:rsid w:val="000E2117"/>
    <w:rsid w:val="000E21BD"/>
    <w:rsid w:val="000E44C6"/>
    <w:rsid w:val="000E4882"/>
    <w:rsid w:val="000E546E"/>
    <w:rsid w:val="000E5671"/>
    <w:rsid w:val="000E59DF"/>
    <w:rsid w:val="000E5A33"/>
    <w:rsid w:val="000E5F8B"/>
    <w:rsid w:val="000E60CA"/>
    <w:rsid w:val="000E665B"/>
    <w:rsid w:val="000E6C0C"/>
    <w:rsid w:val="000E6E49"/>
    <w:rsid w:val="000E7EB0"/>
    <w:rsid w:val="000E7F8B"/>
    <w:rsid w:val="000F0BC2"/>
    <w:rsid w:val="000F0C4B"/>
    <w:rsid w:val="000F165D"/>
    <w:rsid w:val="000F19C4"/>
    <w:rsid w:val="000F1C36"/>
    <w:rsid w:val="000F1CFD"/>
    <w:rsid w:val="000F1E0F"/>
    <w:rsid w:val="000F2B6D"/>
    <w:rsid w:val="000F36FA"/>
    <w:rsid w:val="000F43BD"/>
    <w:rsid w:val="000F442C"/>
    <w:rsid w:val="000F5A4C"/>
    <w:rsid w:val="000F5FC2"/>
    <w:rsid w:val="000F60DD"/>
    <w:rsid w:val="000F6C22"/>
    <w:rsid w:val="000F718B"/>
    <w:rsid w:val="000F780C"/>
    <w:rsid w:val="001005FA"/>
    <w:rsid w:val="00100CDC"/>
    <w:rsid w:val="00100DB0"/>
    <w:rsid w:val="00100F3A"/>
    <w:rsid w:val="0010105E"/>
    <w:rsid w:val="001012A0"/>
    <w:rsid w:val="001014E1"/>
    <w:rsid w:val="00101A17"/>
    <w:rsid w:val="001025CF"/>
    <w:rsid w:val="001027D3"/>
    <w:rsid w:val="00102FC1"/>
    <w:rsid w:val="001031FE"/>
    <w:rsid w:val="001032E1"/>
    <w:rsid w:val="00103BE4"/>
    <w:rsid w:val="00103F10"/>
    <w:rsid w:val="00104E72"/>
    <w:rsid w:val="00104F0E"/>
    <w:rsid w:val="00104F1C"/>
    <w:rsid w:val="00105130"/>
    <w:rsid w:val="00105189"/>
    <w:rsid w:val="00105299"/>
    <w:rsid w:val="00105612"/>
    <w:rsid w:val="00105BA0"/>
    <w:rsid w:val="00105DD5"/>
    <w:rsid w:val="00106565"/>
    <w:rsid w:val="001066F7"/>
    <w:rsid w:val="00106A37"/>
    <w:rsid w:val="00106DF6"/>
    <w:rsid w:val="0011034F"/>
    <w:rsid w:val="0011084F"/>
    <w:rsid w:val="00110A1E"/>
    <w:rsid w:val="00110B5D"/>
    <w:rsid w:val="00110EEA"/>
    <w:rsid w:val="00110FB1"/>
    <w:rsid w:val="00110FEC"/>
    <w:rsid w:val="00111838"/>
    <w:rsid w:val="001119C6"/>
    <w:rsid w:val="00112292"/>
    <w:rsid w:val="001126B4"/>
    <w:rsid w:val="001129B4"/>
    <w:rsid w:val="00113889"/>
    <w:rsid w:val="00113BF8"/>
    <w:rsid w:val="00113C58"/>
    <w:rsid w:val="00113C80"/>
    <w:rsid w:val="001146A0"/>
    <w:rsid w:val="001148FC"/>
    <w:rsid w:val="001149F1"/>
    <w:rsid w:val="00114A7A"/>
    <w:rsid w:val="00114AC8"/>
    <w:rsid w:val="0011528A"/>
    <w:rsid w:val="00115713"/>
    <w:rsid w:val="001159EE"/>
    <w:rsid w:val="001167F6"/>
    <w:rsid w:val="00116870"/>
    <w:rsid w:val="001176D2"/>
    <w:rsid w:val="00117A49"/>
    <w:rsid w:val="00120397"/>
    <w:rsid w:val="001203C1"/>
    <w:rsid w:val="00121A83"/>
    <w:rsid w:val="00121D75"/>
    <w:rsid w:val="001238B1"/>
    <w:rsid w:val="001239B1"/>
    <w:rsid w:val="0012410C"/>
    <w:rsid w:val="00124286"/>
    <w:rsid w:val="00125780"/>
    <w:rsid w:val="001257D2"/>
    <w:rsid w:val="00125927"/>
    <w:rsid w:val="00126486"/>
    <w:rsid w:val="00126521"/>
    <w:rsid w:val="00126741"/>
    <w:rsid w:val="00127326"/>
    <w:rsid w:val="00127DB0"/>
    <w:rsid w:val="00127E52"/>
    <w:rsid w:val="001302E5"/>
    <w:rsid w:val="00130711"/>
    <w:rsid w:val="0013142F"/>
    <w:rsid w:val="0013166C"/>
    <w:rsid w:val="00131C25"/>
    <w:rsid w:val="00131D06"/>
    <w:rsid w:val="001322DB"/>
    <w:rsid w:val="00132433"/>
    <w:rsid w:val="00132B69"/>
    <w:rsid w:val="00132EDC"/>
    <w:rsid w:val="00133628"/>
    <w:rsid w:val="0013402E"/>
    <w:rsid w:val="0013460F"/>
    <w:rsid w:val="00134686"/>
    <w:rsid w:val="00134B49"/>
    <w:rsid w:val="00134BAD"/>
    <w:rsid w:val="00135119"/>
    <w:rsid w:val="001363A7"/>
    <w:rsid w:val="00136746"/>
    <w:rsid w:val="00136968"/>
    <w:rsid w:val="00137325"/>
    <w:rsid w:val="001376A8"/>
    <w:rsid w:val="00137A62"/>
    <w:rsid w:val="00137C57"/>
    <w:rsid w:val="00140027"/>
    <w:rsid w:val="0014185C"/>
    <w:rsid w:val="00141BFF"/>
    <w:rsid w:val="00142334"/>
    <w:rsid w:val="00143C11"/>
    <w:rsid w:val="00144177"/>
    <w:rsid w:val="00144797"/>
    <w:rsid w:val="00144906"/>
    <w:rsid w:val="001450C9"/>
    <w:rsid w:val="00145BD9"/>
    <w:rsid w:val="00146175"/>
    <w:rsid w:val="00146817"/>
    <w:rsid w:val="00146CCB"/>
    <w:rsid w:val="00147424"/>
    <w:rsid w:val="00147BAD"/>
    <w:rsid w:val="00147D90"/>
    <w:rsid w:val="001504D3"/>
    <w:rsid w:val="00150977"/>
    <w:rsid w:val="001509A5"/>
    <w:rsid w:val="00150B4D"/>
    <w:rsid w:val="00150BEE"/>
    <w:rsid w:val="00151410"/>
    <w:rsid w:val="00151A2A"/>
    <w:rsid w:val="00152DA1"/>
    <w:rsid w:val="00153C01"/>
    <w:rsid w:val="00153C29"/>
    <w:rsid w:val="00153D01"/>
    <w:rsid w:val="0015413D"/>
    <w:rsid w:val="0015425A"/>
    <w:rsid w:val="0015465F"/>
    <w:rsid w:val="00154A54"/>
    <w:rsid w:val="00154DFF"/>
    <w:rsid w:val="00154EF1"/>
    <w:rsid w:val="0015537E"/>
    <w:rsid w:val="001558CF"/>
    <w:rsid w:val="00155E20"/>
    <w:rsid w:val="00156739"/>
    <w:rsid w:val="00156801"/>
    <w:rsid w:val="00156976"/>
    <w:rsid w:val="00156C98"/>
    <w:rsid w:val="00157561"/>
    <w:rsid w:val="0016009F"/>
    <w:rsid w:val="00160557"/>
    <w:rsid w:val="00160835"/>
    <w:rsid w:val="00161B24"/>
    <w:rsid w:val="00162DC1"/>
    <w:rsid w:val="00163967"/>
    <w:rsid w:val="00163E4B"/>
    <w:rsid w:val="00164579"/>
    <w:rsid w:val="001647FE"/>
    <w:rsid w:val="0016502F"/>
    <w:rsid w:val="001656DA"/>
    <w:rsid w:val="00165D03"/>
    <w:rsid w:val="00166042"/>
    <w:rsid w:val="001664BE"/>
    <w:rsid w:val="0016700F"/>
    <w:rsid w:val="00167681"/>
    <w:rsid w:val="00171182"/>
    <w:rsid w:val="0017219B"/>
    <w:rsid w:val="001722FF"/>
    <w:rsid w:val="00172965"/>
    <w:rsid w:val="00172B6D"/>
    <w:rsid w:val="00172C12"/>
    <w:rsid w:val="00172E62"/>
    <w:rsid w:val="001734BA"/>
    <w:rsid w:val="00173B44"/>
    <w:rsid w:val="001748D2"/>
    <w:rsid w:val="00174A6B"/>
    <w:rsid w:val="00174F3C"/>
    <w:rsid w:val="00176A6C"/>
    <w:rsid w:val="00176E60"/>
    <w:rsid w:val="001772C5"/>
    <w:rsid w:val="001775AB"/>
    <w:rsid w:val="00180533"/>
    <w:rsid w:val="00180748"/>
    <w:rsid w:val="00180BB0"/>
    <w:rsid w:val="00180BF6"/>
    <w:rsid w:val="00180D3B"/>
    <w:rsid w:val="00181132"/>
    <w:rsid w:val="001812FD"/>
    <w:rsid w:val="00181339"/>
    <w:rsid w:val="00182300"/>
    <w:rsid w:val="00182350"/>
    <w:rsid w:val="00182597"/>
    <w:rsid w:val="0018362C"/>
    <w:rsid w:val="00183B8F"/>
    <w:rsid w:val="00183C0D"/>
    <w:rsid w:val="001842EF"/>
    <w:rsid w:val="00184666"/>
    <w:rsid w:val="00184BC0"/>
    <w:rsid w:val="001858CF"/>
    <w:rsid w:val="00185B7B"/>
    <w:rsid w:val="00185DF1"/>
    <w:rsid w:val="00185E8C"/>
    <w:rsid w:val="001863C1"/>
    <w:rsid w:val="00186590"/>
    <w:rsid w:val="00187814"/>
    <w:rsid w:val="001924E5"/>
    <w:rsid w:val="00192724"/>
    <w:rsid w:val="00192C4F"/>
    <w:rsid w:val="001934DF"/>
    <w:rsid w:val="00193547"/>
    <w:rsid w:val="0019381F"/>
    <w:rsid w:val="0019392F"/>
    <w:rsid w:val="00193C74"/>
    <w:rsid w:val="00194FFB"/>
    <w:rsid w:val="001952AD"/>
    <w:rsid w:val="00195342"/>
    <w:rsid w:val="00195412"/>
    <w:rsid w:val="00195E4A"/>
    <w:rsid w:val="0019689E"/>
    <w:rsid w:val="00196D1B"/>
    <w:rsid w:val="00196E94"/>
    <w:rsid w:val="0019725B"/>
    <w:rsid w:val="001978F9"/>
    <w:rsid w:val="00197AC0"/>
    <w:rsid w:val="00197ACA"/>
    <w:rsid w:val="00197E53"/>
    <w:rsid w:val="001A07E0"/>
    <w:rsid w:val="001A08F8"/>
    <w:rsid w:val="001A0DCD"/>
    <w:rsid w:val="001A1079"/>
    <w:rsid w:val="001A1541"/>
    <w:rsid w:val="001A1636"/>
    <w:rsid w:val="001A1D47"/>
    <w:rsid w:val="001A2547"/>
    <w:rsid w:val="001A306A"/>
    <w:rsid w:val="001A4442"/>
    <w:rsid w:val="001A4865"/>
    <w:rsid w:val="001A5B29"/>
    <w:rsid w:val="001A623F"/>
    <w:rsid w:val="001A6276"/>
    <w:rsid w:val="001A66C3"/>
    <w:rsid w:val="001A6E2C"/>
    <w:rsid w:val="001B004E"/>
    <w:rsid w:val="001B083F"/>
    <w:rsid w:val="001B0BE1"/>
    <w:rsid w:val="001B0D4D"/>
    <w:rsid w:val="001B0DFE"/>
    <w:rsid w:val="001B1131"/>
    <w:rsid w:val="001B11CA"/>
    <w:rsid w:val="001B1B9C"/>
    <w:rsid w:val="001B1D1C"/>
    <w:rsid w:val="001B1E2E"/>
    <w:rsid w:val="001B3A53"/>
    <w:rsid w:val="001B3D5C"/>
    <w:rsid w:val="001B5728"/>
    <w:rsid w:val="001B58F2"/>
    <w:rsid w:val="001B5A9B"/>
    <w:rsid w:val="001B5F14"/>
    <w:rsid w:val="001B6734"/>
    <w:rsid w:val="001B6837"/>
    <w:rsid w:val="001B6E5E"/>
    <w:rsid w:val="001B70D7"/>
    <w:rsid w:val="001B7417"/>
    <w:rsid w:val="001B745C"/>
    <w:rsid w:val="001C02B1"/>
    <w:rsid w:val="001C05BF"/>
    <w:rsid w:val="001C07CD"/>
    <w:rsid w:val="001C0C7A"/>
    <w:rsid w:val="001C0DF0"/>
    <w:rsid w:val="001C1B53"/>
    <w:rsid w:val="001C2B52"/>
    <w:rsid w:val="001C2F83"/>
    <w:rsid w:val="001C3134"/>
    <w:rsid w:val="001C3521"/>
    <w:rsid w:val="001C3ABF"/>
    <w:rsid w:val="001C46EF"/>
    <w:rsid w:val="001C4964"/>
    <w:rsid w:val="001C4F49"/>
    <w:rsid w:val="001C53A1"/>
    <w:rsid w:val="001C53E9"/>
    <w:rsid w:val="001C6897"/>
    <w:rsid w:val="001C68A5"/>
    <w:rsid w:val="001C6E16"/>
    <w:rsid w:val="001C709E"/>
    <w:rsid w:val="001C7208"/>
    <w:rsid w:val="001C7B62"/>
    <w:rsid w:val="001D0871"/>
    <w:rsid w:val="001D0D83"/>
    <w:rsid w:val="001D1046"/>
    <w:rsid w:val="001D1121"/>
    <w:rsid w:val="001D14E7"/>
    <w:rsid w:val="001D202D"/>
    <w:rsid w:val="001D2319"/>
    <w:rsid w:val="001D2671"/>
    <w:rsid w:val="001D270B"/>
    <w:rsid w:val="001D2759"/>
    <w:rsid w:val="001D276A"/>
    <w:rsid w:val="001D2D6A"/>
    <w:rsid w:val="001D33AA"/>
    <w:rsid w:val="001D3B4F"/>
    <w:rsid w:val="001D3CCD"/>
    <w:rsid w:val="001D3D3D"/>
    <w:rsid w:val="001D3F70"/>
    <w:rsid w:val="001D4072"/>
    <w:rsid w:val="001D48EB"/>
    <w:rsid w:val="001D48F7"/>
    <w:rsid w:val="001D492E"/>
    <w:rsid w:val="001D554B"/>
    <w:rsid w:val="001D576F"/>
    <w:rsid w:val="001D5BC4"/>
    <w:rsid w:val="001D6418"/>
    <w:rsid w:val="001D6570"/>
    <w:rsid w:val="001D6C16"/>
    <w:rsid w:val="001D72D8"/>
    <w:rsid w:val="001D761C"/>
    <w:rsid w:val="001E0025"/>
    <w:rsid w:val="001E0A91"/>
    <w:rsid w:val="001E1116"/>
    <w:rsid w:val="001E1FB3"/>
    <w:rsid w:val="001E2278"/>
    <w:rsid w:val="001E25F8"/>
    <w:rsid w:val="001E2741"/>
    <w:rsid w:val="001E2E52"/>
    <w:rsid w:val="001E40D7"/>
    <w:rsid w:val="001E5784"/>
    <w:rsid w:val="001E58A9"/>
    <w:rsid w:val="001E5C82"/>
    <w:rsid w:val="001E61F4"/>
    <w:rsid w:val="001E65BE"/>
    <w:rsid w:val="001E7532"/>
    <w:rsid w:val="001F0056"/>
    <w:rsid w:val="001F03CF"/>
    <w:rsid w:val="001F0C62"/>
    <w:rsid w:val="001F0D94"/>
    <w:rsid w:val="001F11FF"/>
    <w:rsid w:val="001F1D75"/>
    <w:rsid w:val="001F26EA"/>
    <w:rsid w:val="001F28C8"/>
    <w:rsid w:val="001F2A3A"/>
    <w:rsid w:val="001F2CE5"/>
    <w:rsid w:val="001F2D5A"/>
    <w:rsid w:val="001F30A7"/>
    <w:rsid w:val="001F30C2"/>
    <w:rsid w:val="001F36A1"/>
    <w:rsid w:val="001F462B"/>
    <w:rsid w:val="001F4833"/>
    <w:rsid w:val="001F4F24"/>
    <w:rsid w:val="001F4FD0"/>
    <w:rsid w:val="001F56E6"/>
    <w:rsid w:val="001F5F26"/>
    <w:rsid w:val="001F79D6"/>
    <w:rsid w:val="00200668"/>
    <w:rsid w:val="00201543"/>
    <w:rsid w:val="00201AB8"/>
    <w:rsid w:val="00203082"/>
    <w:rsid w:val="00203C82"/>
    <w:rsid w:val="00204291"/>
    <w:rsid w:val="00204583"/>
    <w:rsid w:val="00204E25"/>
    <w:rsid w:val="00204FE6"/>
    <w:rsid w:val="002055D9"/>
    <w:rsid w:val="002058FF"/>
    <w:rsid w:val="002072EC"/>
    <w:rsid w:val="00207BF3"/>
    <w:rsid w:val="00207F19"/>
    <w:rsid w:val="0021053D"/>
    <w:rsid w:val="00210B8C"/>
    <w:rsid w:val="00210B9E"/>
    <w:rsid w:val="00210FF6"/>
    <w:rsid w:val="0021122A"/>
    <w:rsid w:val="0021131B"/>
    <w:rsid w:val="002117AE"/>
    <w:rsid w:val="0021198D"/>
    <w:rsid w:val="00212079"/>
    <w:rsid w:val="002123CC"/>
    <w:rsid w:val="00212C48"/>
    <w:rsid w:val="00212D4F"/>
    <w:rsid w:val="00212D8E"/>
    <w:rsid w:val="00213213"/>
    <w:rsid w:val="0021399C"/>
    <w:rsid w:val="0021413D"/>
    <w:rsid w:val="00214903"/>
    <w:rsid w:val="00214C66"/>
    <w:rsid w:val="00214D9C"/>
    <w:rsid w:val="00214EC4"/>
    <w:rsid w:val="00215733"/>
    <w:rsid w:val="00215EFD"/>
    <w:rsid w:val="002162AD"/>
    <w:rsid w:val="00216B06"/>
    <w:rsid w:val="00216E16"/>
    <w:rsid w:val="00216E35"/>
    <w:rsid w:val="002170AA"/>
    <w:rsid w:val="002173F8"/>
    <w:rsid w:val="00217563"/>
    <w:rsid w:val="00217CB7"/>
    <w:rsid w:val="00220361"/>
    <w:rsid w:val="00220943"/>
    <w:rsid w:val="00220E82"/>
    <w:rsid w:val="0022168B"/>
    <w:rsid w:val="00221A99"/>
    <w:rsid w:val="00221C35"/>
    <w:rsid w:val="00222C20"/>
    <w:rsid w:val="00223515"/>
    <w:rsid w:val="00224111"/>
    <w:rsid w:val="00224211"/>
    <w:rsid w:val="00224426"/>
    <w:rsid w:val="002248C1"/>
    <w:rsid w:val="00224DB7"/>
    <w:rsid w:val="0022561B"/>
    <w:rsid w:val="00225912"/>
    <w:rsid w:val="00225EF3"/>
    <w:rsid w:val="0022612E"/>
    <w:rsid w:val="0022617F"/>
    <w:rsid w:val="00226B58"/>
    <w:rsid w:val="00230681"/>
    <w:rsid w:val="00230A31"/>
    <w:rsid w:val="0023140B"/>
    <w:rsid w:val="002316B7"/>
    <w:rsid w:val="00231960"/>
    <w:rsid w:val="00231A41"/>
    <w:rsid w:val="00231D85"/>
    <w:rsid w:val="00231E38"/>
    <w:rsid w:val="00232033"/>
    <w:rsid w:val="00232528"/>
    <w:rsid w:val="002328C8"/>
    <w:rsid w:val="002332E6"/>
    <w:rsid w:val="00234253"/>
    <w:rsid w:val="002342F4"/>
    <w:rsid w:val="0023449C"/>
    <w:rsid w:val="002349A7"/>
    <w:rsid w:val="00234FE4"/>
    <w:rsid w:val="002363B6"/>
    <w:rsid w:val="0023641C"/>
    <w:rsid w:val="002366AD"/>
    <w:rsid w:val="002366C7"/>
    <w:rsid w:val="00236CC8"/>
    <w:rsid w:val="00236D83"/>
    <w:rsid w:val="002376CC"/>
    <w:rsid w:val="00237809"/>
    <w:rsid w:val="002378CE"/>
    <w:rsid w:val="00237DAE"/>
    <w:rsid w:val="002401BD"/>
    <w:rsid w:val="00240CD3"/>
    <w:rsid w:val="002424F8"/>
    <w:rsid w:val="002427A5"/>
    <w:rsid w:val="00242D4B"/>
    <w:rsid w:val="00242FD7"/>
    <w:rsid w:val="00243050"/>
    <w:rsid w:val="00243E98"/>
    <w:rsid w:val="00244126"/>
    <w:rsid w:val="00244690"/>
    <w:rsid w:val="002446A8"/>
    <w:rsid w:val="00244BB2"/>
    <w:rsid w:val="00245184"/>
    <w:rsid w:val="002452CC"/>
    <w:rsid w:val="00245478"/>
    <w:rsid w:val="00245DE8"/>
    <w:rsid w:val="00245F37"/>
    <w:rsid w:val="00246A32"/>
    <w:rsid w:val="0024726A"/>
    <w:rsid w:val="002479D9"/>
    <w:rsid w:val="00250B39"/>
    <w:rsid w:val="00250C8E"/>
    <w:rsid w:val="00250CA0"/>
    <w:rsid w:val="0025129A"/>
    <w:rsid w:val="00251BC6"/>
    <w:rsid w:val="00251FA2"/>
    <w:rsid w:val="00252A3A"/>
    <w:rsid w:val="00252B51"/>
    <w:rsid w:val="002533B2"/>
    <w:rsid w:val="0025372E"/>
    <w:rsid w:val="00254093"/>
    <w:rsid w:val="00254AB4"/>
    <w:rsid w:val="00254D80"/>
    <w:rsid w:val="0025538D"/>
    <w:rsid w:val="00256164"/>
    <w:rsid w:val="0025649F"/>
    <w:rsid w:val="00256C29"/>
    <w:rsid w:val="00256C4B"/>
    <w:rsid w:val="00257036"/>
    <w:rsid w:val="00257361"/>
    <w:rsid w:val="002577CE"/>
    <w:rsid w:val="0026051E"/>
    <w:rsid w:val="00260603"/>
    <w:rsid w:val="00260CA4"/>
    <w:rsid w:val="002625AA"/>
    <w:rsid w:val="00262848"/>
    <w:rsid w:val="00263764"/>
    <w:rsid w:val="00263C7C"/>
    <w:rsid w:val="00263E13"/>
    <w:rsid w:val="00263ED0"/>
    <w:rsid w:val="002646CB"/>
    <w:rsid w:val="00264D29"/>
    <w:rsid w:val="00264D6E"/>
    <w:rsid w:val="00265064"/>
    <w:rsid w:val="002654C3"/>
    <w:rsid w:val="002654D4"/>
    <w:rsid w:val="00265CE5"/>
    <w:rsid w:val="00266614"/>
    <w:rsid w:val="00266FF0"/>
    <w:rsid w:val="00270B0C"/>
    <w:rsid w:val="00270CDE"/>
    <w:rsid w:val="00271ABE"/>
    <w:rsid w:val="00271E65"/>
    <w:rsid w:val="00271F46"/>
    <w:rsid w:val="0027204F"/>
    <w:rsid w:val="00272BE3"/>
    <w:rsid w:val="00272D6E"/>
    <w:rsid w:val="00272EE9"/>
    <w:rsid w:val="00273C83"/>
    <w:rsid w:val="00273E5F"/>
    <w:rsid w:val="002740C9"/>
    <w:rsid w:val="0027432F"/>
    <w:rsid w:val="002748A1"/>
    <w:rsid w:val="0027558B"/>
    <w:rsid w:val="00275774"/>
    <w:rsid w:val="00275E84"/>
    <w:rsid w:val="00276518"/>
    <w:rsid w:val="002770C2"/>
    <w:rsid w:val="002771A9"/>
    <w:rsid w:val="0027726B"/>
    <w:rsid w:val="0027794F"/>
    <w:rsid w:val="002802EE"/>
    <w:rsid w:val="0028093C"/>
    <w:rsid w:val="00280A2E"/>
    <w:rsid w:val="00280BC2"/>
    <w:rsid w:val="002810CA"/>
    <w:rsid w:val="00281559"/>
    <w:rsid w:val="002815F0"/>
    <w:rsid w:val="00281D06"/>
    <w:rsid w:val="00281DB0"/>
    <w:rsid w:val="00282246"/>
    <w:rsid w:val="00282ABB"/>
    <w:rsid w:val="00282B0A"/>
    <w:rsid w:val="00282D54"/>
    <w:rsid w:val="002831E4"/>
    <w:rsid w:val="0028338E"/>
    <w:rsid w:val="002838B2"/>
    <w:rsid w:val="0028418D"/>
    <w:rsid w:val="00285189"/>
    <w:rsid w:val="00286687"/>
    <w:rsid w:val="002869B1"/>
    <w:rsid w:val="00286B40"/>
    <w:rsid w:val="00287440"/>
    <w:rsid w:val="00290196"/>
    <w:rsid w:val="00291435"/>
    <w:rsid w:val="00291655"/>
    <w:rsid w:val="00291D5A"/>
    <w:rsid w:val="00292433"/>
    <w:rsid w:val="00292ECB"/>
    <w:rsid w:val="00293755"/>
    <w:rsid w:val="00293A35"/>
    <w:rsid w:val="00293B44"/>
    <w:rsid w:val="00293C84"/>
    <w:rsid w:val="0029458A"/>
    <w:rsid w:val="002946A0"/>
    <w:rsid w:val="002951CE"/>
    <w:rsid w:val="002953D5"/>
    <w:rsid w:val="00295478"/>
    <w:rsid w:val="00295945"/>
    <w:rsid w:val="00295CF4"/>
    <w:rsid w:val="002964E6"/>
    <w:rsid w:val="00296C3D"/>
    <w:rsid w:val="00296EF7"/>
    <w:rsid w:val="00297646"/>
    <w:rsid w:val="002977C3"/>
    <w:rsid w:val="00297B6B"/>
    <w:rsid w:val="00297C1A"/>
    <w:rsid w:val="002A0258"/>
    <w:rsid w:val="002A0855"/>
    <w:rsid w:val="002A0A13"/>
    <w:rsid w:val="002A0A32"/>
    <w:rsid w:val="002A0EC2"/>
    <w:rsid w:val="002A1226"/>
    <w:rsid w:val="002A19D7"/>
    <w:rsid w:val="002A1B60"/>
    <w:rsid w:val="002A27F8"/>
    <w:rsid w:val="002A2C45"/>
    <w:rsid w:val="002A3015"/>
    <w:rsid w:val="002A39AE"/>
    <w:rsid w:val="002A51CA"/>
    <w:rsid w:val="002A5AEA"/>
    <w:rsid w:val="002A5B52"/>
    <w:rsid w:val="002A5F82"/>
    <w:rsid w:val="002A671A"/>
    <w:rsid w:val="002A6A3E"/>
    <w:rsid w:val="002A6A6A"/>
    <w:rsid w:val="002A6BA0"/>
    <w:rsid w:val="002A7F34"/>
    <w:rsid w:val="002B036F"/>
    <w:rsid w:val="002B0E02"/>
    <w:rsid w:val="002B10FA"/>
    <w:rsid w:val="002B12EA"/>
    <w:rsid w:val="002B16B7"/>
    <w:rsid w:val="002B21D9"/>
    <w:rsid w:val="002B3567"/>
    <w:rsid w:val="002B3854"/>
    <w:rsid w:val="002B3B7F"/>
    <w:rsid w:val="002B3CE2"/>
    <w:rsid w:val="002B3CEB"/>
    <w:rsid w:val="002B5118"/>
    <w:rsid w:val="002B53D7"/>
    <w:rsid w:val="002B54E5"/>
    <w:rsid w:val="002B5DDA"/>
    <w:rsid w:val="002B6AF3"/>
    <w:rsid w:val="002B6E23"/>
    <w:rsid w:val="002B7332"/>
    <w:rsid w:val="002B7383"/>
    <w:rsid w:val="002B7726"/>
    <w:rsid w:val="002C0A68"/>
    <w:rsid w:val="002C1075"/>
    <w:rsid w:val="002C1214"/>
    <w:rsid w:val="002C1292"/>
    <w:rsid w:val="002C1416"/>
    <w:rsid w:val="002C1EEC"/>
    <w:rsid w:val="002C2EF2"/>
    <w:rsid w:val="002C39CC"/>
    <w:rsid w:val="002C4054"/>
    <w:rsid w:val="002C4145"/>
    <w:rsid w:val="002C467D"/>
    <w:rsid w:val="002C47AA"/>
    <w:rsid w:val="002C4CE7"/>
    <w:rsid w:val="002C6464"/>
    <w:rsid w:val="002D0A46"/>
    <w:rsid w:val="002D0A53"/>
    <w:rsid w:val="002D0AD1"/>
    <w:rsid w:val="002D1403"/>
    <w:rsid w:val="002D17A7"/>
    <w:rsid w:val="002D1BF2"/>
    <w:rsid w:val="002D2532"/>
    <w:rsid w:val="002D2607"/>
    <w:rsid w:val="002D2647"/>
    <w:rsid w:val="002D2E8C"/>
    <w:rsid w:val="002D37E6"/>
    <w:rsid w:val="002D3908"/>
    <w:rsid w:val="002D3982"/>
    <w:rsid w:val="002D4411"/>
    <w:rsid w:val="002D50B8"/>
    <w:rsid w:val="002D5294"/>
    <w:rsid w:val="002D601A"/>
    <w:rsid w:val="002D6095"/>
    <w:rsid w:val="002D60F2"/>
    <w:rsid w:val="002D6ECF"/>
    <w:rsid w:val="002D75AA"/>
    <w:rsid w:val="002D7AFA"/>
    <w:rsid w:val="002E0407"/>
    <w:rsid w:val="002E04D5"/>
    <w:rsid w:val="002E11AA"/>
    <w:rsid w:val="002E181A"/>
    <w:rsid w:val="002E193C"/>
    <w:rsid w:val="002E1A5C"/>
    <w:rsid w:val="002E2847"/>
    <w:rsid w:val="002E2BB3"/>
    <w:rsid w:val="002E319A"/>
    <w:rsid w:val="002E3C3D"/>
    <w:rsid w:val="002E4250"/>
    <w:rsid w:val="002E4757"/>
    <w:rsid w:val="002E4863"/>
    <w:rsid w:val="002E5696"/>
    <w:rsid w:val="002E569F"/>
    <w:rsid w:val="002E5A8D"/>
    <w:rsid w:val="002E67BD"/>
    <w:rsid w:val="002E6B6B"/>
    <w:rsid w:val="002E6E98"/>
    <w:rsid w:val="002E728E"/>
    <w:rsid w:val="002E7904"/>
    <w:rsid w:val="002E792C"/>
    <w:rsid w:val="002E7BBC"/>
    <w:rsid w:val="002F0BEE"/>
    <w:rsid w:val="002F0C1C"/>
    <w:rsid w:val="002F1C88"/>
    <w:rsid w:val="002F2BD7"/>
    <w:rsid w:val="002F2FAD"/>
    <w:rsid w:val="002F3CC2"/>
    <w:rsid w:val="002F4233"/>
    <w:rsid w:val="002F4505"/>
    <w:rsid w:val="002F5308"/>
    <w:rsid w:val="002F54CE"/>
    <w:rsid w:val="002F5551"/>
    <w:rsid w:val="002F6547"/>
    <w:rsid w:val="002F6600"/>
    <w:rsid w:val="002F691D"/>
    <w:rsid w:val="002F6A30"/>
    <w:rsid w:val="002F6F07"/>
    <w:rsid w:val="002F72B9"/>
    <w:rsid w:val="002F7827"/>
    <w:rsid w:val="002F7C69"/>
    <w:rsid w:val="002F7E0A"/>
    <w:rsid w:val="00300266"/>
    <w:rsid w:val="00300395"/>
    <w:rsid w:val="003010AA"/>
    <w:rsid w:val="00301184"/>
    <w:rsid w:val="003013B9"/>
    <w:rsid w:val="00301BD0"/>
    <w:rsid w:val="003025AA"/>
    <w:rsid w:val="00303000"/>
    <w:rsid w:val="0030342D"/>
    <w:rsid w:val="00303DB4"/>
    <w:rsid w:val="0030448D"/>
    <w:rsid w:val="00304BE5"/>
    <w:rsid w:val="00305091"/>
    <w:rsid w:val="003051A0"/>
    <w:rsid w:val="003063F0"/>
    <w:rsid w:val="003064F7"/>
    <w:rsid w:val="00306633"/>
    <w:rsid w:val="00306694"/>
    <w:rsid w:val="0030699D"/>
    <w:rsid w:val="00306CD4"/>
    <w:rsid w:val="00307789"/>
    <w:rsid w:val="00307D6A"/>
    <w:rsid w:val="003101E1"/>
    <w:rsid w:val="00310208"/>
    <w:rsid w:val="003109E3"/>
    <w:rsid w:val="00310B23"/>
    <w:rsid w:val="0031122A"/>
    <w:rsid w:val="00311512"/>
    <w:rsid w:val="00311560"/>
    <w:rsid w:val="0031197F"/>
    <w:rsid w:val="0031213A"/>
    <w:rsid w:val="003125B3"/>
    <w:rsid w:val="0031277A"/>
    <w:rsid w:val="00312B48"/>
    <w:rsid w:val="00313739"/>
    <w:rsid w:val="0031517C"/>
    <w:rsid w:val="0031546D"/>
    <w:rsid w:val="00315BEE"/>
    <w:rsid w:val="00316128"/>
    <w:rsid w:val="00316A56"/>
    <w:rsid w:val="00316E85"/>
    <w:rsid w:val="00316F2D"/>
    <w:rsid w:val="0031794F"/>
    <w:rsid w:val="00317A04"/>
    <w:rsid w:val="00317C1A"/>
    <w:rsid w:val="00320A9B"/>
    <w:rsid w:val="00320BE5"/>
    <w:rsid w:val="00321CBD"/>
    <w:rsid w:val="00321F0F"/>
    <w:rsid w:val="00322073"/>
    <w:rsid w:val="003221F6"/>
    <w:rsid w:val="003221FE"/>
    <w:rsid w:val="00322240"/>
    <w:rsid w:val="00322762"/>
    <w:rsid w:val="00322B94"/>
    <w:rsid w:val="00322ECA"/>
    <w:rsid w:val="00323F76"/>
    <w:rsid w:val="00324B8B"/>
    <w:rsid w:val="00325F91"/>
    <w:rsid w:val="0032660F"/>
    <w:rsid w:val="00326965"/>
    <w:rsid w:val="00326F41"/>
    <w:rsid w:val="003276F8"/>
    <w:rsid w:val="00327F3A"/>
    <w:rsid w:val="00330459"/>
    <w:rsid w:val="00331BCB"/>
    <w:rsid w:val="00331CD5"/>
    <w:rsid w:val="00331E10"/>
    <w:rsid w:val="00331FE7"/>
    <w:rsid w:val="003320BF"/>
    <w:rsid w:val="00332410"/>
    <w:rsid w:val="003324B4"/>
    <w:rsid w:val="00332937"/>
    <w:rsid w:val="00332B3F"/>
    <w:rsid w:val="00332D65"/>
    <w:rsid w:val="00333CB1"/>
    <w:rsid w:val="003341DC"/>
    <w:rsid w:val="003341DD"/>
    <w:rsid w:val="003344E0"/>
    <w:rsid w:val="003345CF"/>
    <w:rsid w:val="00334682"/>
    <w:rsid w:val="00334BC4"/>
    <w:rsid w:val="00334BEF"/>
    <w:rsid w:val="00335755"/>
    <w:rsid w:val="00335D0B"/>
    <w:rsid w:val="00336094"/>
    <w:rsid w:val="00336723"/>
    <w:rsid w:val="0033675A"/>
    <w:rsid w:val="00336A58"/>
    <w:rsid w:val="00336B26"/>
    <w:rsid w:val="00336F78"/>
    <w:rsid w:val="00337096"/>
    <w:rsid w:val="0033741F"/>
    <w:rsid w:val="00337977"/>
    <w:rsid w:val="00337BFC"/>
    <w:rsid w:val="00337EE4"/>
    <w:rsid w:val="003401A4"/>
    <w:rsid w:val="00340699"/>
    <w:rsid w:val="00340839"/>
    <w:rsid w:val="00340982"/>
    <w:rsid w:val="00340E11"/>
    <w:rsid w:val="003419B4"/>
    <w:rsid w:val="00341E43"/>
    <w:rsid w:val="00341F40"/>
    <w:rsid w:val="003424CC"/>
    <w:rsid w:val="0034285E"/>
    <w:rsid w:val="0034298E"/>
    <w:rsid w:val="003429AA"/>
    <w:rsid w:val="0034404F"/>
    <w:rsid w:val="003442E1"/>
    <w:rsid w:val="00344EB0"/>
    <w:rsid w:val="00346232"/>
    <w:rsid w:val="00346464"/>
    <w:rsid w:val="003467F0"/>
    <w:rsid w:val="00346AB8"/>
    <w:rsid w:val="00346FD4"/>
    <w:rsid w:val="0034709D"/>
    <w:rsid w:val="00347C5A"/>
    <w:rsid w:val="003500AB"/>
    <w:rsid w:val="00350761"/>
    <w:rsid w:val="00350953"/>
    <w:rsid w:val="00350B99"/>
    <w:rsid w:val="00350C31"/>
    <w:rsid w:val="00350D16"/>
    <w:rsid w:val="00350ECD"/>
    <w:rsid w:val="0035109A"/>
    <w:rsid w:val="0035118E"/>
    <w:rsid w:val="003519C5"/>
    <w:rsid w:val="00351CC1"/>
    <w:rsid w:val="00351F4A"/>
    <w:rsid w:val="00352133"/>
    <w:rsid w:val="00352450"/>
    <w:rsid w:val="0035251B"/>
    <w:rsid w:val="00353726"/>
    <w:rsid w:val="003545BC"/>
    <w:rsid w:val="003546EF"/>
    <w:rsid w:val="0035487A"/>
    <w:rsid w:val="00354DFB"/>
    <w:rsid w:val="0035542B"/>
    <w:rsid w:val="0035561E"/>
    <w:rsid w:val="00356C91"/>
    <w:rsid w:val="00357511"/>
    <w:rsid w:val="003579C6"/>
    <w:rsid w:val="00357CB4"/>
    <w:rsid w:val="00357F37"/>
    <w:rsid w:val="0036003A"/>
    <w:rsid w:val="0036098B"/>
    <w:rsid w:val="00361489"/>
    <w:rsid w:val="00362156"/>
    <w:rsid w:val="003621CD"/>
    <w:rsid w:val="00362810"/>
    <w:rsid w:val="00362AF9"/>
    <w:rsid w:val="00362BB1"/>
    <w:rsid w:val="00362C96"/>
    <w:rsid w:val="00362DC0"/>
    <w:rsid w:val="003632E3"/>
    <w:rsid w:val="00363AEB"/>
    <w:rsid w:val="00364852"/>
    <w:rsid w:val="0036499D"/>
    <w:rsid w:val="00364BFE"/>
    <w:rsid w:val="00364C42"/>
    <w:rsid w:val="00365A83"/>
    <w:rsid w:val="003669CB"/>
    <w:rsid w:val="00366EDA"/>
    <w:rsid w:val="00367DC5"/>
    <w:rsid w:val="003708F4"/>
    <w:rsid w:val="00371485"/>
    <w:rsid w:val="00371DFB"/>
    <w:rsid w:val="00372105"/>
    <w:rsid w:val="003729D5"/>
    <w:rsid w:val="00372BF7"/>
    <w:rsid w:val="00373444"/>
    <w:rsid w:val="0037362E"/>
    <w:rsid w:val="00373F73"/>
    <w:rsid w:val="00374E82"/>
    <w:rsid w:val="0037513D"/>
    <w:rsid w:val="003755E7"/>
    <w:rsid w:val="0037572B"/>
    <w:rsid w:val="003757B3"/>
    <w:rsid w:val="00375B3B"/>
    <w:rsid w:val="00376431"/>
    <w:rsid w:val="0037691C"/>
    <w:rsid w:val="003769E8"/>
    <w:rsid w:val="00376E45"/>
    <w:rsid w:val="00377336"/>
    <w:rsid w:val="00377A13"/>
    <w:rsid w:val="00377F0F"/>
    <w:rsid w:val="00377F7E"/>
    <w:rsid w:val="00380C41"/>
    <w:rsid w:val="00380DEA"/>
    <w:rsid w:val="003812FD"/>
    <w:rsid w:val="00381399"/>
    <w:rsid w:val="00381958"/>
    <w:rsid w:val="00381DDE"/>
    <w:rsid w:val="00381EB3"/>
    <w:rsid w:val="00383705"/>
    <w:rsid w:val="00383D61"/>
    <w:rsid w:val="00385284"/>
    <w:rsid w:val="00385650"/>
    <w:rsid w:val="00385F50"/>
    <w:rsid w:val="0038625C"/>
    <w:rsid w:val="003868D4"/>
    <w:rsid w:val="003869F1"/>
    <w:rsid w:val="00386BF6"/>
    <w:rsid w:val="00386D25"/>
    <w:rsid w:val="00386DE8"/>
    <w:rsid w:val="00386DEB"/>
    <w:rsid w:val="003877C8"/>
    <w:rsid w:val="00387BE6"/>
    <w:rsid w:val="00387F66"/>
    <w:rsid w:val="00387F6B"/>
    <w:rsid w:val="00390C5B"/>
    <w:rsid w:val="00390E40"/>
    <w:rsid w:val="0039101C"/>
    <w:rsid w:val="0039156F"/>
    <w:rsid w:val="00392526"/>
    <w:rsid w:val="00393860"/>
    <w:rsid w:val="003947E0"/>
    <w:rsid w:val="00394A0F"/>
    <w:rsid w:val="00394A54"/>
    <w:rsid w:val="00394ABD"/>
    <w:rsid w:val="0039649A"/>
    <w:rsid w:val="00396F85"/>
    <w:rsid w:val="00397058"/>
    <w:rsid w:val="0039713A"/>
    <w:rsid w:val="00397C49"/>
    <w:rsid w:val="00397EC1"/>
    <w:rsid w:val="00397F57"/>
    <w:rsid w:val="003A0E3A"/>
    <w:rsid w:val="003A10FB"/>
    <w:rsid w:val="003A1C62"/>
    <w:rsid w:val="003A1DA6"/>
    <w:rsid w:val="003A207A"/>
    <w:rsid w:val="003A223F"/>
    <w:rsid w:val="003A278C"/>
    <w:rsid w:val="003A28A3"/>
    <w:rsid w:val="003A3561"/>
    <w:rsid w:val="003A3A03"/>
    <w:rsid w:val="003A40AB"/>
    <w:rsid w:val="003A4679"/>
    <w:rsid w:val="003A4BD5"/>
    <w:rsid w:val="003A57C8"/>
    <w:rsid w:val="003A5D31"/>
    <w:rsid w:val="003A6512"/>
    <w:rsid w:val="003A76D3"/>
    <w:rsid w:val="003A7FF2"/>
    <w:rsid w:val="003B02EA"/>
    <w:rsid w:val="003B07FB"/>
    <w:rsid w:val="003B0B7B"/>
    <w:rsid w:val="003B0C2A"/>
    <w:rsid w:val="003B1935"/>
    <w:rsid w:val="003B31CE"/>
    <w:rsid w:val="003B3B82"/>
    <w:rsid w:val="003B3F4C"/>
    <w:rsid w:val="003B424A"/>
    <w:rsid w:val="003B4263"/>
    <w:rsid w:val="003B458E"/>
    <w:rsid w:val="003B49DA"/>
    <w:rsid w:val="003B4A67"/>
    <w:rsid w:val="003B4B53"/>
    <w:rsid w:val="003B4DA7"/>
    <w:rsid w:val="003B51E0"/>
    <w:rsid w:val="003B52A9"/>
    <w:rsid w:val="003B532C"/>
    <w:rsid w:val="003B5B54"/>
    <w:rsid w:val="003B5C66"/>
    <w:rsid w:val="003B5E60"/>
    <w:rsid w:val="003B61F1"/>
    <w:rsid w:val="003B6488"/>
    <w:rsid w:val="003B66A9"/>
    <w:rsid w:val="003B6755"/>
    <w:rsid w:val="003B689D"/>
    <w:rsid w:val="003C0145"/>
    <w:rsid w:val="003C025F"/>
    <w:rsid w:val="003C07C9"/>
    <w:rsid w:val="003C0B68"/>
    <w:rsid w:val="003C10D0"/>
    <w:rsid w:val="003C2022"/>
    <w:rsid w:val="003C2764"/>
    <w:rsid w:val="003C291F"/>
    <w:rsid w:val="003C2DB6"/>
    <w:rsid w:val="003C3AF3"/>
    <w:rsid w:val="003C3D87"/>
    <w:rsid w:val="003C3E86"/>
    <w:rsid w:val="003C3FEE"/>
    <w:rsid w:val="003C4F50"/>
    <w:rsid w:val="003C5F7C"/>
    <w:rsid w:val="003C6425"/>
    <w:rsid w:val="003C65D3"/>
    <w:rsid w:val="003C6D30"/>
    <w:rsid w:val="003C6D80"/>
    <w:rsid w:val="003C700B"/>
    <w:rsid w:val="003C72E7"/>
    <w:rsid w:val="003C7C29"/>
    <w:rsid w:val="003D08D6"/>
    <w:rsid w:val="003D0BB5"/>
    <w:rsid w:val="003D0F96"/>
    <w:rsid w:val="003D104F"/>
    <w:rsid w:val="003D2C34"/>
    <w:rsid w:val="003D2F37"/>
    <w:rsid w:val="003D3341"/>
    <w:rsid w:val="003D3830"/>
    <w:rsid w:val="003D3893"/>
    <w:rsid w:val="003D3B5C"/>
    <w:rsid w:val="003D3E76"/>
    <w:rsid w:val="003D4B8A"/>
    <w:rsid w:val="003D4DAA"/>
    <w:rsid w:val="003D4DEF"/>
    <w:rsid w:val="003D54C6"/>
    <w:rsid w:val="003D626D"/>
    <w:rsid w:val="003D6820"/>
    <w:rsid w:val="003D6B20"/>
    <w:rsid w:val="003D6C5E"/>
    <w:rsid w:val="003D78F3"/>
    <w:rsid w:val="003D7E65"/>
    <w:rsid w:val="003E0D73"/>
    <w:rsid w:val="003E18C4"/>
    <w:rsid w:val="003E3173"/>
    <w:rsid w:val="003E35A0"/>
    <w:rsid w:val="003E35DB"/>
    <w:rsid w:val="003E3775"/>
    <w:rsid w:val="003E377D"/>
    <w:rsid w:val="003E3CB4"/>
    <w:rsid w:val="003E3EDD"/>
    <w:rsid w:val="003E4128"/>
    <w:rsid w:val="003E487C"/>
    <w:rsid w:val="003E4D67"/>
    <w:rsid w:val="003E4DED"/>
    <w:rsid w:val="003E5941"/>
    <w:rsid w:val="003E75D8"/>
    <w:rsid w:val="003E7923"/>
    <w:rsid w:val="003F03AB"/>
    <w:rsid w:val="003F03AF"/>
    <w:rsid w:val="003F03FA"/>
    <w:rsid w:val="003F072D"/>
    <w:rsid w:val="003F09C5"/>
    <w:rsid w:val="003F0B2F"/>
    <w:rsid w:val="003F0B92"/>
    <w:rsid w:val="003F1705"/>
    <w:rsid w:val="003F1808"/>
    <w:rsid w:val="003F3328"/>
    <w:rsid w:val="003F3567"/>
    <w:rsid w:val="003F379D"/>
    <w:rsid w:val="003F388A"/>
    <w:rsid w:val="003F463B"/>
    <w:rsid w:val="003F4873"/>
    <w:rsid w:val="003F52E2"/>
    <w:rsid w:val="003F5DA0"/>
    <w:rsid w:val="003F630A"/>
    <w:rsid w:val="003F697E"/>
    <w:rsid w:val="003F6F61"/>
    <w:rsid w:val="003F75D2"/>
    <w:rsid w:val="003F776A"/>
    <w:rsid w:val="00400975"/>
    <w:rsid w:val="00401516"/>
    <w:rsid w:val="00401BFF"/>
    <w:rsid w:val="00401F38"/>
    <w:rsid w:val="004026D6"/>
    <w:rsid w:val="00402AF9"/>
    <w:rsid w:val="004030FE"/>
    <w:rsid w:val="00403534"/>
    <w:rsid w:val="00403711"/>
    <w:rsid w:val="004037E8"/>
    <w:rsid w:val="004038BB"/>
    <w:rsid w:val="00404023"/>
    <w:rsid w:val="004043B1"/>
    <w:rsid w:val="00404441"/>
    <w:rsid w:val="00404879"/>
    <w:rsid w:val="00404DFE"/>
    <w:rsid w:val="004058D7"/>
    <w:rsid w:val="004059A5"/>
    <w:rsid w:val="004062F3"/>
    <w:rsid w:val="00406D22"/>
    <w:rsid w:val="0040700F"/>
    <w:rsid w:val="004075CF"/>
    <w:rsid w:val="0040795F"/>
    <w:rsid w:val="00410894"/>
    <w:rsid w:val="00410BFF"/>
    <w:rsid w:val="00410DD9"/>
    <w:rsid w:val="00410EE9"/>
    <w:rsid w:val="00411B61"/>
    <w:rsid w:val="00411DE2"/>
    <w:rsid w:val="004123BD"/>
    <w:rsid w:val="00412970"/>
    <w:rsid w:val="00412B11"/>
    <w:rsid w:val="00412F3E"/>
    <w:rsid w:val="0041341F"/>
    <w:rsid w:val="00414A6F"/>
    <w:rsid w:val="00415043"/>
    <w:rsid w:val="0041508B"/>
    <w:rsid w:val="00415B6A"/>
    <w:rsid w:val="0041658F"/>
    <w:rsid w:val="0041664F"/>
    <w:rsid w:val="00416703"/>
    <w:rsid w:val="00416FF0"/>
    <w:rsid w:val="004175D6"/>
    <w:rsid w:val="0041765F"/>
    <w:rsid w:val="00417F86"/>
    <w:rsid w:val="004202E2"/>
    <w:rsid w:val="004204B4"/>
    <w:rsid w:val="00420F30"/>
    <w:rsid w:val="004218F8"/>
    <w:rsid w:val="004220F3"/>
    <w:rsid w:val="00422583"/>
    <w:rsid w:val="00422767"/>
    <w:rsid w:val="004233FF"/>
    <w:rsid w:val="00423445"/>
    <w:rsid w:val="0042365D"/>
    <w:rsid w:val="00424359"/>
    <w:rsid w:val="004244F6"/>
    <w:rsid w:val="0042458B"/>
    <w:rsid w:val="00424A72"/>
    <w:rsid w:val="00425052"/>
    <w:rsid w:val="0042530D"/>
    <w:rsid w:val="0042593B"/>
    <w:rsid w:val="00425C75"/>
    <w:rsid w:val="004261E8"/>
    <w:rsid w:val="0042655A"/>
    <w:rsid w:val="00427146"/>
    <w:rsid w:val="00427297"/>
    <w:rsid w:val="00427749"/>
    <w:rsid w:val="00427E75"/>
    <w:rsid w:val="004303D0"/>
    <w:rsid w:val="004308DC"/>
    <w:rsid w:val="00430C7D"/>
    <w:rsid w:val="00430F99"/>
    <w:rsid w:val="00431AE4"/>
    <w:rsid w:val="00431E69"/>
    <w:rsid w:val="0043215D"/>
    <w:rsid w:val="00432FAA"/>
    <w:rsid w:val="00433230"/>
    <w:rsid w:val="00433DC2"/>
    <w:rsid w:val="00433DF4"/>
    <w:rsid w:val="00433E46"/>
    <w:rsid w:val="00434BCA"/>
    <w:rsid w:val="00434BF0"/>
    <w:rsid w:val="00435BA4"/>
    <w:rsid w:val="0043629F"/>
    <w:rsid w:val="0043648E"/>
    <w:rsid w:val="00436595"/>
    <w:rsid w:val="0043708C"/>
    <w:rsid w:val="00437334"/>
    <w:rsid w:val="00437537"/>
    <w:rsid w:val="00437780"/>
    <w:rsid w:val="004379E6"/>
    <w:rsid w:val="00437C3E"/>
    <w:rsid w:val="00437C53"/>
    <w:rsid w:val="00437D36"/>
    <w:rsid w:val="004401FD"/>
    <w:rsid w:val="004409FE"/>
    <w:rsid w:val="00440AEB"/>
    <w:rsid w:val="00440ED0"/>
    <w:rsid w:val="0044160A"/>
    <w:rsid w:val="00441EA6"/>
    <w:rsid w:val="0044386A"/>
    <w:rsid w:val="00443CF4"/>
    <w:rsid w:val="00443E5D"/>
    <w:rsid w:val="00444403"/>
    <w:rsid w:val="004446CF"/>
    <w:rsid w:val="00444E59"/>
    <w:rsid w:val="004451BC"/>
    <w:rsid w:val="00445252"/>
    <w:rsid w:val="00445939"/>
    <w:rsid w:val="00445C03"/>
    <w:rsid w:val="00446532"/>
    <w:rsid w:val="004465C5"/>
    <w:rsid w:val="00450360"/>
    <w:rsid w:val="00450549"/>
    <w:rsid w:val="004507B0"/>
    <w:rsid w:val="0045088A"/>
    <w:rsid w:val="004509D1"/>
    <w:rsid w:val="00450D79"/>
    <w:rsid w:val="00450DA2"/>
    <w:rsid w:val="0045103E"/>
    <w:rsid w:val="00451914"/>
    <w:rsid w:val="00451C78"/>
    <w:rsid w:val="00451FFC"/>
    <w:rsid w:val="004522C0"/>
    <w:rsid w:val="00452302"/>
    <w:rsid w:val="0045297A"/>
    <w:rsid w:val="004529F4"/>
    <w:rsid w:val="004531AF"/>
    <w:rsid w:val="004533A2"/>
    <w:rsid w:val="00453415"/>
    <w:rsid w:val="004536E2"/>
    <w:rsid w:val="00453CF8"/>
    <w:rsid w:val="00453E23"/>
    <w:rsid w:val="00454033"/>
    <w:rsid w:val="0045472A"/>
    <w:rsid w:val="00454968"/>
    <w:rsid w:val="00455A43"/>
    <w:rsid w:val="00455C43"/>
    <w:rsid w:val="00460211"/>
    <w:rsid w:val="00460750"/>
    <w:rsid w:val="00460A3A"/>
    <w:rsid w:val="00460A79"/>
    <w:rsid w:val="00460CFF"/>
    <w:rsid w:val="004613C1"/>
    <w:rsid w:val="00461EC2"/>
    <w:rsid w:val="004631AC"/>
    <w:rsid w:val="00463233"/>
    <w:rsid w:val="00463286"/>
    <w:rsid w:val="00463CE2"/>
    <w:rsid w:val="00464736"/>
    <w:rsid w:val="004647EE"/>
    <w:rsid w:val="00464DC9"/>
    <w:rsid w:val="00465810"/>
    <w:rsid w:val="00466291"/>
    <w:rsid w:val="0046660B"/>
    <w:rsid w:val="00466BBF"/>
    <w:rsid w:val="00466D5D"/>
    <w:rsid w:val="00466F1F"/>
    <w:rsid w:val="00467342"/>
    <w:rsid w:val="00467E2A"/>
    <w:rsid w:val="0047032F"/>
    <w:rsid w:val="004709D8"/>
    <w:rsid w:val="00470D83"/>
    <w:rsid w:val="004710EE"/>
    <w:rsid w:val="00471330"/>
    <w:rsid w:val="00471466"/>
    <w:rsid w:val="00471ACF"/>
    <w:rsid w:val="00471E50"/>
    <w:rsid w:val="00472500"/>
    <w:rsid w:val="00472AC4"/>
    <w:rsid w:val="00472EA2"/>
    <w:rsid w:val="004731EB"/>
    <w:rsid w:val="0047410B"/>
    <w:rsid w:val="004753BB"/>
    <w:rsid w:val="00475442"/>
    <w:rsid w:val="004754D3"/>
    <w:rsid w:val="00475682"/>
    <w:rsid w:val="00475929"/>
    <w:rsid w:val="004762B8"/>
    <w:rsid w:val="00476932"/>
    <w:rsid w:val="00480506"/>
    <w:rsid w:val="00480726"/>
    <w:rsid w:val="004809FF"/>
    <w:rsid w:val="00480B7D"/>
    <w:rsid w:val="00480F22"/>
    <w:rsid w:val="00481FF6"/>
    <w:rsid w:val="0048272D"/>
    <w:rsid w:val="00482EA1"/>
    <w:rsid w:val="004830BF"/>
    <w:rsid w:val="004842B9"/>
    <w:rsid w:val="004847B6"/>
    <w:rsid w:val="00485CE7"/>
    <w:rsid w:val="004867E8"/>
    <w:rsid w:val="00487039"/>
    <w:rsid w:val="00487085"/>
    <w:rsid w:val="0048788F"/>
    <w:rsid w:val="0048794C"/>
    <w:rsid w:val="0049025B"/>
    <w:rsid w:val="00490786"/>
    <w:rsid w:val="004911BF"/>
    <w:rsid w:val="00491613"/>
    <w:rsid w:val="0049220F"/>
    <w:rsid w:val="004929EF"/>
    <w:rsid w:val="00492DBE"/>
    <w:rsid w:val="004930CB"/>
    <w:rsid w:val="004931CB"/>
    <w:rsid w:val="004936FB"/>
    <w:rsid w:val="00493700"/>
    <w:rsid w:val="00493C75"/>
    <w:rsid w:val="00493F12"/>
    <w:rsid w:val="00494197"/>
    <w:rsid w:val="00494DBF"/>
    <w:rsid w:val="0049558D"/>
    <w:rsid w:val="00495AFF"/>
    <w:rsid w:val="00495D60"/>
    <w:rsid w:val="00495E51"/>
    <w:rsid w:val="00496B95"/>
    <w:rsid w:val="0049769C"/>
    <w:rsid w:val="004979D9"/>
    <w:rsid w:val="004A031C"/>
    <w:rsid w:val="004A0B02"/>
    <w:rsid w:val="004A0E5A"/>
    <w:rsid w:val="004A1BB9"/>
    <w:rsid w:val="004A2EF7"/>
    <w:rsid w:val="004A3456"/>
    <w:rsid w:val="004A3581"/>
    <w:rsid w:val="004A3FF7"/>
    <w:rsid w:val="004A4707"/>
    <w:rsid w:val="004A47C5"/>
    <w:rsid w:val="004A4805"/>
    <w:rsid w:val="004A4A2F"/>
    <w:rsid w:val="004A4E76"/>
    <w:rsid w:val="004A5B1C"/>
    <w:rsid w:val="004A6029"/>
    <w:rsid w:val="004A65F5"/>
    <w:rsid w:val="004A671B"/>
    <w:rsid w:val="004A69D1"/>
    <w:rsid w:val="004A755E"/>
    <w:rsid w:val="004A7961"/>
    <w:rsid w:val="004A7ADF"/>
    <w:rsid w:val="004B050E"/>
    <w:rsid w:val="004B09F5"/>
    <w:rsid w:val="004B0A37"/>
    <w:rsid w:val="004B1031"/>
    <w:rsid w:val="004B11B0"/>
    <w:rsid w:val="004B1530"/>
    <w:rsid w:val="004B1C39"/>
    <w:rsid w:val="004B2297"/>
    <w:rsid w:val="004B25DF"/>
    <w:rsid w:val="004B2A2E"/>
    <w:rsid w:val="004B3E9E"/>
    <w:rsid w:val="004B4078"/>
    <w:rsid w:val="004B4DB3"/>
    <w:rsid w:val="004B53DF"/>
    <w:rsid w:val="004B54BE"/>
    <w:rsid w:val="004B5F1D"/>
    <w:rsid w:val="004B5FDD"/>
    <w:rsid w:val="004B6624"/>
    <w:rsid w:val="004B6970"/>
    <w:rsid w:val="004B6C58"/>
    <w:rsid w:val="004B7047"/>
    <w:rsid w:val="004B71BD"/>
    <w:rsid w:val="004B723C"/>
    <w:rsid w:val="004B7814"/>
    <w:rsid w:val="004B7AB9"/>
    <w:rsid w:val="004B7EE4"/>
    <w:rsid w:val="004C16C8"/>
    <w:rsid w:val="004C19C7"/>
    <w:rsid w:val="004C2628"/>
    <w:rsid w:val="004C2C67"/>
    <w:rsid w:val="004C31CF"/>
    <w:rsid w:val="004C3338"/>
    <w:rsid w:val="004C3754"/>
    <w:rsid w:val="004C3844"/>
    <w:rsid w:val="004C3BA5"/>
    <w:rsid w:val="004C46E3"/>
    <w:rsid w:val="004C4A64"/>
    <w:rsid w:val="004C51FC"/>
    <w:rsid w:val="004C5658"/>
    <w:rsid w:val="004C5E76"/>
    <w:rsid w:val="004C623F"/>
    <w:rsid w:val="004C63F5"/>
    <w:rsid w:val="004C64AD"/>
    <w:rsid w:val="004C67B4"/>
    <w:rsid w:val="004C6F9D"/>
    <w:rsid w:val="004C7B95"/>
    <w:rsid w:val="004D04AE"/>
    <w:rsid w:val="004D05FD"/>
    <w:rsid w:val="004D0A46"/>
    <w:rsid w:val="004D17D2"/>
    <w:rsid w:val="004D19C7"/>
    <w:rsid w:val="004D1C7E"/>
    <w:rsid w:val="004D1FCE"/>
    <w:rsid w:val="004D2198"/>
    <w:rsid w:val="004D2761"/>
    <w:rsid w:val="004D2D69"/>
    <w:rsid w:val="004D4924"/>
    <w:rsid w:val="004D4B88"/>
    <w:rsid w:val="004D5101"/>
    <w:rsid w:val="004D581B"/>
    <w:rsid w:val="004D5895"/>
    <w:rsid w:val="004D5897"/>
    <w:rsid w:val="004D626D"/>
    <w:rsid w:val="004D643A"/>
    <w:rsid w:val="004D671B"/>
    <w:rsid w:val="004D6C6A"/>
    <w:rsid w:val="004D6ED7"/>
    <w:rsid w:val="004D7081"/>
    <w:rsid w:val="004D71A6"/>
    <w:rsid w:val="004D71C5"/>
    <w:rsid w:val="004D734F"/>
    <w:rsid w:val="004E20BB"/>
    <w:rsid w:val="004E2A74"/>
    <w:rsid w:val="004E2BF0"/>
    <w:rsid w:val="004E2EA0"/>
    <w:rsid w:val="004E2EE4"/>
    <w:rsid w:val="004E3337"/>
    <w:rsid w:val="004E433F"/>
    <w:rsid w:val="004E444C"/>
    <w:rsid w:val="004E454B"/>
    <w:rsid w:val="004E4A33"/>
    <w:rsid w:val="004E616C"/>
    <w:rsid w:val="004E6470"/>
    <w:rsid w:val="004E6BF8"/>
    <w:rsid w:val="004E6EB6"/>
    <w:rsid w:val="004E7283"/>
    <w:rsid w:val="004E779D"/>
    <w:rsid w:val="004E77CC"/>
    <w:rsid w:val="004E7A2D"/>
    <w:rsid w:val="004E7A31"/>
    <w:rsid w:val="004F0010"/>
    <w:rsid w:val="004F0282"/>
    <w:rsid w:val="004F0C21"/>
    <w:rsid w:val="004F0DB5"/>
    <w:rsid w:val="004F0DEB"/>
    <w:rsid w:val="004F0F75"/>
    <w:rsid w:val="004F1295"/>
    <w:rsid w:val="004F1C26"/>
    <w:rsid w:val="004F2807"/>
    <w:rsid w:val="004F2CB6"/>
    <w:rsid w:val="004F403A"/>
    <w:rsid w:val="004F42B5"/>
    <w:rsid w:val="004F48C3"/>
    <w:rsid w:val="004F5162"/>
    <w:rsid w:val="004F6238"/>
    <w:rsid w:val="004F63CC"/>
    <w:rsid w:val="004F6AA3"/>
    <w:rsid w:val="004F7388"/>
    <w:rsid w:val="004F7393"/>
    <w:rsid w:val="004F73D2"/>
    <w:rsid w:val="004F7541"/>
    <w:rsid w:val="004F7791"/>
    <w:rsid w:val="004F77F0"/>
    <w:rsid w:val="004F7EFD"/>
    <w:rsid w:val="004F7F8D"/>
    <w:rsid w:val="00501FFB"/>
    <w:rsid w:val="00502306"/>
    <w:rsid w:val="00502A0A"/>
    <w:rsid w:val="005034DF"/>
    <w:rsid w:val="005038DF"/>
    <w:rsid w:val="00504832"/>
    <w:rsid w:val="00504B6E"/>
    <w:rsid w:val="00505AB7"/>
    <w:rsid w:val="00506AD5"/>
    <w:rsid w:val="00506BA6"/>
    <w:rsid w:val="0050701C"/>
    <w:rsid w:val="005072E0"/>
    <w:rsid w:val="00507C89"/>
    <w:rsid w:val="005101D6"/>
    <w:rsid w:val="005107AD"/>
    <w:rsid w:val="0051085D"/>
    <w:rsid w:val="00511413"/>
    <w:rsid w:val="005114A0"/>
    <w:rsid w:val="00511915"/>
    <w:rsid w:val="00512081"/>
    <w:rsid w:val="0051228E"/>
    <w:rsid w:val="0051277D"/>
    <w:rsid w:val="00512963"/>
    <w:rsid w:val="00512D3B"/>
    <w:rsid w:val="0051353B"/>
    <w:rsid w:val="00513C7D"/>
    <w:rsid w:val="00514717"/>
    <w:rsid w:val="00514B15"/>
    <w:rsid w:val="00514BA6"/>
    <w:rsid w:val="00514C26"/>
    <w:rsid w:val="00514CB8"/>
    <w:rsid w:val="005152EB"/>
    <w:rsid w:val="00515358"/>
    <w:rsid w:val="00515946"/>
    <w:rsid w:val="00515A3D"/>
    <w:rsid w:val="00515C37"/>
    <w:rsid w:val="005164E5"/>
    <w:rsid w:val="0051660D"/>
    <w:rsid w:val="00516AD0"/>
    <w:rsid w:val="00516C71"/>
    <w:rsid w:val="005177B9"/>
    <w:rsid w:val="00517C4C"/>
    <w:rsid w:val="00520645"/>
    <w:rsid w:val="00520E5D"/>
    <w:rsid w:val="00521079"/>
    <w:rsid w:val="00521223"/>
    <w:rsid w:val="00521264"/>
    <w:rsid w:val="00521335"/>
    <w:rsid w:val="00522044"/>
    <w:rsid w:val="005226D7"/>
    <w:rsid w:val="005229EB"/>
    <w:rsid w:val="00522C99"/>
    <w:rsid w:val="005235A5"/>
    <w:rsid w:val="00523CA8"/>
    <w:rsid w:val="00524CC6"/>
    <w:rsid w:val="00525466"/>
    <w:rsid w:val="00525CE9"/>
    <w:rsid w:val="00526B14"/>
    <w:rsid w:val="00527503"/>
    <w:rsid w:val="005275E3"/>
    <w:rsid w:val="005277DC"/>
    <w:rsid w:val="00530C3E"/>
    <w:rsid w:val="00530D60"/>
    <w:rsid w:val="0053191D"/>
    <w:rsid w:val="00531AC5"/>
    <w:rsid w:val="00531B75"/>
    <w:rsid w:val="00531D59"/>
    <w:rsid w:val="00531D70"/>
    <w:rsid w:val="00531E56"/>
    <w:rsid w:val="00531F7C"/>
    <w:rsid w:val="00532B66"/>
    <w:rsid w:val="005331A9"/>
    <w:rsid w:val="005336AC"/>
    <w:rsid w:val="00533875"/>
    <w:rsid w:val="00533BA8"/>
    <w:rsid w:val="0053402E"/>
    <w:rsid w:val="005344C0"/>
    <w:rsid w:val="005344FE"/>
    <w:rsid w:val="0053463C"/>
    <w:rsid w:val="00534ACB"/>
    <w:rsid w:val="0053521D"/>
    <w:rsid w:val="005352F1"/>
    <w:rsid w:val="005358D5"/>
    <w:rsid w:val="00535931"/>
    <w:rsid w:val="00535AEC"/>
    <w:rsid w:val="00535DDB"/>
    <w:rsid w:val="00535EFF"/>
    <w:rsid w:val="005363F2"/>
    <w:rsid w:val="00536951"/>
    <w:rsid w:val="005369BE"/>
    <w:rsid w:val="00536A78"/>
    <w:rsid w:val="00536C70"/>
    <w:rsid w:val="00537D58"/>
    <w:rsid w:val="00537D98"/>
    <w:rsid w:val="00537DB6"/>
    <w:rsid w:val="00537F2D"/>
    <w:rsid w:val="005403BC"/>
    <w:rsid w:val="005410A6"/>
    <w:rsid w:val="00541C93"/>
    <w:rsid w:val="00542258"/>
    <w:rsid w:val="00542266"/>
    <w:rsid w:val="005428CB"/>
    <w:rsid w:val="00543427"/>
    <w:rsid w:val="0054374E"/>
    <w:rsid w:val="00543831"/>
    <w:rsid w:val="00543A36"/>
    <w:rsid w:val="00543CB6"/>
    <w:rsid w:val="00543E4D"/>
    <w:rsid w:val="005440CD"/>
    <w:rsid w:val="0054497A"/>
    <w:rsid w:val="00544DC9"/>
    <w:rsid w:val="00546385"/>
    <w:rsid w:val="0054645F"/>
    <w:rsid w:val="00547A09"/>
    <w:rsid w:val="0055159A"/>
    <w:rsid w:val="00551A51"/>
    <w:rsid w:val="0055289A"/>
    <w:rsid w:val="00552BE3"/>
    <w:rsid w:val="005531FE"/>
    <w:rsid w:val="005533A9"/>
    <w:rsid w:val="00553DE9"/>
    <w:rsid w:val="00553EB0"/>
    <w:rsid w:val="00553FFE"/>
    <w:rsid w:val="00554A77"/>
    <w:rsid w:val="00554BB6"/>
    <w:rsid w:val="00554E5B"/>
    <w:rsid w:val="005554E1"/>
    <w:rsid w:val="00555E41"/>
    <w:rsid w:val="0055620A"/>
    <w:rsid w:val="00556281"/>
    <w:rsid w:val="00556367"/>
    <w:rsid w:val="00557D86"/>
    <w:rsid w:val="0056007E"/>
    <w:rsid w:val="005605AC"/>
    <w:rsid w:val="00560892"/>
    <w:rsid w:val="0056101A"/>
    <w:rsid w:val="005619C8"/>
    <w:rsid w:val="00561AA8"/>
    <w:rsid w:val="00561ECC"/>
    <w:rsid w:val="00562860"/>
    <w:rsid w:val="0056293D"/>
    <w:rsid w:val="0056333B"/>
    <w:rsid w:val="0056339D"/>
    <w:rsid w:val="0056342E"/>
    <w:rsid w:val="00563C7F"/>
    <w:rsid w:val="00563E5F"/>
    <w:rsid w:val="00564497"/>
    <w:rsid w:val="005649DC"/>
    <w:rsid w:val="00564B93"/>
    <w:rsid w:val="00564C91"/>
    <w:rsid w:val="00565471"/>
    <w:rsid w:val="00565583"/>
    <w:rsid w:val="0056588A"/>
    <w:rsid w:val="0056616E"/>
    <w:rsid w:val="00566396"/>
    <w:rsid w:val="00566776"/>
    <w:rsid w:val="00567391"/>
    <w:rsid w:val="00570217"/>
    <w:rsid w:val="0057191B"/>
    <w:rsid w:val="00571DDB"/>
    <w:rsid w:val="00572CC4"/>
    <w:rsid w:val="00573494"/>
    <w:rsid w:val="00574A2B"/>
    <w:rsid w:val="00574D1D"/>
    <w:rsid w:val="00575B01"/>
    <w:rsid w:val="00575BCB"/>
    <w:rsid w:val="00575E58"/>
    <w:rsid w:val="00576E1F"/>
    <w:rsid w:val="00577101"/>
    <w:rsid w:val="00577296"/>
    <w:rsid w:val="00577A93"/>
    <w:rsid w:val="00577BA1"/>
    <w:rsid w:val="005807D0"/>
    <w:rsid w:val="005810B1"/>
    <w:rsid w:val="00581182"/>
    <w:rsid w:val="00582C9E"/>
    <w:rsid w:val="00582ED9"/>
    <w:rsid w:val="00582F97"/>
    <w:rsid w:val="00583405"/>
    <w:rsid w:val="00583645"/>
    <w:rsid w:val="0058367D"/>
    <w:rsid w:val="00583F85"/>
    <w:rsid w:val="00584175"/>
    <w:rsid w:val="005845D8"/>
    <w:rsid w:val="005849FE"/>
    <w:rsid w:val="00584EC6"/>
    <w:rsid w:val="005850F8"/>
    <w:rsid w:val="00585425"/>
    <w:rsid w:val="00585516"/>
    <w:rsid w:val="005858A1"/>
    <w:rsid w:val="00585E70"/>
    <w:rsid w:val="005861E1"/>
    <w:rsid w:val="0058628B"/>
    <w:rsid w:val="005868E5"/>
    <w:rsid w:val="00586952"/>
    <w:rsid w:val="00586B71"/>
    <w:rsid w:val="00586C54"/>
    <w:rsid w:val="005872A1"/>
    <w:rsid w:val="00587332"/>
    <w:rsid w:val="005908F5"/>
    <w:rsid w:val="00591028"/>
    <w:rsid w:val="005910F2"/>
    <w:rsid w:val="005912B6"/>
    <w:rsid w:val="00591C00"/>
    <w:rsid w:val="00591F14"/>
    <w:rsid w:val="00592863"/>
    <w:rsid w:val="00592D71"/>
    <w:rsid w:val="0059342B"/>
    <w:rsid w:val="00593A49"/>
    <w:rsid w:val="00594219"/>
    <w:rsid w:val="005943C8"/>
    <w:rsid w:val="00594D82"/>
    <w:rsid w:val="00595233"/>
    <w:rsid w:val="00595362"/>
    <w:rsid w:val="00595552"/>
    <w:rsid w:val="005956BF"/>
    <w:rsid w:val="00595A97"/>
    <w:rsid w:val="00595D26"/>
    <w:rsid w:val="00596DC2"/>
    <w:rsid w:val="00597BC2"/>
    <w:rsid w:val="005A0125"/>
    <w:rsid w:val="005A0159"/>
    <w:rsid w:val="005A02DC"/>
    <w:rsid w:val="005A09E7"/>
    <w:rsid w:val="005A1287"/>
    <w:rsid w:val="005A1557"/>
    <w:rsid w:val="005A1691"/>
    <w:rsid w:val="005A1F37"/>
    <w:rsid w:val="005A1F76"/>
    <w:rsid w:val="005A24A4"/>
    <w:rsid w:val="005A25E5"/>
    <w:rsid w:val="005A2649"/>
    <w:rsid w:val="005A3188"/>
    <w:rsid w:val="005A3B3A"/>
    <w:rsid w:val="005A415A"/>
    <w:rsid w:val="005A43BB"/>
    <w:rsid w:val="005A4539"/>
    <w:rsid w:val="005A49F2"/>
    <w:rsid w:val="005A4D05"/>
    <w:rsid w:val="005A4E96"/>
    <w:rsid w:val="005A4F17"/>
    <w:rsid w:val="005A519B"/>
    <w:rsid w:val="005A576C"/>
    <w:rsid w:val="005A64B9"/>
    <w:rsid w:val="005A6549"/>
    <w:rsid w:val="005A7C5A"/>
    <w:rsid w:val="005B0192"/>
    <w:rsid w:val="005B0648"/>
    <w:rsid w:val="005B0A57"/>
    <w:rsid w:val="005B0C01"/>
    <w:rsid w:val="005B1012"/>
    <w:rsid w:val="005B105B"/>
    <w:rsid w:val="005B161D"/>
    <w:rsid w:val="005B25CF"/>
    <w:rsid w:val="005B2820"/>
    <w:rsid w:val="005B2A8F"/>
    <w:rsid w:val="005B3136"/>
    <w:rsid w:val="005B33CC"/>
    <w:rsid w:val="005B3CED"/>
    <w:rsid w:val="005B400C"/>
    <w:rsid w:val="005B43A4"/>
    <w:rsid w:val="005B5037"/>
    <w:rsid w:val="005B5242"/>
    <w:rsid w:val="005B5AF1"/>
    <w:rsid w:val="005B5B8C"/>
    <w:rsid w:val="005B624F"/>
    <w:rsid w:val="005B6AE4"/>
    <w:rsid w:val="005B73A0"/>
    <w:rsid w:val="005B74E7"/>
    <w:rsid w:val="005B7506"/>
    <w:rsid w:val="005B762E"/>
    <w:rsid w:val="005C03CD"/>
    <w:rsid w:val="005C0445"/>
    <w:rsid w:val="005C0E23"/>
    <w:rsid w:val="005C1928"/>
    <w:rsid w:val="005C1CD5"/>
    <w:rsid w:val="005C1E20"/>
    <w:rsid w:val="005C20EC"/>
    <w:rsid w:val="005C24D7"/>
    <w:rsid w:val="005C2B1E"/>
    <w:rsid w:val="005C393B"/>
    <w:rsid w:val="005C3984"/>
    <w:rsid w:val="005C3A68"/>
    <w:rsid w:val="005C3C75"/>
    <w:rsid w:val="005C3F17"/>
    <w:rsid w:val="005C48DB"/>
    <w:rsid w:val="005C49EA"/>
    <w:rsid w:val="005C4FCC"/>
    <w:rsid w:val="005C61DB"/>
    <w:rsid w:val="005C6961"/>
    <w:rsid w:val="005C6E0F"/>
    <w:rsid w:val="005C70C0"/>
    <w:rsid w:val="005D0479"/>
    <w:rsid w:val="005D08C1"/>
    <w:rsid w:val="005D0C39"/>
    <w:rsid w:val="005D1265"/>
    <w:rsid w:val="005D127F"/>
    <w:rsid w:val="005D142E"/>
    <w:rsid w:val="005D1609"/>
    <w:rsid w:val="005D1842"/>
    <w:rsid w:val="005D206F"/>
    <w:rsid w:val="005D209D"/>
    <w:rsid w:val="005D2308"/>
    <w:rsid w:val="005D2CBD"/>
    <w:rsid w:val="005D3028"/>
    <w:rsid w:val="005D3E0B"/>
    <w:rsid w:val="005D4852"/>
    <w:rsid w:val="005D4DDF"/>
    <w:rsid w:val="005D4FDD"/>
    <w:rsid w:val="005D567F"/>
    <w:rsid w:val="005D5DA6"/>
    <w:rsid w:val="005D603C"/>
    <w:rsid w:val="005D620F"/>
    <w:rsid w:val="005D7305"/>
    <w:rsid w:val="005D7574"/>
    <w:rsid w:val="005D7F3D"/>
    <w:rsid w:val="005E0786"/>
    <w:rsid w:val="005E0787"/>
    <w:rsid w:val="005E0E25"/>
    <w:rsid w:val="005E16C8"/>
    <w:rsid w:val="005E171A"/>
    <w:rsid w:val="005E27C9"/>
    <w:rsid w:val="005E287C"/>
    <w:rsid w:val="005E2DB1"/>
    <w:rsid w:val="005E2E22"/>
    <w:rsid w:val="005E3120"/>
    <w:rsid w:val="005E3FB9"/>
    <w:rsid w:val="005E3FEC"/>
    <w:rsid w:val="005E404C"/>
    <w:rsid w:val="005E40FD"/>
    <w:rsid w:val="005E48E4"/>
    <w:rsid w:val="005E6841"/>
    <w:rsid w:val="005E68CA"/>
    <w:rsid w:val="005E6945"/>
    <w:rsid w:val="005E6A55"/>
    <w:rsid w:val="005E7641"/>
    <w:rsid w:val="005E768F"/>
    <w:rsid w:val="005E7F80"/>
    <w:rsid w:val="005F0121"/>
    <w:rsid w:val="005F059D"/>
    <w:rsid w:val="005F067F"/>
    <w:rsid w:val="005F076B"/>
    <w:rsid w:val="005F25B3"/>
    <w:rsid w:val="005F264F"/>
    <w:rsid w:val="005F2EAD"/>
    <w:rsid w:val="005F2F18"/>
    <w:rsid w:val="005F3662"/>
    <w:rsid w:val="005F3FB4"/>
    <w:rsid w:val="005F4FF6"/>
    <w:rsid w:val="005F5EBD"/>
    <w:rsid w:val="005F5F5E"/>
    <w:rsid w:val="005F5FA6"/>
    <w:rsid w:val="005F63D5"/>
    <w:rsid w:val="005F7420"/>
    <w:rsid w:val="00600AAB"/>
    <w:rsid w:val="0060114B"/>
    <w:rsid w:val="0060160F"/>
    <w:rsid w:val="00601771"/>
    <w:rsid w:val="006026F3"/>
    <w:rsid w:val="0060280D"/>
    <w:rsid w:val="00603523"/>
    <w:rsid w:val="00603C3C"/>
    <w:rsid w:val="00603C52"/>
    <w:rsid w:val="00603EA3"/>
    <w:rsid w:val="00603F3F"/>
    <w:rsid w:val="00604258"/>
    <w:rsid w:val="0060429D"/>
    <w:rsid w:val="00604D6B"/>
    <w:rsid w:val="006057AA"/>
    <w:rsid w:val="006062EC"/>
    <w:rsid w:val="006066D7"/>
    <w:rsid w:val="00607793"/>
    <w:rsid w:val="00607ADB"/>
    <w:rsid w:val="00610737"/>
    <w:rsid w:val="00610AE8"/>
    <w:rsid w:val="0061142E"/>
    <w:rsid w:val="00612074"/>
    <w:rsid w:val="0061249D"/>
    <w:rsid w:val="00614780"/>
    <w:rsid w:val="00614E44"/>
    <w:rsid w:val="00615ABF"/>
    <w:rsid w:val="00615C13"/>
    <w:rsid w:val="00615D86"/>
    <w:rsid w:val="0061640B"/>
    <w:rsid w:val="00616994"/>
    <w:rsid w:val="00617328"/>
    <w:rsid w:val="006177BB"/>
    <w:rsid w:val="00617AED"/>
    <w:rsid w:val="00620490"/>
    <w:rsid w:val="00620742"/>
    <w:rsid w:val="006208C6"/>
    <w:rsid w:val="006208FF"/>
    <w:rsid w:val="00620DFB"/>
    <w:rsid w:val="0062101F"/>
    <w:rsid w:val="00622DFF"/>
    <w:rsid w:val="00622E21"/>
    <w:rsid w:val="006230EC"/>
    <w:rsid w:val="0062441D"/>
    <w:rsid w:val="00624A0D"/>
    <w:rsid w:val="006253BC"/>
    <w:rsid w:val="00625468"/>
    <w:rsid w:val="006254C8"/>
    <w:rsid w:val="006259EF"/>
    <w:rsid w:val="0062643B"/>
    <w:rsid w:val="00626EDF"/>
    <w:rsid w:val="00627192"/>
    <w:rsid w:val="006305D8"/>
    <w:rsid w:val="00630912"/>
    <w:rsid w:val="00630CBC"/>
    <w:rsid w:val="00631962"/>
    <w:rsid w:val="00631DB9"/>
    <w:rsid w:val="00632924"/>
    <w:rsid w:val="00632A85"/>
    <w:rsid w:val="00633538"/>
    <w:rsid w:val="00634071"/>
    <w:rsid w:val="00634228"/>
    <w:rsid w:val="0063461B"/>
    <w:rsid w:val="00634FA6"/>
    <w:rsid w:val="006358A1"/>
    <w:rsid w:val="00635A32"/>
    <w:rsid w:val="0063607D"/>
    <w:rsid w:val="006363A8"/>
    <w:rsid w:val="006365B8"/>
    <w:rsid w:val="00636A8D"/>
    <w:rsid w:val="006409B9"/>
    <w:rsid w:val="00640DFD"/>
    <w:rsid w:val="00640E70"/>
    <w:rsid w:val="00641A6C"/>
    <w:rsid w:val="00641EF1"/>
    <w:rsid w:val="00641FEE"/>
    <w:rsid w:val="00643A4B"/>
    <w:rsid w:val="00643D60"/>
    <w:rsid w:val="0064432D"/>
    <w:rsid w:val="00644A3C"/>
    <w:rsid w:val="0064511D"/>
    <w:rsid w:val="00645378"/>
    <w:rsid w:val="00645C34"/>
    <w:rsid w:val="00646751"/>
    <w:rsid w:val="00646846"/>
    <w:rsid w:val="0064685B"/>
    <w:rsid w:val="006501E4"/>
    <w:rsid w:val="006508CB"/>
    <w:rsid w:val="00650BE4"/>
    <w:rsid w:val="006513F0"/>
    <w:rsid w:val="0065196F"/>
    <w:rsid w:val="00651FC0"/>
    <w:rsid w:val="00652046"/>
    <w:rsid w:val="0065217E"/>
    <w:rsid w:val="00652194"/>
    <w:rsid w:val="0065223C"/>
    <w:rsid w:val="00652531"/>
    <w:rsid w:val="0065286F"/>
    <w:rsid w:val="00652C2F"/>
    <w:rsid w:val="00653211"/>
    <w:rsid w:val="006532B1"/>
    <w:rsid w:val="006543A6"/>
    <w:rsid w:val="00654825"/>
    <w:rsid w:val="00654C97"/>
    <w:rsid w:val="00654E40"/>
    <w:rsid w:val="00654F87"/>
    <w:rsid w:val="006550DC"/>
    <w:rsid w:val="006553D0"/>
    <w:rsid w:val="0065597B"/>
    <w:rsid w:val="00655AF2"/>
    <w:rsid w:val="00655EC9"/>
    <w:rsid w:val="006562FB"/>
    <w:rsid w:val="006564E8"/>
    <w:rsid w:val="00656A89"/>
    <w:rsid w:val="00657101"/>
    <w:rsid w:val="00660188"/>
    <w:rsid w:val="00660750"/>
    <w:rsid w:val="00660BF1"/>
    <w:rsid w:val="00660C10"/>
    <w:rsid w:val="006613A5"/>
    <w:rsid w:val="006615C0"/>
    <w:rsid w:val="006616D8"/>
    <w:rsid w:val="0066232B"/>
    <w:rsid w:val="006632C1"/>
    <w:rsid w:val="00663590"/>
    <w:rsid w:val="006635BC"/>
    <w:rsid w:val="00663E62"/>
    <w:rsid w:val="00663FC2"/>
    <w:rsid w:val="00664015"/>
    <w:rsid w:val="006640BC"/>
    <w:rsid w:val="00664171"/>
    <w:rsid w:val="00664767"/>
    <w:rsid w:val="006647BD"/>
    <w:rsid w:val="006647C5"/>
    <w:rsid w:val="00664DF4"/>
    <w:rsid w:val="0066526E"/>
    <w:rsid w:val="00665B5A"/>
    <w:rsid w:val="00665C43"/>
    <w:rsid w:val="00666358"/>
    <w:rsid w:val="006664C7"/>
    <w:rsid w:val="006666CD"/>
    <w:rsid w:val="00666A02"/>
    <w:rsid w:val="00666A2A"/>
    <w:rsid w:val="006676B2"/>
    <w:rsid w:val="00667997"/>
    <w:rsid w:val="00670C0A"/>
    <w:rsid w:val="00670D40"/>
    <w:rsid w:val="00670E5A"/>
    <w:rsid w:val="0067120A"/>
    <w:rsid w:val="00671A6F"/>
    <w:rsid w:val="00671F23"/>
    <w:rsid w:val="00671FFE"/>
    <w:rsid w:val="006724BF"/>
    <w:rsid w:val="00672EDE"/>
    <w:rsid w:val="0067420A"/>
    <w:rsid w:val="0067463E"/>
    <w:rsid w:val="00674D1E"/>
    <w:rsid w:val="00675BB2"/>
    <w:rsid w:val="00675CE9"/>
    <w:rsid w:val="00676526"/>
    <w:rsid w:val="006769E6"/>
    <w:rsid w:val="00677925"/>
    <w:rsid w:val="00677CD7"/>
    <w:rsid w:val="00677F16"/>
    <w:rsid w:val="00680631"/>
    <w:rsid w:val="00680C55"/>
    <w:rsid w:val="0068111B"/>
    <w:rsid w:val="00683613"/>
    <w:rsid w:val="00683725"/>
    <w:rsid w:val="00683D00"/>
    <w:rsid w:val="00684025"/>
    <w:rsid w:val="00684260"/>
    <w:rsid w:val="00684B82"/>
    <w:rsid w:val="00684EB3"/>
    <w:rsid w:val="0068507B"/>
    <w:rsid w:val="00685625"/>
    <w:rsid w:val="00685833"/>
    <w:rsid w:val="00685C66"/>
    <w:rsid w:val="00685E4E"/>
    <w:rsid w:val="00687709"/>
    <w:rsid w:val="00687972"/>
    <w:rsid w:val="006901D6"/>
    <w:rsid w:val="006907C4"/>
    <w:rsid w:val="0069080E"/>
    <w:rsid w:val="00692155"/>
    <w:rsid w:val="0069223C"/>
    <w:rsid w:val="00692418"/>
    <w:rsid w:val="0069245F"/>
    <w:rsid w:val="006927D1"/>
    <w:rsid w:val="006933C3"/>
    <w:rsid w:val="006933C8"/>
    <w:rsid w:val="0069381C"/>
    <w:rsid w:val="006938A1"/>
    <w:rsid w:val="006938DB"/>
    <w:rsid w:val="00693F64"/>
    <w:rsid w:val="00694BB7"/>
    <w:rsid w:val="0069509D"/>
    <w:rsid w:val="006953F8"/>
    <w:rsid w:val="00695686"/>
    <w:rsid w:val="00695709"/>
    <w:rsid w:val="00695CB9"/>
    <w:rsid w:val="0069683F"/>
    <w:rsid w:val="00696B7C"/>
    <w:rsid w:val="00696D68"/>
    <w:rsid w:val="00697477"/>
    <w:rsid w:val="006A0205"/>
    <w:rsid w:val="006A057D"/>
    <w:rsid w:val="006A073A"/>
    <w:rsid w:val="006A0F2B"/>
    <w:rsid w:val="006A143A"/>
    <w:rsid w:val="006A1844"/>
    <w:rsid w:val="006A1D57"/>
    <w:rsid w:val="006A2E70"/>
    <w:rsid w:val="006A3741"/>
    <w:rsid w:val="006A4F17"/>
    <w:rsid w:val="006A5127"/>
    <w:rsid w:val="006A54FE"/>
    <w:rsid w:val="006A5546"/>
    <w:rsid w:val="006A57B2"/>
    <w:rsid w:val="006A70E9"/>
    <w:rsid w:val="006A7145"/>
    <w:rsid w:val="006B07F3"/>
    <w:rsid w:val="006B1042"/>
    <w:rsid w:val="006B19B9"/>
    <w:rsid w:val="006B19E0"/>
    <w:rsid w:val="006B1BE4"/>
    <w:rsid w:val="006B1F95"/>
    <w:rsid w:val="006B26D2"/>
    <w:rsid w:val="006B2868"/>
    <w:rsid w:val="006B2BE5"/>
    <w:rsid w:val="006B2D6D"/>
    <w:rsid w:val="006B3627"/>
    <w:rsid w:val="006B386C"/>
    <w:rsid w:val="006B4A26"/>
    <w:rsid w:val="006B4D61"/>
    <w:rsid w:val="006B4E47"/>
    <w:rsid w:val="006B517E"/>
    <w:rsid w:val="006B53FC"/>
    <w:rsid w:val="006B556A"/>
    <w:rsid w:val="006B5687"/>
    <w:rsid w:val="006B5882"/>
    <w:rsid w:val="006B5F68"/>
    <w:rsid w:val="006B630E"/>
    <w:rsid w:val="006B647D"/>
    <w:rsid w:val="006B6540"/>
    <w:rsid w:val="006B65AC"/>
    <w:rsid w:val="006B6631"/>
    <w:rsid w:val="006B6913"/>
    <w:rsid w:val="006C0E36"/>
    <w:rsid w:val="006C1AA7"/>
    <w:rsid w:val="006C1E1C"/>
    <w:rsid w:val="006C206B"/>
    <w:rsid w:val="006C2976"/>
    <w:rsid w:val="006C2BB2"/>
    <w:rsid w:val="006C2DCE"/>
    <w:rsid w:val="006C2E4C"/>
    <w:rsid w:val="006C32E6"/>
    <w:rsid w:val="006C33AF"/>
    <w:rsid w:val="006C36D5"/>
    <w:rsid w:val="006C36E2"/>
    <w:rsid w:val="006C3826"/>
    <w:rsid w:val="006C396A"/>
    <w:rsid w:val="006C4380"/>
    <w:rsid w:val="006C44FD"/>
    <w:rsid w:val="006C5DE6"/>
    <w:rsid w:val="006C5E41"/>
    <w:rsid w:val="006C5E4E"/>
    <w:rsid w:val="006C6052"/>
    <w:rsid w:val="006C6C78"/>
    <w:rsid w:val="006C7171"/>
    <w:rsid w:val="006C791D"/>
    <w:rsid w:val="006C7CEF"/>
    <w:rsid w:val="006D02A2"/>
    <w:rsid w:val="006D0558"/>
    <w:rsid w:val="006D0A1A"/>
    <w:rsid w:val="006D0A8F"/>
    <w:rsid w:val="006D0FC1"/>
    <w:rsid w:val="006D141C"/>
    <w:rsid w:val="006D2FD4"/>
    <w:rsid w:val="006D34FE"/>
    <w:rsid w:val="006D3616"/>
    <w:rsid w:val="006D36F8"/>
    <w:rsid w:val="006D4939"/>
    <w:rsid w:val="006D4B48"/>
    <w:rsid w:val="006D4B87"/>
    <w:rsid w:val="006D4D63"/>
    <w:rsid w:val="006D4FEB"/>
    <w:rsid w:val="006D502A"/>
    <w:rsid w:val="006D512E"/>
    <w:rsid w:val="006D638A"/>
    <w:rsid w:val="006D6AB1"/>
    <w:rsid w:val="006D75D1"/>
    <w:rsid w:val="006D7685"/>
    <w:rsid w:val="006D7B3B"/>
    <w:rsid w:val="006D7DAA"/>
    <w:rsid w:val="006D7DCA"/>
    <w:rsid w:val="006D7FD8"/>
    <w:rsid w:val="006E0FAA"/>
    <w:rsid w:val="006E2046"/>
    <w:rsid w:val="006E2D27"/>
    <w:rsid w:val="006E33F3"/>
    <w:rsid w:val="006E366B"/>
    <w:rsid w:val="006E46C1"/>
    <w:rsid w:val="006E523E"/>
    <w:rsid w:val="006E5F9C"/>
    <w:rsid w:val="006E6FD1"/>
    <w:rsid w:val="006E796F"/>
    <w:rsid w:val="006F01F0"/>
    <w:rsid w:val="006F0D0F"/>
    <w:rsid w:val="006F0DF1"/>
    <w:rsid w:val="006F14AA"/>
    <w:rsid w:val="006F1FDB"/>
    <w:rsid w:val="006F237E"/>
    <w:rsid w:val="006F2730"/>
    <w:rsid w:val="006F2E16"/>
    <w:rsid w:val="006F31A5"/>
    <w:rsid w:val="006F359D"/>
    <w:rsid w:val="006F3A83"/>
    <w:rsid w:val="006F40BE"/>
    <w:rsid w:val="006F41BF"/>
    <w:rsid w:val="006F50A6"/>
    <w:rsid w:val="006F55DC"/>
    <w:rsid w:val="006F5CB5"/>
    <w:rsid w:val="006F5DA7"/>
    <w:rsid w:val="006F649D"/>
    <w:rsid w:val="006F687B"/>
    <w:rsid w:val="006F712B"/>
    <w:rsid w:val="00700F47"/>
    <w:rsid w:val="00701390"/>
    <w:rsid w:val="007013AC"/>
    <w:rsid w:val="007016B2"/>
    <w:rsid w:val="00701844"/>
    <w:rsid w:val="007018C4"/>
    <w:rsid w:val="007020F6"/>
    <w:rsid w:val="0070221C"/>
    <w:rsid w:val="0070282C"/>
    <w:rsid w:val="00702AAE"/>
    <w:rsid w:val="00704219"/>
    <w:rsid w:val="0070423A"/>
    <w:rsid w:val="00704988"/>
    <w:rsid w:val="00704F94"/>
    <w:rsid w:val="00705165"/>
    <w:rsid w:val="00705E04"/>
    <w:rsid w:val="007060E4"/>
    <w:rsid w:val="007061B4"/>
    <w:rsid w:val="007065E8"/>
    <w:rsid w:val="00710085"/>
    <w:rsid w:val="00710387"/>
    <w:rsid w:val="007106CE"/>
    <w:rsid w:val="00710CBC"/>
    <w:rsid w:val="0071121A"/>
    <w:rsid w:val="007112B8"/>
    <w:rsid w:val="00711686"/>
    <w:rsid w:val="00712D66"/>
    <w:rsid w:val="00712E59"/>
    <w:rsid w:val="0071384C"/>
    <w:rsid w:val="0071458E"/>
    <w:rsid w:val="00714911"/>
    <w:rsid w:val="007150B3"/>
    <w:rsid w:val="00715899"/>
    <w:rsid w:val="0071677B"/>
    <w:rsid w:val="00716D8A"/>
    <w:rsid w:val="00717207"/>
    <w:rsid w:val="007179C9"/>
    <w:rsid w:val="00720038"/>
    <w:rsid w:val="00720C4B"/>
    <w:rsid w:val="00720E48"/>
    <w:rsid w:val="007210F9"/>
    <w:rsid w:val="00721324"/>
    <w:rsid w:val="00721560"/>
    <w:rsid w:val="00721BF8"/>
    <w:rsid w:val="00721D8E"/>
    <w:rsid w:val="00721DEF"/>
    <w:rsid w:val="0072203C"/>
    <w:rsid w:val="007225B4"/>
    <w:rsid w:val="0072272C"/>
    <w:rsid w:val="00722CEE"/>
    <w:rsid w:val="007230D9"/>
    <w:rsid w:val="00723F40"/>
    <w:rsid w:val="00724771"/>
    <w:rsid w:val="00724A7C"/>
    <w:rsid w:val="00724B40"/>
    <w:rsid w:val="00724C48"/>
    <w:rsid w:val="00725190"/>
    <w:rsid w:val="007269A7"/>
    <w:rsid w:val="00727430"/>
    <w:rsid w:val="007277BA"/>
    <w:rsid w:val="00727BB3"/>
    <w:rsid w:val="00730031"/>
    <w:rsid w:val="00730C45"/>
    <w:rsid w:val="00731266"/>
    <w:rsid w:val="007314CA"/>
    <w:rsid w:val="00731A1B"/>
    <w:rsid w:val="00731BA0"/>
    <w:rsid w:val="00731CBE"/>
    <w:rsid w:val="00732B16"/>
    <w:rsid w:val="00732EED"/>
    <w:rsid w:val="00732F82"/>
    <w:rsid w:val="007332EF"/>
    <w:rsid w:val="007338A4"/>
    <w:rsid w:val="00733976"/>
    <w:rsid w:val="007347F8"/>
    <w:rsid w:val="0073486B"/>
    <w:rsid w:val="00735042"/>
    <w:rsid w:val="007353EF"/>
    <w:rsid w:val="00735470"/>
    <w:rsid w:val="00736609"/>
    <w:rsid w:val="0073696F"/>
    <w:rsid w:val="0073745E"/>
    <w:rsid w:val="00737853"/>
    <w:rsid w:val="00737971"/>
    <w:rsid w:val="0074041C"/>
    <w:rsid w:val="007409B1"/>
    <w:rsid w:val="007414BF"/>
    <w:rsid w:val="007417F8"/>
    <w:rsid w:val="00741BA7"/>
    <w:rsid w:val="00741E45"/>
    <w:rsid w:val="00742D86"/>
    <w:rsid w:val="00743DDD"/>
    <w:rsid w:val="00743E5D"/>
    <w:rsid w:val="00744C2F"/>
    <w:rsid w:val="007450B0"/>
    <w:rsid w:val="007451A5"/>
    <w:rsid w:val="00745625"/>
    <w:rsid w:val="007456D7"/>
    <w:rsid w:val="007457C0"/>
    <w:rsid w:val="00746067"/>
    <w:rsid w:val="00746CE8"/>
    <w:rsid w:val="00746E53"/>
    <w:rsid w:val="00747CD0"/>
    <w:rsid w:val="00750890"/>
    <w:rsid w:val="007509CB"/>
    <w:rsid w:val="00750F67"/>
    <w:rsid w:val="007510E2"/>
    <w:rsid w:val="007512F1"/>
    <w:rsid w:val="007524FC"/>
    <w:rsid w:val="0075253A"/>
    <w:rsid w:val="00752A6E"/>
    <w:rsid w:val="00752EB9"/>
    <w:rsid w:val="00753B53"/>
    <w:rsid w:val="00753DFE"/>
    <w:rsid w:val="00753E39"/>
    <w:rsid w:val="00754627"/>
    <w:rsid w:val="0075462E"/>
    <w:rsid w:val="00754AA0"/>
    <w:rsid w:val="00754BA8"/>
    <w:rsid w:val="00754F0D"/>
    <w:rsid w:val="00756781"/>
    <w:rsid w:val="00757AD3"/>
    <w:rsid w:val="00757E31"/>
    <w:rsid w:val="00760FC1"/>
    <w:rsid w:val="00761AF1"/>
    <w:rsid w:val="00761B56"/>
    <w:rsid w:val="00761ED3"/>
    <w:rsid w:val="00762BA7"/>
    <w:rsid w:val="0076344E"/>
    <w:rsid w:val="0076384D"/>
    <w:rsid w:val="00763B42"/>
    <w:rsid w:val="007643E0"/>
    <w:rsid w:val="00764923"/>
    <w:rsid w:val="007655A2"/>
    <w:rsid w:val="0076661E"/>
    <w:rsid w:val="00766AF1"/>
    <w:rsid w:val="00766C9A"/>
    <w:rsid w:val="00767538"/>
    <w:rsid w:val="00770173"/>
    <w:rsid w:val="007719D0"/>
    <w:rsid w:val="007725BD"/>
    <w:rsid w:val="00773003"/>
    <w:rsid w:val="0077375B"/>
    <w:rsid w:val="00773E5C"/>
    <w:rsid w:val="00773F34"/>
    <w:rsid w:val="00774591"/>
    <w:rsid w:val="0077482D"/>
    <w:rsid w:val="0077482F"/>
    <w:rsid w:val="007750E4"/>
    <w:rsid w:val="00775471"/>
    <w:rsid w:val="00775600"/>
    <w:rsid w:val="0077690E"/>
    <w:rsid w:val="00776A81"/>
    <w:rsid w:val="007775D9"/>
    <w:rsid w:val="00777778"/>
    <w:rsid w:val="00777C6E"/>
    <w:rsid w:val="00777E46"/>
    <w:rsid w:val="007801EC"/>
    <w:rsid w:val="00780CAB"/>
    <w:rsid w:val="00780ED5"/>
    <w:rsid w:val="00780FED"/>
    <w:rsid w:val="00781347"/>
    <w:rsid w:val="00781E2A"/>
    <w:rsid w:val="00781F0A"/>
    <w:rsid w:val="00782535"/>
    <w:rsid w:val="00782DDD"/>
    <w:rsid w:val="007831B0"/>
    <w:rsid w:val="0078335C"/>
    <w:rsid w:val="00783897"/>
    <w:rsid w:val="0078439F"/>
    <w:rsid w:val="007847A1"/>
    <w:rsid w:val="00784C15"/>
    <w:rsid w:val="00784F64"/>
    <w:rsid w:val="0078527D"/>
    <w:rsid w:val="007856CA"/>
    <w:rsid w:val="00785B04"/>
    <w:rsid w:val="00785F95"/>
    <w:rsid w:val="0078653F"/>
    <w:rsid w:val="00787B8B"/>
    <w:rsid w:val="007903B6"/>
    <w:rsid w:val="0079048C"/>
    <w:rsid w:val="00791260"/>
    <w:rsid w:val="007918AF"/>
    <w:rsid w:val="00791C0F"/>
    <w:rsid w:val="007924B9"/>
    <w:rsid w:val="0079273D"/>
    <w:rsid w:val="00792A22"/>
    <w:rsid w:val="00792CC5"/>
    <w:rsid w:val="00792EFD"/>
    <w:rsid w:val="007932B0"/>
    <w:rsid w:val="0079377C"/>
    <w:rsid w:val="00794488"/>
    <w:rsid w:val="007948D9"/>
    <w:rsid w:val="00794AF2"/>
    <w:rsid w:val="00794C4B"/>
    <w:rsid w:val="007950C0"/>
    <w:rsid w:val="00795507"/>
    <w:rsid w:val="00796F4C"/>
    <w:rsid w:val="007971D3"/>
    <w:rsid w:val="007977BC"/>
    <w:rsid w:val="00797FDD"/>
    <w:rsid w:val="007A00C8"/>
    <w:rsid w:val="007A0D1A"/>
    <w:rsid w:val="007A0DEA"/>
    <w:rsid w:val="007A0E13"/>
    <w:rsid w:val="007A10CA"/>
    <w:rsid w:val="007A1D4D"/>
    <w:rsid w:val="007A21BB"/>
    <w:rsid w:val="007A22E2"/>
    <w:rsid w:val="007A26B6"/>
    <w:rsid w:val="007A29EA"/>
    <w:rsid w:val="007A2ACB"/>
    <w:rsid w:val="007A305F"/>
    <w:rsid w:val="007A343A"/>
    <w:rsid w:val="007A3475"/>
    <w:rsid w:val="007A3E12"/>
    <w:rsid w:val="007A40E9"/>
    <w:rsid w:val="007A4532"/>
    <w:rsid w:val="007A495F"/>
    <w:rsid w:val="007A4CBE"/>
    <w:rsid w:val="007A5123"/>
    <w:rsid w:val="007A5F27"/>
    <w:rsid w:val="007A69B5"/>
    <w:rsid w:val="007A6E57"/>
    <w:rsid w:val="007A6FD8"/>
    <w:rsid w:val="007A75EB"/>
    <w:rsid w:val="007A7F7C"/>
    <w:rsid w:val="007B0084"/>
    <w:rsid w:val="007B031D"/>
    <w:rsid w:val="007B08DC"/>
    <w:rsid w:val="007B0BE8"/>
    <w:rsid w:val="007B15D4"/>
    <w:rsid w:val="007B1CDA"/>
    <w:rsid w:val="007B240D"/>
    <w:rsid w:val="007B298B"/>
    <w:rsid w:val="007B2BDA"/>
    <w:rsid w:val="007B2C27"/>
    <w:rsid w:val="007B3989"/>
    <w:rsid w:val="007B3B9D"/>
    <w:rsid w:val="007B3DE1"/>
    <w:rsid w:val="007B4826"/>
    <w:rsid w:val="007B4BDB"/>
    <w:rsid w:val="007B5E44"/>
    <w:rsid w:val="007B65D4"/>
    <w:rsid w:val="007B6D05"/>
    <w:rsid w:val="007B70B9"/>
    <w:rsid w:val="007B7CCF"/>
    <w:rsid w:val="007C0657"/>
    <w:rsid w:val="007C19F0"/>
    <w:rsid w:val="007C1DE2"/>
    <w:rsid w:val="007C2020"/>
    <w:rsid w:val="007C2228"/>
    <w:rsid w:val="007C28A7"/>
    <w:rsid w:val="007C28B9"/>
    <w:rsid w:val="007C2B6F"/>
    <w:rsid w:val="007C2B9F"/>
    <w:rsid w:val="007C2D0B"/>
    <w:rsid w:val="007C2DC5"/>
    <w:rsid w:val="007C32AD"/>
    <w:rsid w:val="007C357C"/>
    <w:rsid w:val="007C3C71"/>
    <w:rsid w:val="007C46A1"/>
    <w:rsid w:val="007C4C1F"/>
    <w:rsid w:val="007C4F64"/>
    <w:rsid w:val="007C52E2"/>
    <w:rsid w:val="007C54CC"/>
    <w:rsid w:val="007C5D0A"/>
    <w:rsid w:val="007C6504"/>
    <w:rsid w:val="007C6CCB"/>
    <w:rsid w:val="007C6CEC"/>
    <w:rsid w:val="007C6EC6"/>
    <w:rsid w:val="007C717B"/>
    <w:rsid w:val="007C71A2"/>
    <w:rsid w:val="007C7D7A"/>
    <w:rsid w:val="007D0BFD"/>
    <w:rsid w:val="007D1BFB"/>
    <w:rsid w:val="007D24E3"/>
    <w:rsid w:val="007D2DA8"/>
    <w:rsid w:val="007D3003"/>
    <w:rsid w:val="007D3C47"/>
    <w:rsid w:val="007D3CEA"/>
    <w:rsid w:val="007D47B2"/>
    <w:rsid w:val="007D4A30"/>
    <w:rsid w:val="007D4F98"/>
    <w:rsid w:val="007D5318"/>
    <w:rsid w:val="007D579B"/>
    <w:rsid w:val="007D585D"/>
    <w:rsid w:val="007D5989"/>
    <w:rsid w:val="007D5F53"/>
    <w:rsid w:val="007D6E3B"/>
    <w:rsid w:val="007D6EE3"/>
    <w:rsid w:val="007D734D"/>
    <w:rsid w:val="007D73D2"/>
    <w:rsid w:val="007D76F2"/>
    <w:rsid w:val="007D7D92"/>
    <w:rsid w:val="007E00ED"/>
    <w:rsid w:val="007E1416"/>
    <w:rsid w:val="007E1955"/>
    <w:rsid w:val="007E1EDA"/>
    <w:rsid w:val="007E2856"/>
    <w:rsid w:val="007E3645"/>
    <w:rsid w:val="007E38A7"/>
    <w:rsid w:val="007E3D03"/>
    <w:rsid w:val="007E58A1"/>
    <w:rsid w:val="007E59AB"/>
    <w:rsid w:val="007E658F"/>
    <w:rsid w:val="007E74AB"/>
    <w:rsid w:val="007E75AC"/>
    <w:rsid w:val="007E7E86"/>
    <w:rsid w:val="007F0E22"/>
    <w:rsid w:val="007F1010"/>
    <w:rsid w:val="007F1BE7"/>
    <w:rsid w:val="007F25AF"/>
    <w:rsid w:val="007F267C"/>
    <w:rsid w:val="007F2A2A"/>
    <w:rsid w:val="007F2B19"/>
    <w:rsid w:val="007F34F8"/>
    <w:rsid w:val="007F42C7"/>
    <w:rsid w:val="007F4EBC"/>
    <w:rsid w:val="007F507F"/>
    <w:rsid w:val="007F5456"/>
    <w:rsid w:val="007F5994"/>
    <w:rsid w:val="007F5A91"/>
    <w:rsid w:val="007F7969"/>
    <w:rsid w:val="007F79B6"/>
    <w:rsid w:val="00800AE7"/>
    <w:rsid w:val="008010B0"/>
    <w:rsid w:val="00801B6D"/>
    <w:rsid w:val="00801F25"/>
    <w:rsid w:val="0080246F"/>
    <w:rsid w:val="00803ECB"/>
    <w:rsid w:val="008045F5"/>
    <w:rsid w:val="00804702"/>
    <w:rsid w:val="008047A1"/>
    <w:rsid w:val="0080500F"/>
    <w:rsid w:val="00805985"/>
    <w:rsid w:val="00805A21"/>
    <w:rsid w:val="00805BB3"/>
    <w:rsid w:val="00806DE7"/>
    <w:rsid w:val="0080738F"/>
    <w:rsid w:val="008076F8"/>
    <w:rsid w:val="00807895"/>
    <w:rsid w:val="00807E3B"/>
    <w:rsid w:val="0081096E"/>
    <w:rsid w:val="00810A42"/>
    <w:rsid w:val="00810AD5"/>
    <w:rsid w:val="008112A9"/>
    <w:rsid w:val="0081171A"/>
    <w:rsid w:val="00811A93"/>
    <w:rsid w:val="00812077"/>
    <w:rsid w:val="008128B8"/>
    <w:rsid w:val="00812D67"/>
    <w:rsid w:val="008132B4"/>
    <w:rsid w:val="00813727"/>
    <w:rsid w:val="00813817"/>
    <w:rsid w:val="00813890"/>
    <w:rsid w:val="00813A7E"/>
    <w:rsid w:val="00813BFC"/>
    <w:rsid w:val="008142CD"/>
    <w:rsid w:val="008147BA"/>
    <w:rsid w:val="00814896"/>
    <w:rsid w:val="00814A1D"/>
    <w:rsid w:val="00815DBB"/>
    <w:rsid w:val="00815DE6"/>
    <w:rsid w:val="008169C5"/>
    <w:rsid w:val="00816EBD"/>
    <w:rsid w:val="008170C1"/>
    <w:rsid w:val="008179FC"/>
    <w:rsid w:val="00820229"/>
    <w:rsid w:val="0082066E"/>
    <w:rsid w:val="008206DE"/>
    <w:rsid w:val="00820A74"/>
    <w:rsid w:val="0082126B"/>
    <w:rsid w:val="0082164C"/>
    <w:rsid w:val="00821867"/>
    <w:rsid w:val="00821DB8"/>
    <w:rsid w:val="008222D2"/>
    <w:rsid w:val="00823888"/>
    <w:rsid w:val="00823BB3"/>
    <w:rsid w:val="008243C9"/>
    <w:rsid w:val="0082444F"/>
    <w:rsid w:val="008246F1"/>
    <w:rsid w:val="00824A22"/>
    <w:rsid w:val="00824B3F"/>
    <w:rsid w:val="00825127"/>
    <w:rsid w:val="00825428"/>
    <w:rsid w:val="00825AC7"/>
    <w:rsid w:val="00826704"/>
    <w:rsid w:val="0082720F"/>
    <w:rsid w:val="0082766C"/>
    <w:rsid w:val="0082784A"/>
    <w:rsid w:val="00827FE4"/>
    <w:rsid w:val="00830643"/>
    <w:rsid w:val="008312C2"/>
    <w:rsid w:val="00831C18"/>
    <w:rsid w:val="008321F3"/>
    <w:rsid w:val="008327B9"/>
    <w:rsid w:val="0083296A"/>
    <w:rsid w:val="00833241"/>
    <w:rsid w:val="008336DE"/>
    <w:rsid w:val="008348C9"/>
    <w:rsid w:val="0083492B"/>
    <w:rsid w:val="00834EE8"/>
    <w:rsid w:val="00836206"/>
    <w:rsid w:val="008377C1"/>
    <w:rsid w:val="008379F0"/>
    <w:rsid w:val="00840194"/>
    <w:rsid w:val="00840667"/>
    <w:rsid w:val="00840CB9"/>
    <w:rsid w:val="00840D56"/>
    <w:rsid w:val="0084119E"/>
    <w:rsid w:val="00841A50"/>
    <w:rsid w:val="0084201C"/>
    <w:rsid w:val="00842796"/>
    <w:rsid w:val="00842ADA"/>
    <w:rsid w:val="00842C50"/>
    <w:rsid w:val="00842DF3"/>
    <w:rsid w:val="00842F20"/>
    <w:rsid w:val="00843077"/>
    <w:rsid w:val="008432C9"/>
    <w:rsid w:val="00843C28"/>
    <w:rsid w:val="00843CBF"/>
    <w:rsid w:val="00844133"/>
    <w:rsid w:val="008442D2"/>
    <w:rsid w:val="0084461B"/>
    <w:rsid w:val="008446B0"/>
    <w:rsid w:val="00844789"/>
    <w:rsid w:val="00844D1D"/>
    <w:rsid w:val="00844F50"/>
    <w:rsid w:val="00845147"/>
    <w:rsid w:val="00845191"/>
    <w:rsid w:val="0084555E"/>
    <w:rsid w:val="00845718"/>
    <w:rsid w:val="00845732"/>
    <w:rsid w:val="00845ACE"/>
    <w:rsid w:val="00845D8F"/>
    <w:rsid w:val="00846946"/>
    <w:rsid w:val="00846D4D"/>
    <w:rsid w:val="00850012"/>
    <w:rsid w:val="00850751"/>
    <w:rsid w:val="00850E9F"/>
    <w:rsid w:val="00851355"/>
    <w:rsid w:val="008516B1"/>
    <w:rsid w:val="00851B97"/>
    <w:rsid w:val="00851F47"/>
    <w:rsid w:val="008523E6"/>
    <w:rsid w:val="00852DF8"/>
    <w:rsid w:val="00852F6C"/>
    <w:rsid w:val="0085361B"/>
    <w:rsid w:val="008536AC"/>
    <w:rsid w:val="0085388C"/>
    <w:rsid w:val="00853913"/>
    <w:rsid w:val="008539D7"/>
    <w:rsid w:val="00853B44"/>
    <w:rsid w:val="00853C3F"/>
    <w:rsid w:val="00853F6B"/>
    <w:rsid w:val="0085683B"/>
    <w:rsid w:val="008569E9"/>
    <w:rsid w:val="00856E21"/>
    <w:rsid w:val="00857AFD"/>
    <w:rsid w:val="00857F01"/>
    <w:rsid w:val="00860263"/>
    <w:rsid w:val="0086028E"/>
    <w:rsid w:val="008609F2"/>
    <w:rsid w:val="008610DC"/>
    <w:rsid w:val="00861528"/>
    <w:rsid w:val="008628CA"/>
    <w:rsid w:val="00862C26"/>
    <w:rsid w:val="008632BF"/>
    <w:rsid w:val="008633F9"/>
    <w:rsid w:val="008659D8"/>
    <w:rsid w:val="00865BEF"/>
    <w:rsid w:val="00866494"/>
    <w:rsid w:val="008668E5"/>
    <w:rsid w:val="00866B9C"/>
    <w:rsid w:val="00866BF2"/>
    <w:rsid w:val="00867A86"/>
    <w:rsid w:val="00867ECF"/>
    <w:rsid w:val="008700C7"/>
    <w:rsid w:val="00870B7D"/>
    <w:rsid w:val="00871CE1"/>
    <w:rsid w:val="008724E5"/>
    <w:rsid w:val="00872952"/>
    <w:rsid w:val="008731B9"/>
    <w:rsid w:val="008731DC"/>
    <w:rsid w:val="0087377B"/>
    <w:rsid w:val="00873CD5"/>
    <w:rsid w:val="008742E6"/>
    <w:rsid w:val="008747C0"/>
    <w:rsid w:val="00874A6E"/>
    <w:rsid w:val="00874D0E"/>
    <w:rsid w:val="0087506C"/>
    <w:rsid w:val="008753E8"/>
    <w:rsid w:val="00876BBD"/>
    <w:rsid w:val="00876DB5"/>
    <w:rsid w:val="0087700A"/>
    <w:rsid w:val="00877920"/>
    <w:rsid w:val="008800B9"/>
    <w:rsid w:val="00880B9C"/>
    <w:rsid w:val="00880D52"/>
    <w:rsid w:val="00881028"/>
    <w:rsid w:val="00881998"/>
    <w:rsid w:val="00881C77"/>
    <w:rsid w:val="00882612"/>
    <w:rsid w:val="00883234"/>
    <w:rsid w:val="008832C0"/>
    <w:rsid w:val="00883559"/>
    <w:rsid w:val="00883EC2"/>
    <w:rsid w:val="008845B2"/>
    <w:rsid w:val="008849E9"/>
    <w:rsid w:val="00884B72"/>
    <w:rsid w:val="00884BB7"/>
    <w:rsid w:val="00884C7B"/>
    <w:rsid w:val="00884C99"/>
    <w:rsid w:val="008851D8"/>
    <w:rsid w:val="00885C0B"/>
    <w:rsid w:val="0088696B"/>
    <w:rsid w:val="00886B30"/>
    <w:rsid w:val="0088782D"/>
    <w:rsid w:val="00887D1E"/>
    <w:rsid w:val="00890BC5"/>
    <w:rsid w:val="008910CA"/>
    <w:rsid w:val="008914DF"/>
    <w:rsid w:val="00891893"/>
    <w:rsid w:val="00891993"/>
    <w:rsid w:val="00891A33"/>
    <w:rsid w:val="00891BBB"/>
    <w:rsid w:val="00892A7B"/>
    <w:rsid w:val="00892A91"/>
    <w:rsid w:val="00892D7F"/>
    <w:rsid w:val="008936D3"/>
    <w:rsid w:val="008937DB"/>
    <w:rsid w:val="00893B36"/>
    <w:rsid w:val="00893D59"/>
    <w:rsid w:val="0089497A"/>
    <w:rsid w:val="00894CBD"/>
    <w:rsid w:val="008953F9"/>
    <w:rsid w:val="008954B9"/>
    <w:rsid w:val="008954FB"/>
    <w:rsid w:val="008958E8"/>
    <w:rsid w:val="008967D8"/>
    <w:rsid w:val="00896889"/>
    <w:rsid w:val="0089698C"/>
    <w:rsid w:val="00897F3D"/>
    <w:rsid w:val="008A0418"/>
    <w:rsid w:val="008A06F3"/>
    <w:rsid w:val="008A3A07"/>
    <w:rsid w:val="008A3A49"/>
    <w:rsid w:val="008A491F"/>
    <w:rsid w:val="008A4946"/>
    <w:rsid w:val="008A4EDF"/>
    <w:rsid w:val="008A50F2"/>
    <w:rsid w:val="008A57B4"/>
    <w:rsid w:val="008A5A95"/>
    <w:rsid w:val="008A5B51"/>
    <w:rsid w:val="008A61B1"/>
    <w:rsid w:val="008A6499"/>
    <w:rsid w:val="008A7844"/>
    <w:rsid w:val="008A7AFB"/>
    <w:rsid w:val="008B0955"/>
    <w:rsid w:val="008B13FC"/>
    <w:rsid w:val="008B191D"/>
    <w:rsid w:val="008B1986"/>
    <w:rsid w:val="008B31A7"/>
    <w:rsid w:val="008B33F4"/>
    <w:rsid w:val="008B351E"/>
    <w:rsid w:val="008B373C"/>
    <w:rsid w:val="008B4144"/>
    <w:rsid w:val="008B423A"/>
    <w:rsid w:val="008B4829"/>
    <w:rsid w:val="008B4C4F"/>
    <w:rsid w:val="008B4C9D"/>
    <w:rsid w:val="008B4DEE"/>
    <w:rsid w:val="008B5B82"/>
    <w:rsid w:val="008B6661"/>
    <w:rsid w:val="008B67A4"/>
    <w:rsid w:val="008B728D"/>
    <w:rsid w:val="008B75A6"/>
    <w:rsid w:val="008B7615"/>
    <w:rsid w:val="008B7729"/>
    <w:rsid w:val="008B7753"/>
    <w:rsid w:val="008B7913"/>
    <w:rsid w:val="008B79D5"/>
    <w:rsid w:val="008C000B"/>
    <w:rsid w:val="008C07FC"/>
    <w:rsid w:val="008C11F9"/>
    <w:rsid w:val="008C284D"/>
    <w:rsid w:val="008C2AF9"/>
    <w:rsid w:val="008C3416"/>
    <w:rsid w:val="008C356F"/>
    <w:rsid w:val="008C3659"/>
    <w:rsid w:val="008C4192"/>
    <w:rsid w:val="008C5771"/>
    <w:rsid w:val="008C6BED"/>
    <w:rsid w:val="008C73D5"/>
    <w:rsid w:val="008C7505"/>
    <w:rsid w:val="008D00F4"/>
    <w:rsid w:val="008D12BC"/>
    <w:rsid w:val="008D1E73"/>
    <w:rsid w:val="008D1F19"/>
    <w:rsid w:val="008D2614"/>
    <w:rsid w:val="008D2695"/>
    <w:rsid w:val="008D2BE8"/>
    <w:rsid w:val="008D2E17"/>
    <w:rsid w:val="008D3474"/>
    <w:rsid w:val="008D364E"/>
    <w:rsid w:val="008D367E"/>
    <w:rsid w:val="008D37F8"/>
    <w:rsid w:val="008D3B32"/>
    <w:rsid w:val="008D3ECC"/>
    <w:rsid w:val="008D4601"/>
    <w:rsid w:val="008D4622"/>
    <w:rsid w:val="008D480D"/>
    <w:rsid w:val="008D48FC"/>
    <w:rsid w:val="008D4F60"/>
    <w:rsid w:val="008D5F9A"/>
    <w:rsid w:val="008D6399"/>
    <w:rsid w:val="008D70DC"/>
    <w:rsid w:val="008D7C5F"/>
    <w:rsid w:val="008D7C80"/>
    <w:rsid w:val="008E05B6"/>
    <w:rsid w:val="008E05EE"/>
    <w:rsid w:val="008E0DB1"/>
    <w:rsid w:val="008E2B0D"/>
    <w:rsid w:val="008E316D"/>
    <w:rsid w:val="008E3692"/>
    <w:rsid w:val="008E3D00"/>
    <w:rsid w:val="008E4060"/>
    <w:rsid w:val="008E482B"/>
    <w:rsid w:val="008E4F83"/>
    <w:rsid w:val="008E55F6"/>
    <w:rsid w:val="008E5A75"/>
    <w:rsid w:val="008E60A6"/>
    <w:rsid w:val="008E7648"/>
    <w:rsid w:val="008E7FEF"/>
    <w:rsid w:val="008F0250"/>
    <w:rsid w:val="008F02BA"/>
    <w:rsid w:val="008F0BB7"/>
    <w:rsid w:val="008F0D7F"/>
    <w:rsid w:val="008F15DB"/>
    <w:rsid w:val="008F193F"/>
    <w:rsid w:val="008F1CBD"/>
    <w:rsid w:val="008F275F"/>
    <w:rsid w:val="008F2E58"/>
    <w:rsid w:val="008F303C"/>
    <w:rsid w:val="008F3DCB"/>
    <w:rsid w:val="008F3F25"/>
    <w:rsid w:val="008F4EF1"/>
    <w:rsid w:val="008F5D89"/>
    <w:rsid w:val="008F68AB"/>
    <w:rsid w:val="008F7B67"/>
    <w:rsid w:val="0090091F"/>
    <w:rsid w:val="009016E8"/>
    <w:rsid w:val="00902147"/>
    <w:rsid w:val="00902B5D"/>
    <w:rsid w:val="00902DBA"/>
    <w:rsid w:val="0090345F"/>
    <w:rsid w:val="0090369F"/>
    <w:rsid w:val="00903BBA"/>
    <w:rsid w:val="009046B0"/>
    <w:rsid w:val="00904C2C"/>
    <w:rsid w:val="00904E99"/>
    <w:rsid w:val="00904EFB"/>
    <w:rsid w:val="009053FB"/>
    <w:rsid w:val="009058A9"/>
    <w:rsid w:val="009064A7"/>
    <w:rsid w:val="00906502"/>
    <w:rsid w:val="00906A93"/>
    <w:rsid w:val="00906B3A"/>
    <w:rsid w:val="00906CDB"/>
    <w:rsid w:val="009077B7"/>
    <w:rsid w:val="00907BBC"/>
    <w:rsid w:val="0091013B"/>
    <w:rsid w:val="009105FE"/>
    <w:rsid w:val="009106D2"/>
    <w:rsid w:val="00910BA3"/>
    <w:rsid w:val="00910EF4"/>
    <w:rsid w:val="00911B87"/>
    <w:rsid w:val="00911D26"/>
    <w:rsid w:val="00911D9D"/>
    <w:rsid w:val="009123AE"/>
    <w:rsid w:val="0091258A"/>
    <w:rsid w:val="00912AA9"/>
    <w:rsid w:val="009137B6"/>
    <w:rsid w:val="009138DA"/>
    <w:rsid w:val="009139EB"/>
    <w:rsid w:val="00913FE3"/>
    <w:rsid w:val="00914A34"/>
    <w:rsid w:val="00914A7D"/>
    <w:rsid w:val="009154F9"/>
    <w:rsid w:val="00915AFF"/>
    <w:rsid w:val="00916100"/>
    <w:rsid w:val="009206E4"/>
    <w:rsid w:val="009207D9"/>
    <w:rsid w:val="00920802"/>
    <w:rsid w:val="00920C93"/>
    <w:rsid w:val="009210A2"/>
    <w:rsid w:val="009210E3"/>
    <w:rsid w:val="00921A1A"/>
    <w:rsid w:val="0092213D"/>
    <w:rsid w:val="009222C9"/>
    <w:rsid w:val="00922849"/>
    <w:rsid w:val="00923649"/>
    <w:rsid w:val="00923A20"/>
    <w:rsid w:val="00923D1F"/>
    <w:rsid w:val="00924591"/>
    <w:rsid w:val="00924B1A"/>
    <w:rsid w:val="00925180"/>
    <w:rsid w:val="009258BB"/>
    <w:rsid w:val="0092605F"/>
    <w:rsid w:val="00926A32"/>
    <w:rsid w:val="00926BCE"/>
    <w:rsid w:val="00926E7A"/>
    <w:rsid w:val="0092708A"/>
    <w:rsid w:val="009278BB"/>
    <w:rsid w:val="0092794E"/>
    <w:rsid w:val="00927EB1"/>
    <w:rsid w:val="00930BAD"/>
    <w:rsid w:val="00930CC6"/>
    <w:rsid w:val="00932C09"/>
    <w:rsid w:val="00932F74"/>
    <w:rsid w:val="00933225"/>
    <w:rsid w:val="00933566"/>
    <w:rsid w:val="009344BA"/>
    <w:rsid w:val="00935DFF"/>
    <w:rsid w:val="0093697F"/>
    <w:rsid w:val="00936D20"/>
    <w:rsid w:val="00937577"/>
    <w:rsid w:val="009376E8"/>
    <w:rsid w:val="00940E1B"/>
    <w:rsid w:val="00941D2A"/>
    <w:rsid w:val="009428F9"/>
    <w:rsid w:val="009431D2"/>
    <w:rsid w:val="0094338A"/>
    <w:rsid w:val="009435E7"/>
    <w:rsid w:val="009441A2"/>
    <w:rsid w:val="00944BB6"/>
    <w:rsid w:val="00944BD9"/>
    <w:rsid w:val="00944E44"/>
    <w:rsid w:val="00944F47"/>
    <w:rsid w:val="0094512B"/>
    <w:rsid w:val="009457A2"/>
    <w:rsid w:val="0094650D"/>
    <w:rsid w:val="009467C1"/>
    <w:rsid w:val="009467C4"/>
    <w:rsid w:val="00946D44"/>
    <w:rsid w:val="00946E6A"/>
    <w:rsid w:val="00947639"/>
    <w:rsid w:val="00947B5D"/>
    <w:rsid w:val="00947FCB"/>
    <w:rsid w:val="00950459"/>
    <w:rsid w:val="009504B9"/>
    <w:rsid w:val="009507E9"/>
    <w:rsid w:val="00950F3B"/>
    <w:rsid w:val="00951100"/>
    <w:rsid w:val="00951330"/>
    <w:rsid w:val="00951844"/>
    <w:rsid w:val="00951A6D"/>
    <w:rsid w:val="00951BDA"/>
    <w:rsid w:val="0095459F"/>
    <w:rsid w:val="00954A2E"/>
    <w:rsid w:val="00955B3F"/>
    <w:rsid w:val="00955EB1"/>
    <w:rsid w:val="00955F3A"/>
    <w:rsid w:val="009562C7"/>
    <w:rsid w:val="009563DF"/>
    <w:rsid w:val="00956428"/>
    <w:rsid w:val="0095647D"/>
    <w:rsid w:val="0095678A"/>
    <w:rsid w:val="00956F5F"/>
    <w:rsid w:val="00957048"/>
    <w:rsid w:val="009570C8"/>
    <w:rsid w:val="0095776E"/>
    <w:rsid w:val="00960EBB"/>
    <w:rsid w:val="00961A2B"/>
    <w:rsid w:val="00961B0F"/>
    <w:rsid w:val="00961E8E"/>
    <w:rsid w:val="00962963"/>
    <w:rsid w:val="00962B6C"/>
    <w:rsid w:val="0096370A"/>
    <w:rsid w:val="00964B94"/>
    <w:rsid w:val="009656CC"/>
    <w:rsid w:val="00965D99"/>
    <w:rsid w:val="00966089"/>
    <w:rsid w:val="00967015"/>
    <w:rsid w:val="00967279"/>
    <w:rsid w:val="0096733E"/>
    <w:rsid w:val="00967A84"/>
    <w:rsid w:val="00967BA8"/>
    <w:rsid w:val="0097026B"/>
    <w:rsid w:val="009703C5"/>
    <w:rsid w:val="00970659"/>
    <w:rsid w:val="009707BD"/>
    <w:rsid w:val="00970988"/>
    <w:rsid w:val="009710DF"/>
    <w:rsid w:val="009715F5"/>
    <w:rsid w:val="009716BF"/>
    <w:rsid w:val="00971B62"/>
    <w:rsid w:val="009721DD"/>
    <w:rsid w:val="00972A54"/>
    <w:rsid w:val="00973010"/>
    <w:rsid w:val="0097328D"/>
    <w:rsid w:val="009734D0"/>
    <w:rsid w:val="00973E9C"/>
    <w:rsid w:val="00974117"/>
    <w:rsid w:val="00974542"/>
    <w:rsid w:val="00975644"/>
    <w:rsid w:val="009756E4"/>
    <w:rsid w:val="009760D6"/>
    <w:rsid w:val="00976453"/>
    <w:rsid w:val="0097695A"/>
    <w:rsid w:val="00976F42"/>
    <w:rsid w:val="009772EC"/>
    <w:rsid w:val="0098089B"/>
    <w:rsid w:val="00981269"/>
    <w:rsid w:val="009814CC"/>
    <w:rsid w:val="00981694"/>
    <w:rsid w:val="00982120"/>
    <w:rsid w:val="009822B6"/>
    <w:rsid w:val="009826C4"/>
    <w:rsid w:val="00982A73"/>
    <w:rsid w:val="00982D1F"/>
    <w:rsid w:val="00982D2F"/>
    <w:rsid w:val="009830EF"/>
    <w:rsid w:val="00983773"/>
    <w:rsid w:val="00983E4D"/>
    <w:rsid w:val="00984324"/>
    <w:rsid w:val="009843BF"/>
    <w:rsid w:val="0098484E"/>
    <w:rsid w:val="009853B5"/>
    <w:rsid w:val="009853C2"/>
    <w:rsid w:val="0098555B"/>
    <w:rsid w:val="00985B7B"/>
    <w:rsid w:val="00985DE4"/>
    <w:rsid w:val="0098615D"/>
    <w:rsid w:val="00986350"/>
    <w:rsid w:val="009868D5"/>
    <w:rsid w:val="00986923"/>
    <w:rsid w:val="00986A72"/>
    <w:rsid w:val="00986E6C"/>
    <w:rsid w:val="00987222"/>
    <w:rsid w:val="009872A4"/>
    <w:rsid w:val="00987789"/>
    <w:rsid w:val="00987B4B"/>
    <w:rsid w:val="00987FAB"/>
    <w:rsid w:val="009906DB"/>
    <w:rsid w:val="0099071B"/>
    <w:rsid w:val="0099080E"/>
    <w:rsid w:val="00990E25"/>
    <w:rsid w:val="00991FF3"/>
    <w:rsid w:val="009920B1"/>
    <w:rsid w:val="0099292B"/>
    <w:rsid w:val="0099327C"/>
    <w:rsid w:val="0099375A"/>
    <w:rsid w:val="00993940"/>
    <w:rsid w:val="00993BB1"/>
    <w:rsid w:val="00994A29"/>
    <w:rsid w:val="00994E27"/>
    <w:rsid w:val="00995380"/>
    <w:rsid w:val="009954A1"/>
    <w:rsid w:val="009954AF"/>
    <w:rsid w:val="00996612"/>
    <w:rsid w:val="00996F1B"/>
    <w:rsid w:val="009970BE"/>
    <w:rsid w:val="00997F68"/>
    <w:rsid w:val="009A001F"/>
    <w:rsid w:val="009A019D"/>
    <w:rsid w:val="009A06B8"/>
    <w:rsid w:val="009A07D4"/>
    <w:rsid w:val="009A13F0"/>
    <w:rsid w:val="009A17EF"/>
    <w:rsid w:val="009A2214"/>
    <w:rsid w:val="009A284E"/>
    <w:rsid w:val="009A3444"/>
    <w:rsid w:val="009A3528"/>
    <w:rsid w:val="009A4F65"/>
    <w:rsid w:val="009A5347"/>
    <w:rsid w:val="009A59A9"/>
    <w:rsid w:val="009A632D"/>
    <w:rsid w:val="009A6724"/>
    <w:rsid w:val="009A6914"/>
    <w:rsid w:val="009A7B55"/>
    <w:rsid w:val="009B0F4B"/>
    <w:rsid w:val="009B1C8E"/>
    <w:rsid w:val="009B1DE0"/>
    <w:rsid w:val="009B24EB"/>
    <w:rsid w:val="009B2C09"/>
    <w:rsid w:val="009B3268"/>
    <w:rsid w:val="009B3BF7"/>
    <w:rsid w:val="009B6C58"/>
    <w:rsid w:val="009B6E8F"/>
    <w:rsid w:val="009B77BD"/>
    <w:rsid w:val="009B7820"/>
    <w:rsid w:val="009B794A"/>
    <w:rsid w:val="009B79BF"/>
    <w:rsid w:val="009B7C48"/>
    <w:rsid w:val="009C00FA"/>
    <w:rsid w:val="009C01A2"/>
    <w:rsid w:val="009C09C0"/>
    <w:rsid w:val="009C0EDA"/>
    <w:rsid w:val="009C1008"/>
    <w:rsid w:val="009C1707"/>
    <w:rsid w:val="009C1D20"/>
    <w:rsid w:val="009C23FD"/>
    <w:rsid w:val="009C3809"/>
    <w:rsid w:val="009C38C5"/>
    <w:rsid w:val="009C4495"/>
    <w:rsid w:val="009C4F89"/>
    <w:rsid w:val="009C5172"/>
    <w:rsid w:val="009C57F5"/>
    <w:rsid w:val="009C5922"/>
    <w:rsid w:val="009C5977"/>
    <w:rsid w:val="009C633E"/>
    <w:rsid w:val="009C64E8"/>
    <w:rsid w:val="009C673C"/>
    <w:rsid w:val="009C7151"/>
    <w:rsid w:val="009C7189"/>
    <w:rsid w:val="009C7D15"/>
    <w:rsid w:val="009D04F0"/>
    <w:rsid w:val="009D0A61"/>
    <w:rsid w:val="009D1343"/>
    <w:rsid w:val="009D17AB"/>
    <w:rsid w:val="009D1CDD"/>
    <w:rsid w:val="009D1FA6"/>
    <w:rsid w:val="009D202C"/>
    <w:rsid w:val="009D2407"/>
    <w:rsid w:val="009D28CE"/>
    <w:rsid w:val="009D2A1D"/>
    <w:rsid w:val="009D3126"/>
    <w:rsid w:val="009D3EB0"/>
    <w:rsid w:val="009D444D"/>
    <w:rsid w:val="009D46A6"/>
    <w:rsid w:val="009D4977"/>
    <w:rsid w:val="009D4A71"/>
    <w:rsid w:val="009D5CDE"/>
    <w:rsid w:val="009D5D3F"/>
    <w:rsid w:val="009D6410"/>
    <w:rsid w:val="009D6A86"/>
    <w:rsid w:val="009D6EC0"/>
    <w:rsid w:val="009D72CA"/>
    <w:rsid w:val="009D74D9"/>
    <w:rsid w:val="009D7A0F"/>
    <w:rsid w:val="009D7EB6"/>
    <w:rsid w:val="009E0044"/>
    <w:rsid w:val="009E016C"/>
    <w:rsid w:val="009E1187"/>
    <w:rsid w:val="009E1372"/>
    <w:rsid w:val="009E18C4"/>
    <w:rsid w:val="009E1F7F"/>
    <w:rsid w:val="009E2656"/>
    <w:rsid w:val="009E31C9"/>
    <w:rsid w:val="009E4356"/>
    <w:rsid w:val="009E53EC"/>
    <w:rsid w:val="009E58F4"/>
    <w:rsid w:val="009E638F"/>
    <w:rsid w:val="009E6B44"/>
    <w:rsid w:val="009E6F8B"/>
    <w:rsid w:val="009E74A4"/>
    <w:rsid w:val="009E7588"/>
    <w:rsid w:val="009F1E8C"/>
    <w:rsid w:val="009F242F"/>
    <w:rsid w:val="009F27EC"/>
    <w:rsid w:val="009F2A5F"/>
    <w:rsid w:val="009F2C02"/>
    <w:rsid w:val="009F2E78"/>
    <w:rsid w:val="009F2F05"/>
    <w:rsid w:val="009F486E"/>
    <w:rsid w:val="009F4890"/>
    <w:rsid w:val="009F4F6F"/>
    <w:rsid w:val="009F5A7E"/>
    <w:rsid w:val="009F64D2"/>
    <w:rsid w:val="009F656C"/>
    <w:rsid w:val="009F69A7"/>
    <w:rsid w:val="009F6A61"/>
    <w:rsid w:val="009F6CF9"/>
    <w:rsid w:val="009F7E1B"/>
    <w:rsid w:val="00A00078"/>
    <w:rsid w:val="00A00108"/>
    <w:rsid w:val="00A0084A"/>
    <w:rsid w:val="00A00AAE"/>
    <w:rsid w:val="00A00EC5"/>
    <w:rsid w:val="00A0133C"/>
    <w:rsid w:val="00A01CDA"/>
    <w:rsid w:val="00A02AF3"/>
    <w:rsid w:val="00A02EC0"/>
    <w:rsid w:val="00A03FD3"/>
    <w:rsid w:val="00A0400E"/>
    <w:rsid w:val="00A04415"/>
    <w:rsid w:val="00A0459F"/>
    <w:rsid w:val="00A047AE"/>
    <w:rsid w:val="00A047C1"/>
    <w:rsid w:val="00A04C9F"/>
    <w:rsid w:val="00A05248"/>
    <w:rsid w:val="00A0527F"/>
    <w:rsid w:val="00A057E7"/>
    <w:rsid w:val="00A05A50"/>
    <w:rsid w:val="00A06046"/>
    <w:rsid w:val="00A06047"/>
    <w:rsid w:val="00A06EE2"/>
    <w:rsid w:val="00A07143"/>
    <w:rsid w:val="00A07276"/>
    <w:rsid w:val="00A07CB3"/>
    <w:rsid w:val="00A10492"/>
    <w:rsid w:val="00A108EE"/>
    <w:rsid w:val="00A1098C"/>
    <w:rsid w:val="00A10F42"/>
    <w:rsid w:val="00A11267"/>
    <w:rsid w:val="00A114A4"/>
    <w:rsid w:val="00A11936"/>
    <w:rsid w:val="00A11C7E"/>
    <w:rsid w:val="00A12065"/>
    <w:rsid w:val="00A12337"/>
    <w:rsid w:val="00A12F16"/>
    <w:rsid w:val="00A13032"/>
    <w:rsid w:val="00A131C4"/>
    <w:rsid w:val="00A1392D"/>
    <w:rsid w:val="00A13DE8"/>
    <w:rsid w:val="00A1476B"/>
    <w:rsid w:val="00A14E07"/>
    <w:rsid w:val="00A15076"/>
    <w:rsid w:val="00A152B3"/>
    <w:rsid w:val="00A154B0"/>
    <w:rsid w:val="00A155DE"/>
    <w:rsid w:val="00A1563E"/>
    <w:rsid w:val="00A158F3"/>
    <w:rsid w:val="00A15913"/>
    <w:rsid w:val="00A167B7"/>
    <w:rsid w:val="00A16ACA"/>
    <w:rsid w:val="00A174CA"/>
    <w:rsid w:val="00A175D8"/>
    <w:rsid w:val="00A17B81"/>
    <w:rsid w:val="00A200A2"/>
    <w:rsid w:val="00A208EF"/>
    <w:rsid w:val="00A20C21"/>
    <w:rsid w:val="00A20CC2"/>
    <w:rsid w:val="00A212A8"/>
    <w:rsid w:val="00A21A28"/>
    <w:rsid w:val="00A2200B"/>
    <w:rsid w:val="00A22110"/>
    <w:rsid w:val="00A2268B"/>
    <w:rsid w:val="00A22B28"/>
    <w:rsid w:val="00A25886"/>
    <w:rsid w:val="00A26A00"/>
    <w:rsid w:val="00A26FD2"/>
    <w:rsid w:val="00A273FD"/>
    <w:rsid w:val="00A30490"/>
    <w:rsid w:val="00A30C08"/>
    <w:rsid w:val="00A3121B"/>
    <w:rsid w:val="00A31317"/>
    <w:rsid w:val="00A31781"/>
    <w:rsid w:val="00A31827"/>
    <w:rsid w:val="00A33B98"/>
    <w:rsid w:val="00A33CFA"/>
    <w:rsid w:val="00A34474"/>
    <w:rsid w:val="00A3545F"/>
    <w:rsid w:val="00A35B6A"/>
    <w:rsid w:val="00A35DD2"/>
    <w:rsid w:val="00A360B6"/>
    <w:rsid w:val="00A36995"/>
    <w:rsid w:val="00A37012"/>
    <w:rsid w:val="00A3709E"/>
    <w:rsid w:val="00A376FE"/>
    <w:rsid w:val="00A37881"/>
    <w:rsid w:val="00A37B52"/>
    <w:rsid w:val="00A40F16"/>
    <w:rsid w:val="00A41120"/>
    <w:rsid w:val="00A41739"/>
    <w:rsid w:val="00A41B6E"/>
    <w:rsid w:val="00A41C4D"/>
    <w:rsid w:val="00A4225B"/>
    <w:rsid w:val="00A42806"/>
    <w:rsid w:val="00A42851"/>
    <w:rsid w:val="00A42FCA"/>
    <w:rsid w:val="00A4357C"/>
    <w:rsid w:val="00A4415E"/>
    <w:rsid w:val="00A44EF6"/>
    <w:rsid w:val="00A44FEE"/>
    <w:rsid w:val="00A45126"/>
    <w:rsid w:val="00A457DB"/>
    <w:rsid w:val="00A4627E"/>
    <w:rsid w:val="00A469CA"/>
    <w:rsid w:val="00A46D3A"/>
    <w:rsid w:val="00A47315"/>
    <w:rsid w:val="00A47D7B"/>
    <w:rsid w:val="00A50B5D"/>
    <w:rsid w:val="00A50C11"/>
    <w:rsid w:val="00A5106B"/>
    <w:rsid w:val="00A511FD"/>
    <w:rsid w:val="00A51750"/>
    <w:rsid w:val="00A527D7"/>
    <w:rsid w:val="00A52B3A"/>
    <w:rsid w:val="00A53675"/>
    <w:rsid w:val="00A54C3B"/>
    <w:rsid w:val="00A54F1A"/>
    <w:rsid w:val="00A550F7"/>
    <w:rsid w:val="00A561D8"/>
    <w:rsid w:val="00A573B5"/>
    <w:rsid w:val="00A57498"/>
    <w:rsid w:val="00A57753"/>
    <w:rsid w:val="00A5791B"/>
    <w:rsid w:val="00A57D3A"/>
    <w:rsid w:val="00A60A9B"/>
    <w:rsid w:val="00A61743"/>
    <w:rsid w:val="00A626CA"/>
    <w:rsid w:val="00A6277F"/>
    <w:rsid w:val="00A62B18"/>
    <w:rsid w:val="00A62FC9"/>
    <w:rsid w:val="00A64CC7"/>
    <w:rsid w:val="00A64EEB"/>
    <w:rsid w:val="00A651FE"/>
    <w:rsid w:val="00A653D6"/>
    <w:rsid w:val="00A65952"/>
    <w:rsid w:val="00A65F09"/>
    <w:rsid w:val="00A663A7"/>
    <w:rsid w:val="00A6646C"/>
    <w:rsid w:val="00A66501"/>
    <w:rsid w:val="00A66BE1"/>
    <w:rsid w:val="00A6788A"/>
    <w:rsid w:val="00A70462"/>
    <w:rsid w:val="00A70882"/>
    <w:rsid w:val="00A709DB"/>
    <w:rsid w:val="00A71A5F"/>
    <w:rsid w:val="00A720F8"/>
    <w:rsid w:val="00A7299F"/>
    <w:rsid w:val="00A72C37"/>
    <w:rsid w:val="00A72D5A"/>
    <w:rsid w:val="00A73859"/>
    <w:rsid w:val="00A73FA3"/>
    <w:rsid w:val="00A73FA9"/>
    <w:rsid w:val="00A748F1"/>
    <w:rsid w:val="00A74975"/>
    <w:rsid w:val="00A749E2"/>
    <w:rsid w:val="00A74A15"/>
    <w:rsid w:val="00A75144"/>
    <w:rsid w:val="00A7526F"/>
    <w:rsid w:val="00A752C8"/>
    <w:rsid w:val="00A762FE"/>
    <w:rsid w:val="00A768D5"/>
    <w:rsid w:val="00A76F8B"/>
    <w:rsid w:val="00A77084"/>
    <w:rsid w:val="00A7798F"/>
    <w:rsid w:val="00A80A08"/>
    <w:rsid w:val="00A81557"/>
    <w:rsid w:val="00A81775"/>
    <w:rsid w:val="00A81A7A"/>
    <w:rsid w:val="00A81F98"/>
    <w:rsid w:val="00A83576"/>
    <w:rsid w:val="00A83FB2"/>
    <w:rsid w:val="00A8429B"/>
    <w:rsid w:val="00A84571"/>
    <w:rsid w:val="00A84710"/>
    <w:rsid w:val="00A8492B"/>
    <w:rsid w:val="00A8564B"/>
    <w:rsid w:val="00A85D5A"/>
    <w:rsid w:val="00A85F42"/>
    <w:rsid w:val="00A86403"/>
    <w:rsid w:val="00A90D56"/>
    <w:rsid w:val="00A9144F"/>
    <w:rsid w:val="00A91E2E"/>
    <w:rsid w:val="00A92D74"/>
    <w:rsid w:val="00A92F0B"/>
    <w:rsid w:val="00A92F43"/>
    <w:rsid w:val="00A93580"/>
    <w:rsid w:val="00A93A7A"/>
    <w:rsid w:val="00A94422"/>
    <w:rsid w:val="00A961DF"/>
    <w:rsid w:val="00A9653D"/>
    <w:rsid w:val="00A96F12"/>
    <w:rsid w:val="00A96F7D"/>
    <w:rsid w:val="00A97DC5"/>
    <w:rsid w:val="00AA0479"/>
    <w:rsid w:val="00AA1292"/>
    <w:rsid w:val="00AA1363"/>
    <w:rsid w:val="00AA2020"/>
    <w:rsid w:val="00AA2156"/>
    <w:rsid w:val="00AA24C5"/>
    <w:rsid w:val="00AA2A1F"/>
    <w:rsid w:val="00AA2DEF"/>
    <w:rsid w:val="00AA317A"/>
    <w:rsid w:val="00AA4543"/>
    <w:rsid w:val="00AA4D6C"/>
    <w:rsid w:val="00AA4F3F"/>
    <w:rsid w:val="00AA5130"/>
    <w:rsid w:val="00AA5909"/>
    <w:rsid w:val="00AA6007"/>
    <w:rsid w:val="00AA6056"/>
    <w:rsid w:val="00AA6291"/>
    <w:rsid w:val="00AA6629"/>
    <w:rsid w:val="00AA66D2"/>
    <w:rsid w:val="00AA7A4C"/>
    <w:rsid w:val="00AB054F"/>
    <w:rsid w:val="00AB0ADF"/>
    <w:rsid w:val="00AB2DCD"/>
    <w:rsid w:val="00AB3E02"/>
    <w:rsid w:val="00AB4381"/>
    <w:rsid w:val="00AB474B"/>
    <w:rsid w:val="00AB4849"/>
    <w:rsid w:val="00AB53F4"/>
    <w:rsid w:val="00AB5548"/>
    <w:rsid w:val="00AB60E9"/>
    <w:rsid w:val="00AB6522"/>
    <w:rsid w:val="00AB660F"/>
    <w:rsid w:val="00AB71F6"/>
    <w:rsid w:val="00AB742B"/>
    <w:rsid w:val="00AB77B6"/>
    <w:rsid w:val="00AB7BD3"/>
    <w:rsid w:val="00AC0044"/>
    <w:rsid w:val="00AC052B"/>
    <w:rsid w:val="00AC0920"/>
    <w:rsid w:val="00AC0F3D"/>
    <w:rsid w:val="00AC1BF9"/>
    <w:rsid w:val="00AC365B"/>
    <w:rsid w:val="00AC36E6"/>
    <w:rsid w:val="00AC3911"/>
    <w:rsid w:val="00AC3A42"/>
    <w:rsid w:val="00AC407F"/>
    <w:rsid w:val="00AC5442"/>
    <w:rsid w:val="00AC6299"/>
    <w:rsid w:val="00AC75C0"/>
    <w:rsid w:val="00AC7C5D"/>
    <w:rsid w:val="00AC7C95"/>
    <w:rsid w:val="00AD1863"/>
    <w:rsid w:val="00AD21BA"/>
    <w:rsid w:val="00AD2229"/>
    <w:rsid w:val="00AD34EA"/>
    <w:rsid w:val="00AD38E3"/>
    <w:rsid w:val="00AD3993"/>
    <w:rsid w:val="00AD40A7"/>
    <w:rsid w:val="00AD4888"/>
    <w:rsid w:val="00AD5159"/>
    <w:rsid w:val="00AD6749"/>
    <w:rsid w:val="00AD6EFE"/>
    <w:rsid w:val="00AD75EF"/>
    <w:rsid w:val="00AD7918"/>
    <w:rsid w:val="00AE0C95"/>
    <w:rsid w:val="00AE0D7D"/>
    <w:rsid w:val="00AE0EDB"/>
    <w:rsid w:val="00AE10BA"/>
    <w:rsid w:val="00AE123C"/>
    <w:rsid w:val="00AE180C"/>
    <w:rsid w:val="00AE1E2B"/>
    <w:rsid w:val="00AE2379"/>
    <w:rsid w:val="00AE3220"/>
    <w:rsid w:val="00AE33EE"/>
    <w:rsid w:val="00AE39A5"/>
    <w:rsid w:val="00AE3F89"/>
    <w:rsid w:val="00AE41CA"/>
    <w:rsid w:val="00AE450A"/>
    <w:rsid w:val="00AE4AAA"/>
    <w:rsid w:val="00AE538A"/>
    <w:rsid w:val="00AE554A"/>
    <w:rsid w:val="00AE56BD"/>
    <w:rsid w:val="00AE5932"/>
    <w:rsid w:val="00AE62F6"/>
    <w:rsid w:val="00AE6496"/>
    <w:rsid w:val="00AE69CA"/>
    <w:rsid w:val="00AE7257"/>
    <w:rsid w:val="00AE7D2C"/>
    <w:rsid w:val="00AE7F23"/>
    <w:rsid w:val="00AF112D"/>
    <w:rsid w:val="00AF2A00"/>
    <w:rsid w:val="00AF32BA"/>
    <w:rsid w:val="00AF3CCF"/>
    <w:rsid w:val="00AF4349"/>
    <w:rsid w:val="00AF5722"/>
    <w:rsid w:val="00AF6128"/>
    <w:rsid w:val="00AF6192"/>
    <w:rsid w:val="00AF6222"/>
    <w:rsid w:val="00AF701D"/>
    <w:rsid w:val="00AF77DD"/>
    <w:rsid w:val="00B006AC"/>
    <w:rsid w:val="00B0070B"/>
    <w:rsid w:val="00B0121A"/>
    <w:rsid w:val="00B01C45"/>
    <w:rsid w:val="00B02251"/>
    <w:rsid w:val="00B02B79"/>
    <w:rsid w:val="00B032D3"/>
    <w:rsid w:val="00B03667"/>
    <w:rsid w:val="00B0409D"/>
    <w:rsid w:val="00B041A8"/>
    <w:rsid w:val="00B045ED"/>
    <w:rsid w:val="00B0476C"/>
    <w:rsid w:val="00B04EB4"/>
    <w:rsid w:val="00B0549F"/>
    <w:rsid w:val="00B05644"/>
    <w:rsid w:val="00B05A9F"/>
    <w:rsid w:val="00B05ADB"/>
    <w:rsid w:val="00B05ADE"/>
    <w:rsid w:val="00B05B1F"/>
    <w:rsid w:val="00B05FAC"/>
    <w:rsid w:val="00B0653B"/>
    <w:rsid w:val="00B0731E"/>
    <w:rsid w:val="00B07B57"/>
    <w:rsid w:val="00B07C1C"/>
    <w:rsid w:val="00B10181"/>
    <w:rsid w:val="00B10718"/>
    <w:rsid w:val="00B107D5"/>
    <w:rsid w:val="00B10B1B"/>
    <w:rsid w:val="00B11186"/>
    <w:rsid w:val="00B113A9"/>
    <w:rsid w:val="00B11924"/>
    <w:rsid w:val="00B11992"/>
    <w:rsid w:val="00B11B96"/>
    <w:rsid w:val="00B12C57"/>
    <w:rsid w:val="00B1391E"/>
    <w:rsid w:val="00B13A5C"/>
    <w:rsid w:val="00B13EE8"/>
    <w:rsid w:val="00B13F09"/>
    <w:rsid w:val="00B14634"/>
    <w:rsid w:val="00B151BE"/>
    <w:rsid w:val="00B15F0E"/>
    <w:rsid w:val="00B20384"/>
    <w:rsid w:val="00B20798"/>
    <w:rsid w:val="00B208DB"/>
    <w:rsid w:val="00B20C1D"/>
    <w:rsid w:val="00B20C6F"/>
    <w:rsid w:val="00B2142D"/>
    <w:rsid w:val="00B215D1"/>
    <w:rsid w:val="00B222FB"/>
    <w:rsid w:val="00B22622"/>
    <w:rsid w:val="00B23913"/>
    <w:rsid w:val="00B23933"/>
    <w:rsid w:val="00B239AF"/>
    <w:rsid w:val="00B24434"/>
    <w:rsid w:val="00B24E75"/>
    <w:rsid w:val="00B25292"/>
    <w:rsid w:val="00B253CD"/>
    <w:rsid w:val="00B25723"/>
    <w:rsid w:val="00B25887"/>
    <w:rsid w:val="00B26C47"/>
    <w:rsid w:val="00B27494"/>
    <w:rsid w:val="00B30CF7"/>
    <w:rsid w:val="00B30D58"/>
    <w:rsid w:val="00B31FA2"/>
    <w:rsid w:val="00B320B9"/>
    <w:rsid w:val="00B3220D"/>
    <w:rsid w:val="00B322B0"/>
    <w:rsid w:val="00B32BCF"/>
    <w:rsid w:val="00B32C9F"/>
    <w:rsid w:val="00B33638"/>
    <w:rsid w:val="00B3402C"/>
    <w:rsid w:val="00B35CAF"/>
    <w:rsid w:val="00B360C8"/>
    <w:rsid w:val="00B3617D"/>
    <w:rsid w:val="00B362E7"/>
    <w:rsid w:val="00B3637B"/>
    <w:rsid w:val="00B3640B"/>
    <w:rsid w:val="00B36AEF"/>
    <w:rsid w:val="00B36C29"/>
    <w:rsid w:val="00B37194"/>
    <w:rsid w:val="00B37E38"/>
    <w:rsid w:val="00B40260"/>
    <w:rsid w:val="00B40984"/>
    <w:rsid w:val="00B40D16"/>
    <w:rsid w:val="00B40EE2"/>
    <w:rsid w:val="00B417D3"/>
    <w:rsid w:val="00B41A6E"/>
    <w:rsid w:val="00B41D55"/>
    <w:rsid w:val="00B42391"/>
    <w:rsid w:val="00B42DA9"/>
    <w:rsid w:val="00B435A6"/>
    <w:rsid w:val="00B43FC9"/>
    <w:rsid w:val="00B44222"/>
    <w:rsid w:val="00B443CE"/>
    <w:rsid w:val="00B44F0B"/>
    <w:rsid w:val="00B4526D"/>
    <w:rsid w:val="00B453D1"/>
    <w:rsid w:val="00B4650A"/>
    <w:rsid w:val="00B4663A"/>
    <w:rsid w:val="00B46B61"/>
    <w:rsid w:val="00B46C46"/>
    <w:rsid w:val="00B46E58"/>
    <w:rsid w:val="00B46F41"/>
    <w:rsid w:val="00B4736B"/>
    <w:rsid w:val="00B47445"/>
    <w:rsid w:val="00B475AD"/>
    <w:rsid w:val="00B47814"/>
    <w:rsid w:val="00B47FAD"/>
    <w:rsid w:val="00B5016F"/>
    <w:rsid w:val="00B5031E"/>
    <w:rsid w:val="00B510B5"/>
    <w:rsid w:val="00B510DA"/>
    <w:rsid w:val="00B512C4"/>
    <w:rsid w:val="00B516CE"/>
    <w:rsid w:val="00B52871"/>
    <w:rsid w:val="00B52CB4"/>
    <w:rsid w:val="00B53650"/>
    <w:rsid w:val="00B5509E"/>
    <w:rsid w:val="00B55D44"/>
    <w:rsid w:val="00B562FE"/>
    <w:rsid w:val="00B5637A"/>
    <w:rsid w:val="00B56488"/>
    <w:rsid w:val="00B568D0"/>
    <w:rsid w:val="00B57664"/>
    <w:rsid w:val="00B57819"/>
    <w:rsid w:val="00B57824"/>
    <w:rsid w:val="00B578FE"/>
    <w:rsid w:val="00B57B6C"/>
    <w:rsid w:val="00B57C06"/>
    <w:rsid w:val="00B617DB"/>
    <w:rsid w:val="00B6252B"/>
    <w:rsid w:val="00B62FFC"/>
    <w:rsid w:val="00B630E6"/>
    <w:rsid w:val="00B63E8E"/>
    <w:rsid w:val="00B64029"/>
    <w:rsid w:val="00B64992"/>
    <w:rsid w:val="00B64F88"/>
    <w:rsid w:val="00B651D5"/>
    <w:rsid w:val="00B6524E"/>
    <w:rsid w:val="00B65B70"/>
    <w:rsid w:val="00B66994"/>
    <w:rsid w:val="00B66C54"/>
    <w:rsid w:val="00B67113"/>
    <w:rsid w:val="00B67C1C"/>
    <w:rsid w:val="00B7040C"/>
    <w:rsid w:val="00B709F4"/>
    <w:rsid w:val="00B71175"/>
    <w:rsid w:val="00B712F2"/>
    <w:rsid w:val="00B713D5"/>
    <w:rsid w:val="00B71539"/>
    <w:rsid w:val="00B716B1"/>
    <w:rsid w:val="00B717F7"/>
    <w:rsid w:val="00B718C4"/>
    <w:rsid w:val="00B7341D"/>
    <w:rsid w:val="00B74281"/>
    <w:rsid w:val="00B7438A"/>
    <w:rsid w:val="00B743A9"/>
    <w:rsid w:val="00B74563"/>
    <w:rsid w:val="00B74708"/>
    <w:rsid w:val="00B747AA"/>
    <w:rsid w:val="00B74E15"/>
    <w:rsid w:val="00B753D1"/>
    <w:rsid w:val="00B76F4C"/>
    <w:rsid w:val="00B76F86"/>
    <w:rsid w:val="00B76FF1"/>
    <w:rsid w:val="00B77433"/>
    <w:rsid w:val="00B7799A"/>
    <w:rsid w:val="00B77D59"/>
    <w:rsid w:val="00B812D5"/>
    <w:rsid w:val="00B813BE"/>
    <w:rsid w:val="00B81F11"/>
    <w:rsid w:val="00B81F4D"/>
    <w:rsid w:val="00B8237D"/>
    <w:rsid w:val="00B827DC"/>
    <w:rsid w:val="00B82F03"/>
    <w:rsid w:val="00B836C9"/>
    <w:rsid w:val="00B83823"/>
    <w:rsid w:val="00B838F1"/>
    <w:rsid w:val="00B83F39"/>
    <w:rsid w:val="00B83FB1"/>
    <w:rsid w:val="00B84C54"/>
    <w:rsid w:val="00B84D6C"/>
    <w:rsid w:val="00B864E3"/>
    <w:rsid w:val="00B868F9"/>
    <w:rsid w:val="00B86D60"/>
    <w:rsid w:val="00B87906"/>
    <w:rsid w:val="00B901BC"/>
    <w:rsid w:val="00B902BE"/>
    <w:rsid w:val="00B907D9"/>
    <w:rsid w:val="00B90F91"/>
    <w:rsid w:val="00B91206"/>
    <w:rsid w:val="00B91EDB"/>
    <w:rsid w:val="00B92088"/>
    <w:rsid w:val="00B922A4"/>
    <w:rsid w:val="00B92460"/>
    <w:rsid w:val="00B92D5C"/>
    <w:rsid w:val="00B9300C"/>
    <w:rsid w:val="00B930D1"/>
    <w:rsid w:val="00B934C9"/>
    <w:rsid w:val="00B93962"/>
    <w:rsid w:val="00B93D49"/>
    <w:rsid w:val="00B945D3"/>
    <w:rsid w:val="00B94AEF"/>
    <w:rsid w:val="00B94E81"/>
    <w:rsid w:val="00B95660"/>
    <w:rsid w:val="00B96457"/>
    <w:rsid w:val="00B966EB"/>
    <w:rsid w:val="00B96DC6"/>
    <w:rsid w:val="00B97BC0"/>
    <w:rsid w:val="00BA1090"/>
    <w:rsid w:val="00BA1237"/>
    <w:rsid w:val="00BA1C31"/>
    <w:rsid w:val="00BA2736"/>
    <w:rsid w:val="00BA3AB6"/>
    <w:rsid w:val="00BA3F1C"/>
    <w:rsid w:val="00BA4593"/>
    <w:rsid w:val="00BA5036"/>
    <w:rsid w:val="00BA50A4"/>
    <w:rsid w:val="00BA6017"/>
    <w:rsid w:val="00BA6130"/>
    <w:rsid w:val="00BA67E4"/>
    <w:rsid w:val="00BA6C21"/>
    <w:rsid w:val="00BA6EA1"/>
    <w:rsid w:val="00BA71E0"/>
    <w:rsid w:val="00BA725C"/>
    <w:rsid w:val="00BA7A5F"/>
    <w:rsid w:val="00BB01D1"/>
    <w:rsid w:val="00BB0789"/>
    <w:rsid w:val="00BB07C0"/>
    <w:rsid w:val="00BB23CF"/>
    <w:rsid w:val="00BB23E0"/>
    <w:rsid w:val="00BB2618"/>
    <w:rsid w:val="00BB2A07"/>
    <w:rsid w:val="00BB2FDE"/>
    <w:rsid w:val="00BB312F"/>
    <w:rsid w:val="00BB3288"/>
    <w:rsid w:val="00BB40F5"/>
    <w:rsid w:val="00BB48E9"/>
    <w:rsid w:val="00BB4E63"/>
    <w:rsid w:val="00BB503C"/>
    <w:rsid w:val="00BB56C7"/>
    <w:rsid w:val="00BB5CD7"/>
    <w:rsid w:val="00BB5F20"/>
    <w:rsid w:val="00BB61F7"/>
    <w:rsid w:val="00BB6AE3"/>
    <w:rsid w:val="00BB6B54"/>
    <w:rsid w:val="00BB7032"/>
    <w:rsid w:val="00BB7122"/>
    <w:rsid w:val="00BB723C"/>
    <w:rsid w:val="00BB7690"/>
    <w:rsid w:val="00BB7C06"/>
    <w:rsid w:val="00BC0B95"/>
    <w:rsid w:val="00BC0BBE"/>
    <w:rsid w:val="00BC278D"/>
    <w:rsid w:val="00BC27BB"/>
    <w:rsid w:val="00BC34D2"/>
    <w:rsid w:val="00BC3ABC"/>
    <w:rsid w:val="00BC3C52"/>
    <w:rsid w:val="00BC3E81"/>
    <w:rsid w:val="00BC421D"/>
    <w:rsid w:val="00BC4668"/>
    <w:rsid w:val="00BC4B2E"/>
    <w:rsid w:val="00BC4E48"/>
    <w:rsid w:val="00BC5091"/>
    <w:rsid w:val="00BC5132"/>
    <w:rsid w:val="00BC5955"/>
    <w:rsid w:val="00BC5A95"/>
    <w:rsid w:val="00BC5C25"/>
    <w:rsid w:val="00BC6A47"/>
    <w:rsid w:val="00BC6DA4"/>
    <w:rsid w:val="00BC7180"/>
    <w:rsid w:val="00BC723B"/>
    <w:rsid w:val="00BD0247"/>
    <w:rsid w:val="00BD1912"/>
    <w:rsid w:val="00BD2714"/>
    <w:rsid w:val="00BD2AC5"/>
    <w:rsid w:val="00BD3354"/>
    <w:rsid w:val="00BD368E"/>
    <w:rsid w:val="00BD4122"/>
    <w:rsid w:val="00BD5C11"/>
    <w:rsid w:val="00BD5EB4"/>
    <w:rsid w:val="00BD6169"/>
    <w:rsid w:val="00BD61E8"/>
    <w:rsid w:val="00BD6874"/>
    <w:rsid w:val="00BD6E29"/>
    <w:rsid w:val="00BD723F"/>
    <w:rsid w:val="00BD7740"/>
    <w:rsid w:val="00BD776D"/>
    <w:rsid w:val="00BD7DCC"/>
    <w:rsid w:val="00BE04BF"/>
    <w:rsid w:val="00BE0BDA"/>
    <w:rsid w:val="00BE206E"/>
    <w:rsid w:val="00BE261D"/>
    <w:rsid w:val="00BE2C2A"/>
    <w:rsid w:val="00BE2CF1"/>
    <w:rsid w:val="00BE316F"/>
    <w:rsid w:val="00BE36F1"/>
    <w:rsid w:val="00BE37E6"/>
    <w:rsid w:val="00BE3B24"/>
    <w:rsid w:val="00BE3F61"/>
    <w:rsid w:val="00BE4A68"/>
    <w:rsid w:val="00BE4C11"/>
    <w:rsid w:val="00BE5721"/>
    <w:rsid w:val="00BE59D3"/>
    <w:rsid w:val="00BE5BF6"/>
    <w:rsid w:val="00BE60A4"/>
    <w:rsid w:val="00BE60E2"/>
    <w:rsid w:val="00BE6C15"/>
    <w:rsid w:val="00BE775E"/>
    <w:rsid w:val="00BE7851"/>
    <w:rsid w:val="00BE7C4C"/>
    <w:rsid w:val="00BE7C71"/>
    <w:rsid w:val="00BE7F14"/>
    <w:rsid w:val="00BF0884"/>
    <w:rsid w:val="00BF0D6B"/>
    <w:rsid w:val="00BF109C"/>
    <w:rsid w:val="00BF131B"/>
    <w:rsid w:val="00BF2630"/>
    <w:rsid w:val="00BF2AAA"/>
    <w:rsid w:val="00BF2D91"/>
    <w:rsid w:val="00BF336B"/>
    <w:rsid w:val="00BF368B"/>
    <w:rsid w:val="00BF410C"/>
    <w:rsid w:val="00BF4146"/>
    <w:rsid w:val="00BF46C3"/>
    <w:rsid w:val="00BF486F"/>
    <w:rsid w:val="00BF48E0"/>
    <w:rsid w:val="00BF4BFA"/>
    <w:rsid w:val="00BF5069"/>
    <w:rsid w:val="00BF52CC"/>
    <w:rsid w:val="00BF596D"/>
    <w:rsid w:val="00BF5D25"/>
    <w:rsid w:val="00BF62B8"/>
    <w:rsid w:val="00BF63BC"/>
    <w:rsid w:val="00BF69B7"/>
    <w:rsid w:val="00BF6A90"/>
    <w:rsid w:val="00BF6A9A"/>
    <w:rsid w:val="00BF7919"/>
    <w:rsid w:val="00C00174"/>
    <w:rsid w:val="00C00AFA"/>
    <w:rsid w:val="00C025BF"/>
    <w:rsid w:val="00C0281E"/>
    <w:rsid w:val="00C02A74"/>
    <w:rsid w:val="00C02BA0"/>
    <w:rsid w:val="00C03307"/>
    <w:rsid w:val="00C03579"/>
    <w:rsid w:val="00C03F0F"/>
    <w:rsid w:val="00C03F63"/>
    <w:rsid w:val="00C04AD2"/>
    <w:rsid w:val="00C066F8"/>
    <w:rsid w:val="00C06BAE"/>
    <w:rsid w:val="00C06BCB"/>
    <w:rsid w:val="00C06D4D"/>
    <w:rsid w:val="00C06EA0"/>
    <w:rsid w:val="00C103B0"/>
    <w:rsid w:val="00C10A73"/>
    <w:rsid w:val="00C10D84"/>
    <w:rsid w:val="00C10F25"/>
    <w:rsid w:val="00C113C3"/>
    <w:rsid w:val="00C1284B"/>
    <w:rsid w:val="00C1341B"/>
    <w:rsid w:val="00C14147"/>
    <w:rsid w:val="00C142A1"/>
    <w:rsid w:val="00C14408"/>
    <w:rsid w:val="00C14424"/>
    <w:rsid w:val="00C1486E"/>
    <w:rsid w:val="00C14A47"/>
    <w:rsid w:val="00C14FDE"/>
    <w:rsid w:val="00C15343"/>
    <w:rsid w:val="00C15458"/>
    <w:rsid w:val="00C155EB"/>
    <w:rsid w:val="00C15B35"/>
    <w:rsid w:val="00C16447"/>
    <w:rsid w:val="00C164AB"/>
    <w:rsid w:val="00C16E4F"/>
    <w:rsid w:val="00C176AC"/>
    <w:rsid w:val="00C17E73"/>
    <w:rsid w:val="00C20E24"/>
    <w:rsid w:val="00C2138C"/>
    <w:rsid w:val="00C21912"/>
    <w:rsid w:val="00C23B01"/>
    <w:rsid w:val="00C24C94"/>
    <w:rsid w:val="00C25772"/>
    <w:rsid w:val="00C264D6"/>
    <w:rsid w:val="00C2671F"/>
    <w:rsid w:val="00C26C32"/>
    <w:rsid w:val="00C27432"/>
    <w:rsid w:val="00C27564"/>
    <w:rsid w:val="00C27B7E"/>
    <w:rsid w:val="00C27C2C"/>
    <w:rsid w:val="00C27E3B"/>
    <w:rsid w:val="00C3016E"/>
    <w:rsid w:val="00C30C84"/>
    <w:rsid w:val="00C310E2"/>
    <w:rsid w:val="00C316E0"/>
    <w:rsid w:val="00C3222D"/>
    <w:rsid w:val="00C330D3"/>
    <w:rsid w:val="00C330E7"/>
    <w:rsid w:val="00C3319A"/>
    <w:rsid w:val="00C33238"/>
    <w:rsid w:val="00C3327E"/>
    <w:rsid w:val="00C337CD"/>
    <w:rsid w:val="00C340A8"/>
    <w:rsid w:val="00C34229"/>
    <w:rsid w:val="00C34605"/>
    <w:rsid w:val="00C35844"/>
    <w:rsid w:val="00C36DDE"/>
    <w:rsid w:val="00C374CB"/>
    <w:rsid w:val="00C401B7"/>
    <w:rsid w:val="00C40256"/>
    <w:rsid w:val="00C4051C"/>
    <w:rsid w:val="00C4101B"/>
    <w:rsid w:val="00C41B05"/>
    <w:rsid w:val="00C42243"/>
    <w:rsid w:val="00C42251"/>
    <w:rsid w:val="00C42532"/>
    <w:rsid w:val="00C42568"/>
    <w:rsid w:val="00C43190"/>
    <w:rsid w:val="00C43453"/>
    <w:rsid w:val="00C44BF0"/>
    <w:rsid w:val="00C44C2B"/>
    <w:rsid w:val="00C4595A"/>
    <w:rsid w:val="00C45B6B"/>
    <w:rsid w:val="00C45C94"/>
    <w:rsid w:val="00C46399"/>
    <w:rsid w:val="00C464F2"/>
    <w:rsid w:val="00C465DE"/>
    <w:rsid w:val="00C46ABB"/>
    <w:rsid w:val="00C50114"/>
    <w:rsid w:val="00C503D3"/>
    <w:rsid w:val="00C507C8"/>
    <w:rsid w:val="00C507FD"/>
    <w:rsid w:val="00C50C2F"/>
    <w:rsid w:val="00C513BD"/>
    <w:rsid w:val="00C51491"/>
    <w:rsid w:val="00C51AE0"/>
    <w:rsid w:val="00C52293"/>
    <w:rsid w:val="00C52B08"/>
    <w:rsid w:val="00C53211"/>
    <w:rsid w:val="00C535D9"/>
    <w:rsid w:val="00C53773"/>
    <w:rsid w:val="00C53CB2"/>
    <w:rsid w:val="00C53D14"/>
    <w:rsid w:val="00C5412B"/>
    <w:rsid w:val="00C5488F"/>
    <w:rsid w:val="00C54B05"/>
    <w:rsid w:val="00C55319"/>
    <w:rsid w:val="00C554B5"/>
    <w:rsid w:val="00C55A4E"/>
    <w:rsid w:val="00C55AF8"/>
    <w:rsid w:val="00C55C87"/>
    <w:rsid w:val="00C561DE"/>
    <w:rsid w:val="00C5636A"/>
    <w:rsid w:val="00C564A0"/>
    <w:rsid w:val="00C567AC"/>
    <w:rsid w:val="00C56C43"/>
    <w:rsid w:val="00C57500"/>
    <w:rsid w:val="00C57B17"/>
    <w:rsid w:val="00C60B53"/>
    <w:rsid w:val="00C6233C"/>
    <w:rsid w:val="00C62544"/>
    <w:rsid w:val="00C62B53"/>
    <w:rsid w:val="00C62B65"/>
    <w:rsid w:val="00C63212"/>
    <w:rsid w:val="00C63319"/>
    <w:rsid w:val="00C63F79"/>
    <w:rsid w:val="00C640C5"/>
    <w:rsid w:val="00C640EC"/>
    <w:rsid w:val="00C64347"/>
    <w:rsid w:val="00C6451E"/>
    <w:rsid w:val="00C64ED7"/>
    <w:rsid w:val="00C65253"/>
    <w:rsid w:val="00C653C0"/>
    <w:rsid w:val="00C65ADF"/>
    <w:rsid w:val="00C66A94"/>
    <w:rsid w:val="00C67830"/>
    <w:rsid w:val="00C6783A"/>
    <w:rsid w:val="00C67934"/>
    <w:rsid w:val="00C67A0D"/>
    <w:rsid w:val="00C67ADE"/>
    <w:rsid w:val="00C67D05"/>
    <w:rsid w:val="00C70ACD"/>
    <w:rsid w:val="00C70C0D"/>
    <w:rsid w:val="00C722C1"/>
    <w:rsid w:val="00C726F9"/>
    <w:rsid w:val="00C72BAF"/>
    <w:rsid w:val="00C72FFA"/>
    <w:rsid w:val="00C73608"/>
    <w:rsid w:val="00C73FC3"/>
    <w:rsid w:val="00C74244"/>
    <w:rsid w:val="00C74A07"/>
    <w:rsid w:val="00C7556A"/>
    <w:rsid w:val="00C757CA"/>
    <w:rsid w:val="00C75831"/>
    <w:rsid w:val="00C764A8"/>
    <w:rsid w:val="00C76F92"/>
    <w:rsid w:val="00C77710"/>
    <w:rsid w:val="00C80C0D"/>
    <w:rsid w:val="00C80F10"/>
    <w:rsid w:val="00C82423"/>
    <w:rsid w:val="00C82548"/>
    <w:rsid w:val="00C8259C"/>
    <w:rsid w:val="00C8270C"/>
    <w:rsid w:val="00C833FB"/>
    <w:rsid w:val="00C852A9"/>
    <w:rsid w:val="00C8539D"/>
    <w:rsid w:val="00C8562A"/>
    <w:rsid w:val="00C85B01"/>
    <w:rsid w:val="00C85DE9"/>
    <w:rsid w:val="00C865A9"/>
    <w:rsid w:val="00C865E5"/>
    <w:rsid w:val="00C86B11"/>
    <w:rsid w:val="00C871D5"/>
    <w:rsid w:val="00C87BF9"/>
    <w:rsid w:val="00C87E5B"/>
    <w:rsid w:val="00C9095E"/>
    <w:rsid w:val="00C90CF1"/>
    <w:rsid w:val="00C90E2E"/>
    <w:rsid w:val="00C91998"/>
    <w:rsid w:val="00C91BF9"/>
    <w:rsid w:val="00C91C57"/>
    <w:rsid w:val="00C91FB5"/>
    <w:rsid w:val="00C92127"/>
    <w:rsid w:val="00C92C0E"/>
    <w:rsid w:val="00C92C86"/>
    <w:rsid w:val="00C93660"/>
    <w:rsid w:val="00C93A44"/>
    <w:rsid w:val="00C941E5"/>
    <w:rsid w:val="00C94723"/>
    <w:rsid w:val="00C94EAC"/>
    <w:rsid w:val="00C9523F"/>
    <w:rsid w:val="00C9580C"/>
    <w:rsid w:val="00C9674C"/>
    <w:rsid w:val="00C96FFD"/>
    <w:rsid w:val="00C97294"/>
    <w:rsid w:val="00C97B25"/>
    <w:rsid w:val="00CA26DC"/>
    <w:rsid w:val="00CA2A8E"/>
    <w:rsid w:val="00CA2CD4"/>
    <w:rsid w:val="00CA3010"/>
    <w:rsid w:val="00CA32A5"/>
    <w:rsid w:val="00CA3517"/>
    <w:rsid w:val="00CA3EAF"/>
    <w:rsid w:val="00CA4AB8"/>
    <w:rsid w:val="00CA4F0C"/>
    <w:rsid w:val="00CA4F9A"/>
    <w:rsid w:val="00CA5278"/>
    <w:rsid w:val="00CA5470"/>
    <w:rsid w:val="00CA5C54"/>
    <w:rsid w:val="00CA62AC"/>
    <w:rsid w:val="00CA6CB1"/>
    <w:rsid w:val="00CA6D7F"/>
    <w:rsid w:val="00CA6E42"/>
    <w:rsid w:val="00CA7822"/>
    <w:rsid w:val="00CA7EC0"/>
    <w:rsid w:val="00CB027B"/>
    <w:rsid w:val="00CB1041"/>
    <w:rsid w:val="00CB1370"/>
    <w:rsid w:val="00CB1507"/>
    <w:rsid w:val="00CB221C"/>
    <w:rsid w:val="00CB225E"/>
    <w:rsid w:val="00CB22F6"/>
    <w:rsid w:val="00CB349E"/>
    <w:rsid w:val="00CB35C6"/>
    <w:rsid w:val="00CB3853"/>
    <w:rsid w:val="00CB4133"/>
    <w:rsid w:val="00CB42C4"/>
    <w:rsid w:val="00CB53B3"/>
    <w:rsid w:val="00CB57D0"/>
    <w:rsid w:val="00CB5F3B"/>
    <w:rsid w:val="00CB66D3"/>
    <w:rsid w:val="00CB6A25"/>
    <w:rsid w:val="00CB6A83"/>
    <w:rsid w:val="00CB6BB7"/>
    <w:rsid w:val="00CB6E5C"/>
    <w:rsid w:val="00CB6F82"/>
    <w:rsid w:val="00CB77E0"/>
    <w:rsid w:val="00CB7CA9"/>
    <w:rsid w:val="00CB7CBD"/>
    <w:rsid w:val="00CB7F10"/>
    <w:rsid w:val="00CC04BA"/>
    <w:rsid w:val="00CC060F"/>
    <w:rsid w:val="00CC066E"/>
    <w:rsid w:val="00CC0821"/>
    <w:rsid w:val="00CC085B"/>
    <w:rsid w:val="00CC0B0F"/>
    <w:rsid w:val="00CC0E97"/>
    <w:rsid w:val="00CC19A1"/>
    <w:rsid w:val="00CC1B6A"/>
    <w:rsid w:val="00CC2951"/>
    <w:rsid w:val="00CC2A82"/>
    <w:rsid w:val="00CC2E98"/>
    <w:rsid w:val="00CC48A4"/>
    <w:rsid w:val="00CC5D46"/>
    <w:rsid w:val="00CC6102"/>
    <w:rsid w:val="00CC7634"/>
    <w:rsid w:val="00CC79FA"/>
    <w:rsid w:val="00CD06C6"/>
    <w:rsid w:val="00CD0C91"/>
    <w:rsid w:val="00CD153E"/>
    <w:rsid w:val="00CD1B45"/>
    <w:rsid w:val="00CD1E7F"/>
    <w:rsid w:val="00CD2078"/>
    <w:rsid w:val="00CD2774"/>
    <w:rsid w:val="00CD374B"/>
    <w:rsid w:val="00CD430E"/>
    <w:rsid w:val="00CD462C"/>
    <w:rsid w:val="00CD4E43"/>
    <w:rsid w:val="00CD4EB1"/>
    <w:rsid w:val="00CD55C0"/>
    <w:rsid w:val="00CD55D0"/>
    <w:rsid w:val="00CD5F0C"/>
    <w:rsid w:val="00CD679D"/>
    <w:rsid w:val="00CD6F2B"/>
    <w:rsid w:val="00CD7075"/>
    <w:rsid w:val="00CD7240"/>
    <w:rsid w:val="00CD72B2"/>
    <w:rsid w:val="00CD7FFD"/>
    <w:rsid w:val="00CE00FE"/>
    <w:rsid w:val="00CE05AB"/>
    <w:rsid w:val="00CE06B7"/>
    <w:rsid w:val="00CE0947"/>
    <w:rsid w:val="00CE09D5"/>
    <w:rsid w:val="00CE0DBD"/>
    <w:rsid w:val="00CE0E9F"/>
    <w:rsid w:val="00CE0EEC"/>
    <w:rsid w:val="00CE28F4"/>
    <w:rsid w:val="00CE2C96"/>
    <w:rsid w:val="00CE323C"/>
    <w:rsid w:val="00CE34B8"/>
    <w:rsid w:val="00CE3538"/>
    <w:rsid w:val="00CE36FE"/>
    <w:rsid w:val="00CE4638"/>
    <w:rsid w:val="00CE4AA6"/>
    <w:rsid w:val="00CE510A"/>
    <w:rsid w:val="00CE5815"/>
    <w:rsid w:val="00CE5C79"/>
    <w:rsid w:val="00CE5D61"/>
    <w:rsid w:val="00CE7086"/>
    <w:rsid w:val="00CE7B33"/>
    <w:rsid w:val="00CE7F03"/>
    <w:rsid w:val="00CF005E"/>
    <w:rsid w:val="00CF00C4"/>
    <w:rsid w:val="00CF0F36"/>
    <w:rsid w:val="00CF238D"/>
    <w:rsid w:val="00CF254B"/>
    <w:rsid w:val="00CF254D"/>
    <w:rsid w:val="00CF27A4"/>
    <w:rsid w:val="00CF29DC"/>
    <w:rsid w:val="00CF2E34"/>
    <w:rsid w:val="00CF314F"/>
    <w:rsid w:val="00CF3607"/>
    <w:rsid w:val="00CF50BF"/>
    <w:rsid w:val="00CF51F4"/>
    <w:rsid w:val="00CF5B83"/>
    <w:rsid w:val="00CF6712"/>
    <w:rsid w:val="00CF709C"/>
    <w:rsid w:val="00CF7908"/>
    <w:rsid w:val="00CF7BAB"/>
    <w:rsid w:val="00D005DB"/>
    <w:rsid w:val="00D00DD5"/>
    <w:rsid w:val="00D0133E"/>
    <w:rsid w:val="00D017D9"/>
    <w:rsid w:val="00D01CE1"/>
    <w:rsid w:val="00D01E2C"/>
    <w:rsid w:val="00D01EF1"/>
    <w:rsid w:val="00D02972"/>
    <w:rsid w:val="00D0329D"/>
    <w:rsid w:val="00D03864"/>
    <w:rsid w:val="00D044A6"/>
    <w:rsid w:val="00D047AB"/>
    <w:rsid w:val="00D04A72"/>
    <w:rsid w:val="00D052D7"/>
    <w:rsid w:val="00D0589D"/>
    <w:rsid w:val="00D0644F"/>
    <w:rsid w:val="00D071BC"/>
    <w:rsid w:val="00D074E6"/>
    <w:rsid w:val="00D076C5"/>
    <w:rsid w:val="00D07ACD"/>
    <w:rsid w:val="00D07B88"/>
    <w:rsid w:val="00D1126F"/>
    <w:rsid w:val="00D12144"/>
    <w:rsid w:val="00D132D5"/>
    <w:rsid w:val="00D13FCE"/>
    <w:rsid w:val="00D14934"/>
    <w:rsid w:val="00D14E9D"/>
    <w:rsid w:val="00D150E5"/>
    <w:rsid w:val="00D153A0"/>
    <w:rsid w:val="00D163E2"/>
    <w:rsid w:val="00D16A44"/>
    <w:rsid w:val="00D16DE5"/>
    <w:rsid w:val="00D170A0"/>
    <w:rsid w:val="00D173AD"/>
    <w:rsid w:val="00D17AFB"/>
    <w:rsid w:val="00D17B08"/>
    <w:rsid w:val="00D2169E"/>
    <w:rsid w:val="00D218F5"/>
    <w:rsid w:val="00D21B63"/>
    <w:rsid w:val="00D2218F"/>
    <w:rsid w:val="00D22846"/>
    <w:rsid w:val="00D22BB1"/>
    <w:rsid w:val="00D23804"/>
    <w:rsid w:val="00D2382D"/>
    <w:rsid w:val="00D2392F"/>
    <w:rsid w:val="00D24337"/>
    <w:rsid w:val="00D2471C"/>
    <w:rsid w:val="00D24D9B"/>
    <w:rsid w:val="00D252C3"/>
    <w:rsid w:val="00D25A97"/>
    <w:rsid w:val="00D26142"/>
    <w:rsid w:val="00D26E11"/>
    <w:rsid w:val="00D26EA3"/>
    <w:rsid w:val="00D2714D"/>
    <w:rsid w:val="00D272AD"/>
    <w:rsid w:val="00D30589"/>
    <w:rsid w:val="00D30713"/>
    <w:rsid w:val="00D30867"/>
    <w:rsid w:val="00D31D95"/>
    <w:rsid w:val="00D31E9B"/>
    <w:rsid w:val="00D32048"/>
    <w:rsid w:val="00D338F5"/>
    <w:rsid w:val="00D33AFE"/>
    <w:rsid w:val="00D3455F"/>
    <w:rsid w:val="00D34BD2"/>
    <w:rsid w:val="00D34C40"/>
    <w:rsid w:val="00D3559B"/>
    <w:rsid w:val="00D35CF5"/>
    <w:rsid w:val="00D3649A"/>
    <w:rsid w:val="00D364D4"/>
    <w:rsid w:val="00D36D69"/>
    <w:rsid w:val="00D3778A"/>
    <w:rsid w:val="00D40046"/>
    <w:rsid w:val="00D403C4"/>
    <w:rsid w:val="00D40702"/>
    <w:rsid w:val="00D42380"/>
    <w:rsid w:val="00D4308D"/>
    <w:rsid w:val="00D438D1"/>
    <w:rsid w:val="00D43C88"/>
    <w:rsid w:val="00D43CBA"/>
    <w:rsid w:val="00D441B0"/>
    <w:rsid w:val="00D44C97"/>
    <w:rsid w:val="00D44E1A"/>
    <w:rsid w:val="00D4597A"/>
    <w:rsid w:val="00D45E33"/>
    <w:rsid w:val="00D460F6"/>
    <w:rsid w:val="00D470E0"/>
    <w:rsid w:val="00D47A2A"/>
    <w:rsid w:val="00D47DBE"/>
    <w:rsid w:val="00D5060B"/>
    <w:rsid w:val="00D50802"/>
    <w:rsid w:val="00D50AAC"/>
    <w:rsid w:val="00D50D41"/>
    <w:rsid w:val="00D50E46"/>
    <w:rsid w:val="00D51D69"/>
    <w:rsid w:val="00D523B8"/>
    <w:rsid w:val="00D5241A"/>
    <w:rsid w:val="00D524C3"/>
    <w:rsid w:val="00D52A8D"/>
    <w:rsid w:val="00D52AEB"/>
    <w:rsid w:val="00D547DD"/>
    <w:rsid w:val="00D54E06"/>
    <w:rsid w:val="00D5587A"/>
    <w:rsid w:val="00D55F34"/>
    <w:rsid w:val="00D56164"/>
    <w:rsid w:val="00D566E2"/>
    <w:rsid w:val="00D56C30"/>
    <w:rsid w:val="00D5724E"/>
    <w:rsid w:val="00D572F8"/>
    <w:rsid w:val="00D576C6"/>
    <w:rsid w:val="00D577B5"/>
    <w:rsid w:val="00D57B58"/>
    <w:rsid w:val="00D57B6A"/>
    <w:rsid w:val="00D57E50"/>
    <w:rsid w:val="00D600E9"/>
    <w:rsid w:val="00D60B38"/>
    <w:rsid w:val="00D623D6"/>
    <w:rsid w:val="00D62D39"/>
    <w:rsid w:val="00D63039"/>
    <w:rsid w:val="00D630F5"/>
    <w:rsid w:val="00D63B93"/>
    <w:rsid w:val="00D6472E"/>
    <w:rsid w:val="00D65685"/>
    <w:rsid w:val="00D656EA"/>
    <w:rsid w:val="00D65B49"/>
    <w:rsid w:val="00D663B1"/>
    <w:rsid w:val="00D6664C"/>
    <w:rsid w:val="00D667BA"/>
    <w:rsid w:val="00D66DA7"/>
    <w:rsid w:val="00D67A66"/>
    <w:rsid w:val="00D67FAA"/>
    <w:rsid w:val="00D70348"/>
    <w:rsid w:val="00D70C07"/>
    <w:rsid w:val="00D712E1"/>
    <w:rsid w:val="00D71E5F"/>
    <w:rsid w:val="00D722D7"/>
    <w:rsid w:val="00D727C7"/>
    <w:rsid w:val="00D7382D"/>
    <w:rsid w:val="00D73A11"/>
    <w:rsid w:val="00D7401D"/>
    <w:rsid w:val="00D74CAF"/>
    <w:rsid w:val="00D74FD1"/>
    <w:rsid w:val="00D7559E"/>
    <w:rsid w:val="00D755D9"/>
    <w:rsid w:val="00D75A37"/>
    <w:rsid w:val="00D75B45"/>
    <w:rsid w:val="00D75DB8"/>
    <w:rsid w:val="00D75E41"/>
    <w:rsid w:val="00D7694C"/>
    <w:rsid w:val="00D76BE7"/>
    <w:rsid w:val="00D76F11"/>
    <w:rsid w:val="00D773D0"/>
    <w:rsid w:val="00D778A6"/>
    <w:rsid w:val="00D778C7"/>
    <w:rsid w:val="00D77E4F"/>
    <w:rsid w:val="00D80214"/>
    <w:rsid w:val="00D80A86"/>
    <w:rsid w:val="00D80F0A"/>
    <w:rsid w:val="00D823A0"/>
    <w:rsid w:val="00D83192"/>
    <w:rsid w:val="00D834D7"/>
    <w:rsid w:val="00D83555"/>
    <w:rsid w:val="00D838F0"/>
    <w:rsid w:val="00D84846"/>
    <w:rsid w:val="00D8540C"/>
    <w:rsid w:val="00D85AD2"/>
    <w:rsid w:val="00D85D20"/>
    <w:rsid w:val="00D860D7"/>
    <w:rsid w:val="00D8610A"/>
    <w:rsid w:val="00D86313"/>
    <w:rsid w:val="00D863A9"/>
    <w:rsid w:val="00D874BF"/>
    <w:rsid w:val="00D9084B"/>
    <w:rsid w:val="00D90919"/>
    <w:rsid w:val="00D90F2C"/>
    <w:rsid w:val="00D91201"/>
    <w:rsid w:val="00D913DE"/>
    <w:rsid w:val="00D914AC"/>
    <w:rsid w:val="00D91B19"/>
    <w:rsid w:val="00D91B31"/>
    <w:rsid w:val="00D92337"/>
    <w:rsid w:val="00D928DB"/>
    <w:rsid w:val="00D92DA1"/>
    <w:rsid w:val="00D93E77"/>
    <w:rsid w:val="00D94092"/>
    <w:rsid w:val="00D94805"/>
    <w:rsid w:val="00D94EA5"/>
    <w:rsid w:val="00D95307"/>
    <w:rsid w:val="00D95445"/>
    <w:rsid w:val="00D95A78"/>
    <w:rsid w:val="00D9669E"/>
    <w:rsid w:val="00D9694B"/>
    <w:rsid w:val="00D97119"/>
    <w:rsid w:val="00D974CF"/>
    <w:rsid w:val="00D975B5"/>
    <w:rsid w:val="00D975CD"/>
    <w:rsid w:val="00DA1380"/>
    <w:rsid w:val="00DA18A9"/>
    <w:rsid w:val="00DA2356"/>
    <w:rsid w:val="00DA2621"/>
    <w:rsid w:val="00DA2A40"/>
    <w:rsid w:val="00DA3772"/>
    <w:rsid w:val="00DA397A"/>
    <w:rsid w:val="00DA3B98"/>
    <w:rsid w:val="00DA424C"/>
    <w:rsid w:val="00DA4D4F"/>
    <w:rsid w:val="00DA58ED"/>
    <w:rsid w:val="00DA5C8F"/>
    <w:rsid w:val="00DA64A3"/>
    <w:rsid w:val="00DA666F"/>
    <w:rsid w:val="00DA75F4"/>
    <w:rsid w:val="00DA77D8"/>
    <w:rsid w:val="00DA787A"/>
    <w:rsid w:val="00DA7AD5"/>
    <w:rsid w:val="00DA7C65"/>
    <w:rsid w:val="00DB02FF"/>
    <w:rsid w:val="00DB083F"/>
    <w:rsid w:val="00DB0D11"/>
    <w:rsid w:val="00DB0D26"/>
    <w:rsid w:val="00DB1F44"/>
    <w:rsid w:val="00DB233D"/>
    <w:rsid w:val="00DB39D0"/>
    <w:rsid w:val="00DB3A62"/>
    <w:rsid w:val="00DB3D1A"/>
    <w:rsid w:val="00DB4F86"/>
    <w:rsid w:val="00DB637B"/>
    <w:rsid w:val="00DB7092"/>
    <w:rsid w:val="00DB70B1"/>
    <w:rsid w:val="00DB74E4"/>
    <w:rsid w:val="00DB77AC"/>
    <w:rsid w:val="00DB7A61"/>
    <w:rsid w:val="00DB7E6B"/>
    <w:rsid w:val="00DC0261"/>
    <w:rsid w:val="00DC0346"/>
    <w:rsid w:val="00DC09D9"/>
    <w:rsid w:val="00DC0B69"/>
    <w:rsid w:val="00DC0D25"/>
    <w:rsid w:val="00DC1373"/>
    <w:rsid w:val="00DC2084"/>
    <w:rsid w:val="00DC2549"/>
    <w:rsid w:val="00DC2A84"/>
    <w:rsid w:val="00DC2D9F"/>
    <w:rsid w:val="00DC2E29"/>
    <w:rsid w:val="00DC337C"/>
    <w:rsid w:val="00DC3D24"/>
    <w:rsid w:val="00DC3FA8"/>
    <w:rsid w:val="00DC46B7"/>
    <w:rsid w:val="00DC4A74"/>
    <w:rsid w:val="00DC4B32"/>
    <w:rsid w:val="00DC4CB4"/>
    <w:rsid w:val="00DC5009"/>
    <w:rsid w:val="00DC5063"/>
    <w:rsid w:val="00DC667D"/>
    <w:rsid w:val="00DC6EDB"/>
    <w:rsid w:val="00DC7041"/>
    <w:rsid w:val="00DC743F"/>
    <w:rsid w:val="00DC7590"/>
    <w:rsid w:val="00DC7A6E"/>
    <w:rsid w:val="00DD04AD"/>
    <w:rsid w:val="00DD04FA"/>
    <w:rsid w:val="00DD0553"/>
    <w:rsid w:val="00DD0B4D"/>
    <w:rsid w:val="00DD14F3"/>
    <w:rsid w:val="00DD1AD5"/>
    <w:rsid w:val="00DD1ADF"/>
    <w:rsid w:val="00DD2C01"/>
    <w:rsid w:val="00DD2F06"/>
    <w:rsid w:val="00DD319B"/>
    <w:rsid w:val="00DD3B86"/>
    <w:rsid w:val="00DD4697"/>
    <w:rsid w:val="00DD487B"/>
    <w:rsid w:val="00DD5187"/>
    <w:rsid w:val="00DD5FEC"/>
    <w:rsid w:val="00DD77C5"/>
    <w:rsid w:val="00DE00AB"/>
    <w:rsid w:val="00DE0510"/>
    <w:rsid w:val="00DE05D3"/>
    <w:rsid w:val="00DE0846"/>
    <w:rsid w:val="00DE0965"/>
    <w:rsid w:val="00DE1E0B"/>
    <w:rsid w:val="00DE1EC8"/>
    <w:rsid w:val="00DE2CAE"/>
    <w:rsid w:val="00DE313B"/>
    <w:rsid w:val="00DE3996"/>
    <w:rsid w:val="00DE39D2"/>
    <w:rsid w:val="00DE4094"/>
    <w:rsid w:val="00DE484E"/>
    <w:rsid w:val="00DE4AF7"/>
    <w:rsid w:val="00DE540D"/>
    <w:rsid w:val="00DE6171"/>
    <w:rsid w:val="00DE6B5D"/>
    <w:rsid w:val="00DE7869"/>
    <w:rsid w:val="00DE7A41"/>
    <w:rsid w:val="00DF06A7"/>
    <w:rsid w:val="00DF0D7D"/>
    <w:rsid w:val="00DF12F6"/>
    <w:rsid w:val="00DF1315"/>
    <w:rsid w:val="00DF1BC2"/>
    <w:rsid w:val="00DF1EB8"/>
    <w:rsid w:val="00DF2371"/>
    <w:rsid w:val="00DF2B89"/>
    <w:rsid w:val="00DF472E"/>
    <w:rsid w:val="00DF474D"/>
    <w:rsid w:val="00DF49AD"/>
    <w:rsid w:val="00DF5110"/>
    <w:rsid w:val="00DF5BAB"/>
    <w:rsid w:val="00DF5C75"/>
    <w:rsid w:val="00DF672C"/>
    <w:rsid w:val="00DF6BED"/>
    <w:rsid w:val="00DF7109"/>
    <w:rsid w:val="00DF73B0"/>
    <w:rsid w:val="00DF7470"/>
    <w:rsid w:val="00DF7F7A"/>
    <w:rsid w:val="00E00BB0"/>
    <w:rsid w:val="00E00D67"/>
    <w:rsid w:val="00E01689"/>
    <w:rsid w:val="00E016E6"/>
    <w:rsid w:val="00E017ED"/>
    <w:rsid w:val="00E01D1F"/>
    <w:rsid w:val="00E020D0"/>
    <w:rsid w:val="00E02BA6"/>
    <w:rsid w:val="00E03842"/>
    <w:rsid w:val="00E03AB6"/>
    <w:rsid w:val="00E04869"/>
    <w:rsid w:val="00E04BBA"/>
    <w:rsid w:val="00E050CA"/>
    <w:rsid w:val="00E05B53"/>
    <w:rsid w:val="00E05D8D"/>
    <w:rsid w:val="00E061E6"/>
    <w:rsid w:val="00E06B0F"/>
    <w:rsid w:val="00E06C07"/>
    <w:rsid w:val="00E07397"/>
    <w:rsid w:val="00E07485"/>
    <w:rsid w:val="00E07A3B"/>
    <w:rsid w:val="00E07AA1"/>
    <w:rsid w:val="00E07BF1"/>
    <w:rsid w:val="00E11786"/>
    <w:rsid w:val="00E11959"/>
    <w:rsid w:val="00E127FE"/>
    <w:rsid w:val="00E13265"/>
    <w:rsid w:val="00E1352A"/>
    <w:rsid w:val="00E1360F"/>
    <w:rsid w:val="00E1368E"/>
    <w:rsid w:val="00E13E03"/>
    <w:rsid w:val="00E13EC3"/>
    <w:rsid w:val="00E14988"/>
    <w:rsid w:val="00E14BF1"/>
    <w:rsid w:val="00E14E4B"/>
    <w:rsid w:val="00E152F6"/>
    <w:rsid w:val="00E162B5"/>
    <w:rsid w:val="00E16685"/>
    <w:rsid w:val="00E16BBC"/>
    <w:rsid w:val="00E16EC4"/>
    <w:rsid w:val="00E171B6"/>
    <w:rsid w:val="00E1728F"/>
    <w:rsid w:val="00E172A8"/>
    <w:rsid w:val="00E1757B"/>
    <w:rsid w:val="00E17A19"/>
    <w:rsid w:val="00E17ED0"/>
    <w:rsid w:val="00E17F66"/>
    <w:rsid w:val="00E20717"/>
    <w:rsid w:val="00E20C55"/>
    <w:rsid w:val="00E213BA"/>
    <w:rsid w:val="00E21E8C"/>
    <w:rsid w:val="00E22CE5"/>
    <w:rsid w:val="00E2372B"/>
    <w:rsid w:val="00E2376C"/>
    <w:rsid w:val="00E23C50"/>
    <w:rsid w:val="00E23F37"/>
    <w:rsid w:val="00E23F6F"/>
    <w:rsid w:val="00E24990"/>
    <w:rsid w:val="00E25AAD"/>
    <w:rsid w:val="00E26400"/>
    <w:rsid w:val="00E26A5C"/>
    <w:rsid w:val="00E26BE3"/>
    <w:rsid w:val="00E26F7A"/>
    <w:rsid w:val="00E272A7"/>
    <w:rsid w:val="00E274F5"/>
    <w:rsid w:val="00E30801"/>
    <w:rsid w:val="00E3095A"/>
    <w:rsid w:val="00E30A43"/>
    <w:rsid w:val="00E31323"/>
    <w:rsid w:val="00E3180C"/>
    <w:rsid w:val="00E31D60"/>
    <w:rsid w:val="00E31F4F"/>
    <w:rsid w:val="00E32285"/>
    <w:rsid w:val="00E33A78"/>
    <w:rsid w:val="00E33AAB"/>
    <w:rsid w:val="00E34285"/>
    <w:rsid w:val="00E3556C"/>
    <w:rsid w:val="00E3559C"/>
    <w:rsid w:val="00E357AD"/>
    <w:rsid w:val="00E35BBA"/>
    <w:rsid w:val="00E35C15"/>
    <w:rsid w:val="00E35C9C"/>
    <w:rsid w:val="00E35EC0"/>
    <w:rsid w:val="00E3671B"/>
    <w:rsid w:val="00E3673A"/>
    <w:rsid w:val="00E36829"/>
    <w:rsid w:val="00E36B12"/>
    <w:rsid w:val="00E36C1D"/>
    <w:rsid w:val="00E373D2"/>
    <w:rsid w:val="00E3771A"/>
    <w:rsid w:val="00E3773E"/>
    <w:rsid w:val="00E37A3A"/>
    <w:rsid w:val="00E37CA8"/>
    <w:rsid w:val="00E40083"/>
    <w:rsid w:val="00E408F2"/>
    <w:rsid w:val="00E40C8A"/>
    <w:rsid w:val="00E40EA0"/>
    <w:rsid w:val="00E411C1"/>
    <w:rsid w:val="00E4171E"/>
    <w:rsid w:val="00E418EB"/>
    <w:rsid w:val="00E4194D"/>
    <w:rsid w:val="00E41C5B"/>
    <w:rsid w:val="00E4210E"/>
    <w:rsid w:val="00E4242B"/>
    <w:rsid w:val="00E43738"/>
    <w:rsid w:val="00E43F92"/>
    <w:rsid w:val="00E4410A"/>
    <w:rsid w:val="00E44499"/>
    <w:rsid w:val="00E449CF"/>
    <w:rsid w:val="00E44AA9"/>
    <w:rsid w:val="00E44CDD"/>
    <w:rsid w:val="00E44D89"/>
    <w:rsid w:val="00E451EB"/>
    <w:rsid w:val="00E457D1"/>
    <w:rsid w:val="00E45B39"/>
    <w:rsid w:val="00E46006"/>
    <w:rsid w:val="00E46239"/>
    <w:rsid w:val="00E46AF6"/>
    <w:rsid w:val="00E47A27"/>
    <w:rsid w:val="00E47D3D"/>
    <w:rsid w:val="00E50285"/>
    <w:rsid w:val="00E50575"/>
    <w:rsid w:val="00E510D1"/>
    <w:rsid w:val="00E5162C"/>
    <w:rsid w:val="00E51F49"/>
    <w:rsid w:val="00E51FE3"/>
    <w:rsid w:val="00E52327"/>
    <w:rsid w:val="00E523FB"/>
    <w:rsid w:val="00E52605"/>
    <w:rsid w:val="00E52643"/>
    <w:rsid w:val="00E528BA"/>
    <w:rsid w:val="00E52A0C"/>
    <w:rsid w:val="00E532E0"/>
    <w:rsid w:val="00E54150"/>
    <w:rsid w:val="00E542B6"/>
    <w:rsid w:val="00E5472A"/>
    <w:rsid w:val="00E54D66"/>
    <w:rsid w:val="00E54EFF"/>
    <w:rsid w:val="00E5550B"/>
    <w:rsid w:val="00E55875"/>
    <w:rsid w:val="00E55AE6"/>
    <w:rsid w:val="00E55B7B"/>
    <w:rsid w:val="00E55DAA"/>
    <w:rsid w:val="00E55EAE"/>
    <w:rsid w:val="00E55F26"/>
    <w:rsid w:val="00E560CA"/>
    <w:rsid w:val="00E56FBB"/>
    <w:rsid w:val="00E5748B"/>
    <w:rsid w:val="00E577C8"/>
    <w:rsid w:val="00E57B22"/>
    <w:rsid w:val="00E603F1"/>
    <w:rsid w:val="00E60FC0"/>
    <w:rsid w:val="00E61454"/>
    <w:rsid w:val="00E62805"/>
    <w:rsid w:val="00E63022"/>
    <w:rsid w:val="00E6475B"/>
    <w:rsid w:val="00E64C29"/>
    <w:rsid w:val="00E64D3E"/>
    <w:rsid w:val="00E659E0"/>
    <w:rsid w:val="00E65C34"/>
    <w:rsid w:val="00E66820"/>
    <w:rsid w:val="00E66840"/>
    <w:rsid w:val="00E66EA0"/>
    <w:rsid w:val="00E67453"/>
    <w:rsid w:val="00E6751D"/>
    <w:rsid w:val="00E67876"/>
    <w:rsid w:val="00E67C8E"/>
    <w:rsid w:val="00E67DF2"/>
    <w:rsid w:val="00E70110"/>
    <w:rsid w:val="00E7023F"/>
    <w:rsid w:val="00E709F4"/>
    <w:rsid w:val="00E70F23"/>
    <w:rsid w:val="00E710AA"/>
    <w:rsid w:val="00E71181"/>
    <w:rsid w:val="00E7127D"/>
    <w:rsid w:val="00E71300"/>
    <w:rsid w:val="00E71FD9"/>
    <w:rsid w:val="00E72123"/>
    <w:rsid w:val="00E721DD"/>
    <w:rsid w:val="00E7225D"/>
    <w:rsid w:val="00E72315"/>
    <w:rsid w:val="00E72B50"/>
    <w:rsid w:val="00E73AB5"/>
    <w:rsid w:val="00E73CC6"/>
    <w:rsid w:val="00E73CD3"/>
    <w:rsid w:val="00E73DB4"/>
    <w:rsid w:val="00E73F78"/>
    <w:rsid w:val="00E741E7"/>
    <w:rsid w:val="00E743BA"/>
    <w:rsid w:val="00E748B0"/>
    <w:rsid w:val="00E74A55"/>
    <w:rsid w:val="00E74CD1"/>
    <w:rsid w:val="00E74DE4"/>
    <w:rsid w:val="00E75107"/>
    <w:rsid w:val="00E7528F"/>
    <w:rsid w:val="00E7581D"/>
    <w:rsid w:val="00E75F15"/>
    <w:rsid w:val="00E760DC"/>
    <w:rsid w:val="00E767CB"/>
    <w:rsid w:val="00E76FB7"/>
    <w:rsid w:val="00E77285"/>
    <w:rsid w:val="00E7764E"/>
    <w:rsid w:val="00E80743"/>
    <w:rsid w:val="00E80C99"/>
    <w:rsid w:val="00E817C0"/>
    <w:rsid w:val="00E81A98"/>
    <w:rsid w:val="00E81CCF"/>
    <w:rsid w:val="00E81CE6"/>
    <w:rsid w:val="00E8235E"/>
    <w:rsid w:val="00E82A61"/>
    <w:rsid w:val="00E82E7F"/>
    <w:rsid w:val="00E8342E"/>
    <w:rsid w:val="00E8352C"/>
    <w:rsid w:val="00E83684"/>
    <w:rsid w:val="00E8394D"/>
    <w:rsid w:val="00E84024"/>
    <w:rsid w:val="00E84518"/>
    <w:rsid w:val="00E84E23"/>
    <w:rsid w:val="00E85449"/>
    <w:rsid w:val="00E85611"/>
    <w:rsid w:val="00E85D72"/>
    <w:rsid w:val="00E8645A"/>
    <w:rsid w:val="00E86767"/>
    <w:rsid w:val="00E8689D"/>
    <w:rsid w:val="00E871AE"/>
    <w:rsid w:val="00E87513"/>
    <w:rsid w:val="00E8785F"/>
    <w:rsid w:val="00E87E65"/>
    <w:rsid w:val="00E9023F"/>
    <w:rsid w:val="00E90240"/>
    <w:rsid w:val="00E90913"/>
    <w:rsid w:val="00E90DDC"/>
    <w:rsid w:val="00E90E25"/>
    <w:rsid w:val="00E91365"/>
    <w:rsid w:val="00E923B4"/>
    <w:rsid w:val="00E92C3D"/>
    <w:rsid w:val="00E930FA"/>
    <w:rsid w:val="00E933F0"/>
    <w:rsid w:val="00E934F7"/>
    <w:rsid w:val="00E9367B"/>
    <w:rsid w:val="00E937E8"/>
    <w:rsid w:val="00E93DC3"/>
    <w:rsid w:val="00E9456F"/>
    <w:rsid w:val="00E9463C"/>
    <w:rsid w:val="00E947EB"/>
    <w:rsid w:val="00E9498C"/>
    <w:rsid w:val="00E95175"/>
    <w:rsid w:val="00E95FDA"/>
    <w:rsid w:val="00E9659C"/>
    <w:rsid w:val="00E96F3D"/>
    <w:rsid w:val="00E97567"/>
    <w:rsid w:val="00E97F21"/>
    <w:rsid w:val="00EA010E"/>
    <w:rsid w:val="00EA02F4"/>
    <w:rsid w:val="00EA0746"/>
    <w:rsid w:val="00EA0986"/>
    <w:rsid w:val="00EA127D"/>
    <w:rsid w:val="00EA1C76"/>
    <w:rsid w:val="00EA1CB5"/>
    <w:rsid w:val="00EA2D16"/>
    <w:rsid w:val="00EA3830"/>
    <w:rsid w:val="00EA3F06"/>
    <w:rsid w:val="00EA428F"/>
    <w:rsid w:val="00EA4DAC"/>
    <w:rsid w:val="00EA4E5D"/>
    <w:rsid w:val="00EA596C"/>
    <w:rsid w:val="00EA5F0D"/>
    <w:rsid w:val="00EA60E0"/>
    <w:rsid w:val="00EA6A18"/>
    <w:rsid w:val="00EA72BD"/>
    <w:rsid w:val="00EA7999"/>
    <w:rsid w:val="00EA7C64"/>
    <w:rsid w:val="00EB0D0F"/>
    <w:rsid w:val="00EB0EC6"/>
    <w:rsid w:val="00EB1151"/>
    <w:rsid w:val="00EB115C"/>
    <w:rsid w:val="00EB1592"/>
    <w:rsid w:val="00EB1CA6"/>
    <w:rsid w:val="00EB1FBC"/>
    <w:rsid w:val="00EB2A44"/>
    <w:rsid w:val="00EB2AA1"/>
    <w:rsid w:val="00EB344C"/>
    <w:rsid w:val="00EB3455"/>
    <w:rsid w:val="00EB35CE"/>
    <w:rsid w:val="00EB3819"/>
    <w:rsid w:val="00EB39DF"/>
    <w:rsid w:val="00EB3C80"/>
    <w:rsid w:val="00EB3D03"/>
    <w:rsid w:val="00EB43B3"/>
    <w:rsid w:val="00EB4674"/>
    <w:rsid w:val="00EB4B79"/>
    <w:rsid w:val="00EB4DFD"/>
    <w:rsid w:val="00EB516B"/>
    <w:rsid w:val="00EB56EC"/>
    <w:rsid w:val="00EB5C2C"/>
    <w:rsid w:val="00EB5C7B"/>
    <w:rsid w:val="00EB6700"/>
    <w:rsid w:val="00EB6736"/>
    <w:rsid w:val="00EB69B0"/>
    <w:rsid w:val="00EB6ECF"/>
    <w:rsid w:val="00EC08C4"/>
    <w:rsid w:val="00EC09FF"/>
    <w:rsid w:val="00EC0D5B"/>
    <w:rsid w:val="00EC0EC7"/>
    <w:rsid w:val="00EC1771"/>
    <w:rsid w:val="00EC1DF4"/>
    <w:rsid w:val="00EC222D"/>
    <w:rsid w:val="00EC2536"/>
    <w:rsid w:val="00EC2763"/>
    <w:rsid w:val="00EC2960"/>
    <w:rsid w:val="00EC2FD7"/>
    <w:rsid w:val="00EC3583"/>
    <w:rsid w:val="00EC38AE"/>
    <w:rsid w:val="00EC3F5A"/>
    <w:rsid w:val="00EC44B9"/>
    <w:rsid w:val="00EC462C"/>
    <w:rsid w:val="00EC4B82"/>
    <w:rsid w:val="00EC4DA1"/>
    <w:rsid w:val="00EC4EF2"/>
    <w:rsid w:val="00EC55D5"/>
    <w:rsid w:val="00EC6C9F"/>
    <w:rsid w:val="00EC6EE9"/>
    <w:rsid w:val="00EC701B"/>
    <w:rsid w:val="00EC77DE"/>
    <w:rsid w:val="00ED1016"/>
    <w:rsid w:val="00ED1441"/>
    <w:rsid w:val="00ED1FD2"/>
    <w:rsid w:val="00ED38AD"/>
    <w:rsid w:val="00ED428B"/>
    <w:rsid w:val="00ED448B"/>
    <w:rsid w:val="00ED4659"/>
    <w:rsid w:val="00ED4C9E"/>
    <w:rsid w:val="00ED579D"/>
    <w:rsid w:val="00ED5C9A"/>
    <w:rsid w:val="00ED656D"/>
    <w:rsid w:val="00ED6EE8"/>
    <w:rsid w:val="00ED7572"/>
    <w:rsid w:val="00ED7F00"/>
    <w:rsid w:val="00EE00EF"/>
    <w:rsid w:val="00EE08F3"/>
    <w:rsid w:val="00EE1061"/>
    <w:rsid w:val="00EE127B"/>
    <w:rsid w:val="00EE1881"/>
    <w:rsid w:val="00EE1CC7"/>
    <w:rsid w:val="00EE23E3"/>
    <w:rsid w:val="00EE27F4"/>
    <w:rsid w:val="00EE2B07"/>
    <w:rsid w:val="00EE3946"/>
    <w:rsid w:val="00EE5288"/>
    <w:rsid w:val="00EE55D1"/>
    <w:rsid w:val="00EE5B60"/>
    <w:rsid w:val="00EE5B7A"/>
    <w:rsid w:val="00EE5DAA"/>
    <w:rsid w:val="00EE5DED"/>
    <w:rsid w:val="00EE5FD4"/>
    <w:rsid w:val="00EE6099"/>
    <w:rsid w:val="00EE7551"/>
    <w:rsid w:val="00EE76D3"/>
    <w:rsid w:val="00EE7AA6"/>
    <w:rsid w:val="00EE7D63"/>
    <w:rsid w:val="00EF0087"/>
    <w:rsid w:val="00EF0178"/>
    <w:rsid w:val="00EF091C"/>
    <w:rsid w:val="00EF0A54"/>
    <w:rsid w:val="00EF0E7A"/>
    <w:rsid w:val="00EF1805"/>
    <w:rsid w:val="00EF193E"/>
    <w:rsid w:val="00EF1D19"/>
    <w:rsid w:val="00EF2AC5"/>
    <w:rsid w:val="00EF2C95"/>
    <w:rsid w:val="00EF2D04"/>
    <w:rsid w:val="00EF2F55"/>
    <w:rsid w:val="00EF41EB"/>
    <w:rsid w:val="00EF468C"/>
    <w:rsid w:val="00EF48F6"/>
    <w:rsid w:val="00EF4F16"/>
    <w:rsid w:val="00EF50ED"/>
    <w:rsid w:val="00EF6186"/>
    <w:rsid w:val="00EF6244"/>
    <w:rsid w:val="00EF6554"/>
    <w:rsid w:val="00EF6D68"/>
    <w:rsid w:val="00EF72E6"/>
    <w:rsid w:val="00EF744C"/>
    <w:rsid w:val="00EF766A"/>
    <w:rsid w:val="00EF791D"/>
    <w:rsid w:val="00EF7D4E"/>
    <w:rsid w:val="00EF7D74"/>
    <w:rsid w:val="00F00316"/>
    <w:rsid w:val="00F0086F"/>
    <w:rsid w:val="00F00986"/>
    <w:rsid w:val="00F00B25"/>
    <w:rsid w:val="00F00BE8"/>
    <w:rsid w:val="00F00C0D"/>
    <w:rsid w:val="00F013C2"/>
    <w:rsid w:val="00F027EB"/>
    <w:rsid w:val="00F028DC"/>
    <w:rsid w:val="00F02ECA"/>
    <w:rsid w:val="00F034F3"/>
    <w:rsid w:val="00F03BFC"/>
    <w:rsid w:val="00F0402A"/>
    <w:rsid w:val="00F044AD"/>
    <w:rsid w:val="00F04729"/>
    <w:rsid w:val="00F047E6"/>
    <w:rsid w:val="00F04B45"/>
    <w:rsid w:val="00F05118"/>
    <w:rsid w:val="00F053F5"/>
    <w:rsid w:val="00F05571"/>
    <w:rsid w:val="00F0668C"/>
    <w:rsid w:val="00F06B03"/>
    <w:rsid w:val="00F0719A"/>
    <w:rsid w:val="00F0721E"/>
    <w:rsid w:val="00F07628"/>
    <w:rsid w:val="00F07A64"/>
    <w:rsid w:val="00F07D7C"/>
    <w:rsid w:val="00F07F68"/>
    <w:rsid w:val="00F1044B"/>
    <w:rsid w:val="00F10EB5"/>
    <w:rsid w:val="00F11456"/>
    <w:rsid w:val="00F11620"/>
    <w:rsid w:val="00F11D3A"/>
    <w:rsid w:val="00F11E12"/>
    <w:rsid w:val="00F12588"/>
    <w:rsid w:val="00F126F5"/>
    <w:rsid w:val="00F135D7"/>
    <w:rsid w:val="00F13623"/>
    <w:rsid w:val="00F13C3F"/>
    <w:rsid w:val="00F13D3E"/>
    <w:rsid w:val="00F14024"/>
    <w:rsid w:val="00F14903"/>
    <w:rsid w:val="00F154B2"/>
    <w:rsid w:val="00F155BA"/>
    <w:rsid w:val="00F171A8"/>
    <w:rsid w:val="00F176F9"/>
    <w:rsid w:val="00F20194"/>
    <w:rsid w:val="00F20679"/>
    <w:rsid w:val="00F2082A"/>
    <w:rsid w:val="00F2096A"/>
    <w:rsid w:val="00F20DB2"/>
    <w:rsid w:val="00F20F01"/>
    <w:rsid w:val="00F210DC"/>
    <w:rsid w:val="00F21372"/>
    <w:rsid w:val="00F214DB"/>
    <w:rsid w:val="00F21961"/>
    <w:rsid w:val="00F21B62"/>
    <w:rsid w:val="00F22122"/>
    <w:rsid w:val="00F235DD"/>
    <w:rsid w:val="00F23CA2"/>
    <w:rsid w:val="00F242C6"/>
    <w:rsid w:val="00F25682"/>
    <w:rsid w:val="00F267B4"/>
    <w:rsid w:val="00F26F8D"/>
    <w:rsid w:val="00F27A5F"/>
    <w:rsid w:val="00F27DC1"/>
    <w:rsid w:val="00F3009D"/>
    <w:rsid w:val="00F30169"/>
    <w:rsid w:val="00F30268"/>
    <w:rsid w:val="00F30ED0"/>
    <w:rsid w:val="00F30F2D"/>
    <w:rsid w:val="00F30FB2"/>
    <w:rsid w:val="00F312CD"/>
    <w:rsid w:val="00F3137F"/>
    <w:rsid w:val="00F32115"/>
    <w:rsid w:val="00F32195"/>
    <w:rsid w:val="00F32ACD"/>
    <w:rsid w:val="00F32BE8"/>
    <w:rsid w:val="00F32E47"/>
    <w:rsid w:val="00F33592"/>
    <w:rsid w:val="00F3378A"/>
    <w:rsid w:val="00F33EBF"/>
    <w:rsid w:val="00F349FD"/>
    <w:rsid w:val="00F3554F"/>
    <w:rsid w:val="00F35997"/>
    <w:rsid w:val="00F35AE5"/>
    <w:rsid w:val="00F35C31"/>
    <w:rsid w:val="00F35CCE"/>
    <w:rsid w:val="00F36F21"/>
    <w:rsid w:val="00F37312"/>
    <w:rsid w:val="00F37843"/>
    <w:rsid w:val="00F40554"/>
    <w:rsid w:val="00F40574"/>
    <w:rsid w:val="00F40B24"/>
    <w:rsid w:val="00F40D51"/>
    <w:rsid w:val="00F414E8"/>
    <w:rsid w:val="00F41643"/>
    <w:rsid w:val="00F42560"/>
    <w:rsid w:val="00F428ED"/>
    <w:rsid w:val="00F432E5"/>
    <w:rsid w:val="00F43BCF"/>
    <w:rsid w:val="00F43DC1"/>
    <w:rsid w:val="00F4471E"/>
    <w:rsid w:val="00F455AD"/>
    <w:rsid w:val="00F45B9E"/>
    <w:rsid w:val="00F461FF"/>
    <w:rsid w:val="00F47FDE"/>
    <w:rsid w:val="00F504E5"/>
    <w:rsid w:val="00F5053B"/>
    <w:rsid w:val="00F509C7"/>
    <w:rsid w:val="00F50D32"/>
    <w:rsid w:val="00F50E26"/>
    <w:rsid w:val="00F51BBC"/>
    <w:rsid w:val="00F520EB"/>
    <w:rsid w:val="00F52E22"/>
    <w:rsid w:val="00F53373"/>
    <w:rsid w:val="00F54702"/>
    <w:rsid w:val="00F555A9"/>
    <w:rsid w:val="00F56292"/>
    <w:rsid w:val="00F567FB"/>
    <w:rsid w:val="00F57104"/>
    <w:rsid w:val="00F57F6A"/>
    <w:rsid w:val="00F6019F"/>
    <w:rsid w:val="00F60B25"/>
    <w:rsid w:val="00F60C8B"/>
    <w:rsid w:val="00F60CB9"/>
    <w:rsid w:val="00F60EBD"/>
    <w:rsid w:val="00F60EF4"/>
    <w:rsid w:val="00F62460"/>
    <w:rsid w:val="00F62512"/>
    <w:rsid w:val="00F62858"/>
    <w:rsid w:val="00F62F3E"/>
    <w:rsid w:val="00F63024"/>
    <w:rsid w:val="00F63E9C"/>
    <w:rsid w:val="00F63FAD"/>
    <w:rsid w:val="00F6413A"/>
    <w:rsid w:val="00F6490C"/>
    <w:rsid w:val="00F658D4"/>
    <w:rsid w:val="00F66383"/>
    <w:rsid w:val="00F66A7E"/>
    <w:rsid w:val="00F66B5F"/>
    <w:rsid w:val="00F6709E"/>
    <w:rsid w:val="00F672BA"/>
    <w:rsid w:val="00F672FE"/>
    <w:rsid w:val="00F6761B"/>
    <w:rsid w:val="00F67D72"/>
    <w:rsid w:val="00F70723"/>
    <w:rsid w:val="00F70753"/>
    <w:rsid w:val="00F70AD2"/>
    <w:rsid w:val="00F714DB"/>
    <w:rsid w:val="00F71C65"/>
    <w:rsid w:val="00F72D21"/>
    <w:rsid w:val="00F72D7A"/>
    <w:rsid w:val="00F72EF1"/>
    <w:rsid w:val="00F7341B"/>
    <w:rsid w:val="00F738D2"/>
    <w:rsid w:val="00F73950"/>
    <w:rsid w:val="00F74905"/>
    <w:rsid w:val="00F74EA7"/>
    <w:rsid w:val="00F753EE"/>
    <w:rsid w:val="00F755CF"/>
    <w:rsid w:val="00F756F1"/>
    <w:rsid w:val="00F75B4F"/>
    <w:rsid w:val="00F767B9"/>
    <w:rsid w:val="00F768A4"/>
    <w:rsid w:val="00F77748"/>
    <w:rsid w:val="00F77863"/>
    <w:rsid w:val="00F8045F"/>
    <w:rsid w:val="00F80DBA"/>
    <w:rsid w:val="00F80DFD"/>
    <w:rsid w:val="00F817BF"/>
    <w:rsid w:val="00F824CD"/>
    <w:rsid w:val="00F82B1A"/>
    <w:rsid w:val="00F836C5"/>
    <w:rsid w:val="00F83A4C"/>
    <w:rsid w:val="00F84999"/>
    <w:rsid w:val="00F85180"/>
    <w:rsid w:val="00F85313"/>
    <w:rsid w:val="00F853F2"/>
    <w:rsid w:val="00F85564"/>
    <w:rsid w:val="00F85990"/>
    <w:rsid w:val="00F87307"/>
    <w:rsid w:val="00F8739B"/>
    <w:rsid w:val="00F87607"/>
    <w:rsid w:val="00F87858"/>
    <w:rsid w:val="00F87C76"/>
    <w:rsid w:val="00F90EFB"/>
    <w:rsid w:val="00F92C7B"/>
    <w:rsid w:val="00F9324B"/>
    <w:rsid w:val="00F93477"/>
    <w:rsid w:val="00F938B1"/>
    <w:rsid w:val="00F94164"/>
    <w:rsid w:val="00F94191"/>
    <w:rsid w:val="00F947A9"/>
    <w:rsid w:val="00F94A76"/>
    <w:rsid w:val="00F94AD0"/>
    <w:rsid w:val="00F94F9B"/>
    <w:rsid w:val="00F952AE"/>
    <w:rsid w:val="00F95E9D"/>
    <w:rsid w:val="00F96347"/>
    <w:rsid w:val="00F96C24"/>
    <w:rsid w:val="00F9707F"/>
    <w:rsid w:val="00F9722F"/>
    <w:rsid w:val="00F97257"/>
    <w:rsid w:val="00F97BD4"/>
    <w:rsid w:val="00F97C0B"/>
    <w:rsid w:val="00FA0A10"/>
    <w:rsid w:val="00FA22E6"/>
    <w:rsid w:val="00FA3120"/>
    <w:rsid w:val="00FA3959"/>
    <w:rsid w:val="00FA3AAC"/>
    <w:rsid w:val="00FA3CF7"/>
    <w:rsid w:val="00FA4445"/>
    <w:rsid w:val="00FA4A90"/>
    <w:rsid w:val="00FA4BE7"/>
    <w:rsid w:val="00FA5677"/>
    <w:rsid w:val="00FA57F9"/>
    <w:rsid w:val="00FA5D3B"/>
    <w:rsid w:val="00FA6505"/>
    <w:rsid w:val="00FA724D"/>
    <w:rsid w:val="00FA730F"/>
    <w:rsid w:val="00FA7D40"/>
    <w:rsid w:val="00FB0478"/>
    <w:rsid w:val="00FB1577"/>
    <w:rsid w:val="00FB15A7"/>
    <w:rsid w:val="00FB1EB3"/>
    <w:rsid w:val="00FB20A2"/>
    <w:rsid w:val="00FB223A"/>
    <w:rsid w:val="00FB25DB"/>
    <w:rsid w:val="00FB2D99"/>
    <w:rsid w:val="00FB34F3"/>
    <w:rsid w:val="00FB3746"/>
    <w:rsid w:val="00FB3854"/>
    <w:rsid w:val="00FB4155"/>
    <w:rsid w:val="00FB43B5"/>
    <w:rsid w:val="00FB43ED"/>
    <w:rsid w:val="00FB4984"/>
    <w:rsid w:val="00FB515D"/>
    <w:rsid w:val="00FB5B67"/>
    <w:rsid w:val="00FB5BB4"/>
    <w:rsid w:val="00FB6120"/>
    <w:rsid w:val="00FB73BD"/>
    <w:rsid w:val="00FB73FF"/>
    <w:rsid w:val="00FB7823"/>
    <w:rsid w:val="00FB791A"/>
    <w:rsid w:val="00FC0253"/>
    <w:rsid w:val="00FC0647"/>
    <w:rsid w:val="00FC0DAC"/>
    <w:rsid w:val="00FC15C3"/>
    <w:rsid w:val="00FC1A14"/>
    <w:rsid w:val="00FC1AE2"/>
    <w:rsid w:val="00FC20A3"/>
    <w:rsid w:val="00FC26B1"/>
    <w:rsid w:val="00FC2D79"/>
    <w:rsid w:val="00FC2DDB"/>
    <w:rsid w:val="00FC477C"/>
    <w:rsid w:val="00FC4848"/>
    <w:rsid w:val="00FC4CB5"/>
    <w:rsid w:val="00FC5211"/>
    <w:rsid w:val="00FC58AB"/>
    <w:rsid w:val="00FC59DE"/>
    <w:rsid w:val="00FC5D9F"/>
    <w:rsid w:val="00FC5E70"/>
    <w:rsid w:val="00FC5EB3"/>
    <w:rsid w:val="00FC6331"/>
    <w:rsid w:val="00FC65DA"/>
    <w:rsid w:val="00FC7203"/>
    <w:rsid w:val="00FC7379"/>
    <w:rsid w:val="00FD04F7"/>
    <w:rsid w:val="00FD094C"/>
    <w:rsid w:val="00FD0DB9"/>
    <w:rsid w:val="00FD1798"/>
    <w:rsid w:val="00FD30C1"/>
    <w:rsid w:val="00FD3124"/>
    <w:rsid w:val="00FD3592"/>
    <w:rsid w:val="00FD478D"/>
    <w:rsid w:val="00FD47AD"/>
    <w:rsid w:val="00FD47EE"/>
    <w:rsid w:val="00FD4A41"/>
    <w:rsid w:val="00FD4AF1"/>
    <w:rsid w:val="00FD5338"/>
    <w:rsid w:val="00FD5453"/>
    <w:rsid w:val="00FD587A"/>
    <w:rsid w:val="00FD6176"/>
    <w:rsid w:val="00FD6516"/>
    <w:rsid w:val="00FD70B8"/>
    <w:rsid w:val="00FD717B"/>
    <w:rsid w:val="00FE0A45"/>
    <w:rsid w:val="00FE0CB9"/>
    <w:rsid w:val="00FE0F9F"/>
    <w:rsid w:val="00FE11AD"/>
    <w:rsid w:val="00FE1CA7"/>
    <w:rsid w:val="00FE2CA3"/>
    <w:rsid w:val="00FE2EE2"/>
    <w:rsid w:val="00FE35DA"/>
    <w:rsid w:val="00FE3677"/>
    <w:rsid w:val="00FE4625"/>
    <w:rsid w:val="00FE46CF"/>
    <w:rsid w:val="00FE4722"/>
    <w:rsid w:val="00FE4EC5"/>
    <w:rsid w:val="00FE5DA3"/>
    <w:rsid w:val="00FE5E98"/>
    <w:rsid w:val="00FE6390"/>
    <w:rsid w:val="00FE66A0"/>
    <w:rsid w:val="00FE6B8A"/>
    <w:rsid w:val="00FE75ED"/>
    <w:rsid w:val="00FF058B"/>
    <w:rsid w:val="00FF0AF9"/>
    <w:rsid w:val="00FF1213"/>
    <w:rsid w:val="00FF1B60"/>
    <w:rsid w:val="00FF2775"/>
    <w:rsid w:val="00FF2B6C"/>
    <w:rsid w:val="00FF2C43"/>
    <w:rsid w:val="00FF2DF6"/>
    <w:rsid w:val="00FF30A0"/>
    <w:rsid w:val="00FF38F6"/>
    <w:rsid w:val="00FF40EE"/>
    <w:rsid w:val="00FF413B"/>
    <w:rsid w:val="00FF41A2"/>
    <w:rsid w:val="00FF4310"/>
    <w:rsid w:val="00FF4A58"/>
    <w:rsid w:val="00FF4DBD"/>
    <w:rsid w:val="00FF56D7"/>
    <w:rsid w:val="00FF5773"/>
    <w:rsid w:val="00FF5F62"/>
    <w:rsid w:val="00FF6702"/>
    <w:rsid w:val="00FF6B84"/>
    <w:rsid w:val="00FF6C3F"/>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914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8"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C78"/>
    <w:rPr>
      <w:rFonts w:ascii="Arial" w:eastAsia="Times New Roman" w:hAnsi="Arial" w:cs="Arial"/>
      <w:sz w:val="20"/>
      <w:szCs w:val="20"/>
      <w:lang w:val="en-AU"/>
    </w:rPr>
  </w:style>
  <w:style w:type="paragraph" w:styleId="Heading1">
    <w:name w:val="heading 1"/>
    <w:basedOn w:val="TOCTitle"/>
    <w:next w:val="Normal"/>
    <w:link w:val="Heading1Char"/>
    <w:autoRedefine/>
    <w:uiPriority w:val="1"/>
    <w:qFormat/>
    <w:rsid w:val="007060E4"/>
    <w:pPr>
      <w:numPr>
        <w:numId w:val="6"/>
      </w:numPr>
      <w:spacing w:after="300"/>
      <w:ind w:left="567" w:hanging="567"/>
    </w:pPr>
    <w:rPr>
      <w:color w:val="1F497D" w:themeColor="text2"/>
    </w:rPr>
  </w:style>
  <w:style w:type="paragraph" w:styleId="Heading2">
    <w:name w:val="heading 2"/>
    <w:basedOn w:val="Normal"/>
    <w:next w:val="Normal"/>
    <w:link w:val="Heading2Char"/>
    <w:uiPriority w:val="1"/>
    <w:unhideWhenUsed/>
    <w:qFormat/>
    <w:rsid w:val="000D2640"/>
    <w:pPr>
      <w:keepNext/>
      <w:keepLines/>
      <w:numPr>
        <w:numId w:val="8"/>
      </w:numPr>
      <w:spacing w:before="360" w:after="240"/>
      <w:outlineLvl w:val="1"/>
    </w:pPr>
    <w:rPr>
      <w:rFonts w:eastAsiaTheme="majorEastAsia"/>
      <w:b/>
      <w:bCs/>
      <w:color w:val="1F497D" w:themeColor="text2"/>
      <w:sz w:val="26"/>
      <w:szCs w:val="26"/>
    </w:rPr>
  </w:style>
  <w:style w:type="paragraph" w:styleId="Heading3">
    <w:name w:val="heading 3"/>
    <w:basedOn w:val="Normal"/>
    <w:next w:val="Normal"/>
    <w:link w:val="Heading3Char"/>
    <w:autoRedefine/>
    <w:uiPriority w:val="8"/>
    <w:unhideWhenUsed/>
    <w:qFormat/>
    <w:rsid w:val="001C6897"/>
    <w:pPr>
      <w:keepNext/>
      <w:keepLines/>
      <w:spacing w:before="280" w:after="120"/>
      <w:outlineLvl w:val="2"/>
    </w:pPr>
    <w:rPr>
      <w:rFonts w:ascii="Arial Bold" w:eastAsiaTheme="majorEastAsia" w:hAnsi="Arial Bold" w:cstheme="majorBidi"/>
      <w:b/>
      <w:bCs/>
      <w:color w:val="1F497D" w:themeColor="text2"/>
      <w:sz w:val="22"/>
      <w:szCs w:val="22"/>
    </w:rPr>
  </w:style>
  <w:style w:type="paragraph" w:styleId="Heading4">
    <w:name w:val="heading 4"/>
    <w:basedOn w:val="Normal"/>
    <w:next w:val="Normal"/>
    <w:link w:val="Heading4Char"/>
    <w:uiPriority w:val="9"/>
    <w:unhideWhenUsed/>
    <w:qFormat/>
    <w:rsid w:val="00C459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59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595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595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95A"/>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4595A"/>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60E4"/>
    <w:rPr>
      <w:rFonts w:ascii="Arial" w:eastAsia="Times New Roman" w:hAnsi="Arial" w:cs="Arial"/>
      <w:color w:val="1F497D" w:themeColor="text2"/>
      <w:sz w:val="40"/>
      <w:lang w:eastAsia="en-US"/>
    </w:rPr>
  </w:style>
  <w:style w:type="character" w:customStyle="1" w:styleId="Heading2Char">
    <w:name w:val="Heading 2 Char"/>
    <w:basedOn w:val="DefaultParagraphFont"/>
    <w:link w:val="Heading2"/>
    <w:uiPriority w:val="1"/>
    <w:rsid w:val="000D2640"/>
    <w:rPr>
      <w:rFonts w:ascii="Arial" w:eastAsiaTheme="majorEastAsia" w:hAnsi="Arial" w:cs="Arial"/>
      <w:b/>
      <w:bCs/>
      <w:color w:val="1F497D" w:themeColor="text2"/>
      <w:sz w:val="26"/>
      <w:szCs w:val="26"/>
      <w:lang w:val="en-AU"/>
    </w:rPr>
  </w:style>
  <w:style w:type="character" w:customStyle="1" w:styleId="Heading3Char">
    <w:name w:val="Heading 3 Char"/>
    <w:basedOn w:val="DefaultParagraphFont"/>
    <w:link w:val="Heading3"/>
    <w:uiPriority w:val="8"/>
    <w:rsid w:val="001C6897"/>
    <w:rPr>
      <w:rFonts w:ascii="Arial Bold" w:eastAsiaTheme="majorEastAsia" w:hAnsi="Arial Bold" w:cstheme="majorBidi"/>
      <w:b/>
      <w:bCs/>
      <w:color w:val="1F497D" w:themeColor="text2"/>
      <w:sz w:val="22"/>
      <w:szCs w:val="22"/>
      <w:lang w:val="en-AU"/>
    </w:rPr>
  </w:style>
  <w:style w:type="character" w:customStyle="1" w:styleId="Heading4Char">
    <w:name w:val="Heading 4 Char"/>
    <w:basedOn w:val="DefaultParagraphFont"/>
    <w:link w:val="Heading4"/>
    <w:uiPriority w:val="9"/>
    <w:rsid w:val="00C4595A"/>
    <w:rPr>
      <w:rFonts w:asciiTheme="majorHAnsi" w:eastAsiaTheme="majorEastAsia" w:hAnsiTheme="majorHAnsi" w:cstheme="majorBidi"/>
      <w:b/>
      <w:bCs/>
      <w:i/>
      <w:iCs/>
      <w:color w:val="4F81BD" w:themeColor="accent1"/>
      <w:sz w:val="20"/>
      <w:szCs w:val="20"/>
      <w:lang w:val="en-AU"/>
    </w:rPr>
  </w:style>
  <w:style w:type="character" w:customStyle="1" w:styleId="Heading5Char">
    <w:name w:val="Heading 5 Char"/>
    <w:basedOn w:val="DefaultParagraphFont"/>
    <w:link w:val="Heading5"/>
    <w:uiPriority w:val="9"/>
    <w:semiHidden/>
    <w:rsid w:val="00C4595A"/>
    <w:rPr>
      <w:rFonts w:asciiTheme="majorHAnsi" w:eastAsiaTheme="majorEastAsia" w:hAnsiTheme="majorHAnsi" w:cstheme="majorBidi"/>
      <w:color w:val="243F60" w:themeColor="accent1" w:themeShade="7F"/>
      <w:sz w:val="20"/>
      <w:szCs w:val="20"/>
      <w:lang w:val="en-AU"/>
    </w:rPr>
  </w:style>
  <w:style w:type="character" w:customStyle="1" w:styleId="Heading6Char">
    <w:name w:val="Heading 6 Char"/>
    <w:basedOn w:val="DefaultParagraphFont"/>
    <w:link w:val="Heading6"/>
    <w:uiPriority w:val="9"/>
    <w:semiHidden/>
    <w:rsid w:val="00C4595A"/>
    <w:rPr>
      <w:rFonts w:asciiTheme="majorHAnsi" w:eastAsiaTheme="majorEastAsia" w:hAnsiTheme="majorHAnsi" w:cstheme="majorBidi"/>
      <w:i/>
      <w:iCs/>
      <w:color w:val="243F60" w:themeColor="accent1" w:themeShade="7F"/>
      <w:sz w:val="20"/>
      <w:szCs w:val="20"/>
      <w:lang w:val="en-AU"/>
    </w:rPr>
  </w:style>
  <w:style w:type="character" w:customStyle="1" w:styleId="Heading7Char">
    <w:name w:val="Heading 7 Char"/>
    <w:basedOn w:val="DefaultParagraphFont"/>
    <w:link w:val="Heading7"/>
    <w:uiPriority w:val="9"/>
    <w:semiHidden/>
    <w:rsid w:val="00C4595A"/>
    <w:rPr>
      <w:rFonts w:asciiTheme="majorHAnsi" w:eastAsiaTheme="majorEastAsia" w:hAnsiTheme="majorHAnsi" w:cstheme="majorBidi"/>
      <w:i/>
      <w:iCs/>
      <w:color w:val="404040" w:themeColor="text1" w:themeTint="BF"/>
      <w:sz w:val="20"/>
      <w:szCs w:val="20"/>
      <w:lang w:val="en-AU"/>
    </w:rPr>
  </w:style>
  <w:style w:type="character" w:customStyle="1" w:styleId="Heading8Char">
    <w:name w:val="Heading 8 Char"/>
    <w:basedOn w:val="DefaultParagraphFont"/>
    <w:link w:val="Heading8"/>
    <w:uiPriority w:val="9"/>
    <w:semiHidden/>
    <w:rsid w:val="00C4595A"/>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C4595A"/>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uiPriority w:val="99"/>
    <w:unhideWhenUsed/>
    <w:rsid w:val="00371DFB"/>
    <w:pPr>
      <w:tabs>
        <w:tab w:val="center" w:pos="4320"/>
        <w:tab w:val="right" w:pos="8640"/>
      </w:tabs>
    </w:pPr>
  </w:style>
  <w:style w:type="character" w:customStyle="1" w:styleId="HeaderChar">
    <w:name w:val="Header Char"/>
    <w:basedOn w:val="DefaultParagraphFont"/>
    <w:link w:val="Header"/>
    <w:uiPriority w:val="99"/>
    <w:rsid w:val="00371DFB"/>
  </w:style>
  <w:style w:type="paragraph" w:styleId="Footer">
    <w:name w:val="footer"/>
    <w:basedOn w:val="Normal"/>
    <w:link w:val="FooterChar"/>
    <w:uiPriority w:val="99"/>
    <w:unhideWhenUsed/>
    <w:rsid w:val="00371DFB"/>
    <w:pPr>
      <w:tabs>
        <w:tab w:val="center" w:pos="4320"/>
        <w:tab w:val="right" w:pos="8640"/>
      </w:tabs>
    </w:pPr>
  </w:style>
  <w:style w:type="character" w:customStyle="1" w:styleId="FooterChar">
    <w:name w:val="Footer Char"/>
    <w:basedOn w:val="DefaultParagraphFont"/>
    <w:link w:val="Footer"/>
    <w:uiPriority w:val="99"/>
    <w:rsid w:val="00371DFB"/>
  </w:style>
  <w:style w:type="character" w:styleId="PageNumber">
    <w:name w:val="page number"/>
    <w:basedOn w:val="DefaultParagraphFont"/>
    <w:semiHidden/>
    <w:unhideWhenUsed/>
    <w:rsid w:val="00371DFB"/>
  </w:style>
  <w:style w:type="paragraph" w:styleId="ListParagraph">
    <w:name w:val="List Paragraph"/>
    <w:basedOn w:val="Normal"/>
    <w:autoRedefine/>
    <w:uiPriority w:val="1"/>
    <w:qFormat/>
    <w:rsid w:val="00C4595A"/>
    <w:pPr>
      <w:numPr>
        <w:numId w:val="4"/>
      </w:numPr>
      <w:spacing w:before="60"/>
    </w:pPr>
    <w:rPr>
      <w:rFonts w:ascii="Helvetica" w:hAnsi="Helvetica"/>
      <w:sz w:val="22"/>
      <w:szCs w:val="22"/>
    </w:rPr>
  </w:style>
  <w:style w:type="paragraph" w:styleId="FootnoteText">
    <w:name w:val="footnote text"/>
    <w:basedOn w:val="Normal"/>
    <w:link w:val="FootnoteTextChar"/>
    <w:unhideWhenUsed/>
    <w:rsid w:val="00F87C76"/>
  </w:style>
  <w:style w:type="character" w:customStyle="1" w:styleId="FootnoteTextChar">
    <w:name w:val="Footnote Text Char"/>
    <w:basedOn w:val="DefaultParagraphFont"/>
    <w:link w:val="FootnoteText"/>
    <w:uiPriority w:val="99"/>
    <w:rsid w:val="00F87C76"/>
  </w:style>
  <w:style w:type="character" w:styleId="FootnoteReference">
    <w:name w:val="footnote reference"/>
    <w:basedOn w:val="DefaultParagraphFont"/>
    <w:unhideWhenUsed/>
    <w:rsid w:val="00F87C76"/>
    <w:rPr>
      <w:vertAlign w:val="superscript"/>
    </w:rPr>
  </w:style>
  <w:style w:type="character" w:styleId="Hyperlink">
    <w:name w:val="Hyperlink"/>
    <w:basedOn w:val="DefaultParagraphFont"/>
    <w:uiPriority w:val="99"/>
    <w:unhideWhenUsed/>
    <w:rsid w:val="00724C48"/>
    <w:rPr>
      <w:color w:val="0000FF" w:themeColor="hyperlink"/>
      <w:u w:val="single"/>
    </w:rPr>
  </w:style>
  <w:style w:type="paragraph" w:customStyle="1" w:styleId="DraftHeading3">
    <w:name w:val="Draft Heading 3"/>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DraftHeading2">
    <w:name w:val="Draft Heading 2"/>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DraftHeading4">
    <w:name w:val="Draft Heading 4"/>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BodySection">
    <w:name w:val="Body Section"/>
    <w:next w:val="Normal"/>
    <w:rsid w:val="00D218F5"/>
    <w:pPr>
      <w:overflowPunct w:val="0"/>
      <w:autoSpaceDE w:val="0"/>
      <w:autoSpaceDN w:val="0"/>
      <w:adjustRightInd w:val="0"/>
      <w:spacing w:before="120"/>
      <w:ind w:left="1361"/>
    </w:pPr>
    <w:rPr>
      <w:rFonts w:ascii="Times New Roman" w:eastAsia="Times New Roman" w:hAnsi="Times New Roman" w:cs="Times New Roman"/>
      <w:szCs w:val="20"/>
      <w:lang w:val="en-AU" w:eastAsia="en-US"/>
    </w:rPr>
  </w:style>
  <w:style w:type="paragraph" w:customStyle="1" w:styleId="DraftHeading1">
    <w:name w:val="Draft Heading 1"/>
    <w:basedOn w:val="Normal"/>
    <w:next w:val="Normal"/>
    <w:rsid w:val="00D218F5"/>
    <w:pPr>
      <w:overflowPunct w:val="0"/>
      <w:autoSpaceDE w:val="0"/>
      <w:autoSpaceDN w:val="0"/>
      <w:adjustRightInd w:val="0"/>
      <w:spacing w:before="120"/>
      <w:outlineLvl w:val="2"/>
    </w:pPr>
    <w:rPr>
      <w:rFonts w:ascii="Times New Roman" w:hAnsi="Times New Roman" w:cs="Times New Roman"/>
      <w:b/>
      <w:lang w:eastAsia="en-US"/>
    </w:rPr>
  </w:style>
  <w:style w:type="paragraph" w:customStyle="1" w:styleId="Penalty">
    <w:name w:val="Penalty"/>
    <w:next w:val="Normal"/>
    <w:rsid w:val="00D218F5"/>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ascii="Times New Roman" w:eastAsia="Times New Roman" w:hAnsi="Times New Roman" w:cs="Times New Roman"/>
      <w:szCs w:val="20"/>
      <w:lang w:val="en-AU" w:eastAsia="en-US"/>
    </w:rPr>
  </w:style>
  <w:style w:type="paragraph" w:styleId="BalloonText">
    <w:name w:val="Balloon Text"/>
    <w:basedOn w:val="Normal"/>
    <w:link w:val="BalloonTextChar"/>
    <w:uiPriority w:val="99"/>
    <w:semiHidden/>
    <w:unhideWhenUsed/>
    <w:rsid w:val="003013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3B9"/>
    <w:rPr>
      <w:rFonts w:ascii="Lucida Grande" w:hAnsi="Lucida Grande" w:cs="Lucida Grande"/>
      <w:sz w:val="18"/>
      <w:szCs w:val="18"/>
    </w:rPr>
  </w:style>
  <w:style w:type="paragraph" w:styleId="TOC1">
    <w:name w:val="toc 1"/>
    <w:basedOn w:val="Normal"/>
    <w:next w:val="Normal"/>
    <w:autoRedefine/>
    <w:uiPriority w:val="39"/>
    <w:unhideWhenUsed/>
    <w:qFormat/>
    <w:rsid w:val="00252A3A"/>
    <w:pPr>
      <w:tabs>
        <w:tab w:val="left" w:pos="426"/>
        <w:tab w:val="right" w:leader="dot" w:pos="8222"/>
      </w:tabs>
      <w:spacing w:before="120"/>
      <w:ind w:right="45"/>
    </w:pPr>
    <w:rPr>
      <w:rFonts w:asciiTheme="majorHAnsi" w:hAnsiTheme="majorHAnsi"/>
      <w:b/>
      <w:noProof/>
      <w:sz w:val="22"/>
      <w:szCs w:val="22"/>
    </w:rPr>
  </w:style>
  <w:style w:type="paragraph" w:styleId="TOC2">
    <w:name w:val="toc 2"/>
    <w:basedOn w:val="Normal"/>
    <w:next w:val="Normal"/>
    <w:autoRedefine/>
    <w:uiPriority w:val="39"/>
    <w:unhideWhenUsed/>
    <w:qFormat/>
    <w:rsid w:val="00252A3A"/>
    <w:pPr>
      <w:tabs>
        <w:tab w:val="left" w:pos="993"/>
        <w:tab w:val="right" w:leader="dot" w:pos="8222"/>
      </w:tabs>
      <w:spacing w:before="120" w:after="120"/>
      <w:ind w:left="426" w:right="45"/>
    </w:pPr>
    <w:rPr>
      <w:b/>
      <w:sz w:val="22"/>
      <w:szCs w:val="22"/>
    </w:rPr>
  </w:style>
  <w:style w:type="paragraph" w:styleId="TOC3">
    <w:name w:val="toc 3"/>
    <w:basedOn w:val="Normal"/>
    <w:next w:val="Normal"/>
    <w:autoRedefine/>
    <w:uiPriority w:val="1"/>
    <w:unhideWhenUsed/>
    <w:qFormat/>
    <w:rsid w:val="0084461B"/>
    <w:pPr>
      <w:ind w:left="480"/>
    </w:pPr>
    <w:rPr>
      <w:sz w:val="22"/>
      <w:szCs w:val="22"/>
    </w:rPr>
  </w:style>
  <w:style w:type="paragraph" w:styleId="TOC4">
    <w:name w:val="toc 4"/>
    <w:basedOn w:val="Normal"/>
    <w:next w:val="Normal"/>
    <w:autoRedefine/>
    <w:uiPriority w:val="1"/>
    <w:unhideWhenUsed/>
    <w:qFormat/>
    <w:rsid w:val="0084461B"/>
    <w:pPr>
      <w:ind w:left="720"/>
    </w:pPr>
  </w:style>
  <w:style w:type="paragraph" w:styleId="TOC5">
    <w:name w:val="toc 5"/>
    <w:basedOn w:val="Normal"/>
    <w:next w:val="Normal"/>
    <w:autoRedefine/>
    <w:uiPriority w:val="1"/>
    <w:unhideWhenUsed/>
    <w:qFormat/>
    <w:rsid w:val="0084461B"/>
    <w:pPr>
      <w:ind w:left="960"/>
    </w:pPr>
  </w:style>
  <w:style w:type="paragraph" w:styleId="TOC6">
    <w:name w:val="toc 6"/>
    <w:basedOn w:val="Normal"/>
    <w:next w:val="Normal"/>
    <w:autoRedefine/>
    <w:uiPriority w:val="1"/>
    <w:unhideWhenUsed/>
    <w:qFormat/>
    <w:rsid w:val="0084461B"/>
    <w:pPr>
      <w:ind w:left="1200"/>
    </w:pPr>
  </w:style>
  <w:style w:type="paragraph" w:styleId="TOC7">
    <w:name w:val="toc 7"/>
    <w:basedOn w:val="Normal"/>
    <w:next w:val="Normal"/>
    <w:autoRedefine/>
    <w:uiPriority w:val="39"/>
    <w:unhideWhenUsed/>
    <w:rsid w:val="0084461B"/>
    <w:pPr>
      <w:ind w:left="1440"/>
    </w:pPr>
  </w:style>
  <w:style w:type="paragraph" w:styleId="TOC8">
    <w:name w:val="toc 8"/>
    <w:basedOn w:val="Normal"/>
    <w:next w:val="Normal"/>
    <w:autoRedefine/>
    <w:uiPriority w:val="39"/>
    <w:unhideWhenUsed/>
    <w:rsid w:val="0084461B"/>
    <w:pPr>
      <w:ind w:left="1680"/>
    </w:pPr>
  </w:style>
  <w:style w:type="paragraph" w:styleId="TOC9">
    <w:name w:val="toc 9"/>
    <w:basedOn w:val="Normal"/>
    <w:next w:val="Normal"/>
    <w:autoRedefine/>
    <w:uiPriority w:val="39"/>
    <w:unhideWhenUsed/>
    <w:rsid w:val="0084461B"/>
    <w:pPr>
      <w:ind w:left="1920"/>
    </w:pPr>
  </w:style>
  <w:style w:type="paragraph" w:customStyle="1" w:styleId="ShoulderReference">
    <w:name w:val="Shoulder Reference"/>
    <w:next w:val="Normal"/>
    <w:rsid w:val="009B6E8F"/>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ascii="Times New Roman" w:eastAsia="Times New Roman" w:hAnsi="Times New Roman" w:cs="Times New Roman"/>
      <w:b/>
      <w:noProof/>
      <w:spacing w:val="-6"/>
      <w:sz w:val="20"/>
      <w:szCs w:val="20"/>
      <w:lang w:val="en-AU" w:eastAsia="en-US"/>
    </w:rPr>
  </w:style>
  <w:style w:type="paragraph" w:customStyle="1" w:styleId="SideNote">
    <w:name w:val="Side Note"/>
    <w:basedOn w:val="Normal"/>
    <w:rsid w:val="00CC066E"/>
    <w:pPr>
      <w:framePr w:w="964" w:h="340" w:hSpace="180" w:vSpace="180" w:wrap="around" w:vAnchor="text" w:hAnchor="page" w:xAlign="inside" w:y="1"/>
      <w:suppressLineNumbers/>
      <w:overflowPunct w:val="0"/>
      <w:autoSpaceDE w:val="0"/>
      <w:autoSpaceDN w:val="0"/>
      <w:adjustRightInd w:val="0"/>
      <w:spacing w:before="120"/>
    </w:pPr>
    <w:rPr>
      <w:rFonts w:cs="Times New Roman"/>
      <w:b/>
      <w:spacing w:val="-10"/>
      <w:sz w:val="16"/>
      <w:lang w:eastAsia="en-US"/>
    </w:rPr>
  </w:style>
  <w:style w:type="paragraph" w:customStyle="1" w:styleId="Stars">
    <w:name w:val="Stars"/>
    <w:basedOn w:val="Normal"/>
    <w:next w:val="Normal"/>
    <w:rsid w:val="00CC066E"/>
    <w:pPr>
      <w:tabs>
        <w:tab w:val="right" w:pos="1418"/>
        <w:tab w:val="right" w:pos="2552"/>
        <w:tab w:val="right" w:pos="3686"/>
        <w:tab w:val="right" w:pos="4820"/>
        <w:tab w:val="right" w:pos="5954"/>
      </w:tabs>
      <w:overflowPunct w:val="0"/>
      <w:autoSpaceDE w:val="0"/>
      <w:autoSpaceDN w:val="0"/>
      <w:adjustRightInd w:val="0"/>
      <w:spacing w:before="120"/>
      <w:ind w:left="851"/>
    </w:pPr>
    <w:rPr>
      <w:rFonts w:ascii="Times New Roman" w:hAnsi="Times New Roman" w:cs="Times New Roman"/>
      <w:lang w:eastAsia="en-US"/>
    </w:rPr>
  </w:style>
  <w:style w:type="paragraph" w:customStyle="1" w:styleId="Char">
    <w:name w:val="Char"/>
    <w:basedOn w:val="Normal"/>
    <w:rsid w:val="00EF6D68"/>
    <w:rPr>
      <w:sz w:val="22"/>
      <w:szCs w:val="22"/>
      <w:lang w:eastAsia="en-US"/>
    </w:rPr>
  </w:style>
  <w:style w:type="table" w:styleId="TableGrid">
    <w:name w:val="Table Grid"/>
    <w:basedOn w:val="TableNormal"/>
    <w:uiPriority w:val="59"/>
    <w:rsid w:val="00EB1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EB115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EPANormal">
    <w:name w:val="EPA Normal"/>
    <w:basedOn w:val="Normal"/>
    <w:uiPriority w:val="2"/>
    <w:qFormat/>
    <w:rsid w:val="00C4595A"/>
    <w:rPr>
      <w:rFonts w:ascii="Times New Roman" w:hAnsi="Times New Roman" w:cs="Times New Roman"/>
      <w:lang w:eastAsia="en-US"/>
    </w:rPr>
  </w:style>
  <w:style w:type="paragraph" w:customStyle="1" w:styleId="BodyText2">
    <w:name w:val="Body Text2"/>
    <w:basedOn w:val="Normal"/>
    <w:rsid w:val="00B516CE"/>
    <w:pPr>
      <w:spacing w:after="80" w:line="220" w:lineRule="exact"/>
    </w:pPr>
    <w:rPr>
      <w:rFonts w:ascii="Interstate-Light" w:hAnsi="Interstate-Light" w:cs="Times New Roman"/>
      <w:sz w:val="18"/>
      <w:lang w:eastAsia="en-US"/>
    </w:rPr>
  </w:style>
  <w:style w:type="paragraph" w:styleId="NormalWeb">
    <w:name w:val="Normal (Web)"/>
    <w:basedOn w:val="Normal"/>
    <w:uiPriority w:val="99"/>
    <w:rsid w:val="004E7283"/>
    <w:pPr>
      <w:spacing w:before="100" w:beforeAutospacing="1" w:after="100" w:afterAutospacing="1"/>
    </w:pPr>
    <w:rPr>
      <w:rFonts w:ascii="Times New Roman" w:hAnsi="Times New Roman" w:cs="Times New Roman"/>
      <w:lang w:eastAsia="en-AU"/>
    </w:rPr>
  </w:style>
  <w:style w:type="paragraph" w:customStyle="1" w:styleId="Fill">
    <w:name w:val="Fill"/>
    <w:basedOn w:val="Normal"/>
    <w:uiPriority w:val="8"/>
    <w:rsid w:val="004E7283"/>
    <w:pPr>
      <w:spacing w:after="80" w:line="240" w:lineRule="exact"/>
    </w:pPr>
    <w:rPr>
      <w:rFonts w:eastAsiaTheme="minorHAnsi"/>
      <w:sz w:val="22"/>
      <w:lang w:eastAsia="en-US"/>
    </w:rPr>
  </w:style>
  <w:style w:type="paragraph" w:customStyle="1" w:styleId="Default">
    <w:name w:val="Default"/>
    <w:rsid w:val="000C278D"/>
    <w:pPr>
      <w:widowControl w:val="0"/>
      <w:autoSpaceDE w:val="0"/>
      <w:autoSpaceDN w:val="0"/>
      <w:adjustRightInd w:val="0"/>
    </w:pPr>
    <w:rPr>
      <w:rFonts w:ascii="Times New Roman" w:hAnsi="Times New Roman" w:cs="Times New Roman"/>
      <w:color w:val="000000"/>
    </w:rPr>
  </w:style>
  <w:style w:type="paragraph" w:customStyle="1" w:styleId="Tablehead">
    <w:name w:val="Table head"/>
    <w:basedOn w:val="Normal"/>
    <w:rsid w:val="005E287C"/>
    <w:pPr>
      <w:spacing w:before="120" w:after="120" w:line="210" w:lineRule="exact"/>
      <w:jc w:val="center"/>
    </w:pPr>
    <w:rPr>
      <w:rFonts w:ascii="MetaBold-Roman" w:hAnsi="MetaBold-Roman" w:cs="Times New Roman"/>
      <w:color w:val="666699"/>
      <w:sz w:val="18"/>
      <w:lang w:eastAsia="en-US"/>
    </w:rPr>
  </w:style>
  <w:style w:type="table" w:styleId="LightShading-Accent5">
    <w:name w:val="Light Shading Accent 5"/>
    <w:basedOn w:val="TableNormal"/>
    <w:uiPriority w:val="60"/>
    <w:rsid w:val="003467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3467F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D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en-US"/>
    </w:rPr>
  </w:style>
  <w:style w:type="character" w:customStyle="1" w:styleId="HTMLPreformattedChar">
    <w:name w:val="HTML Preformatted Char"/>
    <w:basedOn w:val="DefaultParagraphFont"/>
    <w:link w:val="HTMLPreformatted"/>
    <w:uiPriority w:val="99"/>
    <w:rsid w:val="00DB39D0"/>
    <w:rPr>
      <w:rFonts w:ascii="Courier" w:hAnsi="Courier" w:cs="Courier"/>
      <w:sz w:val="20"/>
      <w:szCs w:val="20"/>
      <w:lang w:val="en-AU" w:eastAsia="en-US"/>
    </w:rPr>
  </w:style>
  <w:style w:type="character" w:styleId="CommentReference">
    <w:name w:val="annotation reference"/>
    <w:basedOn w:val="DefaultParagraphFont"/>
    <w:uiPriority w:val="99"/>
    <w:semiHidden/>
    <w:unhideWhenUsed/>
    <w:rsid w:val="00C40256"/>
    <w:rPr>
      <w:sz w:val="16"/>
      <w:szCs w:val="16"/>
    </w:rPr>
  </w:style>
  <w:style w:type="paragraph" w:styleId="CommentText">
    <w:name w:val="annotation text"/>
    <w:basedOn w:val="Normal"/>
    <w:link w:val="CommentTextChar"/>
    <w:uiPriority w:val="99"/>
    <w:semiHidden/>
    <w:unhideWhenUsed/>
    <w:rsid w:val="00C40256"/>
  </w:style>
  <w:style w:type="character" w:customStyle="1" w:styleId="CommentTextChar">
    <w:name w:val="Comment Text Char"/>
    <w:basedOn w:val="DefaultParagraphFont"/>
    <w:link w:val="CommentText"/>
    <w:uiPriority w:val="99"/>
    <w:semiHidden/>
    <w:rsid w:val="00C40256"/>
    <w:rPr>
      <w:sz w:val="20"/>
      <w:szCs w:val="20"/>
    </w:rPr>
  </w:style>
  <w:style w:type="paragraph" w:styleId="CommentSubject">
    <w:name w:val="annotation subject"/>
    <w:basedOn w:val="CommentText"/>
    <w:next w:val="CommentText"/>
    <w:link w:val="CommentSubjectChar"/>
    <w:uiPriority w:val="99"/>
    <w:semiHidden/>
    <w:unhideWhenUsed/>
    <w:rsid w:val="00C40256"/>
    <w:rPr>
      <w:b/>
      <w:bCs/>
    </w:rPr>
  </w:style>
  <w:style w:type="character" w:customStyle="1" w:styleId="CommentSubjectChar">
    <w:name w:val="Comment Subject Char"/>
    <w:basedOn w:val="CommentTextChar"/>
    <w:link w:val="CommentSubject"/>
    <w:uiPriority w:val="99"/>
    <w:semiHidden/>
    <w:rsid w:val="00C40256"/>
    <w:rPr>
      <w:b/>
      <w:bCs/>
      <w:sz w:val="20"/>
      <w:szCs w:val="20"/>
    </w:rPr>
  </w:style>
  <w:style w:type="paragraph" w:styleId="Revision">
    <w:name w:val="Revision"/>
    <w:hidden/>
    <w:uiPriority w:val="99"/>
    <w:semiHidden/>
    <w:rsid w:val="00073786"/>
  </w:style>
  <w:style w:type="paragraph" w:customStyle="1" w:styleId="Bullet0">
    <w:name w:val="Bullet"/>
    <w:basedOn w:val="BodyText"/>
    <w:rsid w:val="001D576F"/>
    <w:pPr>
      <w:numPr>
        <w:numId w:val="1"/>
      </w:numPr>
    </w:pPr>
  </w:style>
  <w:style w:type="paragraph" w:styleId="BodyText">
    <w:name w:val="Body Text"/>
    <w:basedOn w:val="Normal"/>
    <w:link w:val="BodyTextChar"/>
    <w:uiPriority w:val="1"/>
    <w:qFormat/>
    <w:rsid w:val="001D576F"/>
    <w:pPr>
      <w:spacing w:after="240"/>
      <w:jc w:val="both"/>
    </w:pPr>
    <w:rPr>
      <w:rFonts w:cs="Times New Roman"/>
      <w:lang w:eastAsia="en-US"/>
    </w:rPr>
  </w:style>
  <w:style w:type="character" w:customStyle="1" w:styleId="BodyTextChar">
    <w:name w:val="Body Text Char"/>
    <w:basedOn w:val="DefaultParagraphFont"/>
    <w:link w:val="BodyText"/>
    <w:rsid w:val="001D576F"/>
    <w:rPr>
      <w:rFonts w:ascii="Arial" w:eastAsia="Times New Roman" w:hAnsi="Arial" w:cs="Times New Roman"/>
      <w:sz w:val="20"/>
      <w:szCs w:val="20"/>
      <w:lang w:val="en-AU" w:eastAsia="en-US"/>
    </w:rPr>
  </w:style>
  <w:style w:type="table" w:styleId="MediumList2-Accent1">
    <w:name w:val="Medium List 2 Accent 1"/>
    <w:basedOn w:val="TableNormal"/>
    <w:uiPriority w:val="66"/>
    <w:rsid w:val="007E658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AE7F23"/>
    <w:rPr>
      <w:rFonts w:ascii="Courier" w:eastAsiaTheme="minorEastAsia" w:hAnsi="Courier" w:cs="Courier"/>
      <w:sz w:val="20"/>
      <w:szCs w:val="20"/>
    </w:rPr>
  </w:style>
  <w:style w:type="character" w:customStyle="1" w:styleId="citation">
    <w:name w:val="citation"/>
    <w:basedOn w:val="DefaultParagraphFont"/>
    <w:rsid w:val="00537D98"/>
  </w:style>
  <w:style w:type="character" w:customStyle="1" w:styleId="reference-text">
    <w:name w:val="reference-text"/>
    <w:basedOn w:val="DefaultParagraphFont"/>
    <w:rsid w:val="00946E6A"/>
  </w:style>
  <w:style w:type="table" w:customStyle="1" w:styleId="Standard">
    <w:name w:val="Standard"/>
    <w:basedOn w:val="TableProfessional"/>
    <w:uiPriority w:val="99"/>
    <w:rsid w:val="00083A96"/>
    <w:rPr>
      <w:rFonts w:ascii="Arial" w:hAnsi="Arial"/>
      <w:sz w:val="20"/>
      <w:szCs w:val="20"/>
      <w:lang w:val="en-AU"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styleId="MediumShading2">
    <w:name w:val="Medium Shading 2"/>
    <w:basedOn w:val="TableNormal"/>
    <w:uiPriority w:val="64"/>
    <w:rsid w:val="00083A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083A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Professional"/>
    <w:uiPriority w:val="99"/>
    <w:rsid w:val="005F7420"/>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unhideWhenUsed/>
    <w:rsid w:val="00083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CM55">
    <w:name w:val="CM55"/>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4">
    <w:name w:val="CM54"/>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2">
    <w:name w:val="CM52"/>
    <w:basedOn w:val="Default"/>
    <w:next w:val="Default"/>
    <w:uiPriority w:val="99"/>
    <w:rsid w:val="00AF112D"/>
    <w:rPr>
      <w:rFonts w:ascii="Praxis Regular/Regular SC" w:hAnsi="Praxis Regular/Regular SC"/>
      <w:color w:val="auto"/>
      <w:lang w:eastAsia="en-US"/>
    </w:rPr>
  </w:style>
  <w:style w:type="paragraph" w:customStyle="1" w:styleId="FigureTablefootnote">
    <w:name w:val="Figure/Table footnote"/>
    <w:basedOn w:val="Normal"/>
    <w:next w:val="FigureTablenote"/>
    <w:uiPriority w:val="13"/>
    <w:qFormat/>
    <w:rsid w:val="00C4595A"/>
    <w:pPr>
      <w:keepLines/>
      <w:tabs>
        <w:tab w:val="num" w:pos="0"/>
      </w:tabs>
      <w:spacing w:before="40" w:after="40"/>
      <w:ind w:left="283" w:hanging="283"/>
    </w:pPr>
    <w:rPr>
      <w:rFonts w:cs="Times New Roman"/>
      <w:kern w:val="14"/>
      <w:sz w:val="17"/>
      <w:szCs w:val="17"/>
      <w:lang w:eastAsia="en-US"/>
    </w:rPr>
  </w:style>
  <w:style w:type="paragraph" w:customStyle="1" w:styleId="FigureTableheading">
    <w:name w:val="Figure/Table heading"/>
    <w:basedOn w:val="Normal"/>
    <w:next w:val="Normal"/>
    <w:uiPriority w:val="12"/>
    <w:qFormat/>
    <w:rsid w:val="00C4595A"/>
    <w:pPr>
      <w:keepNext/>
      <w:keepLines/>
      <w:tabs>
        <w:tab w:val="num" w:pos="0"/>
      </w:tabs>
      <w:spacing w:before="240" w:after="40" w:line="260" w:lineRule="exact"/>
      <w:jc w:val="center"/>
    </w:pPr>
    <w:rPr>
      <w:rFonts w:ascii="Arial Bold" w:hAnsi="Arial Bold" w:cs="Times New Roman"/>
      <w:b/>
      <w:kern w:val="14"/>
      <w:lang w:eastAsia="en-US"/>
    </w:rPr>
  </w:style>
  <w:style w:type="paragraph" w:customStyle="1" w:styleId="FigureTablenote">
    <w:name w:val="Figure/Table note"/>
    <w:basedOn w:val="Normal"/>
    <w:next w:val="FigureTablesource"/>
    <w:uiPriority w:val="14"/>
    <w:qFormat/>
    <w:rsid w:val="00C4595A"/>
    <w:pPr>
      <w:keepLines/>
      <w:tabs>
        <w:tab w:val="num" w:pos="0"/>
      </w:tabs>
      <w:spacing w:before="40" w:after="40"/>
    </w:pPr>
    <w:rPr>
      <w:rFonts w:cs="Times New Roman"/>
      <w:kern w:val="14"/>
      <w:sz w:val="17"/>
      <w:szCs w:val="17"/>
      <w:lang w:eastAsia="en-US"/>
    </w:rPr>
  </w:style>
  <w:style w:type="paragraph" w:customStyle="1" w:styleId="FigureTablesource">
    <w:name w:val="Figure/Table source"/>
    <w:basedOn w:val="Normal"/>
    <w:next w:val="Normal"/>
    <w:uiPriority w:val="15"/>
    <w:qFormat/>
    <w:rsid w:val="00C4595A"/>
    <w:pPr>
      <w:keepLines/>
      <w:tabs>
        <w:tab w:val="num" w:pos="0"/>
      </w:tabs>
      <w:spacing w:before="40" w:after="240"/>
    </w:pPr>
    <w:rPr>
      <w:rFonts w:cs="Times New Roman"/>
      <w:kern w:val="14"/>
      <w:sz w:val="17"/>
      <w:szCs w:val="17"/>
      <w:lang w:eastAsia="en-US"/>
    </w:rPr>
  </w:style>
  <w:style w:type="paragraph" w:customStyle="1" w:styleId="Clause">
    <w:name w:val="Clause"/>
    <w:basedOn w:val="Normal"/>
    <w:next w:val="Normal"/>
    <w:link w:val="ClauseChar"/>
    <w:rsid w:val="008B4829"/>
    <w:pPr>
      <w:suppressLineNumbers/>
      <w:tabs>
        <w:tab w:val="left" w:pos="426"/>
        <w:tab w:val="left" w:pos="992"/>
        <w:tab w:val="left" w:pos="1559"/>
        <w:tab w:val="left" w:pos="2126"/>
        <w:tab w:val="left" w:pos="2693"/>
        <w:tab w:val="left" w:pos="3260"/>
      </w:tabs>
      <w:overflowPunct w:val="0"/>
      <w:autoSpaceDE w:val="0"/>
      <w:autoSpaceDN w:val="0"/>
      <w:adjustRightInd w:val="0"/>
      <w:spacing w:before="180" w:line="264" w:lineRule="auto"/>
      <w:ind w:left="964" w:hanging="964"/>
      <w:textAlignment w:val="baseline"/>
    </w:pPr>
    <w:rPr>
      <w:rFonts w:ascii="Times New Roman" w:hAnsi="Times New Roman" w:cs="Times New Roman"/>
      <w:lang w:eastAsia="en-US"/>
    </w:rPr>
  </w:style>
  <w:style w:type="character" w:customStyle="1" w:styleId="ClauseChar">
    <w:name w:val="Clause Char"/>
    <w:basedOn w:val="DefaultParagraphFont"/>
    <w:link w:val="Clause"/>
    <w:rsid w:val="008B4829"/>
    <w:rPr>
      <w:rFonts w:ascii="Times New Roman" w:eastAsia="Times New Roman" w:hAnsi="Times New Roman" w:cs="Times New Roman"/>
      <w:sz w:val="20"/>
      <w:szCs w:val="20"/>
      <w:lang w:val="en-AU" w:eastAsia="en-US"/>
    </w:rPr>
  </w:style>
  <w:style w:type="table" w:styleId="LightList-Accent1">
    <w:name w:val="Light List Accent 1"/>
    <w:basedOn w:val="TableNormal"/>
    <w:uiPriority w:val="61"/>
    <w:rsid w:val="00B93D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1978F9"/>
    <w:rPr>
      <w:i/>
      <w:iCs/>
    </w:rPr>
  </w:style>
  <w:style w:type="character" w:customStyle="1" w:styleId="highlight">
    <w:name w:val="highlight"/>
    <w:basedOn w:val="DefaultParagraphFont"/>
    <w:rsid w:val="00B96DC6"/>
  </w:style>
  <w:style w:type="character" w:customStyle="1" w:styleId="includeassetsummary">
    <w:name w:val="include_asset_summary"/>
    <w:basedOn w:val="DefaultParagraphFont"/>
    <w:rsid w:val="00FB73BD"/>
  </w:style>
  <w:style w:type="paragraph" w:customStyle="1" w:styleId="BodySectionSub">
    <w:name w:val="Body Section (Sub)"/>
    <w:next w:val="Normal"/>
    <w:link w:val="BodySectionSubChar"/>
    <w:rsid w:val="00536C70"/>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eastAsia="en-US"/>
    </w:rPr>
  </w:style>
  <w:style w:type="character" w:customStyle="1" w:styleId="BodySectionSubChar">
    <w:name w:val="Body Section (Sub) Char"/>
    <w:basedOn w:val="DefaultParagraphFont"/>
    <w:link w:val="BodySectionSub"/>
    <w:rsid w:val="00536C70"/>
    <w:rPr>
      <w:rFonts w:ascii="Times New Roman" w:eastAsia="Times New Roman" w:hAnsi="Times New Roman" w:cs="Times New Roman"/>
      <w:szCs w:val="20"/>
      <w:lang w:val="en-AU" w:eastAsia="en-US"/>
    </w:rPr>
  </w:style>
  <w:style w:type="table" w:styleId="ColorfulList-Accent5">
    <w:name w:val="Colorful List Accent 5"/>
    <w:basedOn w:val="TableNormal"/>
    <w:uiPriority w:val="72"/>
    <w:rsid w:val="00F555A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2-Accent1">
    <w:name w:val="Medium Shading 2 Accent 1"/>
    <w:basedOn w:val="TableNormal"/>
    <w:uiPriority w:val="64"/>
    <w:rsid w:val="00F555A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C4595A"/>
    <w:rPr>
      <w:b/>
      <w:bCs/>
    </w:rPr>
  </w:style>
  <w:style w:type="table" w:styleId="ColorfulList-Accent3">
    <w:name w:val="Colorful List Accent 3"/>
    <w:basedOn w:val="TableNormal"/>
    <w:uiPriority w:val="72"/>
    <w:rsid w:val="004807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1-Accent1">
    <w:name w:val="Medium Grid 1 Accent 1"/>
    <w:basedOn w:val="TableNormal"/>
    <w:uiPriority w:val="67"/>
    <w:rsid w:val="00E272A7"/>
    <w:rPr>
      <w:rFonts w:ascii="Times New Roman" w:hAnsi="Times New Roman"/>
      <w:sz w:val="22"/>
      <w:szCs w:val="22"/>
      <w:lang w:val="en-AU"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ullet1">
    <w:name w:val="Bullet 1"/>
    <w:basedOn w:val="Normal"/>
    <w:uiPriority w:val="11"/>
    <w:qFormat/>
    <w:rsid w:val="00C4595A"/>
    <w:pPr>
      <w:numPr>
        <w:numId w:val="5"/>
      </w:numPr>
      <w:spacing w:before="80" w:after="80"/>
    </w:pPr>
    <w:rPr>
      <w:rFonts w:ascii="Calibri" w:hAnsi="Calibri" w:cs="Calibri"/>
      <w:sz w:val="22"/>
      <w:szCs w:val="22"/>
      <w:lang w:eastAsia="en-AU"/>
    </w:rPr>
  </w:style>
  <w:style w:type="paragraph" w:customStyle="1" w:styleId="Char0">
    <w:name w:val="Char"/>
    <w:basedOn w:val="Normal"/>
    <w:rsid w:val="00E52605"/>
    <w:rPr>
      <w:sz w:val="22"/>
      <w:szCs w:val="22"/>
      <w:lang w:eastAsia="en-US"/>
    </w:rPr>
  </w:style>
  <w:style w:type="paragraph" w:customStyle="1" w:styleId="Bullet2">
    <w:name w:val="Bullet 2"/>
    <w:basedOn w:val="Bullet1"/>
    <w:uiPriority w:val="11"/>
    <w:rsid w:val="00E52605"/>
    <w:pPr>
      <w:numPr>
        <w:ilvl w:val="1"/>
      </w:numPr>
    </w:pPr>
  </w:style>
  <w:style w:type="paragraph" w:customStyle="1" w:styleId="Bullet3">
    <w:name w:val="Bullet 3"/>
    <w:basedOn w:val="Bullet2"/>
    <w:uiPriority w:val="11"/>
    <w:rsid w:val="00E52605"/>
    <w:pPr>
      <w:numPr>
        <w:ilvl w:val="2"/>
      </w:numPr>
    </w:pPr>
  </w:style>
  <w:style w:type="paragraph" w:customStyle="1" w:styleId="dof-rteelement-p">
    <w:name w:val="dof-rteelement-p"/>
    <w:basedOn w:val="Normal"/>
    <w:rsid w:val="00607ADB"/>
    <w:pPr>
      <w:spacing w:before="100" w:beforeAutospacing="1" w:after="100" w:afterAutospacing="1"/>
    </w:pPr>
    <w:rPr>
      <w:rFonts w:ascii="Times" w:hAnsi="Times"/>
      <w:lang w:eastAsia="en-US"/>
    </w:rPr>
  </w:style>
  <w:style w:type="table" w:styleId="LightShading-Accent6">
    <w:name w:val="Light Shading Accent 6"/>
    <w:basedOn w:val="TableNormal"/>
    <w:uiPriority w:val="60"/>
    <w:rsid w:val="005956B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5956B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Body">
    <w:name w:val="_Body"/>
    <w:basedOn w:val="Normal"/>
    <w:qFormat/>
    <w:rsid w:val="006C6C78"/>
    <w:pPr>
      <w:spacing w:after="114"/>
    </w:pPr>
  </w:style>
  <w:style w:type="paragraph" w:customStyle="1" w:styleId="Bullet">
    <w:name w:val="_Bullet"/>
    <w:link w:val="BulletChar"/>
    <w:autoRedefine/>
    <w:qFormat/>
    <w:rsid w:val="00F97BD4"/>
    <w:pPr>
      <w:numPr>
        <w:numId w:val="2"/>
      </w:numPr>
      <w:tabs>
        <w:tab w:val="clear" w:pos="720"/>
        <w:tab w:val="num" w:pos="284"/>
      </w:tabs>
      <w:spacing w:after="114" w:line="220" w:lineRule="atLeast"/>
      <w:ind w:left="284" w:hanging="284"/>
    </w:pPr>
    <w:rPr>
      <w:rFonts w:ascii="Arial" w:eastAsia="Times New Roman" w:hAnsi="Arial" w:cs="Arial"/>
      <w:sz w:val="20"/>
      <w:szCs w:val="20"/>
      <w:lang w:val="en-AU" w:eastAsia="en-US"/>
    </w:rPr>
  </w:style>
  <w:style w:type="character" w:customStyle="1" w:styleId="BulletChar">
    <w:name w:val="_Bullet Char"/>
    <w:link w:val="Bullet"/>
    <w:rsid w:val="00F97BD4"/>
    <w:rPr>
      <w:rFonts w:ascii="Arial" w:eastAsia="Times New Roman" w:hAnsi="Arial" w:cs="Arial"/>
      <w:sz w:val="20"/>
      <w:szCs w:val="20"/>
      <w:lang w:val="en-AU" w:eastAsia="en-US"/>
    </w:rPr>
  </w:style>
  <w:style w:type="paragraph" w:customStyle="1" w:styleId="TblBdy">
    <w:name w:val="_TblBdy"/>
    <w:uiPriority w:val="1"/>
    <w:qFormat/>
    <w:rsid w:val="00C4595A"/>
    <w:pPr>
      <w:spacing w:before="80" w:after="60"/>
    </w:pPr>
    <w:rPr>
      <w:rFonts w:ascii="Arial" w:eastAsia="Times New Roman" w:hAnsi="Arial" w:cs="Arial"/>
      <w:sz w:val="18"/>
      <w:lang w:val="en-AU" w:eastAsia="en-US"/>
    </w:rPr>
  </w:style>
  <w:style w:type="paragraph" w:customStyle="1" w:styleId="TableTitle">
    <w:name w:val="_TableTitle"/>
    <w:qFormat/>
    <w:rsid w:val="00E14988"/>
    <w:pPr>
      <w:spacing w:after="120" w:line="220" w:lineRule="atLeast"/>
    </w:pPr>
    <w:rPr>
      <w:rFonts w:ascii="Arial" w:eastAsia="Times New Roman" w:hAnsi="Arial" w:cs="Arial"/>
      <w:b/>
      <w:color w:val="404040"/>
      <w:sz w:val="18"/>
      <w:szCs w:val="18"/>
      <w:lang w:val="en-AU" w:eastAsia="en-US"/>
    </w:rPr>
  </w:style>
  <w:style w:type="paragraph" w:customStyle="1" w:styleId="CertHBWhite">
    <w:name w:val="_CertHBWhite"/>
    <w:semiHidden/>
    <w:rsid w:val="000039F1"/>
    <w:pPr>
      <w:spacing w:line="720" w:lineRule="atLeast"/>
    </w:pPr>
    <w:rPr>
      <w:rFonts w:ascii="Arial" w:eastAsia="Times New Roman" w:hAnsi="Arial" w:cs="Arial"/>
      <w:color w:val="FFFFFF"/>
      <w:sz w:val="72"/>
      <w:lang w:val="en-AU" w:eastAsia="en-US"/>
    </w:rPr>
  </w:style>
  <w:style w:type="paragraph" w:customStyle="1" w:styleId="CertHDWhite">
    <w:name w:val="_CertHDWhite"/>
    <w:semiHidden/>
    <w:rsid w:val="000039F1"/>
    <w:pPr>
      <w:spacing w:line="440" w:lineRule="atLeast"/>
    </w:pPr>
    <w:rPr>
      <w:rFonts w:ascii="Arial" w:eastAsia="Times New Roman" w:hAnsi="Arial" w:cs="Arial"/>
      <w:color w:val="FFFFFF"/>
      <w:sz w:val="36"/>
      <w:lang w:val="en-AU" w:eastAsia="en-US"/>
    </w:rPr>
  </w:style>
  <w:style w:type="paragraph" w:customStyle="1" w:styleId="CertHE">
    <w:name w:val="_CertHE"/>
    <w:link w:val="CertHEChar"/>
    <w:semiHidden/>
    <w:rsid w:val="000039F1"/>
    <w:pPr>
      <w:spacing w:line="520" w:lineRule="atLeast"/>
    </w:pPr>
    <w:rPr>
      <w:rFonts w:ascii="Arial" w:eastAsia="Times New Roman" w:hAnsi="Arial" w:cs="Arial"/>
      <w:color w:val="F58426"/>
      <w:sz w:val="32"/>
      <w:lang w:val="en-AU" w:eastAsia="en-US"/>
    </w:rPr>
  </w:style>
  <w:style w:type="character" w:customStyle="1" w:styleId="CertHEChar">
    <w:name w:val="_CertHE Char"/>
    <w:link w:val="CertHE"/>
    <w:semiHidden/>
    <w:rsid w:val="000039F1"/>
    <w:rPr>
      <w:rFonts w:ascii="Arial" w:eastAsia="Times New Roman" w:hAnsi="Arial" w:cs="Arial"/>
      <w:color w:val="F58426"/>
      <w:sz w:val="32"/>
      <w:lang w:val="en-AU" w:eastAsia="en-US"/>
    </w:rPr>
  </w:style>
  <w:style w:type="paragraph" w:customStyle="1" w:styleId="HA">
    <w:name w:val="_HA"/>
    <w:next w:val="Body"/>
    <w:uiPriority w:val="2"/>
    <w:rsid w:val="000039F1"/>
    <w:pPr>
      <w:spacing w:after="600" w:line="460" w:lineRule="atLeast"/>
      <w:outlineLvl w:val="0"/>
    </w:pPr>
    <w:rPr>
      <w:rFonts w:ascii="Arial" w:eastAsia="Times New Roman" w:hAnsi="Arial" w:cs="Arial"/>
      <w:color w:val="F58426"/>
      <w:sz w:val="40"/>
      <w:lang w:eastAsia="en-US"/>
    </w:rPr>
  </w:style>
  <w:style w:type="paragraph" w:customStyle="1" w:styleId="TOCTitle">
    <w:name w:val="_TOCTitle"/>
    <w:basedOn w:val="HA"/>
    <w:next w:val="Body"/>
    <w:rsid w:val="000039F1"/>
  </w:style>
  <w:style w:type="paragraph" w:customStyle="1" w:styleId="HB">
    <w:name w:val="_HB"/>
    <w:next w:val="Body"/>
    <w:uiPriority w:val="2"/>
    <w:qFormat/>
    <w:rsid w:val="000D2640"/>
    <w:pPr>
      <w:spacing w:before="180" w:after="113" w:line="300" w:lineRule="atLeast"/>
      <w:outlineLvl w:val="0"/>
    </w:pPr>
    <w:rPr>
      <w:rFonts w:ascii="Arial" w:eastAsia="Times New Roman" w:hAnsi="Arial" w:cs="Arial"/>
      <w:b/>
      <w:color w:val="1F497D" w:themeColor="text2"/>
      <w:lang w:val="en-AU" w:eastAsia="en-US"/>
    </w:rPr>
  </w:style>
  <w:style w:type="paragraph" w:customStyle="1" w:styleId="HeadingA">
    <w:name w:val="Heading A"/>
    <w:basedOn w:val="Heading1"/>
    <w:link w:val="HeadingAChar"/>
    <w:autoRedefine/>
    <w:qFormat/>
    <w:rsid w:val="000D2640"/>
    <w:pPr>
      <w:numPr>
        <w:numId w:val="0"/>
      </w:numPr>
    </w:pPr>
  </w:style>
  <w:style w:type="paragraph" w:customStyle="1" w:styleId="Footernotes">
    <w:name w:val="Footer notes"/>
    <w:basedOn w:val="FootnoteText"/>
    <w:link w:val="FooternotesChar"/>
    <w:qFormat/>
    <w:rsid w:val="00DA7C65"/>
    <w:rPr>
      <w:sz w:val="16"/>
      <w:szCs w:val="16"/>
    </w:rPr>
  </w:style>
  <w:style w:type="character" w:customStyle="1" w:styleId="HeadingAChar">
    <w:name w:val="Heading A Char"/>
    <w:basedOn w:val="Heading1Char"/>
    <w:link w:val="HeadingA"/>
    <w:rsid w:val="000D2640"/>
    <w:rPr>
      <w:rFonts w:ascii="Arial" w:eastAsia="Times New Roman" w:hAnsi="Arial" w:cs="Arial"/>
      <w:color w:val="1F497D" w:themeColor="text2"/>
      <w:sz w:val="40"/>
      <w:lang w:eastAsia="en-US"/>
    </w:rPr>
  </w:style>
  <w:style w:type="paragraph" w:customStyle="1" w:styleId="HeadingC">
    <w:name w:val="Heading C"/>
    <w:basedOn w:val="Normal"/>
    <w:link w:val="HeadingCChar"/>
    <w:qFormat/>
    <w:rsid w:val="00E510D1"/>
    <w:pPr>
      <w:spacing w:before="240" w:after="120"/>
    </w:pPr>
    <w:rPr>
      <w:rFonts w:ascii="Arial Bold" w:hAnsi="Arial Bold"/>
      <w:b/>
      <w:color w:val="808080" w:themeColor="background1" w:themeShade="80"/>
    </w:rPr>
  </w:style>
  <w:style w:type="character" w:customStyle="1" w:styleId="FooternotesChar">
    <w:name w:val="Footer notes Char"/>
    <w:basedOn w:val="FootnoteTextChar"/>
    <w:link w:val="Footernotes"/>
    <w:rsid w:val="00DA7C65"/>
    <w:rPr>
      <w:rFonts w:ascii="Arial" w:eastAsia="Times New Roman" w:hAnsi="Arial" w:cs="Arial"/>
      <w:sz w:val="16"/>
      <w:szCs w:val="16"/>
      <w:lang w:val="en-AU"/>
    </w:rPr>
  </w:style>
  <w:style w:type="paragraph" w:customStyle="1" w:styleId="TableParagraph">
    <w:name w:val="Table Paragraph"/>
    <w:basedOn w:val="Normal"/>
    <w:uiPriority w:val="1"/>
    <w:qFormat/>
    <w:rsid w:val="00543CB6"/>
    <w:pPr>
      <w:widowControl w:val="0"/>
    </w:pPr>
    <w:rPr>
      <w:rFonts w:asciiTheme="minorHAnsi" w:eastAsiaTheme="minorHAnsi" w:hAnsiTheme="minorHAnsi" w:cstheme="minorBidi"/>
      <w:sz w:val="22"/>
      <w:szCs w:val="22"/>
      <w:lang w:val="en-US" w:eastAsia="en-US"/>
    </w:rPr>
  </w:style>
  <w:style w:type="character" w:customStyle="1" w:styleId="HeadingCChar">
    <w:name w:val="Heading C Char"/>
    <w:basedOn w:val="DefaultParagraphFont"/>
    <w:link w:val="HeadingC"/>
    <w:rsid w:val="00E510D1"/>
    <w:rPr>
      <w:rFonts w:ascii="Arial Bold" w:eastAsia="Times New Roman" w:hAnsi="Arial Bold" w:cs="Arial"/>
      <w:b/>
      <w:color w:val="808080" w:themeColor="background1" w:themeShade="80"/>
      <w:sz w:val="20"/>
      <w:szCs w:val="20"/>
      <w:lang w:val="en-AU"/>
    </w:rPr>
  </w:style>
  <w:style w:type="numbering" w:customStyle="1" w:styleId="NoList1">
    <w:name w:val="No List1"/>
    <w:next w:val="NoList"/>
    <w:uiPriority w:val="99"/>
    <w:semiHidden/>
    <w:unhideWhenUsed/>
    <w:rsid w:val="00A64EEB"/>
  </w:style>
  <w:style w:type="table" w:styleId="TableClassic3">
    <w:name w:val="Table Classic 3"/>
    <w:basedOn w:val="TableNormal"/>
    <w:semiHidden/>
    <w:rsid w:val="00C63F79"/>
    <w:rPr>
      <w:rFonts w:ascii="Times New Roman" w:eastAsia="Times New Roman" w:hAnsi="Times New Roman" w:cs="Times New Roman"/>
      <w:color w:val="000080"/>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ableText">
    <w:name w:val="Table Text"/>
    <w:basedOn w:val="Normal"/>
    <w:uiPriority w:val="15"/>
    <w:qFormat/>
    <w:rsid w:val="000D16E0"/>
    <w:pPr>
      <w:spacing w:before="20" w:after="20"/>
    </w:pPr>
    <w:rPr>
      <w:rFonts w:ascii="Calibri" w:hAnsi="Calibri" w:cs="Calibri"/>
      <w:szCs w:val="22"/>
      <w:lang w:eastAsia="en-AU"/>
    </w:rPr>
  </w:style>
  <w:style w:type="paragraph" w:customStyle="1" w:styleId="TableHeader">
    <w:name w:val="Table Header"/>
    <w:basedOn w:val="TableText"/>
    <w:uiPriority w:val="15"/>
    <w:qFormat/>
    <w:rsid w:val="000D16E0"/>
    <w:pPr>
      <w:keepNext/>
      <w:spacing w:before="40" w:after="40"/>
    </w:pPr>
    <w:rPr>
      <w:color w:val="333333"/>
      <w:sz w:val="24"/>
    </w:rPr>
  </w:style>
  <w:style w:type="paragraph" w:customStyle="1" w:styleId="Small">
    <w:name w:val="Small"/>
    <w:basedOn w:val="Normal"/>
    <w:rsid w:val="000D16E0"/>
    <w:pPr>
      <w:jc w:val="both"/>
    </w:pPr>
    <w:rPr>
      <w:rFonts w:ascii="Arial Narrow" w:hAnsi="Arial Narrow" w:cs="Times New Roman"/>
      <w:sz w:val="2"/>
      <w:lang w:eastAsia="en-US"/>
    </w:rPr>
  </w:style>
  <w:style w:type="table" w:styleId="ColorfulGrid-Accent1">
    <w:name w:val="Colorful Grid Accent 1"/>
    <w:basedOn w:val="TableNormal"/>
    <w:uiPriority w:val="73"/>
    <w:rsid w:val="008615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8pttabletext">
    <w:name w:val="8pt table text"/>
    <w:basedOn w:val="Normal"/>
    <w:qFormat/>
    <w:rsid w:val="00390C5B"/>
    <w:pPr>
      <w:spacing w:line="200" w:lineRule="exact"/>
    </w:pPr>
    <w:rPr>
      <w:sz w:val="16"/>
      <w:szCs w:val="16"/>
      <w:lang w:eastAsia="en-AU"/>
    </w:rPr>
  </w:style>
  <w:style w:type="paragraph" w:customStyle="1" w:styleId="TableBullet">
    <w:name w:val="Table Bullet"/>
    <w:basedOn w:val="TableText"/>
    <w:uiPriority w:val="10"/>
    <w:qFormat/>
    <w:rsid w:val="00CF314F"/>
    <w:pPr>
      <w:numPr>
        <w:numId w:val="29"/>
      </w:numPr>
      <w:spacing w:before="0" w:after="0"/>
    </w:pPr>
  </w:style>
  <w:style w:type="paragraph" w:customStyle="1" w:styleId="TableBulletDash">
    <w:name w:val="Table Bullet Dash"/>
    <w:basedOn w:val="Normal"/>
    <w:uiPriority w:val="10"/>
    <w:rsid w:val="00CF314F"/>
    <w:pPr>
      <w:numPr>
        <w:ilvl w:val="1"/>
        <w:numId w:val="29"/>
      </w:numPr>
    </w:pPr>
    <w:rPr>
      <w:rFonts w:ascii="Calibri" w:hAnsi="Calibri" w:cs="Calibri"/>
      <w:szCs w:val="22"/>
      <w:lang w:eastAsia="en-AU"/>
    </w:rPr>
  </w:style>
  <w:style w:type="paragraph" w:customStyle="1" w:styleId="Char1">
    <w:name w:val="Char"/>
    <w:basedOn w:val="Normal"/>
    <w:rsid w:val="003F3328"/>
    <w:rPr>
      <w:sz w:val="22"/>
      <w:szCs w:val="22"/>
      <w:lang w:eastAsia="en-US"/>
    </w:rPr>
  </w:style>
  <w:style w:type="table" w:styleId="MediumShading1-Accent5">
    <w:name w:val="Medium Shading 1 Accent 5"/>
    <w:basedOn w:val="TableNormal"/>
    <w:uiPriority w:val="63"/>
    <w:rsid w:val="00671F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06A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8"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C78"/>
    <w:rPr>
      <w:rFonts w:ascii="Arial" w:eastAsia="Times New Roman" w:hAnsi="Arial" w:cs="Arial"/>
      <w:sz w:val="20"/>
      <w:szCs w:val="20"/>
      <w:lang w:val="en-AU"/>
    </w:rPr>
  </w:style>
  <w:style w:type="paragraph" w:styleId="Heading1">
    <w:name w:val="heading 1"/>
    <w:basedOn w:val="TOCTitle"/>
    <w:next w:val="Normal"/>
    <w:link w:val="Heading1Char"/>
    <w:autoRedefine/>
    <w:uiPriority w:val="1"/>
    <w:qFormat/>
    <w:rsid w:val="007060E4"/>
    <w:pPr>
      <w:numPr>
        <w:numId w:val="6"/>
      </w:numPr>
      <w:spacing w:after="300"/>
      <w:ind w:left="567" w:hanging="567"/>
    </w:pPr>
    <w:rPr>
      <w:color w:val="1F497D" w:themeColor="text2"/>
    </w:rPr>
  </w:style>
  <w:style w:type="paragraph" w:styleId="Heading2">
    <w:name w:val="heading 2"/>
    <w:basedOn w:val="Normal"/>
    <w:next w:val="Normal"/>
    <w:link w:val="Heading2Char"/>
    <w:uiPriority w:val="1"/>
    <w:unhideWhenUsed/>
    <w:qFormat/>
    <w:rsid w:val="000D2640"/>
    <w:pPr>
      <w:keepNext/>
      <w:keepLines/>
      <w:numPr>
        <w:numId w:val="8"/>
      </w:numPr>
      <w:spacing w:before="360" w:after="240"/>
      <w:outlineLvl w:val="1"/>
    </w:pPr>
    <w:rPr>
      <w:rFonts w:eastAsiaTheme="majorEastAsia"/>
      <w:b/>
      <w:bCs/>
      <w:color w:val="1F497D" w:themeColor="text2"/>
      <w:sz w:val="26"/>
      <w:szCs w:val="26"/>
    </w:rPr>
  </w:style>
  <w:style w:type="paragraph" w:styleId="Heading3">
    <w:name w:val="heading 3"/>
    <w:basedOn w:val="Normal"/>
    <w:next w:val="Normal"/>
    <w:link w:val="Heading3Char"/>
    <w:autoRedefine/>
    <w:uiPriority w:val="8"/>
    <w:unhideWhenUsed/>
    <w:qFormat/>
    <w:rsid w:val="001C6897"/>
    <w:pPr>
      <w:keepNext/>
      <w:keepLines/>
      <w:spacing w:before="280" w:after="120"/>
      <w:outlineLvl w:val="2"/>
    </w:pPr>
    <w:rPr>
      <w:rFonts w:ascii="Arial Bold" w:eastAsiaTheme="majorEastAsia" w:hAnsi="Arial Bold" w:cstheme="majorBidi"/>
      <w:b/>
      <w:bCs/>
      <w:color w:val="1F497D" w:themeColor="text2"/>
      <w:sz w:val="22"/>
      <w:szCs w:val="22"/>
    </w:rPr>
  </w:style>
  <w:style w:type="paragraph" w:styleId="Heading4">
    <w:name w:val="heading 4"/>
    <w:basedOn w:val="Normal"/>
    <w:next w:val="Normal"/>
    <w:link w:val="Heading4Char"/>
    <w:uiPriority w:val="9"/>
    <w:unhideWhenUsed/>
    <w:qFormat/>
    <w:rsid w:val="00C459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59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595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595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95A"/>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4595A"/>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60E4"/>
    <w:rPr>
      <w:rFonts w:ascii="Arial" w:eastAsia="Times New Roman" w:hAnsi="Arial" w:cs="Arial"/>
      <w:color w:val="1F497D" w:themeColor="text2"/>
      <w:sz w:val="40"/>
      <w:lang w:eastAsia="en-US"/>
    </w:rPr>
  </w:style>
  <w:style w:type="character" w:customStyle="1" w:styleId="Heading2Char">
    <w:name w:val="Heading 2 Char"/>
    <w:basedOn w:val="DefaultParagraphFont"/>
    <w:link w:val="Heading2"/>
    <w:uiPriority w:val="1"/>
    <w:rsid w:val="000D2640"/>
    <w:rPr>
      <w:rFonts w:ascii="Arial" w:eastAsiaTheme="majorEastAsia" w:hAnsi="Arial" w:cs="Arial"/>
      <w:b/>
      <w:bCs/>
      <w:color w:val="1F497D" w:themeColor="text2"/>
      <w:sz w:val="26"/>
      <w:szCs w:val="26"/>
      <w:lang w:val="en-AU"/>
    </w:rPr>
  </w:style>
  <w:style w:type="character" w:customStyle="1" w:styleId="Heading3Char">
    <w:name w:val="Heading 3 Char"/>
    <w:basedOn w:val="DefaultParagraphFont"/>
    <w:link w:val="Heading3"/>
    <w:uiPriority w:val="8"/>
    <w:rsid w:val="001C6897"/>
    <w:rPr>
      <w:rFonts w:ascii="Arial Bold" w:eastAsiaTheme="majorEastAsia" w:hAnsi="Arial Bold" w:cstheme="majorBidi"/>
      <w:b/>
      <w:bCs/>
      <w:color w:val="1F497D" w:themeColor="text2"/>
      <w:sz w:val="22"/>
      <w:szCs w:val="22"/>
      <w:lang w:val="en-AU"/>
    </w:rPr>
  </w:style>
  <w:style w:type="character" w:customStyle="1" w:styleId="Heading4Char">
    <w:name w:val="Heading 4 Char"/>
    <w:basedOn w:val="DefaultParagraphFont"/>
    <w:link w:val="Heading4"/>
    <w:uiPriority w:val="9"/>
    <w:rsid w:val="00C4595A"/>
    <w:rPr>
      <w:rFonts w:asciiTheme="majorHAnsi" w:eastAsiaTheme="majorEastAsia" w:hAnsiTheme="majorHAnsi" w:cstheme="majorBidi"/>
      <w:b/>
      <w:bCs/>
      <w:i/>
      <w:iCs/>
      <w:color w:val="4F81BD" w:themeColor="accent1"/>
      <w:sz w:val="20"/>
      <w:szCs w:val="20"/>
      <w:lang w:val="en-AU"/>
    </w:rPr>
  </w:style>
  <w:style w:type="character" w:customStyle="1" w:styleId="Heading5Char">
    <w:name w:val="Heading 5 Char"/>
    <w:basedOn w:val="DefaultParagraphFont"/>
    <w:link w:val="Heading5"/>
    <w:uiPriority w:val="9"/>
    <w:semiHidden/>
    <w:rsid w:val="00C4595A"/>
    <w:rPr>
      <w:rFonts w:asciiTheme="majorHAnsi" w:eastAsiaTheme="majorEastAsia" w:hAnsiTheme="majorHAnsi" w:cstheme="majorBidi"/>
      <w:color w:val="243F60" w:themeColor="accent1" w:themeShade="7F"/>
      <w:sz w:val="20"/>
      <w:szCs w:val="20"/>
      <w:lang w:val="en-AU"/>
    </w:rPr>
  </w:style>
  <w:style w:type="character" w:customStyle="1" w:styleId="Heading6Char">
    <w:name w:val="Heading 6 Char"/>
    <w:basedOn w:val="DefaultParagraphFont"/>
    <w:link w:val="Heading6"/>
    <w:uiPriority w:val="9"/>
    <w:semiHidden/>
    <w:rsid w:val="00C4595A"/>
    <w:rPr>
      <w:rFonts w:asciiTheme="majorHAnsi" w:eastAsiaTheme="majorEastAsia" w:hAnsiTheme="majorHAnsi" w:cstheme="majorBidi"/>
      <w:i/>
      <w:iCs/>
      <w:color w:val="243F60" w:themeColor="accent1" w:themeShade="7F"/>
      <w:sz w:val="20"/>
      <w:szCs w:val="20"/>
      <w:lang w:val="en-AU"/>
    </w:rPr>
  </w:style>
  <w:style w:type="character" w:customStyle="1" w:styleId="Heading7Char">
    <w:name w:val="Heading 7 Char"/>
    <w:basedOn w:val="DefaultParagraphFont"/>
    <w:link w:val="Heading7"/>
    <w:uiPriority w:val="9"/>
    <w:semiHidden/>
    <w:rsid w:val="00C4595A"/>
    <w:rPr>
      <w:rFonts w:asciiTheme="majorHAnsi" w:eastAsiaTheme="majorEastAsia" w:hAnsiTheme="majorHAnsi" w:cstheme="majorBidi"/>
      <w:i/>
      <w:iCs/>
      <w:color w:val="404040" w:themeColor="text1" w:themeTint="BF"/>
      <w:sz w:val="20"/>
      <w:szCs w:val="20"/>
      <w:lang w:val="en-AU"/>
    </w:rPr>
  </w:style>
  <w:style w:type="character" w:customStyle="1" w:styleId="Heading8Char">
    <w:name w:val="Heading 8 Char"/>
    <w:basedOn w:val="DefaultParagraphFont"/>
    <w:link w:val="Heading8"/>
    <w:uiPriority w:val="9"/>
    <w:semiHidden/>
    <w:rsid w:val="00C4595A"/>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C4595A"/>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uiPriority w:val="99"/>
    <w:unhideWhenUsed/>
    <w:rsid w:val="00371DFB"/>
    <w:pPr>
      <w:tabs>
        <w:tab w:val="center" w:pos="4320"/>
        <w:tab w:val="right" w:pos="8640"/>
      </w:tabs>
    </w:pPr>
  </w:style>
  <w:style w:type="character" w:customStyle="1" w:styleId="HeaderChar">
    <w:name w:val="Header Char"/>
    <w:basedOn w:val="DefaultParagraphFont"/>
    <w:link w:val="Header"/>
    <w:uiPriority w:val="99"/>
    <w:rsid w:val="00371DFB"/>
  </w:style>
  <w:style w:type="paragraph" w:styleId="Footer">
    <w:name w:val="footer"/>
    <w:basedOn w:val="Normal"/>
    <w:link w:val="FooterChar"/>
    <w:uiPriority w:val="99"/>
    <w:unhideWhenUsed/>
    <w:rsid w:val="00371DFB"/>
    <w:pPr>
      <w:tabs>
        <w:tab w:val="center" w:pos="4320"/>
        <w:tab w:val="right" w:pos="8640"/>
      </w:tabs>
    </w:pPr>
  </w:style>
  <w:style w:type="character" w:customStyle="1" w:styleId="FooterChar">
    <w:name w:val="Footer Char"/>
    <w:basedOn w:val="DefaultParagraphFont"/>
    <w:link w:val="Footer"/>
    <w:uiPriority w:val="99"/>
    <w:rsid w:val="00371DFB"/>
  </w:style>
  <w:style w:type="character" w:styleId="PageNumber">
    <w:name w:val="page number"/>
    <w:basedOn w:val="DefaultParagraphFont"/>
    <w:semiHidden/>
    <w:unhideWhenUsed/>
    <w:rsid w:val="00371DFB"/>
  </w:style>
  <w:style w:type="paragraph" w:styleId="ListParagraph">
    <w:name w:val="List Paragraph"/>
    <w:basedOn w:val="Normal"/>
    <w:autoRedefine/>
    <w:uiPriority w:val="1"/>
    <w:qFormat/>
    <w:rsid w:val="00C4595A"/>
    <w:pPr>
      <w:numPr>
        <w:numId w:val="4"/>
      </w:numPr>
      <w:spacing w:before="60"/>
    </w:pPr>
    <w:rPr>
      <w:rFonts w:ascii="Helvetica" w:hAnsi="Helvetica"/>
      <w:sz w:val="22"/>
      <w:szCs w:val="22"/>
    </w:rPr>
  </w:style>
  <w:style w:type="paragraph" w:styleId="FootnoteText">
    <w:name w:val="footnote text"/>
    <w:basedOn w:val="Normal"/>
    <w:link w:val="FootnoteTextChar"/>
    <w:unhideWhenUsed/>
    <w:rsid w:val="00F87C76"/>
  </w:style>
  <w:style w:type="character" w:customStyle="1" w:styleId="FootnoteTextChar">
    <w:name w:val="Footnote Text Char"/>
    <w:basedOn w:val="DefaultParagraphFont"/>
    <w:link w:val="FootnoteText"/>
    <w:uiPriority w:val="99"/>
    <w:rsid w:val="00F87C76"/>
  </w:style>
  <w:style w:type="character" w:styleId="FootnoteReference">
    <w:name w:val="footnote reference"/>
    <w:basedOn w:val="DefaultParagraphFont"/>
    <w:unhideWhenUsed/>
    <w:rsid w:val="00F87C76"/>
    <w:rPr>
      <w:vertAlign w:val="superscript"/>
    </w:rPr>
  </w:style>
  <w:style w:type="character" w:styleId="Hyperlink">
    <w:name w:val="Hyperlink"/>
    <w:basedOn w:val="DefaultParagraphFont"/>
    <w:uiPriority w:val="99"/>
    <w:unhideWhenUsed/>
    <w:rsid w:val="00724C48"/>
    <w:rPr>
      <w:color w:val="0000FF" w:themeColor="hyperlink"/>
      <w:u w:val="single"/>
    </w:rPr>
  </w:style>
  <w:style w:type="paragraph" w:customStyle="1" w:styleId="DraftHeading3">
    <w:name w:val="Draft Heading 3"/>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DraftHeading2">
    <w:name w:val="Draft Heading 2"/>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DraftHeading4">
    <w:name w:val="Draft Heading 4"/>
    <w:basedOn w:val="Normal"/>
    <w:next w:val="Normal"/>
    <w:rsid w:val="00981269"/>
    <w:pPr>
      <w:overflowPunct w:val="0"/>
      <w:autoSpaceDE w:val="0"/>
      <w:autoSpaceDN w:val="0"/>
      <w:adjustRightInd w:val="0"/>
      <w:spacing w:before="120"/>
    </w:pPr>
    <w:rPr>
      <w:rFonts w:ascii="Times New Roman" w:hAnsi="Times New Roman" w:cs="Times New Roman"/>
      <w:lang w:eastAsia="en-US"/>
    </w:rPr>
  </w:style>
  <w:style w:type="paragraph" w:customStyle="1" w:styleId="BodySection">
    <w:name w:val="Body Section"/>
    <w:next w:val="Normal"/>
    <w:rsid w:val="00D218F5"/>
    <w:pPr>
      <w:overflowPunct w:val="0"/>
      <w:autoSpaceDE w:val="0"/>
      <w:autoSpaceDN w:val="0"/>
      <w:adjustRightInd w:val="0"/>
      <w:spacing w:before="120"/>
      <w:ind w:left="1361"/>
    </w:pPr>
    <w:rPr>
      <w:rFonts w:ascii="Times New Roman" w:eastAsia="Times New Roman" w:hAnsi="Times New Roman" w:cs="Times New Roman"/>
      <w:szCs w:val="20"/>
      <w:lang w:val="en-AU" w:eastAsia="en-US"/>
    </w:rPr>
  </w:style>
  <w:style w:type="paragraph" w:customStyle="1" w:styleId="DraftHeading1">
    <w:name w:val="Draft Heading 1"/>
    <w:basedOn w:val="Normal"/>
    <w:next w:val="Normal"/>
    <w:rsid w:val="00D218F5"/>
    <w:pPr>
      <w:overflowPunct w:val="0"/>
      <w:autoSpaceDE w:val="0"/>
      <w:autoSpaceDN w:val="0"/>
      <w:adjustRightInd w:val="0"/>
      <w:spacing w:before="120"/>
      <w:outlineLvl w:val="2"/>
    </w:pPr>
    <w:rPr>
      <w:rFonts w:ascii="Times New Roman" w:hAnsi="Times New Roman" w:cs="Times New Roman"/>
      <w:b/>
      <w:lang w:eastAsia="en-US"/>
    </w:rPr>
  </w:style>
  <w:style w:type="paragraph" w:customStyle="1" w:styleId="Penalty">
    <w:name w:val="Penalty"/>
    <w:next w:val="Normal"/>
    <w:rsid w:val="00D218F5"/>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ascii="Times New Roman" w:eastAsia="Times New Roman" w:hAnsi="Times New Roman" w:cs="Times New Roman"/>
      <w:szCs w:val="20"/>
      <w:lang w:val="en-AU" w:eastAsia="en-US"/>
    </w:rPr>
  </w:style>
  <w:style w:type="paragraph" w:styleId="BalloonText">
    <w:name w:val="Balloon Text"/>
    <w:basedOn w:val="Normal"/>
    <w:link w:val="BalloonTextChar"/>
    <w:uiPriority w:val="99"/>
    <w:semiHidden/>
    <w:unhideWhenUsed/>
    <w:rsid w:val="003013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3B9"/>
    <w:rPr>
      <w:rFonts w:ascii="Lucida Grande" w:hAnsi="Lucida Grande" w:cs="Lucida Grande"/>
      <w:sz w:val="18"/>
      <w:szCs w:val="18"/>
    </w:rPr>
  </w:style>
  <w:style w:type="paragraph" w:styleId="TOC1">
    <w:name w:val="toc 1"/>
    <w:basedOn w:val="Normal"/>
    <w:next w:val="Normal"/>
    <w:autoRedefine/>
    <w:uiPriority w:val="39"/>
    <w:unhideWhenUsed/>
    <w:qFormat/>
    <w:rsid w:val="00252A3A"/>
    <w:pPr>
      <w:tabs>
        <w:tab w:val="left" w:pos="426"/>
        <w:tab w:val="right" w:leader="dot" w:pos="8222"/>
      </w:tabs>
      <w:spacing w:before="120"/>
      <w:ind w:right="45"/>
    </w:pPr>
    <w:rPr>
      <w:rFonts w:asciiTheme="majorHAnsi" w:hAnsiTheme="majorHAnsi"/>
      <w:b/>
      <w:noProof/>
      <w:sz w:val="22"/>
      <w:szCs w:val="22"/>
    </w:rPr>
  </w:style>
  <w:style w:type="paragraph" w:styleId="TOC2">
    <w:name w:val="toc 2"/>
    <w:basedOn w:val="Normal"/>
    <w:next w:val="Normal"/>
    <w:autoRedefine/>
    <w:uiPriority w:val="39"/>
    <w:unhideWhenUsed/>
    <w:qFormat/>
    <w:rsid w:val="00252A3A"/>
    <w:pPr>
      <w:tabs>
        <w:tab w:val="left" w:pos="993"/>
        <w:tab w:val="right" w:leader="dot" w:pos="8222"/>
      </w:tabs>
      <w:spacing w:before="120" w:after="120"/>
      <w:ind w:left="426" w:right="45"/>
    </w:pPr>
    <w:rPr>
      <w:b/>
      <w:sz w:val="22"/>
      <w:szCs w:val="22"/>
    </w:rPr>
  </w:style>
  <w:style w:type="paragraph" w:styleId="TOC3">
    <w:name w:val="toc 3"/>
    <w:basedOn w:val="Normal"/>
    <w:next w:val="Normal"/>
    <w:autoRedefine/>
    <w:uiPriority w:val="1"/>
    <w:unhideWhenUsed/>
    <w:qFormat/>
    <w:rsid w:val="0084461B"/>
    <w:pPr>
      <w:ind w:left="480"/>
    </w:pPr>
    <w:rPr>
      <w:sz w:val="22"/>
      <w:szCs w:val="22"/>
    </w:rPr>
  </w:style>
  <w:style w:type="paragraph" w:styleId="TOC4">
    <w:name w:val="toc 4"/>
    <w:basedOn w:val="Normal"/>
    <w:next w:val="Normal"/>
    <w:autoRedefine/>
    <w:uiPriority w:val="1"/>
    <w:unhideWhenUsed/>
    <w:qFormat/>
    <w:rsid w:val="0084461B"/>
    <w:pPr>
      <w:ind w:left="720"/>
    </w:pPr>
  </w:style>
  <w:style w:type="paragraph" w:styleId="TOC5">
    <w:name w:val="toc 5"/>
    <w:basedOn w:val="Normal"/>
    <w:next w:val="Normal"/>
    <w:autoRedefine/>
    <w:uiPriority w:val="1"/>
    <w:unhideWhenUsed/>
    <w:qFormat/>
    <w:rsid w:val="0084461B"/>
    <w:pPr>
      <w:ind w:left="960"/>
    </w:pPr>
  </w:style>
  <w:style w:type="paragraph" w:styleId="TOC6">
    <w:name w:val="toc 6"/>
    <w:basedOn w:val="Normal"/>
    <w:next w:val="Normal"/>
    <w:autoRedefine/>
    <w:uiPriority w:val="1"/>
    <w:unhideWhenUsed/>
    <w:qFormat/>
    <w:rsid w:val="0084461B"/>
    <w:pPr>
      <w:ind w:left="1200"/>
    </w:pPr>
  </w:style>
  <w:style w:type="paragraph" w:styleId="TOC7">
    <w:name w:val="toc 7"/>
    <w:basedOn w:val="Normal"/>
    <w:next w:val="Normal"/>
    <w:autoRedefine/>
    <w:uiPriority w:val="39"/>
    <w:unhideWhenUsed/>
    <w:rsid w:val="0084461B"/>
    <w:pPr>
      <w:ind w:left="1440"/>
    </w:pPr>
  </w:style>
  <w:style w:type="paragraph" w:styleId="TOC8">
    <w:name w:val="toc 8"/>
    <w:basedOn w:val="Normal"/>
    <w:next w:val="Normal"/>
    <w:autoRedefine/>
    <w:uiPriority w:val="39"/>
    <w:unhideWhenUsed/>
    <w:rsid w:val="0084461B"/>
    <w:pPr>
      <w:ind w:left="1680"/>
    </w:pPr>
  </w:style>
  <w:style w:type="paragraph" w:styleId="TOC9">
    <w:name w:val="toc 9"/>
    <w:basedOn w:val="Normal"/>
    <w:next w:val="Normal"/>
    <w:autoRedefine/>
    <w:uiPriority w:val="39"/>
    <w:unhideWhenUsed/>
    <w:rsid w:val="0084461B"/>
    <w:pPr>
      <w:ind w:left="1920"/>
    </w:pPr>
  </w:style>
  <w:style w:type="paragraph" w:customStyle="1" w:styleId="ShoulderReference">
    <w:name w:val="Shoulder Reference"/>
    <w:next w:val="Normal"/>
    <w:rsid w:val="009B6E8F"/>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ascii="Times New Roman" w:eastAsia="Times New Roman" w:hAnsi="Times New Roman" w:cs="Times New Roman"/>
      <w:b/>
      <w:noProof/>
      <w:spacing w:val="-6"/>
      <w:sz w:val="20"/>
      <w:szCs w:val="20"/>
      <w:lang w:val="en-AU" w:eastAsia="en-US"/>
    </w:rPr>
  </w:style>
  <w:style w:type="paragraph" w:customStyle="1" w:styleId="SideNote">
    <w:name w:val="Side Note"/>
    <w:basedOn w:val="Normal"/>
    <w:rsid w:val="00CC066E"/>
    <w:pPr>
      <w:framePr w:w="964" w:h="340" w:hSpace="180" w:vSpace="180" w:wrap="around" w:vAnchor="text" w:hAnchor="page" w:xAlign="inside" w:y="1"/>
      <w:suppressLineNumbers/>
      <w:overflowPunct w:val="0"/>
      <w:autoSpaceDE w:val="0"/>
      <w:autoSpaceDN w:val="0"/>
      <w:adjustRightInd w:val="0"/>
      <w:spacing w:before="120"/>
    </w:pPr>
    <w:rPr>
      <w:rFonts w:cs="Times New Roman"/>
      <w:b/>
      <w:spacing w:val="-10"/>
      <w:sz w:val="16"/>
      <w:lang w:eastAsia="en-US"/>
    </w:rPr>
  </w:style>
  <w:style w:type="paragraph" w:customStyle="1" w:styleId="Stars">
    <w:name w:val="Stars"/>
    <w:basedOn w:val="Normal"/>
    <w:next w:val="Normal"/>
    <w:rsid w:val="00CC066E"/>
    <w:pPr>
      <w:tabs>
        <w:tab w:val="right" w:pos="1418"/>
        <w:tab w:val="right" w:pos="2552"/>
        <w:tab w:val="right" w:pos="3686"/>
        <w:tab w:val="right" w:pos="4820"/>
        <w:tab w:val="right" w:pos="5954"/>
      </w:tabs>
      <w:overflowPunct w:val="0"/>
      <w:autoSpaceDE w:val="0"/>
      <w:autoSpaceDN w:val="0"/>
      <w:adjustRightInd w:val="0"/>
      <w:spacing w:before="120"/>
      <w:ind w:left="851"/>
    </w:pPr>
    <w:rPr>
      <w:rFonts w:ascii="Times New Roman" w:hAnsi="Times New Roman" w:cs="Times New Roman"/>
      <w:lang w:eastAsia="en-US"/>
    </w:rPr>
  </w:style>
  <w:style w:type="paragraph" w:customStyle="1" w:styleId="Char">
    <w:name w:val="Char"/>
    <w:basedOn w:val="Normal"/>
    <w:rsid w:val="00EF6D68"/>
    <w:rPr>
      <w:sz w:val="22"/>
      <w:szCs w:val="22"/>
      <w:lang w:eastAsia="en-US"/>
    </w:rPr>
  </w:style>
  <w:style w:type="table" w:styleId="TableGrid">
    <w:name w:val="Table Grid"/>
    <w:basedOn w:val="TableNormal"/>
    <w:uiPriority w:val="59"/>
    <w:rsid w:val="00EB1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EB115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EPANormal">
    <w:name w:val="EPA Normal"/>
    <w:basedOn w:val="Normal"/>
    <w:uiPriority w:val="2"/>
    <w:qFormat/>
    <w:rsid w:val="00C4595A"/>
    <w:rPr>
      <w:rFonts w:ascii="Times New Roman" w:hAnsi="Times New Roman" w:cs="Times New Roman"/>
      <w:lang w:eastAsia="en-US"/>
    </w:rPr>
  </w:style>
  <w:style w:type="paragraph" w:customStyle="1" w:styleId="BodyText2">
    <w:name w:val="Body Text2"/>
    <w:basedOn w:val="Normal"/>
    <w:rsid w:val="00B516CE"/>
    <w:pPr>
      <w:spacing w:after="80" w:line="220" w:lineRule="exact"/>
    </w:pPr>
    <w:rPr>
      <w:rFonts w:ascii="Interstate-Light" w:hAnsi="Interstate-Light" w:cs="Times New Roman"/>
      <w:sz w:val="18"/>
      <w:lang w:eastAsia="en-US"/>
    </w:rPr>
  </w:style>
  <w:style w:type="paragraph" w:styleId="NormalWeb">
    <w:name w:val="Normal (Web)"/>
    <w:basedOn w:val="Normal"/>
    <w:uiPriority w:val="99"/>
    <w:rsid w:val="004E7283"/>
    <w:pPr>
      <w:spacing w:before="100" w:beforeAutospacing="1" w:after="100" w:afterAutospacing="1"/>
    </w:pPr>
    <w:rPr>
      <w:rFonts w:ascii="Times New Roman" w:hAnsi="Times New Roman" w:cs="Times New Roman"/>
      <w:lang w:eastAsia="en-AU"/>
    </w:rPr>
  </w:style>
  <w:style w:type="paragraph" w:customStyle="1" w:styleId="Fill">
    <w:name w:val="Fill"/>
    <w:basedOn w:val="Normal"/>
    <w:uiPriority w:val="8"/>
    <w:rsid w:val="004E7283"/>
    <w:pPr>
      <w:spacing w:after="80" w:line="240" w:lineRule="exact"/>
    </w:pPr>
    <w:rPr>
      <w:rFonts w:eastAsiaTheme="minorHAnsi"/>
      <w:sz w:val="22"/>
      <w:lang w:eastAsia="en-US"/>
    </w:rPr>
  </w:style>
  <w:style w:type="paragraph" w:customStyle="1" w:styleId="Default">
    <w:name w:val="Default"/>
    <w:rsid w:val="000C278D"/>
    <w:pPr>
      <w:widowControl w:val="0"/>
      <w:autoSpaceDE w:val="0"/>
      <w:autoSpaceDN w:val="0"/>
      <w:adjustRightInd w:val="0"/>
    </w:pPr>
    <w:rPr>
      <w:rFonts w:ascii="Times New Roman" w:hAnsi="Times New Roman" w:cs="Times New Roman"/>
      <w:color w:val="000000"/>
    </w:rPr>
  </w:style>
  <w:style w:type="paragraph" w:customStyle="1" w:styleId="Tablehead">
    <w:name w:val="Table head"/>
    <w:basedOn w:val="Normal"/>
    <w:rsid w:val="005E287C"/>
    <w:pPr>
      <w:spacing w:before="120" w:after="120" w:line="210" w:lineRule="exact"/>
      <w:jc w:val="center"/>
    </w:pPr>
    <w:rPr>
      <w:rFonts w:ascii="MetaBold-Roman" w:hAnsi="MetaBold-Roman" w:cs="Times New Roman"/>
      <w:color w:val="666699"/>
      <w:sz w:val="18"/>
      <w:lang w:eastAsia="en-US"/>
    </w:rPr>
  </w:style>
  <w:style w:type="table" w:styleId="LightShading-Accent5">
    <w:name w:val="Light Shading Accent 5"/>
    <w:basedOn w:val="TableNormal"/>
    <w:uiPriority w:val="60"/>
    <w:rsid w:val="003467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3467F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D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en-US"/>
    </w:rPr>
  </w:style>
  <w:style w:type="character" w:customStyle="1" w:styleId="HTMLPreformattedChar">
    <w:name w:val="HTML Preformatted Char"/>
    <w:basedOn w:val="DefaultParagraphFont"/>
    <w:link w:val="HTMLPreformatted"/>
    <w:uiPriority w:val="99"/>
    <w:rsid w:val="00DB39D0"/>
    <w:rPr>
      <w:rFonts w:ascii="Courier" w:hAnsi="Courier" w:cs="Courier"/>
      <w:sz w:val="20"/>
      <w:szCs w:val="20"/>
      <w:lang w:val="en-AU" w:eastAsia="en-US"/>
    </w:rPr>
  </w:style>
  <w:style w:type="character" w:styleId="CommentReference">
    <w:name w:val="annotation reference"/>
    <w:basedOn w:val="DefaultParagraphFont"/>
    <w:uiPriority w:val="99"/>
    <w:semiHidden/>
    <w:unhideWhenUsed/>
    <w:rsid w:val="00C40256"/>
    <w:rPr>
      <w:sz w:val="16"/>
      <w:szCs w:val="16"/>
    </w:rPr>
  </w:style>
  <w:style w:type="paragraph" w:styleId="CommentText">
    <w:name w:val="annotation text"/>
    <w:basedOn w:val="Normal"/>
    <w:link w:val="CommentTextChar"/>
    <w:uiPriority w:val="99"/>
    <w:semiHidden/>
    <w:unhideWhenUsed/>
    <w:rsid w:val="00C40256"/>
  </w:style>
  <w:style w:type="character" w:customStyle="1" w:styleId="CommentTextChar">
    <w:name w:val="Comment Text Char"/>
    <w:basedOn w:val="DefaultParagraphFont"/>
    <w:link w:val="CommentText"/>
    <w:uiPriority w:val="99"/>
    <w:semiHidden/>
    <w:rsid w:val="00C40256"/>
    <w:rPr>
      <w:sz w:val="20"/>
      <w:szCs w:val="20"/>
    </w:rPr>
  </w:style>
  <w:style w:type="paragraph" w:styleId="CommentSubject">
    <w:name w:val="annotation subject"/>
    <w:basedOn w:val="CommentText"/>
    <w:next w:val="CommentText"/>
    <w:link w:val="CommentSubjectChar"/>
    <w:uiPriority w:val="99"/>
    <w:semiHidden/>
    <w:unhideWhenUsed/>
    <w:rsid w:val="00C40256"/>
    <w:rPr>
      <w:b/>
      <w:bCs/>
    </w:rPr>
  </w:style>
  <w:style w:type="character" w:customStyle="1" w:styleId="CommentSubjectChar">
    <w:name w:val="Comment Subject Char"/>
    <w:basedOn w:val="CommentTextChar"/>
    <w:link w:val="CommentSubject"/>
    <w:uiPriority w:val="99"/>
    <w:semiHidden/>
    <w:rsid w:val="00C40256"/>
    <w:rPr>
      <w:b/>
      <w:bCs/>
      <w:sz w:val="20"/>
      <w:szCs w:val="20"/>
    </w:rPr>
  </w:style>
  <w:style w:type="paragraph" w:styleId="Revision">
    <w:name w:val="Revision"/>
    <w:hidden/>
    <w:uiPriority w:val="99"/>
    <w:semiHidden/>
    <w:rsid w:val="00073786"/>
  </w:style>
  <w:style w:type="paragraph" w:customStyle="1" w:styleId="Bullet0">
    <w:name w:val="Bullet"/>
    <w:basedOn w:val="BodyText"/>
    <w:rsid w:val="001D576F"/>
    <w:pPr>
      <w:numPr>
        <w:numId w:val="1"/>
      </w:numPr>
    </w:pPr>
  </w:style>
  <w:style w:type="paragraph" w:styleId="BodyText">
    <w:name w:val="Body Text"/>
    <w:basedOn w:val="Normal"/>
    <w:link w:val="BodyTextChar"/>
    <w:uiPriority w:val="1"/>
    <w:qFormat/>
    <w:rsid w:val="001D576F"/>
    <w:pPr>
      <w:spacing w:after="240"/>
      <w:jc w:val="both"/>
    </w:pPr>
    <w:rPr>
      <w:rFonts w:cs="Times New Roman"/>
      <w:lang w:eastAsia="en-US"/>
    </w:rPr>
  </w:style>
  <w:style w:type="character" w:customStyle="1" w:styleId="BodyTextChar">
    <w:name w:val="Body Text Char"/>
    <w:basedOn w:val="DefaultParagraphFont"/>
    <w:link w:val="BodyText"/>
    <w:rsid w:val="001D576F"/>
    <w:rPr>
      <w:rFonts w:ascii="Arial" w:eastAsia="Times New Roman" w:hAnsi="Arial" w:cs="Times New Roman"/>
      <w:sz w:val="20"/>
      <w:szCs w:val="20"/>
      <w:lang w:val="en-AU" w:eastAsia="en-US"/>
    </w:rPr>
  </w:style>
  <w:style w:type="table" w:styleId="MediumList2-Accent1">
    <w:name w:val="Medium List 2 Accent 1"/>
    <w:basedOn w:val="TableNormal"/>
    <w:uiPriority w:val="66"/>
    <w:rsid w:val="007E658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AE7F23"/>
    <w:rPr>
      <w:rFonts w:ascii="Courier" w:eastAsiaTheme="minorEastAsia" w:hAnsi="Courier" w:cs="Courier"/>
      <w:sz w:val="20"/>
      <w:szCs w:val="20"/>
    </w:rPr>
  </w:style>
  <w:style w:type="character" w:customStyle="1" w:styleId="citation">
    <w:name w:val="citation"/>
    <w:basedOn w:val="DefaultParagraphFont"/>
    <w:rsid w:val="00537D98"/>
  </w:style>
  <w:style w:type="character" w:customStyle="1" w:styleId="reference-text">
    <w:name w:val="reference-text"/>
    <w:basedOn w:val="DefaultParagraphFont"/>
    <w:rsid w:val="00946E6A"/>
  </w:style>
  <w:style w:type="table" w:customStyle="1" w:styleId="Standard">
    <w:name w:val="Standard"/>
    <w:basedOn w:val="TableProfessional"/>
    <w:uiPriority w:val="99"/>
    <w:rsid w:val="00083A96"/>
    <w:rPr>
      <w:rFonts w:ascii="Arial" w:hAnsi="Arial"/>
      <w:sz w:val="20"/>
      <w:szCs w:val="20"/>
      <w:lang w:val="en-AU"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styleId="MediumShading2">
    <w:name w:val="Medium Shading 2"/>
    <w:basedOn w:val="TableNormal"/>
    <w:uiPriority w:val="64"/>
    <w:rsid w:val="00083A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083A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Professional"/>
    <w:uiPriority w:val="99"/>
    <w:rsid w:val="005F7420"/>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unhideWhenUsed/>
    <w:rsid w:val="00083A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CM55">
    <w:name w:val="CM55"/>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4">
    <w:name w:val="CM54"/>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2">
    <w:name w:val="CM52"/>
    <w:basedOn w:val="Default"/>
    <w:next w:val="Default"/>
    <w:uiPriority w:val="99"/>
    <w:rsid w:val="00AF112D"/>
    <w:rPr>
      <w:rFonts w:ascii="Praxis Regular/Regular SC" w:hAnsi="Praxis Regular/Regular SC"/>
      <w:color w:val="auto"/>
      <w:lang w:eastAsia="en-US"/>
    </w:rPr>
  </w:style>
  <w:style w:type="paragraph" w:customStyle="1" w:styleId="FigureTablefootnote">
    <w:name w:val="Figure/Table footnote"/>
    <w:basedOn w:val="Normal"/>
    <w:next w:val="FigureTablenote"/>
    <w:uiPriority w:val="13"/>
    <w:qFormat/>
    <w:rsid w:val="00C4595A"/>
    <w:pPr>
      <w:keepLines/>
      <w:tabs>
        <w:tab w:val="num" w:pos="0"/>
      </w:tabs>
      <w:spacing w:before="40" w:after="40"/>
      <w:ind w:left="283" w:hanging="283"/>
    </w:pPr>
    <w:rPr>
      <w:rFonts w:cs="Times New Roman"/>
      <w:kern w:val="14"/>
      <w:sz w:val="17"/>
      <w:szCs w:val="17"/>
      <w:lang w:eastAsia="en-US"/>
    </w:rPr>
  </w:style>
  <w:style w:type="paragraph" w:customStyle="1" w:styleId="FigureTableheading">
    <w:name w:val="Figure/Table heading"/>
    <w:basedOn w:val="Normal"/>
    <w:next w:val="Normal"/>
    <w:uiPriority w:val="12"/>
    <w:qFormat/>
    <w:rsid w:val="00C4595A"/>
    <w:pPr>
      <w:keepNext/>
      <w:keepLines/>
      <w:tabs>
        <w:tab w:val="num" w:pos="0"/>
      </w:tabs>
      <w:spacing w:before="240" w:after="40" w:line="260" w:lineRule="exact"/>
      <w:jc w:val="center"/>
    </w:pPr>
    <w:rPr>
      <w:rFonts w:ascii="Arial Bold" w:hAnsi="Arial Bold" w:cs="Times New Roman"/>
      <w:b/>
      <w:kern w:val="14"/>
      <w:lang w:eastAsia="en-US"/>
    </w:rPr>
  </w:style>
  <w:style w:type="paragraph" w:customStyle="1" w:styleId="FigureTablenote">
    <w:name w:val="Figure/Table note"/>
    <w:basedOn w:val="Normal"/>
    <w:next w:val="FigureTablesource"/>
    <w:uiPriority w:val="14"/>
    <w:qFormat/>
    <w:rsid w:val="00C4595A"/>
    <w:pPr>
      <w:keepLines/>
      <w:tabs>
        <w:tab w:val="num" w:pos="0"/>
      </w:tabs>
      <w:spacing w:before="40" w:after="40"/>
    </w:pPr>
    <w:rPr>
      <w:rFonts w:cs="Times New Roman"/>
      <w:kern w:val="14"/>
      <w:sz w:val="17"/>
      <w:szCs w:val="17"/>
      <w:lang w:eastAsia="en-US"/>
    </w:rPr>
  </w:style>
  <w:style w:type="paragraph" w:customStyle="1" w:styleId="FigureTablesource">
    <w:name w:val="Figure/Table source"/>
    <w:basedOn w:val="Normal"/>
    <w:next w:val="Normal"/>
    <w:uiPriority w:val="15"/>
    <w:qFormat/>
    <w:rsid w:val="00C4595A"/>
    <w:pPr>
      <w:keepLines/>
      <w:tabs>
        <w:tab w:val="num" w:pos="0"/>
      </w:tabs>
      <w:spacing w:before="40" w:after="240"/>
    </w:pPr>
    <w:rPr>
      <w:rFonts w:cs="Times New Roman"/>
      <w:kern w:val="14"/>
      <w:sz w:val="17"/>
      <w:szCs w:val="17"/>
      <w:lang w:eastAsia="en-US"/>
    </w:rPr>
  </w:style>
  <w:style w:type="paragraph" w:customStyle="1" w:styleId="Clause">
    <w:name w:val="Clause"/>
    <w:basedOn w:val="Normal"/>
    <w:next w:val="Normal"/>
    <w:link w:val="ClauseChar"/>
    <w:rsid w:val="008B4829"/>
    <w:pPr>
      <w:suppressLineNumbers/>
      <w:tabs>
        <w:tab w:val="left" w:pos="426"/>
        <w:tab w:val="left" w:pos="992"/>
        <w:tab w:val="left" w:pos="1559"/>
        <w:tab w:val="left" w:pos="2126"/>
        <w:tab w:val="left" w:pos="2693"/>
        <w:tab w:val="left" w:pos="3260"/>
      </w:tabs>
      <w:overflowPunct w:val="0"/>
      <w:autoSpaceDE w:val="0"/>
      <w:autoSpaceDN w:val="0"/>
      <w:adjustRightInd w:val="0"/>
      <w:spacing w:before="180" w:line="264" w:lineRule="auto"/>
      <w:ind w:left="964" w:hanging="964"/>
      <w:textAlignment w:val="baseline"/>
    </w:pPr>
    <w:rPr>
      <w:rFonts w:ascii="Times New Roman" w:hAnsi="Times New Roman" w:cs="Times New Roman"/>
      <w:lang w:eastAsia="en-US"/>
    </w:rPr>
  </w:style>
  <w:style w:type="character" w:customStyle="1" w:styleId="ClauseChar">
    <w:name w:val="Clause Char"/>
    <w:basedOn w:val="DefaultParagraphFont"/>
    <w:link w:val="Clause"/>
    <w:rsid w:val="008B4829"/>
    <w:rPr>
      <w:rFonts w:ascii="Times New Roman" w:eastAsia="Times New Roman" w:hAnsi="Times New Roman" w:cs="Times New Roman"/>
      <w:sz w:val="20"/>
      <w:szCs w:val="20"/>
      <w:lang w:val="en-AU" w:eastAsia="en-US"/>
    </w:rPr>
  </w:style>
  <w:style w:type="table" w:styleId="LightList-Accent1">
    <w:name w:val="Light List Accent 1"/>
    <w:basedOn w:val="TableNormal"/>
    <w:uiPriority w:val="61"/>
    <w:rsid w:val="00B93D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1978F9"/>
    <w:rPr>
      <w:i/>
      <w:iCs/>
    </w:rPr>
  </w:style>
  <w:style w:type="character" w:customStyle="1" w:styleId="highlight">
    <w:name w:val="highlight"/>
    <w:basedOn w:val="DefaultParagraphFont"/>
    <w:rsid w:val="00B96DC6"/>
  </w:style>
  <w:style w:type="character" w:customStyle="1" w:styleId="includeassetsummary">
    <w:name w:val="include_asset_summary"/>
    <w:basedOn w:val="DefaultParagraphFont"/>
    <w:rsid w:val="00FB73BD"/>
  </w:style>
  <w:style w:type="paragraph" w:customStyle="1" w:styleId="BodySectionSub">
    <w:name w:val="Body Section (Sub)"/>
    <w:next w:val="Normal"/>
    <w:link w:val="BodySectionSubChar"/>
    <w:rsid w:val="00536C70"/>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eastAsia="en-US"/>
    </w:rPr>
  </w:style>
  <w:style w:type="character" w:customStyle="1" w:styleId="BodySectionSubChar">
    <w:name w:val="Body Section (Sub) Char"/>
    <w:basedOn w:val="DefaultParagraphFont"/>
    <w:link w:val="BodySectionSub"/>
    <w:rsid w:val="00536C70"/>
    <w:rPr>
      <w:rFonts w:ascii="Times New Roman" w:eastAsia="Times New Roman" w:hAnsi="Times New Roman" w:cs="Times New Roman"/>
      <w:szCs w:val="20"/>
      <w:lang w:val="en-AU" w:eastAsia="en-US"/>
    </w:rPr>
  </w:style>
  <w:style w:type="table" w:styleId="ColorfulList-Accent5">
    <w:name w:val="Colorful List Accent 5"/>
    <w:basedOn w:val="TableNormal"/>
    <w:uiPriority w:val="72"/>
    <w:rsid w:val="00F555A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2-Accent1">
    <w:name w:val="Medium Shading 2 Accent 1"/>
    <w:basedOn w:val="TableNormal"/>
    <w:uiPriority w:val="64"/>
    <w:rsid w:val="00F555A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C4595A"/>
    <w:rPr>
      <w:b/>
      <w:bCs/>
    </w:rPr>
  </w:style>
  <w:style w:type="table" w:styleId="ColorfulList-Accent3">
    <w:name w:val="Colorful List Accent 3"/>
    <w:basedOn w:val="TableNormal"/>
    <w:uiPriority w:val="72"/>
    <w:rsid w:val="004807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1-Accent1">
    <w:name w:val="Medium Grid 1 Accent 1"/>
    <w:basedOn w:val="TableNormal"/>
    <w:uiPriority w:val="67"/>
    <w:rsid w:val="00E272A7"/>
    <w:rPr>
      <w:rFonts w:ascii="Times New Roman" w:hAnsi="Times New Roman"/>
      <w:sz w:val="22"/>
      <w:szCs w:val="22"/>
      <w:lang w:val="en-AU"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ullet1">
    <w:name w:val="Bullet 1"/>
    <w:basedOn w:val="Normal"/>
    <w:uiPriority w:val="11"/>
    <w:qFormat/>
    <w:rsid w:val="00C4595A"/>
    <w:pPr>
      <w:numPr>
        <w:numId w:val="5"/>
      </w:numPr>
      <w:spacing w:before="80" w:after="80"/>
    </w:pPr>
    <w:rPr>
      <w:rFonts w:ascii="Calibri" w:hAnsi="Calibri" w:cs="Calibri"/>
      <w:sz w:val="22"/>
      <w:szCs w:val="22"/>
      <w:lang w:eastAsia="en-AU"/>
    </w:rPr>
  </w:style>
  <w:style w:type="paragraph" w:customStyle="1" w:styleId="Char0">
    <w:name w:val="Char"/>
    <w:basedOn w:val="Normal"/>
    <w:rsid w:val="00E52605"/>
    <w:rPr>
      <w:sz w:val="22"/>
      <w:szCs w:val="22"/>
      <w:lang w:eastAsia="en-US"/>
    </w:rPr>
  </w:style>
  <w:style w:type="paragraph" w:customStyle="1" w:styleId="Bullet2">
    <w:name w:val="Bullet 2"/>
    <w:basedOn w:val="Bullet1"/>
    <w:uiPriority w:val="11"/>
    <w:rsid w:val="00E52605"/>
    <w:pPr>
      <w:numPr>
        <w:ilvl w:val="1"/>
      </w:numPr>
    </w:pPr>
  </w:style>
  <w:style w:type="paragraph" w:customStyle="1" w:styleId="Bullet3">
    <w:name w:val="Bullet 3"/>
    <w:basedOn w:val="Bullet2"/>
    <w:uiPriority w:val="11"/>
    <w:rsid w:val="00E52605"/>
    <w:pPr>
      <w:numPr>
        <w:ilvl w:val="2"/>
      </w:numPr>
    </w:pPr>
  </w:style>
  <w:style w:type="paragraph" w:customStyle="1" w:styleId="dof-rteelement-p">
    <w:name w:val="dof-rteelement-p"/>
    <w:basedOn w:val="Normal"/>
    <w:rsid w:val="00607ADB"/>
    <w:pPr>
      <w:spacing w:before="100" w:beforeAutospacing="1" w:after="100" w:afterAutospacing="1"/>
    </w:pPr>
    <w:rPr>
      <w:rFonts w:ascii="Times" w:hAnsi="Times"/>
      <w:lang w:eastAsia="en-US"/>
    </w:rPr>
  </w:style>
  <w:style w:type="table" w:styleId="LightShading-Accent6">
    <w:name w:val="Light Shading Accent 6"/>
    <w:basedOn w:val="TableNormal"/>
    <w:uiPriority w:val="60"/>
    <w:rsid w:val="005956B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5956B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Body">
    <w:name w:val="_Body"/>
    <w:basedOn w:val="Normal"/>
    <w:qFormat/>
    <w:rsid w:val="006C6C78"/>
    <w:pPr>
      <w:spacing w:after="114"/>
    </w:pPr>
  </w:style>
  <w:style w:type="paragraph" w:customStyle="1" w:styleId="Bullet">
    <w:name w:val="_Bullet"/>
    <w:link w:val="BulletChar"/>
    <w:autoRedefine/>
    <w:qFormat/>
    <w:rsid w:val="00F97BD4"/>
    <w:pPr>
      <w:numPr>
        <w:numId w:val="2"/>
      </w:numPr>
      <w:tabs>
        <w:tab w:val="clear" w:pos="720"/>
        <w:tab w:val="num" w:pos="284"/>
      </w:tabs>
      <w:spacing w:after="114" w:line="220" w:lineRule="atLeast"/>
      <w:ind w:left="284" w:hanging="284"/>
    </w:pPr>
    <w:rPr>
      <w:rFonts w:ascii="Arial" w:eastAsia="Times New Roman" w:hAnsi="Arial" w:cs="Arial"/>
      <w:sz w:val="20"/>
      <w:szCs w:val="20"/>
      <w:lang w:val="en-AU" w:eastAsia="en-US"/>
    </w:rPr>
  </w:style>
  <w:style w:type="character" w:customStyle="1" w:styleId="BulletChar">
    <w:name w:val="_Bullet Char"/>
    <w:link w:val="Bullet"/>
    <w:rsid w:val="00F97BD4"/>
    <w:rPr>
      <w:rFonts w:ascii="Arial" w:eastAsia="Times New Roman" w:hAnsi="Arial" w:cs="Arial"/>
      <w:sz w:val="20"/>
      <w:szCs w:val="20"/>
      <w:lang w:val="en-AU" w:eastAsia="en-US"/>
    </w:rPr>
  </w:style>
  <w:style w:type="paragraph" w:customStyle="1" w:styleId="TblBdy">
    <w:name w:val="_TblBdy"/>
    <w:uiPriority w:val="1"/>
    <w:qFormat/>
    <w:rsid w:val="00C4595A"/>
    <w:pPr>
      <w:spacing w:before="80" w:after="60"/>
    </w:pPr>
    <w:rPr>
      <w:rFonts w:ascii="Arial" w:eastAsia="Times New Roman" w:hAnsi="Arial" w:cs="Arial"/>
      <w:sz w:val="18"/>
      <w:lang w:val="en-AU" w:eastAsia="en-US"/>
    </w:rPr>
  </w:style>
  <w:style w:type="paragraph" w:customStyle="1" w:styleId="TableTitle">
    <w:name w:val="_TableTitle"/>
    <w:qFormat/>
    <w:rsid w:val="00E14988"/>
    <w:pPr>
      <w:spacing w:after="120" w:line="220" w:lineRule="atLeast"/>
    </w:pPr>
    <w:rPr>
      <w:rFonts w:ascii="Arial" w:eastAsia="Times New Roman" w:hAnsi="Arial" w:cs="Arial"/>
      <w:b/>
      <w:color w:val="404040"/>
      <w:sz w:val="18"/>
      <w:szCs w:val="18"/>
      <w:lang w:val="en-AU" w:eastAsia="en-US"/>
    </w:rPr>
  </w:style>
  <w:style w:type="paragraph" w:customStyle="1" w:styleId="CertHBWhite">
    <w:name w:val="_CertHBWhite"/>
    <w:semiHidden/>
    <w:rsid w:val="000039F1"/>
    <w:pPr>
      <w:spacing w:line="720" w:lineRule="atLeast"/>
    </w:pPr>
    <w:rPr>
      <w:rFonts w:ascii="Arial" w:eastAsia="Times New Roman" w:hAnsi="Arial" w:cs="Arial"/>
      <w:color w:val="FFFFFF"/>
      <w:sz w:val="72"/>
      <w:lang w:val="en-AU" w:eastAsia="en-US"/>
    </w:rPr>
  </w:style>
  <w:style w:type="paragraph" w:customStyle="1" w:styleId="CertHDWhite">
    <w:name w:val="_CertHDWhite"/>
    <w:semiHidden/>
    <w:rsid w:val="000039F1"/>
    <w:pPr>
      <w:spacing w:line="440" w:lineRule="atLeast"/>
    </w:pPr>
    <w:rPr>
      <w:rFonts w:ascii="Arial" w:eastAsia="Times New Roman" w:hAnsi="Arial" w:cs="Arial"/>
      <w:color w:val="FFFFFF"/>
      <w:sz w:val="36"/>
      <w:lang w:val="en-AU" w:eastAsia="en-US"/>
    </w:rPr>
  </w:style>
  <w:style w:type="paragraph" w:customStyle="1" w:styleId="CertHE">
    <w:name w:val="_CertHE"/>
    <w:link w:val="CertHEChar"/>
    <w:semiHidden/>
    <w:rsid w:val="000039F1"/>
    <w:pPr>
      <w:spacing w:line="520" w:lineRule="atLeast"/>
    </w:pPr>
    <w:rPr>
      <w:rFonts w:ascii="Arial" w:eastAsia="Times New Roman" w:hAnsi="Arial" w:cs="Arial"/>
      <w:color w:val="F58426"/>
      <w:sz w:val="32"/>
      <w:lang w:val="en-AU" w:eastAsia="en-US"/>
    </w:rPr>
  </w:style>
  <w:style w:type="character" w:customStyle="1" w:styleId="CertHEChar">
    <w:name w:val="_CertHE Char"/>
    <w:link w:val="CertHE"/>
    <w:semiHidden/>
    <w:rsid w:val="000039F1"/>
    <w:rPr>
      <w:rFonts w:ascii="Arial" w:eastAsia="Times New Roman" w:hAnsi="Arial" w:cs="Arial"/>
      <w:color w:val="F58426"/>
      <w:sz w:val="32"/>
      <w:lang w:val="en-AU" w:eastAsia="en-US"/>
    </w:rPr>
  </w:style>
  <w:style w:type="paragraph" w:customStyle="1" w:styleId="HA">
    <w:name w:val="_HA"/>
    <w:next w:val="Body"/>
    <w:uiPriority w:val="2"/>
    <w:rsid w:val="000039F1"/>
    <w:pPr>
      <w:spacing w:after="600" w:line="460" w:lineRule="atLeast"/>
      <w:outlineLvl w:val="0"/>
    </w:pPr>
    <w:rPr>
      <w:rFonts w:ascii="Arial" w:eastAsia="Times New Roman" w:hAnsi="Arial" w:cs="Arial"/>
      <w:color w:val="F58426"/>
      <w:sz w:val="40"/>
      <w:lang w:eastAsia="en-US"/>
    </w:rPr>
  </w:style>
  <w:style w:type="paragraph" w:customStyle="1" w:styleId="TOCTitle">
    <w:name w:val="_TOCTitle"/>
    <w:basedOn w:val="HA"/>
    <w:next w:val="Body"/>
    <w:rsid w:val="000039F1"/>
  </w:style>
  <w:style w:type="paragraph" w:customStyle="1" w:styleId="HB">
    <w:name w:val="_HB"/>
    <w:next w:val="Body"/>
    <w:uiPriority w:val="2"/>
    <w:qFormat/>
    <w:rsid w:val="000D2640"/>
    <w:pPr>
      <w:spacing w:before="180" w:after="113" w:line="300" w:lineRule="atLeast"/>
      <w:outlineLvl w:val="0"/>
    </w:pPr>
    <w:rPr>
      <w:rFonts w:ascii="Arial" w:eastAsia="Times New Roman" w:hAnsi="Arial" w:cs="Arial"/>
      <w:b/>
      <w:color w:val="1F497D" w:themeColor="text2"/>
      <w:lang w:val="en-AU" w:eastAsia="en-US"/>
    </w:rPr>
  </w:style>
  <w:style w:type="paragraph" w:customStyle="1" w:styleId="HeadingA">
    <w:name w:val="Heading A"/>
    <w:basedOn w:val="Heading1"/>
    <w:link w:val="HeadingAChar"/>
    <w:autoRedefine/>
    <w:qFormat/>
    <w:rsid w:val="000D2640"/>
    <w:pPr>
      <w:numPr>
        <w:numId w:val="0"/>
      </w:numPr>
    </w:pPr>
  </w:style>
  <w:style w:type="paragraph" w:customStyle="1" w:styleId="Footernotes">
    <w:name w:val="Footer notes"/>
    <w:basedOn w:val="FootnoteText"/>
    <w:link w:val="FooternotesChar"/>
    <w:qFormat/>
    <w:rsid w:val="00DA7C65"/>
    <w:rPr>
      <w:sz w:val="16"/>
      <w:szCs w:val="16"/>
    </w:rPr>
  </w:style>
  <w:style w:type="character" w:customStyle="1" w:styleId="HeadingAChar">
    <w:name w:val="Heading A Char"/>
    <w:basedOn w:val="Heading1Char"/>
    <w:link w:val="HeadingA"/>
    <w:rsid w:val="000D2640"/>
    <w:rPr>
      <w:rFonts w:ascii="Arial" w:eastAsia="Times New Roman" w:hAnsi="Arial" w:cs="Arial"/>
      <w:color w:val="1F497D" w:themeColor="text2"/>
      <w:sz w:val="40"/>
      <w:lang w:eastAsia="en-US"/>
    </w:rPr>
  </w:style>
  <w:style w:type="paragraph" w:customStyle="1" w:styleId="HeadingC">
    <w:name w:val="Heading C"/>
    <w:basedOn w:val="Normal"/>
    <w:link w:val="HeadingCChar"/>
    <w:qFormat/>
    <w:rsid w:val="00E510D1"/>
    <w:pPr>
      <w:spacing w:before="240" w:after="120"/>
    </w:pPr>
    <w:rPr>
      <w:rFonts w:ascii="Arial Bold" w:hAnsi="Arial Bold"/>
      <w:b/>
      <w:color w:val="808080" w:themeColor="background1" w:themeShade="80"/>
    </w:rPr>
  </w:style>
  <w:style w:type="character" w:customStyle="1" w:styleId="FooternotesChar">
    <w:name w:val="Footer notes Char"/>
    <w:basedOn w:val="FootnoteTextChar"/>
    <w:link w:val="Footernotes"/>
    <w:rsid w:val="00DA7C65"/>
    <w:rPr>
      <w:rFonts w:ascii="Arial" w:eastAsia="Times New Roman" w:hAnsi="Arial" w:cs="Arial"/>
      <w:sz w:val="16"/>
      <w:szCs w:val="16"/>
      <w:lang w:val="en-AU"/>
    </w:rPr>
  </w:style>
  <w:style w:type="paragraph" w:customStyle="1" w:styleId="TableParagraph">
    <w:name w:val="Table Paragraph"/>
    <w:basedOn w:val="Normal"/>
    <w:uiPriority w:val="1"/>
    <w:qFormat/>
    <w:rsid w:val="00543CB6"/>
    <w:pPr>
      <w:widowControl w:val="0"/>
    </w:pPr>
    <w:rPr>
      <w:rFonts w:asciiTheme="minorHAnsi" w:eastAsiaTheme="minorHAnsi" w:hAnsiTheme="minorHAnsi" w:cstheme="minorBidi"/>
      <w:sz w:val="22"/>
      <w:szCs w:val="22"/>
      <w:lang w:val="en-US" w:eastAsia="en-US"/>
    </w:rPr>
  </w:style>
  <w:style w:type="character" w:customStyle="1" w:styleId="HeadingCChar">
    <w:name w:val="Heading C Char"/>
    <w:basedOn w:val="DefaultParagraphFont"/>
    <w:link w:val="HeadingC"/>
    <w:rsid w:val="00E510D1"/>
    <w:rPr>
      <w:rFonts w:ascii="Arial Bold" w:eastAsia="Times New Roman" w:hAnsi="Arial Bold" w:cs="Arial"/>
      <w:b/>
      <w:color w:val="808080" w:themeColor="background1" w:themeShade="80"/>
      <w:sz w:val="20"/>
      <w:szCs w:val="20"/>
      <w:lang w:val="en-AU"/>
    </w:rPr>
  </w:style>
  <w:style w:type="numbering" w:customStyle="1" w:styleId="NoList1">
    <w:name w:val="No List1"/>
    <w:next w:val="NoList"/>
    <w:uiPriority w:val="99"/>
    <w:semiHidden/>
    <w:unhideWhenUsed/>
    <w:rsid w:val="00A64EEB"/>
  </w:style>
  <w:style w:type="table" w:styleId="TableClassic3">
    <w:name w:val="Table Classic 3"/>
    <w:basedOn w:val="TableNormal"/>
    <w:semiHidden/>
    <w:rsid w:val="00C63F79"/>
    <w:rPr>
      <w:rFonts w:ascii="Times New Roman" w:eastAsia="Times New Roman" w:hAnsi="Times New Roman" w:cs="Times New Roman"/>
      <w:color w:val="000080"/>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ableText">
    <w:name w:val="Table Text"/>
    <w:basedOn w:val="Normal"/>
    <w:uiPriority w:val="15"/>
    <w:qFormat/>
    <w:rsid w:val="000D16E0"/>
    <w:pPr>
      <w:spacing w:before="20" w:after="20"/>
    </w:pPr>
    <w:rPr>
      <w:rFonts w:ascii="Calibri" w:hAnsi="Calibri" w:cs="Calibri"/>
      <w:szCs w:val="22"/>
      <w:lang w:eastAsia="en-AU"/>
    </w:rPr>
  </w:style>
  <w:style w:type="paragraph" w:customStyle="1" w:styleId="TableHeader">
    <w:name w:val="Table Header"/>
    <w:basedOn w:val="TableText"/>
    <w:uiPriority w:val="15"/>
    <w:qFormat/>
    <w:rsid w:val="000D16E0"/>
    <w:pPr>
      <w:keepNext/>
      <w:spacing w:before="40" w:after="40"/>
    </w:pPr>
    <w:rPr>
      <w:color w:val="333333"/>
      <w:sz w:val="24"/>
    </w:rPr>
  </w:style>
  <w:style w:type="paragraph" w:customStyle="1" w:styleId="Small">
    <w:name w:val="Small"/>
    <w:basedOn w:val="Normal"/>
    <w:rsid w:val="000D16E0"/>
    <w:pPr>
      <w:jc w:val="both"/>
    </w:pPr>
    <w:rPr>
      <w:rFonts w:ascii="Arial Narrow" w:hAnsi="Arial Narrow" w:cs="Times New Roman"/>
      <w:sz w:val="2"/>
      <w:lang w:eastAsia="en-US"/>
    </w:rPr>
  </w:style>
  <w:style w:type="table" w:styleId="ColorfulGrid-Accent1">
    <w:name w:val="Colorful Grid Accent 1"/>
    <w:basedOn w:val="TableNormal"/>
    <w:uiPriority w:val="73"/>
    <w:rsid w:val="008615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8pttabletext">
    <w:name w:val="8pt table text"/>
    <w:basedOn w:val="Normal"/>
    <w:qFormat/>
    <w:rsid w:val="00390C5B"/>
    <w:pPr>
      <w:spacing w:line="200" w:lineRule="exact"/>
    </w:pPr>
    <w:rPr>
      <w:sz w:val="16"/>
      <w:szCs w:val="16"/>
      <w:lang w:eastAsia="en-AU"/>
    </w:rPr>
  </w:style>
  <w:style w:type="paragraph" w:customStyle="1" w:styleId="TableBullet">
    <w:name w:val="Table Bullet"/>
    <w:basedOn w:val="TableText"/>
    <w:uiPriority w:val="10"/>
    <w:qFormat/>
    <w:rsid w:val="00CF314F"/>
    <w:pPr>
      <w:numPr>
        <w:numId w:val="29"/>
      </w:numPr>
      <w:spacing w:before="0" w:after="0"/>
    </w:pPr>
  </w:style>
  <w:style w:type="paragraph" w:customStyle="1" w:styleId="TableBulletDash">
    <w:name w:val="Table Bullet Dash"/>
    <w:basedOn w:val="Normal"/>
    <w:uiPriority w:val="10"/>
    <w:rsid w:val="00CF314F"/>
    <w:pPr>
      <w:numPr>
        <w:ilvl w:val="1"/>
        <w:numId w:val="29"/>
      </w:numPr>
    </w:pPr>
    <w:rPr>
      <w:rFonts w:ascii="Calibri" w:hAnsi="Calibri" w:cs="Calibri"/>
      <w:szCs w:val="22"/>
      <w:lang w:eastAsia="en-AU"/>
    </w:rPr>
  </w:style>
  <w:style w:type="paragraph" w:customStyle="1" w:styleId="Char1">
    <w:name w:val="Char"/>
    <w:basedOn w:val="Normal"/>
    <w:rsid w:val="003F3328"/>
    <w:rPr>
      <w:sz w:val="22"/>
      <w:szCs w:val="22"/>
      <w:lang w:eastAsia="en-US"/>
    </w:rPr>
  </w:style>
  <w:style w:type="table" w:styleId="MediumShading1-Accent5">
    <w:name w:val="Medium Shading 1 Accent 5"/>
    <w:basedOn w:val="TableNormal"/>
    <w:uiPriority w:val="63"/>
    <w:rsid w:val="00671F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06A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324">
      <w:bodyDiv w:val="1"/>
      <w:marLeft w:val="0"/>
      <w:marRight w:val="0"/>
      <w:marTop w:val="0"/>
      <w:marBottom w:val="0"/>
      <w:divBdr>
        <w:top w:val="none" w:sz="0" w:space="0" w:color="auto"/>
        <w:left w:val="none" w:sz="0" w:space="0" w:color="auto"/>
        <w:bottom w:val="none" w:sz="0" w:space="0" w:color="auto"/>
        <w:right w:val="none" w:sz="0" w:space="0" w:color="auto"/>
      </w:divBdr>
    </w:div>
    <w:div w:id="22828159">
      <w:bodyDiv w:val="1"/>
      <w:marLeft w:val="0"/>
      <w:marRight w:val="0"/>
      <w:marTop w:val="0"/>
      <w:marBottom w:val="0"/>
      <w:divBdr>
        <w:top w:val="none" w:sz="0" w:space="0" w:color="auto"/>
        <w:left w:val="none" w:sz="0" w:space="0" w:color="auto"/>
        <w:bottom w:val="none" w:sz="0" w:space="0" w:color="auto"/>
        <w:right w:val="none" w:sz="0" w:space="0" w:color="auto"/>
      </w:divBdr>
      <w:divsChild>
        <w:div w:id="1810973013">
          <w:marLeft w:val="0"/>
          <w:marRight w:val="0"/>
          <w:marTop w:val="0"/>
          <w:marBottom w:val="0"/>
          <w:divBdr>
            <w:top w:val="none" w:sz="0" w:space="0" w:color="auto"/>
            <w:left w:val="none" w:sz="0" w:space="0" w:color="auto"/>
            <w:bottom w:val="none" w:sz="0" w:space="0" w:color="auto"/>
            <w:right w:val="none" w:sz="0" w:space="0" w:color="auto"/>
          </w:divBdr>
          <w:divsChild>
            <w:div w:id="979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151">
      <w:bodyDiv w:val="1"/>
      <w:marLeft w:val="0"/>
      <w:marRight w:val="0"/>
      <w:marTop w:val="0"/>
      <w:marBottom w:val="0"/>
      <w:divBdr>
        <w:top w:val="none" w:sz="0" w:space="0" w:color="auto"/>
        <w:left w:val="none" w:sz="0" w:space="0" w:color="auto"/>
        <w:bottom w:val="none" w:sz="0" w:space="0" w:color="auto"/>
        <w:right w:val="none" w:sz="0" w:space="0" w:color="auto"/>
      </w:divBdr>
    </w:div>
    <w:div w:id="34353396">
      <w:bodyDiv w:val="1"/>
      <w:marLeft w:val="0"/>
      <w:marRight w:val="0"/>
      <w:marTop w:val="0"/>
      <w:marBottom w:val="0"/>
      <w:divBdr>
        <w:top w:val="none" w:sz="0" w:space="0" w:color="auto"/>
        <w:left w:val="none" w:sz="0" w:space="0" w:color="auto"/>
        <w:bottom w:val="none" w:sz="0" w:space="0" w:color="auto"/>
        <w:right w:val="none" w:sz="0" w:space="0" w:color="auto"/>
      </w:divBdr>
    </w:div>
    <w:div w:id="41681992">
      <w:bodyDiv w:val="1"/>
      <w:marLeft w:val="0"/>
      <w:marRight w:val="0"/>
      <w:marTop w:val="0"/>
      <w:marBottom w:val="0"/>
      <w:divBdr>
        <w:top w:val="none" w:sz="0" w:space="0" w:color="auto"/>
        <w:left w:val="none" w:sz="0" w:space="0" w:color="auto"/>
        <w:bottom w:val="none" w:sz="0" w:space="0" w:color="auto"/>
        <w:right w:val="none" w:sz="0" w:space="0" w:color="auto"/>
      </w:divBdr>
    </w:div>
    <w:div w:id="49306571">
      <w:bodyDiv w:val="1"/>
      <w:marLeft w:val="0"/>
      <w:marRight w:val="0"/>
      <w:marTop w:val="0"/>
      <w:marBottom w:val="0"/>
      <w:divBdr>
        <w:top w:val="none" w:sz="0" w:space="0" w:color="auto"/>
        <w:left w:val="none" w:sz="0" w:space="0" w:color="auto"/>
        <w:bottom w:val="none" w:sz="0" w:space="0" w:color="auto"/>
        <w:right w:val="none" w:sz="0" w:space="0" w:color="auto"/>
      </w:divBdr>
    </w:div>
    <w:div w:id="50160074">
      <w:bodyDiv w:val="1"/>
      <w:marLeft w:val="0"/>
      <w:marRight w:val="0"/>
      <w:marTop w:val="0"/>
      <w:marBottom w:val="0"/>
      <w:divBdr>
        <w:top w:val="none" w:sz="0" w:space="0" w:color="auto"/>
        <w:left w:val="none" w:sz="0" w:space="0" w:color="auto"/>
        <w:bottom w:val="none" w:sz="0" w:space="0" w:color="auto"/>
        <w:right w:val="none" w:sz="0" w:space="0" w:color="auto"/>
      </w:divBdr>
    </w:div>
    <w:div w:id="50885506">
      <w:bodyDiv w:val="1"/>
      <w:marLeft w:val="0"/>
      <w:marRight w:val="0"/>
      <w:marTop w:val="0"/>
      <w:marBottom w:val="0"/>
      <w:divBdr>
        <w:top w:val="none" w:sz="0" w:space="0" w:color="auto"/>
        <w:left w:val="none" w:sz="0" w:space="0" w:color="auto"/>
        <w:bottom w:val="none" w:sz="0" w:space="0" w:color="auto"/>
        <w:right w:val="none" w:sz="0" w:space="0" w:color="auto"/>
      </w:divBdr>
    </w:div>
    <w:div w:id="88737848">
      <w:bodyDiv w:val="1"/>
      <w:marLeft w:val="0"/>
      <w:marRight w:val="0"/>
      <w:marTop w:val="0"/>
      <w:marBottom w:val="0"/>
      <w:divBdr>
        <w:top w:val="none" w:sz="0" w:space="0" w:color="auto"/>
        <w:left w:val="none" w:sz="0" w:space="0" w:color="auto"/>
        <w:bottom w:val="none" w:sz="0" w:space="0" w:color="auto"/>
        <w:right w:val="none" w:sz="0" w:space="0" w:color="auto"/>
      </w:divBdr>
    </w:div>
    <w:div w:id="99615596">
      <w:bodyDiv w:val="1"/>
      <w:marLeft w:val="0"/>
      <w:marRight w:val="0"/>
      <w:marTop w:val="0"/>
      <w:marBottom w:val="0"/>
      <w:divBdr>
        <w:top w:val="none" w:sz="0" w:space="0" w:color="auto"/>
        <w:left w:val="none" w:sz="0" w:space="0" w:color="auto"/>
        <w:bottom w:val="none" w:sz="0" w:space="0" w:color="auto"/>
        <w:right w:val="none" w:sz="0" w:space="0" w:color="auto"/>
      </w:divBdr>
      <w:divsChild>
        <w:div w:id="2060006813">
          <w:marLeft w:val="0"/>
          <w:marRight w:val="0"/>
          <w:marTop w:val="0"/>
          <w:marBottom w:val="0"/>
          <w:divBdr>
            <w:top w:val="none" w:sz="0" w:space="0" w:color="auto"/>
            <w:left w:val="none" w:sz="0" w:space="0" w:color="auto"/>
            <w:bottom w:val="none" w:sz="0" w:space="0" w:color="auto"/>
            <w:right w:val="none" w:sz="0" w:space="0" w:color="auto"/>
          </w:divBdr>
        </w:div>
        <w:div w:id="1725985610">
          <w:marLeft w:val="0"/>
          <w:marRight w:val="0"/>
          <w:marTop w:val="0"/>
          <w:marBottom w:val="0"/>
          <w:divBdr>
            <w:top w:val="none" w:sz="0" w:space="0" w:color="auto"/>
            <w:left w:val="none" w:sz="0" w:space="0" w:color="auto"/>
            <w:bottom w:val="none" w:sz="0" w:space="0" w:color="auto"/>
            <w:right w:val="none" w:sz="0" w:space="0" w:color="auto"/>
          </w:divBdr>
        </w:div>
      </w:divsChild>
    </w:div>
    <w:div w:id="104428279">
      <w:bodyDiv w:val="1"/>
      <w:marLeft w:val="0"/>
      <w:marRight w:val="0"/>
      <w:marTop w:val="0"/>
      <w:marBottom w:val="0"/>
      <w:divBdr>
        <w:top w:val="none" w:sz="0" w:space="0" w:color="auto"/>
        <w:left w:val="none" w:sz="0" w:space="0" w:color="auto"/>
        <w:bottom w:val="none" w:sz="0" w:space="0" w:color="auto"/>
        <w:right w:val="none" w:sz="0" w:space="0" w:color="auto"/>
      </w:divBdr>
    </w:div>
    <w:div w:id="105663118">
      <w:bodyDiv w:val="1"/>
      <w:marLeft w:val="0"/>
      <w:marRight w:val="0"/>
      <w:marTop w:val="0"/>
      <w:marBottom w:val="0"/>
      <w:divBdr>
        <w:top w:val="none" w:sz="0" w:space="0" w:color="auto"/>
        <w:left w:val="none" w:sz="0" w:space="0" w:color="auto"/>
        <w:bottom w:val="none" w:sz="0" w:space="0" w:color="auto"/>
        <w:right w:val="none" w:sz="0" w:space="0" w:color="auto"/>
      </w:divBdr>
      <w:divsChild>
        <w:div w:id="192421399">
          <w:marLeft w:val="0"/>
          <w:marRight w:val="0"/>
          <w:marTop w:val="0"/>
          <w:marBottom w:val="0"/>
          <w:divBdr>
            <w:top w:val="none" w:sz="0" w:space="0" w:color="auto"/>
            <w:left w:val="none" w:sz="0" w:space="0" w:color="auto"/>
            <w:bottom w:val="none" w:sz="0" w:space="0" w:color="auto"/>
            <w:right w:val="none" w:sz="0" w:space="0" w:color="auto"/>
          </w:divBdr>
        </w:div>
        <w:div w:id="1665741310">
          <w:marLeft w:val="0"/>
          <w:marRight w:val="0"/>
          <w:marTop w:val="0"/>
          <w:marBottom w:val="0"/>
          <w:divBdr>
            <w:top w:val="none" w:sz="0" w:space="0" w:color="auto"/>
            <w:left w:val="none" w:sz="0" w:space="0" w:color="auto"/>
            <w:bottom w:val="none" w:sz="0" w:space="0" w:color="auto"/>
            <w:right w:val="none" w:sz="0" w:space="0" w:color="auto"/>
          </w:divBdr>
        </w:div>
        <w:div w:id="1881553933">
          <w:marLeft w:val="0"/>
          <w:marRight w:val="0"/>
          <w:marTop w:val="0"/>
          <w:marBottom w:val="0"/>
          <w:divBdr>
            <w:top w:val="none" w:sz="0" w:space="0" w:color="auto"/>
            <w:left w:val="none" w:sz="0" w:space="0" w:color="auto"/>
            <w:bottom w:val="none" w:sz="0" w:space="0" w:color="auto"/>
            <w:right w:val="none" w:sz="0" w:space="0" w:color="auto"/>
          </w:divBdr>
        </w:div>
        <w:div w:id="1604457172">
          <w:marLeft w:val="0"/>
          <w:marRight w:val="0"/>
          <w:marTop w:val="0"/>
          <w:marBottom w:val="0"/>
          <w:divBdr>
            <w:top w:val="none" w:sz="0" w:space="0" w:color="auto"/>
            <w:left w:val="none" w:sz="0" w:space="0" w:color="auto"/>
            <w:bottom w:val="none" w:sz="0" w:space="0" w:color="auto"/>
            <w:right w:val="none" w:sz="0" w:space="0" w:color="auto"/>
          </w:divBdr>
        </w:div>
        <w:div w:id="1813980983">
          <w:marLeft w:val="0"/>
          <w:marRight w:val="0"/>
          <w:marTop w:val="0"/>
          <w:marBottom w:val="0"/>
          <w:divBdr>
            <w:top w:val="none" w:sz="0" w:space="0" w:color="auto"/>
            <w:left w:val="none" w:sz="0" w:space="0" w:color="auto"/>
            <w:bottom w:val="none" w:sz="0" w:space="0" w:color="auto"/>
            <w:right w:val="none" w:sz="0" w:space="0" w:color="auto"/>
          </w:divBdr>
        </w:div>
      </w:divsChild>
    </w:div>
    <w:div w:id="107310884">
      <w:bodyDiv w:val="1"/>
      <w:marLeft w:val="0"/>
      <w:marRight w:val="0"/>
      <w:marTop w:val="0"/>
      <w:marBottom w:val="0"/>
      <w:divBdr>
        <w:top w:val="none" w:sz="0" w:space="0" w:color="auto"/>
        <w:left w:val="none" w:sz="0" w:space="0" w:color="auto"/>
        <w:bottom w:val="none" w:sz="0" w:space="0" w:color="auto"/>
        <w:right w:val="none" w:sz="0" w:space="0" w:color="auto"/>
      </w:divBdr>
    </w:div>
    <w:div w:id="117266491">
      <w:bodyDiv w:val="1"/>
      <w:marLeft w:val="0"/>
      <w:marRight w:val="0"/>
      <w:marTop w:val="0"/>
      <w:marBottom w:val="0"/>
      <w:divBdr>
        <w:top w:val="none" w:sz="0" w:space="0" w:color="auto"/>
        <w:left w:val="none" w:sz="0" w:space="0" w:color="auto"/>
        <w:bottom w:val="none" w:sz="0" w:space="0" w:color="auto"/>
        <w:right w:val="none" w:sz="0" w:space="0" w:color="auto"/>
      </w:divBdr>
    </w:div>
    <w:div w:id="118450089">
      <w:bodyDiv w:val="1"/>
      <w:marLeft w:val="0"/>
      <w:marRight w:val="0"/>
      <w:marTop w:val="0"/>
      <w:marBottom w:val="0"/>
      <w:divBdr>
        <w:top w:val="none" w:sz="0" w:space="0" w:color="auto"/>
        <w:left w:val="none" w:sz="0" w:space="0" w:color="auto"/>
        <w:bottom w:val="none" w:sz="0" w:space="0" w:color="auto"/>
        <w:right w:val="none" w:sz="0" w:space="0" w:color="auto"/>
      </w:divBdr>
    </w:div>
    <w:div w:id="120389982">
      <w:bodyDiv w:val="1"/>
      <w:marLeft w:val="0"/>
      <w:marRight w:val="0"/>
      <w:marTop w:val="0"/>
      <w:marBottom w:val="0"/>
      <w:divBdr>
        <w:top w:val="none" w:sz="0" w:space="0" w:color="auto"/>
        <w:left w:val="none" w:sz="0" w:space="0" w:color="auto"/>
        <w:bottom w:val="none" w:sz="0" w:space="0" w:color="auto"/>
        <w:right w:val="none" w:sz="0" w:space="0" w:color="auto"/>
      </w:divBdr>
    </w:div>
    <w:div w:id="122040767">
      <w:bodyDiv w:val="1"/>
      <w:marLeft w:val="0"/>
      <w:marRight w:val="0"/>
      <w:marTop w:val="0"/>
      <w:marBottom w:val="0"/>
      <w:divBdr>
        <w:top w:val="none" w:sz="0" w:space="0" w:color="auto"/>
        <w:left w:val="none" w:sz="0" w:space="0" w:color="auto"/>
        <w:bottom w:val="none" w:sz="0" w:space="0" w:color="auto"/>
        <w:right w:val="none" w:sz="0" w:space="0" w:color="auto"/>
      </w:divBdr>
    </w:div>
    <w:div w:id="131290482">
      <w:bodyDiv w:val="1"/>
      <w:marLeft w:val="0"/>
      <w:marRight w:val="0"/>
      <w:marTop w:val="0"/>
      <w:marBottom w:val="0"/>
      <w:divBdr>
        <w:top w:val="none" w:sz="0" w:space="0" w:color="auto"/>
        <w:left w:val="none" w:sz="0" w:space="0" w:color="auto"/>
        <w:bottom w:val="none" w:sz="0" w:space="0" w:color="auto"/>
        <w:right w:val="none" w:sz="0" w:space="0" w:color="auto"/>
      </w:divBdr>
    </w:div>
    <w:div w:id="146895864">
      <w:bodyDiv w:val="1"/>
      <w:marLeft w:val="0"/>
      <w:marRight w:val="0"/>
      <w:marTop w:val="0"/>
      <w:marBottom w:val="0"/>
      <w:divBdr>
        <w:top w:val="none" w:sz="0" w:space="0" w:color="auto"/>
        <w:left w:val="none" w:sz="0" w:space="0" w:color="auto"/>
        <w:bottom w:val="none" w:sz="0" w:space="0" w:color="auto"/>
        <w:right w:val="none" w:sz="0" w:space="0" w:color="auto"/>
      </w:divBdr>
      <w:divsChild>
        <w:div w:id="1833523293">
          <w:marLeft w:val="0"/>
          <w:marRight w:val="0"/>
          <w:marTop w:val="0"/>
          <w:marBottom w:val="0"/>
          <w:divBdr>
            <w:top w:val="none" w:sz="0" w:space="0" w:color="auto"/>
            <w:left w:val="none" w:sz="0" w:space="0" w:color="auto"/>
            <w:bottom w:val="none" w:sz="0" w:space="0" w:color="auto"/>
            <w:right w:val="none" w:sz="0" w:space="0" w:color="auto"/>
          </w:divBdr>
        </w:div>
        <w:div w:id="367341597">
          <w:marLeft w:val="0"/>
          <w:marRight w:val="0"/>
          <w:marTop w:val="0"/>
          <w:marBottom w:val="0"/>
          <w:divBdr>
            <w:top w:val="none" w:sz="0" w:space="0" w:color="auto"/>
            <w:left w:val="none" w:sz="0" w:space="0" w:color="auto"/>
            <w:bottom w:val="none" w:sz="0" w:space="0" w:color="auto"/>
            <w:right w:val="none" w:sz="0" w:space="0" w:color="auto"/>
          </w:divBdr>
        </w:div>
        <w:div w:id="1614632447">
          <w:marLeft w:val="0"/>
          <w:marRight w:val="0"/>
          <w:marTop w:val="0"/>
          <w:marBottom w:val="0"/>
          <w:divBdr>
            <w:top w:val="none" w:sz="0" w:space="0" w:color="auto"/>
            <w:left w:val="none" w:sz="0" w:space="0" w:color="auto"/>
            <w:bottom w:val="none" w:sz="0" w:space="0" w:color="auto"/>
            <w:right w:val="none" w:sz="0" w:space="0" w:color="auto"/>
          </w:divBdr>
        </w:div>
        <w:div w:id="899288481">
          <w:marLeft w:val="0"/>
          <w:marRight w:val="0"/>
          <w:marTop w:val="0"/>
          <w:marBottom w:val="0"/>
          <w:divBdr>
            <w:top w:val="none" w:sz="0" w:space="0" w:color="auto"/>
            <w:left w:val="none" w:sz="0" w:space="0" w:color="auto"/>
            <w:bottom w:val="none" w:sz="0" w:space="0" w:color="auto"/>
            <w:right w:val="none" w:sz="0" w:space="0" w:color="auto"/>
          </w:divBdr>
        </w:div>
        <w:div w:id="1432117725">
          <w:marLeft w:val="0"/>
          <w:marRight w:val="0"/>
          <w:marTop w:val="0"/>
          <w:marBottom w:val="0"/>
          <w:divBdr>
            <w:top w:val="none" w:sz="0" w:space="0" w:color="auto"/>
            <w:left w:val="none" w:sz="0" w:space="0" w:color="auto"/>
            <w:bottom w:val="none" w:sz="0" w:space="0" w:color="auto"/>
            <w:right w:val="none" w:sz="0" w:space="0" w:color="auto"/>
          </w:divBdr>
        </w:div>
      </w:divsChild>
    </w:div>
    <w:div w:id="159932249">
      <w:bodyDiv w:val="1"/>
      <w:marLeft w:val="0"/>
      <w:marRight w:val="0"/>
      <w:marTop w:val="0"/>
      <w:marBottom w:val="0"/>
      <w:divBdr>
        <w:top w:val="none" w:sz="0" w:space="0" w:color="auto"/>
        <w:left w:val="none" w:sz="0" w:space="0" w:color="auto"/>
        <w:bottom w:val="none" w:sz="0" w:space="0" w:color="auto"/>
        <w:right w:val="none" w:sz="0" w:space="0" w:color="auto"/>
      </w:divBdr>
    </w:div>
    <w:div w:id="179927767">
      <w:bodyDiv w:val="1"/>
      <w:marLeft w:val="0"/>
      <w:marRight w:val="0"/>
      <w:marTop w:val="0"/>
      <w:marBottom w:val="0"/>
      <w:divBdr>
        <w:top w:val="none" w:sz="0" w:space="0" w:color="auto"/>
        <w:left w:val="none" w:sz="0" w:space="0" w:color="auto"/>
        <w:bottom w:val="none" w:sz="0" w:space="0" w:color="auto"/>
        <w:right w:val="none" w:sz="0" w:space="0" w:color="auto"/>
      </w:divBdr>
    </w:div>
    <w:div w:id="185952156">
      <w:bodyDiv w:val="1"/>
      <w:marLeft w:val="0"/>
      <w:marRight w:val="0"/>
      <w:marTop w:val="0"/>
      <w:marBottom w:val="0"/>
      <w:divBdr>
        <w:top w:val="none" w:sz="0" w:space="0" w:color="auto"/>
        <w:left w:val="none" w:sz="0" w:space="0" w:color="auto"/>
        <w:bottom w:val="none" w:sz="0" w:space="0" w:color="auto"/>
        <w:right w:val="none" w:sz="0" w:space="0" w:color="auto"/>
      </w:divBdr>
      <w:divsChild>
        <w:div w:id="1705860768">
          <w:marLeft w:val="0"/>
          <w:marRight w:val="0"/>
          <w:marTop w:val="0"/>
          <w:marBottom w:val="0"/>
          <w:divBdr>
            <w:top w:val="none" w:sz="0" w:space="0" w:color="auto"/>
            <w:left w:val="none" w:sz="0" w:space="0" w:color="auto"/>
            <w:bottom w:val="none" w:sz="0" w:space="0" w:color="auto"/>
            <w:right w:val="none" w:sz="0" w:space="0" w:color="auto"/>
          </w:divBdr>
        </w:div>
        <w:div w:id="996037298">
          <w:marLeft w:val="0"/>
          <w:marRight w:val="0"/>
          <w:marTop w:val="0"/>
          <w:marBottom w:val="0"/>
          <w:divBdr>
            <w:top w:val="none" w:sz="0" w:space="0" w:color="auto"/>
            <w:left w:val="none" w:sz="0" w:space="0" w:color="auto"/>
            <w:bottom w:val="none" w:sz="0" w:space="0" w:color="auto"/>
            <w:right w:val="none" w:sz="0" w:space="0" w:color="auto"/>
          </w:divBdr>
        </w:div>
        <w:div w:id="469203620">
          <w:marLeft w:val="0"/>
          <w:marRight w:val="0"/>
          <w:marTop w:val="0"/>
          <w:marBottom w:val="0"/>
          <w:divBdr>
            <w:top w:val="none" w:sz="0" w:space="0" w:color="auto"/>
            <w:left w:val="none" w:sz="0" w:space="0" w:color="auto"/>
            <w:bottom w:val="none" w:sz="0" w:space="0" w:color="auto"/>
            <w:right w:val="none" w:sz="0" w:space="0" w:color="auto"/>
          </w:divBdr>
        </w:div>
      </w:divsChild>
    </w:div>
    <w:div w:id="187567856">
      <w:bodyDiv w:val="1"/>
      <w:marLeft w:val="0"/>
      <w:marRight w:val="0"/>
      <w:marTop w:val="0"/>
      <w:marBottom w:val="0"/>
      <w:divBdr>
        <w:top w:val="none" w:sz="0" w:space="0" w:color="auto"/>
        <w:left w:val="none" w:sz="0" w:space="0" w:color="auto"/>
        <w:bottom w:val="none" w:sz="0" w:space="0" w:color="auto"/>
        <w:right w:val="none" w:sz="0" w:space="0" w:color="auto"/>
      </w:divBdr>
    </w:div>
    <w:div w:id="198444067">
      <w:bodyDiv w:val="1"/>
      <w:marLeft w:val="0"/>
      <w:marRight w:val="0"/>
      <w:marTop w:val="0"/>
      <w:marBottom w:val="0"/>
      <w:divBdr>
        <w:top w:val="none" w:sz="0" w:space="0" w:color="auto"/>
        <w:left w:val="none" w:sz="0" w:space="0" w:color="auto"/>
        <w:bottom w:val="none" w:sz="0" w:space="0" w:color="auto"/>
        <w:right w:val="none" w:sz="0" w:space="0" w:color="auto"/>
      </w:divBdr>
    </w:div>
    <w:div w:id="202910448">
      <w:bodyDiv w:val="1"/>
      <w:marLeft w:val="0"/>
      <w:marRight w:val="0"/>
      <w:marTop w:val="0"/>
      <w:marBottom w:val="0"/>
      <w:divBdr>
        <w:top w:val="none" w:sz="0" w:space="0" w:color="auto"/>
        <w:left w:val="none" w:sz="0" w:space="0" w:color="auto"/>
        <w:bottom w:val="none" w:sz="0" w:space="0" w:color="auto"/>
        <w:right w:val="none" w:sz="0" w:space="0" w:color="auto"/>
      </w:divBdr>
    </w:div>
    <w:div w:id="211237085">
      <w:bodyDiv w:val="1"/>
      <w:marLeft w:val="0"/>
      <w:marRight w:val="0"/>
      <w:marTop w:val="0"/>
      <w:marBottom w:val="0"/>
      <w:divBdr>
        <w:top w:val="none" w:sz="0" w:space="0" w:color="auto"/>
        <w:left w:val="none" w:sz="0" w:space="0" w:color="auto"/>
        <w:bottom w:val="none" w:sz="0" w:space="0" w:color="auto"/>
        <w:right w:val="none" w:sz="0" w:space="0" w:color="auto"/>
      </w:divBdr>
    </w:div>
    <w:div w:id="218980347">
      <w:bodyDiv w:val="1"/>
      <w:marLeft w:val="0"/>
      <w:marRight w:val="0"/>
      <w:marTop w:val="0"/>
      <w:marBottom w:val="0"/>
      <w:divBdr>
        <w:top w:val="none" w:sz="0" w:space="0" w:color="auto"/>
        <w:left w:val="none" w:sz="0" w:space="0" w:color="auto"/>
        <w:bottom w:val="none" w:sz="0" w:space="0" w:color="auto"/>
        <w:right w:val="none" w:sz="0" w:space="0" w:color="auto"/>
      </w:divBdr>
    </w:div>
    <w:div w:id="222522134">
      <w:bodyDiv w:val="1"/>
      <w:marLeft w:val="0"/>
      <w:marRight w:val="0"/>
      <w:marTop w:val="0"/>
      <w:marBottom w:val="0"/>
      <w:divBdr>
        <w:top w:val="none" w:sz="0" w:space="0" w:color="auto"/>
        <w:left w:val="none" w:sz="0" w:space="0" w:color="auto"/>
        <w:bottom w:val="none" w:sz="0" w:space="0" w:color="auto"/>
        <w:right w:val="none" w:sz="0" w:space="0" w:color="auto"/>
      </w:divBdr>
    </w:div>
    <w:div w:id="222985495">
      <w:bodyDiv w:val="1"/>
      <w:marLeft w:val="0"/>
      <w:marRight w:val="0"/>
      <w:marTop w:val="0"/>
      <w:marBottom w:val="0"/>
      <w:divBdr>
        <w:top w:val="none" w:sz="0" w:space="0" w:color="auto"/>
        <w:left w:val="none" w:sz="0" w:space="0" w:color="auto"/>
        <w:bottom w:val="none" w:sz="0" w:space="0" w:color="auto"/>
        <w:right w:val="none" w:sz="0" w:space="0" w:color="auto"/>
      </w:divBdr>
      <w:divsChild>
        <w:div w:id="1052582828">
          <w:marLeft w:val="0"/>
          <w:marRight w:val="0"/>
          <w:marTop w:val="0"/>
          <w:marBottom w:val="0"/>
          <w:divBdr>
            <w:top w:val="none" w:sz="0" w:space="0" w:color="auto"/>
            <w:left w:val="none" w:sz="0" w:space="0" w:color="auto"/>
            <w:bottom w:val="none" w:sz="0" w:space="0" w:color="auto"/>
            <w:right w:val="none" w:sz="0" w:space="0" w:color="auto"/>
          </w:divBdr>
          <w:divsChild>
            <w:div w:id="451021776">
              <w:marLeft w:val="0"/>
              <w:marRight w:val="0"/>
              <w:marTop w:val="0"/>
              <w:marBottom w:val="0"/>
              <w:divBdr>
                <w:top w:val="none" w:sz="0" w:space="0" w:color="auto"/>
                <w:left w:val="none" w:sz="0" w:space="0" w:color="auto"/>
                <w:bottom w:val="none" w:sz="0" w:space="0" w:color="auto"/>
                <w:right w:val="none" w:sz="0" w:space="0" w:color="auto"/>
              </w:divBdr>
              <w:divsChild>
                <w:div w:id="2009016120">
                  <w:marLeft w:val="0"/>
                  <w:marRight w:val="0"/>
                  <w:marTop w:val="0"/>
                  <w:marBottom w:val="0"/>
                  <w:divBdr>
                    <w:top w:val="none" w:sz="0" w:space="0" w:color="auto"/>
                    <w:left w:val="none" w:sz="0" w:space="0" w:color="auto"/>
                    <w:bottom w:val="none" w:sz="0" w:space="0" w:color="auto"/>
                    <w:right w:val="none" w:sz="0" w:space="0" w:color="auto"/>
                  </w:divBdr>
                  <w:divsChild>
                    <w:div w:id="2056611393">
                      <w:marLeft w:val="0"/>
                      <w:marRight w:val="0"/>
                      <w:marTop w:val="0"/>
                      <w:marBottom w:val="0"/>
                      <w:divBdr>
                        <w:top w:val="none" w:sz="0" w:space="0" w:color="auto"/>
                        <w:left w:val="none" w:sz="0" w:space="0" w:color="auto"/>
                        <w:bottom w:val="none" w:sz="0" w:space="0" w:color="auto"/>
                        <w:right w:val="none" w:sz="0" w:space="0" w:color="auto"/>
                      </w:divBdr>
                      <w:divsChild>
                        <w:div w:id="1179659310">
                          <w:marLeft w:val="0"/>
                          <w:marRight w:val="0"/>
                          <w:marTop w:val="0"/>
                          <w:marBottom w:val="0"/>
                          <w:divBdr>
                            <w:top w:val="none" w:sz="0" w:space="0" w:color="auto"/>
                            <w:left w:val="none" w:sz="0" w:space="0" w:color="auto"/>
                            <w:bottom w:val="none" w:sz="0" w:space="0" w:color="auto"/>
                            <w:right w:val="none" w:sz="0" w:space="0" w:color="auto"/>
                          </w:divBdr>
                          <w:divsChild>
                            <w:div w:id="1814517071">
                              <w:marLeft w:val="0"/>
                              <w:marRight w:val="240"/>
                              <w:marTop w:val="0"/>
                              <w:marBottom w:val="0"/>
                              <w:divBdr>
                                <w:top w:val="none" w:sz="0" w:space="0" w:color="auto"/>
                                <w:left w:val="none" w:sz="0" w:space="0" w:color="auto"/>
                                <w:bottom w:val="none" w:sz="0" w:space="0" w:color="auto"/>
                                <w:right w:val="none" w:sz="0" w:space="0" w:color="auto"/>
                              </w:divBdr>
                              <w:divsChild>
                                <w:div w:id="4677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15629">
      <w:bodyDiv w:val="1"/>
      <w:marLeft w:val="0"/>
      <w:marRight w:val="0"/>
      <w:marTop w:val="0"/>
      <w:marBottom w:val="0"/>
      <w:divBdr>
        <w:top w:val="none" w:sz="0" w:space="0" w:color="auto"/>
        <w:left w:val="none" w:sz="0" w:space="0" w:color="auto"/>
        <w:bottom w:val="none" w:sz="0" w:space="0" w:color="auto"/>
        <w:right w:val="none" w:sz="0" w:space="0" w:color="auto"/>
      </w:divBdr>
    </w:div>
    <w:div w:id="236479126">
      <w:bodyDiv w:val="1"/>
      <w:marLeft w:val="0"/>
      <w:marRight w:val="0"/>
      <w:marTop w:val="0"/>
      <w:marBottom w:val="0"/>
      <w:divBdr>
        <w:top w:val="none" w:sz="0" w:space="0" w:color="auto"/>
        <w:left w:val="none" w:sz="0" w:space="0" w:color="auto"/>
        <w:bottom w:val="none" w:sz="0" w:space="0" w:color="auto"/>
        <w:right w:val="none" w:sz="0" w:space="0" w:color="auto"/>
      </w:divBdr>
    </w:div>
    <w:div w:id="240215086">
      <w:bodyDiv w:val="1"/>
      <w:marLeft w:val="0"/>
      <w:marRight w:val="0"/>
      <w:marTop w:val="0"/>
      <w:marBottom w:val="0"/>
      <w:divBdr>
        <w:top w:val="none" w:sz="0" w:space="0" w:color="auto"/>
        <w:left w:val="none" w:sz="0" w:space="0" w:color="auto"/>
        <w:bottom w:val="none" w:sz="0" w:space="0" w:color="auto"/>
        <w:right w:val="none" w:sz="0" w:space="0" w:color="auto"/>
      </w:divBdr>
    </w:div>
    <w:div w:id="246964812">
      <w:bodyDiv w:val="1"/>
      <w:marLeft w:val="0"/>
      <w:marRight w:val="0"/>
      <w:marTop w:val="0"/>
      <w:marBottom w:val="0"/>
      <w:divBdr>
        <w:top w:val="none" w:sz="0" w:space="0" w:color="auto"/>
        <w:left w:val="none" w:sz="0" w:space="0" w:color="auto"/>
        <w:bottom w:val="none" w:sz="0" w:space="0" w:color="auto"/>
        <w:right w:val="none" w:sz="0" w:space="0" w:color="auto"/>
      </w:divBdr>
    </w:div>
    <w:div w:id="284891545">
      <w:bodyDiv w:val="1"/>
      <w:marLeft w:val="0"/>
      <w:marRight w:val="0"/>
      <w:marTop w:val="0"/>
      <w:marBottom w:val="0"/>
      <w:divBdr>
        <w:top w:val="none" w:sz="0" w:space="0" w:color="auto"/>
        <w:left w:val="none" w:sz="0" w:space="0" w:color="auto"/>
        <w:bottom w:val="none" w:sz="0" w:space="0" w:color="auto"/>
        <w:right w:val="none" w:sz="0" w:space="0" w:color="auto"/>
      </w:divBdr>
    </w:div>
    <w:div w:id="307174198">
      <w:bodyDiv w:val="1"/>
      <w:marLeft w:val="0"/>
      <w:marRight w:val="0"/>
      <w:marTop w:val="0"/>
      <w:marBottom w:val="0"/>
      <w:divBdr>
        <w:top w:val="none" w:sz="0" w:space="0" w:color="auto"/>
        <w:left w:val="none" w:sz="0" w:space="0" w:color="auto"/>
        <w:bottom w:val="none" w:sz="0" w:space="0" w:color="auto"/>
        <w:right w:val="none" w:sz="0" w:space="0" w:color="auto"/>
      </w:divBdr>
    </w:div>
    <w:div w:id="314382018">
      <w:bodyDiv w:val="1"/>
      <w:marLeft w:val="0"/>
      <w:marRight w:val="0"/>
      <w:marTop w:val="0"/>
      <w:marBottom w:val="0"/>
      <w:divBdr>
        <w:top w:val="none" w:sz="0" w:space="0" w:color="auto"/>
        <w:left w:val="none" w:sz="0" w:space="0" w:color="auto"/>
        <w:bottom w:val="none" w:sz="0" w:space="0" w:color="auto"/>
        <w:right w:val="none" w:sz="0" w:space="0" w:color="auto"/>
      </w:divBdr>
    </w:div>
    <w:div w:id="315115408">
      <w:bodyDiv w:val="1"/>
      <w:marLeft w:val="0"/>
      <w:marRight w:val="0"/>
      <w:marTop w:val="0"/>
      <w:marBottom w:val="0"/>
      <w:divBdr>
        <w:top w:val="none" w:sz="0" w:space="0" w:color="auto"/>
        <w:left w:val="none" w:sz="0" w:space="0" w:color="auto"/>
        <w:bottom w:val="none" w:sz="0" w:space="0" w:color="auto"/>
        <w:right w:val="none" w:sz="0" w:space="0" w:color="auto"/>
      </w:divBdr>
    </w:div>
    <w:div w:id="321158985">
      <w:bodyDiv w:val="1"/>
      <w:marLeft w:val="0"/>
      <w:marRight w:val="0"/>
      <w:marTop w:val="0"/>
      <w:marBottom w:val="0"/>
      <w:divBdr>
        <w:top w:val="none" w:sz="0" w:space="0" w:color="auto"/>
        <w:left w:val="none" w:sz="0" w:space="0" w:color="auto"/>
        <w:bottom w:val="none" w:sz="0" w:space="0" w:color="auto"/>
        <w:right w:val="none" w:sz="0" w:space="0" w:color="auto"/>
      </w:divBdr>
    </w:div>
    <w:div w:id="323313447">
      <w:bodyDiv w:val="1"/>
      <w:marLeft w:val="0"/>
      <w:marRight w:val="0"/>
      <w:marTop w:val="0"/>
      <w:marBottom w:val="0"/>
      <w:divBdr>
        <w:top w:val="none" w:sz="0" w:space="0" w:color="auto"/>
        <w:left w:val="none" w:sz="0" w:space="0" w:color="auto"/>
        <w:bottom w:val="none" w:sz="0" w:space="0" w:color="auto"/>
        <w:right w:val="none" w:sz="0" w:space="0" w:color="auto"/>
      </w:divBdr>
      <w:divsChild>
        <w:div w:id="483669998">
          <w:marLeft w:val="0"/>
          <w:marRight w:val="0"/>
          <w:marTop w:val="0"/>
          <w:marBottom w:val="0"/>
          <w:divBdr>
            <w:top w:val="none" w:sz="0" w:space="0" w:color="auto"/>
            <w:left w:val="none" w:sz="0" w:space="0" w:color="auto"/>
            <w:bottom w:val="none" w:sz="0" w:space="0" w:color="auto"/>
            <w:right w:val="none" w:sz="0" w:space="0" w:color="auto"/>
          </w:divBdr>
        </w:div>
        <w:div w:id="1322123403">
          <w:marLeft w:val="0"/>
          <w:marRight w:val="0"/>
          <w:marTop w:val="0"/>
          <w:marBottom w:val="0"/>
          <w:divBdr>
            <w:top w:val="none" w:sz="0" w:space="0" w:color="auto"/>
            <w:left w:val="none" w:sz="0" w:space="0" w:color="auto"/>
            <w:bottom w:val="none" w:sz="0" w:space="0" w:color="auto"/>
            <w:right w:val="none" w:sz="0" w:space="0" w:color="auto"/>
          </w:divBdr>
        </w:div>
        <w:div w:id="1312757309">
          <w:marLeft w:val="0"/>
          <w:marRight w:val="0"/>
          <w:marTop w:val="0"/>
          <w:marBottom w:val="0"/>
          <w:divBdr>
            <w:top w:val="none" w:sz="0" w:space="0" w:color="auto"/>
            <w:left w:val="none" w:sz="0" w:space="0" w:color="auto"/>
            <w:bottom w:val="none" w:sz="0" w:space="0" w:color="auto"/>
            <w:right w:val="none" w:sz="0" w:space="0" w:color="auto"/>
          </w:divBdr>
        </w:div>
        <w:div w:id="541016913">
          <w:marLeft w:val="0"/>
          <w:marRight w:val="0"/>
          <w:marTop w:val="0"/>
          <w:marBottom w:val="0"/>
          <w:divBdr>
            <w:top w:val="none" w:sz="0" w:space="0" w:color="auto"/>
            <w:left w:val="none" w:sz="0" w:space="0" w:color="auto"/>
            <w:bottom w:val="none" w:sz="0" w:space="0" w:color="auto"/>
            <w:right w:val="none" w:sz="0" w:space="0" w:color="auto"/>
          </w:divBdr>
        </w:div>
        <w:div w:id="563838193">
          <w:marLeft w:val="0"/>
          <w:marRight w:val="0"/>
          <w:marTop w:val="0"/>
          <w:marBottom w:val="0"/>
          <w:divBdr>
            <w:top w:val="none" w:sz="0" w:space="0" w:color="auto"/>
            <w:left w:val="none" w:sz="0" w:space="0" w:color="auto"/>
            <w:bottom w:val="none" w:sz="0" w:space="0" w:color="auto"/>
            <w:right w:val="none" w:sz="0" w:space="0" w:color="auto"/>
          </w:divBdr>
        </w:div>
        <w:div w:id="1621719699">
          <w:marLeft w:val="0"/>
          <w:marRight w:val="0"/>
          <w:marTop w:val="0"/>
          <w:marBottom w:val="0"/>
          <w:divBdr>
            <w:top w:val="none" w:sz="0" w:space="0" w:color="auto"/>
            <w:left w:val="none" w:sz="0" w:space="0" w:color="auto"/>
            <w:bottom w:val="none" w:sz="0" w:space="0" w:color="auto"/>
            <w:right w:val="none" w:sz="0" w:space="0" w:color="auto"/>
          </w:divBdr>
        </w:div>
      </w:divsChild>
    </w:div>
    <w:div w:id="341468773">
      <w:bodyDiv w:val="1"/>
      <w:marLeft w:val="0"/>
      <w:marRight w:val="0"/>
      <w:marTop w:val="0"/>
      <w:marBottom w:val="0"/>
      <w:divBdr>
        <w:top w:val="none" w:sz="0" w:space="0" w:color="auto"/>
        <w:left w:val="none" w:sz="0" w:space="0" w:color="auto"/>
        <w:bottom w:val="none" w:sz="0" w:space="0" w:color="auto"/>
        <w:right w:val="none" w:sz="0" w:space="0" w:color="auto"/>
      </w:divBdr>
    </w:div>
    <w:div w:id="343098769">
      <w:bodyDiv w:val="1"/>
      <w:marLeft w:val="0"/>
      <w:marRight w:val="0"/>
      <w:marTop w:val="0"/>
      <w:marBottom w:val="0"/>
      <w:divBdr>
        <w:top w:val="none" w:sz="0" w:space="0" w:color="auto"/>
        <w:left w:val="none" w:sz="0" w:space="0" w:color="auto"/>
        <w:bottom w:val="none" w:sz="0" w:space="0" w:color="auto"/>
        <w:right w:val="none" w:sz="0" w:space="0" w:color="auto"/>
      </w:divBdr>
    </w:div>
    <w:div w:id="343241117">
      <w:bodyDiv w:val="1"/>
      <w:marLeft w:val="0"/>
      <w:marRight w:val="0"/>
      <w:marTop w:val="0"/>
      <w:marBottom w:val="0"/>
      <w:divBdr>
        <w:top w:val="none" w:sz="0" w:space="0" w:color="auto"/>
        <w:left w:val="none" w:sz="0" w:space="0" w:color="auto"/>
        <w:bottom w:val="none" w:sz="0" w:space="0" w:color="auto"/>
        <w:right w:val="none" w:sz="0" w:space="0" w:color="auto"/>
      </w:divBdr>
    </w:div>
    <w:div w:id="344014730">
      <w:bodyDiv w:val="1"/>
      <w:marLeft w:val="0"/>
      <w:marRight w:val="0"/>
      <w:marTop w:val="0"/>
      <w:marBottom w:val="0"/>
      <w:divBdr>
        <w:top w:val="none" w:sz="0" w:space="0" w:color="auto"/>
        <w:left w:val="none" w:sz="0" w:space="0" w:color="auto"/>
        <w:bottom w:val="none" w:sz="0" w:space="0" w:color="auto"/>
        <w:right w:val="none" w:sz="0" w:space="0" w:color="auto"/>
      </w:divBdr>
    </w:div>
    <w:div w:id="361437451">
      <w:bodyDiv w:val="1"/>
      <w:marLeft w:val="0"/>
      <w:marRight w:val="0"/>
      <w:marTop w:val="0"/>
      <w:marBottom w:val="0"/>
      <w:divBdr>
        <w:top w:val="none" w:sz="0" w:space="0" w:color="auto"/>
        <w:left w:val="none" w:sz="0" w:space="0" w:color="auto"/>
        <w:bottom w:val="none" w:sz="0" w:space="0" w:color="auto"/>
        <w:right w:val="none" w:sz="0" w:space="0" w:color="auto"/>
      </w:divBdr>
    </w:div>
    <w:div w:id="400641961">
      <w:bodyDiv w:val="1"/>
      <w:marLeft w:val="0"/>
      <w:marRight w:val="0"/>
      <w:marTop w:val="0"/>
      <w:marBottom w:val="0"/>
      <w:divBdr>
        <w:top w:val="none" w:sz="0" w:space="0" w:color="auto"/>
        <w:left w:val="none" w:sz="0" w:space="0" w:color="auto"/>
        <w:bottom w:val="none" w:sz="0" w:space="0" w:color="auto"/>
        <w:right w:val="none" w:sz="0" w:space="0" w:color="auto"/>
      </w:divBdr>
    </w:div>
    <w:div w:id="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1019355924">
          <w:marLeft w:val="0"/>
          <w:marRight w:val="0"/>
          <w:marTop w:val="0"/>
          <w:marBottom w:val="0"/>
          <w:divBdr>
            <w:top w:val="none" w:sz="0" w:space="0" w:color="auto"/>
            <w:left w:val="none" w:sz="0" w:space="0" w:color="auto"/>
            <w:bottom w:val="none" w:sz="0" w:space="0" w:color="auto"/>
            <w:right w:val="none" w:sz="0" w:space="0" w:color="auto"/>
          </w:divBdr>
        </w:div>
        <w:div w:id="1090272688">
          <w:marLeft w:val="0"/>
          <w:marRight w:val="0"/>
          <w:marTop w:val="0"/>
          <w:marBottom w:val="0"/>
          <w:divBdr>
            <w:top w:val="none" w:sz="0" w:space="0" w:color="auto"/>
            <w:left w:val="none" w:sz="0" w:space="0" w:color="auto"/>
            <w:bottom w:val="none" w:sz="0" w:space="0" w:color="auto"/>
            <w:right w:val="none" w:sz="0" w:space="0" w:color="auto"/>
          </w:divBdr>
        </w:div>
        <w:div w:id="346715349">
          <w:marLeft w:val="0"/>
          <w:marRight w:val="0"/>
          <w:marTop w:val="0"/>
          <w:marBottom w:val="0"/>
          <w:divBdr>
            <w:top w:val="none" w:sz="0" w:space="0" w:color="auto"/>
            <w:left w:val="none" w:sz="0" w:space="0" w:color="auto"/>
            <w:bottom w:val="none" w:sz="0" w:space="0" w:color="auto"/>
            <w:right w:val="none" w:sz="0" w:space="0" w:color="auto"/>
          </w:divBdr>
        </w:div>
        <w:div w:id="828719061">
          <w:marLeft w:val="0"/>
          <w:marRight w:val="0"/>
          <w:marTop w:val="0"/>
          <w:marBottom w:val="0"/>
          <w:divBdr>
            <w:top w:val="none" w:sz="0" w:space="0" w:color="auto"/>
            <w:left w:val="none" w:sz="0" w:space="0" w:color="auto"/>
            <w:bottom w:val="none" w:sz="0" w:space="0" w:color="auto"/>
            <w:right w:val="none" w:sz="0" w:space="0" w:color="auto"/>
          </w:divBdr>
        </w:div>
        <w:div w:id="1945722391">
          <w:marLeft w:val="0"/>
          <w:marRight w:val="0"/>
          <w:marTop w:val="0"/>
          <w:marBottom w:val="0"/>
          <w:divBdr>
            <w:top w:val="none" w:sz="0" w:space="0" w:color="auto"/>
            <w:left w:val="none" w:sz="0" w:space="0" w:color="auto"/>
            <w:bottom w:val="none" w:sz="0" w:space="0" w:color="auto"/>
            <w:right w:val="none" w:sz="0" w:space="0" w:color="auto"/>
          </w:divBdr>
        </w:div>
        <w:div w:id="743839519">
          <w:marLeft w:val="0"/>
          <w:marRight w:val="0"/>
          <w:marTop w:val="0"/>
          <w:marBottom w:val="0"/>
          <w:divBdr>
            <w:top w:val="none" w:sz="0" w:space="0" w:color="auto"/>
            <w:left w:val="none" w:sz="0" w:space="0" w:color="auto"/>
            <w:bottom w:val="none" w:sz="0" w:space="0" w:color="auto"/>
            <w:right w:val="none" w:sz="0" w:space="0" w:color="auto"/>
          </w:divBdr>
        </w:div>
        <w:div w:id="212037600">
          <w:marLeft w:val="0"/>
          <w:marRight w:val="0"/>
          <w:marTop w:val="0"/>
          <w:marBottom w:val="0"/>
          <w:divBdr>
            <w:top w:val="none" w:sz="0" w:space="0" w:color="auto"/>
            <w:left w:val="none" w:sz="0" w:space="0" w:color="auto"/>
            <w:bottom w:val="none" w:sz="0" w:space="0" w:color="auto"/>
            <w:right w:val="none" w:sz="0" w:space="0" w:color="auto"/>
          </w:divBdr>
        </w:div>
      </w:divsChild>
    </w:div>
    <w:div w:id="445320786">
      <w:bodyDiv w:val="1"/>
      <w:marLeft w:val="0"/>
      <w:marRight w:val="0"/>
      <w:marTop w:val="0"/>
      <w:marBottom w:val="0"/>
      <w:divBdr>
        <w:top w:val="none" w:sz="0" w:space="0" w:color="auto"/>
        <w:left w:val="none" w:sz="0" w:space="0" w:color="auto"/>
        <w:bottom w:val="none" w:sz="0" w:space="0" w:color="auto"/>
        <w:right w:val="none" w:sz="0" w:space="0" w:color="auto"/>
      </w:divBdr>
    </w:div>
    <w:div w:id="452333651">
      <w:bodyDiv w:val="1"/>
      <w:marLeft w:val="0"/>
      <w:marRight w:val="0"/>
      <w:marTop w:val="0"/>
      <w:marBottom w:val="0"/>
      <w:divBdr>
        <w:top w:val="none" w:sz="0" w:space="0" w:color="auto"/>
        <w:left w:val="none" w:sz="0" w:space="0" w:color="auto"/>
        <w:bottom w:val="none" w:sz="0" w:space="0" w:color="auto"/>
        <w:right w:val="none" w:sz="0" w:space="0" w:color="auto"/>
      </w:divBdr>
    </w:div>
    <w:div w:id="455563556">
      <w:bodyDiv w:val="1"/>
      <w:marLeft w:val="0"/>
      <w:marRight w:val="0"/>
      <w:marTop w:val="0"/>
      <w:marBottom w:val="0"/>
      <w:divBdr>
        <w:top w:val="none" w:sz="0" w:space="0" w:color="auto"/>
        <w:left w:val="none" w:sz="0" w:space="0" w:color="auto"/>
        <w:bottom w:val="none" w:sz="0" w:space="0" w:color="auto"/>
        <w:right w:val="none" w:sz="0" w:space="0" w:color="auto"/>
      </w:divBdr>
    </w:div>
    <w:div w:id="482696231">
      <w:bodyDiv w:val="1"/>
      <w:marLeft w:val="0"/>
      <w:marRight w:val="0"/>
      <w:marTop w:val="0"/>
      <w:marBottom w:val="0"/>
      <w:divBdr>
        <w:top w:val="none" w:sz="0" w:space="0" w:color="auto"/>
        <w:left w:val="none" w:sz="0" w:space="0" w:color="auto"/>
        <w:bottom w:val="none" w:sz="0" w:space="0" w:color="auto"/>
        <w:right w:val="none" w:sz="0" w:space="0" w:color="auto"/>
      </w:divBdr>
    </w:div>
    <w:div w:id="491062770">
      <w:bodyDiv w:val="1"/>
      <w:marLeft w:val="0"/>
      <w:marRight w:val="0"/>
      <w:marTop w:val="0"/>
      <w:marBottom w:val="0"/>
      <w:divBdr>
        <w:top w:val="none" w:sz="0" w:space="0" w:color="auto"/>
        <w:left w:val="none" w:sz="0" w:space="0" w:color="auto"/>
        <w:bottom w:val="none" w:sz="0" w:space="0" w:color="auto"/>
        <w:right w:val="none" w:sz="0" w:space="0" w:color="auto"/>
      </w:divBdr>
    </w:div>
    <w:div w:id="504785320">
      <w:bodyDiv w:val="1"/>
      <w:marLeft w:val="0"/>
      <w:marRight w:val="0"/>
      <w:marTop w:val="0"/>
      <w:marBottom w:val="0"/>
      <w:divBdr>
        <w:top w:val="none" w:sz="0" w:space="0" w:color="auto"/>
        <w:left w:val="none" w:sz="0" w:space="0" w:color="auto"/>
        <w:bottom w:val="none" w:sz="0" w:space="0" w:color="auto"/>
        <w:right w:val="none" w:sz="0" w:space="0" w:color="auto"/>
      </w:divBdr>
    </w:div>
    <w:div w:id="513765480">
      <w:bodyDiv w:val="1"/>
      <w:marLeft w:val="0"/>
      <w:marRight w:val="0"/>
      <w:marTop w:val="0"/>
      <w:marBottom w:val="0"/>
      <w:divBdr>
        <w:top w:val="none" w:sz="0" w:space="0" w:color="auto"/>
        <w:left w:val="none" w:sz="0" w:space="0" w:color="auto"/>
        <w:bottom w:val="none" w:sz="0" w:space="0" w:color="auto"/>
        <w:right w:val="none" w:sz="0" w:space="0" w:color="auto"/>
      </w:divBdr>
    </w:div>
    <w:div w:id="527840726">
      <w:bodyDiv w:val="1"/>
      <w:marLeft w:val="0"/>
      <w:marRight w:val="0"/>
      <w:marTop w:val="0"/>
      <w:marBottom w:val="0"/>
      <w:divBdr>
        <w:top w:val="none" w:sz="0" w:space="0" w:color="auto"/>
        <w:left w:val="none" w:sz="0" w:space="0" w:color="auto"/>
        <w:bottom w:val="none" w:sz="0" w:space="0" w:color="auto"/>
        <w:right w:val="none" w:sz="0" w:space="0" w:color="auto"/>
      </w:divBdr>
    </w:div>
    <w:div w:id="542526451">
      <w:bodyDiv w:val="1"/>
      <w:marLeft w:val="0"/>
      <w:marRight w:val="0"/>
      <w:marTop w:val="0"/>
      <w:marBottom w:val="0"/>
      <w:divBdr>
        <w:top w:val="none" w:sz="0" w:space="0" w:color="auto"/>
        <w:left w:val="none" w:sz="0" w:space="0" w:color="auto"/>
        <w:bottom w:val="none" w:sz="0" w:space="0" w:color="auto"/>
        <w:right w:val="none" w:sz="0" w:space="0" w:color="auto"/>
      </w:divBdr>
      <w:divsChild>
        <w:div w:id="791435997">
          <w:marLeft w:val="0"/>
          <w:marRight w:val="0"/>
          <w:marTop w:val="0"/>
          <w:marBottom w:val="0"/>
          <w:divBdr>
            <w:top w:val="none" w:sz="0" w:space="0" w:color="auto"/>
            <w:left w:val="none" w:sz="0" w:space="0" w:color="auto"/>
            <w:bottom w:val="none" w:sz="0" w:space="0" w:color="auto"/>
            <w:right w:val="none" w:sz="0" w:space="0" w:color="auto"/>
          </w:divBdr>
        </w:div>
        <w:div w:id="1670674335">
          <w:marLeft w:val="0"/>
          <w:marRight w:val="0"/>
          <w:marTop w:val="0"/>
          <w:marBottom w:val="0"/>
          <w:divBdr>
            <w:top w:val="none" w:sz="0" w:space="0" w:color="auto"/>
            <w:left w:val="none" w:sz="0" w:space="0" w:color="auto"/>
            <w:bottom w:val="none" w:sz="0" w:space="0" w:color="auto"/>
            <w:right w:val="none" w:sz="0" w:space="0" w:color="auto"/>
          </w:divBdr>
        </w:div>
        <w:div w:id="736131454">
          <w:marLeft w:val="0"/>
          <w:marRight w:val="0"/>
          <w:marTop w:val="0"/>
          <w:marBottom w:val="0"/>
          <w:divBdr>
            <w:top w:val="none" w:sz="0" w:space="0" w:color="auto"/>
            <w:left w:val="none" w:sz="0" w:space="0" w:color="auto"/>
            <w:bottom w:val="none" w:sz="0" w:space="0" w:color="auto"/>
            <w:right w:val="none" w:sz="0" w:space="0" w:color="auto"/>
          </w:divBdr>
        </w:div>
        <w:div w:id="1967352642">
          <w:marLeft w:val="0"/>
          <w:marRight w:val="0"/>
          <w:marTop w:val="0"/>
          <w:marBottom w:val="0"/>
          <w:divBdr>
            <w:top w:val="none" w:sz="0" w:space="0" w:color="auto"/>
            <w:left w:val="none" w:sz="0" w:space="0" w:color="auto"/>
            <w:bottom w:val="none" w:sz="0" w:space="0" w:color="auto"/>
            <w:right w:val="none" w:sz="0" w:space="0" w:color="auto"/>
          </w:divBdr>
        </w:div>
        <w:div w:id="1747457472">
          <w:marLeft w:val="0"/>
          <w:marRight w:val="0"/>
          <w:marTop w:val="0"/>
          <w:marBottom w:val="0"/>
          <w:divBdr>
            <w:top w:val="none" w:sz="0" w:space="0" w:color="auto"/>
            <w:left w:val="none" w:sz="0" w:space="0" w:color="auto"/>
            <w:bottom w:val="none" w:sz="0" w:space="0" w:color="auto"/>
            <w:right w:val="none" w:sz="0" w:space="0" w:color="auto"/>
          </w:divBdr>
        </w:div>
        <w:div w:id="2023319541">
          <w:marLeft w:val="0"/>
          <w:marRight w:val="0"/>
          <w:marTop w:val="0"/>
          <w:marBottom w:val="0"/>
          <w:divBdr>
            <w:top w:val="none" w:sz="0" w:space="0" w:color="auto"/>
            <w:left w:val="none" w:sz="0" w:space="0" w:color="auto"/>
            <w:bottom w:val="none" w:sz="0" w:space="0" w:color="auto"/>
            <w:right w:val="none" w:sz="0" w:space="0" w:color="auto"/>
          </w:divBdr>
        </w:div>
        <w:div w:id="1007517335">
          <w:marLeft w:val="0"/>
          <w:marRight w:val="0"/>
          <w:marTop w:val="0"/>
          <w:marBottom w:val="0"/>
          <w:divBdr>
            <w:top w:val="none" w:sz="0" w:space="0" w:color="auto"/>
            <w:left w:val="none" w:sz="0" w:space="0" w:color="auto"/>
            <w:bottom w:val="none" w:sz="0" w:space="0" w:color="auto"/>
            <w:right w:val="none" w:sz="0" w:space="0" w:color="auto"/>
          </w:divBdr>
        </w:div>
        <w:div w:id="216824479">
          <w:marLeft w:val="0"/>
          <w:marRight w:val="0"/>
          <w:marTop w:val="0"/>
          <w:marBottom w:val="0"/>
          <w:divBdr>
            <w:top w:val="none" w:sz="0" w:space="0" w:color="auto"/>
            <w:left w:val="none" w:sz="0" w:space="0" w:color="auto"/>
            <w:bottom w:val="none" w:sz="0" w:space="0" w:color="auto"/>
            <w:right w:val="none" w:sz="0" w:space="0" w:color="auto"/>
          </w:divBdr>
        </w:div>
        <w:div w:id="1154301662">
          <w:marLeft w:val="0"/>
          <w:marRight w:val="0"/>
          <w:marTop w:val="0"/>
          <w:marBottom w:val="0"/>
          <w:divBdr>
            <w:top w:val="none" w:sz="0" w:space="0" w:color="auto"/>
            <w:left w:val="none" w:sz="0" w:space="0" w:color="auto"/>
            <w:bottom w:val="none" w:sz="0" w:space="0" w:color="auto"/>
            <w:right w:val="none" w:sz="0" w:space="0" w:color="auto"/>
          </w:divBdr>
        </w:div>
        <w:div w:id="1389109218">
          <w:marLeft w:val="0"/>
          <w:marRight w:val="0"/>
          <w:marTop w:val="0"/>
          <w:marBottom w:val="0"/>
          <w:divBdr>
            <w:top w:val="none" w:sz="0" w:space="0" w:color="auto"/>
            <w:left w:val="none" w:sz="0" w:space="0" w:color="auto"/>
            <w:bottom w:val="none" w:sz="0" w:space="0" w:color="auto"/>
            <w:right w:val="none" w:sz="0" w:space="0" w:color="auto"/>
          </w:divBdr>
        </w:div>
        <w:div w:id="1007252672">
          <w:marLeft w:val="0"/>
          <w:marRight w:val="0"/>
          <w:marTop w:val="0"/>
          <w:marBottom w:val="0"/>
          <w:divBdr>
            <w:top w:val="none" w:sz="0" w:space="0" w:color="auto"/>
            <w:left w:val="none" w:sz="0" w:space="0" w:color="auto"/>
            <w:bottom w:val="none" w:sz="0" w:space="0" w:color="auto"/>
            <w:right w:val="none" w:sz="0" w:space="0" w:color="auto"/>
          </w:divBdr>
        </w:div>
        <w:div w:id="665400743">
          <w:marLeft w:val="0"/>
          <w:marRight w:val="0"/>
          <w:marTop w:val="0"/>
          <w:marBottom w:val="0"/>
          <w:divBdr>
            <w:top w:val="none" w:sz="0" w:space="0" w:color="auto"/>
            <w:left w:val="none" w:sz="0" w:space="0" w:color="auto"/>
            <w:bottom w:val="none" w:sz="0" w:space="0" w:color="auto"/>
            <w:right w:val="none" w:sz="0" w:space="0" w:color="auto"/>
          </w:divBdr>
        </w:div>
        <w:div w:id="1776633368">
          <w:marLeft w:val="0"/>
          <w:marRight w:val="0"/>
          <w:marTop w:val="0"/>
          <w:marBottom w:val="0"/>
          <w:divBdr>
            <w:top w:val="none" w:sz="0" w:space="0" w:color="auto"/>
            <w:left w:val="none" w:sz="0" w:space="0" w:color="auto"/>
            <w:bottom w:val="none" w:sz="0" w:space="0" w:color="auto"/>
            <w:right w:val="none" w:sz="0" w:space="0" w:color="auto"/>
          </w:divBdr>
        </w:div>
        <w:div w:id="377780745">
          <w:marLeft w:val="0"/>
          <w:marRight w:val="0"/>
          <w:marTop w:val="0"/>
          <w:marBottom w:val="0"/>
          <w:divBdr>
            <w:top w:val="none" w:sz="0" w:space="0" w:color="auto"/>
            <w:left w:val="none" w:sz="0" w:space="0" w:color="auto"/>
            <w:bottom w:val="none" w:sz="0" w:space="0" w:color="auto"/>
            <w:right w:val="none" w:sz="0" w:space="0" w:color="auto"/>
          </w:divBdr>
        </w:div>
        <w:div w:id="1150252820">
          <w:marLeft w:val="0"/>
          <w:marRight w:val="0"/>
          <w:marTop w:val="0"/>
          <w:marBottom w:val="0"/>
          <w:divBdr>
            <w:top w:val="none" w:sz="0" w:space="0" w:color="auto"/>
            <w:left w:val="none" w:sz="0" w:space="0" w:color="auto"/>
            <w:bottom w:val="none" w:sz="0" w:space="0" w:color="auto"/>
            <w:right w:val="none" w:sz="0" w:space="0" w:color="auto"/>
          </w:divBdr>
        </w:div>
        <w:div w:id="1463110389">
          <w:marLeft w:val="0"/>
          <w:marRight w:val="0"/>
          <w:marTop w:val="0"/>
          <w:marBottom w:val="0"/>
          <w:divBdr>
            <w:top w:val="none" w:sz="0" w:space="0" w:color="auto"/>
            <w:left w:val="none" w:sz="0" w:space="0" w:color="auto"/>
            <w:bottom w:val="none" w:sz="0" w:space="0" w:color="auto"/>
            <w:right w:val="none" w:sz="0" w:space="0" w:color="auto"/>
          </w:divBdr>
        </w:div>
        <w:div w:id="714160512">
          <w:marLeft w:val="0"/>
          <w:marRight w:val="0"/>
          <w:marTop w:val="0"/>
          <w:marBottom w:val="0"/>
          <w:divBdr>
            <w:top w:val="none" w:sz="0" w:space="0" w:color="auto"/>
            <w:left w:val="none" w:sz="0" w:space="0" w:color="auto"/>
            <w:bottom w:val="none" w:sz="0" w:space="0" w:color="auto"/>
            <w:right w:val="none" w:sz="0" w:space="0" w:color="auto"/>
          </w:divBdr>
        </w:div>
        <w:div w:id="79328151">
          <w:marLeft w:val="0"/>
          <w:marRight w:val="0"/>
          <w:marTop w:val="0"/>
          <w:marBottom w:val="0"/>
          <w:divBdr>
            <w:top w:val="none" w:sz="0" w:space="0" w:color="auto"/>
            <w:left w:val="none" w:sz="0" w:space="0" w:color="auto"/>
            <w:bottom w:val="none" w:sz="0" w:space="0" w:color="auto"/>
            <w:right w:val="none" w:sz="0" w:space="0" w:color="auto"/>
          </w:divBdr>
        </w:div>
        <w:div w:id="26686461">
          <w:marLeft w:val="0"/>
          <w:marRight w:val="0"/>
          <w:marTop w:val="0"/>
          <w:marBottom w:val="0"/>
          <w:divBdr>
            <w:top w:val="none" w:sz="0" w:space="0" w:color="auto"/>
            <w:left w:val="none" w:sz="0" w:space="0" w:color="auto"/>
            <w:bottom w:val="none" w:sz="0" w:space="0" w:color="auto"/>
            <w:right w:val="none" w:sz="0" w:space="0" w:color="auto"/>
          </w:divBdr>
        </w:div>
        <w:div w:id="316736059">
          <w:marLeft w:val="0"/>
          <w:marRight w:val="0"/>
          <w:marTop w:val="0"/>
          <w:marBottom w:val="0"/>
          <w:divBdr>
            <w:top w:val="none" w:sz="0" w:space="0" w:color="auto"/>
            <w:left w:val="none" w:sz="0" w:space="0" w:color="auto"/>
            <w:bottom w:val="none" w:sz="0" w:space="0" w:color="auto"/>
            <w:right w:val="none" w:sz="0" w:space="0" w:color="auto"/>
          </w:divBdr>
        </w:div>
        <w:div w:id="656543332">
          <w:marLeft w:val="0"/>
          <w:marRight w:val="0"/>
          <w:marTop w:val="0"/>
          <w:marBottom w:val="0"/>
          <w:divBdr>
            <w:top w:val="none" w:sz="0" w:space="0" w:color="auto"/>
            <w:left w:val="none" w:sz="0" w:space="0" w:color="auto"/>
            <w:bottom w:val="none" w:sz="0" w:space="0" w:color="auto"/>
            <w:right w:val="none" w:sz="0" w:space="0" w:color="auto"/>
          </w:divBdr>
        </w:div>
        <w:div w:id="442698249">
          <w:marLeft w:val="0"/>
          <w:marRight w:val="0"/>
          <w:marTop w:val="0"/>
          <w:marBottom w:val="0"/>
          <w:divBdr>
            <w:top w:val="none" w:sz="0" w:space="0" w:color="auto"/>
            <w:left w:val="none" w:sz="0" w:space="0" w:color="auto"/>
            <w:bottom w:val="none" w:sz="0" w:space="0" w:color="auto"/>
            <w:right w:val="none" w:sz="0" w:space="0" w:color="auto"/>
          </w:divBdr>
        </w:div>
        <w:div w:id="348140618">
          <w:marLeft w:val="0"/>
          <w:marRight w:val="0"/>
          <w:marTop w:val="0"/>
          <w:marBottom w:val="0"/>
          <w:divBdr>
            <w:top w:val="none" w:sz="0" w:space="0" w:color="auto"/>
            <w:left w:val="none" w:sz="0" w:space="0" w:color="auto"/>
            <w:bottom w:val="none" w:sz="0" w:space="0" w:color="auto"/>
            <w:right w:val="none" w:sz="0" w:space="0" w:color="auto"/>
          </w:divBdr>
        </w:div>
        <w:div w:id="579482363">
          <w:marLeft w:val="0"/>
          <w:marRight w:val="0"/>
          <w:marTop w:val="0"/>
          <w:marBottom w:val="0"/>
          <w:divBdr>
            <w:top w:val="none" w:sz="0" w:space="0" w:color="auto"/>
            <w:left w:val="none" w:sz="0" w:space="0" w:color="auto"/>
            <w:bottom w:val="none" w:sz="0" w:space="0" w:color="auto"/>
            <w:right w:val="none" w:sz="0" w:space="0" w:color="auto"/>
          </w:divBdr>
        </w:div>
        <w:div w:id="1601598279">
          <w:marLeft w:val="0"/>
          <w:marRight w:val="0"/>
          <w:marTop w:val="0"/>
          <w:marBottom w:val="0"/>
          <w:divBdr>
            <w:top w:val="none" w:sz="0" w:space="0" w:color="auto"/>
            <w:left w:val="none" w:sz="0" w:space="0" w:color="auto"/>
            <w:bottom w:val="none" w:sz="0" w:space="0" w:color="auto"/>
            <w:right w:val="none" w:sz="0" w:space="0" w:color="auto"/>
          </w:divBdr>
        </w:div>
        <w:div w:id="359404681">
          <w:marLeft w:val="0"/>
          <w:marRight w:val="0"/>
          <w:marTop w:val="0"/>
          <w:marBottom w:val="0"/>
          <w:divBdr>
            <w:top w:val="none" w:sz="0" w:space="0" w:color="auto"/>
            <w:left w:val="none" w:sz="0" w:space="0" w:color="auto"/>
            <w:bottom w:val="none" w:sz="0" w:space="0" w:color="auto"/>
            <w:right w:val="none" w:sz="0" w:space="0" w:color="auto"/>
          </w:divBdr>
        </w:div>
        <w:div w:id="1314872238">
          <w:marLeft w:val="0"/>
          <w:marRight w:val="0"/>
          <w:marTop w:val="0"/>
          <w:marBottom w:val="0"/>
          <w:divBdr>
            <w:top w:val="none" w:sz="0" w:space="0" w:color="auto"/>
            <w:left w:val="none" w:sz="0" w:space="0" w:color="auto"/>
            <w:bottom w:val="none" w:sz="0" w:space="0" w:color="auto"/>
            <w:right w:val="none" w:sz="0" w:space="0" w:color="auto"/>
          </w:divBdr>
        </w:div>
        <w:div w:id="1135680940">
          <w:marLeft w:val="0"/>
          <w:marRight w:val="0"/>
          <w:marTop w:val="0"/>
          <w:marBottom w:val="0"/>
          <w:divBdr>
            <w:top w:val="none" w:sz="0" w:space="0" w:color="auto"/>
            <w:left w:val="none" w:sz="0" w:space="0" w:color="auto"/>
            <w:bottom w:val="none" w:sz="0" w:space="0" w:color="auto"/>
            <w:right w:val="none" w:sz="0" w:space="0" w:color="auto"/>
          </w:divBdr>
        </w:div>
        <w:div w:id="1350062553">
          <w:marLeft w:val="0"/>
          <w:marRight w:val="0"/>
          <w:marTop w:val="0"/>
          <w:marBottom w:val="0"/>
          <w:divBdr>
            <w:top w:val="none" w:sz="0" w:space="0" w:color="auto"/>
            <w:left w:val="none" w:sz="0" w:space="0" w:color="auto"/>
            <w:bottom w:val="none" w:sz="0" w:space="0" w:color="auto"/>
            <w:right w:val="none" w:sz="0" w:space="0" w:color="auto"/>
          </w:divBdr>
        </w:div>
        <w:div w:id="448356950">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832111101">
          <w:marLeft w:val="0"/>
          <w:marRight w:val="0"/>
          <w:marTop w:val="0"/>
          <w:marBottom w:val="0"/>
          <w:divBdr>
            <w:top w:val="none" w:sz="0" w:space="0" w:color="auto"/>
            <w:left w:val="none" w:sz="0" w:space="0" w:color="auto"/>
            <w:bottom w:val="none" w:sz="0" w:space="0" w:color="auto"/>
            <w:right w:val="none" w:sz="0" w:space="0" w:color="auto"/>
          </w:divBdr>
        </w:div>
        <w:div w:id="1397359355">
          <w:marLeft w:val="0"/>
          <w:marRight w:val="0"/>
          <w:marTop w:val="0"/>
          <w:marBottom w:val="0"/>
          <w:divBdr>
            <w:top w:val="none" w:sz="0" w:space="0" w:color="auto"/>
            <w:left w:val="none" w:sz="0" w:space="0" w:color="auto"/>
            <w:bottom w:val="none" w:sz="0" w:space="0" w:color="auto"/>
            <w:right w:val="none" w:sz="0" w:space="0" w:color="auto"/>
          </w:divBdr>
        </w:div>
        <w:div w:id="1713529675">
          <w:marLeft w:val="0"/>
          <w:marRight w:val="0"/>
          <w:marTop w:val="0"/>
          <w:marBottom w:val="0"/>
          <w:divBdr>
            <w:top w:val="none" w:sz="0" w:space="0" w:color="auto"/>
            <w:left w:val="none" w:sz="0" w:space="0" w:color="auto"/>
            <w:bottom w:val="none" w:sz="0" w:space="0" w:color="auto"/>
            <w:right w:val="none" w:sz="0" w:space="0" w:color="auto"/>
          </w:divBdr>
        </w:div>
        <w:div w:id="1794706946">
          <w:marLeft w:val="0"/>
          <w:marRight w:val="0"/>
          <w:marTop w:val="0"/>
          <w:marBottom w:val="0"/>
          <w:divBdr>
            <w:top w:val="none" w:sz="0" w:space="0" w:color="auto"/>
            <w:left w:val="none" w:sz="0" w:space="0" w:color="auto"/>
            <w:bottom w:val="none" w:sz="0" w:space="0" w:color="auto"/>
            <w:right w:val="none" w:sz="0" w:space="0" w:color="auto"/>
          </w:divBdr>
        </w:div>
        <w:div w:id="1691105538">
          <w:marLeft w:val="0"/>
          <w:marRight w:val="0"/>
          <w:marTop w:val="0"/>
          <w:marBottom w:val="0"/>
          <w:divBdr>
            <w:top w:val="none" w:sz="0" w:space="0" w:color="auto"/>
            <w:left w:val="none" w:sz="0" w:space="0" w:color="auto"/>
            <w:bottom w:val="none" w:sz="0" w:space="0" w:color="auto"/>
            <w:right w:val="none" w:sz="0" w:space="0" w:color="auto"/>
          </w:divBdr>
        </w:div>
        <w:div w:id="701783018">
          <w:marLeft w:val="0"/>
          <w:marRight w:val="0"/>
          <w:marTop w:val="0"/>
          <w:marBottom w:val="0"/>
          <w:divBdr>
            <w:top w:val="none" w:sz="0" w:space="0" w:color="auto"/>
            <w:left w:val="none" w:sz="0" w:space="0" w:color="auto"/>
            <w:bottom w:val="none" w:sz="0" w:space="0" w:color="auto"/>
            <w:right w:val="none" w:sz="0" w:space="0" w:color="auto"/>
          </w:divBdr>
        </w:div>
        <w:div w:id="1173951859">
          <w:marLeft w:val="0"/>
          <w:marRight w:val="0"/>
          <w:marTop w:val="0"/>
          <w:marBottom w:val="0"/>
          <w:divBdr>
            <w:top w:val="none" w:sz="0" w:space="0" w:color="auto"/>
            <w:left w:val="none" w:sz="0" w:space="0" w:color="auto"/>
            <w:bottom w:val="none" w:sz="0" w:space="0" w:color="auto"/>
            <w:right w:val="none" w:sz="0" w:space="0" w:color="auto"/>
          </w:divBdr>
        </w:div>
        <w:div w:id="2048797548">
          <w:marLeft w:val="0"/>
          <w:marRight w:val="0"/>
          <w:marTop w:val="0"/>
          <w:marBottom w:val="0"/>
          <w:divBdr>
            <w:top w:val="none" w:sz="0" w:space="0" w:color="auto"/>
            <w:left w:val="none" w:sz="0" w:space="0" w:color="auto"/>
            <w:bottom w:val="none" w:sz="0" w:space="0" w:color="auto"/>
            <w:right w:val="none" w:sz="0" w:space="0" w:color="auto"/>
          </w:divBdr>
        </w:div>
        <w:div w:id="1813906059">
          <w:marLeft w:val="0"/>
          <w:marRight w:val="0"/>
          <w:marTop w:val="0"/>
          <w:marBottom w:val="0"/>
          <w:divBdr>
            <w:top w:val="none" w:sz="0" w:space="0" w:color="auto"/>
            <w:left w:val="none" w:sz="0" w:space="0" w:color="auto"/>
            <w:bottom w:val="none" w:sz="0" w:space="0" w:color="auto"/>
            <w:right w:val="none" w:sz="0" w:space="0" w:color="auto"/>
          </w:divBdr>
        </w:div>
      </w:divsChild>
    </w:div>
    <w:div w:id="558249534">
      <w:bodyDiv w:val="1"/>
      <w:marLeft w:val="0"/>
      <w:marRight w:val="0"/>
      <w:marTop w:val="0"/>
      <w:marBottom w:val="0"/>
      <w:divBdr>
        <w:top w:val="none" w:sz="0" w:space="0" w:color="auto"/>
        <w:left w:val="none" w:sz="0" w:space="0" w:color="auto"/>
        <w:bottom w:val="none" w:sz="0" w:space="0" w:color="auto"/>
        <w:right w:val="none" w:sz="0" w:space="0" w:color="auto"/>
      </w:divBdr>
    </w:div>
    <w:div w:id="561139924">
      <w:bodyDiv w:val="1"/>
      <w:marLeft w:val="0"/>
      <w:marRight w:val="0"/>
      <w:marTop w:val="0"/>
      <w:marBottom w:val="0"/>
      <w:divBdr>
        <w:top w:val="none" w:sz="0" w:space="0" w:color="auto"/>
        <w:left w:val="none" w:sz="0" w:space="0" w:color="auto"/>
        <w:bottom w:val="none" w:sz="0" w:space="0" w:color="auto"/>
        <w:right w:val="none" w:sz="0" w:space="0" w:color="auto"/>
      </w:divBdr>
    </w:div>
    <w:div w:id="584073218">
      <w:bodyDiv w:val="1"/>
      <w:marLeft w:val="0"/>
      <w:marRight w:val="0"/>
      <w:marTop w:val="0"/>
      <w:marBottom w:val="0"/>
      <w:divBdr>
        <w:top w:val="none" w:sz="0" w:space="0" w:color="auto"/>
        <w:left w:val="none" w:sz="0" w:space="0" w:color="auto"/>
        <w:bottom w:val="none" w:sz="0" w:space="0" w:color="auto"/>
        <w:right w:val="none" w:sz="0" w:space="0" w:color="auto"/>
      </w:divBdr>
    </w:div>
    <w:div w:id="589312561">
      <w:bodyDiv w:val="1"/>
      <w:marLeft w:val="0"/>
      <w:marRight w:val="0"/>
      <w:marTop w:val="0"/>
      <w:marBottom w:val="0"/>
      <w:divBdr>
        <w:top w:val="none" w:sz="0" w:space="0" w:color="auto"/>
        <w:left w:val="none" w:sz="0" w:space="0" w:color="auto"/>
        <w:bottom w:val="none" w:sz="0" w:space="0" w:color="auto"/>
        <w:right w:val="none" w:sz="0" w:space="0" w:color="auto"/>
      </w:divBdr>
    </w:div>
    <w:div w:id="610404690">
      <w:bodyDiv w:val="1"/>
      <w:marLeft w:val="0"/>
      <w:marRight w:val="0"/>
      <w:marTop w:val="0"/>
      <w:marBottom w:val="0"/>
      <w:divBdr>
        <w:top w:val="none" w:sz="0" w:space="0" w:color="auto"/>
        <w:left w:val="none" w:sz="0" w:space="0" w:color="auto"/>
        <w:bottom w:val="none" w:sz="0" w:space="0" w:color="auto"/>
        <w:right w:val="none" w:sz="0" w:space="0" w:color="auto"/>
      </w:divBdr>
    </w:div>
    <w:div w:id="623584770">
      <w:bodyDiv w:val="1"/>
      <w:marLeft w:val="0"/>
      <w:marRight w:val="0"/>
      <w:marTop w:val="0"/>
      <w:marBottom w:val="0"/>
      <w:divBdr>
        <w:top w:val="none" w:sz="0" w:space="0" w:color="auto"/>
        <w:left w:val="none" w:sz="0" w:space="0" w:color="auto"/>
        <w:bottom w:val="none" w:sz="0" w:space="0" w:color="auto"/>
        <w:right w:val="none" w:sz="0" w:space="0" w:color="auto"/>
      </w:divBdr>
    </w:div>
    <w:div w:id="641347026">
      <w:bodyDiv w:val="1"/>
      <w:marLeft w:val="0"/>
      <w:marRight w:val="0"/>
      <w:marTop w:val="0"/>
      <w:marBottom w:val="0"/>
      <w:divBdr>
        <w:top w:val="none" w:sz="0" w:space="0" w:color="auto"/>
        <w:left w:val="none" w:sz="0" w:space="0" w:color="auto"/>
        <w:bottom w:val="none" w:sz="0" w:space="0" w:color="auto"/>
        <w:right w:val="none" w:sz="0" w:space="0" w:color="auto"/>
      </w:divBdr>
    </w:div>
    <w:div w:id="666714368">
      <w:bodyDiv w:val="1"/>
      <w:marLeft w:val="0"/>
      <w:marRight w:val="0"/>
      <w:marTop w:val="0"/>
      <w:marBottom w:val="0"/>
      <w:divBdr>
        <w:top w:val="none" w:sz="0" w:space="0" w:color="auto"/>
        <w:left w:val="none" w:sz="0" w:space="0" w:color="auto"/>
        <w:bottom w:val="none" w:sz="0" w:space="0" w:color="auto"/>
        <w:right w:val="none" w:sz="0" w:space="0" w:color="auto"/>
      </w:divBdr>
    </w:div>
    <w:div w:id="676545047">
      <w:bodyDiv w:val="1"/>
      <w:marLeft w:val="0"/>
      <w:marRight w:val="0"/>
      <w:marTop w:val="0"/>
      <w:marBottom w:val="0"/>
      <w:divBdr>
        <w:top w:val="none" w:sz="0" w:space="0" w:color="auto"/>
        <w:left w:val="none" w:sz="0" w:space="0" w:color="auto"/>
        <w:bottom w:val="none" w:sz="0" w:space="0" w:color="auto"/>
        <w:right w:val="none" w:sz="0" w:space="0" w:color="auto"/>
      </w:divBdr>
      <w:divsChild>
        <w:div w:id="65077592">
          <w:marLeft w:val="0"/>
          <w:marRight w:val="0"/>
          <w:marTop w:val="0"/>
          <w:marBottom w:val="0"/>
          <w:divBdr>
            <w:top w:val="none" w:sz="0" w:space="0" w:color="auto"/>
            <w:left w:val="none" w:sz="0" w:space="0" w:color="auto"/>
            <w:bottom w:val="none" w:sz="0" w:space="0" w:color="auto"/>
            <w:right w:val="none" w:sz="0" w:space="0" w:color="auto"/>
          </w:divBdr>
        </w:div>
      </w:divsChild>
    </w:div>
    <w:div w:id="683289971">
      <w:bodyDiv w:val="1"/>
      <w:marLeft w:val="0"/>
      <w:marRight w:val="0"/>
      <w:marTop w:val="0"/>
      <w:marBottom w:val="0"/>
      <w:divBdr>
        <w:top w:val="none" w:sz="0" w:space="0" w:color="auto"/>
        <w:left w:val="none" w:sz="0" w:space="0" w:color="auto"/>
        <w:bottom w:val="none" w:sz="0" w:space="0" w:color="auto"/>
        <w:right w:val="none" w:sz="0" w:space="0" w:color="auto"/>
      </w:divBdr>
    </w:div>
    <w:div w:id="717750634">
      <w:bodyDiv w:val="1"/>
      <w:marLeft w:val="0"/>
      <w:marRight w:val="0"/>
      <w:marTop w:val="0"/>
      <w:marBottom w:val="0"/>
      <w:divBdr>
        <w:top w:val="none" w:sz="0" w:space="0" w:color="auto"/>
        <w:left w:val="none" w:sz="0" w:space="0" w:color="auto"/>
        <w:bottom w:val="none" w:sz="0" w:space="0" w:color="auto"/>
        <w:right w:val="none" w:sz="0" w:space="0" w:color="auto"/>
      </w:divBdr>
    </w:div>
    <w:div w:id="726225484">
      <w:bodyDiv w:val="1"/>
      <w:marLeft w:val="0"/>
      <w:marRight w:val="0"/>
      <w:marTop w:val="0"/>
      <w:marBottom w:val="0"/>
      <w:divBdr>
        <w:top w:val="none" w:sz="0" w:space="0" w:color="auto"/>
        <w:left w:val="none" w:sz="0" w:space="0" w:color="auto"/>
        <w:bottom w:val="none" w:sz="0" w:space="0" w:color="auto"/>
        <w:right w:val="none" w:sz="0" w:space="0" w:color="auto"/>
      </w:divBdr>
    </w:div>
    <w:div w:id="754017567">
      <w:bodyDiv w:val="1"/>
      <w:marLeft w:val="0"/>
      <w:marRight w:val="0"/>
      <w:marTop w:val="0"/>
      <w:marBottom w:val="0"/>
      <w:divBdr>
        <w:top w:val="none" w:sz="0" w:space="0" w:color="auto"/>
        <w:left w:val="none" w:sz="0" w:space="0" w:color="auto"/>
        <w:bottom w:val="none" w:sz="0" w:space="0" w:color="auto"/>
        <w:right w:val="none" w:sz="0" w:space="0" w:color="auto"/>
      </w:divBdr>
    </w:div>
    <w:div w:id="803892231">
      <w:bodyDiv w:val="1"/>
      <w:marLeft w:val="0"/>
      <w:marRight w:val="0"/>
      <w:marTop w:val="0"/>
      <w:marBottom w:val="0"/>
      <w:divBdr>
        <w:top w:val="none" w:sz="0" w:space="0" w:color="auto"/>
        <w:left w:val="none" w:sz="0" w:space="0" w:color="auto"/>
        <w:bottom w:val="none" w:sz="0" w:space="0" w:color="auto"/>
        <w:right w:val="none" w:sz="0" w:space="0" w:color="auto"/>
      </w:divBdr>
    </w:div>
    <w:div w:id="810753922">
      <w:bodyDiv w:val="1"/>
      <w:marLeft w:val="0"/>
      <w:marRight w:val="0"/>
      <w:marTop w:val="0"/>
      <w:marBottom w:val="0"/>
      <w:divBdr>
        <w:top w:val="none" w:sz="0" w:space="0" w:color="auto"/>
        <w:left w:val="none" w:sz="0" w:space="0" w:color="auto"/>
        <w:bottom w:val="none" w:sz="0" w:space="0" w:color="auto"/>
        <w:right w:val="none" w:sz="0" w:space="0" w:color="auto"/>
      </w:divBdr>
    </w:div>
    <w:div w:id="842889848">
      <w:bodyDiv w:val="1"/>
      <w:marLeft w:val="0"/>
      <w:marRight w:val="0"/>
      <w:marTop w:val="0"/>
      <w:marBottom w:val="0"/>
      <w:divBdr>
        <w:top w:val="none" w:sz="0" w:space="0" w:color="auto"/>
        <w:left w:val="none" w:sz="0" w:space="0" w:color="auto"/>
        <w:bottom w:val="none" w:sz="0" w:space="0" w:color="auto"/>
        <w:right w:val="none" w:sz="0" w:space="0" w:color="auto"/>
      </w:divBdr>
    </w:div>
    <w:div w:id="861626494">
      <w:bodyDiv w:val="1"/>
      <w:marLeft w:val="0"/>
      <w:marRight w:val="0"/>
      <w:marTop w:val="0"/>
      <w:marBottom w:val="0"/>
      <w:divBdr>
        <w:top w:val="none" w:sz="0" w:space="0" w:color="auto"/>
        <w:left w:val="none" w:sz="0" w:space="0" w:color="auto"/>
        <w:bottom w:val="none" w:sz="0" w:space="0" w:color="auto"/>
        <w:right w:val="none" w:sz="0" w:space="0" w:color="auto"/>
      </w:divBdr>
    </w:div>
    <w:div w:id="874120916">
      <w:bodyDiv w:val="1"/>
      <w:marLeft w:val="0"/>
      <w:marRight w:val="0"/>
      <w:marTop w:val="0"/>
      <w:marBottom w:val="0"/>
      <w:divBdr>
        <w:top w:val="none" w:sz="0" w:space="0" w:color="auto"/>
        <w:left w:val="none" w:sz="0" w:space="0" w:color="auto"/>
        <w:bottom w:val="none" w:sz="0" w:space="0" w:color="auto"/>
        <w:right w:val="none" w:sz="0" w:space="0" w:color="auto"/>
      </w:divBdr>
    </w:div>
    <w:div w:id="885604168">
      <w:bodyDiv w:val="1"/>
      <w:marLeft w:val="0"/>
      <w:marRight w:val="0"/>
      <w:marTop w:val="0"/>
      <w:marBottom w:val="0"/>
      <w:divBdr>
        <w:top w:val="none" w:sz="0" w:space="0" w:color="auto"/>
        <w:left w:val="none" w:sz="0" w:space="0" w:color="auto"/>
        <w:bottom w:val="none" w:sz="0" w:space="0" w:color="auto"/>
        <w:right w:val="none" w:sz="0" w:space="0" w:color="auto"/>
      </w:divBdr>
      <w:divsChild>
        <w:div w:id="222523755">
          <w:marLeft w:val="0"/>
          <w:marRight w:val="0"/>
          <w:marTop w:val="0"/>
          <w:marBottom w:val="0"/>
          <w:divBdr>
            <w:top w:val="none" w:sz="0" w:space="0" w:color="auto"/>
            <w:left w:val="none" w:sz="0" w:space="0" w:color="auto"/>
            <w:bottom w:val="none" w:sz="0" w:space="0" w:color="auto"/>
            <w:right w:val="none" w:sz="0" w:space="0" w:color="auto"/>
          </w:divBdr>
        </w:div>
      </w:divsChild>
    </w:div>
    <w:div w:id="899243449">
      <w:bodyDiv w:val="1"/>
      <w:marLeft w:val="0"/>
      <w:marRight w:val="0"/>
      <w:marTop w:val="0"/>
      <w:marBottom w:val="0"/>
      <w:divBdr>
        <w:top w:val="none" w:sz="0" w:space="0" w:color="auto"/>
        <w:left w:val="none" w:sz="0" w:space="0" w:color="auto"/>
        <w:bottom w:val="none" w:sz="0" w:space="0" w:color="auto"/>
        <w:right w:val="none" w:sz="0" w:space="0" w:color="auto"/>
      </w:divBdr>
    </w:div>
    <w:div w:id="904796501">
      <w:bodyDiv w:val="1"/>
      <w:marLeft w:val="0"/>
      <w:marRight w:val="0"/>
      <w:marTop w:val="0"/>
      <w:marBottom w:val="0"/>
      <w:divBdr>
        <w:top w:val="none" w:sz="0" w:space="0" w:color="auto"/>
        <w:left w:val="none" w:sz="0" w:space="0" w:color="auto"/>
        <w:bottom w:val="none" w:sz="0" w:space="0" w:color="auto"/>
        <w:right w:val="none" w:sz="0" w:space="0" w:color="auto"/>
      </w:divBdr>
    </w:div>
    <w:div w:id="905916361">
      <w:bodyDiv w:val="1"/>
      <w:marLeft w:val="0"/>
      <w:marRight w:val="0"/>
      <w:marTop w:val="0"/>
      <w:marBottom w:val="0"/>
      <w:divBdr>
        <w:top w:val="none" w:sz="0" w:space="0" w:color="auto"/>
        <w:left w:val="none" w:sz="0" w:space="0" w:color="auto"/>
        <w:bottom w:val="none" w:sz="0" w:space="0" w:color="auto"/>
        <w:right w:val="none" w:sz="0" w:space="0" w:color="auto"/>
      </w:divBdr>
    </w:div>
    <w:div w:id="907151708">
      <w:bodyDiv w:val="1"/>
      <w:marLeft w:val="0"/>
      <w:marRight w:val="0"/>
      <w:marTop w:val="0"/>
      <w:marBottom w:val="0"/>
      <w:divBdr>
        <w:top w:val="none" w:sz="0" w:space="0" w:color="auto"/>
        <w:left w:val="none" w:sz="0" w:space="0" w:color="auto"/>
        <w:bottom w:val="none" w:sz="0" w:space="0" w:color="auto"/>
        <w:right w:val="none" w:sz="0" w:space="0" w:color="auto"/>
      </w:divBdr>
    </w:div>
    <w:div w:id="928270190">
      <w:bodyDiv w:val="1"/>
      <w:marLeft w:val="0"/>
      <w:marRight w:val="0"/>
      <w:marTop w:val="0"/>
      <w:marBottom w:val="0"/>
      <w:divBdr>
        <w:top w:val="none" w:sz="0" w:space="0" w:color="auto"/>
        <w:left w:val="none" w:sz="0" w:space="0" w:color="auto"/>
        <w:bottom w:val="none" w:sz="0" w:space="0" w:color="auto"/>
        <w:right w:val="none" w:sz="0" w:space="0" w:color="auto"/>
      </w:divBdr>
    </w:div>
    <w:div w:id="935333574">
      <w:bodyDiv w:val="1"/>
      <w:marLeft w:val="0"/>
      <w:marRight w:val="0"/>
      <w:marTop w:val="0"/>
      <w:marBottom w:val="0"/>
      <w:divBdr>
        <w:top w:val="none" w:sz="0" w:space="0" w:color="auto"/>
        <w:left w:val="none" w:sz="0" w:space="0" w:color="auto"/>
        <w:bottom w:val="none" w:sz="0" w:space="0" w:color="auto"/>
        <w:right w:val="none" w:sz="0" w:space="0" w:color="auto"/>
      </w:divBdr>
    </w:div>
    <w:div w:id="942568928">
      <w:bodyDiv w:val="1"/>
      <w:marLeft w:val="0"/>
      <w:marRight w:val="0"/>
      <w:marTop w:val="0"/>
      <w:marBottom w:val="0"/>
      <w:divBdr>
        <w:top w:val="none" w:sz="0" w:space="0" w:color="auto"/>
        <w:left w:val="none" w:sz="0" w:space="0" w:color="auto"/>
        <w:bottom w:val="none" w:sz="0" w:space="0" w:color="auto"/>
        <w:right w:val="none" w:sz="0" w:space="0" w:color="auto"/>
      </w:divBdr>
    </w:div>
    <w:div w:id="945818627">
      <w:bodyDiv w:val="1"/>
      <w:marLeft w:val="0"/>
      <w:marRight w:val="0"/>
      <w:marTop w:val="0"/>
      <w:marBottom w:val="0"/>
      <w:divBdr>
        <w:top w:val="none" w:sz="0" w:space="0" w:color="auto"/>
        <w:left w:val="none" w:sz="0" w:space="0" w:color="auto"/>
        <w:bottom w:val="none" w:sz="0" w:space="0" w:color="auto"/>
        <w:right w:val="none" w:sz="0" w:space="0" w:color="auto"/>
      </w:divBdr>
    </w:div>
    <w:div w:id="947853986">
      <w:bodyDiv w:val="1"/>
      <w:marLeft w:val="0"/>
      <w:marRight w:val="0"/>
      <w:marTop w:val="0"/>
      <w:marBottom w:val="0"/>
      <w:divBdr>
        <w:top w:val="none" w:sz="0" w:space="0" w:color="auto"/>
        <w:left w:val="none" w:sz="0" w:space="0" w:color="auto"/>
        <w:bottom w:val="none" w:sz="0" w:space="0" w:color="auto"/>
        <w:right w:val="none" w:sz="0" w:space="0" w:color="auto"/>
      </w:divBdr>
    </w:div>
    <w:div w:id="960645414">
      <w:bodyDiv w:val="1"/>
      <w:marLeft w:val="0"/>
      <w:marRight w:val="0"/>
      <w:marTop w:val="0"/>
      <w:marBottom w:val="0"/>
      <w:divBdr>
        <w:top w:val="none" w:sz="0" w:space="0" w:color="auto"/>
        <w:left w:val="none" w:sz="0" w:space="0" w:color="auto"/>
        <w:bottom w:val="none" w:sz="0" w:space="0" w:color="auto"/>
        <w:right w:val="none" w:sz="0" w:space="0" w:color="auto"/>
      </w:divBdr>
    </w:div>
    <w:div w:id="977031526">
      <w:bodyDiv w:val="1"/>
      <w:marLeft w:val="0"/>
      <w:marRight w:val="0"/>
      <w:marTop w:val="0"/>
      <w:marBottom w:val="0"/>
      <w:divBdr>
        <w:top w:val="none" w:sz="0" w:space="0" w:color="auto"/>
        <w:left w:val="none" w:sz="0" w:space="0" w:color="auto"/>
        <w:bottom w:val="none" w:sz="0" w:space="0" w:color="auto"/>
        <w:right w:val="none" w:sz="0" w:space="0" w:color="auto"/>
      </w:divBdr>
    </w:div>
    <w:div w:id="981302997">
      <w:bodyDiv w:val="1"/>
      <w:marLeft w:val="0"/>
      <w:marRight w:val="0"/>
      <w:marTop w:val="0"/>
      <w:marBottom w:val="0"/>
      <w:divBdr>
        <w:top w:val="none" w:sz="0" w:space="0" w:color="auto"/>
        <w:left w:val="none" w:sz="0" w:space="0" w:color="auto"/>
        <w:bottom w:val="none" w:sz="0" w:space="0" w:color="auto"/>
        <w:right w:val="none" w:sz="0" w:space="0" w:color="auto"/>
      </w:divBdr>
    </w:div>
    <w:div w:id="1003582712">
      <w:bodyDiv w:val="1"/>
      <w:marLeft w:val="0"/>
      <w:marRight w:val="0"/>
      <w:marTop w:val="0"/>
      <w:marBottom w:val="0"/>
      <w:divBdr>
        <w:top w:val="none" w:sz="0" w:space="0" w:color="auto"/>
        <w:left w:val="none" w:sz="0" w:space="0" w:color="auto"/>
        <w:bottom w:val="none" w:sz="0" w:space="0" w:color="auto"/>
        <w:right w:val="none" w:sz="0" w:space="0" w:color="auto"/>
      </w:divBdr>
    </w:div>
    <w:div w:id="1034232223">
      <w:bodyDiv w:val="1"/>
      <w:marLeft w:val="0"/>
      <w:marRight w:val="0"/>
      <w:marTop w:val="0"/>
      <w:marBottom w:val="0"/>
      <w:divBdr>
        <w:top w:val="none" w:sz="0" w:space="0" w:color="auto"/>
        <w:left w:val="none" w:sz="0" w:space="0" w:color="auto"/>
        <w:bottom w:val="none" w:sz="0" w:space="0" w:color="auto"/>
        <w:right w:val="none" w:sz="0" w:space="0" w:color="auto"/>
      </w:divBdr>
      <w:divsChild>
        <w:div w:id="1821771993">
          <w:marLeft w:val="0"/>
          <w:marRight w:val="0"/>
          <w:marTop w:val="0"/>
          <w:marBottom w:val="0"/>
          <w:divBdr>
            <w:top w:val="none" w:sz="0" w:space="0" w:color="auto"/>
            <w:left w:val="none" w:sz="0" w:space="0" w:color="auto"/>
            <w:bottom w:val="none" w:sz="0" w:space="0" w:color="auto"/>
            <w:right w:val="none" w:sz="0" w:space="0" w:color="auto"/>
          </w:divBdr>
        </w:div>
        <w:div w:id="126971533">
          <w:marLeft w:val="0"/>
          <w:marRight w:val="0"/>
          <w:marTop w:val="0"/>
          <w:marBottom w:val="0"/>
          <w:divBdr>
            <w:top w:val="none" w:sz="0" w:space="0" w:color="auto"/>
            <w:left w:val="none" w:sz="0" w:space="0" w:color="auto"/>
            <w:bottom w:val="none" w:sz="0" w:space="0" w:color="auto"/>
            <w:right w:val="none" w:sz="0" w:space="0" w:color="auto"/>
          </w:divBdr>
        </w:div>
      </w:divsChild>
    </w:div>
    <w:div w:id="1037772857">
      <w:bodyDiv w:val="1"/>
      <w:marLeft w:val="0"/>
      <w:marRight w:val="0"/>
      <w:marTop w:val="0"/>
      <w:marBottom w:val="0"/>
      <w:divBdr>
        <w:top w:val="none" w:sz="0" w:space="0" w:color="auto"/>
        <w:left w:val="none" w:sz="0" w:space="0" w:color="auto"/>
        <w:bottom w:val="none" w:sz="0" w:space="0" w:color="auto"/>
        <w:right w:val="none" w:sz="0" w:space="0" w:color="auto"/>
      </w:divBdr>
    </w:div>
    <w:div w:id="1046950397">
      <w:bodyDiv w:val="1"/>
      <w:marLeft w:val="0"/>
      <w:marRight w:val="0"/>
      <w:marTop w:val="0"/>
      <w:marBottom w:val="0"/>
      <w:divBdr>
        <w:top w:val="none" w:sz="0" w:space="0" w:color="auto"/>
        <w:left w:val="none" w:sz="0" w:space="0" w:color="auto"/>
        <w:bottom w:val="none" w:sz="0" w:space="0" w:color="auto"/>
        <w:right w:val="none" w:sz="0" w:space="0" w:color="auto"/>
      </w:divBdr>
    </w:div>
    <w:div w:id="1073241562">
      <w:bodyDiv w:val="1"/>
      <w:marLeft w:val="0"/>
      <w:marRight w:val="0"/>
      <w:marTop w:val="0"/>
      <w:marBottom w:val="0"/>
      <w:divBdr>
        <w:top w:val="none" w:sz="0" w:space="0" w:color="auto"/>
        <w:left w:val="none" w:sz="0" w:space="0" w:color="auto"/>
        <w:bottom w:val="none" w:sz="0" w:space="0" w:color="auto"/>
        <w:right w:val="none" w:sz="0" w:space="0" w:color="auto"/>
      </w:divBdr>
    </w:div>
    <w:div w:id="1082868826">
      <w:bodyDiv w:val="1"/>
      <w:marLeft w:val="0"/>
      <w:marRight w:val="0"/>
      <w:marTop w:val="0"/>
      <w:marBottom w:val="0"/>
      <w:divBdr>
        <w:top w:val="none" w:sz="0" w:space="0" w:color="auto"/>
        <w:left w:val="none" w:sz="0" w:space="0" w:color="auto"/>
        <w:bottom w:val="none" w:sz="0" w:space="0" w:color="auto"/>
        <w:right w:val="none" w:sz="0" w:space="0" w:color="auto"/>
      </w:divBdr>
    </w:div>
    <w:div w:id="1083530873">
      <w:bodyDiv w:val="1"/>
      <w:marLeft w:val="0"/>
      <w:marRight w:val="0"/>
      <w:marTop w:val="0"/>
      <w:marBottom w:val="0"/>
      <w:divBdr>
        <w:top w:val="none" w:sz="0" w:space="0" w:color="auto"/>
        <w:left w:val="none" w:sz="0" w:space="0" w:color="auto"/>
        <w:bottom w:val="none" w:sz="0" w:space="0" w:color="auto"/>
        <w:right w:val="none" w:sz="0" w:space="0" w:color="auto"/>
      </w:divBdr>
    </w:div>
    <w:div w:id="1128812939">
      <w:bodyDiv w:val="1"/>
      <w:marLeft w:val="0"/>
      <w:marRight w:val="0"/>
      <w:marTop w:val="0"/>
      <w:marBottom w:val="0"/>
      <w:divBdr>
        <w:top w:val="none" w:sz="0" w:space="0" w:color="auto"/>
        <w:left w:val="none" w:sz="0" w:space="0" w:color="auto"/>
        <w:bottom w:val="none" w:sz="0" w:space="0" w:color="auto"/>
        <w:right w:val="none" w:sz="0" w:space="0" w:color="auto"/>
      </w:divBdr>
    </w:div>
    <w:div w:id="1154570649">
      <w:bodyDiv w:val="1"/>
      <w:marLeft w:val="0"/>
      <w:marRight w:val="0"/>
      <w:marTop w:val="0"/>
      <w:marBottom w:val="0"/>
      <w:divBdr>
        <w:top w:val="none" w:sz="0" w:space="0" w:color="auto"/>
        <w:left w:val="none" w:sz="0" w:space="0" w:color="auto"/>
        <w:bottom w:val="none" w:sz="0" w:space="0" w:color="auto"/>
        <w:right w:val="none" w:sz="0" w:space="0" w:color="auto"/>
      </w:divBdr>
    </w:div>
    <w:div w:id="1154833807">
      <w:bodyDiv w:val="1"/>
      <w:marLeft w:val="0"/>
      <w:marRight w:val="0"/>
      <w:marTop w:val="0"/>
      <w:marBottom w:val="0"/>
      <w:divBdr>
        <w:top w:val="none" w:sz="0" w:space="0" w:color="auto"/>
        <w:left w:val="none" w:sz="0" w:space="0" w:color="auto"/>
        <w:bottom w:val="none" w:sz="0" w:space="0" w:color="auto"/>
        <w:right w:val="none" w:sz="0" w:space="0" w:color="auto"/>
      </w:divBdr>
    </w:div>
    <w:div w:id="1164012221">
      <w:bodyDiv w:val="1"/>
      <w:marLeft w:val="0"/>
      <w:marRight w:val="0"/>
      <w:marTop w:val="0"/>
      <w:marBottom w:val="0"/>
      <w:divBdr>
        <w:top w:val="none" w:sz="0" w:space="0" w:color="auto"/>
        <w:left w:val="none" w:sz="0" w:space="0" w:color="auto"/>
        <w:bottom w:val="none" w:sz="0" w:space="0" w:color="auto"/>
        <w:right w:val="none" w:sz="0" w:space="0" w:color="auto"/>
      </w:divBdr>
    </w:div>
    <w:div w:id="1171144292">
      <w:bodyDiv w:val="1"/>
      <w:marLeft w:val="0"/>
      <w:marRight w:val="0"/>
      <w:marTop w:val="0"/>
      <w:marBottom w:val="0"/>
      <w:divBdr>
        <w:top w:val="none" w:sz="0" w:space="0" w:color="auto"/>
        <w:left w:val="none" w:sz="0" w:space="0" w:color="auto"/>
        <w:bottom w:val="none" w:sz="0" w:space="0" w:color="auto"/>
        <w:right w:val="none" w:sz="0" w:space="0" w:color="auto"/>
      </w:divBdr>
    </w:div>
    <w:div w:id="1178696138">
      <w:bodyDiv w:val="1"/>
      <w:marLeft w:val="0"/>
      <w:marRight w:val="0"/>
      <w:marTop w:val="0"/>
      <w:marBottom w:val="0"/>
      <w:divBdr>
        <w:top w:val="none" w:sz="0" w:space="0" w:color="auto"/>
        <w:left w:val="none" w:sz="0" w:space="0" w:color="auto"/>
        <w:bottom w:val="none" w:sz="0" w:space="0" w:color="auto"/>
        <w:right w:val="none" w:sz="0" w:space="0" w:color="auto"/>
      </w:divBdr>
    </w:div>
    <w:div w:id="1183322455">
      <w:bodyDiv w:val="1"/>
      <w:marLeft w:val="0"/>
      <w:marRight w:val="0"/>
      <w:marTop w:val="0"/>
      <w:marBottom w:val="0"/>
      <w:divBdr>
        <w:top w:val="none" w:sz="0" w:space="0" w:color="auto"/>
        <w:left w:val="none" w:sz="0" w:space="0" w:color="auto"/>
        <w:bottom w:val="none" w:sz="0" w:space="0" w:color="auto"/>
        <w:right w:val="none" w:sz="0" w:space="0" w:color="auto"/>
      </w:divBdr>
    </w:div>
    <w:div w:id="1217274998">
      <w:bodyDiv w:val="1"/>
      <w:marLeft w:val="0"/>
      <w:marRight w:val="0"/>
      <w:marTop w:val="0"/>
      <w:marBottom w:val="0"/>
      <w:divBdr>
        <w:top w:val="none" w:sz="0" w:space="0" w:color="auto"/>
        <w:left w:val="none" w:sz="0" w:space="0" w:color="auto"/>
        <w:bottom w:val="none" w:sz="0" w:space="0" w:color="auto"/>
        <w:right w:val="none" w:sz="0" w:space="0" w:color="auto"/>
      </w:divBdr>
    </w:div>
    <w:div w:id="1223491733">
      <w:bodyDiv w:val="1"/>
      <w:marLeft w:val="0"/>
      <w:marRight w:val="0"/>
      <w:marTop w:val="0"/>
      <w:marBottom w:val="0"/>
      <w:divBdr>
        <w:top w:val="none" w:sz="0" w:space="0" w:color="auto"/>
        <w:left w:val="none" w:sz="0" w:space="0" w:color="auto"/>
        <w:bottom w:val="none" w:sz="0" w:space="0" w:color="auto"/>
        <w:right w:val="none" w:sz="0" w:space="0" w:color="auto"/>
      </w:divBdr>
    </w:div>
    <w:div w:id="1245914059">
      <w:bodyDiv w:val="1"/>
      <w:marLeft w:val="0"/>
      <w:marRight w:val="0"/>
      <w:marTop w:val="0"/>
      <w:marBottom w:val="0"/>
      <w:divBdr>
        <w:top w:val="none" w:sz="0" w:space="0" w:color="auto"/>
        <w:left w:val="none" w:sz="0" w:space="0" w:color="auto"/>
        <w:bottom w:val="none" w:sz="0" w:space="0" w:color="auto"/>
        <w:right w:val="none" w:sz="0" w:space="0" w:color="auto"/>
      </w:divBdr>
      <w:divsChild>
        <w:div w:id="1886796257">
          <w:marLeft w:val="0"/>
          <w:marRight w:val="0"/>
          <w:marTop w:val="0"/>
          <w:marBottom w:val="0"/>
          <w:divBdr>
            <w:top w:val="none" w:sz="0" w:space="0" w:color="auto"/>
            <w:left w:val="none" w:sz="0" w:space="0" w:color="auto"/>
            <w:bottom w:val="none" w:sz="0" w:space="0" w:color="auto"/>
            <w:right w:val="none" w:sz="0" w:space="0" w:color="auto"/>
          </w:divBdr>
        </w:div>
        <w:div w:id="37290728">
          <w:marLeft w:val="0"/>
          <w:marRight w:val="0"/>
          <w:marTop w:val="0"/>
          <w:marBottom w:val="0"/>
          <w:divBdr>
            <w:top w:val="none" w:sz="0" w:space="0" w:color="auto"/>
            <w:left w:val="none" w:sz="0" w:space="0" w:color="auto"/>
            <w:bottom w:val="none" w:sz="0" w:space="0" w:color="auto"/>
            <w:right w:val="none" w:sz="0" w:space="0" w:color="auto"/>
          </w:divBdr>
        </w:div>
        <w:div w:id="151410712">
          <w:marLeft w:val="0"/>
          <w:marRight w:val="0"/>
          <w:marTop w:val="0"/>
          <w:marBottom w:val="0"/>
          <w:divBdr>
            <w:top w:val="none" w:sz="0" w:space="0" w:color="auto"/>
            <w:left w:val="none" w:sz="0" w:space="0" w:color="auto"/>
            <w:bottom w:val="none" w:sz="0" w:space="0" w:color="auto"/>
            <w:right w:val="none" w:sz="0" w:space="0" w:color="auto"/>
          </w:divBdr>
        </w:div>
        <w:div w:id="1171530324">
          <w:marLeft w:val="0"/>
          <w:marRight w:val="0"/>
          <w:marTop w:val="0"/>
          <w:marBottom w:val="0"/>
          <w:divBdr>
            <w:top w:val="none" w:sz="0" w:space="0" w:color="auto"/>
            <w:left w:val="none" w:sz="0" w:space="0" w:color="auto"/>
            <w:bottom w:val="none" w:sz="0" w:space="0" w:color="auto"/>
            <w:right w:val="none" w:sz="0" w:space="0" w:color="auto"/>
          </w:divBdr>
        </w:div>
        <w:div w:id="1939562746">
          <w:marLeft w:val="0"/>
          <w:marRight w:val="0"/>
          <w:marTop w:val="0"/>
          <w:marBottom w:val="0"/>
          <w:divBdr>
            <w:top w:val="none" w:sz="0" w:space="0" w:color="auto"/>
            <w:left w:val="none" w:sz="0" w:space="0" w:color="auto"/>
            <w:bottom w:val="none" w:sz="0" w:space="0" w:color="auto"/>
            <w:right w:val="none" w:sz="0" w:space="0" w:color="auto"/>
          </w:divBdr>
        </w:div>
        <w:div w:id="104691285">
          <w:marLeft w:val="0"/>
          <w:marRight w:val="0"/>
          <w:marTop w:val="0"/>
          <w:marBottom w:val="0"/>
          <w:divBdr>
            <w:top w:val="none" w:sz="0" w:space="0" w:color="auto"/>
            <w:left w:val="none" w:sz="0" w:space="0" w:color="auto"/>
            <w:bottom w:val="none" w:sz="0" w:space="0" w:color="auto"/>
            <w:right w:val="none" w:sz="0" w:space="0" w:color="auto"/>
          </w:divBdr>
        </w:div>
        <w:div w:id="1138301412">
          <w:marLeft w:val="0"/>
          <w:marRight w:val="0"/>
          <w:marTop w:val="0"/>
          <w:marBottom w:val="0"/>
          <w:divBdr>
            <w:top w:val="none" w:sz="0" w:space="0" w:color="auto"/>
            <w:left w:val="none" w:sz="0" w:space="0" w:color="auto"/>
            <w:bottom w:val="none" w:sz="0" w:space="0" w:color="auto"/>
            <w:right w:val="none" w:sz="0" w:space="0" w:color="auto"/>
          </w:divBdr>
        </w:div>
      </w:divsChild>
    </w:div>
    <w:div w:id="1288588842">
      <w:bodyDiv w:val="1"/>
      <w:marLeft w:val="0"/>
      <w:marRight w:val="0"/>
      <w:marTop w:val="0"/>
      <w:marBottom w:val="0"/>
      <w:divBdr>
        <w:top w:val="none" w:sz="0" w:space="0" w:color="auto"/>
        <w:left w:val="none" w:sz="0" w:space="0" w:color="auto"/>
        <w:bottom w:val="none" w:sz="0" w:space="0" w:color="auto"/>
        <w:right w:val="none" w:sz="0" w:space="0" w:color="auto"/>
      </w:divBdr>
    </w:div>
    <w:div w:id="1292201538">
      <w:bodyDiv w:val="1"/>
      <w:marLeft w:val="0"/>
      <w:marRight w:val="0"/>
      <w:marTop w:val="0"/>
      <w:marBottom w:val="0"/>
      <w:divBdr>
        <w:top w:val="none" w:sz="0" w:space="0" w:color="auto"/>
        <w:left w:val="none" w:sz="0" w:space="0" w:color="auto"/>
        <w:bottom w:val="none" w:sz="0" w:space="0" w:color="auto"/>
        <w:right w:val="none" w:sz="0" w:space="0" w:color="auto"/>
      </w:divBdr>
    </w:div>
    <w:div w:id="1308248168">
      <w:bodyDiv w:val="1"/>
      <w:marLeft w:val="0"/>
      <w:marRight w:val="0"/>
      <w:marTop w:val="0"/>
      <w:marBottom w:val="0"/>
      <w:divBdr>
        <w:top w:val="none" w:sz="0" w:space="0" w:color="auto"/>
        <w:left w:val="none" w:sz="0" w:space="0" w:color="auto"/>
        <w:bottom w:val="none" w:sz="0" w:space="0" w:color="auto"/>
        <w:right w:val="none" w:sz="0" w:space="0" w:color="auto"/>
      </w:divBdr>
    </w:div>
    <w:div w:id="1318651592">
      <w:bodyDiv w:val="1"/>
      <w:marLeft w:val="0"/>
      <w:marRight w:val="0"/>
      <w:marTop w:val="0"/>
      <w:marBottom w:val="0"/>
      <w:divBdr>
        <w:top w:val="none" w:sz="0" w:space="0" w:color="auto"/>
        <w:left w:val="none" w:sz="0" w:space="0" w:color="auto"/>
        <w:bottom w:val="none" w:sz="0" w:space="0" w:color="auto"/>
        <w:right w:val="none" w:sz="0" w:space="0" w:color="auto"/>
      </w:divBdr>
    </w:div>
    <w:div w:id="1320883499">
      <w:bodyDiv w:val="1"/>
      <w:marLeft w:val="0"/>
      <w:marRight w:val="0"/>
      <w:marTop w:val="0"/>
      <w:marBottom w:val="0"/>
      <w:divBdr>
        <w:top w:val="none" w:sz="0" w:space="0" w:color="auto"/>
        <w:left w:val="none" w:sz="0" w:space="0" w:color="auto"/>
        <w:bottom w:val="none" w:sz="0" w:space="0" w:color="auto"/>
        <w:right w:val="none" w:sz="0" w:space="0" w:color="auto"/>
      </w:divBdr>
    </w:div>
    <w:div w:id="1345400958">
      <w:bodyDiv w:val="1"/>
      <w:marLeft w:val="0"/>
      <w:marRight w:val="0"/>
      <w:marTop w:val="0"/>
      <w:marBottom w:val="0"/>
      <w:divBdr>
        <w:top w:val="none" w:sz="0" w:space="0" w:color="auto"/>
        <w:left w:val="none" w:sz="0" w:space="0" w:color="auto"/>
        <w:bottom w:val="none" w:sz="0" w:space="0" w:color="auto"/>
        <w:right w:val="none" w:sz="0" w:space="0" w:color="auto"/>
      </w:divBdr>
    </w:div>
    <w:div w:id="1368330363">
      <w:bodyDiv w:val="1"/>
      <w:marLeft w:val="0"/>
      <w:marRight w:val="0"/>
      <w:marTop w:val="0"/>
      <w:marBottom w:val="0"/>
      <w:divBdr>
        <w:top w:val="none" w:sz="0" w:space="0" w:color="auto"/>
        <w:left w:val="none" w:sz="0" w:space="0" w:color="auto"/>
        <w:bottom w:val="none" w:sz="0" w:space="0" w:color="auto"/>
        <w:right w:val="none" w:sz="0" w:space="0" w:color="auto"/>
      </w:divBdr>
    </w:div>
    <w:div w:id="1371802321">
      <w:bodyDiv w:val="1"/>
      <w:marLeft w:val="0"/>
      <w:marRight w:val="0"/>
      <w:marTop w:val="0"/>
      <w:marBottom w:val="0"/>
      <w:divBdr>
        <w:top w:val="none" w:sz="0" w:space="0" w:color="auto"/>
        <w:left w:val="none" w:sz="0" w:space="0" w:color="auto"/>
        <w:bottom w:val="none" w:sz="0" w:space="0" w:color="auto"/>
        <w:right w:val="none" w:sz="0" w:space="0" w:color="auto"/>
      </w:divBdr>
    </w:div>
    <w:div w:id="1379743930">
      <w:bodyDiv w:val="1"/>
      <w:marLeft w:val="0"/>
      <w:marRight w:val="0"/>
      <w:marTop w:val="0"/>
      <w:marBottom w:val="0"/>
      <w:divBdr>
        <w:top w:val="none" w:sz="0" w:space="0" w:color="auto"/>
        <w:left w:val="none" w:sz="0" w:space="0" w:color="auto"/>
        <w:bottom w:val="none" w:sz="0" w:space="0" w:color="auto"/>
        <w:right w:val="none" w:sz="0" w:space="0" w:color="auto"/>
      </w:divBdr>
    </w:div>
    <w:div w:id="1382170763">
      <w:bodyDiv w:val="1"/>
      <w:marLeft w:val="0"/>
      <w:marRight w:val="0"/>
      <w:marTop w:val="0"/>
      <w:marBottom w:val="0"/>
      <w:divBdr>
        <w:top w:val="none" w:sz="0" w:space="0" w:color="auto"/>
        <w:left w:val="none" w:sz="0" w:space="0" w:color="auto"/>
        <w:bottom w:val="none" w:sz="0" w:space="0" w:color="auto"/>
        <w:right w:val="none" w:sz="0" w:space="0" w:color="auto"/>
      </w:divBdr>
    </w:div>
    <w:div w:id="1393888266">
      <w:bodyDiv w:val="1"/>
      <w:marLeft w:val="0"/>
      <w:marRight w:val="0"/>
      <w:marTop w:val="0"/>
      <w:marBottom w:val="0"/>
      <w:divBdr>
        <w:top w:val="none" w:sz="0" w:space="0" w:color="auto"/>
        <w:left w:val="none" w:sz="0" w:space="0" w:color="auto"/>
        <w:bottom w:val="none" w:sz="0" w:space="0" w:color="auto"/>
        <w:right w:val="none" w:sz="0" w:space="0" w:color="auto"/>
      </w:divBdr>
      <w:divsChild>
        <w:div w:id="2047944451">
          <w:marLeft w:val="0"/>
          <w:marRight w:val="0"/>
          <w:marTop w:val="0"/>
          <w:marBottom w:val="0"/>
          <w:divBdr>
            <w:top w:val="none" w:sz="0" w:space="0" w:color="auto"/>
            <w:left w:val="none" w:sz="0" w:space="0" w:color="auto"/>
            <w:bottom w:val="none" w:sz="0" w:space="0" w:color="auto"/>
            <w:right w:val="none" w:sz="0" w:space="0" w:color="auto"/>
          </w:divBdr>
        </w:div>
        <w:div w:id="639307739">
          <w:marLeft w:val="0"/>
          <w:marRight w:val="0"/>
          <w:marTop w:val="0"/>
          <w:marBottom w:val="0"/>
          <w:divBdr>
            <w:top w:val="none" w:sz="0" w:space="0" w:color="auto"/>
            <w:left w:val="none" w:sz="0" w:space="0" w:color="auto"/>
            <w:bottom w:val="none" w:sz="0" w:space="0" w:color="auto"/>
            <w:right w:val="none" w:sz="0" w:space="0" w:color="auto"/>
          </w:divBdr>
        </w:div>
      </w:divsChild>
    </w:div>
    <w:div w:id="1394691604">
      <w:bodyDiv w:val="1"/>
      <w:marLeft w:val="0"/>
      <w:marRight w:val="0"/>
      <w:marTop w:val="0"/>
      <w:marBottom w:val="0"/>
      <w:divBdr>
        <w:top w:val="none" w:sz="0" w:space="0" w:color="auto"/>
        <w:left w:val="none" w:sz="0" w:space="0" w:color="auto"/>
        <w:bottom w:val="none" w:sz="0" w:space="0" w:color="auto"/>
        <w:right w:val="none" w:sz="0" w:space="0" w:color="auto"/>
      </w:divBdr>
    </w:div>
    <w:div w:id="1446776001">
      <w:bodyDiv w:val="1"/>
      <w:marLeft w:val="0"/>
      <w:marRight w:val="0"/>
      <w:marTop w:val="0"/>
      <w:marBottom w:val="0"/>
      <w:divBdr>
        <w:top w:val="none" w:sz="0" w:space="0" w:color="auto"/>
        <w:left w:val="none" w:sz="0" w:space="0" w:color="auto"/>
        <w:bottom w:val="none" w:sz="0" w:space="0" w:color="auto"/>
        <w:right w:val="none" w:sz="0" w:space="0" w:color="auto"/>
      </w:divBdr>
    </w:div>
    <w:div w:id="1477335902">
      <w:bodyDiv w:val="1"/>
      <w:marLeft w:val="0"/>
      <w:marRight w:val="0"/>
      <w:marTop w:val="0"/>
      <w:marBottom w:val="0"/>
      <w:divBdr>
        <w:top w:val="none" w:sz="0" w:space="0" w:color="auto"/>
        <w:left w:val="none" w:sz="0" w:space="0" w:color="auto"/>
        <w:bottom w:val="none" w:sz="0" w:space="0" w:color="auto"/>
        <w:right w:val="none" w:sz="0" w:space="0" w:color="auto"/>
      </w:divBdr>
    </w:div>
    <w:div w:id="1540969881">
      <w:bodyDiv w:val="1"/>
      <w:marLeft w:val="0"/>
      <w:marRight w:val="0"/>
      <w:marTop w:val="0"/>
      <w:marBottom w:val="0"/>
      <w:divBdr>
        <w:top w:val="none" w:sz="0" w:space="0" w:color="auto"/>
        <w:left w:val="none" w:sz="0" w:space="0" w:color="auto"/>
        <w:bottom w:val="none" w:sz="0" w:space="0" w:color="auto"/>
        <w:right w:val="none" w:sz="0" w:space="0" w:color="auto"/>
      </w:divBdr>
    </w:div>
    <w:div w:id="1549760247">
      <w:bodyDiv w:val="1"/>
      <w:marLeft w:val="0"/>
      <w:marRight w:val="0"/>
      <w:marTop w:val="0"/>
      <w:marBottom w:val="0"/>
      <w:divBdr>
        <w:top w:val="none" w:sz="0" w:space="0" w:color="auto"/>
        <w:left w:val="none" w:sz="0" w:space="0" w:color="auto"/>
        <w:bottom w:val="none" w:sz="0" w:space="0" w:color="auto"/>
        <w:right w:val="none" w:sz="0" w:space="0" w:color="auto"/>
      </w:divBdr>
    </w:div>
    <w:div w:id="1555001211">
      <w:bodyDiv w:val="1"/>
      <w:marLeft w:val="0"/>
      <w:marRight w:val="0"/>
      <w:marTop w:val="0"/>
      <w:marBottom w:val="0"/>
      <w:divBdr>
        <w:top w:val="none" w:sz="0" w:space="0" w:color="auto"/>
        <w:left w:val="none" w:sz="0" w:space="0" w:color="auto"/>
        <w:bottom w:val="none" w:sz="0" w:space="0" w:color="auto"/>
        <w:right w:val="none" w:sz="0" w:space="0" w:color="auto"/>
      </w:divBdr>
    </w:div>
    <w:div w:id="1556046399">
      <w:bodyDiv w:val="1"/>
      <w:marLeft w:val="0"/>
      <w:marRight w:val="0"/>
      <w:marTop w:val="0"/>
      <w:marBottom w:val="0"/>
      <w:divBdr>
        <w:top w:val="none" w:sz="0" w:space="0" w:color="auto"/>
        <w:left w:val="none" w:sz="0" w:space="0" w:color="auto"/>
        <w:bottom w:val="none" w:sz="0" w:space="0" w:color="auto"/>
        <w:right w:val="none" w:sz="0" w:space="0" w:color="auto"/>
      </w:divBdr>
    </w:div>
    <w:div w:id="1556508617">
      <w:bodyDiv w:val="1"/>
      <w:marLeft w:val="0"/>
      <w:marRight w:val="0"/>
      <w:marTop w:val="0"/>
      <w:marBottom w:val="0"/>
      <w:divBdr>
        <w:top w:val="none" w:sz="0" w:space="0" w:color="auto"/>
        <w:left w:val="none" w:sz="0" w:space="0" w:color="auto"/>
        <w:bottom w:val="none" w:sz="0" w:space="0" w:color="auto"/>
        <w:right w:val="none" w:sz="0" w:space="0" w:color="auto"/>
      </w:divBdr>
    </w:div>
    <w:div w:id="1593969975">
      <w:bodyDiv w:val="1"/>
      <w:marLeft w:val="0"/>
      <w:marRight w:val="0"/>
      <w:marTop w:val="0"/>
      <w:marBottom w:val="0"/>
      <w:divBdr>
        <w:top w:val="none" w:sz="0" w:space="0" w:color="auto"/>
        <w:left w:val="none" w:sz="0" w:space="0" w:color="auto"/>
        <w:bottom w:val="none" w:sz="0" w:space="0" w:color="auto"/>
        <w:right w:val="none" w:sz="0" w:space="0" w:color="auto"/>
      </w:divBdr>
      <w:divsChild>
        <w:div w:id="1775516557">
          <w:marLeft w:val="0"/>
          <w:marRight w:val="0"/>
          <w:marTop w:val="0"/>
          <w:marBottom w:val="0"/>
          <w:divBdr>
            <w:top w:val="none" w:sz="0" w:space="0" w:color="auto"/>
            <w:left w:val="none" w:sz="0" w:space="0" w:color="auto"/>
            <w:bottom w:val="none" w:sz="0" w:space="0" w:color="auto"/>
            <w:right w:val="none" w:sz="0" w:space="0" w:color="auto"/>
          </w:divBdr>
        </w:div>
        <w:div w:id="468667872">
          <w:marLeft w:val="0"/>
          <w:marRight w:val="0"/>
          <w:marTop w:val="0"/>
          <w:marBottom w:val="0"/>
          <w:divBdr>
            <w:top w:val="none" w:sz="0" w:space="0" w:color="auto"/>
            <w:left w:val="none" w:sz="0" w:space="0" w:color="auto"/>
            <w:bottom w:val="none" w:sz="0" w:space="0" w:color="auto"/>
            <w:right w:val="none" w:sz="0" w:space="0" w:color="auto"/>
          </w:divBdr>
        </w:div>
        <w:div w:id="783352005">
          <w:marLeft w:val="0"/>
          <w:marRight w:val="0"/>
          <w:marTop w:val="0"/>
          <w:marBottom w:val="0"/>
          <w:divBdr>
            <w:top w:val="none" w:sz="0" w:space="0" w:color="auto"/>
            <w:left w:val="none" w:sz="0" w:space="0" w:color="auto"/>
            <w:bottom w:val="none" w:sz="0" w:space="0" w:color="auto"/>
            <w:right w:val="none" w:sz="0" w:space="0" w:color="auto"/>
          </w:divBdr>
        </w:div>
        <w:div w:id="507643452">
          <w:marLeft w:val="0"/>
          <w:marRight w:val="0"/>
          <w:marTop w:val="0"/>
          <w:marBottom w:val="0"/>
          <w:divBdr>
            <w:top w:val="none" w:sz="0" w:space="0" w:color="auto"/>
            <w:left w:val="none" w:sz="0" w:space="0" w:color="auto"/>
            <w:bottom w:val="none" w:sz="0" w:space="0" w:color="auto"/>
            <w:right w:val="none" w:sz="0" w:space="0" w:color="auto"/>
          </w:divBdr>
        </w:div>
        <w:div w:id="944077352">
          <w:marLeft w:val="0"/>
          <w:marRight w:val="0"/>
          <w:marTop w:val="0"/>
          <w:marBottom w:val="0"/>
          <w:divBdr>
            <w:top w:val="none" w:sz="0" w:space="0" w:color="auto"/>
            <w:left w:val="none" w:sz="0" w:space="0" w:color="auto"/>
            <w:bottom w:val="none" w:sz="0" w:space="0" w:color="auto"/>
            <w:right w:val="none" w:sz="0" w:space="0" w:color="auto"/>
          </w:divBdr>
        </w:div>
        <w:div w:id="255015070">
          <w:marLeft w:val="0"/>
          <w:marRight w:val="0"/>
          <w:marTop w:val="0"/>
          <w:marBottom w:val="0"/>
          <w:divBdr>
            <w:top w:val="none" w:sz="0" w:space="0" w:color="auto"/>
            <w:left w:val="none" w:sz="0" w:space="0" w:color="auto"/>
            <w:bottom w:val="none" w:sz="0" w:space="0" w:color="auto"/>
            <w:right w:val="none" w:sz="0" w:space="0" w:color="auto"/>
          </w:divBdr>
        </w:div>
        <w:div w:id="281115352">
          <w:marLeft w:val="0"/>
          <w:marRight w:val="0"/>
          <w:marTop w:val="0"/>
          <w:marBottom w:val="0"/>
          <w:divBdr>
            <w:top w:val="none" w:sz="0" w:space="0" w:color="auto"/>
            <w:left w:val="none" w:sz="0" w:space="0" w:color="auto"/>
            <w:bottom w:val="none" w:sz="0" w:space="0" w:color="auto"/>
            <w:right w:val="none" w:sz="0" w:space="0" w:color="auto"/>
          </w:divBdr>
        </w:div>
        <w:div w:id="1705709678">
          <w:marLeft w:val="0"/>
          <w:marRight w:val="0"/>
          <w:marTop w:val="0"/>
          <w:marBottom w:val="0"/>
          <w:divBdr>
            <w:top w:val="none" w:sz="0" w:space="0" w:color="auto"/>
            <w:left w:val="none" w:sz="0" w:space="0" w:color="auto"/>
            <w:bottom w:val="none" w:sz="0" w:space="0" w:color="auto"/>
            <w:right w:val="none" w:sz="0" w:space="0" w:color="auto"/>
          </w:divBdr>
        </w:div>
        <w:div w:id="1434743417">
          <w:marLeft w:val="0"/>
          <w:marRight w:val="0"/>
          <w:marTop w:val="0"/>
          <w:marBottom w:val="0"/>
          <w:divBdr>
            <w:top w:val="none" w:sz="0" w:space="0" w:color="auto"/>
            <w:left w:val="none" w:sz="0" w:space="0" w:color="auto"/>
            <w:bottom w:val="none" w:sz="0" w:space="0" w:color="auto"/>
            <w:right w:val="none" w:sz="0" w:space="0" w:color="auto"/>
          </w:divBdr>
        </w:div>
        <w:div w:id="899095119">
          <w:marLeft w:val="0"/>
          <w:marRight w:val="0"/>
          <w:marTop w:val="0"/>
          <w:marBottom w:val="0"/>
          <w:divBdr>
            <w:top w:val="none" w:sz="0" w:space="0" w:color="auto"/>
            <w:left w:val="none" w:sz="0" w:space="0" w:color="auto"/>
            <w:bottom w:val="none" w:sz="0" w:space="0" w:color="auto"/>
            <w:right w:val="none" w:sz="0" w:space="0" w:color="auto"/>
          </w:divBdr>
        </w:div>
        <w:div w:id="1689286015">
          <w:marLeft w:val="0"/>
          <w:marRight w:val="0"/>
          <w:marTop w:val="0"/>
          <w:marBottom w:val="0"/>
          <w:divBdr>
            <w:top w:val="none" w:sz="0" w:space="0" w:color="auto"/>
            <w:left w:val="none" w:sz="0" w:space="0" w:color="auto"/>
            <w:bottom w:val="none" w:sz="0" w:space="0" w:color="auto"/>
            <w:right w:val="none" w:sz="0" w:space="0" w:color="auto"/>
          </w:divBdr>
        </w:div>
        <w:div w:id="778571462">
          <w:marLeft w:val="0"/>
          <w:marRight w:val="0"/>
          <w:marTop w:val="0"/>
          <w:marBottom w:val="0"/>
          <w:divBdr>
            <w:top w:val="none" w:sz="0" w:space="0" w:color="auto"/>
            <w:left w:val="none" w:sz="0" w:space="0" w:color="auto"/>
            <w:bottom w:val="none" w:sz="0" w:space="0" w:color="auto"/>
            <w:right w:val="none" w:sz="0" w:space="0" w:color="auto"/>
          </w:divBdr>
        </w:div>
        <w:div w:id="1551645710">
          <w:marLeft w:val="0"/>
          <w:marRight w:val="0"/>
          <w:marTop w:val="0"/>
          <w:marBottom w:val="0"/>
          <w:divBdr>
            <w:top w:val="none" w:sz="0" w:space="0" w:color="auto"/>
            <w:left w:val="none" w:sz="0" w:space="0" w:color="auto"/>
            <w:bottom w:val="none" w:sz="0" w:space="0" w:color="auto"/>
            <w:right w:val="none" w:sz="0" w:space="0" w:color="auto"/>
          </w:divBdr>
        </w:div>
        <w:div w:id="1828936483">
          <w:marLeft w:val="0"/>
          <w:marRight w:val="0"/>
          <w:marTop w:val="0"/>
          <w:marBottom w:val="0"/>
          <w:divBdr>
            <w:top w:val="none" w:sz="0" w:space="0" w:color="auto"/>
            <w:left w:val="none" w:sz="0" w:space="0" w:color="auto"/>
            <w:bottom w:val="none" w:sz="0" w:space="0" w:color="auto"/>
            <w:right w:val="none" w:sz="0" w:space="0" w:color="auto"/>
          </w:divBdr>
        </w:div>
        <w:div w:id="10187954">
          <w:marLeft w:val="0"/>
          <w:marRight w:val="0"/>
          <w:marTop w:val="0"/>
          <w:marBottom w:val="0"/>
          <w:divBdr>
            <w:top w:val="none" w:sz="0" w:space="0" w:color="auto"/>
            <w:left w:val="none" w:sz="0" w:space="0" w:color="auto"/>
            <w:bottom w:val="none" w:sz="0" w:space="0" w:color="auto"/>
            <w:right w:val="none" w:sz="0" w:space="0" w:color="auto"/>
          </w:divBdr>
        </w:div>
        <w:div w:id="1777283781">
          <w:marLeft w:val="0"/>
          <w:marRight w:val="0"/>
          <w:marTop w:val="0"/>
          <w:marBottom w:val="0"/>
          <w:divBdr>
            <w:top w:val="none" w:sz="0" w:space="0" w:color="auto"/>
            <w:left w:val="none" w:sz="0" w:space="0" w:color="auto"/>
            <w:bottom w:val="none" w:sz="0" w:space="0" w:color="auto"/>
            <w:right w:val="none" w:sz="0" w:space="0" w:color="auto"/>
          </w:divBdr>
        </w:div>
        <w:div w:id="889651325">
          <w:marLeft w:val="0"/>
          <w:marRight w:val="0"/>
          <w:marTop w:val="0"/>
          <w:marBottom w:val="0"/>
          <w:divBdr>
            <w:top w:val="none" w:sz="0" w:space="0" w:color="auto"/>
            <w:left w:val="none" w:sz="0" w:space="0" w:color="auto"/>
            <w:bottom w:val="none" w:sz="0" w:space="0" w:color="auto"/>
            <w:right w:val="none" w:sz="0" w:space="0" w:color="auto"/>
          </w:divBdr>
        </w:div>
        <w:div w:id="960770356">
          <w:marLeft w:val="0"/>
          <w:marRight w:val="0"/>
          <w:marTop w:val="0"/>
          <w:marBottom w:val="0"/>
          <w:divBdr>
            <w:top w:val="none" w:sz="0" w:space="0" w:color="auto"/>
            <w:left w:val="none" w:sz="0" w:space="0" w:color="auto"/>
            <w:bottom w:val="none" w:sz="0" w:space="0" w:color="auto"/>
            <w:right w:val="none" w:sz="0" w:space="0" w:color="auto"/>
          </w:divBdr>
        </w:div>
        <w:div w:id="466633424">
          <w:marLeft w:val="0"/>
          <w:marRight w:val="0"/>
          <w:marTop w:val="0"/>
          <w:marBottom w:val="0"/>
          <w:divBdr>
            <w:top w:val="none" w:sz="0" w:space="0" w:color="auto"/>
            <w:left w:val="none" w:sz="0" w:space="0" w:color="auto"/>
            <w:bottom w:val="none" w:sz="0" w:space="0" w:color="auto"/>
            <w:right w:val="none" w:sz="0" w:space="0" w:color="auto"/>
          </w:divBdr>
        </w:div>
        <w:div w:id="889416857">
          <w:marLeft w:val="0"/>
          <w:marRight w:val="0"/>
          <w:marTop w:val="0"/>
          <w:marBottom w:val="0"/>
          <w:divBdr>
            <w:top w:val="none" w:sz="0" w:space="0" w:color="auto"/>
            <w:left w:val="none" w:sz="0" w:space="0" w:color="auto"/>
            <w:bottom w:val="none" w:sz="0" w:space="0" w:color="auto"/>
            <w:right w:val="none" w:sz="0" w:space="0" w:color="auto"/>
          </w:divBdr>
        </w:div>
        <w:div w:id="1629972674">
          <w:marLeft w:val="0"/>
          <w:marRight w:val="0"/>
          <w:marTop w:val="0"/>
          <w:marBottom w:val="0"/>
          <w:divBdr>
            <w:top w:val="none" w:sz="0" w:space="0" w:color="auto"/>
            <w:left w:val="none" w:sz="0" w:space="0" w:color="auto"/>
            <w:bottom w:val="none" w:sz="0" w:space="0" w:color="auto"/>
            <w:right w:val="none" w:sz="0" w:space="0" w:color="auto"/>
          </w:divBdr>
        </w:div>
        <w:div w:id="195974636">
          <w:marLeft w:val="0"/>
          <w:marRight w:val="0"/>
          <w:marTop w:val="0"/>
          <w:marBottom w:val="0"/>
          <w:divBdr>
            <w:top w:val="none" w:sz="0" w:space="0" w:color="auto"/>
            <w:left w:val="none" w:sz="0" w:space="0" w:color="auto"/>
            <w:bottom w:val="none" w:sz="0" w:space="0" w:color="auto"/>
            <w:right w:val="none" w:sz="0" w:space="0" w:color="auto"/>
          </w:divBdr>
        </w:div>
        <w:div w:id="1370571217">
          <w:marLeft w:val="0"/>
          <w:marRight w:val="0"/>
          <w:marTop w:val="0"/>
          <w:marBottom w:val="0"/>
          <w:divBdr>
            <w:top w:val="none" w:sz="0" w:space="0" w:color="auto"/>
            <w:left w:val="none" w:sz="0" w:space="0" w:color="auto"/>
            <w:bottom w:val="none" w:sz="0" w:space="0" w:color="auto"/>
            <w:right w:val="none" w:sz="0" w:space="0" w:color="auto"/>
          </w:divBdr>
        </w:div>
        <w:div w:id="447090407">
          <w:marLeft w:val="0"/>
          <w:marRight w:val="0"/>
          <w:marTop w:val="0"/>
          <w:marBottom w:val="0"/>
          <w:divBdr>
            <w:top w:val="none" w:sz="0" w:space="0" w:color="auto"/>
            <w:left w:val="none" w:sz="0" w:space="0" w:color="auto"/>
            <w:bottom w:val="none" w:sz="0" w:space="0" w:color="auto"/>
            <w:right w:val="none" w:sz="0" w:space="0" w:color="auto"/>
          </w:divBdr>
        </w:div>
        <w:div w:id="797530487">
          <w:marLeft w:val="0"/>
          <w:marRight w:val="0"/>
          <w:marTop w:val="0"/>
          <w:marBottom w:val="0"/>
          <w:divBdr>
            <w:top w:val="none" w:sz="0" w:space="0" w:color="auto"/>
            <w:left w:val="none" w:sz="0" w:space="0" w:color="auto"/>
            <w:bottom w:val="none" w:sz="0" w:space="0" w:color="auto"/>
            <w:right w:val="none" w:sz="0" w:space="0" w:color="auto"/>
          </w:divBdr>
        </w:div>
        <w:div w:id="1463772213">
          <w:marLeft w:val="0"/>
          <w:marRight w:val="0"/>
          <w:marTop w:val="0"/>
          <w:marBottom w:val="0"/>
          <w:divBdr>
            <w:top w:val="none" w:sz="0" w:space="0" w:color="auto"/>
            <w:left w:val="none" w:sz="0" w:space="0" w:color="auto"/>
            <w:bottom w:val="none" w:sz="0" w:space="0" w:color="auto"/>
            <w:right w:val="none" w:sz="0" w:space="0" w:color="auto"/>
          </w:divBdr>
        </w:div>
        <w:div w:id="1698581615">
          <w:marLeft w:val="0"/>
          <w:marRight w:val="0"/>
          <w:marTop w:val="0"/>
          <w:marBottom w:val="0"/>
          <w:divBdr>
            <w:top w:val="none" w:sz="0" w:space="0" w:color="auto"/>
            <w:left w:val="none" w:sz="0" w:space="0" w:color="auto"/>
            <w:bottom w:val="none" w:sz="0" w:space="0" w:color="auto"/>
            <w:right w:val="none" w:sz="0" w:space="0" w:color="auto"/>
          </w:divBdr>
        </w:div>
        <w:div w:id="1761095476">
          <w:marLeft w:val="0"/>
          <w:marRight w:val="0"/>
          <w:marTop w:val="0"/>
          <w:marBottom w:val="0"/>
          <w:divBdr>
            <w:top w:val="none" w:sz="0" w:space="0" w:color="auto"/>
            <w:left w:val="none" w:sz="0" w:space="0" w:color="auto"/>
            <w:bottom w:val="none" w:sz="0" w:space="0" w:color="auto"/>
            <w:right w:val="none" w:sz="0" w:space="0" w:color="auto"/>
          </w:divBdr>
        </w:div>
        <w:div w:id="1727991391">
          <w:marLeft w:val="0"/>
          <w:marRight w:val="0"/>
          <w:marTop w:val="0"/>
          <w:marBottom w:val="0"/>
          <w:divBdr>
            <w:top w:val="none" w:sz="0" w:space="0" w:color="auto"/>
            <w:left w:val="none" w:sz="0" w:space="0" w:color="auto"/>
            <w:bottom w:val="none" w:sz="0" w:space="0" w:color="auto"/>
            <w:right w:val="none" w:sz="0" w:space="0" w:color="auto"/>
          </w:divBdr>
        </w:div>
        <w:div w:id="1908880876">
          <w:marLeft w:val="0"/>
          <w:marRight w:val="0"/>
          <w:marTop w:val="0"/>
          <w:marBottom w:val="0"/>
          <w:divBdr>
            <w:top w:val="none" w:sz="0" w:space="0" w:color="auto"/>
            <w:left w:val="none" w:sz="0" w:space="0" w:color="auto"/>
            <w:bottom w:val="none" w:sz="0" w:space="0" w:color="auto"/>
            <w:right w:val="none" w:sz="0" w:space="0" w:color="auto"/>
          </w:divBdr>
        </w:div>
        <w:div w:id="781875105">
          <w:marLeft w:val="0"/>
          <w:marRight w:val="0"/>
          <w:marTop w:val="0"/>
          <w:marBottom w:val="0"/>
          <w:divBdr>
            <w:top w:val="none" w:sz="0" w:space="0" w:color="auto"/>
            <w:left w:val="none" w:sz="0" w:space="0" w:color="auto"/>
            <w:bottom w:val="none" w:sz="0" w:space="0" w:color="auto"/>
            <w:right w:val="none" w:sz="0" w:space="0" w:color="auto"/>
          </w:divBdr>
        </w:div>
        <w:div w:id="2020279557">
          <w:marLeft w:val="0"/>
          <w:marRight w:val="0"/>
          <w:marTop w:val="0"/>
          <w:marBottom w:val="0"/>
          <w:divBdr>
            <w:top w:val="none" w:sz="0" w:space="0" w:color="auto"/>
            <w:left w:val="none" w:sz="0" w:space="0" w:color="auto"/>
            <w:bottom w:val="none" w:sz="0" w:space="0" w:color="auto"/>
            <w:right w:val="none" w:sz="0" w:space="0" w:color="auto"/>
          </w:divBdr>
        </w:div>
        <w:div w:id="491873023">
          <w:marLeft w:val="0"/>
          <w:marRight w:val="0"/>
          <w:marTop w:val="0"/>
          <w:marBottom w:val="0"/>
          <w:divBdr>
            <w:top w:val="none" w:sz="0" w:space="0" w:color="auto"/>
            <w:left w:val="none" w:sz="0" w:space="0" w:color="auto"/>
            <w:bottom w:val="none" w:sz="0" w:space="0" w:color="auto"/>
            <w:right w:val="none" w:sz="0" w:space="0" w:color="auto"/>
          </w:divBdr>
        </w:div>
        <w:div w:id="1940024262">
          <w:marLeft w:val="0"/>
          <w:marRight w:val="0"/>
          <w:marTop w:val="0"/>
          <w:marBottom w:val="0"/>
          <w:divBdr>
            <w:top w:val="none" w:sz="0" w:space="0" w:color="auto"/>
            <w:left w:val="none" w:sz="0" w:space="0" w:color="auto"/>
            <w:bottom w:val="none" w:sz="0" w:space="0" w:color="auto"/>
            <w:right w:val="none" w:sz="0" w:space="0" w:color="auto"/>
          </w:divBdr>
        </w:div>
        <w:div w:id="752896400">
          <w:marLeft w:val="0"/>
          <w:marRight w:val="0"/>
          <w:marTop w:val="0"/>
          <w:marBottom w:val="0"/>
          <w:divBdr>
            <w:top w:val="none" w:sz="0" w:space="0" w:color="auto"/>
            <w:left w:val="none" w:sz="0" w:space="0" w:color="auto"/>
            <w:bottom w:val="none" w:sz="0" w:space="0" w:color="auto"/>
            <w:right w:val="none" w:sz="0" w:space="0" w:color="auto"/>
          </w:divBdr>
        </w:div>
        <w:div w:id="711540056">
          <w:marLeft w:val="0"/>
          <w:marRight w:val="0"/>
          <w:marTop w:val="0"/>
          <w:marBottom w:val="0"/>
          <w:divBdr>
            <w:top w:val="none" w:sz="0" w:space="0" w:color="auto"/>
            <w:left w:val="none" w:sz="0" w:space="0" w:color="auto"/>
            <w:bottom w:val="none" w:sz="0" w:space="0" w:color="auto"/>
            <w:right w:val="none" w:sz="0" w:space="0" w:color="auto"/>
          </w:divBdr>
        </w:div>
        <w:div w:id="1912694915">
          <w:marLeft w:val="0"/>
          <w:marRight w:val="0"/>
          <w:marTop w:val="0"/>
          <w:marBottom w:val="0"/>
          <w:divBdr>
            <w:top w:val="none" w:sz="0" w:space="0" w:color="auto"/>
            <w:left w:val="none" w:sz="0" w:space="0" w:color="auto"/>
            <w:bottom w:val="none" w:sz="0" w:space="0" w:color="auto"/>
            <w:right w:val="none" w:sz="0" w:space="0" w:color="auto"/>
          </w:divBdr>
        </w:div>
        <w:div w:id="304745375">
          <w:marLeft w:val="0"/>
          <w:marRight w:val="0"/>
          <w:marTop w:val="0"/>
          <w:marBottom w:val="0"/>
          <w:divBdr>
            <w:top w:val="none" w:sz="0" w:space="0" w:color="auto"/>
            <w:left w:val="none" w:sz="0" w:space="0" w:color="auto"/>
            <w:bottom w:val="none" w:sz="0" w:space="0" w:color="auto"/>
            <w:right w:val="none" w:sz="0" w:space="0" w:color="auto"/>
          </w:divBdr>
        </w:div>
        <w:div w:id="1512991190">
          <w:marLeft w:val="0"/>
          <w:marRight w:val="0"/>
          <w:marTop w:val="0"/>
          <w:marBottom w:val="0"/>
          <w:divBdr>
            <w:top w:val="none" w:sz="0" w:space="0" w:color="auto"/>
            <w:left w:val="none" w:sz="0" w:space="0" w:color="auto"/>
            <w:bottom w:val="none" w:sz="0" w:space="0" w:color="auto"/>
            <w:right w:val="none" w:sz="0" w:space="0" w:color="auto"/>
          </w:divBdr>
        </w:div>
        <w:div w:id="1496072527">
          <w:marLeft w:val="0"/>
          <w:marRight w:val="0"/>
          <w:marTop w:val="0"/>
          <w:marBottom w:val="0"/>
          <w:divBdr>
            <w:top w:val="none" w:sz="0" w:space="0" w:color="auto"/>
            <w:left w:val="none" w:sz="0" w:space="0" w:color="auto"/>
            <w:bottom w:val="none" w:sz="0" w:space="0" w:color="auto"/>
            <w:right w:val="none" w:sz="0" w:space="0" w:color="auto"/>
          </w:divBdr>
        </w:div>
        <w:div w:id="9989883">
          <w:marLeft w:val="0"/>
          <w:marRight w:val="0"/>
          <w:marTop w:val="0"/>
          <w:marBottom w:val="0"/>
          <w:divBdr>
            <w:top w:val="none" w:sz="0" w:space="0" w:color="auto"/>
            <w:left w:val="none" w:sz="0" w:space="0" w:color="auto"/>
            <w:bottom w:val="none" w:sz="0" w:space="0" w:color="auto"/>
            <w:right w:val="none" w:sz="0" w:space="0" w:color="auto"/>
          </w:divBdr>
        </w:div>
        <w:div w:id="1289166345">
          <w:marLeft w:val="0"/>
          <w:marRight w:val="0"/>
          <w:marTop w:val="0"/>
          <w:marBottom w:val="0"/>
          <w:divBdr>
            <w:top w:val="none" w:sz="0" w:space="0" w:color="auto"/>
            <w:left w:val="none" w:sz="0" w:space="0" w:color="auto"/>
            <w:bottom w:val="none" w:sz="0" w:space="0" w:color="auto"/>
            <w:right w:val="none" w:sz="0" w:space="0" w:color="auto"/>
          </w:divBdr>
        </w:div>
        <w:div w:id="1435395698">
          <w:marLeft w:val="0"/>
          <w:marRight w:val="0"/>
          <w:marTop w:val="0"/>
          <w:marBottom w:val="0"/>
          <w:divBdr>
            <w:top w:val="none" w:sz="0" w:space="0" w:color="auto"/>
            <w:left w:val="none" w:sz="0" w:space="0" w:color="auto"/>
            <w:bottom w:val="none" w:sz="0" w:space="0" w:color="auto"/>
            <w:right w:val="none" w:sz="0" w:space="0" w:color="auto"/>
          </w:divBdr>
        </w:div>
        <w:div w:id="1135558682">
          <w:marLeft w:val="0"/>
          <w:marRight w:val="0"/>
          <w:marTop w:val="0"/>
          <w:marBottom w:val="0"/>
          <w:divBdr>
            <w:top w:val="none" w:sz="0" w:space="0" w:color="auto"/>
            <w:left w:val="none" w:sz="0" w:space="0" w:color="auto"/>
            <w:bottom w:val="none" w:sz="0" w:space="0" w:color="auto"/>
            <w:right w:val="none" w:sz="0" w:space="0" w:color="auto"/>
          </w:divBdr>
        </w:div>
        <w:div w:id="1009218705">
          <w:marLeft w:val="0"/>
          <w:marRight w:val="0"/>
          <w:marTop w:val="0"/>
          <w:marBottom w:val="0"/>
          <w:divBdr>
            <w:top w:val="none" w:sz="0" w:space="0" w:color="auto"/>
            <w:left w:val="none" w:sz="0" w:space="0" w:color="auto"/>
            <w:bottom w:val="none" w:sz="0" w:space="0" w:color="auto"/>
            <w:right w:val="none" w:sz="0" w:space="0" w:color="auto"/>
          </w:divBdr>
        </w:div>
        <w:div w:id="148601730">
          <w:marLeft w:val="0"/>
          <w:marRight w:val="0"/>
          <w:marTop w:val="0"/>
          <w:marBottom w:val="0"/>
          <w:divBdr>
            <w:top w:val="none" w:sz="0" w:space="0" w:color="auto"/>
            <w:left w:val="none" w:sz="0" w:space="0" w:color="auto"/>
            <w:bottom w:val="none" w:sz="0" w:space="0" w:color="auto"/>
            <w:right w:val="none" w:sz="0" w:space="0" w:color="auto"/>
          </w:divBdr>
        </w:div>
        <w:div w:id="1618177444">
          <w:marLeft w:val="0"/>
          <w:marRight w:val="0"/>
          <w:marTop w:val="0"/>
          <w:marBottom w:val="0"/>
          <w:divBdr>
            <w:top w:val="none" w:sz="0" w:space="0" w:color="auto"/>
            <w:left w:val="none" w:sz="0" w:space="0" w:color="auto"/>
            <w:bottom w:val="none" w:sz="0" w:space="0" w:color="auto"/>
            <w:right w:val="none" w:sz="0" w:space="0" w:color="auto"/>
          </w:divBdr>
        </w:div>
        <w:div w:id="1361931625">
          <w:marLeft w:val="0"/>
          <w:marRight w:val="0"/>
          <w:marTop w:val="0"/>
          <w:marBottom w:val="0"/>
          <w:divBdr>
            <w:top w:val="none" w:sz="0" w:space="0" w:color="auto"/>
            <w:left w:val="none" w:sz="0" w:space="0" w:color="auto"/>
            <w:bottom w:val="none" w:sz="0" w:space="0" w:color="auto"/>
            <w:right w:val="none" w:sz="0" w:space="0" w:color="auto"/>
          </w:divBdr>
        </w:div>
        <w:div w:id="1979260882">
          <w:marLeft w:val="0"/>
          <w:marRight w:val="0"/>
          <w:marTop w:val="0"/>
          <w:marBottom w:val="0"/>
          <w:divBdr>
            <w:top w:val="none" w:sz="0" w:space="0" w:color="auto"/>
            <w:left w:val="none" w:sz="0" w:space="0" w:color="auto"/>
            <w:bottom w:val="none" w:sz="0" w:space="0" w:color="auto"/>
            <w:right w:val="none" w:sz="0" w:space="0" w:color="auto"/>
          </w:divBdr>
        </w:div>
        <w:div w:id="1244342191">
          <w:marLeft w:val="0"/>
          <w:marRight w:val="0"/>
          <w:marTop w:val="0"/>
          <w:marBottom w:val="0"/>
          <w:divBdr>
            <w:top w:val="none" w:sz="0" w:space="0" w:color="auto"/>
            <w:left w:val="none" w:sz="0" w:space="0" w:color="auto"/>
            <w:bottom w:val="none" w:sz="0" w:space="0" w:color="auto"/>
            <w:right w:val="none" w:sz="0" w:space="0" w:color="auto"/>
          </w:divBdr>
        </w:div>
        <w:div w:id="1979797528">
          <w:marLeft w:val="0"/>
          <w:marRight w:val="0"/>
          <w:marTop w:val="0"/>
          <w:marBottom w:val="0"/>
          <w:divBdr>
            <w:top w:val="none" w:sz="0" w:space="0" w:color="auto"/>
            <w:left w:val="none" w:sz="0" w:space="0" w:color="auto"/>
            <w:bottom w:val="none" w:sz="0" w:space="0" w:color="auto"/>
            <w:right w:val="none" w:sz="0" w:space="0" w:color="auto"/>
          </w:divBdr>
        </w:div>
        <w:div w:id="1007748524">
          <w:marLeft w:val="0"/>
          <w:marRight w:val="0"/>
          <w:marTop w:val="0"/>
          <w:marBottom w:val="0"/>
          <w:divBdr>
            <w:top w:val="none" w:sz="0" w:space="0" w:color="auto"/>
            <w:left w:val="none" w:sz="0" w:space="0" w:color="auto"/>
            <w:bottom w:val="none" w:sz="0" w:space="0" w:color="auto"/>
            <w:right w:val="none" w:sz="0" w:space="0" w:color="auto"/>
          </w:divBdr>
        </w:div>
        <w:div w:id="491145612">
          <w:marLeft w:val="0"/>
          <w:marRight w:val="0"/>
          <w:marTop w:val="0"/>
          <w:marBottom w:val="0"/>
          <w:divBdr>
            <w:top w:val="none" w:sz="0" w:space="0" w:color="auto"/>
            <w:left w:val="none" w:sz="0" w:space="0" w:color="auto"/>
            <w:bottom w:val="none" w:sz="0" w:space="0" w:color="auto"/>
            <w:right w:val="none" w:sz="0" w:space="0" w:color="auto"/>
          </w:divBdr>
        </w:div>
        <w:div w:id="549734379">
          <w:marLeft w:val="0"/>
          <w:marRight w:val="0"/>
          <w:marTop w:val="0"/>
          <w:marBottom w:val="0"/>
          <w:divBdr>
            <w:top w:val="none" w:sz="0" w:space="0" w:color="auto"/>
            <w:left w:val="none" w:sz="0" w:space="0" w:color="auto"/>
            <w:bottom w:val="none" w:sz="0" w:space="0" w:color="auto"/>
            <w:right w:val="none" w:sz="0" w:space="0" w:color="auto"/>
          </w:divBdr>
        </w:div>
        <w:div w:id="359428976">
          <w:marLeft w:val="0"/>
          <w:marRight w:val="0"/>
          <w:marTop w:val="0"/>
          <w:marBottom w:val="0"/>
          <w:divBdr>
            <w:top w:val="none" w:sz="0" w:space="0" w:color="auto"/>
            <w:left w:val="none" w:sz="0" w:space="0" w:color="auto"/>
            <w:bottom w:val="none" w:sz="0" w:space="0" w:color="auto"/>
            <w:right w:val="none" w:sz="0" w:space="0" w:color="auto"/>
          </w:divBdr>
        </w:div>
        <w:div w:id="932277714">
          <w:marLeft w:val="0"/>
          <w:marRight w:val="0"/>
          <w:marTop w:val="0"/>
          <w:marBottom w:val="0"/>
          <w:divBdr>
            <w:top w:val="none" w:sz="0" w:space="0" w:color="auto"/>
            <w:left w:val="none" w:sz="0" w:space="0" w:color="auto"/>
            <w:bottom w:val="none" w:sz="0" w:space="0" w:color="auto"/>
            <w:right w:val="none" w:sz="0" w:space="0" w:color="auto"/>
          </w:divBdr>
        </w:div>
        <w:div w:id="831139769">
          <w:marLeft w:val="0"/>
          <w:marRight w:val="0"/>
          <w:marTop w:val="0"/>
          <w:marBottom w:val="0"/>
          <w:divBdr>
            <w:top w:val="none" w:sz="0" w:space="0" w:color="auto"/>
            <w:left w:val="none" w:sz="0" w:space="0" w:color="auto"/>
            <w:bottom w:val="none" w:sz="0" w:space="0" w:color="auto"/>
            <w:right w:val="none" w:sz="0" w:space="0" w:color="auto"/>
          </w:divBdr>
        </w:div>
        <w:div w:id="1918709892">
          <w:marLeft w:val="0"/>
          <w:marRight w:val="0"/>
          <w:marTop w:val="0"/>
          <w:marBottom w:val="0"/>
          <w:divBdr>
            <w:top w:val="none" w:sz="0" w:space="0" w:color="auto"/>
            <w:left w:val="none" w:sz="0" w:space="0" w:color="auto"/>
            <w:bottom w:val="none" w:sz="0" w:space="0" w:color="auto"/>
            <w:right w:val="none" w:sz="0" w:space="0" w:color="auto"/>
          </w:divBdr>
        </w:div>
        <w:div w:id="1101729117">
          <w:marLeft w:val="0"/>
          <w:marRight w:val="0"/>
          <w:marTop w:val="0"/>
          <w:marBottom w:val="0"/>
          <w:divBdr>
            <w:top w:val="none" w:sz="0" w:space="0" w:color="auto"/>
            <w:left w:val="none" w:sz="0" w:space="0" w:color="auto"/>
            <w:bottom w:val="none" w:sz="0" w:space="0" w:color="auto"/>
            <w:right w:val="none" w:sz="0" w:space="0" w:color="auto"/>
          </w:divBdr>
        </w:div>
        <w:div w:id="775752579">
          <w:marLeft w:val="0"/>
          <w:marRight w:val="0"/>
          <w:marTop w:val="0"/>
          <w:marBottom w:val="0"/>
          <w:divBdr>
            <w:top w:val="none" w:sz="0" w:space="0" w:color="auto"/>
            <w:left w:val="none" w:sz="0" w:space="0" w:color="auto"/>
            <w:bottom w:val="none" w:sz="0" w:space="0" w:color="auto"/>
            <w:right w:val="none" w:sz="0" w:space="0" w:color="auto"/>
          </w:divBdr>
        </w:div>
        <w:div w:id="767390478">
          <w:marLeft w:val="0"/>
          <w:marRight w:val="0"/>
          <w:marTop w:val="0"/>
          <w:marBottom w:val="0"/>
          <w:divBdr>
            <w:top w:val="none" w:sz="0" w:space="0" w:color="auto"/>
            <w:left w:val="none" w:sz="0" w:space="0" w:color="auto"/>
            <w:bottom w:val="none" w:sz="0" w:space="0" w:color="auto"/>
            <w:right w:val="none" w:sz="0" w:space="0" w:color="auto"/>
          </w:divBdr>
        </w:div>
        <w:div w:id="37584822">
          <w:marLeft w:val="0"/>
          <w:marRight w:val="0"/>
          <w:marTop w:val="0"/>
          <w:marBottom w:val="0"/>
          <w:divBdr>
            <w:top w:val="none" w:sz="0" w:space="0" w:color="auto"/>
            <w:left w:val="none" w:sz="0" w:space="0" w:color="auto"/>
            <w:bottom w:val="none" w:sz="0" w:space="0" w:color="auto"/>
            <w:right w:val="none" w:sz="0" w:space="0" w:color="auto"/>
          </w:divBdr>
        </w:div>
        <w:div w:id="688487363">
          <w:marLeft w:val="0"/>
          <w:marRight w:val="0"/>
          <w:marTop w:val="0"/>
          <w:marBottom w:val="0"/>
          <w:divBdr>
            <w:top w:val="none" w:sz="0" w:space="0" w:color="auto"/>
            <w:left w:val="none" w:sz="0" w:space="0" w:color="auto"/>
            <w:bottom w:val="none" w:sz="0" w:space="0" w:color="auto"/>
            <w:right w:val="none" w:sz="0" w:space="0" w:color="auto"/>
          </w:divBdr>
        </w:div>
        <w:div w:id="585647533">
          <w:marLeft w:val="0"/>
          <w:marRight w:val="0"/>
          <w:marTop w:val="0"/>
          <w:marBottom w:val="0"/>
          <w:divBdr>
            <w:top w:val="none" w:sz="0" w:space="0" w:color="auto"/>
            <w:left w:val="none" w:sz="0" w:space="0" w:color="auto"/>
            <w:bottom w:val="none" w:sz="0" w:space="0" w:color="auto"/>
            <w:right w:val="none" w:sz="0" w:space="0" w:color="auto"/>
          </w:divBdr>
        </w:div>
        <w:div w:id="208499740">
          <w:marLeft w:val="0"/>
          <w:marRight w:val="0"/>
          <w:marTop w:val="0"/>
          <w:marBottom w:val="0"/>
          <w:divBdr>
            <w:top w:val="none" w:sz="0" w:space="0" w:color="auto"/>
            <w:left w:val="none" w:sz="0" w:space="0" w:color="auto"/>
            <w:bottom w:val="none" w:sz="0" w:space="0" w:color="auto"/>
            <w:right w:val="none" w:sz="0" w:space="0" w:color="auto"/>
          </w:divBdr>
        </w:div>
        <w:div w:id="116025529">
          <w:marLeft w:val="0"/>
          <w:marRight w:val="0"/>
          <w:marTop w:val="0"/>
          <w:marBottom w:val="0"/>
          <w:divBdr>
            <w:top w:val="none" w:sz="0" w:space="0" w:color="auto"/>
            <w:left w:val="none" w:sz="0" w:space="0" w:color="auto"/>
            <w:bottom w:val="none" w:sz="0" w:space="0" w:color="auto"/>
            <w:right w:val="none" w:sz="0" w:space="0" w:color="auto"/>
          </w:divBdr>
        </w:div>
        <w:div w:id="394358523">
          <w:marLeft w:val="0"/>
          <w:marRight w:val="0"/>
          <w:marTop w:val="0"/>
          <w:marBottom w:val="0"/>
          <w:divBdr>
            <w:top w:val="none" w:sz="0" w:space="0" w:color="auto"/>
            <w:left w:val="none" w:sz="0" w:space="0" w:color="auto"/>
            <w:bottom w:val="none" w:sz="0" w:space="0" w:color="auto"/>
            <w:right w:val="none" w:sz="0" w:space="0" w:color="auto"/>
          </w:divBdr>
        </w:div>
        <w:div w:id="1194920113">
          <w:marLeft w:val="0"/>
          <w:marRight w:val="0"/>
          <w:marTop w:val="0"/>
          <w:marBottom w:val="0"/>
          <w:divBdr>
            <w:top w:val="none" w:sz="0" w:space="0" w:color="auto"/>
            <w:left w:val="none" w:sz="0" w:space="0" w:color="auto"/>
            <w:bottom w:val="none" w:sz="0" w:space="0" w:color="auto"/>
            <w:right w:val="none" w:sz="0" w:space="0" w:color="auto"/>
          </w:divBdr>
        </w:div>
        <w:div w:id="1801730802">
          <w:marLeft w:val="0"/>
          <w:marRight w:val="0"/>
          <w:marTop w:val="0"/>
          <w:marBottom w:val="0"/>
          <w:divBdr>
            <w:top w:val="none" w:sz="0" w:space="0" w:color="auto"/>
            <w:left w:val="none" w:sz="0" w:space="0" w:color="auto"/>
            <w:bottom w:val="none" w:sz="0" w:space="0" w:color="auto"/>
            <w:right w:val="none" w:sz="0" w:space="0" w:color="auto"/>
          </w:divBdr>
        </w:div>
        <w:div w:id="1597320371">
          <w:marLeft w:val="0"/>
          <w:marRight w:val="0"/>
          <w:marTop w:val="0"/>
          <w:marBottom w:val="0"/>
          <w:divBdr>
            <w:top w:val="none" w:sz="0" w:space="0" w:color="auto"/>
            <w:left w:val="none" w:sz="0" w:space="0" w:color="auto"/>
            <w:bottom w:val="none" w:sz="0" w:space="0" w:color="auto"/>
            <w:right w:val="none" w:sz="0" w:space="0" w:color="auto"/>
          </w:divBdr>
        </w:div>
        <w:div w:id="1724986694">
          <w:marLeft w:val="0"/>
          <w:marRight w:val="0"/>
          <w:marTop w:val="0"/>
          <w:marBottom w:val="0"/>
          <w:divBdr>
            <w:top w:val="none" w:sz="0" w:space="0" w:color="auto"/>
            <w:left w:val="none" w:sz="0" w:space="0" w:color="auto"/>
            <w:bottom w:val="none" w:sz="0" w:space="0" w:color="auto"/>
            <w:right w:val="none" w:sz="0" w:space="0" w:color="auto"/>
          </w:divBdr>
        </w:div>
        <w:div w:id="1627390973">
          <w:marLeft w:val="0"/>
          <w:marRight w:val="0"/>
          <w:marTop w:val="0"/>
          <w:marBottom w:val="0"/>
          <w:divBdr>
            <w:top w:val="none" w:sz="0" w:space="0" w:color="auto"/>
            <w:left w:val="none" w:sz="0" w:space="0" w:color="auto"/>
            <w:bottom w:val="none" w:sz="0" w:space="0" w:color="auto"/>
            <w:right w:val="none" w:sz="0" w:space="0" w:color="auto"/>
          </w:divBdr>
        </w:div>
        <w:div w:id="369451734">
          <w:marLeft w:val="0"/>
          <w:marRight w:val="0"/>
          <w:marTop w:val="0"/>
          <w:marBottom w:val="0"/>
          <w:divBdr>
            <w:top w:val="none" w:sz="0" w:space="0" w:color="auto"/>
            <w:left w:val="none" w:sz="0" w:space="0" w:color="auto"/>
            <w:bottom w:val="none" w:sz="0" w:space="0" w:color="auto"/>
            <w:right w:val="none" w:sz="0" w:space="0" w:color="auto"/>
          </w:divBdr>
        </w:div>
        <w:div w:id="1125391873">
          <w:marLeft w:val="0"/>
          <w:marRight w:val="0"/>
          <w:marTop w:val="0"/>
          <w:marBottom w:val="0"/>
          <w:divBdr>
            <w:top w:val="none" w:sz="0" w:space="0" w:color="auto"/>
            <w:left w:val="none" w:sz="0" w:space="0" w:color="auto"/>
            <w:bottom w:val="none" w:sz="0" w:space="0" w:color="auto"/>
            <w:right w:val="none" w:sz="0" w:space="0" w:color="auto"/>
          </w:divBdr>
        </w:div>
        <w:div w:id="194001910">
          <w:marLeft w:val="0"/>
          <w:marRight w:val="0"/>
          <w:marTop w:val="0"/>
          <w:marBottom w:val="0"/>
          <w:divBdr>
            <w:top w:val="none" w:sz="0" w:space="0" w:color="auto"/>
            <w:left w:val="none" w:sz="0" w:space="0" w:color="auto"/>
            <w:bottom w:val="none" w:sz="0" w:space="0" w:color="auto"/>
            <w:right w:val="none" w:sz="0" w:space="0" w:color="auto"/>
          </w:divBdr>
        </w:div>
        <w:div w:id="1958755419">
          <w:marLeft w:val="0"/>
          <w:marRight w:val="0"/>
          <w:marTop w:val="0"/>
          <w:marBottom w:val="0"/>
          <w:divBdr>
            <w:top w:val="none" w:sz="0" w:space="0" w:color="auto"/>
            <w:left w:val="none" w:sz="0" w:space="0" w:color="auto"/>
            <w:bottom w:val="none" w:sz="0" w:space="0" w:color="auto"/>
            <w:right w:val="none" w:sz="0" w:space="0" w:color="auto"/>
          </w:divBdr>
        </w:div>
        <w:div w:id="196240852">
          <w:marLeft w:val="0"/>
          <w:marRight w:val="0"/>
          <w:marTop w:val="0"/>
          <w:marBottom w:val="0"/>
          <w:divBdr>
            <w:top w:val="none" w:sz="0" w:space="0" w:color="auto"/>
            <w:left w:val="none" w:sz="0" w:space="0" w:color="auto"/>
            <w:bottom w:val="none" w:sz="0" w:space="0" w:color="auto"/>
            <w:right w:val="none" w:sz="0" w:space="0" w:color="auto"/>
          </w:divBdr>
        </w:div>
        <w:div w:id="259946917">
          <w:marLeft w:val="0"/>
          <w:marRight w:val="0"/>
          <w:marTop w:val="0"/>
          <w:marBottom w:val="0"/>
          <w:divBdr>
            <w:top w:val="none" w:sz="0" w:space="0" w:color="auto"/>
            <w:left w:val="none" w:sz="0" w:space="0" w:color="auto"/>
            <w:bottom w:val="none" w:sz="0" w:space="0" w:color="auto"/>
            <w:right w:val="none" w:sz="0" w:space="0" w:color="auto"/>
          </w:divBdr>
        </w:div>
        <w:div w:id="1239485240">
          <w:marLeft w:val="0"/>
          <w:marRight w:val="0"/>
          <w:marTop w:val="0"/>
          <w:marBottom w:val="0"/>
          <w:divBdr>
            <w:top w:val="none" w:sz="0" w:space="0" w:color="auto"/>
            <w:left w:val="none" w:sz="0" w:space="0" w:color="auto"/>
            <w:bottom w:val="none" w:sz="0" w:space="0" w:color="auto"/>
            <w:right w:val="none" w:sz="0" w:space="0" w:color="auto"/>
          </w:divBdr>
        </w:div>
        <w:div w:id="1704213991">
          <w:marLeft w:val="0"/>
          <w:marRight w:val="0"/>
          <w:marTop w:val="0"/>
          <w:marBottom w:val="0"/>
          <w:divBdr>
            <w:top w:val="none" w:sz="0" w:space="0" w:color="auto"/>
            <w:left w:val="none" w:sz="0" w:space="0" w:color="auto"/>
            <w:bottom w:val="none" w:sz="0" w:space="0" w:color="auto"/>
            <w:right w:val="none" w:sz="0" w:space="0" w:color="auto"/>
          </w:divBdr>
        </w:div>
      </w:divsChild>
    </w:div>
    <w:div w:id="1612937009">
      <w:bodyDiv w:val="1"/>
      <w:marLeft w:val="0"/>
      <w:marRight w:val="0"/>
      <w:marTop w:val="0"/>
      <w:marBottom w:val="0"/>
      <w:divBdr>
        <w:top w:val="none" w:sz="0" w:space="0" w:color="auto"/>
        <w:left w:val="none" w:sz="0" w:space="0" w:color="auto"/>
        <w:bottom w:val="none" w:sz="0" w:space="0" w:color="auto"/>
        <w:right w:val="none" w:sz="0" w:space="0" w:color="auto"/>
      </w:divBdr>
    </w:div>
    <w:div w:id="1622760942">
      <w:bodyDiv w:val="1"/>
      <w:marLeft w:val="0"/>
      <w:marRight w:val="0"/>
      <w:marTop w:val="0"/>
      <w:marBottom w:val="0"/>
      <w:divBdr>
        <w:top w:val="none" w:sz="0" w:space="0" w:color="auto"/>
        <w:left w:val="none" w:sz="0" w:space="0" w:color="auto"/>
        <w:bottom w:val="none" w:sz="0" w:space="0" w:color="auto"/>
        <w:right w:val="none" w:sz="0" w:space="0" w:color="auto"/>
      </w:divBdr>
    </w:div>
    <w:div w:id="1641349723">
      <w:bodyDiv w:val="1"/>
      <w:marLeft w:val="0"/>
      <w:marRight w:val="0"/>
      <w:marTop w:val="0"/>
      <w:marBottom w:val="0"/>
      <w:divBdr>
        <w:top w:val="none" w:sz="0" w:space="0" w:color="auto"/>
        <w:left w:val="none" w:sz="0" w:space="0" w:color="auto"/>
        <w:bottom w:val="none" w:sz="0" w:space="0" w:color="auto"/>
        <w:right w:val="none" w:sz="0" w:space="0" w:color="auto"/>
      </w:divBdr>
      <w:divsChild>
        <w:div w:id="390814983">
          <w:marLeft w:val="0"/>
          <w:marRight w:val="0"/>
          <w:marTop w:val="0"/>
          <w:marBottom w:val="0"/>
          <w:divBdr>
            <w:top w:val="none" w:sz="0" w:space="0" w:color="auto"/>
            <w:left w:val="none" w:sz="0" w:space="0" w:color="auto"/>
            <w:bottom w:val="none" w:sz="0" w:space="0" w:color="auto"/>
            <w:right w:val="none" w:sz="0" w:space="0" w:color="auto"/>
          </w:divBdr>
        </w:div>
        <w:div w:id="59715923">
          <w:marLeft w:val="0"/>
          <w:marRight w:val="0"/>
          <w:marTop w:val="0"/>
          <w:marBottom w:val="0"/>
          <w:divBdr>
            <w:top w:val="none" w:sz="0" w:space="0" w:color="auto"/>
            <w:left w:val="none" w:sz="0" w:space="0" w:color="auto"/>
            <w:bottom w:val="none" w:sz="0" w:space="0" w:color="auto"/>
            <w:right w:val="none" w:sz="0" w:space="0" w:color="auto"/>
          </w:divBdr>
        </w:div>
      </w:divsChild>
    </w:div>
    <w:div w:id="1646664253">
      <w:bodyDiv w:val="1"/>
      <w:marLeft w:val="0"/>
      <w:marRight w:val="0"/>
      <w:marTop w:val="0"/>
      <w:marBottom w:val="0"/>
      <w:divBdr>
        <w:top w:val="none" w:sz="0" w:space="0" w:color="auto"/>
        <w:left w:val="none" w:sz="0" w:space="0" w:color="auto"/>
        <w:bottom w:val="none" w:sz="0" w:space="0" w:color="auto"/>
        <w:right w:val="none" w:sz="0" w:space="0" w:color="auto"/>
      </w:divBdr>
    </w:div>
    <w:div w:id="1652320247">
      <w:bodyDiv w:val="1"/>
      <w:marLeft w:val="0"/>
      <w:marRight w:val="0"/>
      <w:marTop w:val="0"/>
      <w:marBottom w:val="0"/>
      <w:divBdr>
        <w:top w:val="none" w:sz="0" w:space="0" w:color="auto"/>
        <w:left w:val="none" w:sz="0" w:space="0" w:color="auto"/>
        <w:bottom w:val="none" w:sz="0" w:space="0" w:color="auto"/>
        <w:right w:val="none" w:sz="0" w:space="0" w:color="auto"/>
      </w:divBdr>
    </w:div>
    <w:div w:id="1654025289">
      <w:bodyDiv w:val="1"/>
      <w:marLeft w:val="0"/>
      <w:marRight w:val="0"/>
      <w:marTop w:val="0"/>
      <w:marBottom w:val="0"/>
      <w:divBdr>
        <w:top w:val="none" w:sz="0" w:space="0" w:color="auto"/>
        <w:left w:val="none" w:sz="0" w:space="0" w:color="auto"/>
        <w:bottom w:val="none" w:sz="0" w:space="0" w:color="auto"/>
        <w:right w:val="none" w:sz="0" w:space="0" w:color="auto"/>
      </w:divBdr>
    </w:div>
    <w:div w:id="1665206009">
      <w:bodyDiv w:val="1"/>
      <w:marLeft w:val="0"/>
      <w:marRight w:val="0"/>
      <w:marTop w:val="0"/>
      <w:marBottom w:val="0"/>
      <w:divBdr>
        <w:top w:val="none" w:sz="0" w:space="0" w:color="auto"/>
        <w:left w:val="none" w:sz="0" w:space="0" w:color="auto"/>
        <w:bottom w:val="none" w:sz="0" w:space="0" w:color="auto"/>
        <w:right w:val="none" w:sz="0" w:space="0" w:color="auto"/>
      </w:divBdr>
    </w:div>
    <w:div w:id="1665432048">
      <w:bodyDiv w:val="1"/>
      <w:marLeft w:val="0"/>
      <w:marRight w:val="0"/>
      <w:marTop w:val="0"/>
      <w:marBottom w:val="0"/>
      <w:divBdr>
        <w:top w:val="none" w:sz="0" w:space="0" w:color="auto"/>
        <w:left w:val="none" w:sz="0" w:space="0" w:color="auto"/>
        <w:bottom w:val="none" w:sz="0" w:space="0" w:color="auto"/>
        <w:right w:val="none" w:sz="0" w:space="0" w:color="auto"/>
      </w:divBdr>
    </w:div>
    <w:div w:id="1671566549">
      <w:bodyDiv w:val="1"/>
      <w:marLeft w:val="0"/>
      <w:marRight w:val="0"/>
      <w:marTop w:val="0"/>
      <w:marBottom w:val="0"/>
      <w:divBdr>
        <w:top w:val="none" w:sz="0" w:space="0" w:color="auto"/>
        <w:left w:val="none" w:sz="0" w:space="0" w:color="auto"/>
        <w:bottom w:val="none" w:sz="0" w:space="0" w:color="auto"/>
        <w:right w:val="none" w:sz="0" w:space="0" w:color="auto"/>
      </w:divBdr>
    </w:div>
    <w:div w:id="1672180659">
      <w:bodyDiv w:val="1"/>
      <w:marLeft w:val="0"/>
      <w:marRight w:val="0"/>
      <w:marTop w:val="0"/>
      <w:marBottom w:val="0"/>
      <w:divBdr>
        <w:top w:val="none" w:sz="0" w:space="0" w:color="auto"/>
        <w:left w:val="none" w:sz="0" w:space="0" w:color="auto"/>
        <w:bottom w:val="none" w:sz="0" w:space="0" w:color="auto"/>
        <w:right w:val="none" w:sz="0" w:space="0" w:color="auto"/>
      </w:divBdr>
    </w:div>
    <w:div w:id="1701122106">
      <w:bodyDiv w:val="1"/>
      <w:marLeft w:val="0"/>
      <w:marRight w:val="0"/>
      <w:marTop w:val="0"/>
      <w:marBottom w:val="0"/>
      <w:divBdr>
        <w:top w:val="none" w:sz="0" w:space="0" w:color="auto"/>
        <w:left w:val="none" w:sz="0" w:space="0" w:color="auto"/>
        <w:bottom w:val="none" w:sz="0" w:space="0" w:color="auto"/>
        <w:right w:val="none" w:sz="0" w:space="0" w:color="auto"/>
      </w:divBdr>
    </w:div>
    <w:div w:id="1716466813">
      <w:bodyDiv w:val="1"/>
      <w:marLeft w:val="0"/>
      <w:marRight w:val="0"/>
      <w:marTop w:val="0"/>
      <w:marBottom w:val="0"/>
      <w:divBdr>
        <w:top w:val="none" w:sz="0" w:space="0" w:color="auto"/>
        <w:left w:val="none" w:sz="0" w:space="0" w:color="auto"/>
        <w:bottom w:val="none" w:sz="0" w:space="0" w:color="auto"/>
        <w:right w:val="none" w:sz="0" w:space="0" w:color="auto"/>
      </w:divBdr>
    </w:div>
    <w:div w:id="1723825547">
      <w:bodyDiv w:val="1"/>
      <w:marLeft w:val="0"/>
      <w:marRight w:val="0"/>
      <w:marTop w:val="0"/>
      <w:marBottom w:val="0"/>
      <w:divBdr>
        <w:top w:val="none" w:sz="0" w:space="0" w:color="auto"/>
        <w:left w:val="none" w:sz="0" w:space="0" w:color="auto"/>
        <w:bottom w:val="none" w:sz="0" w:space="0" w:color="auto"/>
        <w:right w:val="none" w:sz="0" w:space="0" w:color="auto"/>
      </w:divBdr>
    </w:div>
    <w:div w:id="1725253172">
      <w:bodyDiv w:val="1"/>
      <w:marLeft w:val="0"/>
      <w:marRight w:val="0"/>
      <w:marTop w:val="0"/>
      <w:marBottom w:val="0"/>
      <w:divBdr>
        <w:top w:val="none" w:sz="0" w:space="0" w:color="auto"/>
        <w:left w:val="none" w:sz="0" w:space="0" w:color="auto"/>
        <w:bottom w:val="none" w:sz="0" w:space="0" w:color="auto"/>
        <w:right w:val="none" w:sz="0" w:space="0" w:color="auto"/>
      </w:divBdr>
    </w:div>
    <w:div w:id="1729985955">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0902954">
      <w:bodyDiv w:val="1"/>
      <w:marLeft w:val="0"/>
      <w:marRight w:val="0"/>
      <w:marTop w:val="0"/>
      <w:marBottom w:val="0"/>
      <w:divBdr>
        <w:top w:val="none" w:sz="0" w:space="0" w:color="auto"/>
        <w:left w:val="none" w:sz="0" w:space="0" w:color="auto"/>
        <w:bottom w:val="none" w:sz="0" w:space="0" w:color="auto"/>
        <w:right w:val="none" w:sz="0" w:space="0" w:color="auto"/>
      </w:divBdr>
    </w:div>
    <w:div w:id="1768228850">
      <w:bodyDiv w:val="1"/>
      <w:marLeft w:val="0"/>
      <w:marRight w:val="0"/>
      <w:marTop w:val="0"/>
      <w:marBottom w:val="0"/>
      <w:divBdr>
        <w:top w:val="none" w:sz="0" w:space="0" w:color="auto"/>
        <w:left w:val="none" w:sz="0" w:space="0" w:color="auto"/>
        <w:bottom w:val="none" w:sz="0" w:space="0" w:color="auto"/>
        <w:right w:val="none" w:sz="0" w:space="0" w:color="auto"/>
      </w:divBdr>
    </w:div>
    <w:div w:id="1784156601">
      <w:bodyDiv w:val="1"/>
      <w:marLeft w:val="0"/>
      <w:marRight w:val="0"/>
      <w:marTop w:val="0"/>
      <w:marBottom w:val="0"/>
      <w:divBdr>
        <w:top w:val="none" w:sz="0" w:space="0" w:color="auto"/>
        <w:left w:val="none" w:sz="0" w:space="0" w:color="auto"/>
        <w:bottom w:val="none" w:sz="0" w:space="0" w:color="auto"/>
        <w:right w:val="none" w:sz="0" w:space="0" w:color="auto"/>
      </w:divBdr>
      <w:divsChild>
        <w:div w:id="458232843">
          <w:marLeft w:val="0"/>
          <w:marRight w:val="0"/>
          <w:marTop w:val="0"/>
          <w:marBottom w:val="0"/>
          <w:divBdr>
            <w:top w:val="none" w:sz="0" w:space="0" w:color="auto"/>
            <w:left w:val="none" w:sz="0" w:space="0" w:color="auto"/>
            <w:bottom w:val="none" w:sz="0" w:space="0" w:color="auto"/>
            <w:right w:val="none" w:sz="0" w:space="0" w:color="auto"/>
          </w:divBdr>
          <w:divsChild>
            <w:div w:id="7032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4644">
      <w:bodyDiv w:val="1"/>
      <w:marLeft w:val="0"/>
      <w:marRight w:val="0"/>
      <w:marTop w:val="0"/>
      <w:marBottom w:val="0"/>
      <w:divBdr>
        <w:top w:val="none" w:sz="0" w:space="0" w:color="auto"/>
        <w:left w:val="none" w:sz="0" w:space="0" w:color="auto"/>
        <w:bottom w:val="none" w:sz="0" w:space="0" w:color="auto"/>
        <w:right w:val="none" w:sz="0" w:space="0" w:color="auto"/>
      </w:divBdr>
    </w:div>
    <w:div w:id="1800300157">
      <w:bodyDiv w:val="1"/>
      <w:marLeft w:val="0"/>
      <w:marRight w:val="0"/>
      <w:marTop w:val="0"/>
      <w:marBottom w:val="0"/>
      <w:divBdr>
        <w:top w:val="none" w:sz="0" w:space="0" w:color="auto"/>
        <w:left w:val="none" w:sz="0" w:space="0" w:color="auto"/>
        <w:bottom w:val="none" w:sz="0" w:space="0" w:color="auto"/>
        <w:right w:val="none" w:sz="0" w:space="0" w:color="auto"/>
      </w:divBdr>
    </w:div>
    <w:div w:id="1808352762">
      <w:bodyDiv w:val="1"/>
      <w:marLeft w:val="0"/>
      <w:marRight w:val="0"/>
      <w:marTop w:val="0"/>
      <w:marBottom w:val="0"/>
      <w:divBdr>
        <w:top w:val="none" w:sz="0" w:space="0" w:color="auto"/>
        <w:left w:val="none" w:sz="0" w:space="0" w:color="auto"/>
        <w:bottom w:val="none" w:sz="0" w:space="0" w:color="auto"/>
        <w:right w:val="none" w:sz="0" w:space="0" w:color="auto"/>
      </w:divBdr>
    </w:div>
    <w:div w:id="1827478101">
      <w:bodyDiv w:val="1"/>
      <w:marLeft w:val="0"/>
      <w:marRight w:val="0"/>
      <w:marTop w:val="0"/>
      <w:marBottom w:val="0"/>
      <w:divBdr>
        <w:top w:val="none" w:sz="0" w:space="0" w:color="auto"/>
        <w:left w:val="none" w:sz="0" w:space="0" w:color="auto"/>
        <w:bottom w:val="none" w:sz="0" w:space="0" w:color="auto"/>
        <w:right w:val="none" w:sz="0" w:space="0" w:color="auto"/>
      </w:divBdr>
    </w:div>
    <w:div w:id="1835293322">
      <w:bodyDiv w:val="1"/>
      <w:marLeft w:val="0"/>
      <w:marRight w:val="0"/>
      <w:marTop w:val="0"/>
      <w:marBottom w:val="0"/>
      <w:divBdr>
        <w:top w:val="none" w:sz="0" w:space="0" w:color="auto"/>
        <w:left w:val="none" w:sz="0" w:space="0" w:color="auto"/>
        <w:bottom w:val="none" w:sz="0" w:space="0" w:color="auto"/>
        <w:right w:val="none" w:sz="0" w:space="0" w:color="auto"/>
      </w:divBdr>
    </w:div>
    <w:div w:id="1839687895">
      <w:bodyDiv w:val="1"/>
      <w:marLeft w:val="0"/>
      <w:marRight w:val="0"/>
      <w:marTop w:val="0"/>
      <w:marBottom w:val="0"/>
      <w:divBdr>
        <w:top w:val="none" w:sz="0" w:space="0" w:color="auto"/>
        <w:left w:val="none" w:sz="0" w:space="0" w:color="auto"/>
        <w:bottom w:val="none" w:sz="0" w:space="0" w:color="auto"/>
        <w:right w:val="none" w:sz="0" w:space="0" w:color="auto"/>
      </w:divBdr>
    </w:div>
    <w:div w:id="1863517914">
      <w:bodyDiv w:val="1"/>
      <w:marLeft w:val="0"/>
      <w:marRight w:val="0"/>
      <w:marTop w:val="0"/>
      <w:marBottom w:val="0"/>
      <w:divBdr>
        <w:top w:val="none" w:sz="0" w:space="0" w:color="auto"/>
        <w:left w:val="none" w:sz="0" w:space="0" w:color="auto"/>
        <w:bottom w:val="none" w:sz="0" w:space="0" w:color="auto"/>
        <w:right w:val="none" w:sz="0" w:space="0" w:color="auto"/>
      </w:divBdr>
      <w:divsChild>
        <w:div w:id="1177618969">
          <w:marLeft w:val="0"/>
          <w:marRight w:val="0"/>
          <w:marTop w:val="0"/>
          <w:marBottom w:val="0"/>
          <w:divBdr>
            <w:top w:val="none" w:sz="0" w:space="0" w:color="auto"/>
            <w:left w:val="none" w:sz="0" w:space="0" w:color="auto"/>
            <w:bottom w:val="none" w:sz="0" w:space="0" w:color="auto"/>
            <w:right w:val="none" w:sz="0" w:space="0" w:color="auto"/>
          </w:divBdr>
          <w:divsChild>
            <w:div w:id="5521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76">
      <w:bodyDiv w:val="1"/>
      <w:marLeft w:val="0"/>
      <w:marRight w:val="0"/>
      <w:marTop w:val="0"/>
      <w:marBottom w:val="0"/>
      <w:divBdr>
        <w:top w:val="none" w:sz="0" w:space="0" w:color="auto"/>
        <w:left w:val="none" w:sz="0" w:space="0" w:color="auto"/>
        <w:bottom w:val="none" w:sz="0" w:space="0" w:color="auto"/>
        <w:right w:val="none" w:sz="0" w:space="0" w:color="auto"/>
      </w:divBdr>
    </w:div>
    <w:div w:id="1890606700">
      <w:bodyDiv w:val="1"/>
      <w:marLeft w:val="0"/>
      <w:marRight w:val="0"/>
      <w:marTop w:val="0"/>
      <w:marBottom w:val="0"/>
      <w:divBdr>
        <w:top w:val="none" w:sz="0" w:space="0" w:color="auto"/>
        <w:left w:val="none" w:sz="0" w:space="0" w:color="auto"/>
        <w:bottom w:val="none" w:sz="0" w:space="0" w:color="auto"/>
        <w:right w:val="none" w:sz="0" w:space="0" w:color="auto"/>
      </w:divBdr>
    </w:div>
    <w:div w:id="1891963368">
      <w:bodyDiv w:val="1"/>
      <w:marLeft w:val="0"/>
      <w:marRight w:val="0"/>
      <w:marTop w:val="0"/>
      <w:marBottom w:val="0"/>
      <w:divBdr>
        <w:top w:val="none" w:sz="0" w:space="0" w:color="auto"/>
        <w:left w:val="none" w:sz="0" w:space="0" w:color="auto"/>
        <w:bottom w:val="none" w:sz="0" w:space="0" w:color="auto"/>
        <w:right w:val="none" w:sz="0" w:space="0" w:color="auto"/>
      </w:divBdr>
    </w:div>
    <w:div w:id="1901593431">
      <w:bodyDiv w:val="1"/>
      <w:marLeft w:val="0"/>
      <w:marRight w:val="0"/>
      <w:marTop w:val="0"/>
      <w:marBottom w:val="0"/>
      <w:divBdr>
        <w:top w:val="none" w:sz="0" w:space="0" w:color="auto"/>
        <w:left w:val="none" w:sz="0" w:space="0" w:color="auto"/>
        <w:bottom w:val="none" w:sz="0" w:space="0" w:color="auto"/>
        <w:right w:val="none" w:sz="0" w:space="0" w:color="auto"/>
      </w:divBdr>
    </w:div>
    <w:div w:id="1922789860">
      <w:bodyDiv w:val="1"/>
      <w:marLeft w:val="0"/>
      <w:marRight w:val="0"/>
      <w:marTop w:val="0"/>
      <w:marBottom w:val="0"/>
      <w:divBdr>
        <w:top w:val="none" w:sz="0" w:space="0" w:color="auto"/>
        <w:left w:val="none" w:sz="0" w:space="0" w:color="auto"/>
        <w:bottom w:val="none" w:sz="0" w:space="0" w:color="auto"/>
        <w:right w:val="none" w:sz="0" w:space="0" w:color="auto"/>
      </w:divBdr>
    </w:div>
    <w:div w:id="1952474663">
      <w:bodyDiv w:val="1"/>
      <w:marLeft w:val="0"/>
      <w:marRight w:val="0"/>
      <w:marTop w:val="0"/>
      <w:marBottom w:val="0"/>
      <w:divBdr>
        <w:top w:val="none" w:sz="0" w:space="0" w:color="auto"/>
        <w:left w:val="none" w:sz="0" w:space="0" w:color="auto"/>
        <w:bottom w:val="none" w:sz="0" w:space="0" w:color="auto"/>
        <w:right w:val="none" w:sz="0" w:space="0" w:color="auto"/>
      </w:divBdr>
      <w:divsChild>
        <w:div w:id="1771388561">
          <w:marLeft w:val="0"/>
          <w:marRight w:val="0"/>
          <w:marTop w:val="0"/>
          <w:marBottom w:val="0"/>
          <w:divBdr>
            <w:top w:val="none" w:sz="0" w:space="0" w:color="auto"/>
            <w:left w:val="none" w:sz="0" w:space="0" w:color="auto"/>
            <w:bottom w:val="none" w:sz="0" w:space="0" w:color="auto"/>
            <w:right w:val="none" w:sz="0" w:space="0" w:color="auto"/>
          </w:divBdr>
        </w:div>
        <w:div w:id="1364285639">
          <w:marLeft w:val="0"/>
          <w:marRight w:val="0"/>
          <w:marTop w:val="0"/>
          <w:marBottom w:val="0"/>
          <w:divBdr>
            <w:top w:val="none" w:sz="0" w:space="0" w:color="auto"/>
            <w:left w:val="none" w:sz="0" w:space="0" w:color="auto"/>
            <w:bottom w:val="none" w:sz="0" w:space="0" w:color="auto"/>
            <w:right w:val="none" w:sz="0" w:space="0" w:color="auto"/>
          </w:divBdr>
        </w:div>
        <w:div w:id="1926914219">
          <w:marLeft w:val="0"/>
          <w:marRight w:val="0"/>
          <w:marTop w:val="0"/>
          <w:marBottom w:val="0"/>
          <w:divBdr>
            <w:top w:val="none" w:sz="0" w:space="0" w:color="auto"/>
            <w:left w:val="none" w:sz="0" w:space="0" w:color="auto"/>
            <w:bottom w:val="none" w:sz="0" w:space="0" w:color="auto"/>
            <w:right w:val="none" w:sz="0" w:space="0" w:color="auto"/>
          </w:divBdr>
        </w:div>
        <w:div w:id="901453302">
          <w:marLeft w:val="0"/>
          <w:marRight w:val="0"/>
          <w:marTop w:val="0"/>
          <w:marBottom w:val="0"/>
          <w:divBdr>
            <w:top w:val="none" w:sz="0" w:space="0" w:color="auto"/>
            <w:left w:val="none" w:sz="0" w:space="0" w:color="auto"/>
            <w:bottom w:val="none" w:sz="0" w:space="0" w:color="auto"/>
            <w:right w:val="none" w:sz="0" w:space="0" w:color="auto"/>
          </w:divBdr>
        </w:div>
        <w:div w:id="254100462">
          <w:marLeft w:val="0"/>
          <w:marRight w:val="0"/>
          <w:marTop w:val="0"/>
          <w:marBottom w:val="0"/>
          <w:divBdr>
            <w:top w:val="none" w:sz="0" w:space="0" w:color="auto"/>
            <w:left w:val="none" w:sz="0" w:space="0" w:color="auto"/>
            <w:bottom w:val="none" w:sz="0" w:space="0" w:color="auto"/>
            <w:right w:val="none" w:sz="0" w:space="0" w:color="auto"/>
          </w:divBdr>
        </w:div>
        <w:div w:id="685058577">
          <w:marLeft w:val="0"/>
          <w:marRight w:val="0"/>
          <w:marTop w:val="0"/>
          <w:marBottom w:val="0"/>
          <w:divBdr>
            <w:top w:val="none" w:sz="0" w:space="0" w:color="auto"/>
            <w:left w:val="none" w:sz="0" w:space="0" w:color="auto"/>
            <w:bottom w:val="none" w:sz="0" w:space="0" w:color="auto"/>
            <w:right w:val="none" w:sz="0" w:space="0" w:color="auto"/>
          </w:divBdr>
        </w:div>
        <w:div w:id="1495224473">
          <w:marLeft w:val="0"/>
          <w:marRight w:val="0"/>
          <w:marTop w:val="0"/>
          <w:marBottom w:val="0"/>
          <w:divBdr>
            <w:top w:val="none" w:sz="0" w:space="0" w:color="auto"/>
            <w:left w:val="none" w:sz="0" w:space="0" w:color="auto"/>
            <w:bottom w:val="none" w:sz="0" w:space="0" w:color="auto"/>
            <w:right w:val="none" w:sz="0" w:space="0" w:color="auto"/>
          </w:divBdr>
        </w:div>
        <w:div w:id="396707600">
          <w:marLeft w:val="0"/>
          <w:marRight w:val="0"/>
          <w:marTop w:val="0"/>
          <w:marBottom w:val="0"/>
          <w:divBdr>
            <w:top w:val="none" w:sz="0" w:space="0" w:color="auto"/>
            <w:left w:val="none" w:sz="0" w:space="0" w:color="auto"/>
            <w:bottom w:val="none" w:sz="0" w:space="0" w:color="auto"/>
            <w:right w:val="none" w:sz="0" w:space="0" w:color="auto"/>
          </w:divBdr>
        </w:div>
        <w:div w:id="1112944501">
          <w:marLeft w:val="0"/>
          <w:marRight w:val="0"/>
          <w:marTop w:val="0"/>
          <w:marBottom w:val="0"/>
          <w:divBdr>
            <w:top w:val="none" w:sz="0" w:space="0" w:color="auto"/>
            <w:left w:val="none" w:sz="0" w:space="0" w:color="auto"/>
            <w:bottom w:val="none" w:sz="0" w:space="0" w:color="auto"/>
            <w:right w:val="none" w:sz="0" w:space="0" w:color="auto"/>
          </w:divBdr>
        </w:div>
        <w:div w:id="969015979">
          <w:marLeft w:val="0"/>
          <w:marRight w:val="0"/>
          <w:marTop w:val="0"/>
          <w:marBottom w:val="0"/>
          <w:divBdr>
            <w:top w:val="none" w:sz="0" w:space="0" w:color="auto"/>
            <w:left w:val="none" w:sz="0" w:space="0" w:color="auto"/>
            <w:bottom w:val="none" w:sz="0" w:space="0" w:color="auto"/>
            <w:right w:val="none" w:sz="0" w:space="0" w:color="auto"/>
          </w:divBdr>
        </w:div>
        <w:div w:id="1869677491">
          <w:marLeft w:val="0"/>
          <w:marRight w:val="0"/>
          <w:marTop w:val="0"/>
          <w:marBottom w:val="0"/>
          <w:divBdr>
            <w:top w:val="none" w:sz="0" w:space="0" w:color="auto"/>
            <w:left w:val="none" w:sz="0" w:space="0" w:color="auto"/>
            <w:bottom w:val="none" w:sz="0" w:space="0" w:color="auto"/>
            <w:right w:val="none" w:sz="0" w:space="0" w:color="auto"/>
          </w:divBdr>
        </w:div>
        <w:div w:id="2014793652">
          <w:marLeft w:val="0"/>
          <w:marRight w:val="0"/>
          <w:marTop w:val="0"/>
          <w:marBottom w:val="0"/>
          <w:divBdr>
            <w:top w:val="none" w:sz="0" w:space="0" w:color="auto"/>
            <w:left w:val="none" w:sz="0" w:space="0" w:color="auto"/>
            <w:bottom w:val="none" w:sz="0" w:space="0" w:color="auto"/>
            <w:right w:val="none" w:sz="0" w:space="0" w:color="auto"/>
          </w:divBdr>
        </w:div>
        <w:div w:id="969703395">
          <w:marLeft w:val="0"/>
          <w:marRight w:val="0"/>
          <w:marTop w:val="0"/>
          <w:marBottom w:val="0"/>
          <w:divBdr>
            <w:top w:val="none" w:sz="0" w:space="0" w:color="auto"/>
            <w:left w:val="none" w:sz="0" w:space="0" w:color="auto"/>
            <w:bottom w:val="none" w:sz="0" w:space="0" w:color="auto"/>
            <w:right w:val="none" w:sz="0" w:space="0" w:color="auto"/>
          </w:divBdr>
        </w:div>
        <w:div w:id="1551644846">
          <w:marLeft w:val="0"/>
          <w:marRight w:val="0"/>
          <w:marTop w:val="0"/>
          <w:marBottom w:val="0"/>
          <w:divBdr>
            <w:top w:val="none" w:sz="0" w:space="0" w:color="auto"/>
            <w:left w:val="none" w:sz="0" w:space="0" w:color="auto"/>
            <w:bottom w:val="none" w:sz="0" w:space="0" w:color="auto"/>
            <w:right w:val="none" w:sz="0" w:space="0" w:color="auto"/>
          </w:divBdr>
        </w:div>
        <w:div w:id="208230586">
          <w:marLeft w:val="0"/>
          <w:marRight w:val="0"/>
          <w:marTop w:val="0"/>
          <w:marBottom w:val="0"/>
          <w:divBdr>
            <w:top w:val="none" w:sz="0" w:space="0" w:color="auto"/>
            <w:left w:val="none" w:sz="0" w:space="0" w:color="auto"/>
            <w:bottom w:val="none" w:sz="0" w:space="0" w:color="auto"/>
            <w:right w:val="none" w:sz="0" w:space="0" w:color="auto"/>
          </w:divBdr>
        </w:div>
        <w:div w:id="150489523">
          <w:marLeft w:val="0"/>
          <w:marRight w:val="0"/>
          <w:marTop w:val="0"/>
          <w:marBottom w:val="0"/>
          <w:divBdr>
            <w:top w:val="none" w:sz="0" w:space="0" w:color="auto"/>
            <w:left w:val="none" w:sz="0" w:space="0" w:color="auto"/>
            <w:bottom w:val="none" w:sz="0" w:space="0" w:color="auto"/>
            <w:right w:val="none" w:sz="0" w:space="0" w:color="auto"/>
          </w:divBdr>
        </w:div>
      </w:divsChild>
    </w:div>
    <w:div w:id="1960062374">
      <w:bodyDiv w:val="1"/>
      <w:marLeft w:val="0"/>
      <w:marRight w:val="0"/>
      <w:marTop w:val="0"/>
      <w:marBottom w:val="0"/>
      <w:divBdr>
        <w:top w:val="none" w:sz="0" w:space="0" w:color="auto"/>
        <w:left w:val="none" w:sz="0" w:space="0" w:color="auto"/>
        <w:bottom w:val="none" w:sz="0" w:space="0" w:color="auto"/>
        <w:right w:val="none" w:sz="0" w:space="0" w:color="auto"/>
      </w:divBdr>
      <w:divsChild>
        <w:div w:id="116413261">
          <w:marLeft w:val="0"/>
          <w:marRight w:val="0"/>
          <w:marTop w:val="0"/>
          <w:marBottom w:val="0"/>
          <w:divBdr>
            <w:top w:val="none" w:sz="0" w:space="0" w:color="auto"/>
            <w:left w:val="none" w:sz="0" w:space="0" w:color="auto"/>
            <w:bottom w:val="none" w:sz="0" w:space="0" w:color="auto"/>
            <w:right w:val="none" w:sz="0" w:space="0" w:color="auto"/>
          </w:divBdr>
        </w:div>
        <w:div w:id="1261835924">
          <w:marLeft w:val="0"/>
          <w:marRight w:val="0"/>
          <w:marTop w:val="0"/>
          <w:marBottom w:val="0"/>
          <w:divBdr>
            <w:top w:val="none" w:sz="0" w:space="0" w:color="auto"/>
            <w:left w:val="none" w:sz="0" w:space="0" w:color="auto"/>
            <w:bottom w:val="none" w:sz="0" w:space="0" w:color="auto"/>
            <w:right w:val="none" w:sz="0" w:space="0" w:color="auto"/>
          </w:divBdr>
        </w:div>
        <w:div w:id="880437568">
          <w:marLeft w:val="0"/>
          <w:marRight w:val="0"/>
          <w:marTop w:val="0"/>
          <w:marBottom w:val="0"/>
          <w:divBdr>
            <w:top w:val="none" w:sz="0" w:space="0" w:color="auto"/>
            <w:left w:val="none" w:sz="0" w:space="0" w:color="auto"/>
            <w:bottom w:val="none" w:sz="0" w:space="0" w:color="auto"/>
            <w:right w:val="none" w:sz="0" w:space="0" w:color="auto"/>
          </w:divBdr>
        </w:div>
        <w:div w:id="1552570732">
          <w:marLeft w:val="0"/>
          <w:marRight w:val="0"/>
          <w:marTop w:val="0"/>
          <w:marBottom w:val="0"/>
          <w:divBdr>
            <w:top w:val="none" w:sz="0" w:space="0" w:color="auto"/>
            <w:left w:val="none" w:sz="0" w:space="0" w:color="auto"/>
            <w:bottom w:val="none" w:sz="0" w:space="0" w:color="auto"/>
            <w:right w:val="none" w:sz="0" w:space="0" w:color="auto"/>
          </w:divBdr>
        </w:div>
        <w:div w:id="957762739">
          <w:marLeft w:val="0"/>
          <w:marRight w:val="0"/>
          <w:marTop w:val="0"/>
          <w:marBottom w:val="0"/>
          <w:divBdr>
            <w:top w:val="none" w:sz="0" w:space="0" w:color="auto"/>
            <w:left w:val="none" w:sz="0" w:space="0" w:color="auto"/>
            <w:bottom w:val="none" w:sz="0" w:space="0" w:color="auto"/>
            <w:right w:val="none" w:sz="0" w:space="0" w:color="auto"/>
          </w:divBdr>
        </w:div>
        <w:div w:id="313684586">
          <w:marLeft w:val="0"/>
          <w:marRight w:val="0"/>
          <w:marTop w:val="0"/>
          <w:marBottom w:val="0"/>
          <w:divBdr>
            <w:top w:val="none" w:sz="0" w:space="0" w:color="auto"/>
            <w:left w:val="none" w:sz="0" w:space="0" w:color="auto"/>
            <w:bottom w:val="none" w:sz="0" w:space="0" w:color="auto"/>
            <w:right w:val="none" w:sz="0" w:space="0" w:color="auto"/>
          </w:divBdr>
        </w:div>
      </w:divsChild>
    </w:div>
    <w:div w:id="1967546961">
      <w:bodyDiv w:val="1"/>
      <w:marLeft w:val="0"/>
      <w:marRight w:val="0"/>
      <w:marTop w:val="0"/>
      <w:marBottom w:val="0"/>
      <w:divBdr>
        <w:top w:val="none" w:sz="0" w:space="0" w:color="auto"/>
        <w:left w:val="none" w:sz="0" w:space="0" w:color="auto"/>
        <w:bottom w:val="none" w:sz="0" w:space="0" w:color="auto"/>
        <w:right w:val="none" w:sz="0" w:space="0" w:color="auto"/>
      </w:divBdr>
    </w:div>
    <w:div w:id="1968505600">
      <w:bodyDiv w:val="1"/>
      <w:marLeft w:val="0"/>
      <w:marRight w:val="0"/>
      <w:marTop w:val="0"/>
      <w:marBottom w:val="0"/>
      <w:divBdr>
        <w:top w:val="none" w:sz="0" w:space="0" w:color="auto"/>
        <w:left w:val="none" w:sz="0" w:space="0" w:color="auto"/>
        <w:bottom w:val="none" w:sz="0" w:space="0" w:color="auto"/>
        <w:right w:val="none" w:sz="0" w:space="0" w:color="auto"/>
      </w:divBdr>
    </w:div>
    <w:div w:id="1981686117">
      <w:bodyDiv w:val="1"/>
      <w:marLeft w:val="0"/>
      <w:marRight w:val="0"/>
      <w:marTop w:val="0"/>
      <w:marBottom w:val="0"/>
      <w:divBdr>
        <w:top w:val="none" w:sz="0" w:space="0" w:color="auto"/>
        <w:left w:val="none" w:sz="0" w:space="0" w:color="auto"/>
        <w:bottom w:val="none" w:sz="0" w:space="0" w:color="auto"/>
        <w:right w:val="none" w:sz="0" w:space="0" w:color="auto"/>
      </w:divBdr>
    </w:div>
    <w:div w:id="1984969794">
      <w:bodyDiv w:val="1"/>
      <w:marLeft w:val="0"/>
      <w:marRight w:val="0"/>
      <w:marTop w:val="0"/>
      <w:marBottom w:val="0"/>
      <w:divBdr>
        <w:top w:val="none" w:sz="0" w:space="0" w:color="auto"/>
        <w:left w:val="none" w:sz="0" w:space="0" w:color="auto"/>
        <w:bottom w:val="none" w:sz="0" w:space="0" w:color="auto"/>
        <w:right w:val="none" w:sz="0" w:space="0" w:color="auto"/>
      </w:divBdr>
    </w:div>
    <w:div w:id="1999336079">
      <w:bodyDiv w:val="1"/>
      <w:marLeft w:val="0"/>
      <w:marRight w:val="0"/>
      <w:marTop w:val="0"/>
      <w:marBottom w:val="0"/>
      <w:divBdr>
        <w:top w:val="none" w:sz="0" w:space="0" w:color="auto"/>
        <w:left w:val="none" w:sz="0" w:space="0" w:color="auto"/>
        <w:bottom w:val="none" w:sz="0" w:space="0" w:color="auto"/>
        <w:right w:val="none" w:sz="0" w:space="0" w:color="auto"/>
      </w:divBdr>
    </w:div>
    <w:div w:id="2001274421">
      <w:bodyDiv w:val="1"/>
      <w:marLeft w:val="0"/>
      <w:marRight w:val="0"/>
      <w:marTop w:val="0"/>
      <w:marBottom w:val="0"/>
      <w:divBdr>
        <w:top w:val="none" w:sz="0" w:space="0" w:color="auto"/>
        <w:left w:val="none" w:sz="0" w:space="0" w:color="auto"/>
        <w:bottom w:val="none" w:sz="0" w:space="0" w:color="auto"/>
        <w:right w:val="none" w:sz="0" w:space="0" w:color="auto"/>
      </w:divBdr>
    </w:div>
    <w:div w:id="2011373890">
      <w:bodyDiv w:val="1"/>
      <w:marLeft w:val="0"/>
      <w:marRight w:val="0"/>
      <w:marTop w:val="0"/>
      <w:marBottom w:val="0"/>
      <w:divBdr>
        <w:top w:val="none" w:sz="0" w:space="0" w:color="auto"/>
        <w:left w:val="none" w:sz="0" w:space="0" w:color="auto"/>
        <w:bottom w:val="none" w:sz="0" w:space="0" w:color="auto"/>
        <w:right w:val="none" w:sz="0" w:space="0" w:color="auto"/>
      </w:divBdr>
    </w:div>
    <w:div w:id="2022510387">
      <w:bodyDiv w:val="1"/>
      <w:marLeft w:val="0"/>
      <w:marRight w:val="0"/>
      <w:marTop w:val="0"/>
      <w:marBottom w:val="0"/>
      <w:divBdr>
        <w:top w:val="none" w:sz="0" w:space="0" w:color="auto"/>
        <w:left w:val="none" w:sz="0" w:space="0" w:color="auto"/>
        <w:bottom w:val="none" w:sz="0" w:space="0" w:color="auto"/>
        <w:right w:val="none" w:sz="0" w:space="0" w:color="auto"/>
      </w:divBdr>
    </w:div>
    <w:div w:id="2031494594">
      <w:bodyDiv w:val="1"/>
      <w:marLeft w:val="0"/>
      <w:marRight w:val="0"/>
      <w:marTop w:val="0"/>
      <w:marBottom w:val="0"/>
      <w:divBdr>
        <w:top w:val="none" w:sz="0" w:space="0" w:color="auto"/>
        <w:left w:val="none" w:sz="0" w:space="0" w:color="auto"/>
        <w:bottom w:val="none" w:sz="0" w:space="0" w:color="auto"/>
        <w:right w:val="none" w:sz="0" w:space="0" w:color="auto"/>
      </w:divBdr>
    </w:div>
    <w:div w:id="2037584276">
      <w:bodyDiv w:val="1"/>
      <w:marLeft w:val="0"/>
      <w:marRight w:val="0"/>
      <w:marTop w:val="0"/>
      <w:marBottom w:val="0"/>
      <w:divBdr>
        <w:top w:val="none" w:sz="0" w:space="0" w:color="auto"/>
        <w:left w:val="none" w:sz="0" w:space="0" w:color="auto"/>
        <w:bottom w:val="none" w:sz="0" w:space="0" w:color="auto"/>
        <w:right w:val="none" w:sz="0" w:space="0" w:color="auto"/>
      </w:divBdr>
    </w:div>
    <w:div w:id="2049604182">
      <w:bodyDiv w:val="1"/>
      <w:marLeft w:val="0"/>
      <w:marRight w:val="0"/>
      <w:marTop w:val="0"/>
      <w:marBottom w:val="0"/>
      <w:divBdr>
        <w:top w:val="none" w:sz="0" w:space="0" w:color="auto"/>
        <w:left w:val="none" w:sz="0" w:space="0" w:color="auto"/>
        <w:bottom w:val="none" w:sz="0" w:space="0" w:color="auto"/>
        <w:right w:val="none" w:sz="0" w:space="0" w:color="auto"/>
      </w:divBdr>
    </w:div>
    <w:div w:id="2050033410">
      <w:bodyDiv w:val="1"/>
      <w:marLeft w:val="0"/>
      <w:marRight w:val="0"/>
      <w:marTop w:val="0"/>
      <w:marBottom w:val="0"/>
      <w:divBdr>
        <w:top w:val="none" w:sz="0" w:space="0" w:color="auto"/>
        <w:left w:val="none" w:sz="0" w:space="0" w:color="auto"/>
        <w:bottom w:val="none" w:sz="0" w:space="0" w:color="auto"/>
        <w:right w:val="none" w:sz="0" w:space="0" w:color="auto"/>
      </w:divBdr>
    </w:div>
    <w:div w:id="2073656280">
      <w:bodyDiv w:val="1"/>
      <w:marLeft w:val="0"/>
      <w:marRight w:val="0"/>
      <w:marTop w:val="0"/>
      <w:marBottom w:val="0"/>
      <w:divBdr>
        <w:top w:val="none" w:sz="0" w:space="0" w:color="auto"/>
        <w:left w:val="none" w:sz="0" w:space="0" w:color="auto"/>
        <w:bottom w:val="none" w:sz="0" w:space="0" w:color="auto"/>
        <w:right w:val="none" w:sz="0" w:space="0" w:color="auto"/>
      </w:divBdr>
    </w:div>
    <w:div w:id="2083982480">
      <w:bodyDiv w:val="1"/>
      <w:marLeft w:val="0"/>
      <w:marRight w:val="0"/>
      <w:marTop w:val="0"/>
      <w:marBottom w:val="0"/>
      <w:divBdr>
        <w:top w:val="none" w:sz="0" w:space="0" w:color="auto"/>
        <w:left w:val="none" w:sz="0" w:space="0" w:color="auto"/>
        <w:bottom w:val="none" w:sz="0" w:space="0" w:color="auto"/>
        <w:right w:val="none" w:sz="0" w:space="0" w:color="auto"/>
      </w:divBdr>
    </w:div>
    <w:div w:id="2101559498">
      <w:bodyDiv w:val="1"/>
      <w:marLeft w:val="0"/>
      <w:marRight w:val="0"/>
      <w:marTop w:val="0"/>
      <w:marBottom w:val="0"/>
      <w:divBdr>
        <w:top w:val="none" w:sz="0" w:space="0" w:color="auto"/>
        <w:left w:val="none" w:sz="0" w:space="0" w:color="auto"/>
        <w:bottom w:val="none" w:sz="0" w:space="0" w:color="auto"/>
        <w:right w:val="none" w:sz="0" w:space="0" w:color="auto"/>
      </w:divBdr>
      <w:divsChild>
        <w:div w:id="760372821">
          <w:marLeft w:val="0"/>
          <w:marRight w:val="0"/>
          <w:marTop w:val="0"/>
          <w:marBottom w:val="0"/>
          <w:divBdr>
            <w:top w:val="none" w:sz="0" w:space="0" w:color="auto"/>
            <w:left w:val="none" w:sz="0" w:space="0" w:color="auto"/>
            <w:bottom w:val="none" w:sz="0" w:space="0" w:color="auto"/>
            <w:right w:val="none" w:sz="0" w:space="0" w:color="auto"/>
          </w:divBdr>
          <w:divsChild>
            <w:div w:id="1110902452">
              <w:marLeft w:val="0"/>
              <w:marRight w:val="0"/>
              <w:marTop w:val="0"/>
              <w:marBottom w:val="0"/>
              <w:divBdr>
                <w:top w:val="none" w:sz="0" w:space="0" w:color="auto"/>
                <w:left w:val="none" w:sz="0" w:space="0" w:color="auto"/>
                <w:bottom w:val="none" w:sz="0" w:space="0" w:color="auto"/>
                <w:right w:val="none" w:sz="0" w:space="0" w:color="auto"/>
              </w:divBdr>
              <w:divsChild>
                <w:div w:id="1744061827">
                  <w:marLeft w:val="0"/>
                  <w:marRight w:val="0"/>
                  <w:marTop w:val="0"/>
                  <w:marBottom w:val="0"/>
                  <w:divBdr>
                    <w:top w:val="none" w:sz="0" w:space="0" w:color="auto"/>
                    <w:left w:val="none" w:sz="0" w:space="0" w:color="auto"/>
                    <w:bottom w:val="none" w:sz="0" w:space="0" w:color="auto"/>
                    <w:right w:val="none" w:sz="0" w:space="0" w:color="auto"/>
                  </w:divBdr>
                  <w:divsChild>
                    <w:div w:id="1634091449">
                      <w:marLeft w:val="0"/>
                      <w:marRight w:val="0"/>
                      <w:marTop w:val="0"/>
                      <w:marBottom w:val="0"/>
                      <w:divBdr>
                        <w:top w:val="none" w:sz="0" w:space="0" w:color="auto"/>
                        <w:left w:val="none" w:sz="0" w:space="0" w:color="auto"/>
                        <w:bottom w:val="none" w:sz="0" w:space="0" w:color="auto"/>
                        <w:right w:val="none" w:sz="0" w:space="0" w:color="auto"/>
                      </w:divBdr>
                      <w:divsChild>
                        <w:div w:id="1761022423">
                          <w:marLeft w:val="0"/>
                          <w:marRight w:val="0"/>
                          <w:marTop w:val="0"/>
                          <w:marBottom w:val="0"/>
                          <w:divBdr>
                            <w:top w:val="none" w:sz="0" w:space="0" w:color="auto"/>
                            <w:left w:val="none" w:sz="0" w:space="0" w:color="auto"/>
                            <w:bottom w:val="none" w:sz="0" w:space="0" w:color="auto"/>
                            <w:right w:val="none" w:sz="0" w:space="0" w:color="auto"/>
                          </w:divBdr>
                          <w:divsChild>
                            <w:div w:id="730925756">
                              <w:marLeft w:val="0"/>
                              <w:marRight w:val="240"/>
                              <w:marTop w:val="0"/>
                              <w:marBottom w:val="0"/>
                              <w:divBdr>
                                <w:top w:val="none" w:sz="0" w:space="0" w:color="auto"/>
                                <w:left w:val="none" w:sz="0" w:space="0" w:color="auto"/>
                                <w:bottom w:val="none" w:sz="0" w:space="0" w:color="auto"/>
                                <w:right w:val="none" w:sz="0" w:space="0" w:color="auto"/>
                              </w:divBdr>
                              <w:divsChild>
                                <w:div w:id="17904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2663">
      <w:bodyDiv w:val="1"/>
      <w:marLeft w:val="0"/>
      <w:marRight w:val="0"/>
      <w:marTop w:val="0"/>
      <w:marBottom w:val="0"/>
      <w:divBdr>
        <w:top w:val="none" w:sz="0" w:space="0" w:color="auto"/>
        <w:left w:val="none" w:sz="0" w:space="0" w:color="auto"/>
        <w:bottom w:val="none" w:sz="0" w:space="0" w:color="auto"/>
        <w:right w:val="none" w:sz="0" w:space="0" w:color="auto"/>
      </w:divBdr>
    </w:div>
    <w:div w:id="2111852106">
      <w:bodyDiv w:val="1"/>
      <w:marLeft w:val="0"/>
      <w:marRight w:val="0"/>
      <w:marTop w:val="0"/>
      <w:marBottom w:val="0"/>
      <w:divBdr>
        <w:top w:val="none" w:sz="0" w:space="0" w:color="auto"/>
        <w:left w:val="none" w:sz="0" w:space="0" w:color="auto"/>
        <w:bottom w:val="none" w:sz="0" w:space="0" w:color="auto"/>
        <w:right w:val="none" w:sz="0" w:space="0" w:color="auto"/>
      </w:divBdr>
    </w:div>
    <w:div w:id="2119252550">
      <w:bodyDiv w:val="1"/>
      <w:marLeft w:val="0"/>
      <w:marRight w:val="0"/>
      <w:marTop w:val="0"/>
      <w:marBottom w:val="0"/>
      <w:divBdr>
        <w:top w:val="none" w:sz="0" w:space="0" w:color="auto"/>
        <w:left w:val="none" w:sz="0" w:space="0" w:color="auto"/>
        <w:bottom w:val="none" w:sz="0" w:space="0" w:color="auto"/>
        <w:right w:val="none" w:sz="0" w:space="0" w:color="auto"/>
      </w:divBdr>
    </w:div>
    <w:div w:id="214515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4.xml"/><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24.xml"/><Relationship Id="rId76" Type="http://schemas.openxmlformats.org/officeDocument/2006/relationships/header" Target="header35.xml"/><Relationship Id="rId84" Type="http://schemas.microsoft.com/office/2011/relationships/people" Target="people.xml"/><Relationship Id="rId7" Type="http://schemas.openxmlformats.org/officeDocument/2006/relationships/webSettings" Target="webSettings.xml"/><Relationship Id="rId71" Type="http://schemas.openxmlformats.org/officeDocument/2006/relationships/header" Target="header32.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chart" Target="charts/chart2.xml"/><Relationship Id="rId40" Type="http://schemas.openxmlformats.org/officeDocument/2006/relationships/footer" Target="footer13.xml"/><Relationship Id="rId45" Type="http://schemas.openxmlformats.org/officeDocument/2006/relationships/header" Target="header16.xml"/><Relationship Id="rId53" Type="http://schemas.openxmlformats.org/officeDocument/2006/relationships/header" Target="header21.xml"/><Relationship Id="rId58" Type="http://schemas.openxmlformats.org/officeDocument/2006/relationships/header" Target="header24.xml"/><Relationship Id="rId66" Type="http://schemas.openxmlformats.org/officeDocument/2006/relationships/footer" Target="footer23.xml"/><Relationship Id="rId74" Type="http://schemas.openxmlformats.org/officeDocument/2006/relationships/footer" Target="footer26.xml"/><Relationship Id="rId79" Type="http://schemas.openxmlformats.org/officeDocument/2006/relationships/header" Target="header38.xml"/><Relationship Id="rId5" Type="http://schemas.microsoft.com/office/2007/relationships/stylesWithEffects" Target="stylesWithEffects.xml"/><Relationship Id="rId61" Type="http://schemas.openxmlformats.org/officeDocument/2006/relationships/header" Target="header26.xm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chart" Target="charts/chart3.xml"/><Relationship Id="rId52" Type="http://schemas.openxmlformats.org/officeDocument/2006/relationships/footer" Target="footer18.xml"/><Relationship Id="rId60" Type="http://schemas.openxmlformats.org/officeDocument/2006/relationships/footer" Target="footer21.xml"/><Relationship Id="rId65" Type="http://schemas.openxmlformats.org/officeDocument/2006/relationships/header" Target="header29.xml"/><Relationship Id="rId73" Type="http://schemas.openxmlformats.org/officeDocument/2006/relationships/header" Target="header33.xml"/><Relationship Id="rId78" Type="http://schemas.openxmlformats.org/officeDocument/2006/relationships/header" Target="header37.xml"/><Relationship Id="rId81" Type="http://schemas.openxmlformats.org/officeDocument/2006/relationships/footer" Target="footer2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2.png"/><Relationship Id="rId35" Type="http://schemas.openxmlformats.org/officeDocument/2006/relationships/footer" Target="footer12.xml"/><Relationship Id="rId43" Type="http://schemas.openxmlformats.org/officeDocument/2006/relationships/footer" Target="footer15.xml"/><Relationship Id="rId48" Type="http://schemas.openxmlformats.org/officeDocument/2006/relationships/footer" Target="footer16.xml"/><Relationship Id="rId56" Type="http://schemas.openxmlformats.org/officeDocument/2006/relationships/header" Target="header23.xml"/><Relationship Id="rId64" Type="http://schemas.openxmlformats.org/officeDocument/2006/relationships/header" Target="header28.xml"/><Relationship Id="rId69" Type="http://schemas.openxmlformats.org/officeDocument/2006/relationships/hyperlink" Target="http://www.fish.wa.gov.au/Fishing-and-Aquaculture/Recreational-Fishing/Supporting-Recreational-Fishing/Pages/default.aspx" TargetMode="External"/><Relationship Id="rId77" Type="http://schemas.openxmlformats.org/officeDocument/2006/relationships/header" Target="header36.xml"/><Relationship Id="rId8" Type="http://schemas.openxmlformats.org/officeDocument/2006/relationships/footnotes" Target="footnotes.xml"/><Relationship Id="rId51" Type="http://schemas.openxmlformats.org/officeDocument/2006/relationships/footer" Target="footer17.xml"/><Relationship Id="rId72" Type="http://schemas.openxmlformats.org/officeDocument/2006/relationships/footer" Target="footer25.xml"/><Relationship Id="rId80" Type="http://schemas.openxmlformats.org/officeDocument/2006/relationships/header" Target="header39.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header" Target="header17.xml"/><Relationship Id="rId59" Type="http://schemas.openxmlformats.org/officeDocument/2006/relationships/header" Target="head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4.xml"/><Relationship Id="rId54" Type="http://schemas.openxmlformats.org/officeDocument/2006/relationships/header" Target="header22.xml"/><Relationship Id="rId62" Type="http://schemas.openxmlformats.org/officeDocument/2006/relationships/footer" Target="footer22.xml"/><Relationship Id="rId70" Type="http://schemas.openxmlformats.org/officeDocument/2006/relationships/header" Target="header31.xml"/><Relationship Id="rId75" Type="http://schemas.openxmlformats.org/officeDocument/2006/relationships/header" Target="header34.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chart" Target="charts/chart1.xml"/><Relationship Id="rId49" Type="http://schemas.openxmlformats.org/officeDocument/2006/relationships/header" Target="header19.xml"/><Relationship Id="rId57" Type="http://schemas.openxmlformats.org/officeDocument/2006/relationships/footer" Target="footer20.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pedney\AppData\Local\Microsoft\Windows\Temporary%20Internet%20Files\Content.IE5\C5CABESJ\RFLTrustdata.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245367843871004E-2"/>
          <c:y val="2.74899872553548E-2"/>
          <c:w val="0.81787812167043505"/>
          <c:h val="0.91048178346268704"/>
        </c:manualLayout>
      </c:layout>
      <c:barChart>
        <c:barDir val="col"/>
        <c:grouping val="clustered"/>
        <c:varyColors val="0"/>
        <c:ser>
          <c:idx val="0"/>
          <c:order val="0"/>
          <c:tx>
            <c:v>Number of licences issued (LHS)</c:v>
          </c:tx>
          <c:invertIfNegative val="0"/>
          <c:cat>
            <c:strRef>
              <c:f>'[Chart in Microsoft Word]2003-2004'!$O$8:$O$17</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'[Chart in Microsoft Word]2003-2004'!$P$8:$P$17</c:f>
              <c:numCache>
                <c:formatCode>_(* #,##0_);_(* \(#,##0\);_(* "-"_);_(@_)</c:formatCode>
                <c:ptCount val="10"/>
                <c:pt idx="0">
                  <c:v>236417</c:v>
                </c:pt>
                <c:pt idx="1">
                  <c:v>236728</c:v>
                </c:pt>
                <c:pt idx="2">
                  <c:v>228361</c:v>
                </c:pt>
                <c:pt idx="3">
                  <c:v>239639</c:v>
                </c:pt>
                <c:pt idx="4">
                  <c:v>270866</c:v>
                </c:pt>
                <c:pt idx="5">
                  <c:v>270779</c:v>
                </c:pt>
                <c:pt idx="6">
                  <c:v>303299</c:v>
                </c:pt>
                <c:pt idx="7" formatCode="#,##0">
                  <c:v>315182</c:v>
                </c:pt>
                <c:pt idx="8">
                  <c:v>294463</c:v>
                </c:pt>
                <c:pt idx="9">
                  <c:v>288498</c:v>
                </c:pt>
              </c:numCache>
            </c:numRef>
          </c:val>
        </c:ser>
        <c:dLbls>
          <c:showLegendKey val="0"/>
          <c:showVal val="0"/>
          <c:showCatName val="0"/>
          <c:showSerName val="0"/>
          <c:showPercent val="0"/>
          <c:showBubbleSize val="0"/>
        </c:dLbls>
        <c:gapWidth val="150"/>
        <c:axId val="40435712"/>
        <c:axId val="40438784"/>
      </c:barChart>
      <c:lineChart>
        <c:grouping val="standard"/>
        <c:varyColors val="0"/>
        <c:ser>
          <c:idx val="1"/>
          <c:order val="1"/>
          <c:tx>
            <c:v>Licence revenue (RHS)</c:v>
          </c:tx>
          <c:marker>
            <c:symbol val="none"/>
          </c:marker>
          <c:cat>
            <c:strRef>
              <c:f>'[Chart in Microsoft Word]2003-2004'!$O$8:$O$17</c:f>
              <c:strCache>
                <c:ptCount val="10"/>
                <c:pt idx="0">
                  <c:v>2005-06</c:v>
                </c:pt>
                <c:pt idx="1">
                  <c:v>2006-07</c:v>
                </c:pt>
                <c:pt idx="2">
                  <c:v>2007-08</c:v>
                </c:pt>
                <c:pt idx="3">
                  <c:v>2008-09</c:v>
                </c:pt>
                <c:pt idx="4">
                  <c:v>2009-10</c:v>
                </c:pt>
                <c:pt idx="5">
                  <c:v>2010-11</c:v>
                </c:pt>
                <c:pt idx="6">
                  <c:v>2011-12</c:v>
                </c:pt>
                <c:pt idx="7">
                  <c:v>2012-13</c:v>
                </c:pt>
                <c:pt idx="8">
                  <c:v>2013-14</c:v>
                </c:pt>
                <c:pt idx="9">
                  <c:v>2014-15</c:v>
                </c:pt>
              </c:strCache>
            </c:strRef>
          </c:cat>
          <c:val>
            <c:numRef>
              <c:f>'[Chart in Microsoft Word]2003-2004'!$Q$8:$Q$17</c:f>
              <c:numCache>
                <c:formatCode>"$"#,##0</c:formatCode>
                <c:ptCount val="10"/>
                <c:pt idx="0">
                  <c:v>4440562.55</c:v>
                </c:pt>
                <c:pt idx="1">
                  <c:v>5084613.3</c:v>
                </c:pt>
                <c:pt idx="2">
                  <c:v>4582891.97</c:v>
                </c:pt>
                <c:pt idx="3">
                  <c:v>5086688.82</c:v>
                </c:pt>
                <c:pt idx="4">
                  <c:v>6111749.4199999999</c:v>
                </c:pt>
                <c:pt idx="5">
                  <c:v>5982990.7599999998</c:v>
                </c:pt>
                <c:pt idx="6">
                  <c:v>6564270</c:v>
                </c:pt>
                <c:pt idx="7">
                  <c:v>6922517.5</c:v>
                </c:pt>
                <c:pt idx="8" formatCode="_(* #,##0_);_(* \(#,##0\);_(* &quot;-&quot;_);_(@_)">
                  <c:v>6314232.9299999997</c:v>
                </c:pt>
                <c:pt idx="9" formatCode="_(* #,##0_);_(* \(#,##0\);_(* &quot;-&quot;_);_(@_)">
                  <c:v>6255540</c:v>
                </c:pt>
              </c:numCache>
            </c:numRef>
          </c:val>
          <c:smooth val="0"/>
        </c:ser>
        <c:dLbls>
          <c:showLegendKey val="0"/>
          <c:showVal val="0"/>
          <c:showCatName val="0"/>
          <c:showSerName val="0"/>
          <c:showPercent val="0"/>
          <c:showBubbleSize val="0"/>
        </c:dLbls>
        <c:marker val="1"/>
        <c:smooth val="0"/>
        <c:axId val="81563648"/>
        <c:axId val="81484032"/>
      </c:lineChart>
      <c:catAx>
        <c:axId val="40435712"/>
        <c:scaling>
          <c:orientation val="minMax"/>
        </c:scaling>
        <c:delete val="0"/>
        <c:axPos val="b"/>
        <c:numFmt formatCode="General" sourceLinked="0"/>
        <c:majorTickMark val="out"/>
        <c:minorTickMark val="none"/>
        <c:tickLblPos val="nextTo"/>
        <c:crossAx val="40438784"/>
        <c:crosses val="autoZero"/>
        <c:auto val="1"/>
        <c:lblAlgn val="ctr"/>
        <c:lblOffset val="100"/>
        <c:noMultiLvlLbl val="0"/>
      </c:catAx>
      <c:valAx>
        <c:axId val="40438784"/>
        <c:scaling>
          <c:orientation val="minMax"/>
          <c:max val="400000"/>
        </c:scaling>
        <c:delete val="0"/>
        <c:axPos val="l"/>
        <c:majorGridlines/>
        <c:numFmt formatCode="_(* #,##0_);_(* \(#,##0\);_(* &quot;-&quot;_);_(@_)" sourceLinked="1"/>
        <c:majorTickMark val="out"/>
        <c:minorTickMark val="none"/>
        <c:tickLblPos val="nextTo"/>
        <c:crossAx val="40435712"/>
        <c:crosses val="autoZero"/>
        <c:crossBetween val="between"/>
      </c:valAx>
      <c:valAx>
        <c:axId val="81484032"/>
        <c:scaling>
          <c:orientation val="minMax"/>
        </c:scaling>
        <c:delete val="0"/>
        <c:axPos val="r"/>
        <c:numFmt formatCode="&quot;$&quot;#,##0" sourceLinked="1"/>
        <c:majorTickMark val="out"/>
        <c:minorTickMark val="none"/>
        <c:tickLblPos val="nextTo"/>
        <c:crossAx val="81563648"/>
        <c:crosses val="max"/>
        <c:crossBetween val="between"/>
      </c:valAx>
      <c:catAx>
        <c:axId val="81563648"/>
        <c:scaling>
          <c:orientation val="minMax"/>
        </c:scaling>
        <c:delete val="1"/>
        <c:axPos val="b"/>
        <c:numFmt formatCode="General" sourceLinked="1"/>
        <c:majorTickMark val="out"/>
        <c:minorTickMark val="none"/>
        <c:tickLblPos val="nextTo"/>
        <c:crossAx val="81484032"/>
        <c:crosses val="autoZero"/>
        <c:auto val="1"/>
        <c:lblAlgn val="ctr"/>
        <c:lblOffset val="100"/>
        <c:noMultiLvlLbl val="0"/>
      </c:catAx>
    </c:plotArea>
    <c:legend>
      <c:legendPos val="r"/>
      <c:layout>
        <c:manualLayout>
          <c:xMode val="edge"/>
          <c:yMode val="edge"/>
          <c:x val="0.107266293520539"/>
          <c:y val="3.6922859390051001E-2"/>
          <c:w val="0.38864827329748802"/>
          <c:h val="0.110511036719322"/>
        </c:manualLayout>
      </c:layout>
      <c:overlay val="0"/>
      <c:txPr>
        <a:bodyPr/>
        <a:lstStyle/>
        <a:p>
          <a:pPr>
            <a:defRPr sz="800"/>
          </a:pPr>
          <a:endParaRPr lang="en-US"/>
        </a:p>
      </c:txPr>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'[RFLTrustdata.xlsx]Trust Account'!$G$5</c:f>
              <c:strCache>
                <c:ptCount val="1"/>
                <c:pt idx="0">
                  <c:v>Administration costs</c:v>
                </c:pt>
              </c:strCache>
            </c:strRef>
          </c:tx>
          <c:spPr>
            <a:solidFill>
              <a:srgbClr val="3366FF"/>
            </a:solidFill>
            <a:ln w="25400">
              <a:noFill/>
            </a:ln>
          </c:spPr>
          <c:dLbls>
            <c:spPr>
              <a:noFill/>
              <a:ln>
                <a:noFill/>
              </a:ln>
              <a:effectLst/>
            </c:spPr>
            <c:txPr>
              <a:bodyPr/>
              <a:lstStyle/>
              <a:p>
                <a:pPr>
                  <a:defRPr sz="800">
                    <a:solidFill>
                      <a:schemeClr val="bg1"/>
                    </a:solidFill>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'[RFLTrustdata.xlsx]Trust Account'!$H$4:$N$4</c:f>
              <c:strCache>
                <c:ptCount val="7"/>
                <c:pt idx="0">
                  <c:v>2008-09</c:v>
                </c:pt>
                <c:pt idx="1">
                  <c:v>2009-10</c:v>
                </c:pt>
                <c:pt idx="2">
                  <c:v>2010-11</c:v>
                </c:pt>
                <c:pt idx="3">
                  <c:v>2011-12</c:v>
                </c:pt>
                <c:pt idx="4">
                  <c:v>2012-13</c:v>
                </c:pt>
                <c:pt idx="5">
                  <c:v>2013-14</c:v>
                </c:pt>
                <c:pt idx="6">
                  <c:v>2014-15</c:v>
                </c:pt>
              </c:strCache>
            </c:strRef>
          </c:cat>
          <c:val>
            <c:numRef>
              <c:f>'[RFLTrustdata.xlsx]Trust Account'!$H$5:$N$5</c:f>
              <c:numCache>
                <c:formatCode>"$"#,##0;[Red]"$"#,##0</c:formatCode>
                <c:ptCount val="7"/>
                <c:pt idx="0">
                  <c:v>632791.23000000033</c:v>
                </c:pt>
                <c:pt idx="1">
                  <c:v>872125.18999999762</c:v>
                </c:pt>
                <c:pt idx="2">
                  <c:v>794632.85999999987</c:v>
                </c:pt>
                <c:pt idx="3">
                  <c:v>756417.78999999724</c:v>
                </c:pt>
                <c:pt idx="4">
                  <c:v>805558</c:v>
                </c:pt>
                <c:pt idx="5">
                  <c:v>1025175.77</c:v>
                </c:pt>
                <c:pt idx="6">
                  <c:v>1148380.01</c:v>
                </c:pt>
              </c:numCache>
            </c:numRef>
          </c:val>
        </c:ser>
        <c:ser>
          <c:idx val="1"/>
          <c:order val="1"/>
          <c:tx>
            <c:strRef>
              <c:f>'[RFLTrustdata.xlsx]Trust Account'!$G$6</c:f>
              <c:strCache>
                <c:ptCount val="1"/>
                <c:pt idx="0">
                  <c:v>Enforcement and Education</c:v>
                </c:pt>
              </c:strCache>
            </c:strRef>
          </c:tx>
          <c:spPr>
            <a:solidFill>
              <a:schemeClr val="tx2">
                <a:lumMod val="40000"/>
                <a:lumOff val="60000"/>
              </a:schemeClr>
            </a:solidFill>
            <a:ln w="25400">
              <a:noFill/>
            </a:ln>
          </c:spPr>
          <c:dLbls>
            <c:spPr>
              <a:noFill/>
              <a:ln>
                <a:noFill/>
              </a:ln>
              <a:effectLst/>
            </c:spPr>
            <c:txPr>
              <a:bodyPr/>
              <a:lstStyle/>
              <a:p>
                <a:pPr>
                  <a:defRPr sz="1000">
                    <a:solidFill>
                      <a:schemeClr val="bg1"/>
                    </a:solidFill>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'[RFLTrustdata.xlsx]Trust Account'!$H$4:$N$4</c:f>
              <c:strCache>
                <c:ptCount val="7"/>
                <c:pt idx="0">
                  <c:v>2008-09</c:v>
                </c:pt>
                <c:pt idx="1">
                  <c:v>2009-10</c:v>
                </c:pt>
                <c:pt idx="2">
                  <c:v>2010-11</c:v>
                </c:pt>
                <c:pt idx="3">
                  <c:v>2011-12</c:v>
                </c:pt>
                <c:pt idx="4">
                  <c:v>2012-13</c:v>
                </c:pt>
                <c:pt idx="5">
                  <c:v>2013-14</c:v>
                </c:pt>
                <c:pt idx="6">
                  <c:v>2014-15</c:v>
                </c:pt>
              </c:strCache>
            </c:strRef>
          </c:cat>
          <c:val>
            <c:numRef>
              <c:f>'[RFLTrustdata.xlsx]Trust Account'!$H$6:$N$6</c:f>
              <c:numCache>
                <c:formatCode>"$"#,##0;[Red]"$"#,##0</c:formatCode>
                <c:ptCount val="7"/>
                <c:pt idx="0">
                  <c:v>1030391.36</c:v>
                </c:pt>
                <c:pt idx="1">
                  <c:v>1061693.1599999999</c:v>
                </c:pt>
                <c:pt idx="2">
                  <c:v>1537826</c:v>
                </c:pt>
                <c:pt idx="3">
                  <c:v>2026900</c:v>
                </c:pt>
                <c:pt idx="4">
                  <c:v>2076600</c:v>
                </c:pt>
                <c:pt idx="5">
                  <c:v>2128515</c:v>
                </c:pt>
                <c:pt idx="6">
                  <c:v>2002094.71</c:v>
                </c:pt>
              </c:numCache>
            </c:numRef>
          </c:val>
        </c:ser>
        <c:ser>
          <c:idx val="2"/>
          <c:order val="2"/>
          <c:tx>
            <c:strRef>
              <c:f>'[RFLTrustdata.xlsx]Trust Account'!$G$7</c:f>
              <c:strCache>
                <c:ptCount val="1"/>
                <c:pt idx="0">
                  <c:v>Sales commissions</c:v>
                </c:pt>
              </c:strCache>
            </c:strRef>
          </c:tx>
          <c:spPr>
            <a:solidFill>
              <a:schemeClr val="tx2"/>
            </a:solidFill>
            <a:ln w="25400">
              <a:noFill/>
            </a:ln>
          </c:spPr>
          <c:dLbls>
            <c:dLbl>
              <c:idx val="0"/>
              <c:layout>
                <c:manualLayout>
                  <c:x val="6.2042223179663999E-2"/>
                  <c:y val="-7.1942446043166399E-3"/>
                </c:manualLayout>
              </c:layout>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a:lstStyle/>
              <a:p>
                <a:pPr>
                  <a:defRPr sz="1000">
                    <a:solidFill>
                      <a:schemeClr val="bg1"/>
                    </a:solidFill>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'[RFLTrustdata.xlsx]Trust Account'!$H$4:$N$4</c:f>
              <c:strCache>
                <c:ptCount val="7"/>
                <c:pt idx="0">
                  <c:v>2008-09</c:v>
                </c:pt>
                <c:pt idx="1">
                  <c:v>2009-10</c:v>
                </c:pt>
                <c:pt idx="2">
                  <c:v>2010-11</c:v>
                </c:pt>
                <c:pt idx="3">
                  <c:v>2011-12</c:v>
                </c:pt>
                <c:pt idx="4">
                  <c:v>2012-13</c:v>
                </c:pt>
                <c:pt idx="5">
                  <c:v>2013-14</c:v>
                </c:pt>
                <c:pt idx="6">
                  <c:v>2014-15</c:v>
                </c:pt>
              </c:strCache>
            </c:strRef>
          </c:cat>
          <c:val>
            <c:numRef>
              <c:f>'[RFLTrustdata.xlsx]Trust Account'!$H$7:$N$7</c:f>
              <c:numCache>
                <c:formatCode>"$"#,##0;[Red]"$"#,##0</c:formatCode>
                <c:ptCount val="7"/>
                <c:pt idx="0">
                  <c:v>241714.4</c:v>
                </c:pt>
                <c:pt idx="1">
                  <c:v>256273.32</c:v>
                </c:pt>
                <c:pt idx="2">
                  <c:v>280204.45</c:v>
                </c:pt>
                <c:pt idx="3">
                  <c:v>261826.37</c:v>
                </c:pt>
                <c:pt idx="4">
                  <c:v>258097</c:v>
                </c:pt>
                <c:pt idx="5">
                  <c:v>249522.67</c:v>
                </c:pt>
                <c:pt idx="6">
                  <c:v>213759.25</c:v>
                </c:pt>
              </c:numCache>
            </c:numRef>
          </c:val>
        </c:ser>
        <c:ser>
          <c:idx val="3"/>
          <c:order val="3"/>
          <c:tx>
            <c:strRef>
              <c:f>'[RFLTrustdata.xlsx]Trust Account'!$G$8</c:f>
              <c:strCache>
                <c:ptCount val="1"/>
                <c:pt idx="0">
                  <c:v>Grants</c:v>
                </c:pt>
              </c:strCache>
            </c:strRef>
          </c:tx>
          <c:spPr>
            <a:solidFill>
              <a:schemeClr val="accent1"/>
            </a:solidFill>
            <a:ln w="25400">
              <a:noFill/>
            </a:ln>
          </c:spPr>
          <c:dLbls>
            <c:spPr>
              <a:noFill/>
              <a:ln>
                <a:noFill/>
              </a:ln>
              <a:effectLst/>
            </c:spPr>
            <c:txPr>
              <a:bodyPr/>
              <a:lstStyle/>
              <a:p>
                <a:pPr>
                  <a:defRPr sz="1400">
                    <a:solidFill>
                      <a:schemeClr val="bg1"/>
                    </a:solidFill>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'[RFLTrustdata.xlsx]Trust Account'!$H$4:$N$4</c:f>
              <c:strCache>
                <c:ptCount val="7"/>
                <c:pt idx="0">
                  <c:v>2008-09</c:v>
                </c:pt>
                <c:pt idx="1">
                  <c:v>2009-10</c:v>
                </c:pt>
                <c:pt idx="2">
                  <c:v>2010-11</c:v>
                </c:pt>
                <c:pt idx="3">
                  <c:v>2011-12</c:v>
                </c:pt>
                <c:pt idx="4">
                  <c:v>2012-13</c:v>
                </c:pt>
                <c:pt idx="5">
                  <c:v>2013-14</c:v>
                </c:pt>
                <c:pt idx="6">
                  <c:v>2014-15</c:v>
                </c:pt>
              </c:strCache>
            </c:strRef>
          </c:cat>
          <c:val>
            <c:numRef>
              <c:f>'[RFLTrustdata.xlsx]Trust Account'!$H$8:$N$8</c:f>
              <c:numCache>
                <c:formatCode>"$"#,##0;[Red]"$"#,##0</c:formatCode>
                <c:ptCount val="7"/>
                <c:pt idx="0">
                  <c:v>1373105.9</c:v>
                </c:pt>
                <c:pt idx="1">
                  <c:v>2275961.83</c:v>
                </c:pt>
                <c:pt idx="2">
                  <c:v>2872424.95</c:v>
                </c:pt>
                <c:pt idx="3">
                  <c:v>3579195.21</c:v>
                </c:pt>
                <c:pt idx="4">
                  <c:v>4759915</c:v>
                </c:pt>
                <c:pt idx="5">
                  <c:v>2858788.28</c:v>
                </c:pt>
                <c:pt idx="6">
                  <c:v>3713418.5</c:v>
                </c:pt>
              </c:numCache>
            </c:numRef>
          </c:val>
        </c:ser>
        <c:dLbls>
          <c:showLegendKey val="0"/>
          <c:showVal val="1"/>
          <c:showCatName val="0"/>
          <c:showSerName val="0"/>
          <c:showPercent val="0"/>
          <c:showBubbleSize val="0"/>
        </c:dLbls>
        <c:axId val="235739776"/>
        <c:axId val="256831872"/>
      </c:areaChart>
      <c:catAx>
        <c:axId val="235739776"/>
        <c:scaling>
          <c:orientation val="minMax"/>
        </c:scaling>
        <c:delete val="0"/>
        <c:axPos val="b"/>
        <c:numFmt formatCode="General" sourceLinked="1"/>
        <c:majorTickMark val="none"/>
        <c:minorTickMark val="none"/>
        <c:tickLblPos val="nextTo"/>
        <c:spPr>
          <a:ln w="3175">
            <a:solidFill>
              <a:srgbClr val="808080"/>
            </a:solidFill>
            <a:prstDash val="solid"/>
          </a:ln>
        </c:spPr>
        <c:txPr>
          <a:bodyPr rot="0" vert="horz"/>
          <a:lstStyle/>
          <a:p>
            <a:pPr>
              <a:defRPr/>
            </a:pPr>
            <a:endParaRPr lang="en-US"/>
          </a:p>
        </c:txPr>
        <c:crossAx val="256831872"/>
        <c:crosses val="autoZero"/>
        <c:auto val="0"/>
        <c:lblAlgn val="ctr"/>
        <c:lblOffset val="100"/>
        <c:tickLblSkip val="1"/>
        <c:tickMarkSkip val="1"/>
        <c:noMultiLvlLbl val="0"/>
      </c:catAx>
      <c:valAx>
        <c:axId val="256831872"/>
        <c:scaling>
          <c:orientation val="minMax"/>
        </c:scaling>
        <c:delete val="0"/>
        <c:axPos val="l"/>
        <c:majorGridlines>
          <c:spPr>
            <a:ln w="3175">
              <a:solidFill>
                <a:srgbClr val="808080"/>
              </a:solidFill>
              <a:prstDash val="solid"/>
            </a:ln>
          </c:spPr>
        </c:majorGridlines>
        <c:numFmt formatCode="&quot;$&quot;#,##0;[Red]&quot;$&quot;#,##0" sourceLinked="1"/>
        <c:majorTickMark val="none"/>
        <c:minorTickMark val="none"/>
        <c:tickLblPos val="nextTo"/>
        <c:spPr>
          <a:ln w="3175">
            <a:solidFill>
              <a:srgbClr val="808080"/>
            </a:solidFill>
            <a:prstDash val="solid"/>
          </a:ln>
        </c:spPr>
        <c:txPr>
          <a:bodyPr rot="0" vert="horz"/>
          <a:lstStyle/>
          <a:p>
            <a:pPr>
              <a:defRPr/>
            </a:pPr>
            <a:endParaRPr lang="en-US"/>
          </a:p>
        </c:txPr>
        <c:crossAx val="235739776"/>
        <c:crosses val="autoZero"/>
        <c:crossBetween val="midCat"/>
      </c:valAx>
      <c:spPr>
        <a:solidFill>
          <a:srgbClr val="FFFFFF"/>
        </a:solidFill>
        <a:ln w="25400">
          <a:noFill/>
        </a:ln>
      </c:spPr>
    </c:plotArea>
    <c:plotVisOnly val="1"/>
    <c:dispBlanksAs val="zero"/>
    <c:showDLblsOverMax val="0"/>
  </c:chart>
  <c:spPr>
    <a:solidFill>
      <a:srgbClr val="FFFFFF"/>
    </a:solidFill>
    <a:ln w="12700">
      <a:noFill/>
      <a:prstDash val="solid"/>
    </a:ln>
  </c:spPr>
  <c:txPr>
    <a:bodyPr/>
    <a:lstStyle/>
    <a:p>
      <a:pPr>
        <a:defRPr sz="1000" b="1"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3 year</c:v>
          </c:tx>
          <c:spPr>
            <a:solidFill>
              <a:srgbClr val="BAC3CE"/>
            </a:solidFill>
          </c:spPr>
          <c:invertIfNegative val="0"/>
          <c:cat>
            <c:strRef>
              <c:f>Sheet1!$I$4:$U$4</c:f>
              <c:strCache>
                <c:ptCount val="13"/>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strCache>
            </c:strRef>
          </c:cat>
          <c:val>
            <c:numRef>
              <c:f>Sheet1!$I$5:$U$5</c:f>
              <c:numCache>
                <c:formatCode>#,##0</c:formatCode>
                <c:ptCount val="13"/>
                <c:pt idx="0">
                  <c:v>3746</c:v>
                </c:pt>
                <c:pt idx="1">
                  <c:v>23807</c:v>
                </c:pt>
                <c:pt idx="2">
                  <c:v>17513</c:v>
                </c:pt>
                <c:pt idx="3">
                  <c:v>18195</c:v>
                </c:pt>
                <c:pt idx="4">
                  <c:v>29081</c:v>
                </c:pt>
                <c:pt idx="5">
                  <c:v>27909</c:v>
                </c:pt>
                <c:pt idx="6">
                  <c:v>31031</c:v>
                </c:pt>
                <c:pt idx="7">
                  <c:v>36627</c:v>
                </c:pt>
                <c:pt idx="8" formatCode="_-* #,##0_-;\-* #,##0_-;_-* &quot;-&quot;??_-;_-@_-">
                  <c:v>33574</c:v>
                </c:pt>
                <c:pt idx="9" formatCode="_-* #,##0_-;\-* #,##0_-;_-* &quot;-&quot;??_-;_-@_-">
                  <c:v>34699</c:v>
                </c:pt>
                <c:pt idx="10" formatCode="General">
                  <c:v>41700</c:v>
                </c:pt>
                <c:pt idx="11" formatCode="General">
                  <c:v>44500</c:v>
                </c:pt>
                <c:pt idx="12" formatCode="General">
                  <c:v>47200</c:v>
                </c:pt>
              </c:numCache>
            </c:numRef>
          </c:val>
        </c:ser>
        <c:ser>
          <c:idx val="1"/>
          <c:order val="1"/>
          <c:tx>
            <c:v>1 year</c:v>
          </c:tx>
          <c:spPr>
            <a:solidFill>
              <a:schemeClr val="accent1"/>
            </a:solidFill>
          </c:spPr>
          <c:invertIfNegative val="0"/>
          <c:cat>
            <c:strRef>
              <c:f>Sheet1!$I$4:$U$4</c:f>
              <c:strCache>
                <c:ptCount val="13"/>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strCache>
            </c:strRef>
          </c:cat>
          <c:val>
            <c:numRef>
              <c:f>Sheet1!$I$6:$U$6</c:f>
              <c:numCache>
                <c:formatCode>#,##0</c:formatCode>
                <c:ptCount val="13"/>
                <c:pt idx="0">
                  <c:v>172663</c:v>
                </c:pt>
                <c:pt idx="1">
                  <c:v>148599</c:v>
                </c:pt>
                <c:pt idx="2">
                  <c:v>141312</c:v>
                </c:pt>
                <c:pt idx="3">
                  <c:v>136555</c:v>
                </c:pt>
                <c:pt idx="4">
                  <c:v>139323</c:v>
                </c:pt>
                <c:pt idx="5">
                  <c:v>136121</c:v>
                </c:pt>
                <c:pt idx="6">
                  <c:v>145599</c:v>
                </c:pt>
                <c:pt idx="7">
                  <c:v>143421</c:v>
                </c:pt>
                <c:pt idx="8" formatCode="_-* #,##0_-;\-* #,##0_-;_-* &quot;-&quot;??_-;_-@_-">
                  <c:v>127371</c:v>
                </c:pt>
                <c:pt idx="9" formatCode="_-* #,##0_-;\-* #,##0_-;_-* &quot;-&quot;??_-;_-@_-">
                  <c:v>122692</c:v>
                </c:pt>
                <c:pt idx="10" formatCode="General">
                  <c:v>122000</c:v>
                </c:pt>
                <c:pt idx="11" formatCode="General">
                  <c:v>119000</c:v>
                </c:pt>
                <c:pt idx="12" formatCode="General">
                  <c:v>116000</c:v>
                </c:pt>
              </c:numCache>
            </c:numRef>
          </c:val>
        </c:ser>
        <c:ser>
          <c:idx val="2"/>
          <c:order val="2"/>
          <c:tx>
            <c:v>28 days</c:v>
          </c:tx>
          <c:spPr>
            <a:solidFill>
              <a:schemeClr val="tx2"/>
            </a:solidFill>
          </c:spPr>
          <c:invertIfNegative val="0"/>
          <c:cat>
            <c:strRef>
              <c:f>Sheet1!$I$4:$U$4</c:f>
              <c:strCache>
                <c:ptCount val="13"/>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strCache>
            </c:strRef>
          </c:cat>
          <c:val>
            <c:numRef>
              <c:f>Sheet1!$I$7:$U$7</c:f>
              <c:numCache>
                <c:formatCode>#,##0</c:formatCode>
                <c:ptCount val="13"/>
                <c:pt idx="0">
                  <c:v>15588</c:v>
                </c:pt>
                <c:pt idx="1">
                  <c:v>16808</c:v>
                </c:pt>
                <c:pt idx="2">
                  <c:v>19914</c:v>
                </c:pt>
                <c:pt idx="3">
                  <c:v>23203</c:v>
                </c:pt>
                <c:pt idx="4">
                  <c:v>26055</c:v>
                </c:pt>
                <c:pt idx="5">
                  <c:v>27557</c:v>
                </c:pt>
                <c:pt idx="6">
                  <c:v>31506</c:v>
                </c:pt>
                <c:pt idx="7">
                  <c:v>29929</c:v>
                </c:pt>
                <c:pt idx="8" formatCode="_-* #,##0_-;\-* #,##0_-;_-* &quot;-&quot;??_-;_-@_-">
                  <c:v>29111</c:v>
                </c:pt>
                <c:pt idx="9" formatCode="_-* #,##0_-;\-* #,##0_-;_-* &quot;-&quot;??_-;_-@_-">
                  <c:v>28791</c:v>
                </c:pt>
                <c:pt idx="10" formatCode="General">
                  <c:v>34200</c:v>
                </c:pt>
                <c:pt idx="11" formatCode="General">
                  <c:v>36000</c:v>
                </c:pt>
                <c:pt idx="12" formatCode="General">
                  <c:v>37500</c:v>
                </c:pt>
              </c:numCache>
            </c:numRef>
          </c:val>
        </c:ser>
        <c:ser>
          <c:idx val="3"/>
          <c:order val="3"/>
          <c:tx>
            <c:v>2 days</c:v>
          </c:tx>
          <c:spPr>
            <a:solidFill>
              <a:schemeClr val="tx2">
                <a:lumMod val="40000"/>
                <a:lumOff val="60000"/>
              </a:schemeClr>
            </a:solidFill>
          </c:spPr>
          <c:invertIfNegative val="0"/>
          <c:cat>
            <c:strRef>
              <c:f>Sheet1!$I$4:$U$4</c:f>
              <c:strCache>
                <c:ptCount val="13"/>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strCache>
            </c:strRef>
          </c:cat>
          <c:val>
            <c:numRef>
              <c:f>Sheet1!$I$8:$U$8</c:f>
              <c:numCache>
                <c:formatCode>#,##0</c:formatCode>
                <c:ptCount val="13"/>
                <c:pt idx="0">
                  <c:v>44420</c:v>
                </c:pt>
                <c:pt idx="1">
                  <c:v>50633</c:v>
                </c:pt>
                <c:pt idx="2">
                  <c:v>57398</c:v>
                </c:pt>
                <c:pt idx="3">
                  <c:v>66306</c:v>
                </c:pt>
                <c:pt idx="4">
                  <c:v>76407</c:v>
                </c:pt>
                <c:pt idx="5">
                  <c:v>79192</c:v>
                </c:pt>
                <c:pt idx="6">
                  <c:v>95163</c:v>
                </c:pt>
                <c:pt idx="7">
                  <c:v>105205</c:v>
                </c:pt>
                <c:pt idx="8" formatCode="_-* #,##0_-;\-* #,##0_-;_-* &quot;-&quot;??_-;_-@_-">
                  <c:v>104407</c:v>
                </c:pt>
                <c:pt idx="9" formatCode="_-* #,##0_-;\-* #,##0_-;_-* &quot;-&quot;??_-;_-@_-">
                  <c:v>102316</c:v>
                </c:pt>
                <c:pt idx="10" formatCode="General">
                  <c:v>119000</c:v>
                </c:pt>
                <c:pt idx="11" formatCode="General">
                  <c:v>126000</c:v>
                </c:pt>
                <c:pt idx="12" formatCode="General">
                  <c:v>134000</c:v>
                </c:pt>
              </c:numCache>
            </c:numRef>
          </c:val>
        </c:ser>
        <c:dLbls>
          <c:showLegendKey val="0"/>
          <c:showVal val="0"/>
          <c:showCatName val="0"/>
          <c:showSerName val="0"/>
          <c:showPercent val="0"/>
          <c:showBubbleSize val="0"/>
        </c:dLbls>
        <c:gapWidth val="150"/>
        <c:axId val="285158400"/>
        <c:axId val="287703040"/>
      </c:barChart>
      <c:catAx>
        <c:axId val="285158400"/>
        <c:scaling>
          <c:orientation val="minMax"/>
        </c:scaling>
        <c:delete val="0"/>
        <c:axPos val="b"/>
        <c:numFmt formatCode="General" sourceLinked="0"/>
        <c:majorTickMark val="out"/>
        <c:minorTickMark val="none"/>
        <c:tickLblPos val="nextTo"/>
        <c:crossAx val="287703040"/>
        <c:crosses val="autoZero"/>
        <c:auto val="1"/>
        <c:lblAlgn val="ctr"/>
        <c:lblOffset val="100"/>
        <c:noMultiLvlLbl val="0"/>
      </c:catAx>
      <c:valAx>
        <c:axId val="287703040"/>
        <c:scaling>
          <c:orientation val="minMax"/>
        </c:scaling>
        <c:delete val="0"/>
        <c:axPos val="l"/>
        <c:majorGridlines/>
        <c:numFmt formatCode="#,##0" sourceLinked="1"/>
        <c:majorTickMark val="out"/>
        <c:minorTickMark val="none"/>
        <c:tickLblPos val="nextTo"/>
        <c:crossAx val="285158400"/>
        <c:crosses val="autoZero"/>
        <c:crossBetween val="between"/>
      </c:valAx>
    </c:plotArea>
    <c:legend>
      <c:legendPos val="r"/>
      <c:overlay val="0"/>
    </c:legend>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0.67229</cdr:x>
      <cdr:y>0.02892</cdr:y>
    </cdr:from>
    <cdr:to>
      <cdr:x>0.67229</cdr:x>
      <cdr:y>0.85939</cdr:y>
    </cdr:to>
    <cdr:cxnSp macro="">
      <cdr:nvCxnSpPr>
        <cdr:cNvPr id="2" name="Straight Connector 1"/>
        <cdr:cNvCxnSpPr/>
      </cdr:nvCxnSpPr>
      <cdr:spPr>
        <a:xfrm xmlns:a="http://schemas.openxmlformats.org/drawingml/2006/main">
          <a:off x="3543300" y="93133"/>
          <a:ext cx="0" cy="2674184"/>
        </a:xfrm>
        <a:prstGeom xmlns:a="http://schemas.openxmlformats.org/drawingml/2006/main" prst="line">
          <a:avLst/>
        </a:prstGeom>
        <a:ln xmlns:a="http://schemas.openxmlformats.org/drawingml/2006/main">
          <a:solidFill>
            <a:schemeClr val="accent2"/>
          </a:solidFill>
          <a:prstDash val="sysDash"/>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0.68252</cdr:x>
      <cdr:y>0.05358</cdr:y>
    </cdr:from>
    <cdr:to>
      <cdr:x>0.83637</cdr:x>
      <cdr:y>0.14198</cdr:y>
    </cdr:to>
    <cdr:sp macro="" textlink="">
      <cdr:nvSpPr>
        <cdr:cNvPr id="4" name="Text Box 3"/>
        <cdr:cNvSpPr txBox="1"/>
      </cdr:nvSpPr>
      <cdr:spPr>
        <a:xfrm xmlns:a="http://schemas.openxmlformats.org/drawingml/2006/main">
          <a:off x="3597216" y="172528"/>
          <a:ext cx="810883" cy="2846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800">
              <a:solidFill>
                <a:srgbClr val="C00000"/>
              </a:solidFill>
              <a:latin typeface="Arial" panose="020B0604020202020204" pitchFamily="34" charset="0"/>
              <a:cs typeface="Arial" panose="020B0604020202020204" pitchFamily="34" charset="0"/>
            </a:rPr>
            <a:t>Projections</a:t>
          </a:r>
        </a:p>
      </cdr:txBody>
    </cdr:sp>
  </cdr:relSizeAnchor>
  <cdr:relSizeAnchor xmlns:cdr="http://schemas.openxmlformats.org/drawingml/2006/chartDrawing">
    <cdr:from>
      <cdr:x>0.51703</cdr:x>
      <cdr:y>0.04257</cdr:y>
    </cdr:from>
    <cdr:to>
      <cdr:x>0.67088</cdr:x>
      <cdr:y>0.13097</cdr:y>
    </cdr:to>
    <cdr:sp macro="" textlink="">
      <cdr:nvSpPr>
        <cdr:cNvPr id="5" name="Text Box 1"/>
        <cdr:cNvSpPr txBox="1"/>
      </cdr:nvSpPr>
      <cdr:spPr>
        <a:xfrm xmlns:a="http://schemas.openxmlformats.org/drawingml/2006/main">
          <a:off x="2724989" y="137064"/>
          <a:ext cx="810883" cy="284672"/>
        </a:xfrm>
        <a:prstGeom xmlns:a="http://schemas.openxmlformats.org/drawingml/2006/main" prst="rect">
          <a:avLst/>
        </a:prstGeom>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79A6D-65E0-4552-82F0-FB56B1A7B1ED}">
  <ds:schemaRefs>
    <ds:schemaRef ds:uri="http://schemas.openxmlformats.org/officeDocument/2006/bibliography"/>
  </ds:schemaRefs>
</ds:datastoreItem>
</file>

<file path=customXml/itemProps2.xml><?xml version="1.0" encoding="utf-8"?>
<ds:datastoreItem xmlns:ds="http://schemas.openxmlformats.org/officeDocument/2006/customXml" ds:itemID="{128A27A6-F171-49DF-B497-9B6B967D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19548</Words>
  <Characters>111429</Characters>
  <Application>Microsoft Office Word</Application>
  <DocSecurity>8</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EPA Victoria</Company>
  <LinksUpToDate>false</LinksUpToDate>
  <CharactersWithSpaces>130716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Edney</dc:creator>
  <cp:lastModifiedBy>Lisa Clayworth</cp:lastModifiedBy>
  <cp:revision>3</cp:revision>
  <cp:lastPrinted>2016-02-25T04:53:00Z</cp:lastPrinted>
  <dcterms:created xsi:type="dcterms:W3CDTF">2016-05-12T03:24:00Z</dcterms:created>
  <dcterms:modified xsi:type="dcterms:W3CDTF">2016-05-12T05:16:00Z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80b7aefa-f4c7-44c2-a121-fe6b5b8363d3</vt:lpwstr>
  </property>
  <property fmtid="{D5CDD505-2E9C-101B-9397-08002B2CF9AE}" pid="3" name="PSPFClassification">
    <vt:lpwstr>Do Not Mark</vt:lpwstr>
  </property>
</Properties>
</file>