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2A5D" w:rsidRPr="00160290" w:rsidRDefault="003448FA" w:rsidP="00F7154D">
      <w:r>
        <w:rPr>
          <w:noProof/>
        </w:rPr>
        <mc:AlternateContent>
          <mc:Choice Requires="wps">
            <w:drawing>
              <wp:anchor distT="0" distB="0" distL="114300" distR="114300" simplePos="0" relativeHeight="251658240" behindDoc="0" locked="1" layoutInCell="1" allowOverlap="1">
                <wp:simplePos x="0" y="0"/>
                <wp:positionH relativeFrom="page">
                  <wp:posOffset>363855</wp:posOffset>
                </wp:positionH>
                <wp:positionV relativeFrom="page">
                  <wp:posOffset>2354580</wp:posOffset>
                </wp:positionV>
                <wp:extent cx="3182620" cy="4755515"/>
                <wp:effectExtent l="0" t="0" r="0" b="6985"/>
                <wp:wrapNone/>
                <wp:docPr id="43" name="OverlayLef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82620" cy="4755515"/>
                        </a:xfrm>
                        <a:custGeom>
                          <a:avLst/>
                          <a:gdLst>
                            <a:gd name="T0" fmla="*/ 1747 w 5941"/>
                            <a:gd name="T1" fmla="*/ 0 h 8858"/>
                            <a:gd name="T2" fmla="*/ 0 w 5941"/>
                            <a:gd name="T3" fmla="*/ 0 h 8858"/>
                            <a:gd name="T4" fmla="*/ 0 w 5941"/>
                            <a:gd name="T5" fmla="*/ 8858 h 8858"/>
                            <a:gd name="T6" fmla="*/ 5941 w 5941"/>
                            <a:gd name="T7" fmla="*/ 8858 h 8858"/>
                            <a:gd name="T8" fmla="*/ 1747 w 5941"/>
                            <a:gd name="T9" fmla="*/ 0 h 8858"/>
                          </a:gdLst>
                          <a:ahLst/>
                          <a:cxnLst>
                            <a:cxn ang="0">
                              <a:pos x="T0" y="T1"/>
                            </a:cxn>
                            <a:cxn ang="0">
                              <a:pos x="T2" y="T3"/>
                            </a:cxn>
                            <a:cxn ang="0">
                              <a:pos x="T4" y="T5"/>
                            </a:cxn>
                            <a:cxn ang="0">
                              <a:pos x="T6" y="T7"/>
                            </a:cxn>
                            <a:cxn ang="0">
                              <a:pos x="T8" y="T9"/>
                            </a:cxn>
                          </a:cxnLst>
                          <a:rect l="0" t="0" r="r" b="b"/>
                          <a:pathLst>
                            <a:path w="5941" h="8858">
                              <a:moveTo>
                                <a:pt x="1747" y="0"/>
                              </a:moveTo>
                              <a:lnTo>
                                <a:pt x="0" y="0"/>
                              </a:lnTo>
                              <a:lnTo>
                                <a:pt x="0" y="8858"/>
                              </a:lnTo>
                              <a:lnTo>
                                <a:pt x="5941" y="8858"/>
                              </a:lnTo>
                              <a:lnTo>
                                <a:pt x="1747" y="0"/>
                              </a:lnTo>
                              <a:close/>
                            </a:path>
                          </a:pathLst>
                        </a:custGeom>
                        <a:solidFill>
                          <a:srgbClr val="201547">
                            <a:alpha val="60000"/>
                          </a:srgbClr>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OverlayLeft" o:spid="_x0000_s1026" style="position:absolute;margin-left:28.65pt;margin-top:185.4pt;width:250.6pt;height:374.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coordsize="5941,8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" path="m1747,l,,,8858r5941,l1747,xe" fillcolor="#201547" stroked="f">
                <v:fill opacity="39321f"/>
                <v:path arrowok="t" o:connecttype="custom" o:connectlocs="935876,0;0,0;0,4755515;3182620,4755515;935876,0" o:connectangles="0,0,0,0,0"/>
                <w10:wrap anchorx="page" anchory="page"/>
                <w10:anchorlock/>
              </v:shape>
            </w:pict>
          </mc:Fallback>
        </mc:AlternateContent>
      </w:r>
      <w:r>
        <w:rPr>
          <w:noProof/>
        </w:rPr>
        <mc:AlternateContent>
          <mc:Choice Requires="wps">
            <w:drawing>
              <wp:anchor distT="0" distB="0" distL="114300" distR="114300" simplePos="0" relativeHeight="251660288" behindDoc="0" locked="1" layoutInCell="1" allowOverlap="1">
                <wp:simplePos x="0" y="0"/>
                <wp:positionH relativeFrom="page">
                  <wp:posOffset>3543300</wp:posOffset>
                </wp:positionH>
                <wp:positionV relativeFrom="page">
                  <wp:posOffset>7107555</wp:posOffset>
                </wp:positionV>
                <wp:extent cx="1889760" cy="1994535"/>
                <wp:effectExtent l="0" t="0" r="0" b="5715"/>
                <wp:wrapNone/>
                <wp:docPr id="15" name="TriangleBottom"/>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89760" cy="1994535"/>
                        </a:xfrm>
                        <a:custGeom>
                          <a:avLst/>
                          <a:gdLst>
                            <a:gd name="T0" fmla="*/ 1745 w 3496"/>
                            <a:gd name="T1" fmla="*/ 3697 h 3697"/>
                            <a:gd name="T2" fmla="*/ 0 w 3496"/>
                            <a:gd name="T3" fmla="*/ 0 h 3697"/>
                            <a:gd name="T4" fmla="*/ 3496 w 3496"/>
                            <a:gd name="T5" fmla="*/ 0 h 3697"/>
                            <a:gd name="T6" fmla="*/ 1745 w 3496"/>
                            <a:gd name="T7" fmla="*/ 3697 h 3697"/>
                          </a:gdLst>
                          <a:ahLst/>
                          <a:cxnLst>
                            <a:cxn ang="0">
                              <a:pos x="T0" y="T1"/>
                            </a:cxn>
                            <a:cxn ang="0">
                              <a:pos x="T2" y="T3"/>
                            </a:cxn>
                            <a:cxn ang="0">
                              <a:pos x="T4" y="T5"/>
                            </a:cxn>
                            <a:cxn ang="0">
                              <a:pos x="T6" y="T7"/>
                            </a:cxn>
                          </a:cxnLst>
                          <a:rect l="0" t="0" r="r" b="b"/>
                          <a:pathLst>
                            <a:path w="3496" h="3697">
                              <a:moveTo>
                                <a:pt x="1745" y="3697"/>
                              </a:moveTo>
                              <a:lnTo>
                                <a:pt x="0" y="0"/>
                              </a:lnTo>
                              <a:lnTo>
                                <a:pt x="3496" y="0"/>
                              </a:lnTo>
                              <a:lnTo>
                                <a:pt x="1745" y="3697"/>
                              </a:lnTo>
                              <a:close/>
                            </a:path>
                          </a:pathLst>
                        </a:custGeom>
                        <a:solidFill>
                          <a:srgbClr val="797391"/>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riangleBottom" o:spid="_x0000_s1026" style="position:absolute;margin-left:279pt;margin-top:559.65pt;width:148.8pt;height:157.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coordsize="3496,36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" path="m1745,3697l,,3496,,1745,3697xe" fillcolor="#797391" stroked="f">
                <v:path arrowok="t" o:connecttype="custom" o:connectlocs="943258,1994535;0,0;1889760,0;943258,1994535" o:connectangles="0,0,0,0"/>
                <w10:wrap anchorx="page" anchory="page"/>
                <w10:anchorlock/>
              </v:shape>
            </w:pict>
          </mc:Fallback>
        </mc:AlternateContent>
      </w:r>
      <w:r>
        <w:rPr>
          <w:noProof/>
        </w:rPr>
        <mc:AlternateContent>
          <mc:Choice Requires="wps">
            <w:drawing>
              <wp:anchor distT="0" distB="0" distL="114300" distR="114300" simplePos="0" relativeHeight="251654144" behindDoc="0" locked="1" layoutInCell="1" allowOverlap="1">
                <wp:simplePos x="0" y="0"/>
                <wp:positionH relativeFrom="page">
                  <wp:posOffset>360045</wp:posOffset>
                </wp:positionH>
                <wp:positionV relativeFrom="page">
                  <wp:posOffset>360045</wp:posOffset>
                </wp:positionV>
                <wp:extent cx="1889760" cy="1994535"/>
                <wp:effectExtent l="7620" t="7620" r="7620" b="7620"/>
                <wp:wrapNone/>
                <wp:docPr id="13" name="TriangleTop"/>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89760" cy="1994535"/>
                        </a:xfrm>
                        <a:custGeom>
                          <a:avLst/>
                          <a:gdLst>
                            <a:gd name="T0" fmla="*/ 943378 w 3496"/>
                            <a:gd name="T1" fmla="*/ 1994400 h 3697"/>
                            <a:gd name="T2" fmla="*/ 0 w 3496"/>
                            <a:gd name="T3" fmla="*/ 0 h 3697"/>
                            <a:gd name="T4" fmla="*/ 1890000 w 3496"/>
                            <a:gd name="T5" fmla="*/ 0 h 3697"/>
                            <a:gd name="T6" fmla="*/ 943378 w 3496"/>
                            <a:gd name="T7" fmla="*/ 1994400 h 3697"/>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496" h="3697">
                              <a:moveTo>
                                <a:pt x="1745" y="3697"/>
                              </a:moveTo>
                              <a:lnTo>
                                <a:pt x="0" y="0"/>
                              </a:lnTo>
                              <a:lnTo>
                                <a:pt x="3496" y="0"/>
                              </a:lnTo>
                              <a:lnTo>
                                <a:pt x="1745" y="3697"/>
                              </a:lnTo>
                              <a:close/>
                            </a:path>
                          </a:pathLst>
                        </a:custGeom>
                        <a:solidFill>
                          <a:srgbClr val="64266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riangleTop" o:spid="_x0000_s1026" style="position:absolute;margin-left:28.35pt;margin-top:28.35pt;width:148.8pt;height:157.0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coordsize="3496,36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" path="m1745,3697l,,3496,,1745,3697xe" fillcolor="#642667" stroked="f">
                <v:path arrowok="t" o:connecttype="custom" o:connectlocs="509942222,1075980688;0,0;1021637986,0;509942222,1075980688" o:connectangles="0,0,0,0"/>
                <w10:wrap anchorx="page" anchory="page"/>
                <w10:anchorlock/>
              </v:shape>
            </w:pict>
          </mc:Fallback>
        </mc:AlternateContent>
      </w:r>
      <w:r>
        <w:rPr>
          <w:noProof/>
        </w:rPr>
        <mc:AlternateContent>
          <mc:Choice Requires="wps">
            <w:drawing>
              <wp:anchor distT="0" distB="0" distL="114300" distR="114300" simplePos="0" relativeHeight="251648000" behindDoc="0" locked="1" layoutInCell="1" allowOverlap="1">
                <wp:simplePos x="0" y="0"/>
                <wp:positionH relativeFrom="page">
                  <wp:posOffset>0</wp:posOffset>
                </wp:positionH>
                <wp:positionV relativeFrom="page">
                  <wp:align>bottom</wp:align>
                </wp:positionV>
                <wp:extent cx="3848100" cy="636905"/>
                <wp:effectExtent l="0" t="0" r="0" b="0"/>
                <wp:wrapNone/>
                <wp:docPr id="12" name="WebAddress"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48100" cy="636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1DF3" w:rsidRPr="009F69FA" w:rsidRDefault="00011DF3" w:rsidP="00330302">
                            <w:pPr>
                              <w:pStyle w:val="xWeb"/>
                            </w:pPr>
                            <w:r w:rsidRPr="009F69FA">
                              <w:t>www.de</w:t>
                            </w:r>
                            <w:r>
                              <w:t>lw</w:t>
                            </w:r>
                            <w:r w:rsidRPr="009F69FA">
                              <w:t>p.vic.gov.au</w:t>
                            </w:r>
                          </w:p>
                        </w:txbxContent>
                      </wps:txbx>
                      <wps:bodyPr rot="0" spcFirstLastPara="0" vertOverflow="overflow" horzOverflow="overflow" vert="horz" wrap="square" lIns="72000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WebAddress" o:spid="_x0000_s1026" type="#_x0000_t202" style="position:absolute;margin-left:0;margin-top:0;width:303pt;height:50.15pt;z-index:251648000;visibility:hidden;mso-wrap-style:square;mso-width-percent:0;mso-height-percent:0;mso-wrap-distance-left:9pt;mso-wrap-distance-top:0;mso-wrap-distance-right:9pt;mso-wrap-distance-bottom:0;mso-position-horizontal:absolute;mso-position-horizontal-relative:page;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" filled="f" stroked="f" strokeweight=".5pt">
                <v:path arrowok="t"/>
                <v:textbox inset="20mm">
                  <w:txbxContent>
                    <w:p w:rsidR="00011DF3" w:rsidRPr="009F69FA" w:rsidRDefault="00011DF3" w:rsidP="00330302">
                      <w:pPr>
                        <w:pStyle w:val="xWeb"/>
                      </w:pPr>
                      <w:r w:rsidRPr="009F69FA">
                        <w:t>www.de</w:t>
                      </w:r>
                      <w:r>
                        <w:t>lw</w:t>
                      </w:r>
                      <w:r w:rsidRPr="009F69FA">
                        <w:t>p.vic.gov.au</w:t>
                      </w:r>
                    </w:p>
                  </w:txbxContent>
                </v:textbox>
                <w10:wrap anchorx="page" anchory="page"/>
                <w10:anchorlock/>
              </v:shape>
            </w:pict>
          </mc:Fallback>
        </mc:AlternateContent>
      </w:r>
      <w:r>
        <w:rPr>
          <w:noProof/>
        </w:rPr>
        <mc:AlternateContent>
          <mc:Choice Requires="wps">
            <w:drawing>
              <wp:anchor distT="0" distB="0" distL="114300" distR="114300" simplePos="0" relativeHeight="251643904" behindDoc="0" locked="1" layoutInCell="1" allowOverlap="1">
                <wp:simplePos x="0" y="0"/>
                <wp:positionH relativeFrom="page">
                  <wp:align>left</wp:align>
                </wp:positionH>
                <wp:positionV relativeFrom="page">
                  <wp:posOffset>8567420</wp:posOffset>
                </wp:positionV>
                <wp:extent cx="5554980" cy="370840"/>
                <wp:effectExtent l="0" t="0" r="0" b="0"/>
                <wp:wrapNone/>
                <wp:docPr id="11" name="CoverStatus" hidden="1" title="Watermark Document Statu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54980" cy="37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1DF3" w:rsidRPr="00271B90" w:rsidRDefault="00011DF3" w:rsidP="00A653F3">
                            <w:pPr>
                              <w:pStyle w:val="xCoverStatus"/>
                            </w:pPr>
                            <w:r>
                              <w:fldChar w:fldCharType="begin"/>
                            </w:r>
                            <w:r>
                              <w:instrText xml:space="preserve"> DOCPROPERTY  xStatus  \* MERGEFORMAT </w:instrText>
                            </w:r>
                            <w:r>
                              <w:fldChar w:fldCharType="end"/>
                            </w:r>
                          </w:p>
                        </w:txbxContent>
                      </wps:txbx>
                      <wps:bodyPr rot="0" spcFirstLastPara="0" vertOverflow="overflow" horzOverflow="overflow" vert="horz" wrap="square" lIns="720000" tIns="0" rIns="3600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overStatus" o:spid="_x0000_s1027" type="#_x0000_t202" alt="Title: Watermark Document Status" style="position:absolute;margin-left:0;margin-top:674.6pt;width:437.4pt;height:29.2pt;z-index:251643904;visibility:hidden;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" filled="f" stroked="f" strokeweight=".5pt">
                <v:path arrowok="t"/>
                <v:textbox inset="20mm,0,1mm,0">
                  <w:txbxContent>
                    <w:p w:rsidR="00011DF3" w:rsidRPr="00271B90" w:rsidRDefault="00011DF3" w:rsidP="00A653F3">
                      <w:pPr>
                        <w:pStyle w:val="xCoverStatus"/>
                      </w:pPr>
                      <w:r>
                        <w:fldChar w:fldCharType="begin"/>
                      </w:r>
                      <w:r>
                        <w:instrText xml:space="preserve"> DOCPROPERTY  xStatus  \* MERGEFORMAT </w:instrText>
                      </w:r>
                      <w:r>
                        <w:fldChar w:fldCharType="end"/>
                      </w:r>
                    </w:p>
                  </w:txbxContent>
                </v:textbox>
                <w10:wrap anchorx="page" anchory="page"/>
                <w10:anchorlock/>
              </v:shape>
            </w:pict>
          </mc:Fallback>
        </mc:AlternateContent>
      </w:r>
      <w:r>
        <w:rPr>
          <w:noProof/>
        </w:rPr>
        <mc:AlternateContent>
          <mc:Choice Requires="wps">
            <w:drawing>
              <wp:anchor distT="0" distB="0" distL="114300" distR="114300" simplePos="0" relativeHeight="251645952" behindDoc="1" locked="1" layoutInCell="1" allowOverlap="1">
                <wp:simplePos x="0" y="0"/>
                <wp:positionH relativeFrom="page">
                  <wp:posOffset>360045</wp:posOffset>
                </wp:positionH>
                <wp:positionV relativeFrom="page">
                  <wp:posOffset>9102090</wp:posOffset>
                </wp:positionV>
                <wp:extent cx="6840220" cy="431800"/>
                <wp:effectExtent l="0" t="0" r="635" b="635"/>
                <wp:wrapNone/>
                <wp:docPr id="9" name="CoverProjectBar" descr="Title: Decorative Cover 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0220" cy="431800"/>
                        </a:xfrm>
                        <a:prstGeom prst="rect">
                          <a:avLst/>
                        </a:prstGeom>
                        <a:solidFill>
                          <a:srgbClr val="642667"/>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011DF3" w:rsidRPr="00E81E6A" w:rsidRDefault="00011DF3" w:rsidP="002940DF">
                            <w:pPr>
                              <w:pStyle w:val="TitleBarText"/>
                              <w:spacing w:line="320" w:lineRule="exact"/>
                            </w:pPr>
                            <w:r w:rsidRPr="00011DF3">
                              <w:rPr>
                                <w:color w:val="FFFFFF" w:themeColor="background1"/>
                              </w:rPr>
                              <w:t>May</w:t>
                            </w:r>
                            <w:r>
                              <w:t xml:space="preserve"> 2017</w:t>
                            </w:r>
                          </w:p>
                        </w:txbxContent>
                      </wps:txbx>
                      <wps:bodyPr rot="0" vert="horz" wrap="square" lIns="360000" tIns="0" rIns="36000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id="CoverProjectBar" o:spid="_x0000_s1028" type="#_x0000_t202" alt="Title: Decorative Cover Shape" style="position:absolute;margin-left:28.35pt;margin-top:716.7pt;width:538.6pt;height:34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" fillcolor="#642667" stroked="f" strokeweight=".5pt">
                <v:textbox inset="10mm,0,10mm,0">
                  <w:txbxContent>
                    <w:p w:rsidR="00011DF3" w:rsidRPr="00E81E6A" w:rsidRDefault="00011DF3" w:rsidP="002940DF">
                      <w:pPr>
                        <w:pStyle w:val="TitleBarText"/>
                        <w:spacing w:line="320" w:lineRule="exact"/>
                      </w:pPr>
                      <w:r w:rsidRPr="00011DF3">
                        <w:rPr>
                          <w:color w:val="FFFFFF" w:themeColor="background1"/>
                        </w:rPr>
                        <w:t>May</w:t>
                      </w:r>
                      <w:r>
                        <w:t xml:space="preserve"> 2017</w:t>
                      </w:r>
                    </w:p>
                  </w:txbxContent>
                </v:textbox>
                <w10:wrap anchorx="page" anchory="page"/>
                <w10:anchorlock/>
              </v:shape>
            </w:pict>
          </mc:Fallback>
        </mc:AlternateContent>
      </w:r>
      <w:r>
        <w:rPr>
          <w:noProof/>
        </w:rPr>
        <mc:AlternateContent>
          <mc:Choice Requires="wps">
            <w:drawing>
              <wp:anchor distT="0" distB="0" distL="114300" distR="114300" simplePos="0" relativeHeight="251639808" behindDoc="1" locked="1" layoutInCell="1" allowOverlap="1">
                <wp:simplePos x="0" y="0"/>
                <wp:positionH relativeFrom="page">
                  <wp:posOffset>360045</wp:posOffset>
                </wp:positionH>
                <wp:positionV relativeFrom="page">
                  <wp:posOffset>360045</wp:posOffset>
                </wp:positionV>
                <wp:extent cx="6840220" cy="8744585"/>
                <wp:effectExtent l="0" t="0" r="0" b="0"/>
                <wp:wrapNone/>
                <wp:docPr id="8" name="CoverRectangl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40220" cy="87445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CoverRectangle" o:spid="_x0000_s1026" style="position:absolute;margin-left:28.35pt;margin-top:28.35pt;width:538.6pt;height:688.5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" fillcolor="#00b2a9 [3204]" stroked="f" strokeweight="2pt">
                <v:path arrowok="t"/>
                <w10:wrap anchorx="page" anchory="page"/>
                <w10:anchorlock/>
              </v:rect>
            </w:pict>
          </mc:Fallback>
        </mc:AlternateContent>
      </w:r>
    </w:p>
    <w:p w:rsidR="00D73B6C" w:rsidRPr="00160290" w:rsidRDefault="00D73B6C"/>
    <w:tbl>
      <w:tblPr>
        <w:tblStyle w:val="TableAsPlaceholder"/>
        <w:tblpPr w:leftFromText="181" w:rightFromText="181" w:vertAnchor="page" w:horzAnchor="margin" w:tblpXSpec="right" w:tblpY="681"/>
        <w:tblOverlap w:val="never"/>
        <w:tblW w:w="7369" w:type="dxa"/>
        <w:tblLayout w:type="fixed"/>
        <w:tblLook w:val="0600" w:firstRow="0" w:lastRow="0" w:firstColumn="0" w:lastColumn="0" w:noHBand="1" w:noVBand="1"/>
      </w:tblPr>
      <w:tblGrid>
        <w:gridCol w:w="7369"/>
      </w:tblGrid>
      <w:tr w:rsidR="000419B2" w:rsidRPr="00160290" w:rsidTr="00B649A3">
        <w:trPr>
          <w:trHeight w:hRule="exact" w:val="2948"/>
        </w:trPr>
        <w:tc>
          <w:tcPr>
            <w:tcW w:w="7369" w:type="dxa"/>
            <w:vAlign w:val="center"/>
          </w:tcPr>
          <w:p w:rsidR="000419B2" w:rsidRPr="00160290" w:rsidRDefault="00C91615" w:rsidP="0032260B">
            <w:pPr>
              <w:jc w:val="right"/>
              <w:rPr>
                <w:b/>
                <w:color w:val="FFFFFF" w:themeColor="background1"/>
                <w:sz w:val="54"/>
                <w:szCs w:val="54"/>
              </w:rPr>
            </w:pPr>
            <w:r w:rsidRPr="00160290">
              <w:rPr>
                <w:color w:val="FFFFFF" w:themeColor="background1"/>
                <w:sz w:val="54"/>
                <w:szCs w:val="54"/>
              </w:rPr>
              <w:t>Regulatory impact s</w:t>
            </w:r>
            <w:r w:rsidR="000419B2" w:rsidRPr="00160290">
              <w:rPr>
                <w:color w:val="FFFFFF" w:themeColor="background1"/>
                <w:sz w:val="54"/>
                <w:szCs w:val="54"/>
              </w:rPr>
              <w:t xml:space="preserve">tatement </w:t>
            </w:r>
            <w:r w:rsidR="000419B2" w:rsidRPr="00160290">
              <w:rPr>
                <w:color w:val="FFFFFF" w:themeColor="background1"/>
                <w:sz w:val="54"/>
                <w:szCs w:val="54"/>
              </w:rPr>
              <w:br/>
            </w:r>
            <w:r w:rsidR="000419B2" w:rsidRPr="00160290">
              <w:rPr>
                <w:b/>
                <w:color w:val="FFFFFF" w:themeColor="background1"/>
                <w:sz w:val="54"/>
                <w:szCs w:val="54"/>
              </w:rPr>
              <w:t>Building Regulations 2017</w:t>
            </w:r>
          </w:p>
          <w:p w:rsidR="000419B2" w:rsidRPr="00160290" w:rsidRDefault="00C91615" w:rsidP="00C91615">
            <w:pPr>
              <w:jc w:val="right"/>
              <w:rPr>
                <w:color w:val="FFFFFF" w:themeColor="background1"/>
                <w:sz w:val="32"/>
                <w:szCs w:val="32"/>
              </w:rPr>
            </w:pPr>
            <w:r w:rsidRPr="00160290">
              <w:rPr>
                <w:color w:val="FFFFFF" w:themeColor="background1"/>
                <w:sz w:val="32"/>
                <w:szCs w:val="32"/>
              </w:rPr>
              <w:t>Part C: Building p</w:t>
            </w:r>
            <w:r w:rsidR="000419B2" w:rsidRPr="00160290">
              <w:rPr>
                <w:color w:val="FFFFFF" w:themeColor="background1"/>
                <w:sz w:val="32"/>
                <w:szCs w:val="32"/>
              </w:rPr>
              <w:t xml:space="preserve">ractitioner </w:t>
            </w:r>
            <w:r w:rsidRPr="00160290">
              <w:rPr>
                <w:color w:val="FFFFFF" w:themeColor="background1"/>
                <w:sz w:val="32"/>
                <w:szCs w:val="32"/>
              </w:rPr>
              <w:t>r</w:t>
            </w:r>
            <w:r w:rsidR="000419B2" w:rsidRPr="00160290">
              <w:rPr>
                <w:color w:val="FFFFFF" w:themeColor="background1"/>
                <w:sz w:val="32"/>
                <w:szCs w:val="32"/>
              </w:rPr>
              <w:t>egistration</w:t>
            </w:r>
          </w:p>
        </w:tc>
      </w:tr>
      <w:tr w:rsidR="00D73B6C" w:rsidRPr="00160290" w:rsidTr="004D09B3">
        <w:trPr>
          <w:trHeight w:hRule="exact" w:val="2948"/>
        </w:trPr>
        <w:tc>
          <w:tcPr>
            <w:tcW w:w="7369" w:type="dxa"/>
            <w:vAlign w:val="center"/>
          </w:tcPr>
          <w:p w:rsidR="00512DFB" w:rsidRPr="00160290" w:rsidRDefault="003448FA" w:rsidP="0032260B">
            <w:r>
              <w:rPr>
                <w:noProof/>
              </w:rPr>
              <mc:AlternateContent>
                <mc:Choice Requires="wps">
                  <w:drawing>
                    <wp:anchor distT="0" distB="0" distL="114300" distR="114300" simplePos="0" relativeHeight="251666432" behindDoc="0" locked="1" layoutInCell="1" allowOverlap="1">
                      <wp:simplePos x="0" y="0"/>
                      <wp:positionH relativeFrom="page">
                        <wp:posOffset>1383030</wp:posOffset>
                      </wp:positionH>
                      <wp:positionV relativeFrom="page">
                        <wp:posOffset>40640</wp:posOffset>
                      </wp:positionV>
                      <wp:extent cx="3657600" cy="4755515"/>
                      <wp:effectExtent l="0" t="0" r="0" b="6985"/>
                      <wp:wrapNone/>
                      <wp:docPr id="16" name="OverlayRigh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57600" cy="4755515"/>
                              </a:xfrm>
                              <a:custGeom>
                                <a:avLst/>
                                <a:gdLst>
                                  <a:gd name="T0" fmla="*/ 3536 w 5762"/>
                                  <a:gd name="T1" fmla="*/ 0 h 7483"/>
                                  <a:gd name="T2" fmla="*/ 0 w 5762"/>
                                  <a:gd name="T3" fmla="*/ 7483 h 7483"/>
                                  <a:gd name="T4" fmla="*/ 5762 w 5762"/>
                                  <a:gd name="T5" fmla="*/ 7483 h 7483"/>
                                  <a:gd name="T6" fmla="*/ 5762 w 5762"/>
                                  <a:gd name="T7" fmla="*/ 0 h 7483"/>
                                  <a:gd name="T8" fmla="*/ 3536 w 5762"/>
                                  <a:gd name="T9" fmla="*/ 0 h 7483"/>
                                </a:gdLst>
                                <a:ahLst/>
                                <a:cxnLst>
                                  <a:cxn ang="0">
                                    <a:pos x="T0" y="T1"/>
                                  </a:cxn>
                                  <a:cxn ang="0">
                                    <a:pos x="T2" y="T3"/>
                                  </a:cxn>
                                  <a:cxn ang="0">
                                    <a:pos x="T4" y="T5"/>
                                  </a:cxn>
                                  <a:cxn ang="0">
                                    <a:pos x="T6" y="T7"/>
                                  </a:cxn>
                                  <a:cxn ang="0">
                                    <a:pos x="T8" y="T9"/>
                                  </a:cxn>
                                </a:cxnLst>
                                <a:rect l="0" t="0" r="r" b="b"/>
                                <a:pathLst>
                                  <a:path w="5762" h="7483">
                                    <a:moveTo>
                                      <a:pt x="3536" y="0"/>
                                    </a:moveTo>
                                    <a:lnTo>
                                      <a:pt x="0" y="7483"/>
                                    </a:lnTo>
                                    <a:lnTo>
                                      <a:pt x="5762" y="7483"/>
                                    </a:lnTo>
                                    <a:lnTo>
                                      <a:pt x="5762" y="0"/>
                                    </a:lnTo>
                                    <a:lnTo>
                                      <a:pt x="3536" y="0"/>
                                    </a:lnTo>
                                    <a:close/>
                                  </a:path>
                                </a:pathLst>
                              </a:custGeom>
                              <a:solidFill>
                                <a:srgbClr val="7030A0">
                                  <a:alpha val="29804"/>
                                </a:srgbClr>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OverlayRight" o:spid="_x0000_s1026" style="position:absolute;margin-left:108.9pt;margin-top:3.2pt;width:4in;height:374.4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coordsize="5762,74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" path="m3536,l,7483r5762,l5762,,3536,xe" fillcolor="#7030a0" stroked="f">
                      <v:fill opacity="19532f"/>
                      <v:path arrowok="t" o:connecttype="custom" o:connectlocs="2244581,0;0,4755515;3657600,4755515;3657600,0;2244581,0" o:connectangles="0,0,0,0,0"/>
                      <w10:wrap anchorx="page" anchory="page"/>
                      <w10:anchorlock/>
                    </v:shape>
                  </w:pict>
                </mc:Fallback>
              </mc:AlternateContent>
            </w:r>
            <w:r>
              <w:rPr>
                <w:rFonts w:ascii="Arial" w:hAnsi="Arial"/>
                <w:noProof/>
                <w:color w:val="363534"/>
              </w:rPr>
              <mc:AlternateContent>
                <mc:Choice Requires="wps">
                  <w:drawing>
                    <wp:anchor distT="0" distB="0" distL="114300" distR="114300" simplePos="0" relativeHeight="251664384" behindDoc="1" locked="1" layoutInCell="1" allowOverlap="1">
                      <wp:simplePos x="0" y="0"/>
                      <wp:positionH relativeFrom="page">
                        <wp:posOffset>-1812925</wp:posOffset>
                      </wp:positionH>
                      <wp:positionV relativeFrom="page">
                        <wp:posOffset>56515</wp:posOffset>
                      </wp:positionV>
                      <wp:extent cx="6839585" cy="4751705"/>
                      <wp:effectExtent l="0" t="0" r="0" b="0"/>
                      <wp:wrapNone/>
                      <wp:docPr id="6" name="PicSingle" descr="Cover Image" title="Cover Imag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39585" cy="4751705"/>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PicSingle" o:spid="_x0000_s1026" alt="Title: Cover Image - Description: Cover Image" style="position:absolute;margin-left:-142.75pt;margin-top:4.45pt;width:538.55pt;height:374.1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" fillcolor="window" stroked="f" strokeweight="2pt">
                      <v:path arrowok="t"/>
                      <w10:wrap anchorx="page" anchory="page"/>
                      <w10:anchorlock/>
                    </v:rect>
                  </w:pict>
                </mc:Fallback>
              </mc:AlternateContent>
            </w:r>
          </w:p>
        </w:tc>
      </w:tr>
    </w:tbl>
    <w:p w:rsidR="00D73B6C" w:rsidRPr="00160290" w:rsidRDefault="00D73B6C"/>
    <w:p w:rsidR="00D73B6C" w:rsidRPr="00160290" w:rsidRDefault="003448FA">
      <w:r>
        <w:rPr>
          <w:noProof/>
        </w:rPr>
        <mc:AlternateContent>
          <mc:Choice Requires="wps">
            <w:drawing>
              <wp:anchor distT="0" distB="0" distL="114300" distR="114300" simplePos="0" relativeHeight="251652096" behindDoc="0" locked="0" layoutInCell="1" allowOverlap="1">
                <wp:simplePos x="0" y="0"/>
                <wp:positionH relativeFrom="page">
                  <wp:align>left</wp:align>
                </wp:positionH>
                <wp:positionV relativeFrom="page">
                  <wp:align>bottom</wp:align>
                </wp:positionV>
                <wp:extent cx="4714875" cy="986790"/>
                <wp:effectExtent l="0" t="0" r="0" b="0"/>
                <wp:wrapNone/>
                <wp:docPr id="17" name="CoverCoBranded" hidden="1" title="CoBranding Logo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14875" cy="98679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LogoPlaceholder"/>
                              <w:tblOverlap w:val="never"/>
                              <w:tblW w:w="0" w:type="auto"/>
                              <w:tblCellSpacing w:w="71" w:type="dxa"/>
                              <w:tblLayout w:type="fixed"/>
                              <w:tblLook w:val="04A0" w:firstRow="1" w:lastRow="0" w:firstColumn="1" w:lastColumn="0" w:noHBand="0" w:noVBand="1"/>
                            </w:tblPr>
                            <w:tblGrid>
                              <w:gridCol w:w="1417"/>
                              <w:gridCol w:w="3969"/>
                            </w:tblGrid>
                            <w:tr w:rsidR="00011DF3" w:rsidRPr="00AB780B" w:rsidTr="00AA4BE4">
                              <w:trPr>
                                <w:trHeight w:hRule="exact" w:val="964"/>
                                <w:tblCellSpacing w:w="71" w:type="dxa"/>
                              </w:trPr>
                              <w:tc>
                                <w:tcPr>
                                  <w:tcW w:w="1204" w:type="dxa"/>
                                  <w:vAlign w:val="bottom"/>
                                </w:tcPr>
                                <w:p w:rsidR="00011DF3" w:rsidRPr="00D55628" w:rsidRDefault="00011DF3" w:rsidP="00D55628">
                                  <w:r w:rsidRPr="00D55628">
                                    <w:rPr>
                                      <w:noProof/>
                                    </w:rPr>
                                    <w:drawing>
                                      <wp:inline distT="0" distB="0" distL="0" distR="0" wp14:anchorId="0545D63F" wp14:editId="6338DC71">
                                        <wp:extent cx="762000" cy="513685"/>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brand logo.jpg"/>
                                                <pic:cNvPicPr/>
                                              </pic:nvPicPr>
                                              <pic:blipFill>
                                                <a:blip r:embed="rId9">
                                                  <a:extLst>
                                                    <a:ext uri="{28A0092B-C50C-407E-A947-70E740481C1C}">
                                                      <a14:useLocalDpi xmlns:a14="http://schemas.microsoft.com/office/drawing/2010/main" val="0"/>
                                                    </a:ext>
                                                  </a:extLst>
                                                </a:blip>
                                                <a:stretch>
                                                  <a:fillRect/>
                                                </a:stretch>
                                              </pic:blipFill>
                                              <pic:spPr>
                                                <a:xfrm>
                                                  <a:off x="0" y="0"/>
                                                  <a:ext cx="764540" cy="515397"/>
                                                </a:xfrm>
                                                <a:prstGeom prst="rect">
                                                  <a:avLst/>
                                                </a:prstGeom>
                                              </pic:spPr>
                                            </pic:pic>
                                          </a:graphicData>
                                        </a:graphic>
                                      </wp:inline>
                                    </w:drawing>
                                  </w:r>
                                </w:p>
                              </w:tc>
                              <w:tc>
                                <w:tcPr>
                                  <w:tcW w:w="3756" w:type="dxa"/>
                                  <w:vAlign w:val="bottom"/>
                                </w:tcPr>
                                <w:p w:rsidR="00011DF3" w:rsidRPr="00D55628" w:rsidRDefault="00011DF3" w:rsidP="00D55628">
                                  <w:r w:rsidRPr="00D55628">
                                    <w:rPr>
                                      <w:noProof/>
                                    </w:rPr>
                                    <w:drawing>
                                      <wp:inline distT="0" distB="0" distL="0" distR="0" wp14:anchorId="176DC5AD" wp14:editId="69454387">
                                        <wp:extent cx="2011680" cy="542544"/>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brand logo2.jpg"/>
                                                <pic:cNvPicPr/>
                                              </pic:nvPicPr>
                                              <pic:blipFill>
                                                <a:blip r:embed="rId10">
                                                  <a:extLst>
                                                    <a:ext uri="{28A0092B-C50C-407E-A947-70E740481C1C}">
                                                      <a14:useLocalDpi xmlns:a14="http://schemas.microsoft.com/office/drawing/2010/main" val="0"/>
                                                    </a:ext>
                                                  </a:extLst>
                                                </a:blip>
                                                <a:stretch>
                                                  <a:fillRect/>
                                                </a:stretch>
                                              </pic:blipFill>
                                              <pic:spPr>
                                                <a:xfrm>
                                                  <a:off x="0" y="0"/>
                                                  <a:ext cx="2011680" cy="542544"/>
                                                </a:xfrm>
                                                <a:prstGeom prst="rect">
                                                  <a:avLst/>
                                                </a:prstGeom>
                                              </pic:spPr>
                                            </pic:pic>
                                          </a:graphicData>
                                        </a:graphic>
                                      </wp:inline>
                                    </w:drawing>
                                  </w:r>
                                </w:p>
                              </w:tc>
                            </w:tr>
                          </w:tbl>
                          <w:p w:rsidR="00011DF3" w:rsidRDefault="00011DF3"/>
                        </w:txbxContent>
                      </wps:txbx>
                      <wps:bodyPr rot="0" spcFirstLastPara="0" vertOverflow="overflow" horzOverflow="overflow" vert="horz" wrap="square" lIns="360000" tIns="0" rIns="91440" bIns="108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overCoBranded" o:spid="_x0000_s1029" type="#_x0000_t202" alt="Title: CoBranding Logos" style="position:absolute;margin-left:0;margin-top:0;width:371.25pt;height:77.7pt;z-index:251652096;visibility:hidden;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" fillcolor="white [3212]" stroked="f" strokeweight=".5pt">
                <v:path arrowok="t"/>
                <v:textbox inset="10mm,0,,3mm">
                  <w:txbxContent>
                    <w:tbl>
                      <w:tblPr>
                        <w:tblStyle w:val="LogoPlaceholder"/>
                        <w:tblOverlap w:val="never"/>
                        <w:tblW w:w="0" w:type="auto"/>
                        <w:tblCellSpacing w:w="71" w:type="dxa"/>
                        <w:tblLayout w:type="fixed"/>
                        <w:tblLook w:val="04A0" w:firstRow="1" w:lastRow="0" w:firstColumn="1" w:lastColumn="0" w:noHBand="0" w:noVBand="1"/>
                      </w:tblPr>
                      <w:tblGrid>
                        <w:gridCol w:w="1417"/>
                        <w:gridCol w:w="3969"/>
                      </w:tblGrid>
                      <w:tr w:rsidR="00011DF3" w:rsidRPr="00AB780B" w:rsidTr="00AA4BE4">
                        <w:trPr>
                          <w:trHeight w:hRule="exact" w:val="964"/>
                          <w:tblCellSpacing w:w="71" w:type="dxa"/>
                        </w:trPr>
                        <w:tc>
                          <w:tcPr>
                            <w:tcW w:w="1204" w:type="dxa"/>
                            <w:vAlign w:val="bottom"/>
                          </w:tcPr>
                          <w:p w:rsidR="00011DF3" w:rsidRPr="00D55628" w:rsidRDefault="00011DF3" w:rsidP="00D55628">
                            <w:r w:rsidRPr="00D55628">
                              <w:rPr>
                                <w:noProof/>
                              </w:rPr>
                              <w:drawing>
                                <wp:inline distT="0" distB="0" distL="0" distR="0" wp14:anchorId="0545D63F" wp14:editId="6338DC71">
                                  <wp:extent cx="762000" cy="513685"/>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brand logo.jpg"/>
                                          <pic:cNvPicPr/>
                                        </pic:nvPicPr>
                                        <pic:blipFill>
                                          <a:blip r:embed="rId11">
                                            <a:extLst>
                                              <a:ext uri="{28A0092B-C50C-407E-A947-70E740481C1C}">
                                                <a14:useLocalDpi xmlns:a14="http://schemas.microsoft.com/office/drawing/2010/main" val="0"/>
                                              </a:ext>
                                            </a:extLst>
                                          </a:blip>
                                          <a:stretch>
                                            <a:fillRect/>
                                          </a:stretch>
                                        </pic:blipFill>
                                        <pic:spPr>
                                          <a:xfrm>
                                            <a:off x="0" y="0"/>
                                            <a:ext cx="764540" cy="515397"/>
                                          </a:xfrm>
                                          <a:prstGeom prst="rect">
                                            <a:avLst/>
                                          </a:prstGeom>
                                        </pic:spPr>
                                      </pic:pic>
                                    </a:graphicData>
                                  </a:graphic>
                                </wp:inline>
                              </w:drawing>
                            </w:r>
                          </w:p>
                        </w:tc>
                        <w:tc>
                          <w:tcPr>
                            <w:tcW w:w="3756" w:type="dxa"/>
                            <w:vAlign w:val="bottom"/>
                          </w:tcPr>
                          <w:p w:rsidR="00011DF3" w:rsidRPr="00D55628" w:rsidRDefault="00011DF3" w:rsidP="00D55628">
                            <w:r w:rsidRPr="00D55628">
                              <w:rPr>
                                <w:noProof/>
                              </w:rPr>
                              <w:drawing>
                                <wp:inline distT="0" distB="0" distL="0" distR="0" wp14:anchorId="176DC5AD" wp14:editId="69454387">
                                  <wp:extent cx="2011680" cy="542544"/>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brand logo2.jpg"/>
                                          <pic:cNvPicPr/>
                                        </pic:nvPicPr>
                                        <pic:blipFill>
                                          <a:blip r:embed="rId12">
                                            <a:extLst>
                                              <a:ext uri="{28A0092B-C50C-407E-A947-70E740481C1C}">
                                                <a14:useLocalDpi xmlns:a14="http://schemas.microsoft.com/office/drawing/2010/main" val="0"/>
                                              </a:ext>
                                            </a:extLst>
                                          </a:blip>
                                          <a:stretch>
                                            <a:fillRect/>
                                          </a:stretch>
                                        </pic:blipFill>
                                        <pic:spPr>
                                          <a:xfrm>
                                            <a:off x="0" y="0"/>
                                            <a:ext cx="2011680" cy="542544"/>
                                          </a:xfrm>
                                          <a:prstGeom prst="rect">
                                            <a:avLst/>
                                          </a:prstGeom>
                                        </pic:spPr>
                                      </pic:pic>
                                    </a:graphicData>
                                  </a:graphic>
                                </wp:inline>
                              </w:drawing>
                            </w:r>
                          </w:p>
                        </w:tc>
                      </w:tr>
                    </w:tbl>
                    <w:p w:rsidR="00011DF3" w:rsidRDefault="00011DF3"/>
                  </w:txbxContent>
                </v:textbox>
                <w10:wrap anchorx="page" anchory="page"/>
              </v:shape>
            </w:pict>
          </mc:Fallback>
        </mc:AlternateContent>
      </w:r>
    </w:p>
    <w:p w:rsidR="00D73B6C" w:rsidRPr="00160290" w:rsidRDefault="00D73B6C">
      <w:pPr>
        <w:sectPr w:rsidR="00D73B6C" w:rsidRPr="00160290" w:rsidSect="00C04D98">
          <w:headerReference w:type="default" r:id="rId13"/>
          <w:footerReference w:type="even" r:id="rId14"/>
          <w:footerReference w:type="default" r:id="rId15"/>
          <w:footerReference w:type="first" r:id="rId16"/>
          <w:pgSz w:w="11907" w:h="16840" w:code="9"/>
          <w:pgMar w:top="992" w:right="1559" w:bottom="992" w:left="1797" w:header="284" w:footer="284" w:gutter="0"/>
          <w:cols w:space="708"/>
          <w:titlePg/>
          <w:docGrid w:linePitch="360"/>
        </w:sectPr>
      </w:pPr>
    </w:p>
    <w:p w:rsidR="004561E6" w:rsidRPr="00D81477" w:rsidRDefault="003448FA" w:rsidP="00F7154D">
      <w:pPr>
        <w:rPr>
          <w:b/>
        </w:rPr>
      </w:pPr>
      <w:r>
        <w:rPr>
          <w:b/>
          <w:noProof/>
        </w:rPr>
        <w:lastRenderedPageBreak/>
        <mc:AlternateContent>
          <mc:Choice Requires="wps">
            <w:drawing>
              <wp:anchor distT="0" distB="0" distL="114300" distR="114300" simplePos="0" relativeHeight="251650048" behindDoc="0" locked="0" layoutInCell="1" allowOverlap="1">
                <wp:simplePos x="0" y="0"/>
                <wp:positionH relativeFrom="page">
                  <wp:align>left</wp:align>
                </wp:positionH>
                <wp:positionV relativeFrom="page">
                  <wp:align>top</wp:align>
                </wp:positionV>
                <wp:extent cx="7562850" cy="1609725"/>
                <wp:effectExtent l="0" t="0" r="0" b="0"/>
                <wp:wrapTopAndBottom/>
                <wp:docPr id="36" name="InsideCoverCoBrand" hidden="1" title="Co-Branding Logo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62850" cy="1609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LogoPlaceholder"/>
                              <w:tblOverlap w:val="never"/>
                              <w:tblW w:w="0" w:type="auto"/>
                              <w:tblCellSpacing w:w="71" w:type="dxa"/>
                              <w:tblLayout w:type="fixed"/>
                              <w:tblLook w:val="04A0" w:firstRow="1" w:lastRow="0" w:firstColumn="1" w:lastColumn="0" w:noHBand="0" w:noVBand="1"/>
                            </w:tblPr>
                            <w:tblGrid>
                              <w:gridCol w:w="1814"/>
                              <w:gridCol w:w="1814"/>
                              <w:gridCol w:w="1814"/>
                              <w:gridCol w:w="1814"/>
                            </w:tblGrid>
                            <w:tr w:rsidR="00011DF3" w:rsidRPr="00AB780B" w:rsidTr="00DC7231">
                              <w:trPr>
                                <w:trHeight w:hRule="exact" w:val="1247"/>
                                <w:tblCellSpacing w:w="71" w:type="dxa"/>
                              </w:trPr>
                              <w:tc>
                                <w:tcPr>
                                  <w:tcW w:w="1601" w:type="dxa"/>
                                  <w:vAlign w:val="center"/>
                                </w:tcPr>
                                <w:p w:rsidR="00011DF3" w:rsidRPr="00D55628" w:rsidRDefault="00011DF3" w:rsidP="00D55628">
                                  <w:r w:rsidRPr="00D55628">
                                    <w:rPr>
                                      <w:noProof/>
                                    </w:rPr>
                                    <w:drawing>
                                      <wp:inline distT="0" distB="0" distL="0" distR="0" wp14:anchorId="5735F27F" wp14:editId="4BA4C9BA">
                                        <wp:extent cx="1016635" cy="52006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brand logo.jpg"/>
                                                <pic:cNvPicPr/>
                                              </pic:nvPicPr>
                                              <pic:blipFill>
                                                <a:blip r:embed="rId11">
                                                  <a:extLst>
                                                    <a:ext uri="{28A0092B-C50C-407E-A947-70E740481C1C}">
                                                      <a14:useLocalDpi xmlns:a14="http://schemas.microsoft.com/office/drawing/2010/main" val="0"/>
                                                    </a:ext>
                                                  </a:extLst>
                                                </a:blip>
                                                <a:stretch>
                                                  <a:fillRect/>
                                                </a:stretch>
                                              </pic:blipFill>
                                              <pic:spPr>
                                                <a:xfrm>
                                                  <a:off x="0" y="0"/>
                                                  <a:ext cx="1016635" cy="520065"/>
                                                </a:xfrm>
                                                <a:prstGeom prst="rect">
                                                  <a:avLst/>
                                                </a:prstGeom>
                                              </pic:spPr>
                                            </pic:pic>
                                          </a:graphicData>
                                        </a:graphic>
                                      </wp:inline>
                                    </w:drawing>
                                  </w:r>
                                </w:p>
                              </w:tc>
                              <w:tc>
                                <w:tcPr>
                                  <w:tcW w:w="1672" w:type="dxa"/>
                                  <w:vAlign w:val="center"/>
                                </w:tcPr>
                                <w:p w:rsidR="00011DF3" w:rsidRPr="00D55628" w:rsidRDefault="00011DF3" w:rsidP="00D55628">
                                  <w:r w:rsidRPr="00D55628">
                                    <w:rPr>
                                      <w:noProof/>
                                    </w:rPr>
                                    <w:drawing>
                                      <wp:inline distT="0" distB="0" distL="0" distR="0" wp14:anchorId="0BDBCB60" wp14:editId="0A15DD72">
                                        <wp:extent cx="1016635" cy="52006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brand logo.jpg"/>
                                                <pic:cNvPicPr/>
                                              </pic:nvPicPr>
                                              <pic:blipFill>
                                                <a:blip r:embed="rId11">
                                                  <a:extLst>
                                                    <a:ext uri="{28A0092B-C50C-407E-A947-70E740481C1C}">
                                                      <a14:useLocalDpi xmlns:a14="http://schemas.microsoft.com/office/drawing/2010/main" val="0"/>
                                                    </a:ext>
                                                  </a:extLst>
                                                </a:blip>
                                                <a:stretch>
                                                  <a:fillRect/>
                                                </a:stretch>
                                              </pic:blipFill>
                                              <pic:spPr>
                                                <a:xfrm>
                                                  <a:off x="0" y="0"/>
                                                  <a:ext cx="1016635" cy="520065"/>
                                                </a:xfrm>
                                                <a:prstGeom prst="rect">
                                                  <a:avLst/>
                                                </a:prstGeom>
                                              </pic:spPr>
                                            </pic:pic>
                                          </a:graphicData>
                                        </a:graphic>
                                      </wp:inline>
                                    </w:drawing>
                                  </w:r>
                                </w:p>
                              </w:tc>
                              <w:tc>
                                <w:tcPr>
                                  <w:tcW w:w="1672" w:type="dxa"/>
                                  <w:vAlign w:val="center"/>
                                </w:tcPr>
                                <w:p w:rsidR="00011DF3" w:rsidRPr="00D55628" w:rsidRDefault="00011DF3" w:rsidP="00D55628">
                                  <w:r w:rsidRPr="00D55628">
                                    <w:rPr>
                                      <w:noProof/>
                                    </w:rPr>
                                    <w:drawing>
                                      <wp:inline distT="0" distB="0" distL="0" distR="0" wp14:anchorId="03DD2167" wp14:editId="55572EBB">
                                        <wp:extent cx="1016635" cy="52006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brand logo.jpg"/>
                                                <pic:cNvPicPr/>
                                              </pic:nvPicPr>
                                              <pic:blipFill>
                                                <a:blip r:embed="rId11">
                                                  <a:extLst>
                                                    <a:ext uri="{28A0092B-C50C-407E-A947-70E740481C1C}">
                                                      <a14:useLocalDpi xmlns:a14="http://schemas.microsoft.com/office/drawing/2010/main" val="0"/>
                                                    </a:ext>
                                                  </a:extLst>
                                                </a:blip>
                                                <a:stretch>
                                                  <a:fillRect/>
                                                </a:stretch>
                                              </pic:blipFill>
                                              <pic:spPr>
                                                <a:xfrm>
                                                  <a:off x="0" y="0"/>
                                                  <a:ext cx="1016635" cy="520065"/>
                                                </a:xfrm>
                                                <a:prstGeom prst="rect">
                                                  <a:avLst/>
                                                </a:prstGeom>
                                              </pic:spPr>
                                            </pic:pic>
                                          </a:graphicData>
                                        </a:graphic>
                                      </wp:inline>
                                    </w:drawing>
                                  </w:r>
                                </w:p>
                              </w:tc>
                              <w:tc>
                                <w:tcPr>
                                  <w:tcW w:w="1601" w:type="dxa"/>
                                  <w:vAlign w:val="center"/>
                                </w:tcPr>
                                <w:p w:rsidR="00011DF3" w:rsidRPr="00D55628" w:rsidRDefault="00011DF3" w:rsidP="00D55628">
                                  <w:r w:rsidRPr="00D55628">
                                    <w:rPr>
                                      <w:noProof/>
                                    </w:rPr>
                                    <w:drawing>
                                      <wp:inline distT="0" distB="0" distL="0" distR="0" wp14:anchorId="0CA88C43" wp14:editId="39198F07">
                                        <wp:extent cx="1016635" cy="52006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brand logo.jpg"/>
                                                <pic:cNvPicPr/>
                                              </pic:nvPicPr>
                                              <pic:blipFill>
                                                <a:blip r:embed="rId11">
                                                  <a:extLst>
                                                    <a:ext uri="{28A0092B-C50C-407E-A947-70E740481C1C}">
                                                      <a14:useLocalDpi xmlns:a14="http://schemas.microsoft.com/office/drawing/2010/main" val="0"/>
                                                    </a:ext>
                                                  </a:extLst>
                                                </a:blip>
                                                <a:stretch>
                                                  <a:fillRect/>
                                                </a:stretch>
                                              </pic:blipFill>
                                              <pic:spPr>
                                                <a:xfrm>
                                                  <a:off x="0" y="0"/>
                                                  <a:ext cx="1016635" cy="520065"/>
                                                </a:xfrm>
                                                <a:prstGeom prst="rect">
                                                  <a:avLst/>
                                                </a:prstGeom>
                                              </pic:spPr>
                                            </pic:pic>
                                          </a:graphicData>
                                        </a:graphic>
                                      </wp:inline>
                                    </w:drawing>
                                  </w:r>
                                </w:p>
                              </w:tc>
                            </w:tr>
                          </w:tbl>
                          <w:p w:rsidR="00011DF3" w:rsidRPr="00D55628" w:rsidRDefault="00011DF3" w:rsidP="00D55628">
                            <w:pPr>
                              <w:pStyle w:val="xDisclaimerText"/>
                            </w:pPr>
                          </w:p>
                        </w:txbxContent>
                      </wps:txbx>
                      <wps:bodyPr rot="0" spcFirstLastPara="0" vertOverflow="overflow" horzOverflow="overflow" vert="horz" wrap="square" lIns="720000" tIns="612000" rIns="9144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InsideCoverCoBrand" o:spid="_x0000_s1030" type="#_x0000_t202" alt="Title: Co-Branding Logos" style="position:absolute;margin-left:0;margin-top:0;width:595.5pt;height:126.75pt;z-index:251650048;visibility:hidden;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" filled="f" stroked="f" strokeweight=".5pt">
                <v:path arrowok="t"/>
                <v:textbox style="mso-fit-shape-to-text:t" inset="20mm,17mm,,0">
                  <w:txbxContent>
                    <w:tbl>
                      <w:tblPr>
                        <w:tblStyle w:val="LogoPlaceholder"/>
                        <w:tblOverlap w:val="never"/>
                        <w:tblW w:w="0" w:type="auto"/>
                        <w:tblCellSpacing w:w="71" w:type="dxa"/>
                        <w:tblLayout w:type="fixed"/>
                        <w:tblLook w:val="04A0" w:firstRow="1" w:lastRow="0" w:firstColumn="1" w:lastColumn="0" w:noHBand="0" w:noVBand="1"/>
                      </w:tblPr>
                      <w:tblGrid>
                        <w:gridCol w:w="1814"/>
                        <w:gridCol w:w="1814"/>
                        <w:gridCol w:w="1814"/>
                        <w:gridCol w:w="1814"/>
                      </w:tblGrid>
                      <w:tr w:rsidR="00011DF3" w:rsidRPr="00AB780B" w:rsidTr="00DC7231">
                        <w:trPr>
                          <w:trHeight w:hRule="exact" w:val="1247"/>
                          <w:tblCellSpacing w:w="71" w:type="dxa"/>
                        </w:trPr>
                        <w:tc>
                          <w:tcPr>
                            <w:tcW w:w="1601" w:type="dxa"/>
                            <w:vAlign w:val="center"/>
                          </w:tcPr>
                          <w:p w:rsidR="00011DF3" w:rsidRPr="00D55628" w:rsidRDefault="00011DF3" w:rsidP="00D55628">
                            <w:r w:rsidRPr="00D55628">
                              <w:rPr>
                                <w:noProof/>
                              </w:rPr>
                              <w:drawing>
                                <wp:inline distT="0" distB="0" distL="0" distR="0" wp14:anchorId="5735F27F" wp14:editId="4BA4C9BA">
                                  <wp:extent cx="1016635" cy="52006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brand logo.jpg"/>
                                          <pic:cNvPicPr/>
                                        </pic:nvPicPr>
                                        <pic:blipFill>
                                          <a:blip r:embed="rId11">
                                            <a:extLst>
                                              <a:ext uri="{28A0092B-C50C-407E-A947-70E740481C1C}">
                                                <a14:useLocalDpi xmlns:a14="http://schemas.microsoft.com/office/drawing/2010/main" val="0"/>
                                              </a:ext>
                                            </a:extLst>
                                          </a:blip>
                                          <a:stretch>
                                            <a:fillRect/>
                                          </a:stretch>
                                        </pic:blipFill>
                                        <pic:spPr>
                                          <a:xfrm>
                                            <a:off x="0" y="0"/>
                                            <a:ext cx="1016635" cy="520065"/>
                                          </a:xfrm>
                                          <a:prstGeom prst="rect">
                                            <a:avLst/>
                                          </a:prstGeom>
                                        </pic:spPr>
                                      </pic:pic>
                                    </a:graphicData>
                                  </a:graphic>
                                </wp:inline>
                              </w:drawing>
                            </w:r>
                          </w:p>
                        </w:tc>
                        <w:tc>
                          <w:tcPr>
                            <w:tcW w:w="1672" w:type="dxa"/>
                            <w:vAlign w:val="center"/>
                          </w:tcPr>
                          <w:p w:rsidR="00011DF3" w:rsidRPr="00D55628" w:rsidRDefault="00011DF3" w:rsidP="00D55628">
                            <w:r w:rsidRPr="00D55628">
                              <w:rPr>
                                <w:noProof/>
                              </w:rPr>
                              <w:drawing>
                                <wp:inline distT="0" distB="0" distL="0" distR="0" wp14:anchorId="0BDBCB60" wp14:editId="0A15DD72">
                                  <wp:extent cx="1016635" cy="52006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brand logo.jpg"/>
                                          <pic:cNvPicPr/>
                                        </pic:nvPicPr>
                                        <pic:blipFill>
                                          <a:blip r:embed="rId11">
                                            <a:extLst>
                                              <a:ext uri="{28A0092B-C50C-407E-A947-70E740481C1C}">
                                                <a14:useLocalDpi xmlns:a14="http://schemas.microsoft.com/office/drawing/2010/main" val="0"/>
                                              </a:ext>
                                            </a:extLst>
                                          </a:blip>
                                          <a:stretch>
                                            <a:fillRect/>
                                          </a:stretch>
                                        </pic:blipFill>
                                        <pic:spPr>
                                          <a:xfrm>
                                            <a:off x="0" y="0"/>
                                            <a:ext cx="1016635" cy="520065"/>
                                          </a:xfrm>
                                          <a:prstGeom prst="rect">
                                            <a:avLst/>
                                          </a:prstGeom>
                                        </pic:spPr>
                                      </pic:pic>
                                    </a:graphicData>
                                  </a:graphic>
                                </wp:inline>
                              </w:drawing>
                            </w:r>
                          </w:p>
                        </w:tc>
                        <w:tc>
                          <w:tcPr>
                            <w:tcW w:w="1672" w:type="dxa"/>
                            <w:vAlign w:val="center"/>
                          </w:tcPr>
                          <w:p w:rsidR="00011DF3" w:rsidRPr="00D55628" w:rsidRDefault="00011DF3" w:rsidP="00D55628">
                            <w:r w:rsidRPr="00D55628">
                              <w:rPr>
                                <w:noProof/>
                              </w:rPr>
                              <w:drawing>
                                <wp:inline distT="0" distB="0" distL="0" distR="0" wp14:anchorId="03DD2167" wp14:editId="55572EBB">
                                  <wp:extent cx="1016635" cy="52006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brand logo.jpg"/>
                                          <pic:cNvPicPr/>
                                        </pic:nvPicPr>
                                        <pic:blipFill>
                                          <a:blip r:embed="rId11">
                                            <a:extLst>
                                              <a:ext uri="{28A0092B-C50C-407E-A947-70E740481C1C}">
                                                <a14:useLocalDpi xmlns:a14="http://schemas.microsoft.com/office/drawing/2010/main" val="0"/>
                                              </a:ext>
                                            </a:extLst>
                                          </a:blip>
                                          <a:stretch>
                                            <a:fillRect/>
                                          </a:stretch>
                                        </pic:blipFill>
                                        <pic:spPr>
                                          <a:xfrm>
                                            <a:off x="0" y="0"/>
                                            <a:ext cx="1016635" cy="520065"/>
                                          </a:xfrm>
                                          <a:prstGeom prst="rect">
                                            <a:avLst/>
                                          </a:prstGeom>
                                        </pic:spPr>
                                      </pic:pic>
                                    </a:graphicData>
                                  </a:graphic>
                                </wp:inline>
                              </w:drawing>
                            </w:r>
                          </w:p>
                        </w:tc>
                        <w:tc>
                          <w:tcPr>
                            <w:tcW w:w="1601" w:type="dxa"/>
                            <w:vAlign w:val="center"/>
                          </w:tcPr>
                          <w:p w:rsidR="00011DF3" w:rsidRPr="00D55628" w:rsidRDefault="00011DF3" w:rsidP="00D55628">
                            <w:r w:rsidRPr="00D55628">
                              <w:rPr>
                                <w:noProof/>
                              </w:rPr>
                              <w:drawing>
                                <wp:inline distT="0" distB="0" distL="0" distR="0" wp14:anchorId="0CA88C43" wp14:editId="39198F07">
                                  <wp:extent cx="1016635" cy="52006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brand logo.jpg"/>
                                          <pic:cNvPicPr/>
                                        </pic:nvPicPr>
                                        <pic:blipFill>
                                          <a:blip r:embed="rId11">
                                            <a:extLst>
                                              <a:ext uri="{28A0092B-C50C-407E-A947-70E740481C1C}">
                                                <a14:useLocalDpi xmlns:a14="http://schemas.microsoft.com/office/drawing/2010/main" val="0"/>
                                              </a:ext>
                                            </a:extLst>
                                          </a:blip>
                                          <a:stretch>
                                            <a:fillRect/>
                                          </a:stretch>
                                        </pic:blipFill>
                                        <pic:spPr>
                                          <a:xfrm>
                                            <a:off x="0" y="0"/>
                                            <a:ext cx="1016635" cy="520065"/>
                                          </a:xfrm>
                                          <a:prstGeom prst="rect">
                                            <a:avLst/>
                                          </a:prstGeom>
                                        </pic:spPr>
                                      </pic:pic>
                                    </a:graphicData>
                                  </a:graphic>
                                </wp:inline>
                              </w:drawing>
                            </w:r>
                          </w:p>
                        </w:tc>
                      </w:tr>
                    </w:tbl>
                    <w:p w:rsidR="00011DF3" w:rsidRPr="00D55628" w:rsidRDefault="00011DF3" w:rsidP="00D55628">
                      <w:pPr>
                        <w:pStyle w:val="xDisclaimerText"/>
                      </w:pPr>
                    </w:p>
                  </w:txbxContent>
                </v:textbox>
                <w10:wrap type="topAndBottom" anchorx="page" anchory="page"/>
              </v:shape>
            </w:pict>
          </mc:Fallback>
        </mc:AlternateContent>
      </w:r>
      <w:r w:rsidR="00AB780B" w:rsidRPr="00D81477">
        <w:rPr>
          <w:b/>
        </w:rPr>
        <w:t>Acknowledgements</w:t>
      </w:r>
    </w:p>
    <w:p w:rsidR="002129C8" w:rsidRPr="00D81477" w:rsidRDefault="00A56793" w:rsidP="00F7154D">
      <w:r w:rsidRPr="00D81477">
        <w:t xml:space="preserve">The Department of Environment, Land, Water and Planning acknowledges its responsibility for this </w:t>
      </w:r>
      <w:r w:rsidR="008A39F6">
        <w:t>r</w:t>
      </w:r>
      <w:r w:rsidRPr="00D81477">
        <w:t xml:space="preserve">egulatory </w:t>
      </w:r>
      <w:r w:rsidR="008A39F6">
        <w:t>i</w:t>
      </w:r>
      <w:r w:rsidRPr="00D81477">
        <w:t xml:space="preserve">mpact </w:t>
      </w:r>
      <w:r w:rsidR="008A39F6">
        <w:t>s</w:t>
      </w:r>
      <w:r w:rsidRPr="00D81477">
        <w:t>tatement (RIS) that sets out the proposed Building Regulations 2017 and the supporting argument for those Regulations.</w:t>
      </w:r>
    </w:p>
    <w:p w:rsidR="00A56793" w:rsidRPr="00D81477" w:rsidRDefault="00A56793" w:rsidP="00F7154D">
      <w:r w:rsidRPr="00D81477">
        <w:t xml:space="preserve">This RIS has been prepared for the express purpose of supporting the proposed Building Regulations 2017 and other potential uses of the information contained in the RIS </w:t>
      </w:r>
      <w:r w:rsidR="008A39F6">
        <w:t xml:space="preserve">have </w:t>
      </w:r>
      <w:r w:rsidRPr="00D81477">
        <w:t xml:space="preserve">not been a consideration in its development. The information contained in </w:t>
      </w:r>
      <w:r w:rsidR="008A39F6">
        <w:t xml:space="preserve">the </w:t>
      </w:r>
      <w:r w:rsidRPr="00D81477">
        <w:t>RIS has not been subjected to an audit or any form of independent verification.</w:t>
      </w:r>
    </w:p>
    <w:p w:rsidR="00A56793" w:rsidRPr="00D81477" w:rsidRDefault="00A56793" w:rsidP="00F7154D">
      <w:pPr>
        <w:rPr>
          <w:b/>
        </w:rPr>
      </w:pPr>
      <w:r w:rsidRPr="00D81477">
        <w:rPr>
          <w:b/>
        </w:rPr>
        <w:t>Author</w:t>
      </w:r>
    </w:p>
    <w:p w:rsidR="00A56793" w:rsidRPr="00D81477" w:rsidRDefault="00A56793" w:rsidP="00F7154D">
      <w:r w:rsidRPr="00D81477">
        <w:t xml:space="preserve">The information, statements, statistics and commentary contained in </w:t>
      </w:r>
      <w:r w:rsidR="009E37A3">
        <w:t xml:space="preserve">RIS </w:t>
      </w:r>
      <w:r w:rsidRPr="00D81477">
        <w:t>Part C have been substantially prepared by Regulatory Impact Solutions from material provided by or through the department.</w:t>
      </w:r>
    </w:p>
    <w:p w:rsidR="00CF4173" w:rsidRPr="00CE7DBB" w:rsidRDefault="00CF4173" w:rsidP="00CF4173"/>
    <w:p w:rsidR="00CF4173" w:rsidRPr="00CE7DBB" w:rsidRDefault="00CF4173" w:rsidP="00CF4173"/>
    <w:p w:rsidR="00CF4173" w:rsidRPr="00CE7DBB" w:rsidRDefault="00CF4173" w:rsidP="00CF4173"/>
    <w:p w:rsidR="00F7154D" w:rsidRPr="00D81477" w:rsidRDefault="00F7154D" w:rsidP="00F7154D">
      <w:r w:rsidRPr="00D81477">
        <w:t>© The State of Victoria Department of Environment, Land, Water and Planning</w:t>
      </w:r>
      <w:r w:rsidR="002129C8" w:rsidRPr="00D81477">
        <w:t xml:space="preserve"> </w:t>
      </w:r>
      <w:r w:rsidRPr="00D81477">
        <w:t>201</w:t>
      </w:r>
      <w:r w:rsidR="008A39F6">
        <w:t>7</w:t>
      </w:r>
    </w:p>
    <w:p w:rsidR="00F7154D" w:rsidRPr="00D81477" w:rsidRDefault="00FC2654" w:rsidP="00F7154D">
      <w:r w:rsidRPr="00D81477">
        <w:rPr>
          <w:noProof/>
        </w:rPr>
        <w:drawing>
          <wp:inline distT="0" distB="0" distL="0" distR="0" wp14:anchorId="72E82B25" wp14:editId="4FCC21A7">
            <wp:extent cx="658800" cy="237600"/>
            <wp:effectExtent l="0" t="0" r="8255" b="0"/>
            <wp:docPr id="4" name="CC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y.em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58800" cy="237600"/>
                    </a:xfrm>
                    <a:prstGeom prst="rect">
                      <a:avLst/>
                    </a:prstGeom>
                  </pic:spPr>
                </pic:pic>
              </a:graphicData>
            </a:graphic>
          </wp:inline>
        </w:drawing>
      </w:r>
    </w:p>
    <w:p w:rsidR="002129C8" w:rsidRDefault="00F7154D" w:rsidP="00F7154D">
      <w:r w:rsidRPr="00D81477">
        <w:t xml:space="preserve">This work is licensed under a Creative Commons Attribution 4.0 International licence. You are free to re-use the work under that licence, on the condition that you credit the State of Victoria as author. The licence does not apply to any images, photographs or branding, including the Victorian Coat of Arms, the Victorian Government logo and the Department of Environment, Land, Water and Planning (DELWP) logo. To view a copy of this licence, visit </w:t>
      </w:r>
      <w:hyperlink r:id="rId18" w:history="1">
        <w:r w:rsidRPr="00D81477">
          <w:t>http://creativecommons.org/licenses/by/4.0/</w:t>
        </w:r>
      </w:hyperlink>
    </w:p>
    <w:p w:rsidR="00765E11" w:rsidRDefault="00765E11" w:rsidP="00765E11">
      <w:r>
        <w:t xml:space="preserve">ISBN </w:t>
      </w:r>
      <w:r w:rsidR="00716E0C" w:rsidRPr="00716E0C">
        <w:t>978-1-76047-592-5 (online)</w:t>
      </w:r>
      <w:bookmarkStart w:id="0" w:name="_GoBack"/>
      <w:bookmarkEnd w:id="0"/>
    </w:p>
    <w:p w:rsidR="00F7154D" w:rsidRPr="00D81477" w:rsidRDefault="00F7154D" w:rsidP="00F7154D">
      <w:pPr>
        <w:rPr>
          <w:b/>
        </w:rPr>
      </w:pPr>
      <w:r w:rsidRPr="00D81477">
        <w:rPr>
          <w:b/>
        </w:rPr>
        <w:t>Disclaimer</w:t>
      </w:r>
    </w:p>
    <w:p w:rsidR="00F7154D" w:rsidRPr="00D81477" w:rsidRDefault="00F7154D" w:rsidP="00F7154D">
      <w:r w:rsidRPr="00D81477">
        <w:t>This publication may be of assistance to you but the State of Victoria and its employees do not guarantee that the publication is without flaw of any kind or is wholly appropriate for your particular purposes and therefore disclaims all liability for any error, loss or other consequence which may arise from you relying on any information in this publication.</w:t>
      </w:r>
    </w:p>
    <w:p w:rsidR="00F7154D" w:rsidRPr="00D81477" w:rsidRDefault="00F7154D" w:rsidP="00F7154D">
      <w:pPr>
        <w:rPr>
          <w:b/>
          <w:sz w:val="24"/>
          <w:szCs w:val="24"/>
        </w:rPr>
      </w:pPr>
      <w:r w:rsidRPr="00D81477">
        <w:rPr>
          <w:b/>
          <w:sz w:val="24"/>
          <w:szCs w:val="24"/>
        </w:rPr>
        <w:t>Accessibility</w:t>
      </w:r>
    </w:p>
    <w:p w:rsidR="00F7154D" w:rsidRPr="00D81477" w:rsidRDefault="00F7154D" w:rsidP="00F7154D">
      <w:pPr>
        <w:rPr>
          <w:sz w:val="24"/>
          <w:szCs w:val="24"/>
        </w:rPr>
      </w:pPr>
      <w:r w:rsidRPr="00D81477">
        <w:rPr>
          <w:sz w:val="24"/>
          <w:szCs w:val="24"/>
        </w:rPr>
        <w:t>If you would like to receive this publication in an alternative format, please telephone the DELWP Customer Service Centre on 136186, email </w:t>
      </w:r>
      <w:hyperlink r:id="rId19" w:history="1">
        <w:r w:rsidRPr="00D81477">
          <w:rPr>
            <w:sz w:val="24"/>
            <w:szCs w:val="24"/>
          </w:rPr>
          <w:t>customer.service@delwp.vic.gov.au</w:t>
        </w:r>
      </w:hyperlink>
      <w:r w:rsidRPr="00D81477">
        <w:rPr>
          <w:sz w:val="24"/>
          <w:szCs w:val="24"/>
        </w:rPr>
        <w:t xml:space="preserve">, or via the National Relay Service on 133 677 </w:t>
      </w:r>
      <w:hyperlink r:id="rId20" w:history="1">
        <w:r w:rsidRPr="00D81477">
          <w:rPr>
            <w:sz w:val="24"/>
            <w:szCs w:val="24"/>
          </w:rPr>
          <w:t>www.relayservice.com.au</w:t>
        </w:r>
      </w:hyperlink>
      <w:r w:rsidRPr="00D81477">
        <w:rPr>
          <w:sz w:val="24"/>
          <w:szCs w:val="24"/>
        </w:rPr>
        <w:t xml:space="preserve">. This document is also available on the internet at </w:t>
      </w:r>
      <w:hyperlink r:id="rId21" w:history="1">
        <w:r w:rsidRPr="00D81477">
          <w:rPr>
            <w:sz w:val="24"/>
            <w:szCs w:val="24"/>
          </w:rPr>
          <w:t>www.delwp.vic.gov.au</w:t>
        </w:r>
      </w:hyperlink>
      <w:r w:rsidRPr="00D81477">
        <w:rPr>
          <w:sz w:val="24"/>
          <w:szCs w:val="24"/>
        </w:rPr>
        <w:t>.</w:t>
      </w:r>
    </w:p>
    <w:tbl>
      <w:tblPr>
        <w:tblStyle w:val="TableAsPlaceholder"/>
        <w:tblpPr w:leftFromText="181" w:rightFromText="181" w:horzAnchor="margin" w:tblpYSpec="bottom"/>
        <w:tblOverlap w:val="never"/>
        <w:tblW w:w="4269" w:type="pct"/>
        <w:tblCellMar>
          <w:right w:w="57" w:type="dxa"/>
        </w:tblCellMar>
        <w:tblLook w:val="0600" w:firstRow="0" w:lastRow="0" w:firstColumn="0" w:lastColumn="0" w:noHBand="1" w:noVBand="1"/>
      </w:tblPr>
      <w:tblGrid>
        <w:gridCol w:w="7350"/>
      </w:tblGrid>
      <w:tr w:rsidR="00F7154D" w:rsidRPr="00160290" w:rsidTr="00A56793">
        <w:tc>
          <w:tcPr>
            <w:tcW w:w="5000" w:type="pct"/>
            <w:vAlign w:val="bottom"/>
          </w:tcPr>
          <w:p w:rsidR="00F7154D" w:rsidRPr="00160290" w:rsidRDefault="00F7154D" w:rsidP="00A56793">
            <w:pPr>
              <w:pStyle w:val="xAccessibilityText"/>
            </w:pPr>
          </w:p>
        </w:tc>
      </w:tr>
    </w:tbl>
    <w:p w:rsidR="004561E6" w:rsidRDefault="004561E6"/>
    <w:p w:rsidR="00BC0ED7" w:rsidRDefault="00BC0ED7"/>
    <w:p w:rsidR="00BC0ED7" w:rsidRDefault="00BC0ED7"/>
    <w:p w:rsidR="00BC0ED7" w:rsidRDefault="00BC0ED7"/>
    <w:p w:rsidR="00BC0ED7" w:rsidRPr="00160290" w:rsidRDefault="00BC0ED7">
      <w:pPr>
        <w:sectPr w:rsidR="00BC0ED7" w:rsidRPr="00160290" w:rsidSect="00C04D98">
          <w:headerReference w:type="even" r:id="rId22"/>
          <w:footerReference w:type="even" r:id="rId23"/>
          <w:headerReference w:type="first" r:id="rId24"/>
          <w:footerReference w:type="first" r:id="rId25"/>
          <w:pgSz w:w="11907" w:h="16840" w:code="9"/>
          <w:pgMar w:top="992" w:right="1559" w:bottom="992" w:left="1797" w:header="284" w:footer="284" w:gutter="0"/>
          <w:cols w:space="708"/>
          <w:titlePg/>
          <w:docGrid w:linePitch="360"/>
        </w:sectPr>
      </w:pPr>
    </w:p>
    <w:p w:rsidR="00567948" w:rsidRPr="008A39F6" w:rsidRDefault="00FC6221" w:rsidP="008A39F6">
      <w:pPr>
        <w:pStyle w:val="Heading1"/>
      </w:pPr>
      <w:bookmarkStart w:id="1" w:name="_Toc481502161"/>
      <w:r>
        <w:lastRenderedPageBreak/>
        <w:t>Contents</w:t>
      </w:r>
      <w:bookmarkStart w:id="2" w:name="_TOCMarker"/>
      <w:bookmarkEnd w:id="1"/>
      <w:bookmarkEnd w:id="2"/>
    </w:p>
    <w:p w:rsidR="003E6C92" w:rsidRDefault="00FC6221">
      <w:pPr>
        <w:pStyle w:val="TOC1"/>
        <w:rPr>
          <w:rFonts w:eastAsiaTheme="minorEastAsia" w:cstheme="minorBidi"/>
          <w:b w:val="0"/>
          <w:color w:val="auto"/>
        </w:rPr>
      </w:pPr>
      <w:r>
        <w:fldChar w:fldCharType="begin"/>
      </w:r>
      <w:r w:rsidR="0062727D">
        <w:instrText xml:space="preserve"> TOC \o "4-4" \h \z \t "Heading 1,1,Heading 2,2,Heading 3,3,Heading 5,5,Heading 1 Top of Page,1,Please Note,2,Preface Title,2,Heading 2 No spacing,2" </w:instrText>
      </w:r>
      <w:r>
        <w:fldChar w:fldCharType="separate"/>
      </w:r>
      <w:hyperlink w:anchor="_Toc481502161" w:history="1">
        <w:r w:rsidR="003E6C92" w:rsidRPr="005F0CC4">
          <w:rPr>
            <w:rStyle w:val="Hyperlink"/>
          </w:rPr>
          <w:t>Contents</w:t>
        </w:r>
        <w:r w:rsidR="003E6C92">
          <w:rPr>
            <w:webHidden/>
          </w:rPr>
          <w:tab/>
        </w:r>
        <w:r w:rsidR="003E6C92">
          <w:rPr>
            <w:webHidden/>
          </w:rPr>
          <w:fldChar w:fldCharType="begin"/>
        </w:r>
        <w:r w:rsidR="003E6C92">
          <w:rPr>
            <w:webHidden/>
          </w:rPr>
          <w:instrText xml:space="preserve"> PAGEREF _Toc481502161 \h </w:instrText>
        </w:r>
        <w:r w:rsidR="003E6C92">
          <w:rPr>
            <w:webHidden/>
          </w:rPr>
        </w:r>
        <w:r w:rsidR="003E6C92">
          <w:rPr>
            <w:webHidden/>
          </w:rPr>
          <w:fldChar w:fldCharType="separate"/>
        </w:r>
        <w:r w:rsidR="00716E0C">
          <w:rPr>
            <w:webHidden/>
          </w:rPr>
          <w:t>1</w:t>
        </w:r>
        <w:r w:rsidR="003E6C92">
          <w:rPr>
            <w:webHidden/>
          </w:rPr>
          <w:fldChar w:fldCharType="end"/>
        </w:r>
      </w:hyperlink>
    </w:p>
    <w:p w:rsidR="003E6C92" w:rsidRDefault="00716E0C">
      <w:pPr>
        <w:pStyle w:val="TOC1"/>
        <w:rPr>
          <w:rFonts w:eastAsiaTheme="minorEastAsia" w:cstheme="minorBidi"/>
          <w:b w:val="0"/>
          <w:color w:val="auto"/>
        </w:rPr>
      </w:pPr>
      <w:hyperlink w:anchor="_Toc481502162" w:history="1">
        <w:r w:rsidR="003E6C92" w:rsidRPr="005F0CC4">
          <w:rPr>
            <w:rStyle w:val="Hyperlink"/>
          </w:rPr>
          <w:t>Acronyms and abbreviations</w:t>
        </w:r>
        <w:r w:rsidR="003E6C92">
          <w:rPr>
            <w:webHidden/>
          </w:rPr>
          <w:tab/>
        </w:r>
        <w:r w:rsidR="003E6C92">
          <w:rPr>
            <w:webHidden/>
          </w:rPr>
          <w:fldChar w:fldCharType="begin"/>
        </w:r>
        <w:r w:rsidR="003E6C92">
          <w:rPr>
            <w:webHidden/>
          </w:rPr>
          <w:instrText xml:space="preserve"> PAGEREF _Toc481502162 \h </w:instrText>
        </w:r>
        <w:r w:rsidR="003E6C92">
          <w:rPr>
            <w:webHidden/>
          </w:rPr>
        </w:r>
        <w:r w:rsidR="003E6C92">
          <w:rPr>
            <w:webHidden/>
          </w:rPr>
          <w:fldChar w:fldCharType="separate"/>
        </w:r>
        <w:r>
          <w:rPr>
            <w:webHidden/>
          </w:rPr>
          <w:t>3</w:t>
        </w:r>
        <w:r w:rsidR="003E6C92">
          <w:rPr>
            <w:webHidden/>
          </w:rPr>
          <w:fldChar w:fldCharType="end"/>
        </w:r>
      </w:hyperlink>
    </w:p>
    <w:p w:rsidR="003E6C92" w:rsidRDefault="00716E0C">
      <w:pPr>
        <w:pStyle w:val="TOC1"/>
        <w:rPr>
          <w:rFonts w:eastAsiaTheme="minorEastAsia" w:cstheme="minorBidi"/>
          <w:b w:val="0"/>
          <w:color w:val="auto"/>
        </w:rPr>
      </w:pPr>
      <w:hyperlink w:anchor="_Toc481502163" w:history="1">
        <w:r w:rsidR="003E6C92" w:rsidRPr="005F0CC4">
          <w:rPr>
            <w:rStyle w:val="Hyperlink"/>
          </w:rPr>
          <w:t>Summary</w:t>
        </w:r>
        <w:r w:rsidR="003E6C92">
          <w:rPr>
            <w:webHidden/>
          </w:rPr>
          <w:tab/>
        </w:r>
        <w:r w:rsidR="003E6C92">
          <w:rPr>
            <w:webHidden/>
          </w:rPr>
          <w:fldChar w:fldCharType="begin"/>
        </w:r>
        <w:r w:rsidR="003E6C92">
          <w:rPr>
            <w:webHidden/>
          </w:rPr>
          <w:instrText xml:space="preserve"> PAGEREF _Toc481502163 \h </w:instrText>
        </w:r>
        <w:r w:rsidR="003E6C92">
          <w:rPr>
            <w:webHidden/>
          </w:rPr>
        </w:r>
        <w:r w:rsidR="003E6C92">
          <w:rPr>
            <w:webHidden/>
          </w:rPr>
          <w:fldChar w:fldCharType="separate"/>
        </w:r>
        <w:r>
          <w:rPr>
            <w:webHidden/>
          </w:rPr>
          <w:t>4</w:t>
        </w:r>
        <w:r w:rsidR="003E6C92">
          <w:rPr>
            <w:webHidden/>
          </w:rPr>
          <w:fldChar w:fldCharType="end"/>
        </w:r>
      </w:hyperlink>
    </w:p>
    <w:p w:rsidR="003E6C92" w:rsidRDefault="00716E0C">
      <w:pPr>
        <w:pStyle w:val="TOC1"/>
        <w:rPr>
          <w:rFonts w:eastAsiaTheme="minorEastAsia" w:cstheme="minorBidi"/>
          <w:b w:val="0"/>
          <w:color w:val="auto"/>
        </w:rPr>
      </w:pPr>
      <w:hyperlink w:anchor="_Toc481502164" w:history="1">
        <w:r w:rsidR="003E6C92" w:rsidRPr="005F0CC4">
          <w:rPr>
            <w:rStyle w:val="Hyperlink"/>
          </w:rPr>
          <w:t>C1</w:t>
        </w:r>
        <w:r w:rsidR="003E6C92">
          <w:rPr>
            <w:rFonts w:eastAsiaTheme="minorEastAsia" w:cstheme="minorBidi"/>
            <w:b w:val="0"/>
            <w:color w:val="auto"/>
          </w:rPr>
          <w:tab/>
        </w:r>
        <w:r w:rsidR="003E6C92" w:rsidRPr="005F0CC4">
          <w:rPr>
            <w:rStyle w:val="Hyperlink"/>
          </w:rPr>
          <w:t>Introduction</w:t>
        </w:r>
        <w:r w:rsidR="003E6C92">
          <w:rPr>
            <w:webHidden/>
          </w:rPr>
          <w:tab/>
        </w:r>
        <w:r w:rsidR="003E6C92">
          <w:rPr>
            <w:webHidden/>
          </w:rPr>
          <w:fldChar w:fldCharType="begin"/>
        </w:r>
        <w:r w:rsidR="003E6C92">
          <w:rPr>
            <w:webHidden/>
          </w:rPr>
          <w:instrText xml:space="preserve"> PAGEREF _Toc481502164 \h </w:instrText>
        </w:r>
        <w:r w:rsidR="003E6C92">
          <w:rPr>
            <w:webHidden/>
          </w:rPr>
        </w:r>
        <w:r w:rsidR="003E6C92">
          <w:rPr>
            <w:webHidden/>
          </w:rPr>
          <w:fldChar w:fldCharType="separate"/>
        </w:r>
        <w:r>
          <w:rPr>
            <w:webHidden/>
          </w:rPr>
          <w:t>7</w:t>
        </w:r>
        <w:r w:rsidR="003E6C92">
          <w:rPr>
            <w:webHidden/>
          </w:rPr>
          <w:fldChar w:fldCharType="end"/>
        </w:r>
      </w:hyperlink>
    </w:p>
    <w:p w:rsidR="003E6C92" w:rsidRDefault="00716E0C">
      <w:pPr>
        <w:pStyle w:val="TOC2"/>
        <w:rPr>
          <w:rFonts w:eastAsiaTheme="minorEastAsia" w:cstheme="minorBidi"/>
          <w:b w:val="0"/>
          <w:sz w:val="22"/>
          <w:szCs w:val="22"/>
        </w:rPr>
      </w:pPr>
      <w:hyperlink w:anchor="_Toc481502165" w:history="1">
        <w:r w:rsidR="003E6C92" w:rsidRPr="005F0CC4">
          <w:rPr>
            <w:rStyle w:val="Hyperlink"/>
          </w:rPr>
          <w:t>C1.1</w:t>
        </w:r>
        <w:r w:rsidR="003E6C92">
          <w:rPr>
            <w:rFonts w:eastAsiaTheme="minorEastAsia" w:cstheme="minorBidi"/>
            <w:b w:val="0"/>
            <w:sz w:val="22"/>
            <w:szCs w:val="22"/>
          </w:rPr>
          <w:tab/>
        </w:r>
        <w:r w:rsidR="003E6C92" w:rsidRPr="005F0CC4">
          <w:rPr>
            <w:rStyle w:val="Hyperlink"/>
          </w:rPr>
          <w:t>The need for regulation</w:t>
        </w:r>
        <w:r w:rsidR="003E6C92">
          <w:rPr>
            <w:webHidden/>
          </w:rPr>
          <w:tab/>
        </w:r>
        <w:r w:rsidR="003E6C92">
          <w:rPr>
            <w:webHidden/>
          </w:rPr>
          <w:fldChar w:fldCharType="begin"/>
        </w:r>
        <w:r w:rsidR="003E6C92">
          <w:rPr>
            <w:webHidden/>
          </w:rPr>
          <w:instrText xml:space="preserve"> PAGEREF _Toc481502165 \h </w:instrText>
        </w:r>
        <w:r w:rsidR="003E6C92">
          <w:rPr>
            <w:webHidden/>
          </w:rPr>
        </w:r>
        <w:r w:rsidR="003E6C92">
          <w:rPr>
            <w:webHidden/>
          </w:rPr>
          <w:fldChar w:fldCharType="separate"/>
        </w:r>
        <w:r>
          <w:rPr>
            <w:webHidden/>
          </w:rPr>
          <w:t>8</w:t>
        </w:r>
        <w:r w:rsidR="003E6C92">
          <w:rPr>
            <w:webHidden/>
          </w:rPr>
          <w:fldChar w:fldCharType="end"/>
        </w:r>
      </w:hyperlink>
    </w:p>
    <w:p w:rsidR="003E6C92" w:rsidRDefault="00716E0C">
      <w:pPr>
        <w:pStyle w:val="TOC2"/>
        <w:rPr>
          <w:rFonts w:eastAsiaTheme="minorEastAsia" w:cstheme="minorBidi"/>
          <w:b w:val="0"/>
          <w:sz w:val="22"/>
          <w:szCs w:val="22"/>
        </w:rPr>
      </w:pPr>
      <w:hyperlink w:anchor="_Toc481502166" w:history="1">
        <w:r w:rsidR="003E6C92" w:rsidRPr="005F0CC4">
          <w:rPr>
            <w:rStyle w:val="Hyperlink"/>
          </w:rPr>
          <w:t>C1.2</w:t>
        </w:r>
        <w:r w:rsidR="003E6C92">
          <w:rPr>
            <w:rFonts w:eastAsiaTheme="minorEastAsia" w:cstheme="minorBidi"/>
            <w:b w:val="0"/>
            <w:sz w:val="22"/>
            <w:szCs w:val="22"/>
          </w:rPr>
          <w:tab/>
        </w:r>
        <w:r w:rsidR="003E6C92" w:rsidRPr="005F0CC4">
          <w:rPr>
            <w:rStyle w:val="Hyperlink"/>
          </w:rPr>
          <w:t>Options</w:t>
        </w:r>
        <w:r w:rsidR="003E6C92">
          <w:rPr>
            <w:webHidden/>
          </w:rPr>
          <w:tab/>
        </w:r>
        <w:r w:rsidR="003E6C92">
          <w:rPr>
            <w:webHidden/>
          </w:rPr>
          <w:fldChar w:fldCharType="begin"/>
        </w:r>
        <w:r w:rsidR="003E6C92">
          <w:rPr>
            <w:webHidden/>
          </w:rPr>
          <w:instrText xml:space="preserve"> PAGEREF _Toc481502166 \h </w:instrText>
        </w:r>
        <w:r w:rsidR="003E6C92">
          <w:rPr>
            <w:webHidden/>
          </w:rPr>
        </w:r>
        <w:r w:rsidR="003E6C92">
          <w:rPr>
            <w:webHidden/>
          </w:rPr>
          <w:fldChar w:fldCharType="separate"/>
        </w:r>
        <w:r>
          <w:rPr>
            <w:webHidden/>
          </w:rPr>
          <w:t>8</w:t>
        </w:r>
        <w:r w:rsidR="003E6C92">
          <w:rPr>
            <w:webHidden/>
          </w:rPr>
          <w:fldChar w:fldCharType="end"/>
        </w:r>
      </w:hyperlink>
    </w:p>
    <w:p w:rsidR="003E6C92" w:rsidRDefault="00716E0C">
      <w:pPr>
        <w:pStyle w:val="TOC1"/>
        <w:rPr>
          <w:rFonts w:eastAsiaTheme="minorEastAsia" w:cstheme="minorBidi"/>
          <w:b w:val="0"/>
          <w:color w:val="auto"/>
        </w:rPr>
      </w:pPr>
      <w:hyperlink w:anchor="_Toc481502167" w:history="1">
        <w:r w:rsidR="003E6C92" w:rsidRPr="005F0CC4">
          <w:rPr>
            <w:rStyle w:val="Hyperlink"/>
          </w:rPr>
          <w:t>C2</w:t>
        </w:r>
        <w:r w:rsidR="003E6C92">
          <w:rPr>
            <w:rFonts w:eastAsiaTheme="minorEastAsia" w:cstheme="minorBidi"/>
            <w:b w:val="0"/>
            <w:color w:val="auto"/>
          </w:rPr>
          <w:tab/>
        </w:r>
        <w:r w:rsidR="003E6C92" w:rsidRPr="005F0CC4">
          <w:rPr>
            <w:rStyle w:val="Hyperlink"/>
          </w:rPr>
          <w:t xml:space="preserve"> Issues with building practitioners</w:t>
        </w:r>
        <w:r w:rsidR="003E6C92">
          <w:rPr>
            <w:webHidden/>
          </w:rPr>
          <w:tab/>
        </w:r>
        <w:r w:rsidR="003E6C92">
          <w:rPr>
            <w:webHidden/>
          </w:rPr>
          <w:fldChar w:fldCharType="begin"/>
        </w:r>
        <w:r w:rsidR="003E6C92">
          <w:rPr>
            <w:webHidden/>
          </w:rPr>
          <w:instrText xml:space="preserve"> PAGEREF _Toc481502167 \h </w:instrText>
        </w:r>
        <w:r w:rsidR="003E6C92">
          <w:rPr>
            <w:webHidden/>
          </w:rPr>
        </w:r>
        <w:r w:rsidR="003E6C92">
          <w:rPr>
            <w:webHidden/>
          </w:rPr>
          <w:fldChar w:fldCharType="separate"/>
        </w:r>
        <w:r>
          <w:rPr>
            <w:webHidden/>
          </w:rPr>
          <w:t>10</w:t>
        </w:r>
        <w:r w:rsidR="003E6C92">
          <w:rPr>
            <w:webHidden/>
          </w:rPr>
          <w:fldChar w:fldCharType="end"/>
        </w:r>
      </w:hyperlink>
    </w:p>
    <w:p w:rsidR="003E6C92" w:rsidRDefault="00716E0C">
      <w:pPr>
        <w:pStyle w:val="TOC2"/>
        <w:rPr>
          <w:rFonts w:eastAsiaTheme="minorEastAsia" w:cstheme="minorBidi"/>
          <w:b w:val="0"/>
          <w:sz w:val="22"/>
          <w:szCs w:val="22"/>
        </w:rPr>
      </w:pPr>
      <w:hyperlink w:anchor="_Toc481502168" w:history="1">
        <w:r w:rsidR="003E6C92" w:rsidRPr="005F0CC4">
          <w:rPr>
            <w:rStyle w:val="Hyperlink"/>
          </w:rPr>
          <w:t>C2.1</w:t>
        </w:r>
        <w:r w:rsidR="003E6C92">
          <w:rPr>
            <w:rFonts w:eastAsiaTheme="minorEastAsia" w:cstheme="minorBidi"/>
            <w:b w:val="0"/>
            <w:sz w:val="22"/>
            <w:szCs w:val="22"/>
          </w:rPr>
          <w:tab/>
        </w:r>
        <w:r w:rsidR="003E6C92" w:rsidRPr="005F0CC4">
          <w:rPr>
            <w:rStyle w:val="Hyperlink"/>
          </w:rPr>
          <w:t>Size of the problem</w:t>
        </w:r>
        <w:r w:rsidR="003E6C92">
          <w:rPr>
            <w:webHidden/>
          </w:rPr>
          <w:tab/>
        </w:r>
        <w:r w:rsidR="003E6C92">
          <w:rPr>
            <w:webHidden/>
          </w:rPr>
          <w:fldChar w:fldCharType="begin"/>
        </w:r>
        <w:r w:rsidR="003E6C92">
          <w:rPr>
            <w:webHidden/>
          </w:rPr>
          <w:instrText xml:space="preserve"> PAGEREF _Toc481502168 \h </w:instrText>
        </w:r>
        <w:r w:rsidR="003E6C92">
          <w:rPr>
            <w:webHidden/>
          </w:rPr>
        </w:r>
        <w:r w:rsidR="003E6C92">
          <w:rPr>
            <w:webHidden/>
          </w:rPr>
          <w:fldChar w:fldCharType="separate"/>
        </w:r>
        <w:r>
          <w:rPr>
            <w:webHidden/>
          </w:rPr>
          <w:t>10</w:t>
        </w:r>
        <w:r w:rsidR="003E6C92">
          <w:rPr>
            <w:webHidden/>
          </w:rPr>
          <w:fldChar w:fldCharType="end"/>
        </w:r>
      </w:hyperlink>
    </w:p>
    <w:p w:rsidR="003E6C92" w:rsidRDefault="00716E0C">
      <w:pPr>
        <w:pStyle w:val="TOC2"/>
        <w:rPr>
          <w:rFonts w:eastAsiaTheme="minorEastAsia" w:cstheme="minorBidi"/>
          <w:b w:val="0"/>
          <w:sz w:val="22"/>
          <w:szCs w:val="22"/>
        </w:rPr>
      </w:pPr>
      <w:hyperlink w:anchor="_Toc481502169" w:history="1">
        <w:r w:rsidR="003E6C92" w:rsidRPr="005F0CC4">
          <w:rPr>
            <w:rStyle w:val="Hyperlink"/>
          </w:rPr>
          <w:t xml:space="preserve">C2.2 </w:t>
        </w:r>
        <w:r w:rsidR="003E6C92">
          <w:rPr>
            <w:rFonts w:eastAsiaTheme="minorEastAsia" w:cstheme="minorBidi"/>
            <w:b w:val="0"/>
            <w:sz w:val="22"/>
            <w:szCs w:val="22"/>
          </w:rPr>
          <w:tab/>
        </w:r>
        <w:r w:rsidR="003E6C92" w:rsidRPr="005F0CC4">
          <w:rPr>
            <w:rStyle w:val="Hyperlink"/>
          </w:rPr>
          <w:t>Domestic builder</w:t>
        </w:r>
        <w:r w:rsidR="003E6C92">
          <w:rPr>
            <w:webHidden/>
          </w:rPr>
          <w:tab/>
        </w:r>
        <w:r w:rsidR="003E6C92">
          <w:rPr>
            <w:webHidden/>
          </w:rPr>
          <w:fldChar w:fldCharType="begin"/>
        </w:r>
        <w:r w:rsidR="003E6C92">
          <w:rPr>
            <w:webHidden/>
          </w:rPr>
          <w:instrText xml:space="preserve"> PAGEREF _Toc481502169 \h </w:instrText>
        </w:r>
        <w:r w:rsidR="003E6C92">
          <w:rPr>
            <w:webHidden/>
          </w:rPr>
        </w:r>
        <w:r w:rsidR="003E6C92">
          <w:rPr>
            <w:webHidden/>
          </w:rPr>
          <w:fldChar w:fldCharType="separate"/>
        </w:r>
        <w:r>
          <w:rPr>
            <w:webHidden/>
          </w:rPr>
          <w:t>10</w:t>
        </w:r>
        <w:r w:rsidR="003E6C92">
          <w:rPr>
            <w:webHidden/>
          </w:rPr>
          <w:fldChar w:fldCharType="end"/>
        </w:r>
      </w:hyperlink>
    </w:p>
    <w:p w:rsidR="003E6C92" w:rsidRDefault="00716E0C">
      <w:pPr>
        <w:pStyle w:val="TOC3"/>
        <w:rPr>
          <w:sz w:val="22"/>
          <w:szCs w:val="22"/>
        </w:rPr>
      </w:pPr>
      <w:hyperlink w:anchor="_Toc481502170" w:history="1">
        <w:r w:rsidR="003E6C92" w:rsidRPr="005F0CC4">
          <w:rPr>
            <w:rStyle w:val="Hyperlink"/>
          </w:rPr>
          <w:t>C2.2.1</w:t>
        </w:r>
        <w:r w:rsidR="003E6C92">
          <w:rPr>
            <w:sz w:val="22"/>
            <w:szCs w:val="22"/>
          </w:rPr>
          <w:tab/>
        </w:r>
        <w:r w:rsidR="003E6C92" w:rsidRPr="005F0CC4">
          <w:rPr>
            <w:rStyle w:val="Hyperlink"/>
          </w:rPr>
          <w:t>Number of domestic builders registered in Victoria</w:t>
        </w:r>
        <w:r w:rsidR="003E6C92">
          <w:rPr>
            <w:webHidden/>
          </w:rPr>
          <w:tab/>
        </w:r>
        <w:r w:rsidR="003E6C92">
          <w:rPr>
            <w:webHidden/>
          </w:rPr>
          <w:fldChar w:fldCharType="begin"/>
        </w:r>
        <w:r w:rsidR="003E6C92">
          <w:rPr>
            <w:webHidden/>
          </w:rPr>
          <w:instrText xml:space="preserve"> PAGEREF _Toc481502170 \h </w:instrText>
        </w:r>
        <w:r w:rsidR="003E6C92">
          <w:rPr>
            <w:webHidden/>
          </w:rPr>
        </w:r>
        <w:r w:rsidR="003E6C92">
          <w:rPr>
            <w:webHidden/>
          </w:rPr>
          <w:fldChar w:fldCharType="separate"/>
        </w:r>
        <w:r>
          <w:rPr>
            <w:webHidden/>
          </w:rPr>
          <w:t>10</w:t>
        </w:r>
        <w:r w:rsidR="003E6C92">
          <w:rPr>
            <w:webHidden/>
          </w:rPr>
          <w:fldChar w:fldCharType="end"/>
        </w:r>
      </w:hyperlink>
    </w:p>
    <w:p w:rsidR="003E6C92" w:rsidRDefault="00716E0C">
      <w:pPr>
        <w:pStyle w:val="TOC3"/>
        <w:rPr>
          <w:sz w:val="22"/>
          <w:szCs w:val="22"/>
        </w:rPr>
      </w:pPr>
      <w:hyperlink w:anchor="_Toc481502171" w:history="1">
        <w:r w:rsidR="003E6C92" w:rsidRPr="005F0CC4">
          <w:rPr>
            <w:rStyle w:val="Hyperlink"/>
          </w:rPr>
          <w:t>C2.2.2</w:t>
        </w:r>
        <w:r w:rsidR="003E6C92">
          <w:rPr>
            <w:sz w:val="22"/>
            <w:szCs w:val="22"/>
          </w:rPr>
          <w:tab/>
        </w:r>
        <w:r w:rsidR="003E6C92" w:rsidRPr="005F0CC4">
          <w:rPr>
            <w:rStyle w:val="Hyperlink"/>
          </w:rPr>
          <w:t>Scope of regulated work</w:t>
        </w:r>
        <w:r w:rsidR="003E6C92">
          <w:rPr>
            <w:webHidden/>
          </w:rPr>
          <w:tab/>
        </w:r>
        <w:r w:rsidR="003E6C92">
          <w:rPr>
            <w:webHidden/>
          </w:rPr>
          <w:fldChar w:fldCharType="begin"/>
        </w:r>
        <w:r w:rsidR="003E6C92">
          <w:rPr>
            <w:webHidden/>
          </w:rPr>
          <w:instrText xml:space="preserve"> PAGEREF _Toc481502171 \h </w:instrText>
        </w:r>
        <w:r w:rsidR="003E6C92">
          <w:rPr>
            <w:webHidden/>
          </w:rPr>
        </w:r>
        <w:r w:rsidR="003E6C92">
          <w:rPr>
            <w:webHidden/>
          </w:rPr>
          <w:fldChar w:fldCharType="separate"/>
        </w:r>
        <w:r>
          <w:rPr>
            <w:webHidden/>
          </w:rPr>
          <w:t>11</w:t>
        </w:r>
        <w:r w:rsidR="003E6C92">
          <w:rPr>
            <w:webHidden/>
          </w:rPr>
          <w:fldChar w:fldCharType="end"/>
        </w:r>
      </w:hyperlink>
    </w:p>
    <w:p w:rsidR="003E6C92" w:rsidRDefault="00716E0C">
      <w:pPr>
        <w:pStyle w:val="TOC3"/>
        <w:rPr>
          <w:sz w:val="22"/>
          <w:szCs w:val="22"/>
        </w:rPr>
      </w:pPr>
      <w:hyperlink w:anchor="_Toc481502172" w:history="1">
        <w:r w:rsidR="003E6C92" w:rsidRPr="005F0CC4">
          <w:rPr>
            <w:rStyle w:val="Hyperlink"/>
          </w:rPr>
          <w:t>C2.2.3</w:t>
        </w:r>
        <w:r w:rsidR="003E6C92">
          <w:rPr>
            <w:sz w:val="22"/>
            <w:szCs w:val="22"/>
          </w:rPr>
          <w:tab/>
        </w:r>
        <w:r w:rsidR="003E6C92" w:rsidRPr="005F0CC4">
          <w:rPr>
            <w:rStyle w:val="Hyperlink"/>
          </w:rPr>
          <w:t>When registration of domestic builders is required</w:t>
        </w:r>
        <w:r w:rsidR="003E6C92">
          <w:rPr>
            <w:webHidden/>
          </w:rPr>
          <w:tab/>
        </w:r>
        <w:r w:rsidR="003E6C92">
          <w:rPr>
            <w:webHidden/>
          </w:rPr>
          <w:fldChar w:fldCharType="begin"/>
        </w:r>
        <w:r w:rsidR="003E6C92">
          <w:rPr>
            <w:webHidden/>
          </w:rPr>
          <w:instrText xml:space="preserve"> PAGEREF _Toc481502172 \h </w:instrText>
        </w:r>
        <w:r w:rsidR="003E6C92">
          <w:rPr>
            <w:webHidden/>
          </w:rPr>
        </w:r>
        <w:r w:rsidR="003E6C92">
          <w:rPr>
            <w:webHidden/>
          </w:rPr>
          <w:fldChar w:fldCharType="separate"/>
        </w:r>
        <w:r>
          <w:rPr>
            <w:webHidden/>
          </w:rPr>
          <w:t>11</w:t>
        </w:r>
        <w:r w:rsidR="003E6C92">
          <w:rPr>
            <w:webHidden/>
          </w:rPr>
          <w:fldChar w:fldCharType="end"/>
        </w:r>
      </w:hyperlink>
    </w:p>
    <w:p w:rsidR="003E6C92" w:rsidRDefault="00716E0C">
      <w:pPr>
        <w:pStyle w:val="TOC3"/>
        <w:rPr>
          <w:sz w:val="22"/>
          <w:szCs w:val="22"/>
        </w:rPr>
      </w:pPr>
      <w:hyperlink w:anchor="_Toc481502173" w:history="1">
        <w:r w:rsidR="003E6C92" w:rsidRPr="005F0CC4">
          <w:rPr>
            <w:rStyle w:val="Hyperlink"/>
          </w:rPr>
          <w:t>C2.2.4</w:t>
        </w:r>
        <w:r w:rsidR="003E6C92">
          <w:rPr>
            <w:sz w:val="22"/>
            <w:szCs w:val="22"/>
          </w:rPr>
          <w:tab/>
        </w:r>
        <w:r w:rsidR="003E6C92" w:rsidRPr="005F0CC4">
          <w:rPr>
            <w:rStyle w:val="Hyperlink"/>
          </w:rPr>
          <w:t>Volume of work undertaken by domestic builders in Victoria</w:t>
        </w:r>
        <w:r w:rsidR="003E6C92">
          <w:rPr>
            <w:webHidden/>
          </w:rPr>
          <w:tab/>
        </w:r>
        <w:r w:rsidR="003E6C92">
          <w:rPr>
            <w:webHidden/>
          </w:rPr>
          <w:fldChar w:fldCharType="begin"/>
        </w:r>
        <w:r w:rsidR="003E6C92">
          <w:rPr>
            <w:webHidden/>
          </w:rPr>
          <w:instrText xml:space="preserve"> PAGEREF _Toc481502173 \h </w:instrText>
        </w:r>
        <w:r w:rsidR="003E6C92">
          <w:rPr>
            <w:webHidden/>
          </w:rPr>
        </w:r>
        <w:r w:rsidR="003E6C92">
          <w:rPr>
            <w:webHidden/>
          </w:rPr>
          <w:fldChar w:fldCharType="separate"/>
        </w:r>
        <w:r>
          <w:rPr>
            <w:webHidden/>
          </w:rPr>
          <w:t>11</w:t>
        </w:r>
        <w:r w:rsidR="003E6C92">
          <w:rPr>
            <w:webHidden/>
          </w:rPr>
          <w:fldChar w:fldCharType="end"/>
        </w:r>
      </w:hyperlink>
    </w:p>
    <w:p w:rsidR="003E6C92" w:rsidRDefault="00716E0C">
      <w:pPr>
        <w:pStyle w:val="TOC3"/>
        <w:rPr>
          <w:sz w:val="22"/>
          <w:szCs w:val="22"/>
        </w:rPr>
      </w:pPr>
      <w:hyperlink w:anchor="_Toc481502174" w:history="1">
        <w:r w:rsidR="003E6C92" w:rsidRPr="005F0CC4">
          <w:rPr>
            <w:rStyle w:val="Hyperlink"/>
          </w:rPr>
          <w:t>C2.2.5</w:t>
        </w:r>
        <w:r w:rsidR="003E6C92">
          <w:rPr>
            <w:sz w:val="22"/>
            <w:szCs w:val="22"/>
          </w:rPr>
          <w:tab/>
        </w:r>
        <w:r w:rsidR="003E6C92" w:rsidRPr="005F0CC4">
          <w:rPr>
            <w:rStyle w:val="Hyperlink"/>
          </w:rPr>
          <w:t>Performance of domestic builders</w:t>
        </w:r>
        <w:r w:rsidR="003E6C92">
          <w:rPr>
            <w:webHidden/>
          </w:rPr>
          <w:tab/>
        </w:r>
        <w:r w:rsidR="003E6C92">
          <w:rPr>
            <w:webHidden/>
          </w:rPr>
          <w:fldChar w:fldCharType="begin"/>
        </w:r>
        <w:r w:rsidR="003E6C92">
          <w:rPr>
            <w:webHidden/>
          </w:rPr>
          <w:instrText xml:space="preserve"> PAGEREF _Toc481502174 \h </w:instrText>
        </w:r>
        <w:r w:rsidR="003E6C92">
          <w:rPr>
            <w:webHidden/>
          </w:rPr>
        </w:r>
        <w:r w:rsidR="003E6C92">
          <w:rPr>
            <w:webHidden/>
          </w:rPr>
          <w:fldChar w:fldCharType="separate"/>
        </w:r>
        <w:r>
          <w:rPr>
            <w:webHidden/>
          </w:rPr>
          <w:t>11</w:t>
        </w:r>
        <w:r w:rsidR="003E6C92">
          <w:rPr>
            <w:webHidden/>
          </w:rPr>
          <w:fldChar w:fldCharType="end"/>
        </w:r>
      </w:hyperlink>
    </w:p>
    <w:p w:rsidR="003E6C92" w:rsidRDefault="00716E0C">
      <w:pPr>
        <w:pStyle w:val="TOC3"/>
        <w:rPr>
          <w:sz w:val="22"/>
          <w:szCs w:val="22"/>
        </w:rPr>
      </w:pPr>
      <w:hyperlink w:anchor="_Toc481502175" w:history="1">
        <w:r w:rsidR="003E6C92" w:rsidRPr="005F0CC4">
          <w:rPr>
            <w:rStyle w:val="Hyperlink"/>
          </w:rPr>
          <w:t>C2.2.6</w:t>
        </w:r>
        <w:r w:rsidR="003E6C92">
          <w:rPr>
            <w:sz w:val="22"/>
            <w:szCs w:val="22"/>
          </w:rPr>
          <w:tab/>
        </w:r>
        <w:r w:rsidR="003E6C92" w:rsidRPr="005F0CC4">
          <w:rPr>
            <w:rStyle w:val="Hyperlink"/>
          </w:rPr>
          <w:t>Discipline of domestic builders</w:t>
        </w:r>
        <w:r w:rsidR="003E6C92">
          <w:rPr>
            <w:webHidden/>
          </w:rPr>
          <w:tab/>
        </w:r>
        <w:r w:rsidR="003E6C92">
          <w:rPr>
            <w:webHidden/>
          </w:rPr>
          <w:fldChar w:fldCharType="begin"/>
        </w:r>
        <w:r w:rsidR="003E6C92">
          <w:rPr>
            <w:webHidden/>
          </w:rPr>
          <w:instrText xml:space="preserve"> PAGEREF _Toc481502175 \h </w:instrText>
        </w:r>
        <w:r w:rsidR="003E6C92">
          <w:rPr>
            <w:webHidden/>
          </w:rPr>
        </w:r>
        <w:r w:rsidR="003E6C92">
          <w:rPr>
            <w:webHidden/>
          </w:rPr>
          <w:fldChar w:fldCharType="separate"/>
        </w:r>
        <w:r>
          <w:rPr>
            <w:webHidden/>
          </w:rPr>
          <w:t>12</w:t>
        </w:r>
        <w:r w:rsidR="003E6C92">
          <w:rPr>
            <w:webHidden/>
          </w:rPr>
          <w:fldChar w:fldCharType="end"/>
        </w:r>
      </w:hyperlink>
    </w:p>
    <w:p w:rsidR="003E6C92" w:rsidRDefault="00716E0C">
      <w:pPr>
        <w:pStyle w:val="TOC3"/>
        <w:rPr>
          <w:sz w:val="22"/>
          <w:szCs w:val="22"/>
        </w:rPr>
      </w:pPr>
      <w:hyperlink w:anchor="_Toc481502176" w:history="1">
        <w:r w:rsidR="003E6C92" w:rsidRPr="005F0CC4">
          <w:rPr>
            <w:rStyle w:val="Hyperlink"/>
          </w:rPr>
          <w:t>C2.2.7</w:t>
        </w:r>
        <w:r w:rsidR="003E6C92">
          <w:rPr>
            <w:sz w:val="22"/>
            <w:szCs w:val="22"/>
          </w:rPr>
          <w:tab/>
        </w:r>
        <w:r w:rsidR="003E6C92" w:rsidRPr="005F0CC4">
          <w:rPr>
            <w:rStyle w:val="Hyperlink"/>
          </w:rPr>
          <w:t>Summary of performance measures</w:t>
        </w:r>
        <w:r w:rsidR="003E6C92">
          <w:rPr>
            <w:webHidden/>
          </w:rPr>
          <w:tab/>
        </w:r>
        <w:r w:rsidR="003E6C92">
          <w:rPr>
            <w:webHidden/>
          </w:rPr>
          <w:fldChar w:fldCharType="begin"/>
        </w:r>
        <w:r w:rsidR="003E6C92">
          <w:rPr>
            <w:webHidden/>
          </w:rPr>
          <w:instrText xml:space="preserve"> PAGEREF _Toc481502176 \h </w:instrText>
        </w:r>
        <w:r w:rsidR="003E6C92">
          <w:rPr>
            <w:webHidden/>
          </w:rPr>
        </w:r>
        <w:r w:rsidR="003E6C92">
          <w:rPr>
            <w:webHidden/>
          </w:rPr>
          <w:fldChar w:fldCharType="separate"/>
        </w:r>
        <w:r>
          <w:rPr>
            <w:webHidden/>
          </w:rPr>
          <w:t>13</w:t>
        </w:r>
        <w:r w:rsidR="003E6C92">
          <w:rPr>
            <w:webHidden/>
          </w:rPr>
          <w:fldChar w:fldCharType="end"/>
        </w:r>
      </w:hyperlink>
    </w:p>
    <w:p w:rsidR="003E6C92" w:rsidRDefault="00716E0C">
      <w:pPr>
        <w:pStyle w:val="TOC2"/>
        <w:rPr>
          <w:rFonts w:eastAsiaTheme="minorEastAsia" w:cstheme="minorBidi"/>
          <w:b w:val="0"/>
          <w:sz w:val="22"/>
          <w:szCs w:val="22"/>
        </w:rPr>
      </w:pPr>
      <w:hyperlink w:anchor="_Toc481502177" w:history="1">
        <w:r w:rsidR="003E6C92" w:rsidRPr="005F0CC4">
          <w:rPr>
            <w:rStyle w:val="Hyperlink"/>
          </w:rPr>
          <w:t>C2.3</w:t>
        </w:r>
        <w:r w:rsidR="003E6C92">
          <w:rPr>
            <w:rFonts w:eastAsiaTheme="minorEastAsia" w:cstheme="minorBidi"/>
            <w:b w:val="0"/>
            <w:sz w:val="22"/>
            <w:szCs w:val="22"/>
          </w:rPr>
          <w:tab/>
        </w:r>
        <w:r w:rsidR="003E6C92" w:rsidRPr="005F0CC4">
          <w:rPr>
            <w:rStyle w:val="Hyperlink"/>
          </w:rPr>
          <w:t>Building surveyor</w:t>
        </w:r>
        <w:r w:rsidR="003E6C92">
          <w:rPr>
            <w:webHidden/>
          </w:rPr>
          <w:tab/>
        </w:r>
        <w:r w:rsidR="003E6C92">
          <w:rPr>
            <w:webHidden/>
          </w:rPr>
          <w:fldChar w:fldCharType="begin"/>
        </w:r>
        <w:r w:rsidR="003E6C92">
          <w:rPr>
            <w:webHidden/>
          </w:rPr>
          <w:instrText xml:space="preserve"> PAGEREF _Toc481502177 \h </w:instrText>
        </w:r>
        <w:r w:rsidR="003E6C92">
          <w:rPr>
            <w:webHidden/>
          </w:rPr>
        </w:r>
        <w:r w:rsidR="003E6C92">
          <w:rPr>
            <w:webHidden/>
          </w:rPr>
          <w:fldChar w:fldCharType="separate"/>
        </w:r>
        <w:r>
          <w:rPr>
            <w:webHidden/>
          </w:rPr>
          <w:t>13</w:t>
        </w:r>
        <w:r w:rsidR="003E6C92">
          <w:rPr>
            <w:webHidden/>
          </w:rPr>
          <w:fldChar w:fldCharType="end"/>
        </w:r>
      </w:hyperlink>
    </w:p>
    <w:p w:rsidR="003E6C92" w:rsidRDefault="00716E0C">
      <w:pPr>
        <w:pStyle w:val="TOC3"/>
        <w:rPr>
          <w:sz w:val="22"/>
          <w:szCs w:val="22"/>
        </w:rPr>
      </w:pPr>
      <w:hyperlink w:anchor="_Toc481502178" w:history="1">
        <w:r w:rsidR="003E6C92" w:rsidRPr="005F0CC4">
          <w:rPr>
            <w:rStyle w:val="Hyperlink"/>
          </w:rPr>
          <w:t>C2.3.1</w:t>
        </w:r>
        <w:r w:rsidR="003E6C92">
          <w:rPr>
            <w:sz w:val="22"/>
            <w:szCs w:val="22"/>
          </w:rPr>
          <w:tab/>
        </w:r>
        <w:r w:rsidR="003E6C92" w:rsidRPr="005F0CC4">
          <w:rPr>
            <w:rStyle w:val="Hyperlink"/>
          </w:rPr>
          <w:t>Scope of regulated work</w:t>
        </w:r>
        <w:r w:rsidR="003E6C92">
          <w:rPr>
            <w:webHidden/>
          </w:rPr>
          <w:tab/>
        </w:r>
        <w:r w:rsidR="003E6C92">
          <w:rPr>
            <w:webHidden/>
          </w:rPr>
          <w:fldChar w:fldCharType="begin"/>
        </w:r>
        <w:r w:rsidR="003E6C92">
          <w:rPr>
            <w:webHidden/>
          </w:rPr>
          <w:instrText xml:space="preserve"> PAGEREF _Toc481502178 \h </w:instrText>
        </w:r>
        <w:r w:rsidR="003E6C92">
          <w:rPr>
            <w:webHidden/>
          </w:rPr>
        </w:r>
        <w:r w:rsidR="003E6C92">
          <w:rPr>
            <w:webHidden/>
          </w:rPr>
          <w:fldChar w:fldCharType="separate"/>
        </w:r>
        <w:r>
          <w:rPr>
            <w:webHidden/>
          </w:rPr>
          <w:t>13</w:t>
        </w:r>
        <w:r w:rsidR="003E6C92">
          <w:rPr>
            <w:webHidden/>
          </w:rPr>
          <w:fldChar w:fldCharType="end"/>
        </w:r>
      </w:hyperlink>
    </w:p>
    <w:p w:rsidR="003E6C92" w:rsidRDefault="00716E0C">
      <w:pPr>
        <w:pStyle w:val="TOC3"/>
        <w:rPr>
          <w:sz w:val="22"/>
          <w:szCs w:val="22"/>
        </w:rPr>
      </w:pPr>
      <w:hyperlink w:anchor="_Toc481502179" w:history="1">
        <w:r w:rsidR="003E6C92" w:rsidRPr="005F0CC4">
          <w:rPr>
            <w:rStyle w:val="Hyperlink"/>
          </w:rPr>
          <w:t>C2.3.2</w:t>
        </w:r>
        <w:r w:rsidR="003E6C92">
          <w:rPr>
            <w:sz w:val="22"/>
            <w:szCs w:val="22"/>
          </w:rPr>
          <w:tab/>
        </w:r>
        <w:r w:rsidR="003E6C92" w:rsidRPr="005F0CC4">
          <w:rPr>
            <w:rStyle w:val="Hyperlink"/>
          </w:rPr>
          <w:t>Volume of work undertaken by registered building surveyors in Victoria</w:t>
        </w:r>
        <w:r w:rsidR="003E6C92">
          <w:rPr>
            <w:webHidden/>
          </w:rPr>
          <w:tab/>
        </w:r>
        <w:r w:rsidR="003E6C92">
          <w:rPr>
            <w:webHidden/>
          </w:rPr>
          <w:fldChar w:fldCharType="begin"/>
        </w:r>
        <w:r w:rsidR="003E6C92">
          <w:rPr>
            <w:webHidden/>
          </w:rPr>
          <w:instrText xml:space="preserve"> PAGEREF _Toc481502179 \h </w:instrText>
        </w:r>
        <w:r w:rsidR="003E6C92">
          <w:rPr>
            <w:webHidden/>
          </w:rPr>
        </w:r>
        <w:r w:rsidR="003E6C92">
          <w:rPr>
            <w:webHidden/>
          </w:rPr>
          <w:fldChar w:fldCharType="separate"/>
        </w:r>
        <w:r>
          <w:rPr>
            <w:webHidden/>
          </w:rPr>
          <w:t>14</w:t>
        </w:r>
        <w:r w:rsidR="003E6C92">
          <w:rPr>
            <w:webHidden/>
          </w:rPr>
          <w:fldChar w:fldCharType="end"/>
        </w:r>
      </w:hyperlink>
    </w:p>
    <w:p w:rsidR="003E6C92" w:rsidRDefault="00716E0C">
      <w:pPr>
        <w:pStyle w:val="TOC3"/>
        <w:rPr>
          <w:sz w:val="22"/>
          <w:szCs w:val="22"/>
        </w:rPr>
      </w:pPr>
      <w:hyperlink w:anchor="_Toc481502180" w:history="1">
        <w:r w:rsidR="003E6C92" w:rsidRPr="005F0CC4">
          <w:rPr>
            <w:rStyle w:val="Hyperlink"/>
          </w:rPr>
          <w:t>C2.3.3</w:t>
        </w:r>
        <w:r w:rsidR="003E6C92">
          <w:rPr>
            <w:sz w:val="22"/>
            <w:szCs w:val="22"/>
          </w:rPr>
          <w:tab/>
        </w:r>
        <w:r w:rsidR="003E6C92" w:rsidRPr="005F0CC4">
          <w:rPr>
            <w:rStyle w:val="Hyperlink"/>
          </w:rPr>
          <w:t>Performance of building surveyors</w:t>
        </w:r>
        <w:r w:rsidR="003E6C92">
          <w:rPr>
            <w:webHidden/>
          </w:rPr>
          <w:tab/>
        </w:r>
        <w:r w:rsidR="003E6C92">
          <w:rPr>
            <w:webHidden/>
          </w:rPr>
          <w:fldChar w:fldCharType="begin"/>
        </w:r>
        <w:r w:rsidR="003E6C92">
          <w:rPr>
            <w:webHidden/>
          </w:rPr>
          <w:instrText xml:space="preserve"> PAGEREF _Toc481502180 \h </w:instrText>
        </w:r>
        <w:r w:rsidR="003E6C92">
          <w:rPr>
            <w:webHidden/>
          </w:rPr>
        </w:r>
        <w:r w:rsidR="003E6C92">
          <w:rPr>
            <w:webHidden/>
          </w:rPr>
          <w:fldChar w:fldCharType="separate"/>
        </w:r>
        <w:r>
          <w:rPr>
            <w:webHidden/>
          </w:rPr>
          <w:t>15</w:t>
        </w:r>
        <w:r w:rsidR="003E6C92">
          <w:rPr>
            <w:webHidden/>
          </w:rPr>
          <w:fldChar w:fldCharType="end"/>
        </w:r>
      </w:hyperlink>
    </w:p>
    <w:p w:rsidR="003E6C92" w:rsidRDefault="00716E0C">
      <w:pPr>
        <w:pStyle w:val="TOC3"/>
        <w:rPr>
          <w:sz w:val="22"/>
          <w:szCs w:val="22"/>
        </w:rPr>
      </w:pPr>
      <w:hyperlink w:anchor="_Toc481502181" w:history="1">
        <w:r w:rsidR="003E6C92" w:rsidRPr="005F0CC4">
          <w:rPr>
            <w:rStyle w:val="Hyperlink"/>
          </w:rPr>
          <w:t>C2.3.4</w:t>
        </w:r>
        <w:r w:rsidR="003E6C92">
          <w:rPr>
            <w:sz w:val="22"/>
            <w:szCs w:val="22"/>
          </w:rPr>
          <w:tab/>
        </w:r>
        <w:r w:rsidR="003E6C92" w:rsidRPr="005F0CC4">
          <w:rPr>
            <w:rStyle w:val="Hyperlink"/>
          </w:rPr>
          <w:t>2011 Compliance with Building Permits report</w:t>
        </w:r>
        <w:r w:rsidR="003E6C92">
          <w:rPr>
            <w:webHidden/>
          </w:rPr>
          <w:tab/>
        </w:r>
        <w:r w:rsidR="003E6C92">
          <w:rPr>
            <w:webHidden/>
          </w:rPr>
          <w:fldChar w:fldCharType="begin"/>
        </w:r>
        <w:r w:rsidR="003E6C92">
          <w:rPr>
            <w:webHidden/>
          </w:rPr>
          <w:instrText xml:space="preserve"> PAGEREF _Toc481502181 \h </w:instrText>
        </w:r>
        <w:r w:rsidR="003E6C92">
          <w:rPr>
            <w:webHidden/>
          </w:rPr>
        </w:r>
        <w:r w:rsidR="003E6C92">
          <w:rPr>
            <w:webHidden/>
          </w:rPr>
          <w:fldChar w:fldCharType="separate"/>
        </w:r>
        <w:r>
          <w:rPr>
            <w:webHidden/>
          </w:rPr>
          <w:t>15</w:t>
        </w:r>
        <w:r w:rsidR="003E6C92">
          <w:rPr>
            <w:webHidden/>
          </w:rPr>
          <w:fldChar w:fldCharType="end"/>
        </w:r>
      </w:hyperlink>
    </w:p>
    <w:p w:rsidR="003E6C92" w:rsidRDefault="00716E0C">
      <w:pPr>
        <w:pStyle w:val="TOC3"/>
        <w:rPr>
          <w:sz w:val="22"/>
          <w:szCs w:val="22"/>
        </w:rPr>
      </w:pPr>
      <w:hyperlink w:anchor="_Toc481502182" w:history="1">
        <w:r w:rsidR="003E6C92" w:rsidRPr="005F0CC4">
          <w:rPr>
            <w:rStyle w:val="Hyperlink"/>
          </w:rPr>
          <w:t>C2.3.5</w:t>
        </w:r>
        <w:r w:rsidR="003E6C92">
          <w:rPr>
            <w:sz w:val="22"/>
            <w:szCs w:val="22"/>
          </w:rPr>
          <w:tab/>
        </w:r>
        <w:r w:rsidR="003E6C92" w:rsidRPr="005F0CC4">
          <w:rPr>
            <w:rStyle w:val="Hyperlink"/>
          </w:rPr>
          <w:t>Discipline of building surveyors</w:t>
        </w:r>
        <w:r w:rsidR="003E6C92">
          <w:rPr>
            <w:webHidden/>
          </w:rPr>
          <w:tab/>
        </w:r>
        <w:r w:rsidR="003E6C92">
          <w:rPr>
            <w:webHidden/>
          </w:rPr>
          <w:fldChar w:fldCharType="begin"/>
        </w:r>
        <w:r w:rsidR="003E6C92">
          <w:rPr>
            <w:webHidden/>
          </w:rPr>
          <w:instrText xml:space="preserve"> PAGEREF _Toc481502182 \h </w:instrText>
        </w:r>
        <w:r w:rsidR="003E6C92">
          <w:rPr>
            <w:webHidden/>
          </w:rPr>
        </w:r>
        <w:r w:rsidR="003E6C92">
          <w:rPr>
            <w:webHidden/>
          </w:rPr>
          <w:fldChar w:fldCharType="separate"/>
        </w:r>
        <w:r>
          <w:rPr>
            <w:webHidden/>
          </w:rPr>
          <w:t>15</w:t>
        </w:r>
        <w:r w:rsidR="003E6C92">
          <w:rPr>
            <w:webHidden/>
          </w:rPr>
          <w:fldChar w:fldCharType="end"/>
        </w:r>
      </w:hyperlink>
    </w:p>
    <w:p w:rsidR="003E6C92" w:rsidRDefault="00716E0C">
      <w:pPr>
        <w:pStyle w:val="TOC2"/>
        <w:rPr>
          <w:rFonts w:eastAsiaTheme="minorEastAsia" w:cstheme="minorBidi"/>
          <w:b w:val="0"/>
          <w:sz w:val="22"/>
          <w:szCs w:val="22"/>
        </w:rPr>
      </w:pPr>
      <w:hyperlink w:anchor="_Toc481502183" w:history="1">
        <w:r w:rsidR="003E6C92" w:rsidRPr="005F0CC4">
          <w:rPr>
            <w:rStyle w:val="Hyperlink"/>
          </w:rPr>
          <w:t>C2.4</w:t>
        </w:r>
        <w:r w:rsidR="003E6C92">
          <w:rPr>
            <w:rFonts w:eastAsiaTheme="minorEastAsia" w:cstheme="minorBidi"/>
            <w:b w:val="0"/>
            <w:sz w:val="22"/>
            <w:szCs w:val="22"/>
          </w:rPr>
          <w:tab/>
        </w:r>
        <w:r w:rsidR="003E6C92" w:rsidRPr="005F0CC4">
          <w:rPr>
            <w:rStyle w:val="Hyperlink"/>
          </w:rPr>
          <w:t>Practitioner issues – qualifications and experience</w:t>
        </w:r>
        <w:r w:rsidR="003E6C92">
          <w:rPr>
            <w:webHidden/>
          </w:rPr>
          <w:tab/>
        </w:r>
        <w:r w:rsidR="003E6C92">
          <w:rPr>
            <w:webHidden/>
          </w:rPr>
          <w:fldChar w:fldCharType="begin"/>
        </w:r>
        <w:r w:rsidR="003E6C92">
          <w:rPr>
            <w:webHidden/>
          </w:rPr>
          <w:instrText xml:space="preserve"> PAGEREF _Toc481502183 \h </w:instrText>
        </w:r>
        <w:r w:rsidR="003E6C92">
          <w:rPr>
            <w:webHidden/>
          </w:rPr>
        </w:r>
        <w:r w:rsidR="003E6C92">
          <w:rPr>
            <w:webHidden/>
          </w:rPr>
          <w:fldChar w:fldCharType="separate"/>
        </w:r>
        <w:r>
          <w:rPr>
            <w:webHidden/>
          </w:rPr>
          <w:t>16</w:t>
        </w:r>
        <w:r w:rsidR="003E6C92">
          <w:rPr>
            <w:webHidden/>
          </w:rPr>
          <w:fldChar w:fldCharType="end"/>
        </w:r>
      </w:hyperlink>
    </w:p>
    <w:p w:rsidR="003E6C92" w:rsidRDefault="00716E0C">
      <w:pPr>
        <w:pStyle w:val="TOC3"/>
        <w:rPr>
          <w:sz w:val="22"/>
          <w:szCs w:val="22"/>
        </w:rPr>
      </w:pPr>
      <w:hyperlink w:anchor="_Toc481502184" w:history="1">
        <w:r w:rsidR="003E6C92" w:rsidRPr="005F0CC4">
          <w:rPr>
            <w:rStyle w:val="Hyperlink"/>
          </w:rPr>
          <w:t>C2.4.1</w:t>
        </w:r>
        <w:r w:rsidR="003E6C92">
          <w:rPr>
            <w:sz w:val="22"/>
            <w:szCs w:val="22"/>
          </w:rPr>
          <w:tab/>
        </w:r>
        <w:r w:rsidR="003E6C92" w:rsidRPr="005F0CC4">
          <w:rPr>
            <w:rStyle w:val="Hyperlink"/>
          </w:rPr>
          <w:t>Assessment of experience</w:t>
        </w:r>
        <w:r w:rsidR="003E6C92">
          <w:rPr>
            <w:webHidden/>
          </w:rPr>
          <w:tab/>
        </w:r>
        <w:r w:rsidR="003E6C92">
          <w:rPr>
            <w:webHidden/>
          </w:rPr>
          <w:fldChar w:fldCharType="begin"/>
        </w:r>
        <w:r w:rsidR="003E6C92">
          <w:rPr>
            <w:webHidden/>
          </w:rPr>
          <w:instrText xml:space="preserve"> PAGEREF _Toc481502184 \h </w:instrText>
        </w:r>
        <w:r w:rsidR="003E6C92">
          <w:rPr>
            <w:webHidden/>
          </w:rPr>
        </w:r>
        <w:r w:rsidR="003E6C92">
          <w:rPr>
            <w:webHidden/>
          </w:rPr>
          <w:fldChar w:fldCharType="separate"/>
        </w:r>
        <w:r>
          <w:rPr>
            <w:webHidden/>
          </w:rPr>
          <w:t>17</w:t>
        </w:r>
        <w:r w:rsidR="003E6C92">
          <w:rPr>
            <w:webHidden/>
          </w:rPr>
          <w:fldChar w:fldCharType="end"/>
        </w:r>
      </w:hyperlink>
    </w:p>
    <w:p w:rsidR="003E6C92" w:rsidRDefault="00716E0C">
      <w:pPr>
        <w:pStyle w:val="TOC1"/>
        <w:rPr>
          <w:rFonts w:eastAsiaTheme="minorEastAsia" w:cstheme="minorBidi"/>
          <w:b w:val="0"/>
          <w:color w:val="auto"/>
        </w:rPr>
      </w:pPr>
      <w:hyperlink w:anchor="_Toc481502185" w:history="1">
        <w:r w:rsidR="003E6C92" w:rsidRPr="005F0CC4">
          <w:rPr>
            <w:rStyle w:val="Hyperlink"/>
          </w:rPr>
          <w:t>C3</w:t>
        </w:r>
        <w:r w:rsidR="003E6C92">
          <w:rPr>
            <w:rFonts w:eastAsiaTheme="minorEastAsia" w:cstheme="minorBidi"/>
            <w:b w:val="0"/>
            <w:color w:val="auto"/>
          </w:rPr>
          <w:tab/>
        </w:r>
        <w:r w:rsidR="003E6C92" w:rsidRPr="005F0CC4">
          <w:rPr>
            <w:rStyle w:val="Hyperlink"/>
          </w:rPr>
          <w:t>Cost-benefit analysis</w:t>
        </w:r>
        <w:r w:rsidR="003E6C92">
          <w:rPr>
            <w:webHidden/>
          </w:rPr>
          <w:tab/>
        </w:r>
        <w:r w:rsidR="003E6C92">
          <w:rPr>
            <w:webHidden/>
          </w:rPr>
          <w:fldChar w:fldCharType="begin"/>
        </w:r>
        <w:r w:rsidR="003E6C92">
          <w:rPr>
            <w:webHidden/>
          </w:rPr>
          <w:instrText xml:space="preserve"> PAGEREF _Toc481502185 \h </w:instrText>
        </w:r>
        <w:r w:rsidR="003E6C92">
          <w:rPr>
            <w:webHidden/>
          </w:rPr>
        </w:r>
        <w:r w:rsidR="003E6C92">
          <w:rPr>
            <w:webHidden/>
          </w:rPr>
          <w:fldChar w:fldCharType="separate"/>
        </w:r>
        <w:r>
          <w:rPr>
            <w:webHidden/>
          </w:rPr>
          <w:t>18</w:t>
        </w:r>
        <w:r w:rsidR="003E6C92">
          <w:rPr>
            <w:webHidden/>
          </w:rPr>
          <w:fldChar w:fldCharType="end"/>
        </w:r>
      </w:hyperlink>
    </w:p>
    <w:p w:rsidR="003E6C92" w:rsidRDefault="00716E0C">
      <w:pPr>
        <w:pStyle w:val="TOC2"/>
        <w:rPr>
          <w:rFonts w:eastAsiaTheme="minorEastAsia" w:cstheme="minorBidi"/>
          <w:b w:val="0"/>
          <w:sz w:val="22"/>
          <w:szCs w:val="22"/>
        </w:rPr>
      </w:pPr>
      <w:hyperlink w:anchor="_Toc481502186" w:history="1">
        <w:r w:rsidR="003E6C92" w:rsidRPr="005F0CC4">
          <w:rPr>
            <w:rStyle w:val="Hyperlink"/>
          </w:rPr>
          <w:t>C3.1</w:t>
        </w:r>
        <w:r w:rsidR="003E6C92">
          <w:rPr>
            <w:rFonts w:eastAsiaTheme="minorEastAsia" w:cstheme="minorBidi"/>
            <w:b w:val="0"/>
            <w:sz w:val="22"/>
            <w:szCs w:val="22"/>
          </w:rPr>
          <w:tab/>
        </w:r>
        <w:r w:rsidR="003E6C92" w:rsidRPr="005F0CC4">
          <w:rPr>
            <w:rStyle w:val="Hyperlink"/>
          </w:rPr>
          <w:t>Approach</w:t>
        </w:r>
        <w:r w:rsidR="003E6C92">
          <w:rPr>
            <w:webHidden/>
          </w:rPr>
          <w:tab/>
        </w:r>
        <w:r w:rsidR="003E6C92">
          <w:rPr>
            <w:webHidden/>
          </w:rPr>
          <w:fldChar w:fldCharType="begin"/>
        </w:r>
        <w:r w:rsidR="003E6C92">
          <w:rPr>
            <w:webHidden/>
          </w:rPr>
          <w:instrText xml:space="preserve"> PAGEREF _Toc481502186 \h </w:instrText>
        </w:r>
        <w:r w:rsidR="003E6C92">
          <w:rPr>
            <w:webHidden/>
          </w:rPr>
        </w:r>
        <w:r w:rsidR="003E6C92">
          <w:rPr>
            <w:webHidden/>
          </w:rPr>
          <w:fldChar w:fldCharType="separate"/>
        </w:r>
        <w:r>
          <w:rPr>
            <w:webHidden/>
          </w:rPr>
          <w:t>18</w:t>
        </w:r>
        <w:r w:rsidR="003E6C92">
          <w:rPr>
            <w:webHidden/>
          </w:rPr>
          <w:fldChar w:fldCharType="end"/>
        </w:r>
      </w:hyperlink>
    </w:p>
    <w:p w:rsidR="003E6C92" w:rsidRDefault="00716E0C">
      <w:pPr>
        <w:pStyle w:val="TOC3"/>
        <w:rPr>
          <w:sz w:val="22"/>
          <w:szCs w:val="22"/>
        </w:rPr>
      </w:pPr>
      <w:hyperlink w:anchor="_Toc481502187" w:history="1">
        <w:r w:rsidR="003E6C92" w:rsidRPr="005F0CC4">
          <w:rPr>
            <w:rStyle w:val="Hyperlink"/>
          </w:rPr>
          <w:t>3.1.1</w:t>
        </w:r>
        <w:r w:rsidR="003E6C92">
          <w:rPr>
            <w:sz w:val="22"/>
            <w:szCs w:val="22"/>
          </w:rPr>
          <w:tab/>
        </w:r>
        <w:r w:rsidR="003E6C92" w:rsidRPr="005F0CC4">
          <w:rPr>
            <w:rStyle w:val="Hyperlink"/>
          </w:rPr>
          <w:t>Sources of data</w:t>
        </w:r>
        <w:r w:rsidR="003E6C92">
          <w:rPr>
            <w:webHidden/>
          </w:rPr>
          <w:tab/>
        </w:r>
        <w:r w:rsidR="003E6C92">
          <w:rPr>
            <w:webHidden/>
          </w:rPr>
          <w:fldChar w:fldCharType="begin"/>
        </w:r>
        <w:r w:rsidR="003E6C92">
          <w:rPr>
            <w:webHidden/>
          </w:rPr>
          <w:instrText xml:space="preserve"> PAGEREF _Toc481502187 \h </w:instrText>
        </w:r>
        <w:r w:rsidR="003E6C92">
          <w:rPr>
            <w:webHidden/>
          </w:rPr>
        </w:r>
        <w:r w:rsidR="003E6C92">
          <w:rPr>
            <w:webHidden/>
          </w:rPr>
          <w:fldChar w:fldCharType="separate"/>
        </w:r>
        <w:r>
          <w:rPr>
            <w:webHidden/>
          </w:rPr>
          <w:t>19</w:t>
        </w:r>
        <w:r w:rsidR="003E6C92">
          <w:rPr>
            <w:webHidden/>
          </w:rPr>
          <w:fldChar w:fldCharType="end"/>
        </w:r>
      </w:hyperlink>
    </w:p>
    <w:p w:rsidR="003E6C92" w:rsidRDefault="00716E0C">
      <w:pPr>
        <w:pStyle w:val="TOC2"/>
        <w:rPr>
          <w:rFonts w:eastAsiaTheme="minorEastAsia" w:cstheme="minorBidi"/>
          <w:b w:val="0"/>
          <w:sz w:val="22"/>
          <w:szCs w:val="22"/>
        </w:rPr>
      </w:pPr>
      <w:hyperlink w:anchor="_Toc481502188" w:history="1">
        <w:r w:rsidR="003E6C92" w:rsidRPr="005F0CC4">
          <w:rPr>
            <w:rStyle w:val="Hyperlink"/>
          </w:rPr>
          <w:t>C3.2</w:t>
        </w:r>
        <w:r w:rsidR="003E6C92">
          <w:rPr>
            <w:rFonts w:eastAsiaTheme="minorEastAsia" w:cstheme="minorBidi"/>
            <w:b w:val="0"/>
            <w:sz w:val="22"/>
            <w:szCs w:val="22"/>
          </w:rPr>
          <w:tab/>
        </w:r>
        <w:r w:rsidR="003E6C92" w:rsidRPr="005F0CC4">
          <w:rPr>
            <w:rStyle w:val="Hyperlink"/>
          </w:rPr>
          <w:t>Prescribed qualifications and classes</w:t>
        </w:r>
        <w:r w:rsidR="003E6C92">
          <w:rPr>
            <w:webHidden/>
          </w:rPr>
          <w:tab/>
        </w:r>
        <w:r w:rsidR="003E6C92">
          <w:rPr>
            <w:webHidden/>
          </w:rPr>
          <w:fldChar w:fldCharType="begin"/>
        </w:r>
        <w:r w:rsidR="003E6C92">
          <w:rPr>
            <w:webHidden/>
          </w:rPr>
          <w:instrText xml:space="preserve"> PAGEREF _Toc481502188 \h </w:instrText>
        </w:r>
        <w:r w:rsidR="003E6C92">
          <w:rPr>
            <w:webHidden/>
          </w:rPr>
        </w:r>
        <w:r w:rsidR="003E6C92">
          <w:rPr>
            <w:webHidden/>
          </w:rPr>
          <w:fldChar w:fldCharType="separate"/>
        </w:r>
        <w:r>
          <w:rPr>
            <w:webHidden/>
          </w:rPr>
          <w:t>19</w:t>
        </w:r>
        <w:r w:rsidR="003E6C92">
          <w:rPr>
            <w:webHidden/>
          </w:rPr>
          <w:fldChar w:fldCharType="end"/>
        </w:r>
      </w:hyperlink>
    </w:p>
    <w:p w:rsidR="003E6C92" w:rsidRDefault="00716E0C">
      <w:pPr>
        <w:pStyle w:val="TOC3"/>
        <w:rPr>
          <w:sz w:val="22"/>
          <w:szCs w:val="22"/>
        </w:rPr>
      </w:pPr>
      <w:hyperlink w:anchor="_Toc481502189" w:history="1">
        <w:r w:rsidR="003E6C92" w:rsidRPr="005F0CC4">
          <w:rPr>
            <w:rStyle w:val="Hyperlink"/>
          </w:rPr>
          <w:t>Option 1 – Remake reg1503</w:t>
        </w:r>
        <w:r w:rsidR="003E6C92">
          <w:rPr>
            <w:webHidden/>
          </w:rPr>
          <w:tab/>
        </w:r>
        <w:r w:rsidR="003E6C92">
          <w:rPr>
            <w:webHidden/>
          </w:rPr>
          <w:fldChar w:fldCharType="begin"/>
        </w:r>
        <w:r w:rsidR="003E6C92">
          <w:rPr>
            <w:webHidden/>
          </w:rPr>
          <w:instrText xml:space="preserve"> PAGEREF _Toc481502189 \h </w:instrText>
        </w:r>
        <w:r w:rsidR="003E6C92">
          <w:rPr>
            <w:webHidden/>
          </w:rPr>
        </w:r>
        <w:r w:rsidR="003E6C92">
          <w:rPr>
            <w:webHidden/>
          </w:rPr>
          <w:fldChar w:fldCharType="separate"/>
        </w:r>
        <w:r>
          <w:rPr>
            <w:webHidden/>
          </w:rPr>
          <w:t>19</w:t>
        </w:r>
        <w:r w:rsidR="003E6C92">
          <w:rPr>
            <w:webHidden/>
          </w:rPr>
          <w:fldChar w:fldCharType="end"/>
        </w:r>
      </w:hyperlink>
    </w:p>
    <w:p w:rsidR="003E6C92" w:rsidRDefault="00716E0C">
      <w:pPr>
        <w:pStyle w:val="TOC4"/>
        <w:rPr>
          <w:rFonts w:eastAsiaTheme="minorEastAsia" w:cstheme="minorBidi"/>
          <w:sz w:val="22"/>
          <w:szCs w:val="22"/>
        </w:rPr>
      </w:pPr>
      <w:hyperlink w:anchor="_Toc481502190" w:history="1">
        <w:r w:rsidR="003E6C92" w:rsidRPr="005F0CC4">
          <w:rPr>
            <w:rStyle w:val="Hyperlink"/>
          </w:rPr>
          <w:t>Base case</w:t>
        </w:r>
        <w:r w:rsidR="003E6C92">
          <w:rPr>
            <w:webHidden/>
          </w:rPr>
          <w:tab/>
        </w:r>
        <w:r w:rsidR="003E6C92">
          <w:rPr>
            <w:webHidden/>
          </w:rPr>
          <w:fldChar w:fldCharType="begin"/>
        </w:r>
        <w:r w:rsidR="003E6C92">
          <w:rPr>
            <w:webHidden/>
          </w:rPr>
          <w:instrText xml:space="preserve"> PAGEREF _Toc481502190 \h </w:instrText>
        </w:r>
        <w:r w:rsidR="003E6C92">
          <w:rPr>
            <w:webHidden/>
          </w:rPr>
        </w:r>
        <w:r w:rsidR="003E6C92">
          <w:rPr>
            <w:webHidden/>
          </w:rPr>
          <w:fldChar w:fldCharType="separate"/>
        </w:r>
        <w:r>
          <w:rPr>
            <w:webHidden/>
          </w:rPr>
          <w:t>19</w:t>
        </w:r>
        <w:r w:rsidR="003E6C92">
          <w:rPr>
            <w:webHidden/>
          </w:rPr>
          <w:fldChar w:fldCharType="end"/>
        </w:r>
      </w:hyperlink>
    </w:p>
    <w:p w:rsidR="003E6C92" w:rsidRDefault="00716E0C">
      <w:pPr>
        <w:pStyle w:val="TOC3"/>
        <w:rPr>
          <w:sz w:val="22"/>
          <w:szCs w:val="22"/>
        </w:rPr>
      </w:pPr>
      <w:hyperlink w:anchor="_Toc481502191" w:history="1">
        <w:r w:rsidR="003E6C92" w:rsidRPr="005F0CC4">
          <w:rPr>
            <w:rStyle w:val="Hyperlink"/>
          </w:rPr>
          <w:t>Option 1.1 – Remove requirement for VBA to be satisfied of experience</w:t>
        </w:r>
        <w:r w:rsidR="003E6C92">
          <w:rPr>
            <w:webHidden/>
          </w:rPr>
          <w:tab/>
        </w:r>
        <w:r w:rsidR="003E6C92">
          <w:rPr>
            <w:webHidden/>
          </w:rPr>
          <w:fldChar w:fldCharType="begin"/>
        </w:r>
        <w:r w:rsidR="003E6C92">
          <w:rPr>
            <w:webHidden/>
          </w:rPr>
          <w:instrText xml:space="preserve"> PAGEREF _Toc481502191 \h </w:instrText>
        </w:r>
        <w:r w:rsidR="003E6C92">
          <w:rPr>
            <w:webHidden/>
          </w:rPr>
        </w:r>
        <w:r w:rsidR="003E6C92">
          <w:rPr>
            <w:webHidden/>
          </w:rPr>
          <w:fldChar w:fldCharType="separate"/>
        </w:r>
        <w:r>
          <w:rPr>
            <w:webHidden/>
          </w:rPr>
          <w:t>24</w:t>
        </w:r>
        <w:r w:rsidR="003E6C92">
          <w:rPr>
            <w:webHidden/>
          </w:rPr>
          <w:fldChar w:fldCharType="end"/>
        </w:r>
      </w:hyperlink>
    </w:p>
    <w:p w:rsidR="003E6C92" w:rsidRDefault="00716E0C">
      <w:pPr>
        <w:pStyle w:val="TOC2"/>
        <w:rPr>
          <w:rFonts w:eastAsiaTheme="minorEastAsia" w:cstheme="minorBidi"/>
          <w:b w:val="0"/>
          <w:sz w:val="22"/>
          <w:szCs w:val="22"/>
        </w:rPr>
      </w:pPr>
      <w:hyperlink w:anchor="_Toc481502192" w:history="1">
        <w:r w:rsidR="003E6C92" w:rsidRPr="005F0CC4">
          <w:rPr>
            <w:rStyle w:val="Hyperlink"/>
          </w:rPr>
          <w:t>C3.3</w:t>
        </w:r>
        <w:r w:rsidR="003E6C92">
          <w:rPr>
            <w:rFonts w:eastAsiaTheme="minorEastAsia" w:cstheme="minorBidi"/>
            <w:b w:val="0"/>
            <w:sz w:val="22"/>
            <w:szCs w:val="22"/>
          </w:rPr>
          <w:tab/>
        </w:r>
        <w:r w:rsidR="003E6C92" w:rsidRPr="005F0CC4">
          <w:rPr>
            <w:rStyle w:val="Hyperlink"/>
          </w:rPr>
          <w:t>Prescribed information related to character</w:t>
        </w:r>
        <w:r w:rsidR="003E6C92">
          <w:rPr>
            <w:webHidden/>
          </w:rPr>
          <w:tab/>
        </w:r>
        <w:r w:rsidR="003E6C92">
          <w:rPr>
            <w:webHidden/>
          </w:rPr>
          <w:fldChar w:fldCharType="begin"/>
        </w:r>
        <w:r w:rsidR="003E6C92">
          <w:rPr>
            <w:webHidden/>
          </w:rPr>
          <w:instrText xml:space="preserve"> PAGEREF _Toc481502192 \h </w:instrText>
        </w:r>
        <w:r w:rsidR="003E6C92">
          <w:rPr>
            <w:webHidden/>
          </w:rPr>
        </w:r>
        <w:r w:rsidR="003E6C92">
          <w:rPr>
            <w:webHidden/>
          </w:rPr>
          <w:fldChar w:fldCharType="separate"/>
        </w:r>
        <w:r>
          <w:rPr>
            <w:webHidden/>
          </w:rPr>
          <w:t>24</w:t>
        </w:r>
        <w:r w:rsidR="003E6C92">
          <w:rPr>
            <w:webHidden/>
          </w:rPr>
          <w:fldChar w:fldCharType="end"/>
        </w:r>
      </w:hyperlink>
    </w:p>
    <w:p w:rsidR="003E6C92" w:rsidRDefault="00716E0C">
      <w:pPr>
        <w:pStyle w:val="TOC3"/>
        <w:rPr>
          <w:sz w:val="22"/>
          <w:szCs w:val="22"/>
        </w:rPr>
      </w:pPr>
      <w:hyperlink w:anchor="_Toc481502193" w:history="1">
        <w:r w:rsidR="003E6C92" w:rsidRPr="005F0CC4">
          <w:rPr>
            <w:rStyle w:val="Hyperlink"/>
          </w:rPr>
          <w:t>Option 2 – Remake reg1509</w:t>
        </w:r>
        <w:r w:rsidR="003E6C92">
          <w:rPr>
            <w:webHidden/>
          </w:rPr>
          <w:tab/>
        </w:r>
        <w:r w:rsidR="003E6C92">
          <w:rPr>
            <w:webHidden/>
          </w:rPr>
          <w:fldChar w:fldCharType="begin"/>
        </w:r>
        <w:r w:rsidR="003E6C92">
          <w:rPr>
            <w:webHidden/>
          </w:rPr>
          <w:instrText xml:space="preserve"> PAGEREF _Toc481502193 \h </w:instrText>
        </w:r>
        <w:r w:rsidR="003E6C92">
          <w:rPr>
            <w:webHidden/>
          </w:rPr>
        </w:r>
        <w:r w:rsidR="003E6C92">
          <w:rPr>
            <w:webHidden/>
          </w:rPr>
          <w:fldChar w:fldCharType="separate"/>
        </w:r>
        <w:r>
          <w:rPr>
            <w:webHidden/>
          </w:rPr>
          <w:t>25</w:t>
        </w:r>
        <w:r w:rsidR="003E6C92">
          <w:rPr>
            <w:webHidden/>
          </w:rPr>
          <w:fldChar w:fldCharType="end"/>
        </w:r>
      </w:hyperlink>
    </w:p>
    <w:p w:rsidR="003E6C92" w:rsidRDefault="00716E0C">
      <w:pPr>
        <w:pStyle w:val="TOC4"/>
        <w:rPr>
          <w:rFonts w:eastAsiaTheme="minorEastAsia" w:cstheme="minorBidi"/>
          <w:sz w:val="22"/>
          <w:szCs w:val="22"/>
        </w:rPr>
      </w:pPr>
      <w:hyperlink w:anchor="_Toc481502194" w:history="1">
        <w:r w:rsidR="003E6C92" w:rsidRPr="005F0CC4">
          <w:rPr>
            <w:rStyle w:val="Hyperlink"/>
          </w:rPr>
          <w:t>Base case</w:t>
        </w:r>
        <w:r w:rsidR="003E6C92">
          <w:rPr>
            <w:webHidden/>
          </w:rPr>
          <w:tab/>
        </w:r>
        <w:r w:rsidR="003E6C92">
          <w:rPr>
            <w:webHidden/>
          </w:rPr>
          <w:fldChar w:fldCharType="begin"/>
        </w:r>
        <w:r w:rsidR="003E6C92">
          <w:rPr>
            <w:webHidden/>
          </w:rPr>
          <w:instrText xml:space="preserve"> PAGEREF _Toc481502194 \h </w:instrText>
        </w:r>
        <w:r w:rsidR="003E6C92">
          <w:rPr>
            <w:webHidden/>
          </w:rPr>
        </w:r>
        <w:r w:rsidR="003E6C92">
          <w:rPr>
            <w:webHidden/>
          </w:rPr>
          <w:fldChar w:fldCharType="separate"/>
        </w:r>
        <w:r>
          <w:rPr>
            <w:webHidden/>
          </w:rPr>
          <w:t>25</w:t>
        </w:r>
        <w:r w:rsidR="003E6C92">
          <w:rPr>
            <w:webHidden/>
          </w:rPr>
          <w:fldChar w:fldCharType="end"/>
        </w:r>
      </w:hyperlink>
    </w:p>
    <w:p w:rsidR="003E6C92" w:rsidRDefault="00716E0C">
      <w:pPr>
        <w:pStyle w:val="TOC3"/>
        <w:rPr>
          <w:sz w:val="22"/>
          <w:szCs w:val="22"/>
        </w:rPr>
      </w:pPr>
      <w:hyperlink w:anchor="_Toc481502195" w:history="1">
        <w:r w:rsidR="003E6C92" w:rsidRPr="005F0CC4">
          <w:rPr>
            <w:rStyle w:val="Hyperlink"/>
          </w:rPr>
          <w:t>Option 2.1 – Reduce the prescribed information to be provided</w:t>
        </w:r>
        <w:r w:rsidR="003E6C92">
          <w:rPr>
            <w:webHidden/>
          </w:rPr>
          <w:tab/>
        </w:r>
        <w:r w:rsidR="003E6C92">
          <w:rPr>
            <w:webHidden/>
          </w:rPr>
          <w:fldChar w:fldCharType="begin"/>
        </w:r>
        <w:r w:rsidR="003E6C92">
          <w:rPr>
            <w:webHidden/>
          </w:rPr>
          <w:instrText xml:space="preserve"> PAGEREF _Toc481502195 \h </w:instrText>
        </w:r>
        <w:r w:rsidR="003E6C92">
          <w:rPr>
            <w:webHidden/>
          </w:rPr>
        </w:r>
        <w:r w:rsidR="003E6C92">
          <w:rPr>
            <w:webHidden/>
          </w:rPr>
          <w:fldChar w:fldCharType="separate"/>
        </w:r>
        <w:r>
          <w:rPr>
            <w:webHidden/>
          </w:rPr>
          <w:t>27</w:t>
        </w:r>
        <w:r w:rsidR="003E6C92">
          <w:rPr>
            <w:webHidden/>
          </w:rPr>
          <w:fldChar w:fldCharType="end"/>
        </w:r>
      </w:hyperlink>
    </w:p>
    <w:p w:rsidR="003E6C92" w:rsidRDefault="00716E0C">
      <w:pPr>
        <w:pStyle w:val="TOC3"/>
        <w:rPr>
          <w:sz w:val="22"/>
          <w:szCs w:val="22"/>
        </w:rPr>
      </w:pPr>
      <w:hyperlink w:anchor="_Toc481502196" w:history="1">
        <w:r w:rsidR="003E6C92" w:rsidRPr="005F0CC4">
          <w:rPr>
            <w:rStyle w:val="Hyperlink"/>
          </w:rPr>
          <w:t>Option 2.2 – Expand the prescribed information to be provided</w:t>
        </w:r>
        <w:r w:rsidR="003E6C92">
          <w:rPr>
            <w:webHidden/>
          </w:rPr>
          <w:tab/>
        </w:r>
        <w:r w:rsidR="003E6C92">
          <w:rPr>
            <w:webHidden/>
          </w:rPr>
          <w:fldChar w:fldCharType="begin"/>
        </w:r>
        <w:r w:rsidR="003E6C92">
          <w:rPr>
            <w:webHidden/>
          </w:rPr>
          <w:instrText xml:space="preserve"> PAGEREF _Toc481502196 \h </w:instrText>
        </w:r>
        <w:r w:rsidR="003E6C92">
          <w:rPr>
            <w:webHidden/>
          </w:rPr>
        </w:r>
        <w:r w:rsidR="003E6C92">
          <w:rPr>
            <w:webHidden/>
          </w:rPr>
          <w:fldChar w:fldCharType="separate"/>
        </w:r>
        <w:r>
          <w:rPr>
            <w:webHidden/>
          </w:rPr>
          <w:t>27</w:t>
        </w:r>
        <w:r w:rsidR="003E6C92">
          <w:rPr>
            <w:webHidden/>
          </w:rPr>
          <w:fldChar w:fldCharType="end"/>
        </w:r>
      </w:hyperlink>
    </w:p>
    <w:p w:rsidR="003E6C92" w:rsidRDefault="00716E0C">
      <w:pPr>
        <w:pStyle w:val="TOC2"/>
        <w:rPr>
          <w:rFonts w:eastAsiaTheme="minorEastAsia" w:cstheme="minorBidi"/>
          <w:b w:val="0"/>
          <w:sz w:val="22"/>
          <w:szCs w:val="22"/>
        </w:rPr>
      </w:pPr>
      <w:hyperlink w:anchor="_Toc481502197" w:history="1">
        <w:r w:rsidR="003E6C92" w:rsidRPr="005F0CC4">
          <w:rPr>
            <w:rStyle w:val="Hyperlink"/>
          </w:rPr>
          <w:t>C3.4</w:t>
        </w:r>
        <w:r w:rsidR="003E6C92">
          <w:rPr>
            <w:rFonts w:eastAsiaTheme="minorEastAsia" w:cstheme="minorBidi"/>
            <w:b w:val="0"/>
            <w:sz w:val="22"/>
            <w:szCs w:val="22"/>
          </w:rPr>
          <w:tab/>
        </w:r>
        <w:r w:rsidR="003E6C92" w:rsidRPr="005F0CC4">
          <w:rPr>
            <w:rStyle w:val="Hyperlink"/>
          </w:rPr>
          <w:t>Professional standards</w:t>
        </w:r>
        <w:r w:rsidR="003E6C92">
          <w:rPr>
            <w:webHidden/>
          </w:rPr>
          <w:tab/>
        </w:r>
        <w:r w:rsidR="003E6C92">
          <w:rPr>
            <w:webHidden/>
          </w:rPr>
          <w:fldChar w:fldCharType="begin"/>
        </w:r>
        <w:r w:rsidR="003E6C92">
          <w:rPr>
            <w:webHidden/>
          </w:rPr>
          <w:instrText xml:space="preserve"> PAGEREF _Toc481502197 \h </w:instrText>
        </w:r>
        <w:r w:rsidR="003E6C92">
          <w:rPr>
            <w:webHidden/>
          </w:rPr>
        </w:r>
        <w:r w:rsidR="003E6C92">
          <w:rPr>
            <w:webHidden/>
          </w:rPr>
          <w:fldChar w:fldCharType="separate"/>
        </w:r>
        <w:r>
          <w:rPr>
            <w:webHidden/>
          </w:rPr>
          <w:t>28</w:t>
        </w:r>
        <w:r w:rsidR="003E6C92">
          <w:rPr>
            <w:webHidden/>
          </w:rPr>
          <w:fldChar w:fldCharType="end"/>
        </w:r>
      </w:hyperlink>
    </w:p>
    <w:p w:rsidR="003E6C92" w:rsidRDefault="00716E0C">
      <w:pPr>
        <w:pStyle w:val="TOC3"/>
        <w:rPr>
          <w:sz w:val="22"/>
          <w:szCs w:val="22"/>
        </w:rPr>
      </w:pPr>
      <w:hyperlink w:anchor="_Toc481502198" w:history="1">
        <w:r w:rsidR="003E6C92" w:rsidRPr="005F0CC4">
          <w:rPr>
            <w:rStyle w:val="Hyperlink"/>
          </w:rPr>
          <w:t>Option 3 – Remake reg1502</w:t>
        </w:r>
        <w:r w:rsidR="003E6C92">
          <w:rPr>
            <w:webHidden/>
          </w:rPr>
          <w:tab/>
        </w:r>
        <w:r w:rsidR="003E6C92">
          <w:rPr>
            <w:webHidden/>
          </w:rPr>
          <w:fldChar w:fldCharType="begin"/>
        </w:r>
        <w:r w:rsidR="003E6C92">
          <w:rPr>
            <w:webHidden/>
          </w:rPr>
          <w:instrText xml:space="preserve"> PAGEREF _Toc481502198 \h </w:instrText>
        </w:r>
        <w:r w:rsidR="003E6C92">
          <w:rPr>
            <w:webHidden/>
          </w:rPr>
        </w:r>
        <w:r w:rsidR="003E6C92">
          <w:rPr>
            <w:webHidden/>
          </w:rPr>
          <w:fldChar w:fldCharType="separate"/>
        </w:r>
        <w:r>
          <w:rPr>
            <w:webHidden/>
          </w:rPr>
          <w:t>28</w:t>
        </w:r>
        <w:r w:rsidR="003E6C92">
          <w:rPr>
            <w:webHidden/>
          </w:rPr>
          <w:fldChar w:fldCharType="end"/>
        </w:r>
      </w:hyperlink>
    </w:p>
    <w:p w:rsidR="003E6C92" w:rsidRDefault="00716E0C">
      <w:pPr>
        <w:pStyle w:val="TOC3"/>
        <w:rPr>
          <w:sz w:val="22"/>
          <w:szCs w:val="22"/>
        </w:rPr>
      </w:pPr>
      <w:hyperlink w:anchor="_Toc481502199" w:history="1">
        <w:r w:rsidR="003E6C92" w:rsidRPr="005F0CC4">
          <w:rPr>
            <w:rStyle w:val="Hyperlink"/>
          </w:rPr>
          <w:t>Option 3.1 – Remake only pt (a) of reg1502</w:t>
        </w:r>
        <w:r w:rsidR="003E6C92">
          <w:rPr>
            <w:webHidden/>
          </w:rPr>
          <w:tab/>
        </w:r>
        <w:r w:rsidR="003E6C92">
          <w:rPr>
            <w:webHidden/>
          </w:rPr>
          <w:fldChar w:fldCharType="begin"/>
        </w:r>
        <w:r w:rsidR="003E6C92">
          <w:rPr>
            <w:webHidden/>
          </w:rPr>
          <w:instrText xml:space="preserve"> PAGEREF _Toc481502199 \h </w:instrText>
        </w:r>
        <w:r w:rsidR="003E6C92">
          <w:rPr>
            <w:webHidden/>
          </w:rPr>
        </w:r>
        <w:r w:rsidR="003E6C92">
          <w:rPr>
            <w:webHidden/>
          </w:rPr>
          <w:fldChar w:fldCharType="separate"/>
        </w:r>
        <w:r>
          <w:rPr>
            <w:webHidden/>
          </w:rPr>
          <w:t>28</w:t>
        </w:r>
        <w:r w:rsidR="003E6C92">
          <w:rPr>
            <w:webHidden/>
          </w:rPr>
          <w:fldChar w:fldCharType="end"/>
        </w:r>
      </w:hyperlink>
    </w:p>
    <w:p w:rsidR="003E6C92" w:rsidRDefault="00716E0C">
      <w:pPr>
        <w:pStyle w:val="TOC2"/>
        <w:rPr>
          <w:rFonts w:eastAsiaTheme="minorEastAsia" w:cstheme="minorBidi"/>
          <w:b w:val="0"/>
          <w:sz w:val="22"/>
          <w:szCs w:val="22"/>
        </w:rPr>
      </w:pPr>
      <w:hyperlink w:anchor="_Toc481502200" w:history="1">
        <w:r w:rsidR="003E6C92" w:rsidRPr="005F0CC4">
          <w:rPr>
            <w:rStyle w:val="Hyperlink"/>
          </w:rPr>
          <w:t>C3.5</w:t>
        </w:r>
        <w:r w:rsidR="003E6C92">
          <w:rPr>
            <w:rFonts w:eastAsiaTheme="minorEastAsia" w:cstheme="minorBidi"/>
            <w:b w:val="0"/>
            <w:sz w:val="22"/>
            <w:szCs w:val="22"/>
          </w:rPr>
          <w:tab/>
        </w:r>
        <w:r w:rsidR="003E6C92" w:rsidRPr="005F0CC4">
          <w:rPr>
            <w:rStyle w:val="Hyperlink"/>
          </w:rPr>
          <w:t>Period during which a private building surveyor cannot act</w:t>
        </w:r>
        <w:r w:rsidR="003E6C92">
          <w:rPr>
            <w:webHidden/>
          </w:rPr>
          <w:tab/>
        </w:r>
        <w:r w:rsidR="003E6C92">
          <w:rPr>
            <w:webHidden/>
          </w:rPr>
          <w:fldChar w:fldCharType="begin"/>
        </w:r>
        <w:r w:rsidR="003E6C92">
          <w:rPr>
            <w:webHidden/>
          </w:rPr>
          <w:instrText xml:space="preserve"> PAGEREF _Toc481502200 \h </w:instrText>
        </w:r>
        <w:r w:rsidR="003E6C92">
          <w:rPr>
            <w:webHidden/>
          </w:rPr>
        </w:r>
        <w:r w:rsidR="003E6C92">
          <w:rPr>
            <w:webHidden/>
          </w:rPr>
          <w:fldChar w:fldCharType="separate"/>
        </w:r>
        <w:r>
          <w:rPr>
            <w:webHidden/>
          </w:rPr>
          <w:t>30</w:t>
        </w:r>
        <w:r w:rsidR="003E6C92">
          <w:rPr>
            <w:webHidden/>
          </w:rPr>
          <w:fldChar w:fldCharType="end"/>
        </w:r>
      </w:hyperlink>
    </w:p>
    <w:p w:rsidR="003E6C92" w:rsidRDefault="00716E0C">
      <w:pPr>
        <w:pStyle w:val="TOC4"/>
        <w:rPr>
          <w:rFonts w:eastAsiaTheme="minorEastAsia" w:cstheme="minorBidi"/>
          <w:sz w:val="22"/>
          <w:szCs w:val="22"/>
        </w:rPr>
      </w:pPr>
      <w:hyperlink w:anchor="_Toc481502201" w:history="1">
        <w:r w:rsidR="003E6C92" w:rsidRPr="005F0CC4">
          <w:rPr>
            <w:rStyle w:val="Hyperlink"/>
          </w:rPr>
          <w:t>Base case</w:t>
        </w:r>
        <w:r w:rsidR="003E6C92">
          <w:rPr>
            <w:webHidden/>
          </w:rPr>
          <w:tab/>
        </w:r>
        <w:r w:rsidR="003E6C92">
          <w:rPr>
            <w:webHidden/>
          </w:rPr>
          <w:fldChar w:fldCharType="begin"/>
        </w:r>
        <w:r w:rsidR="003E6C92">
          <w:rPr>
            <w:webHidden/>
          </w:rPr>
          <w:instrText xml:space="preserve"> PAGEREF _Toc481502201 \h </w:instrText>
        </w:r>
        <w:r w:rsidR="003E6C92">
          <w:rPr>
            <w:webHidden/>
          </w:rPr>
        </w:r>
        <w:r w:rsidR="003E6C92">
          <w:rPr>
            <w:webHidden/>
          </w:rPr>
          <w:fldChar w:fldCharType="separate"/>
        </w:r>
        <w:r>
          <w:rPr>
            <w:webHidden/>
          </w:rPr>
          <w:t>30</w:t>
        </w:r>
        <w:r w:rsidR="003E6C92">
          <w:rPr>
            <w:webHidden/>
          </w:rPr>
          <w:fldChar w:fldCharType="end"/>
        </w:r>
      </w:hyperlink>
    </w:p>
    <w:p w:rsidR="003E6C92" w:rsidRDefault="00716E0C">
      <w:pPr>
        <w:pStyle w:val="TOC3"/>
        <w:rPr>
          <w:sz w:val="22"/>
          <w:szCs w:val="22"/>
        </w:rPr>
      </w:pPr>
      <w:hyperlink w:anchor="_Toc481502202" w:history="1">
        <w:r w:rsidR="003E6C92" w:rsidRPr="005F0CC4">
          <w:rPr>
            <w:rStyle w:val="Hyperlink"/>
            <w:rFonts w:eastAsiaTheme="majorEastAsia"/>
          </w:rPr>
          <w:t>Option 4 – Remake reg 1504</w:t>
        </w:r>
        <w:r w:rsidR="003E6C92">
          <w:rPr>
            <w:webHidden/>
          </w:rPr>
          <w:tab/>
        </w:r>
        <w:r w:rsidR="003E6C92">
          <w:rPr>
            <w:webHidden/>
          </w:rPr>
          <w:fldChar w:fldCharType="begin"/>
        </w:r>
        <w:r w:rsidR="003E6C92">
          <w:rPr>
            <w:webHidden/>
          </w:rPr>
          <w:instrText xml:space="preserve"> PAGEREF _Toc481502202 \h </w:instrText>
        </w:r>
        <w:r w:rsidR="003E6C92">
          <w:rPr>
            <w:webHidden/>
          </w:rPr>
        </w:r>
        <w:r w:rsidR="003E6C92">
          <w:rPr>
            <w:webHidden/>
          </w:rPr>
          <w:fldChar w:fldCharType="separate"/>
        </w:r>
        <w:r>
          <w:rPr>
            <w:webHidden/>
          </w:rPr>
          <w:t>31</w:t>
        </w:r>
        <w:r w:rsidR="003E6C92">
          <w:rPr>
            <w:webHidden/>
          </w:rPr>
          <w:fldChar w:fldCharType="end"/>
        </w:r>
      </w:hyperlink>
    </w:p>
    <w:p w:rsidR="003E6C92" w:rsidRDefault="00716E0C">
      <w:pPr>
        <w:pStyle w:val="TOC3"/>
        <w:rPr>
          <w:sz w:val="22"/>
          <w:szCs w:val="22"/>
        </w:rPr>
      </w:pPr>
      <w:hyperlink w:anchor="_Toc481502203" w:history="1">
        <w:r w:rsidR="003E6C92" w:rsidRPr="005F0CC4">
          <w:rPr>
            <w:rStyle w:val="Hyperlink"/>
          </w:rPr>
          <w:t>Option 4.1 – Reduce the prescribed period to six months</w:t>
        </w:r>
        <w:r w:rsidR="003E6C92">
          <w:rPr>
            <w:webHidden/>
          </w:rPr>
          <w:tab/>
        </w:r>
        <w:r w:rsidR="003E6C92">
          <w:rPr>
            <w:webHidden/>
          </w:rPr>
          <w:fldChar w:fldCharType="begin"/>
        </w:r>
        <w:r w:rsidR="003E6C92">
          <w:rPr>
            <w:webHidden/>
          </w:rPr>
          <w:instrText xml:space="preserve"> PAGEREF _Toc481502203 \h </w:instrText>
        </w:r>
        <w:r w:rsidR="003E6C92">
          <w:rPr>
            <w:webHidden/>
          </w:rPr>
        </w:r>
        <w:r w:rsidR="003E6C92">
          <w:rPr>
            <w:webHidden/>
          </w:rPr>
          <w:fldChar w:fldCharType="separate"/>
        </w:r>
        <w:r>
          <w:rPr>
            <w:webHidden/>
          </w:rPr>
          <w:t>32</w:t>
        </w:r>
        <w:r w:rsidR="003E6C92">
          <w:rPr>
            <w:webHidden/>
          </w:rPr>
          <w:fldChar w:fldCharType="end"/>
        </w:r>
      </w:hyperlink>
    </w:p>
    <w:p w:rsidR="003E6C92" w:rsidRDefault="00716E0C">
      <w:pPr>
        <w:pStyle w:val="TOC3"/>
        <w:rPr>
          <w:sz w:val="22"/>
          <w:szCs w:val="22"/>
        </w:rPr>
      </w:pPr>
      <w:hyperlink w:anchor="_Toc481502204" w:history="1">
        <w:r w:rsidR="003E6C92" w:rsidRPr="005F0CC4">
          <w:rPr>
            <w:rStyle w:val="Hyperlink"/>
          </w:rPr>
          <w:t>Option 4.2 – Increase the prescribed period to two years</w:t>
        </w:r>
        <w:r w:rsidR="003E6C92">
          <w:rPr>
            <w:webHidden/>
          </w:rPr>
          <w:tab/>
        </w:r>
        <w:r w:rsidR="003E6C92">
          <w:rPr>
            <w:webHidden/>
          </w:rPr>
          <w:fldChar w:fldCharType="begin"/>
        </w:r>
        <w:r w:rsidR="003E6C92">
          <w:rPr>
            <w:webHidden/>
          </w:rPr>
          <w:instrText xml:space="preserve"> PAGEREF _Toc481502204 \h </w:instrText>
        </w:r>
        <w:r w:rsidR="003E6C92">
          <w:rPr>
            <w:webHidden/>
          </w:rPr>
        </w:r>
        <w:r w:rsidR="003E6C92">
          <w:rPr>
            <w:webHidden/>
          </w:rPr>
          <w:fldChar w:fldCharType="separate"/>
        </w:r>
        <w:r>
          <w:rPr>
            <w:webHidden/>
          </w:rPr>
          <w:t>32</w:t>
        </w:r>
        <w:r w:rsidR="003E6C92">
          <w:rPr>
            <w:webHidden/>
          </w:rPr>
          <w:fldChar w:fldCharType="end"/>
        </w:r>
      </w:hyperlink>
    </w:p>
    <w:p w:rsidR="003E6C92" w:rsidRDefault="00716E0C">
      <w:pPr>
        <w:pStyle w:val="TOC2"/>
        <w:rPr>
          <w:rFonts w:eastAsiaTheme="minorEastAsia" w:cstheme="minorBidi"/>
          <w:b w:val="0"/>
          <w:sz w:val="22"/>
          <w:szCs w:val="22"/>
        </w:rPr>
      </w:pPr>
      <w:hyperlink w:anchor="_Toc481502205" w:history="1">
        <w:r w:rsidR="003E6C92" w:rsidRPr="005F0CC4">
          <w:rPr>
            <w:rStyle w:val="Hyperlink"/>
          </w:rPr>
          <w:t>C3.6</w:t>
        </w:r>
        <w:r w:rsidR="003E6C92">
          <w:rPr>
            <w:rFonts w:eastAsiaTheme="minorEastAsia" w:cstheme="minorBidi"/>
            <w:b w:val="0"/>
            <w:sz w:val="22"/>
            <w:szCs w:val="22"/>
          </w:rPr>
          <w:tab/>
        </w:r>
        <w:r w:rsidR="003E6C92" w:rsidRPr="005F0CC4">
          <w:rPr>
            <w:rStyle w:val="Hyperlink"/>
          </w:rPr>
          <w:t>Other topics</w:t>
        </w:r>
        <w:r w:rsidR="003E6C92">
          <w:rPr>
            <w:webHidden/>
          </w:rPr>
          <w:tab/>
        </w:r>
        <w:r w:rsidR="003E6C92">
          <w:rPr>
            <w:webHidden/>
          </w:rPr>
          <w:fldChar w:fldCharType="begin"/>
        </w:r>
        <w:r w:rsidR="003E6C92">
          <w:rPr>
            <w:webHidden/>
          </w:rPr>
          <w:instrText xml:space="preserve"> PAGEREF _Toc481502205 \h </w:instrText>
        </w:r>
        <w:r w:rsidR="003E6C92">
          <w:rPr>
            <w:webHidden/>
          </w:rPr>
        </w:r>
        <w:r w:rsidR="003E6C92">
          <w:rPr>
            <w:webHidden/>
          </w:rPr>
          <w:fldChar w:fldCharType="separate"/>
        </w:r>
        <w:r>
          <w:rPr>
            <w:webHidden/>
          </w:rPr>
          <w:t>32</w:t>
        </w:r>
        <w:r w:rsidR="003E6C92">
          <w:rPr>
            <w:webHidden/>
          </w:rPr>
          <w:fldChar w:fldCharType="end"/>
        </w:r>
      </w:hyperlink>
    </w:p>
    <w:p w:rsidR="003E6C92" w:rsidRDefault="00716E0C">
      <w:pPr>
        <w:pStyle w:val="TOC3"/>
        <w:rPr>
          <w:sz w:val="22"/>
          <w:szCs w:val="22"/>
        </w:rPr>
      </w:pPr>
      <w:hyperlink w:anchor="_Toc481502206" w:history="1">
        <w:r w:rsidR="003E6C92" w:rsidRPr="005F0CC4">
          <w:rPr>
            <w:rStyle w:val="Hyperlink"/>
          </w:rPr>
          <w:t>Option 5 – Prescribe application forms and other documents to be provided with an application</w:t>
        </w:r>
        <w:r w:rsidR="003E6C92">
          <w:rPr>
            <w:webHidden/>
          </w:rPr>
          <w:tab/>
        </w:r>
        <w:r w:rsidR="003E6C92">
          <w:rPr>
            <w:webHidden/>
          </w:rPr>
          <w:fldChar w:fldCharType="begin"/>
        </w:r>
        <w:r w:rsidR="003E6C92">
          <w:rPr>
            <w:webHidden/>
          </w:rPr>
          <w:instrText xml:space="preserve"> PAGEREF _Toc481502206 \h </w:instrText>
        </w:r>
        <w:r w:rsidR="003E6C92">
          <w:rPr>
            <w:webHidden/>
          </w:rPr>
        </w:r>
        <w:r w:rsidR="003E6C92">
          <w:rPr>
            <w:webHidden/>
          </w:rPr>
          <w:fldChar w:fldCharType="separate"/>
        </w:r>
        <w:r>
          <w:rPr>
            <w:webHidden/>
          </w:rPr>
          <w:t>32</w:t>
        </w:r>
        <w:r w:rsidR="003E6C92">
          <w:rPr>
            <w:webHidden/>
          </w:rPr>
          <w:fldChar w:fldCharType="end"/>
        </w:r>
      </w:hyperlink>
    </w:p>
    <w:p w:rsidR="003E6C92" w:rsidRDefault="00716E0C">
      <w:pPr>
        <w:pStyle w:val="TOC3"/>
        <w:rPr>
          <w:sz w:val="22"/>
          <w:szCs w:val="22"/>
        </w:rPr>
      </w:pPr>
      <w:hyperlink w:anchor="_Toc481502207" w:history="1">
        <w:r w:rsidR="003E6C92" w:rsidRPr="005F0CC4">
          <w:rPr>
            <w:rStyle w:val="Hyperlink"/>
          </w:rPr>
          <w:t>Option 6 – Require a statutory declaration that the applicant, not a third party, prepared the application</w:t>
        </w:r>
        <w:r w:rsidR="003E6C92">
          <w:rPr>
            <w:webHidden/>
          </w:rPr>
          <w:tab/>
        </w:r>
        <w:r w:rsidR="003E6C92">
          <w:rPr>
            <w:webHidden/>
          </w:rPr>
          <w:fldChar w:fldCharType="begin"/>
        </w:r>
        <w:r w:rsidR="003E6C92">
          <w:rPr>
            <w:webHidden/>
          </w:rPr>
          <w:instrText xml:space="preserve"> PAGEREF _Toc481502207 \h </w:instrText>
        </w:r>
        <w:r w:rsidR="003E6C92">
          <w:rPr>
            <w:webHidden/>
          </w:rPr>
        </w:r>
        <w:r w:rsidR="003E6C92">
          <w:rPr>
            <w:webHidden/>
          </w:rPr>
          <w:fldChar w:fldCharType="separate"/>
        </w:r>
        <w:r>
          <w:rPr>
            <w:webHidden/>
          </w:rPr>
          <w:t>32</w:t>
        </w:r>
        <w:r w:rsidR="003E6C92">
          <w:rPr>
            <w:webHidden/>
          </w:rPr>
          <w:fldChar w:fldCharType="end"/>
        </w:r>
      </w:hyperlink>
    </w:p>
    <w:p w:rsidR="00011DF3" w:rsidRDefault="00011DF3">
      <w:pPr>
        <w:spacing w:after="0"/>
        <w:rPr>
          <w:rStyle w:val="Hyperlink"/>
          <w:b/>
          <w:noProof/>
          <w:sz w:val="22"/>
          <w:szCs w:val="22"/>
        </w:rPr>
      </w:pPr>
      <w:r>
        <w:rPr>
          <w:rStyle w:val="Hyperlink"/>
        </w:rPr>
        <w:br w:type="page"/>
      </w:r>
    </w:p>
    <w:p w:rsidR="003E6C92" w:rsidRDefault="00716E0C">
      <w:pPr>
        <w:pStyle w:val="TOC1"/>
        <w:rPr>
          <w:rFonts w:eastAsiaTheme="minorEastAsia" w:cstheme="minorBidi"/>
          <w:b w:val="0"/>
          <w:color w:val="auto"/>
        </w:rPr>
      </w:pPr>
      <w:hyperlink w:anchor="_Toc481502208" w:history="1">
        <w:r w:rsidR="003E6C92" w:rsidRPr="005F0CC4">
          <w:rPr>
            <w:rStyle w:val="Hyperlink"/>
          </w:rPr>
          <w:t>C4</w:t>
        </w:r>
        <w:r w:rsidR="003E6C92">
          <w:rPr>
            <w:rFonts w:eastAsiaTheme="minorEastAsia" w:cstheme="minorBidi"/>
            <w:b w:val="0"/>
            <w:color w:val="auto"/>
          </w:rPr>
          <w:tab/>
        </w:r>
        <w:r w:rsidR="003E6C92" w:rsidRPr="005F0CC4">
          <w:rPr>
            <w:rStyle w:val="Hyperlink"/>
          </w:rPr>
          <w:t>Competition and small business impacts</w:t>
        </w:r>
        <w:r w:rsidR="003E6C92">
          <w:rPr>
            <w:webHidden/>
          </w:rPr>
          <w:tab/>
        </w:r>
        <w:r w:rsidR="003E6C92">
          <w:rPr>
            <w:webHidden/>
          </w:rPr>
          <w:fldChar w:fldCharType="begin"/>
        </w:r>
        <w:r w:rsidR="003E6C92">
          <w:rPr>
            <w:webHidden/>
          </w:rPr>
          <w:instrText xml:space="preserve"> PAGEREF _Toc481502208 \h </w:instrText>
        </w:r>
        <w:r w:rsidR="003E6C92">
          <w:rPr>
            <w:webHidden/>
          </w:rPr>
        </w:r>
        <w:r w:rsidR="003E6C92">
          <w:rPr>
            <w:webHidden/>
          </w:rPr>
          <w:fldChar w:fldCharType="separate"/>
        </w:r>
        <w:r>
          <w:rPr>
            <w:webHidden/>
          </w:rPr>
          <w:t>35</w:t>
        </w:r>
        <w:r w:rsidR="003E6C92">
          <w:rPr>
            <w:webHidden/>
          </w:rPr>
          <w:fldChar w:fldCharType="end"/>
        </w:r>
      </w:hyperlink>
    </w:p>
    <w:p w:rsidR="003E6C92" w:rsidRDefault="00716E0C">
      <w:pPr>
        <w:pStyle w:val="TOC2"/>
        <w:rPr>
          <w:rFonts w:eastAsiaTheme="minorEastAsia" w:cstheme="minorBidi"/>
          <w:b w:val="0"/>
          <w:sz w:val="22"/>
          <w:szCs w:val="22"/>
        </w:rPr>
      </w:pPr>
      <w:hyperlink w:anchor="_Toc481502209" w:history="1">
        <w:r w:rsidR="003E6C92" w:rsidRPr="005F0CC4">
          <w:rPr>
            <w:rStyle w:val="Hyperlink"/>
          </w:rPr>
          <w:t>C4.1</w:t>
        </w:r>
        <w:r w:rsidR="003E6C92">
          <w:rPr>
            <w:rFonts w:eastAsiaTheme="minorEastAsia" w:cstheme="minorBidi"/>
            <w:b w:val="0"/>
            <w:sz w:val="22"/>
            <w:szCs w:val="22"/>
          </w:rPr>
          <w:tab/>
        </w:r>
        <w:r w:rsidR="003E6C92" w:rsidRPr="005F0CC4">
          <w:rPr>
            <w:rStyle w:val="Hyperlink"/>
          </w:rPr>
          <w:t>Competition impacts</w:t>
        </w:r>
        <w:r w:rsidR="003E6C92">
          <w:rPr>
            <w:webHidden/>
          </w:rPr>
          <w:tab/>
        </w:r>
        <w:r w:rsidR="003E6C92">
          <w:rPr>
            <w:webHidden/>
          </w:rPr>
          <w:fldChar w:fldCharType="begin"/>
        </w:r>
        <w:r w:rsidR="003E6C92">
          <w:rPr>
            <w:webHidden/>
          </w:rPr>
          <w:instrText xml:space="preserve"> PAGEREF _Toc481502209 \h </w:instrText>
        </w:r>
        <w:r w:rsidR="003E6C92">
          <w:rPr>
            <w:webHidden/>
          </w:rPr>
        </w:r>
        <w:r w:rsidR="003E6C92">
          <w:rPr>
            <w:webHidden/>
          </w:rPr>
          <w:fldChar w:fldCharType="separate"/>
        </w:r>
        <w:r>
          <w:rPr>
            <w:webHidden/>
          </w:rPr>
          <w:t>35</w:t>
        </w:r>
        <w:r w:rsidR="003E6C92">
          <w:rPr>
            <w:webHidden/>
          </w:rPr>
          <w:fldChar w:fldCharType="end"/>
        </w:r>
      </w:hyperlink>
    </w:p>
    <w:p w:rsidR="003E6C92" w:rsidRDefault="00716E0C">
      <w:pPr>
        <w:pStyle w:val="TOC2"/>
        <w:rPr>
          <w:rFonts w:eastAsiaTheme="minorEastAsia" w:cstheme="minorBidi"/>
          <w:b w:val="0"/>
          <w:sz w:val="22"/>
          <w:szCs w:val="22"/>
        </w:rPr>
      </w:pPr>
      <w:hyperlink w:anchor="_Toc481502210" w:history="1">
        <w:r w:rsidR="003E6C92" w:rsidRPr="005F0CC4">
          <w:rPr>
            <w:rStyle w:val="Hyperlink"/>
          </w:rPr>
          <w:t>C4.2</w:t>
        </w:r>
        <w:r w:rsidR="003E6C92">
          <w:rPr>
            <w:rFonts w:eastAsiaTheme="minorEastAsia" w:cstheme="minorBidi"/>
            <w:b w:val="0"/>
            <w:sz w:val="22"/>
            <w:szCs w:val="22"/>
          </w:rPr>
          <w:tab/>
        </w:r>
        <w:r w:rsidR="003E6C92" w:rsidRPr="005F0CC4">
          <w:rPr>
            <w:rStyle w:val="Hyperlink"/>
          </w:rPr>
          <w:t>Small business impacts</w:t>
        </w:r>
        <w:r w:rsidR="003E6C92">
          <w:rPr>
            <w:webHidden/>
          </w:rPr>
          <w:tab/>
        </w:r>
        <w:r w:rsidR="003E6C92">
          <w:rPr>
            <w:webHidden/>
          </w:rPr>
          <w:fldChar w:fldCharType="begin"/>
        </w:r>
        <w:r w:rsidR="003E6C92">
          <w:rPr>
            <w:webHidden/>
          </w:rPr>
          <w:instrText xml:space="preserve"> PAGEREF _Toc481502210 \h </w:instrText>
        </w:r>
        <w:r w:rsidR="003E6C92">
          <w:rPr>
            <w:webHidden/>
          </w:rPr>
        </w:r>
        <w:r w:rsidR="003E6C92">
          <w:rPr>
            <w:webHidden/>
          </w:rPr>
          <w:fldChar w:fldCharType="separate"/>
        </w:r>
        <w:r>
          <w:rPr>
            <w:webHidden/>
          </w:rPr>
          <w:t>35</w:t>
        </w:r>
        <w:r w:rsidR="003E6C92">
          <w:rPr>
            <w:webHidden/>
          </w:rPr>
          <w:fldChar w:fldCharType="end"/>
        </w:r>
      </w:hyperlink>
    </w:p>
    <w:p w:rsidR="003E6C92" w:rsidRDefault="00716E0C">
      <w:pPr>
        <w:pStyle w:val="TOC1"/>
        <w:rPr>
          <w:rFonts w:eastAsiaTheme="minorEastAsia" w:cstheme="minorBidi"/>
          <w:b w:val="0"/>
          <w:color w:val="auto"/>
        </w:rPr>
      </w:pPr>
      <w:hyperlink w:anchor="_Toc481502211" w:history="1">
        <w:r w:rsidR="003E6C92" w:rsidRPr="005F0CC4">
          <w:rPr>
            <w:rStyle w:val="Hyperlink"/>
          </w:rPr>
          <w:t>Appendix 1: Modelling assumptions</w:t>
        </w:r>
        <w:r w:rsidR="003E6C92">
          <w:rPr>
            <w:webHidden/>
          </w:rPr>
          <w:tab/>
        </w:r>
        <w:r w:rsidR="003E6C92">
          <w:rPr>
            <w:webHidden/>
          </w:rPr>
          <w:fldChar w:fldCharType="begin"/>
        </w:r>
        <w:r w:rsidR="003E6C92">
          <w:rPr>
            <w:webHidden/>
          </w:rPr>
          <w:instrText xml:space="preserve"> PAGEREF _Toc481502211 \h </w:instrText>
        </w:r>
        <w:r w:rsidR="003E6C92">
          <w:rPr>
            <w:webHidden/>
          </w:rPr>
        </w:r>
        <w:r w:rsidR="003E6C92">
          <w:rPr>
            <w:webHidden/>
          </w:rPr>
          <w:fldChar w:fldCharType="separate"/>
        </w:r>
        <w:r>
          <w:rPr>
            <w:webHidden/>
          </w:rPr>
          <w:t>36</w:t>
        </w:r>
        <w:r w:rsidR="003E6C92">
          <w:rPr>
            <w:webHidden/>
          </w:rPr>
          <w:fldChar w:fldCharType="end"/>
        </w:r>
      </w:hyperlink>
    </w:p>
    <w:p w:rsidR="003E6C92" w:rsidRDefault="00716E0C">
      <w:pPr>
        <w:pStyle w:val="TOC4"/>
        <w:rPr>
          <w:rFonts w:eastAsiaTheme="minorEastAsia" w:cstheme="minorBidi"/>
          <w:sz w:val="22"/>
          <w:szCs w:val="22"/>
        </w:rPr>
      </w:pPr>
      <w:hyperlink w:anchor="_Toc481502212" w:history="1">
        <w:r w:rsidR="003E6C92" w:rsidRPr="005F0CC4">
          <w:rPr>
            <w:rStyle w:val="Hyperlink"/>
          </w:rPr>
          <w:t>Net present value</w:t>
        </w:r>
        <w:r w:rsidR="003E6C92">
          <w:rPr>
            <w:webHidden/>
          </w:rPr>
          <w:tab/>
        </w:r>
        <w:r w:rsidR="003E6C92">
          <w:rPr>
            <w:webHidden/>
          </w:rPr>
          <w:fldChar w:fldCharType="begin"/>
        </w:r>
        <w:r w:rsidR="003E6C92">
          <w:rPr>
            <w:webHidden/>
          </w:rPr>
          <w:instrText xml:space="preserve"> PAGEREF _Toc481502212 \h </w:instrText>
        </w:r>
        <w:r w:rsidR="003E6C92">
          <w:rPr>
            <w:webHidden/>
          </w:rPr>
        </w:r>
        <w:r w:rsidR="003E6C92">
          <w:rPr>
            <w:webHidden/>
          </w:rPr>
          <w:fldChar w:fldCharType="separate"/>
        </w:r>
        <w:r>
          <w:rPr>
            <w:webHidden/>
          </w:rPr>
          <w:t>36</w:t>
        </w:r>
        <w:r w:rsidR="003E6C92">
          <w:rPr>
            <w:webHidden/>
          </w:rPr>
          <w:fldChar w:fldCharType="end"/>
        </w:r>
      </w:hyperlink>
    </w:p>
    <w:p w:rsidR="003E6C92" w:rsidRDefault="00716E0C">
      <w:pPr>
        <w:pStyle w:val="TOC4"/>
        <w:rPr>
          <w:rFonts w:eastAsiaTheme="minorEastAsia" w:cstheme="minorBidi"/>
          <w:sz w:val="22"/>
          <w:szCs w:val="22"/>
        </w:rPr>
      </w:pPr>
      <w:hyperlink w:anchor="_Toc481502213" w:history="1">
        <w:r w:rsidR="003E6C92" w:rsidRPr="005F0CC4">
          <w:rPr>
            <w:rStyle w:val="Hyperlink"/>
          </w:rPr>
          <w:t>Value of time</w:t>
        </w:r>
        <w:r w:rsidR="003E6C92">
          <w:rPr>
            <w:webHidden/>
          </w:rPr>
          <w:tab/>
        </w:r>
        <w:r w:rsidR="003E6C92">
          <w:rPr>
            <w:webHidden/>
          </w:rPr>
          <w:fldChar w:fldCharType="begin"/>
        </w:r>
        <w:r w:rsidR="003E6C92">
          <w:rPr>
            <w:webHidden/>
          </w:rPr>
          <w:instrText xml:space="preserve"> PAGEREF _Toc481502213 \h </w:instrText>
        </w:r>
        <w:r w:rsidR="003E6C92">
          <w:rPr>
            <w:webHidden/>
          </w:rPr>
        </w:r>
        <w:r w:rsidR="003E6C92">
          <w:rPr>
            <w:webHidden/>
          </w:rPr>
          <w:fldChar w:fldCharType="separate"/>
        </w:r>
        <w:r>
          <w:rPr>
            <w:webHidden/>
          </w:rPr>
          <w:t>36</w:t>
        </w:r>
        <w:r w:rsidR="003E6C92">
          <w:rPr>
            <w:webHidden/>
          </w:rPr>
          <w:fldChar w:fldCharType="end"/>
        </w:r>
      </w:hyperlink>
    </w:p>
    <w:p w:rsidR="003E6C92" w:rsidRDefault="00716E0C">
      <w:pPr>
        <w:pStyle w:val="TOC4"/>
        <w:rPr>
          <w:rFonts w:eastAsiaTheme="minorEastAsia" w:cstheme="minorBidi"/>
          <w:sz w:val="22"/>
          <w:szCs w:val="22"/>
        </w:rPr>
      </w:pPr>
      <w:hyperlink w:anchor="_Toc481502214" w:history="1">
        <w:r w:rsidR="003E6C92" w:rsidRPr="005F0CC4">
          <w:rPr>
            <w:rStyle w:val="Hyperlink"/>
          </w:rPr>
          <w:t>Travel costs</w:t>
        </w:r>
        <w:r w:rsidR="003E6C92">
          <w:rPr>
            <w:webHidden/>
          </w:rPr>
          <w:tab/>
        </w:r>
        <w:r w:rsidR="003E6C92">
          <w:rPr>
            <w:webHidden/>
          </w:rPr>
          <w:fldChar w:fldCharType="begin"/>
        </w:r>
        <w:r w:rsidR="003E6C92">
          <w:rPr>
            <w:webHidden/>
          </w:rPr>
          <w:instrText xml:space="preserve"> PAGEREF _Toc481502214 \h </w:instrText>
        </w:r>
        <w:r w:rsidR="003E6C92">
          <w:rPr>
            <w:webHidden/>
          </w:rPr>
        </w:r>
        <w:r w:rsidR="003E6C92">
          <w:rPr>
            <w:webHidden/>
          </w:rPr>
          <w:fldChar w:fldCharType="separate"/>
        </w:r>
        <w:r>
          <w:rPr>
            <w:webHidden/>
          </w:rPr>
          <w:t>36</w:t>
        </w:r>
        <w:r w:rsidR="003E6C92">
          <w:rPr>
            <w:webHidden/>
          </w:rPr>
          <w:fldChar w:fldCharType="end"/>
        </w:r>
      </w:hyperlink>
    </w:p>
    <w:p w:rsidR="003E6C92" w:rsidRDefault="00716E0C">
      <w:pPr>
        <w:pStyle w:val="TOC4"/>
        <w:rPr>
          <w:rFonts w:eastAsiaTheme="minorEastAsia" w:cstheme="minorBidi"/>
          <w:sz w:val="22"/>
          <w:szCs w:val="22"/>
        </w:rPr>
      </w:pPr>
      <w:hyperlink w:anchor="_Toc481502215" w:history="1">
        <w:r w:rsidR="003E6C92" w:rsidRPr="005F0CC4">
          <w:rPr>
            <w:rStyle w:val="Hyperlink"/>
          </w:rPr>
          <w:t>Prescribed qualifications and experience</w:t>
        </w:r>
        <w:r w:rsidR="003E6C92">
          <w:rPr>
            <w:webHidden/>
          </w:rPr>
          <w:tab/>
        </w:r>
        <w:r w:rsidR="003E6C92">
          <w:rPr>
            <w:webHidden/>
          </w:rPr>
          <w:fldChar w:fldCharType="begin"/>
        </w:r>
        <w:r w:rsidR="003E6C92">
          <w:rPr>
            <w:webHidden/>
          </w:rPr>
          <w:instrText xml:space="preserve"> PAGEREF _Toc481502215 \h </w:instrText>
        </w:r>
        <w:r w:rsidR="003E6C92">
          <w:rPr>
            <w:webHidden/>
          </w:rPr>
        </w:r>
        <w:r w:rsidR="003E6C92">
          <w:rPr>
            <w:webHidden/>
          </w:rPr>
          <w:fldChar w:fldCharType="separate"/>
        </w:r>
        <w:r>
          <w:rPr>
            <w:webHidden/>
          </w:rPr>
          <w:t>36</w:t>
        </w:r>
        <w:r w:rsidR="003E6C92">
          <w:rPr>
            <w:webHidden/>
          </w:rPr>
          <w:fldChar w:fldCharType="end"/>
        </w:r>
      </w:hyperlink>
    </w:p>
    <w:p w:rsidR="003E6C92" w:rsidRDefault="00716E0C">
      <w:pPr>
        <w:pStyle w:val="TOC4"/>
        <w:rPr>
          <w:rFonts w:eastAsiaTheme="minorEastAsia" w:cstheme="minorBidi"/>
          <w:sz w:val="22"/>
          <w:szCs w:val="22"/>
        </w:rPr>
      </w:pPr>
      <w:hyperlink w:anchor="_Toc481502216" w:history="1">
        <w:r w:rsidR="003E6C92" w:rsidRPr="005F0CC4">
          <w:rPr>
            <w:rStyle w:val="Hyperlink"/>
          </w:rPr>
          <w:t>Avoided consumer detriment</w:t>
        </w:r>
        <w:r w:rsidR="003E6C92">
          <w:rPr>
            <w:webHidden/>
          </w:rPr>
          <w:tab/>
        </w:r>
        <w:r w:rsidR="003E6C92">
          <w:rPr>
            <w:webHidden/>
          </w:rPr>
          <w:fldChar w:fldCharType="begin"/>
        </w:r>
        <w:r w:rsidR="003E6C92">
          <w:rPr>
            <w:webHidden/>
          </w:rPr>
          <w:instrText xml:space="preserve"> PAGEREF _Toc481502216 \h </w:instrText>
        </w:r>
        <w:r w:rsidR="003E6C92">
          <w:rPr>
            <w:webHidden/>
          </w:rPr>
        </w:r>
        <w:r w:rsidR="003E6C92">
          <w:rPr>
            <w:webHidden/>
          </w:rPr>
          <w:fldChar w:fldCharType="separate"/>
        </w:r>
        <w:r>
          <w:rPr>
            <w:webHidden/>
          </w:rPr>
          <w:t>38</w:t>
        </w:r>
        <w:r w:rsidR="003E6C92">
          <w:rPr>
            <w:webHidden/>
          </w:rPr>
          <w:fldChar w:fldCharType="end"/>
        </w:r>
      </w:hyperlink>
    </w:p>
    <w:p w:rsidR="008F4D3D" w:rsidRPr="00160290" w:rsidRDefault="00FC6221" w:rsidP="00162B86">
      <w:r>
        <w:fldChar w:fldCharType="end"/>
      </w:r>
    </w:p>
    <w:p w:rsidR="00436277" w:rsidRPr="00160290" w:rsidRDefault="00436277" w:rsidP="00162B86">
      <w:pPr>
        <w:sectPr w:rsidR="00436277" w:rsidRPr="00160290" w:rsidSect="00C04D98">
          <w:headerReference w:type="even" r:id="rId26"/>
          <w:headerReference w:type="default" r:id="rId27"/>
          <w:footerReference w:type="even" r:id="rId28"/>
          <w:footerReference w:type="default" r:id="rId29"/>
          <w:pgSz w:w="11907" w:h="16840" w:code="9"/>
          <w:pgMar w:top="992" w:right="1559" w:bottom="992" w:left="1797" w:header="284" w:footer="284" w:gutter="0"/>
          <w:pgNumType w:start="1"/>
          <w:cols w:space="708"/>
          <w:docGrid w:linePitch="360"/>
        </w:sectPr>
      </w:pPr>
    </w:p>
    <w:p w:rsidR="0033590D" w:rsidRDefault="00010CE1" w:rsidP="00011DF3">
      <w:pPr>
        <w:pStyle w:val="Heading1"/>
      </w:pPr>
      <w:bookmarkStart w:id="3" w:name="_Toc481471423"/>
      <w:bookmarkStart w:id="4" w:name="_Toc481502162"/>
      <w:bookmarkStart w:id="5" w:name="_Toc475087228"/>
      <w:r w:rsidRPr="00C1534D">
        <w:lastRenderedPageBreak/>
        <w:t>A</w:t>
      </w:r>
      <w:r>
        <w:t>cronyms and abbreviations</w:t>
      </w:r>
      <w:bookmarkEnd w:id="3"/>
      <w:bookmarkEnd w:id="4"/>
    </w:p>
    <w:tbl>
      <w:tblPr>
        <w:tblW w:w="5021" w:type="pct"/>
        <w:tblBorders>
          <w:top w:val="dotted" w:sz="8" w:space="0" w:color="00B2A9" w:themeColor="text2"/>
          <w:bottom w:val="dotted" w:sz="8" w:space="0" w:color="00B2A9" w:themeColor="text2"/>
          <w:insideH w:val="dotted" w:sz="8" w:space="0" w:color="00B2A9" w:themeColor="text2"/>
        </w:tblBorders>
        <w:tblLayout w:type="fixed"/>
        <w:tblLook w:val="0000" w:firstRow="0" w:lastRow="0" w:firstColumn="0" w:lastColumn="0" w:noHBand="0" w:noVBand="0"/>
      </w:tblPr>
      <w:tblGrid>
        <w:gridCol w:w="2233"/>
        <w:gridCol w:w="6564"/>
      </w:tblGrid>
      <w:tr w:rsidR="00010CE1" w:rsidRPr="00906B05" w:rsidTr="007C1EF0">
        <w:trPr>
          <w:tblHeader/>
        </w:trPr>
        <w:tc>
          <w:tcPr>
            <w:tcW w:w="2233" w:type="dxa"/>
            <w:shd w:val="clear" w:color="auto" w:fill="00B2A9" w:themeFill="accent1"/>
          </w:tcPr>
          <w:p w:rsidR="00010CE1" w:rsidRDefault="00010CE1" w:rsidP="007C1EF0">
            <w:pPr>
              <w:pStyle w:val="Tabletext"/>
              <w:rPr>
                <w:b/>
                <w:color w:val="FFFFFF" w:themeColor="background1"/>
              </w:rPr>
            </w:pPr>
            <w:r>
              <w:rPr>
                <w:b/>
                <w:color w:val="FFFFFF" w:themeColor="background1"/>
              </w:rPr>
              <w:t>Acronym</w:t>
            </w:r>
          </w:p>
        </w:tc>
        <w:tc>
          <w:tcPr>
            <w:tcW w:w="6564" w:type="dxa"/>
            <w:shd w:val="clear" w:color="auto" w:fill="00B2A9" w:themeFill="accent1"/>
          </w:tcPr>
          <w:p w:rsidR="00010CE1" w:rsidRDefault="00010CE1" w:rsidP="007C1EF0">
            <w:pPr>
              <w:pStyle w:val="Tabletext"/>
              <w:rPr>
                <w:b/>
                <w:color w:val="FFFFFF" w:themeColor="background1"/>
              </w:rPr>
            </w:pPr>
            <w:r>
              <w:rPr>
                <w:b/>
                <w:color w:val="FFFFFF" w:themeColor="background1"/>
              </w:rPr>
              <w:t>Name</w:t>
            </w:r>
          </w:p>
        </w:tc>
      </w:tr>
      <w:tr w:rsidR="00010CE1" w:rsidRPr="00906B05" w:rsidTr="007C1EF0">
        <w:tc>
          <w:tcPr>
            <w:tcW w:w="2233" w:type="dxa"/>
          </w:tcPr>
          <w:p w:rsidR="00010CE1" w:rsidRDefault="00010CE1" w:rsidP="007C1EF0">
            <w:pPr>
              <w:pStyle w:val="Tabletext"/>
            </w:pPr>
            <w:r>
              <w:t>ABS</w:t>
            </w:r>
          </w:p>
        </w:tc>
        <w:tc>
          <w:tcPr>
            <w:tcW w:w="6564" w:type="dxa"/>
          </w:tcPr>
          <w:p w:rsidR="00010CE1" w:rsidRDefault="00010CE1" w:rsidP="007C1EF0">
            <w:pPr>
              <w:pStyle w:val="Tabletext"/>
            </w:pPr>
            <w:r>
              <w:t>Australian Bureau of Statistics</w:t>
            </w:r>
          </w:p>
        </w:tc>
      </w:tr>
      <w:tr w:rsidR="00010CE1" w:rsidRPr="00906B05" w:rsidTr="007C1EF0">
        <w:tc>
          <w:tcPr>
            <w:tcW w:w="2233" w:type="dxa"/>
          </w:tcPr>
          <w:p w:rsidR="00010CE1" w:rsidRDefault="00010CE1" w:rsidP="007C1EF0">
            <w:pPr>
              <w:pStyle w:val="Tabletext"/>
            </w:pPr>
            <w:r>
              <w:rPr>
                <w:lang w:val="en-AU"/>
              </w:rPr>
              <w:t>Act, the</w:t>
            </w:r>
          </w:p>
        </w:tc>
        <w:tc>
          <w:tcPr>
            <w:tcW w:w="6564" w:type="dxa"/>
          </w:tcPr>
          <w:p w:rsidR="00010CE1" w:rsidRDefault="00010CE1" w:rsidP="007C1EF0">
            <w:pPr>
              <w:pStyle w:val="Tabletext"/>
            </w:pPr>
            <w:r>
              <w:rPr>
                <w:i/>
                <w:lang w:val="en-AU"/>
              </w:rPr>
              <w:t>Building Act 1993</w:t>
            </w:r>
          </w:p>
        </w:tc>
      </w:tr>
      <w:tr w:rsidR="00010CE1" w:rsidRPr="00906B05" w:rsidTr="007C1EF0">
        <w:tc>
          <w:tcPr>
            <w:tcW w:w="2233" w:type="dxa"/>
          </w:tcPr>
          <w:p w:rsidR="00010CE1" w:rsidRDefault="00010CE1" w:rsidP="007C1EF0">
            <w:pPr>
              <w:pStyle w:val="Tabletext"/>
            </w:pPr>
            <w:r>
              <w:t>BPB</w:t>
            </w:r>
          </w:p>
        </w:tc>
        <w:tc>
          <w:tcPr>
            <w:tcW w:w="6564" w:type="dxa"/>
          </w:tcPr>
          <w:p w:rsidR="00010CE1" w:rsidRPr="00160290" w:rsidRDefault="00010CE1" w:rsidP="007C1EF0">
            <w:pPr>
              <w:pStyle w:val="Tabletext"/>
            </w:pPr>
            <w:r w:rsidRPr="00C6416C">
              <w:t>Building Practitioners Board</w:t>
            </w:r>
          </w:p>
        </w:tc>
      </w:tr>
      <w:tr w:rsidR="00010CE1" w:rsidRPr="00906B05" w:rsidTr="007C1EF0">
        <w:tc>
          <w:tcPr>
            <w:tcW w:w="2233" w:type="dxa"/>
          </w:tcPr>
          <w:p w:rsidR="00010CE1" w:rsidRDefault="00010CE1" w:rsidP="007C1EF0">
            <w:pPr>
              <w:pStyle w:val="Tabletext"/>
            </w:pPr>
            <w:r>
              <w:t>CAV</w:t>
            </w:r>
          </w:p>
        </w:tc>
        <w:tc>
          <w:tcPr>
            <w:tcW w:w="6564" w:type="dxa"/>
          </w:tcPr>
          <w:p w:rsidR="00010CE1" w:rsidRDefault="00010CE1" w:rsidP="007C1EF0">
            <w:pPr>
              <w:pStyle w:val="Tabletext"/>
            </w:pPr>
            <w:r w:rsidRPr="00160290">
              <w:t>Consumer Affairs Victoria</w:t>
            </w:r>
          </w:p>
        </w:tc>
      </w:tr>
      <w:tr w:rsidR="00010CE1" w:rsidRPr="00906B05" w:rsidTr="007C1EF0">
        <w:tc>
          <w:tcPr>
            <w:tcW w:w="2233" w:type="dxa"/>
            <w:vAlign w:val="center"/>
          </w:tcPr>
          <w:p w:rsidR="00010CE1" w:rsidRDefault="00010CE1" w:rsidP="007C1EF0">
            <w:pPr>
              <w:pStyle w:val="Tabletext"/>
            </w:pPr>
            <w:r>
              <w:rPr>
                <w:lang w:val="en-AU"/>
              </w:rPr>
              <w:t>current Regulations</w:t>
            </w:r>
          </w:p>
        </w:tc>
        <w:tc>
          <w:tcPr>
            <w:tcW w:w="6564" w:type="dxa"/>
            <w:vAlign w:val="center"/>
          </w:tcPr>
          <w:p w:rsidR="00010CE1" w:rsidRDefault="00010CE1" w:rsidP="007C1EF0">
            <w:pPr>
              <w:pStyle w:val="Tabletext"/>
            </w:pPr>
            <w:r>
              <w:rPr>
                <w:lang w:val="en-AU"/>
              </w:rPr>
              <w:t>Building Regulations 2006</w:t>
            </w:r>
          </w:p>
        </w:tc>
      </w:tr>
      <w:tr w:rsidR="00010CE1" w:rsidRPr="00906B05" w:rsidTr="007C1EF0">
        <w:tc>
          <w:tcPr>
            <w:tcW w:w="2233" w:type="dxa"/>
          </w:tcPr>
          <w:p w:rsidR="00010CE1" w:rsidRDefault="00010CE1" w:rsidP="007C1EF0">
            <w:pPr>
              <w:pStyle w:val="Tabletext"/>
            </w:pPr>
            <w:r>
              <w:t>NPV</w:t>
            </w:r>
          </w:p>
        </w:tc>
        <w:tc>
          <w:tcPr>
            <w:tcW w:w="6564" w:type="dxa"/>
          </w:tcPr>
          <w:p w:rsidR="00010CE1" w:rsidRDefault="00010CE1" w:rsidP="007C1EF0">
            <w:pPr>
              <w:pStyle w:val="Tabletext"/>
            </w:pPr>
            <w:r>
              <w:t>Net present value</w:t>
            </w:r>
          </w:p>
        </w:tc>
      </w:tr>
      <w:tr w:rsidR="00010CE1" w:rsidRPr="00906B05" w:rsidTr="007C1EF0">
        <w:tc>
          <w:tcPr>
            <w:tcW w:w="2233" w:type="dxa"/>
          </w:tcPr>
          <w:p w:rsidR="00010CE1" w:rsidRDefault="00010CE1" w:rsidP="007C1EF0">
            <w:pPr>
              <w:pStyle w:val="Tabletext"/>
            </w:pPr>
            <w:r>
              <w:t>PBS</w:t>
            </w:r>
          </w:p>
        </w:tc>
        <w:tc>
          <w:tcPr>
            <w:tcW w:w="6564" w:type="dxa"/>
          </w:tcPr>
          <w:p w:rsidR="00010CE1" w:rsidRDefault="00010CE1" w:rsidP="007C1EF0">
            <w:pPr>
              <w:pStyle w:val="Tabletext"/>
            </w:pPr>
            <w:r>
              <w:t>Private building surveyor</w:t>
            </w:r>
          </w:p>
        </w:tc>
      </w:tr>
      <w:tr w:rsidR="00010CE1" w:rsidRPr="00906B05" w:rsidTr="007C1EF0">
        <w:tc>
          <w:tcPr>
            <w:tcW w:w="2233" w:type="dxa"/>
            <w:vAlign w:val="center"/>
          </w:tcPr>
          <w:p w:rsidR="00010CE1" w:rsidRDefault="00010CE1" w:rsidP="007C1EF0">
            <w:pPr>
              <w:pStyle w:val="Tabletext"/>
              <w:rPr>
                <w:lang w:val="en-AU"/>
              </w:rPr>
            </w:pPr>
            <w:r>
              <w:rPr>
                <w:lang w:val="en-AU"/>
              </w:rPr>
              <w:t>proposed Regulations</w:t>
            </w:r>
          </w:p>
        </w:tc>
        <w:tc>
          <w:tcPr>
            <w:tcW w:w="6564" w:type="dxa"/>
            <w:vAlign w:val="center"/>
          </w:tcPr>
          <w:p w:rsidR="00010CE1" w:rsidRDefault="00010CE1" w:rsidP="007C1EF0">
            <w:pPr>
              <w:pStyle w:val="Tabletext"/>
              <w:rPr>
                <w:lang w:val="en-AU"/>
              </w:rPr>
            </w:pPr>
            <w:r>
              <w:rPr>
                <w:lang w:val="en-AU"/>
              </w:rPr>
              <w:t>Building Regulations 2017</w:t>
            </w:r>
          </w:p>
        </w:tc>
      </w:tr>
      <w:tr w:rsidR="00010CE1" w:rsidRPr="00906B05" w:rsidTr="007C1EF0">
        <w:tc>
          <w:tcPr>
            <w:tcW w:w="2233" w:type="dxa"/>
          </w:tcPr>
          <w:p w:rsidR="00010CE1" w:rsidRDefault="00010CE1" w:rsidP="007C1EF0">
            <w:pPr>
              <w:pStyle w:val="Tabletext"/>
            </w:pPr>
            <w:r>
              <w:t>RIS</w:t>
            </w:r>
          </w:p>
        </w:tc>
        <w:tc>
          <w:tcPr>
            <w:tcW w:w="6564" w:type="dxa"/>
          </w:tcPr>
          <w:p w:rsidR="00010CE1" w:rsidRDefault="00010CE1" w:rsidP="007C1EF0">
            <w:pPr>
              <w:pStyle w:val="Tabletext"/>
            </w:pPr>
            <w:r>
              <w:t>Regulatory impact statement</w:t>
            </w:r>
          </w:p>
        </w:tc>
      </w:tr>
      <w:tr w:rsidR="00010CE1" w:rsidRPr="00906B05" w:rsidTr="007C1EF0">
        <w:tc>
          <w:tcPr>
            <w:tcW w:w="2233" w:type="dxa"/>
          </w:tcPr>
          <w:p w:rsidR="00010CE1" w:rsidRDefault="00010CE1" w:rsidP="007C1EF0">
            <w:pPr>
              <w:pStyle w:val="Tabletext"/>
            </w:pPr>
            <w:r>
              <w:rPr>
                <w:lang w:val="en-AU"/>
              </w:rPr>
              <w:t>the department</w:t>
            </w:r>
          </w:p>
        </w:tc>
        <w:tc>
          <w:tcPr>
            <w:tcW w:w="6564" w:type="dxa"/>
          </w:tcPr>
          <w:p w:rsidR="00010CE1" w:rsidRDefault="00010CE1" w:rsidP="007C1EF0">
            <w:pPr>
              <w:pStyle w:val="Tabletext"/>
              <w:rPr>
                <w:lang w:val="en-AU"/>
              </w:rPr>
            </w:pPr>
            <w:r>
              <w:rPr>
                <w:lang w:val="en-AU"/>
              </w:rPr>
              <w:t>Department of Environment, Land, Water and Planning</w:t>
            </w:r>
          </w:p>
        </w:tc>
      </w:tr>
      <w:tr w:rsidR="00010CE1" w:rsidRPr="00906B05" w:rsidTr="007C1EF0">
        <w:tc>
          <w:tcPr>
            <w:tcW w:w="2233" w:type="dxa"/>
          </w:tcPr>
          <w:p w:rsidR="00010CE1" w:rsidRDefault="00010CE1" w:rsidP="007C1EF0">
            <w:pPr>
              <w:pStyle w:val="Tabletext"/>
            </w:pPr>
            <w:r>
              <w:t>VAGO</w:t>
            </w:r>
          </w:p>
        </w:tc>
        <w:tc>
          <w:tcPr>
            <w:tcW w:w="6564" w:type="dxa"/>
          </w:tcPr>
          <w:p w:rsidR="00010CE1" w:rsidRDefault="00010CE1" w:rsidP="007C1EF0">
            <w:pPr>
              <w:pStyle w:val="Tabletext"/>
            </w:pPr>
            <w:r>
              <w:t>Victorian Auditor-General's Office</w:t>
            </w:r>
          </w:p>
        </w:tc>
      </w:tr>
      <w:tr w:rsidR="00010CE1" w:rsidRPr="00906B05" w:rsidTr="007C1EF0">
        <w:tc>
          <w:tcPr>
            <w:tcW w:w="2233" w:type="dxa"/>
          </w:tcPr>
          <w:p w:rsidR="00010CE1" w:rsidRDefault="00010CE1" w:rsidP="007C1EF0">
            <w:pPr>
              <w:pStyle w:val="Tabletext"/>
            </w:pPr>
            <w:r>
              <w:t>VBA</w:t>
            </w:r>
          </w:p>
        </w:tc>
        <w:tc>
          <w:tcPr>
            <w:tcW w:w="6564" w:type="dxa"/>
          </w:tcPr>
          <w:p w:rsidR="00010CE1" w:rsidRDefault="00010CE1" w:rsidP="007C1EF0">
            <w:pPr>
              <w:pStyle w:val="Tabletext"/>
            </w:pPr>
            <w:r>
              <w:t>Victorian Building Authority</w:t>
            </w:r>
          </w:p>
        </w:tc>
      </w:tr>
      <w:tr w:rsidR="00010CE1" w:rsidRPr="00906B05" w:rsidTr="007C1EF0">
        <w:tc>
          <w:tcPr>
            <w:tcW w:w="2233" w:type="dxa"/>
          </w:tcPr>
          <w:p w:rsidR="00010CE1" w:rsidRDefault="00010CE1" w:rsidP="007C1EF0">
            <w:pPr>
              <w:pStyle w:val="Tabletext"/>
            </w:pPr>
            <w:r>
              <w:t>VCAT</w:t>
            </w:r>
          </w:p>
        </w:tc>
        <w:tc>
          <w:tcPr>
            <w:tcW w:w="6564" w:type="dxa"/>
          </w:tcPr>
          <w:p w:rsidR="00010CE1" w:rsidRDefault="00010CE1" w:rsidP="007C1EF0">
            <w:pPr>
              <w:pStyle w:val="Tabletext"/>
            </w:pPr>
            <w:r>
              <w:t>Victorian Civil &amp; Administrative Tribunal</w:t>
            </w:r>
          </w:p>
        </w:tc>
      </w:tr>
    </w:tbl>
    <w:p w:rsidR="00010CE1" w:rsidRDefault="00010CE1" w:rsidP="00010CE1">
      <w:pPr>
        <w:spacing w:after="120" w:line="120" w:lineRule="atLeast"/>
        <w:rPr>
          <w:rFonts w:cs="Times New Roman"/>
        </w:rPr>
      </w:pPr>
    </w:p>
    <w:p w:rsidR="00010CE1" w:rsidRPr="00011DF3" w:rsidRDefault="00010CE1" w:rsidP="00010CE1">
      <w:pPr>
        <w:pStyle w:val="Heading6"/>
        <w:rPr>
          <w:sz w:val="22"/>
          <w:szCs w:val="22"/>
        </w:rPr>
      </w:pPr>
      <w:bookmarkStart w:id="6" w:name="_Toc481471424"/>
      <w:r w:rsidRPr="00011DF3">
        <w:rPr>
          <w:sz w:val="22"/>
          <w:szCs w:val="22"/>
        </w:rPr>
        <w:t>Abbreviations for Acts and Regulations</w:t>
      </w:r>
      <w:bookmarkEnd w:id="6"/>
    </w:p>
    <w:tbl>
      <w:tblPr>
        <w:tblW w:w="5021" w:type="pct"/>
        <w:tblBorders>
          <w:top w:val="dotted" w:sz="8" w:space="0" w:color="00B2A9" w:themeColor="text2"/>
          <w:bottom w:val="dotted" w:sz="8" w:space="0" w:color="00B2A9" w:themeColor="text2"/>
          <w:insideH w:val="dotted" w:sz="8" w:space="0" w:color="00B2A9" w:themeColor="text2"/>
        </w:tblBorders>
        <w:tblLayout w:type="fixed"/>
        <w:tblLook w:val="0000" w:firstRow="0" w:lastRow="0" w:firstColumn="0" w:lastColumn="0" w:noHBand="0" w:noVBand="0"/>
      </w:tblPr>
      <w:tblGrid>
        <w:gridCol w:w="1950"/>
        <w:gridCol w:w="6847"/>
      </w:tblGrid>
      <w:tr w:rsidR="00010CE1" w:rsidRPr="00E65C38" w:rsidTr="007C1EF0">
        <w:trPr>
          <w:tblHeader/>
        </w:trPr>
        <w:tc>
          <w:tcPr>
            <w:tcW w:w="1951" w:type="dxa"/>
            <w:shd w:val="clear" w:color="auto" w:fill="00B2A9" w:themeFill="accent1"/>
          </w:tcPr>
          <w:p w:rsidR="00010CE1" w:rsidRDefault="00010CE1" w:rsidP="007C1EF0">
            <w:pPr>
              <w:pStyle w:val="Tabletext"/>
              <w:rPr>
                <w:b/>
                <w:color w:val="FFFFFF" w:themeColor="background1"/>
              </w:rPr>
            </w:pPr>
            <w:r>
              <w:rPr>
                <w:b/>
                <w:color w:val="FFFFFF" w:themeColor="background1"/>
              </w:rPr>
              <w:t>Abbreviation</w:t>
            </w:r>
          </w:p>
        </w:tc>
        <w:tc>
          <w:tcPr>
            <w:tcW w:w="6853" w:type="dxa"/>
            <w:shd w:val="clear" w:color="auto" w:fill="00B2A9" w:themeFill="accent1"/>
          </w:tcPr>
          <w:p w:rsidR="00010CE1" w:rsidRDefault="00010CE1" w:rsidP="007C1EF0">
            <w:pPr>
              <w:pStyle w:val="Tabletext"/>
              <w:rPr>
                <w:b/>
                <w:color w:val="FFFFFF" w:themeColor="background1"/>
              </w:rPr>
            </w:pPr>
            <w:r w:rsidRPr="004C7418">
              <w:rPr>
                <w:b/>
                <w:color w:val="FFFFFF" w:themeColor="background1"/>
              </w:rPr>
              <w:t>Name</w:t>
            </w:r>
          </w:p>
        </w:tc>
      </w:tr>
      <w:tr w:rsidR="00010CE1" w:rsidTr="007C1EF0">
        <w:tc>
          <w:tcPr>
            <w:tcW w:w="1951" w:type="dxa"/>
          </w:tcPr>
          <w:p w:rsidR="00010CE1" w:rsidRDefault="00010CE1" w:rsidP="007C1EF0">
            <w:pPr>
              <w:pStyle w:val="Tabletext"/>
            </w:pPr>
            <w:r>
              <w:t>Clause(s)</w:t>
            </w:r>
          </w:p>
        </w:tc>
        <w:tc>
          <w:tcPr>
            <w:tcW w:w="6853" w:type="dxa"/>
          </w:tcPr>
          <w:p w:rsidR="00010CE1" w:rsidRDefault="00010CE1" w:rsidP="007C1EF0">
            <w:pPr>
              <w:pStyle w:val="Tabletext"/>
            </w:pPr>
            <w:r>
              <w:t>Cl(s)</w:t>
            </w:r>
          </w:p>
        </w:tc>
      </w:tr>
      <w:tr w:rsidR="00010CE1" w:rsidTr="007C1EF0">
        <w:tc>
          <w:tcPr>
            <w:tcW w:w="1951" w:type="dxa"/>
          </w:tcPr>
          <w:p w:rsidR="00010CE1" w:rsidRDefault="00010CE1" w:rsidP="007C1EF0">
            <w:pPr>
              <w:pStyle w:val="Tabletext"/>
            </w:pPr>
            <w:r>
              <w:t>Division(s)</w:t>
            </w:r>
          </w:p>
        </w:tc>
        <w:tc>
          <w:tcPr>
            <w:tcW w:w="6853" w:type="dxa"/>
          </w:tcPr>
          <w:p w:rsidR="00010CE1" w:rsidRDefault="00010CE1" w:rsidP="007C1EF0">
            <w:pPr>
              <w:pStyle w:val="Tabletext"/>
            </w:pPr>
            <w:proofErr w:type="spellStart"/>
            <w:r>
              <w:t>Div</w:t>
            </w:r>
            <w:proofErr w:type="spellEnd"/>
            <w:r>
              <w:t>(s)</w:t>
            </w:r>
          </w:p>
        </w:tc>
      </w:tr>
      <w:tr w:rsidR="00010CE1" w:rsidTr="007C1EF0">
        <w:tc>
          <w:tcPr>
            <w:tcW w:w="1951" w:type="dxa"/>
          </w:tcPr>
          <w:p w:rsidR="00010CE1" w:rsidRDefault="00010CE1" w:rsidP="007C1EF0">
            <w:pPr>
              <w:pStyle w:val="Tabletext"/>
            </w:pPr>
            <w:r>
              <w:t>Part(s)</w:t>
            </w:r>
          </w:p>
        </w:tc>
        <w:tc>
          <w:tcPr>
            <w:tcW w:w="6853" w:type="dxa"/>
          </w:tcPr>
          <w:p w:rsidR="00010CE1" w:rsidRDefault="00010CE1" w:rsidP="007C1EF0">
            <w:pPr>
              <w:pStyle w:val="Tabletext"/>
            </w:pPr>
            <w:r>
              <w:t>Pt(s)</w:t>
            </w:r>
          </w:p>
        </w:tc>
      </w:tr>
      <w:tr w:rsidR="00010CE1" w:rsidTr="007C1EF0">
        <w:tc>
          <w:tcPr>
            <w:tcW w:w="1951" w:type="dxa"/>
          </w:tcPr>
          <w:p w:rsidR="00010CE1" w:rsidRDefault="00010CE1" w:rsidP="007C1EF0">
            <w:pPr>
              <w:pStyle w:val="Tabletext"/>
            </w:pPr>
            <w:r>
              <w:t>Regulation(s)</w:t>
            </w:r>
          </w:p>
        </w:tc>
        <w:tc>
          <w:tcPr>
            <w:tcW w:w="6853" w:type="dxa"/>
          </w:tcPr>
          <w:p w:rsidR="00010CE1" w:rsidRDefault="00010CE1" w:rsidP="007C1EF0">
            <w:pPr>
              <w:pStyle w:val="Tabletext"/>
            </w:pPr>
            <w:proofErr w:type="spellStart"/>
            <w:r>
              <w:t>Reg</w:t>
            </w:r>
            <w:proofErr w:type="spellEnd"/>
            <w:r>
              <w:t>(s)</w:t>
            </w:r>
          </w:p>
        </w:tc>
      </w:tr>
      <w:tr w:rsidR="00010CE1" w:rsidTr="007C1EF0">
        <w:tc>
          <w:tcPr>
            <w:tcW w:w="1951" w:type="dxa"/>
          </w:tcPr>
          <w:p w:rsidR="00010CE1" w:rsidRDefault="00010CE1" w:rsidP="007C1EF0">
            <w:pPr>
              <w:pStyle w:val="Tabletext"/>
            </w:pPr>
            <w:r>
              <w:t>Schedule(s)</w:t>
            </w:r>
          </w:p>
        </w:tc>
        <w:tc>
          <w:tcPr>
            <w:tcW w:w="6853" w:type="dxa"/>
          </w:tcPr>
          <w:p w:rsidR="00010CE1" w:rsidRDefault="00010CE1" w:rsidP="007C1EF0">
            <w:pPr>
              <w:pStyle w:val="Tabletext"/>
            </w:pPr>
            <w:proofErr w:type="spellStart"/>
            <w:r>
              <w:t>Sch</w:t>
            </w:r>
            <w:proofErr w:type="spellEnd"/>
            <w:r>
              <w:t>(s)</w:t>
            </w:r>
          </w:p>
        </w:tc>
      </w:tr>
      <w:tr w:rsidR="00010CE1" w:rsidTr="007C1EF0">
        <w:tc>
          <w:tcPr>
            <w:tcW w:w="1951" w:type="dxa"/>
          </w:tcPr>
          <w:p w:rsidR="00010CE1" w:rsidRDefault="00010CE1" w:rsidP="007C1EF0">
            <w:pPr>
              <w:pStyle w:val="Tabletext"/>
            </w:pPr>
            <w:r>
              <w:t>Section(s)</w:t>
            </w:r>
          </w:p>
        </w:tc>
        <w:tc>
          <w:tcPr>
            <w:tcW w:w="6853" w:type="dxa"/>
          </w:tcPr>
          <w:p w:rsidR="00010CE1" w:rsidRDefault="00010CE1" w:rsidP="007C1EF0">
            <w:pPr>
              <w:pStyle w:val="Tabletext"/>
            </w:pPr>
            <w:r>
              <w:t>S(s)</w:t>
            </w:r>
          </w:p>
        </w:tc>
      </w:tr>
      <w:tr w:rsidR="00010CE1" w:rsidTr="007C1EF0">
        <w:tc>
          <w:tcPr>
            <w:tcW w:w="1951" w:type="dxa"/>
          </w:tcPr>
          <w:p w:rsidR="00010CE1" w:rsidRDefault="00010CE1" w:rsidP="007C1EF0">
            <w:pPr>
              <w:pStyle w:val="Tabletext"/>
            </w:pPr>
            <w:r>
              <w:t>Subdivision(s)</w:t>
            </w:r>
          </w:p>
        </w:tc>
        <w:tc>
          <w:tcPr>
            <w:tcW w:w="6853" w:type="dxa"/>
          </w:tcPr>
          <w:p w:rsidR="00010CE1" w:rsidRDefault="00010CE1" w:rsidP="007C1EF0">
            <w:pPr>
              <w:pStyle w:val="Tabletext"/>
            </w:pPr>
            <w:r>
              <w:t>Sub-div(s)</w:t>
            </w:r>
          </w:p>
        </w:tc>
      </w:tr>
    </w:tbl>
    <w:p w:rsidR="00010CE1" w:rsidRPr="00906B05" w:rsidRDefault="00010CE1" w:rsidP="00010CE1"/>
    <w:p w:rsidR="0033590D" w:rsidRDefault="004028EE" w:rsidP="00011DF3">
      <w:pPr>
        <w:rPr>
          <w:color w:val="201547" w:themeColor="accent2"/>
          <w:kern w:val="32"/>
          <w:sz w:val="40"/>
          <w:szCs w:val="32"/>
        </w:rPr>
      </w:pPr>
      <w:r>
        <w:br w:type="page"/>
      </w:r>
    </w:p>
    <w:p w:rsidR="0033590D" w:rsidRDefault="00CD23F9" w:rsidP="00011DF3">
      <w:pPr>
        <w:pStyle w:val="Heading1"/>
      </w:pPr>
      <w:bookmarkStart w:id="7" w:name="_Toc481502163"/>
      <w:r w:rsidRPr="00CD23F9">
        <w:lastRenderedPageBreak/>
        <w:t>Summary</w:t>
      </w:r>
      <w:bookmarkEnd w:id="5"/>
      <w:bookmarkEnd w:id="7"/>
    </w:p>
    <w:p w:rsidR="00F71F1A" w:rsidRDefault="00A552CD">
      <w:r>
        <w:t xml:space="preserve">Part C of the </w:t>
      </w:r>
      <w:r w:rsidR="006C108D">
        <w:t>regulatory impact statement (</w:t>
      </w:r>
      <w:r>
        <w:t>RIS</w:t>
      </w:r>
      <w:r w:rsidR="006C108D">
        <w:t>)</w:t>
      </w:r>
      <w:r>
        <w:t xml:space="preserve"> considers building practitioner registration. </w:t>
      </w:r>
      <w:r w:rsidR="00CD23F9">
        <w:t xml:space="preserve">The range of options considered in this </w:t>
      </w:r>
      <w:r>
        <w:t xml:space="preserve">part of the </w:t>
      </w:r>
      <w:r w:rsidR="00CD23F9">
        <w:t>RIS is limited to the remaking of the current Regulations, with some minor variations also considered. In preparing the proposed Regulations, further options were identified that would involve a more substantial shift from the current arrangements</w:t>
      </w:r>
      <w:r w:rsidR="00670BAB">
        <w:t>. T</w:t>
      </w:r>
      <w:r w:rsidR="00CD23F9">
        <w:t>hese were:</w:t>
      </w:r>
    </w:p>
    <w:p w:rsidR="0049524F" w:rsidRDefault="00CD23F9">
      <w:pPr>
        <w:pStyle w:val="Dotpoint"/>
      </w:pPr>
      <w:r>
        <w:t>to introduce into the Regulations specific subcategories within the ‘limited’ builder classes</w:t>
      </w:r>
      <w:r w:rsidR="00670BAB">
        <w:t>; t</w:t>
      </w:r>
      <w:r>
        <w:t xml:space="preserve">his would formalise administrative arrangements already used by </w:t>
      </w:r>
      <w:r w:rsidR="006C108D">
        <w:t>the Victorian Building Authority (</w:t>
      </w:r>
      <w:r w:rsidR="000E2924">
        <w:t>VBA</w:t>
      </w:r>
      <w:r w:rsidR="006C108D">
        <w:t>)</w:t>
      </w:r>
      <w:r>
        <w:t xml:space="preserve"> and be the basis for defining the exact scope of works that are allowed under each subcategory</w:t>
      </w:r>
      <w:r w:rsidR="00670BAB">
        <w:t xml:space="preserve">, and it </w:t>
      </w:r>
      <w:r>
        <w:t>also aim</w:t>
      </w:r>
      <w:r w:rsidR="00670BAB">
        <w:t>s</w:t>
      </w:r>
      <w:r>
        <w:t xml:space="preserve"> to improve consistency across registered practitioners and allow consumers to easily confirm what work a practitioner is allowed to do</w:t>
      </w:r>
    </w:p>
    <w:p w:rsidR="003A7FBC" w:rsidRPr="00670BAB" w:rsidRDefault="00CD23F9" w:rsidP="00743668">
      <w:pPr>
        <w:pStyle w:val="Dotpointlast"/>
      </w:pPr>
      <w:r>
        <w:t>based on this, prescribing allowed scopes of work, in order to provide a more-objective basis for defining what experience is required to be eligible for registration in each category</w:t>
      </w:r>
      <w:r w:rsidR="00670BAB">
        <w:t>; t</w:t>
      </w:r>
      <w:r>
        <w:t>his aim</w:t>
      </w:r>
      <w:r w:rsidR="00670BAB">
        <w:t>s</w:t>
      </w:r>
      <w:r>
        <w:t xml:space="preserve"> to improve certainty for practitioners and improve </w:t>
      </w:r>
      <w:r w:rsidR="00670BAB">
        <w:t xml:space="preserve">the </w:t>
      </w:r>
      <w:r>
        <w:t>transparency of the assessment process.</w:t>
      </w:r>
    </w:p>
    <w:p w:rsidR="0049524F" w:rsidRDefault="00CD23F9">
      <w:r>
        <w:t xml:space="preserve">The </w:t>
      </w:r>
      <w:r w:rsidR="00010CE1">
        <w:t xml:space="preserve">Department of Environment, Land Water and Planning ('the </w:t>
      </w:r>
      <w:r>
        <w:t>department</w:t>
      </w:r>
      <w:r w:rsidR="00010CE1">
        <w:t>')</w:t>
      </w:r>
      <w:r w:rsidR="00670BAB">
        <w:t xml:space="preserve"> considers </w:t>
      </w:r>
      <w:r>
        <w:t xml:space="preserve">these options </w:t>
      </w:r>
      <w:r w:rsidR="00670BAB">
        <w:t xml:space="preserve">to </w:t>
      </w:r>
      <w:r>
        <w:t>have merit</w:t>
      </w:r>
      <w:r w:rsidR="00670BAB">
        <w:t xml:space="preserve"> but </w:t>
      </w:r>
      <w:r>
        <w:t xml:space="preserve">will not implement </w:t>
      </w:r>
      <w:r w:rsidR="00670BAB">
        <w:t xml:space="preserve">them </w:t>
      </w:r>
      <w:r>
        <w:t xml:space="preserve">at this time. This is because amendments to offences in the </w:t>
      </w:r>
      <w:r w:rsidR="00D3125B" w:rsidRPr="00D3125B">
        <w:t>Act</w:t>
      </w:r>
      <w:r>
        <w:t xml:space="preserve">, progressed as part of the </w:t>
      </w:r>
      <w:r>
        <w:rPr>
          <w:i/>
        </w:rPr>
        <w:t>Building Legislation Amendment (Consumer Protection) Act 2016</w:t>
      </w:r>
      <w:r>
        <w:t xml:space="preserve"> (</w:t>
      </w:r>
      <w:r w:rsidR="00670BAB">
        <w:t>the a</w:t>
      </w:r>
      <w:r>
        <w:t xml:space="preserve">mending Act), will commence on 1 July 2017 and affect building practitioners by detailing the scope of work that can be conducted under registration for </w:t>
      </w:r>
      <w:r w:rsidR="00670BAB">
        <w:t>d</w:t>
      </w:r>
      <w:r>
        <w:t xml:space="preserve">omestic </w:t>
      </w:r>
      <w:r w:rsidR="00670BAB">
        <w:t>b</w:t>
      </w:r>
      <w:r>
        <w:t xml:space="preserve">uilders, </w:t>
      </w:r>
      <w:r w:rsidR="00670BAB">
        <w:t>b</w:t>
      </w:r>
      <w:r>
        <w:t xml:space="preserve">uilding </w:t>
      </w:r>
      <w:r w:rsidR="00670BAB">
        <w:t>i</w:t>
      </w:r>
      <w:r>
        <w:t>nspectors and building surveyors.</w:t>
      </w:r>
    </w:p>
    <w:p w:rsidR="0049524F" w:rsidRDefault="00CD23F9">
      <w:r>
        <w:t xml:space="preserve">Therefore, by 1 July 2017, the department will be preparing an amending set of Regulations which implements these consequential amendments </w:t>
      </w:r>
      <w:r w:rsidR="00670BAB">
        <w:t>to</w:t>
      </w:r>
      <w:r>
        <w:t xml:space="preserve"> the Act.</w:t>
      </w:r>
    </w:p>
    <w:p w:rsidR="0049524F" w:rsidRDefault="00CD23F9">
      <w:r>
        <w:t xml:space="preserve">The timing of the consequential amendments on account of the </w:t>
      </w:r>
      <w:r w:rsidR="00670BAB">
        <w:t>a</w:t>
      </w:r>
      <w:r>
        <w:t xml:space="preserve">mending Act will also allow the formal prescription and updating of building practitioner categories and classes, including an update to the qualifications required for registration (as per the options </w:t>
      </w:r>
      <w:r w:rsidR="00670BAB">
        <w:t xml:space="preserve">explained </w:t>
      </w:r>
      <w:r>
        <w:t xml:space="preserve">in this </w:t>
      </w:r>
      <w:r w:rsidR="000E2924">
        <w:t>p</w:t>
      </w:r>
      <w:r>
        <w:t>art of this RIS). This will allow regulatory amendments about building practitioners to be implemented seamlessly.</w:t>
      </w:r>
    </w:p>
    <w:p w:rsidR="0049524F" w:rsidRDefault="00CD23F9">
      <w:r>
        <w:t xml:space="preserve">This process will also involve supplementing the general description of an academic qualification (for example, </w:t>
      </w:r>
      <w:r w:rsidR="00670BAB">
        <w:t>'</w:t>
      </w:r>
      <w:r>
        <w:t>in building</w:t>
      </w:r>
      <w:r w:rsidR="00670BAB">
        <w:t>'</w:t>
      </w:r>
      <w:r>
        <w:t xml:space="preserve">) with a list of examples of formal academic qualifications offered by training providers that will be accepted as meeting this eligibility requirement for registration. Given this list of examples may need updating frequently, it is intended to be managed externally to the Regulations. It is intended that as part of these reforms, </w:t>
      </w:r>
      <w:r w:rsidR="000E2924">
        <w:t>VBA</w:t>
      </w:r>
      <w:r>
        <w:t xml:space="preserve"> will compile a list of acceptable academic qualifications. The list will be </w:t>
      </w:r>
      <w:proofErr w:type="spellStart"/>
      <w:r>
        <w:t>nonexhaustive</w:t>
      </w:r>
      <w:proofErr w:type="spellEnd"/>
      <w:r>
        <w:t xml:space="preserve">, as </w:t>
      </w:r>
      <w:r w:rsidR="000E2924">
        <w:t>VBA</w:t>
      </w:r>
      <w:r>
        <w:t xml:space="preserve"> can accept an equivalent qualification.</w:t>
      </w:r>
    </w:p>
    <w:p w:rsidR="0049524F" w:rsidRDefault="00670BAB">
      <w:r>
        <w:t>T</w:t>
      </w:r>
      <w:r w:rsidR="00CD23F9">
        <w:t xml:space="preserve">hese amendments will also correspond with the first tranche of building practitioner renewals as the registration process transitions to five-yearly registration, rather than an undefined period of time (a reform that was also implemented as part of the </w:t>
      </w:r>
      <w:r>
        <w:t>a</w:t>
      </w:r>
      <w:r w:rsidR="00CD23F9">
        <w:t>mending Act).</w:t>
      </w:r>
    </w:p>
    <w:p w:rsidR="0049524F" w:rsidRDefault="00CD23F9">
      <w:r>
        <w:t xml:space="preserve">Therefore, the department intends to assess the merits of adopting these options and determine a preferred approach separately from this RIS process and before the start of the </w:t>
      </w:r>
      <w:r w:rsidR="00670BAB">
        <w:t xml:space="preserve">proposed </w:t>
      </w:r>
      <w:r>
        <w:t xml:space="preserve">Regulations. This process will not involve another formal RIS but will include engagement with industry in the form of stakeholder meetings, so </w:t>
      </w:r>
      <w:r w:rsidR="00670BAB">
        <w:t xml:space="preserve">the </w:t>
      </w:r>
      <w:r>
        <w:t>industry ha</w:t>
      </w:r>
      <w:r w:rsidR="00670BAB">
        <w:t>s</w:t>
      </w:r>
      <w:r>
        <w:t xml:space="preserve"> an opportunity to comment on the proposed approach to registration. This consultation will include consideration of registration issues</w:t>
      </w:r>
      <w:r w:rsidR="00670BAB">
        <w:t xml:space="preserve"> (</w:t>
      </w:r>
      <w:r>
        <w:t>such as new classes of registration, prescribed qualifications and any required transitional measures to a new structure</w:t>
      </w:r>
      <w:r w:rsidR="00670BAB">
        <w:t>)</w:t>
      </w:r>
      <w:r>
        <w:t>.</w:t>
      </w:r>
    </w:p>
    <w:p w:rsidR="0049524F" w:rsidRDefault="00CD23F9">
      <w:r>
        <w:t>The department anticipates any changes that the analysis suggests are warranted will commence on 1 July 2017, to correspond with consequential legislative amendments to the Act.</w:t>
      </w:r>
    </w:p>
    <w:p w:rsidR="00011DF3" w:rsidRDefault="00011DF3">
      <w:pPr>
        <w:spacing w:after="0"/>
      </w:pPr>
      <w:r>
        <w:br w:type="page"/>
      </w:r>
    </w:p>
    <w:p w:rsidR="0049524F" w:rsidRDefault="00670BAB">
      <w:r>
        <w:lastRenderedPageBreak/>
        <w:t>T</w:t>
      </w:r>
      <w:r w:rsidR="00CD23F9">
        <w:t xml:space="preserve">able </w:t>
      </w:r>
      <w:r w:rsidR="008A39F6">
        <w:t>1</w:t>
      </w:r>
      <w:r>
        <w:t xml:space="preserve"> </w:t>
      </w:r>
      <w:r w:rsidR="00CD23F9">
        <w:t>summarises the assessment of the options in this RIS and indicates which options are preferred.</w:t>
      </w:r>
    </w:p>
    <w:p w:rsidR="00F71F1A" w:rsidRDefault="00CD23F9">
      <w:pPr>
        <w:pStyle w:val="Caption"/>
      </w:pPr>
      <w:bookmarkStart w:id="8" w:name="_Toc481473109"/>
      <w:r w:rsidRPr="00CD23F9">
        <w:t xml:space="preserve">Table </w:t>
      </w:r>
      <w:r w:rsidR="008A39F6">
        <w:t>1</w:t>
      </w:r>
      <w:r w:rsidRPr="00CD23F9">
        <w:t xml:space="preserve">: </w:t>
      </w:r>
      <w:r w:rsidR="00670BAB">
        <w:t>Options and outcomes</w:t>
      </w:r>
      <w:bookmarkEnd w:id="8"/>
    </w:p>
    <w:tbl>
      <w:tblPr>
        <w:tblStyle w:val="TableGrid"/>
        <w:tblW w:w="0" w:type="auto"/>
        <w:tblLook w:val="04A0" w:firstRow="1" w:lastRow="0" w:firstColumn="1" w:lastColumn="0" w:noHBand="0" w:noVBand="1"/>
      </w:tblPr>
      <w:tblGrid>
        <w:gridCol w:w="2041"/>
        <w:gridCol w:w="2344"/>
        <w:gridCol w:w="3836"/>
      </w:tblGrid>
      <w:tr w:rsidR="003A7FBC" w:rsidRPr="000700D8" w:rsidTr="003A7FBC">
        <w:trPr>
          <w:cnfStyle w:val="100000000000" w:firstRow="1" w:lastRow="0" w:firstColumn="0" w:lastColumn="0" w:oddVBand="0" w:evenVBand="0" w:oddHBand="0" w:evenHBand="0" w:firstRowFirstColumn="0" w:firstRowLastColumn="0" w:lastRowFirstColumn="0" w:lastRowLastColumn="0"/>
          <w:tblHeader/>
        </w:trPr>
        <w:tc>
          <w:tcPr>
            <w:cnfStyle w:val="000000000100" w:firstRow="0" w:lastRow="0" w:firstColumn="0" w:lastColumn="0" w:oddVBand="0" w:evenVBand="0" w:oddHBand="0" w:evenHBand="0" w:firstRowFirstColumn="1" w:firstRowLastColumn="0" w:lastRowFirstColumn="0" w:lastRowLastColumn="0"/>
            <w:tcW w:w="2041" w:type="dxa"/>
            <w:shd w:val="clear" w:color="auto" w:fill="00B2A9" w:themeFill="accent1"/>
          </w:tcPr>
          <w:p w:rsidR="00F71F1A" w:rsidRDefault="00CD23F9">
            <w:pPr>
              <w:pStyle w:val="Tablecolumnhead"/>
              <w:rPr>
                <w:b w:val="0"/>
                <w:sz w:val="18"/>
              </w:rPr>
            </w:pPr>
            <w:r w:rsidRPr="00CD23F9">
              <w:t>Area of regulation</w:t>
            </w:r>
          </w:p>
        </w:tc>
        <w:tc>
          <w:tcPr>
            <w:tcW w:w="2344" w:type="dxa"/>
            <w:shd w:val="clear" w:color="auto" w:fill="00B2A9" w:themeFill="accent1"/>
          </w:tcPr>
          <w:p w:rsidR="00F71F1A" w:rsidRDefault="00CD23F9">
            <w:pPr>
              <w:pStyle w:val="Tablecolumnhead"/>
              <w:cnfStyle w:val="100000000000" w:firstRow="1" w:lastRow="0" w:firstColumn="0" w:lastColumn="0" w:oddVBand="0" w:evenVBand="0" w:oddHBand="0" w:evenHBand="0" w:firstRowFirstColumn="0" w:firstRowLastColumn="0" w:lastRowFirstColumn="0" w:lastRowLastColumn="0"/>
              <w:rPr>
                <w:b w:val="0"/>
                <w:sz w:val="18"/>
              </w:rPr>
            </w:pPr>
            <w:r w:rsidRPr="00CD23F9">
              <w:t>Options assessed</w:t>
            </w:r>
          </w:p>
        </w:tc>
        <w:tc>
          <w:tcPr>
            <w:tcW w:w="3836" w:type="dxa"/>
            <w:shd w:val="clear" w:color="auto" w:fill="00B2A9" w:themeFill="accent1"/>
          </w:tcPr>
          <w:p w:rsidR="00F71F1A" w:rsidRDefault="00CD23F9">
            <w:pPr>
              <w:pStyle w:val="Tablecolumnhead"/>
              <w:cnfStyle w:val="100000000000" w:firstRow="1" w:lastRow="0" w:firstColumn="0" w:lastColumn="0" w:oddVBand="0" w:evenVBand="0" w:oddHBand="0" w:evenHBand="0" w:firstRowFirstColumn="0" w:firstRowLastColumn="0" w:lastRowFirstColumn="0" w:lastRowLastColumn="0"/>
              <w:rPr>
                <w:b w:val="0"/>
                <w:sz w:val="18"/>
              </w:rPr>
            </w:pPr>
            <w:r w:rsidRPr="00CD23F9">
              <w:t>Outcome</w:t>
            </w:r>
          </w:p>
        </w:tc>
      </w:tr>
      <w:tr w:rsidR="003A7FBC" w:rsidRPr="000700D8" w:rsidTr="003A7FBC">
        <w:trPr>
          <w:trHeight w:val="1800"/>
        </w:trPr>
        <w:tc>
          <w:tcPr>
            <w:tcW w:w="2041" w:type="dxa"/>
            <w:vMerge w:val="restart"/>
          </w:tcPr>
          <w:p w:rsidR="00F71F1A" w:rsidRDefault="00CD23F9">
            <w:pPr>
              <w:pStyle w:val="Tabletext"/>
              <w:rPr>
                <w:rFonts w:cs="Times New Roman"/>
              </w:rPr>
            </w:pPr>
            <w:r w:rsidRPr="00CD23F9">
              <w:t>Practitioner qualifications and experience requirements</w:t>
            </w:r>
          </w:p>
        </w:tc>
        <w:tc>
          <w:tcPr>
            <w:tcW w:w="2344" w:type="dxa"/>
          </w:tcPr>
          <w:p w:rsidR="00F71F1A" w:rsidRDefault="00CD23F9">
            <w:pPr>
              <w:pStyle w:val="Tabletext"/>
              <w:rPr>
                <w:rFonts w:cs="Times New Roman"/>
              </w:rPr>
            </w:pPr>
            <w:r w:rsidRPr="00CD23F9">
              <w:rPr>
                <w:b/>
              </w:rPr>
              <w:t>Option 1 (preferred</w:t>
            </w:r>
            <w:r w:rsidRPr="00CD23F9">
              <w:t>)</w:t>
            </w:r>
            <w:r w:rsidR="00670BAB">
              <w:t xml:space="preserve"> –</w:t>
            </w:r>
            <w:r w:rsidRPr="00CD23F9">
              <w:t xml:space="preserve"> Remake </w:t>
            </w:r>
            <w:r w:rsidR="000E2924">
              <w:t>reg</w:t>
            </w:r>
            <w:r w:rsidR="00670BAB">
              <w:t xml:space="preserve">1503 </w:t>
            </w:r>
            <w:r w:rsidRPr="00CD23F9">
              <w:t xml:space="preserve">(with some updates for qualifications no longer offered) </w:t>
            </w:r>
            <w:r w:rsidR="00D3125B" w:rsidRPr="00D3125B">
              <w:rPr>
                <w:i/>
              </w:rPr>
              <w:t>(status quo option)</w:t>
            </w:r>
          </w:p>
          <w:p w:rsidR="00F71F1A" w:rsidRDefault="00F71F1A">
            <w:pPr>
              <w:pStyle w:val="Tabletext"/>
              <w:rPr>
                <w:rFonts w:cs="Times New Roman"/>
              </w:rPr>
            </w:pPr>
          </w:p>
        </w:tc>
        <w:tc>
          <w:tcPr>
            <w:tcW w:w="3836" w:type="dxa"/>
          </w:tcPr>
          <w:p w:rsidR="00F71F1A" w:rsidRDefault="00CD23F9">
            <w:pPr>
              <w:pStyle w:val="Tabletext"/>
              <w:rPr>
                <w:rFonts w:cs="Times New Roman"/>
              </w:rPr>
            </w:pPr>
            <w:r w:rsidRPr="00CD23F9">
              <w:t xml:space="preserve">Incremental costs of $27.0 million </w:t>
            </w:r>
            <w:r w:rsidR="00746629">
              <w:t>a year</w:t>
            </w:r>
            <w:r w:rsidRPr="00CD23F9">
              <w:t>. After allowing a cost saving to consumers (reduce</w:t>
            </w:r>
            <w:r w:rsidR="00670BAB">
              <w:t>d</w:t>
            </w:r>
            <w:r w:rsidRPr="00CD23F9">
              <w:t xml:space="preserve"> search costs) of $2.1 million </w:t>
            </w:r>
            <w:r w:rsidR="00746629">
              <w:t>a year</w:t>
            </w:r>
            <w:r w:rsidRPr="00CD23F9">
              <w:t>, this option breaks even if 33,155 detrimental incidents</w:t>
            </w:r>
            <w:r w:rsidRPr="00CD23F9">
              <w:rPr>
                <w:rStyle w:val="FootnoteReference"/>
                <w:color w:val="auto"/>
              </w:rPr>
              <w:footnoteReference w:id="2"/>
            </w:r>
            <w:r w:rsidR="00D3125B" w:rsidRPr="00D3125B">
              <w:t xml:space="preserve"> are avoided </w:t>
            </w:r>
            <w:r w:rsidR="00670BAB">
              <w:t xml:space="preserve">a </w:t>
            </w:r>
            <w:r w:rsidR="00D3125B" w:rsidRPr="00D3125B">
              <w:t xml:space="preserve">year. The department </w:t>
            </w:r>
            <w:r w:rsidR="001A6162">
              <w:t>considers</w:t>
            </w:r>
            <w:r w:rsidR="00D3125B" w:rsidRPr="00D3125B">
              <w:t xml:space="preserve"> this break-even point is likely to be achieved, given the risks to consumers of building practitioners </w:t>
            </w:r>
            <w:r w:rsidR="001A6162">
              <w:t xml:space="preserve">who </w:t>
            </w:r>
            <w:r w:rsidR="00D3125B" w:rsidRPr="00D3125B">
              <w:t>are not competent and the scale of building work undertaken each year.</w:t>
            </w:r>
          </w:p>
        </w:tc>
      </w:tr>
      <w:tr w:rsidR="003A7FBC" w:rsidRPr="000700D8" w:rsidTr="001A6162">
        <w:trPr>
          <w:trHeight w:val="549"/>
        </w:trPr>
        <w:tc>
          <w:tcPr>
            <w:tcW w:w="2041" w:type="dxa"/>
            <w:vMerge/>
          </w:tcPr>
          <w:p w:rsidR="003A7FBC" w:rsidRPr="000700D8" w:rsidRDefault="003A7FBC" w:rsidP="003A7FBC">
            <w:pPr>
              <w:keepNext/>
              <w:keepLines/>
              <w:numPr>
                <w:ilvl w:val="0"/>
                <w:numId w:val="7"/>
              </w:numPr>
              <w:spacing w:before="300" w:line="440" w:lineRule="exact"/>
              <w:ind w:right="0"/>
              <w:jc w:val="right"/>
              <w:outlineLvl w:val="0"/>
              <w:rPr>
                <w:color w:val="FF0000"/>
              </w:rPr>
            </w:pPr>
          </w:p>
        </w:tc>
        <w:tc>
          <w:tcPr>
            <w:tcW w:w="2344" w:type="dxa"/>
          </w:tcPr>
          <w:p w:rsidR="00F71F1A" w:rsidRDefault="00D3125B">
            <w:pPr>
              <w:pStyle w:val="Tabletext"/>
              <w:rPr>
                <w:rFonts w:cs="Times New Roman"/>
              </w:rPr>
            </w:pPr>
            <w:r w:rsidRPr="00D3125B">
              <w:t>Option 1.1</w:t>
            </w:r>
            <w:r w:rsidR="001A6162">
              <w:t xml:space="preserve"> – R</w:t>
            </w:r>
            <w:r w:rsidR="001A6162" w:rsidRPr="00160290">
              <w:t xml:space="preserve">emove requirement for </w:t>
            </w:r>
            <w:r w:rsidR="000E2924">
              <w:t>VBA</w:t>
            </w:r>
            <w:r w:rsidR="001A6162" w:rsidRPr="00160290">
              <w:t xml:space="preserve"> to </w:t>
            </w:r>
            <w:r w:rsidR="00D3152F">
              <w:t>assess practical</w:t>
            </w:r>
            <w:r w:rsidR="001A6162" w:rsidRPr="00160290">
              <w:t xml:space="preserve"> experience</w:t>
            </w:r>
            <w:r w:rsidRPr="00D3125B">
              <w:t xml:space="preserve"> </w:t>
            </w:r>
            <w:r w:rsidRPr="00D3125B">
              <w:rPr>
                <w:i/>
              </w:rPr>
              <w:t>(a reduced-regulation option when compared with the status quo)</w:t>
            </w:r>
          </w:p>
        </w:tc>
        <w:tc>
          <w:tcPr>
            <w:tcW w:w="3836" w:type="dxa"/>
          </w:tcPr>
          <w:p w:rsidR="00F71F1A" w:rsidRDefault="00D3125B">
            <w:pPr>
              <w:pStyle w:val="Tabletext"/>
              <w:rPr>
                <w:rFonts w:cs="Times New Roman"/>
              </w:rPr>
            </w:pPr>
            <w:r w:rsidRPr="00D3125B">
              <w:t xml:space="preserve">Incremental costs of $22.3 million </w:t>
            </w:r>
            <w:r w:rsidR="00746629">
              <w:t>a year</w:t>
            </w:r>
            <w:r w:rsidRPr="00D3125B">
              <w:t xml:space="preserve">. This option breaks even if at least 27,008 detrimental incidents are avoided each year. </w:t>
            </w:r>
          </w:p>
        </w:tc>
      </w:tr>
      <w:tr w:rsidR="003A7FBC" w:rsidRPr="000700D8" w:rsidTr="003A7FBC">
        <w:tc>
          <w:tcPr>
            <w:tcW w:w="2041" w:type="dxa"/>
            <w:vMerge w:val="restart"/>
          </w:tcPr>
          <w:p w:rsidR="00F71F1A" w:rsidRDefault="00D3125B">
            <w:pPr>
              <w:pStyle w:val="Tabletext"/>
              <w:rPr>
                <w:rFonts w:cs="Times New Roman"/>
              </w:rPr>
            </w:pPr>
            <w:r w:rsidRPr="00D3125B">
              <w:t>Prescribed information related to character</w:t>
            </w:r>
          </w:p>
        </w:tc>
        <w:tc>
          <w:tcPr>
            <w:tcW w:w="2344" w:type="dxa"/>
          </w:tcPr>
          <w:p w:rsidR="00F71F1A" w:rsidRDefault="00D3125B">
            <w:pPr>
              <w:pStyle w:val="Tabletext"/>
              <w:rPr>
                <w:rFonts w:cs="Times New Roman"/>
                <w:b/>
              </w:rPr>
            </w:pPr>
            <w:r w:rsidRPr="00D3125B">
              <w:rPr>
                <w:b/>
              </w:rPr>
              <w:t>Option 2 (preferred)</w:t>
            </w:r>
            <w:r w:rsidR="00EA5881">
              <w:rPr>
                <w:b/>
              </w:rPr>
              <w:t xml:space="preserve"> –</w:t>
            </w:r>
            <w:r w:rsidR="00482560">
              <w:rPr>
                <w:b/>
              </w:rPr>
              <w:t xml:space="preserve"> </w:t>
            </w:r>
            <w:r w:rsidRPr="00D3125B">
              <w:t xml:space="preserve">Remake </w:t>
            </w:r>
            <w:r w:rsidR="000E2924">
              <w:t>reg</w:t>
            </w:r>
            <w:r w:rsidR="00EA5881" w:rsidRPr="00FA2F8A">
              <w:t>1509</w:t>
            </w:r>
            <w:r w:rsidR="00D3152F">
              <w:t xml:space="preserve"> without change</w:t>
            </w:r>
          </w:p>
        </w:tc>
        <w:tc>
          <w:tcPr>
            <w:tcW w:w="3836" w:type="dxa"/>
          </w:tcPr>
          <w:p w:rsidR="00F71F1A" w:rsidRDefault="00D3125B">
            <w:pPr>
              <w:pStyle w:val="Tabletext"/>
              <w:rPr>
                <w:rFonts w:cs="Times New Roman"/>
              </w:rPr>
            </w:pPr>
            <w:r w:rsidRPr="00D3125B">
              <w:t xml:space="preserve">Incremental cost of $24,171 </w:t>
            </w:r>
            <w:r w:rsidR="00746629">
              <w:t>a year</w:t>
            </w:r>
            <w:r w:rsidRPr="00D3125B">
              <w:t xml:space="preserve">. This option breaks even if the requirement will prevent three unsuitable practitioners being registered each year. The department </w:t>
            </w:r>
            <w:r w:rsidR="001A6162">
              <w:t>considers</w:t>
            </w:r>
            <w:r w:rsidRPr="00D3125B">
              <w:t xml:space="preserve"> this break-even point is likely to be achieved, given the risks to consumers of those building practitioners considered of poor character and the scale of building work undertaken each year.</w:t>
            </w:r>
          </w:p>
        </w:tc>
      </w:tr>
      <w:tr w:rsidR="003A7FBC" w:rsidRPr="000700D8" w:rsidTr="003A7FBC">
        <w:tc>
          <w:tcPr>
            <w:tcW w:w="2041" w:type="dxa"/>
            <w:vMerge/>
          </w:tcPr>
          <w:p w:rsidR="003A7FBC" w:rsidRPr="000700D8" w:rsidRDefault="003A7FBC" w:rsidP="003A7FBC">
            <w:pPr>
              <w:spacing w:before="0" w:line="240" w:lineRule="atLeast"/>
              <w:ind w:left="0" w:right="0"/>
              <w:jc w:val="right"/>
              <w:rPr>
                <w:color w:val="FF0000"/>
              </w:rPr>
            </w:pPr>
          </w:p>
        </w:tc>
        <w:tc>
          <w:tcPr>
            <w:tcW w:w="2344" w:type="dxa"/>
          </w:tcPr>
          <w:p w:rsidR="00F71F1A" w:rsidRDefault="00D3125B">
            <w:pPr>
              <w:pStyle w:val="Tabletext"/>
              <w:rPr>
                <w:rFonts w:cs="Times New Roman"/>
              </w:rPr>
            </w:pPr>
            <w:r w:rsidRPr="00D3125B">
              <w:t>Option 2.1</w:t>
            </w:r>
            <w:r w:rsidR="00EA5881">
              <w:t xml:space="preserve"> –</w:t>
            </w:r>
            <w:r w:rsidRPr="00D3125B">
              <w:t xml:space="preserve"> </w:t>
            </w:r>
            <w:r w:rsidR="00D3152F">
              <w:t>Reduce</w:t>
            </w:r>
            <w:r w:rsidRPr="00D3125B">
              <w:t xml:space="preserve"> </w:t>
            </w:r>
            <w:r w:rsidR="00D3152F">
              <w:t>prescribed</w:t>
            </w:r>
            <w:r w:rsidR="00EA5881">
              <w:t xml:space="preserve"> </w:t>
            </w:r>
            <w:r w:rsidRPr="00D3125B">
              <w:t>information to be provided</w:t>
            </w:r>
            <w:r w:rsidR="00D3152F">
              <w:t xml:space="preserve"> by removing </w:t>
            </w:r>
            <w:r w:rsidR="000E2924">
              <w:t>reg</w:t>
            </w:r>
            <w:r w:rsidR="00D3152F">
              <w:t>1509(e)</w:t>
            </w:r>
          </w:p>
        </w:tc>
        <w:tc>
          <w:tcPr>
            <w:tcW w:w="3836" w:type="dxa"/>
          </w:tcPr>
          <w:p w:rsidR="00F71F1A" w:rsidRDefault="00D3125B">
            <w:pPr>
              <w:pStyle w:val="Tabletext"/>
              <w:rPr>
                <w:rFonts w:cs="Times New Roman"/>
              </w:rPr>
            </w:pPr>
            <w:r w:rsidRPr="00D3125B">
              <w:t xml:space="preserve">Incremental cost of $19,337 </w:t>
            </w:r>
            <w:r w:rsidR="00746629">
              <w:t>a year</w:t>
            </w:r>
            <w:r w:rsidRPr="00D3125B">
              <w:t xml:space="preserve">. This option breaks even if the requirement will prevent </w:t>
            </w:r>
            <w:r w:rsidR="00EA5881">
              <w:t xml:space="preserve">on average 2.5 </w:t>
            </w:r>
            <w:r w:rsidRPr="00D3125B">
              <w:t>unsuitable practitioners being registered each year.</w:t>
            </w:r>
          </w:p>
        </w:tc>
      </w:tr>
      <w:tr w:rsidR="003A7FBC" w:rsidRPr="000700D8" w:rsidTr="00093B56">
        <w:trPr>
          <w:trHeight w:val="839"/>
        </w:trPr>
        <w:tc>
          <w:tcPr>
            <w:tcW w:w="2041" w:type="dxa"/>
            <w:vMerge/>
          </w:tcPr>
          <w:p w:rsidR="003A7FBC" w:rsidRPr="000700D8" w:rsidRDefault="003A7FBC" w:rsidP="003A7FBC">
            <w:pPr>
              <w:spacing w:before="0" w:line="240" w:lineRule="atLeast"/>
              <w:ind w:left="0" w:right="0"/>
              <w:jc w:val="right"/>
              <w:rPr>
                <w:color w:val="FF0000"/>
              </w:rPr>
            </w:pPr>
          </w:p>
        </w:tc>
        <w:tc>
          <w:tcPr>
            <w:tcW w:w="2344" w:type="dxa"/>
          </w:tcPr>
          <w:p w:rsidR="00F71F1A" w:rsidRDefault="00EA5881">
            <w:pPr>
              <w:pStyle w:val="Tabletext"/>
              <w:rPr>
                <w:rFonts w:cs="Times New Roman"/>
              </w:rPr>
            </w:pPr>
            <w:r>
              <w:t>Option 2.2 –</w:t>
            </w:r>
            <w:r w:rsidRPr="00EA7513">
              <w:t xml:space="preserve"> </w:t>
            </w:r>
            <w:r w:rsidR="00D3152F">
              <w:t>Expand prescribed</w:t>
            </w:r>
            <w:r>
              <w:t xml:space="preserve"> </w:t>
            </w:r>
            <w:r w:rsidRPr="00EA7513">
              <w:t>information required to be provided</w:t>
            </w:r>
          </w:p>
        </w:tc>
        <w:tc>
          <w:tcPr>
            <w:tcW w:w="3836" w:type="dxa"/>
          </w:tcPr>
          <w:p w:rsidR="00F71F1A" w:rsidRDefault="00D3125B">
            <w:pPr>
              <w:pStyle w:val="Tabletext"/>
              <w:rPr>
                <w:rFonts w:cs="Times New Roman"/>
              </w:rPr>
            </w:pPr>
            <w:r w:rsidRPr="00D3125B">
              <w:t xml:space="preserve">Incremental cost of $33,839 </w:t>
            </w:r>
            <w:r w:rsidR="00746629">
              <w:t>a year</w:t>
            </w:r>
            <w:r w:rsidRPr="00D3125B">
              <w:t xml:space="preserve">. This option breaks even if the requirement will prevent </w:t>
            </w:r>
            <w:r w:rsidR="00EA5881">
              <w:t xml:space="preserve">on average 4.5 </w:t>
            </w:r>
            <w:r w:rsidRPr="00D3125B">
              <w:t>unsuitable practitioners being registered each year.</w:t>
            </w:r>
          </w:p>
        </w:tc>
      </w:tr>
      <w:tr w:rsidR="003A7FBC" w:rsidRPr="000700D8" w:rsidTr="003A7FBC">
        <w:tc>
          <w:tcPr>
            <w:tcW w:w="2041" w:type="dxa"/>
            <w:vMerge w:val="restart"/>
          </w:tcPr>
          <w:p w:rsidR="00F71F1A" w:rsidRDefault="00D3125B">
            <w:pPr>
              <w:pStyle w:val="Tabletext"/>
              <w:rPr>
                <w:rFonts w:cs="Times New Roman"/>
              </w:rPr>
            </w:pPr>
            <w:r w:rsidRPr="00D3125B">
              <w:t>Professional standards</w:t>
            </w:r>
          </w:p>
        </w:tc>
        <w:tc>
          <w:tcPr>
            <w:tcW w:w="2344" w:type="dxa"/>
          </w:tcPr>
          <w:p w:rsidR="00F71F1A" w:rsidRDefault="00D3125B">
            <w:pPr>
              <w:pStyle w:val="Tabletext"/>
              <w:rPr>
                <w:rFonts w:cs="Times New Roman"/>
                <w:b/>
              </w:rPr>
            </w:pPr>
            <w:r w:rsidRPr="00D3125B">
              <w:rPr>
                <w:b/>
              </w:rPr>
              <w:t>Option 3 (</w:t>
            </w:r>
            <w:r w:rsidR="00EA5881">
              <w:rPr>
                <w:b/>
              </w:rPr>
              <w:t>p</w:t>
            </w:r>
            <w:r w:rsidRPr="00D3125B">
              <w:rPr>
                <w:b/>
              </w:rPr>
              <w:t xml:space="preserve">referred) </w:t>
            </w:r>
            <w:r w:rsidRPr="00D3125B">
              <w:t>–</w:t>
            </w:r>
            <w:r w:rsidR="004028EE">
              <w:t xml:space="preserve"> </w:t>
            </w:r>
            <w:r w:rsidRPr="00D3125B">
              <w:t xml:space="preserve">Remake </w:t>
            </w:r>
            <w:r w:rsidR="000E2924">
              <w:t>reg</w:t>
            </w:r>
            <w:r w:rsidR="00EA5881" w:rsidRPr="00FA2F8A">
              <w:t>1502</w:t>
            </w:r>
            <w:r w:rsidR="00D3152F">
              <w:t xml:space="preserve"> without change</w:t>
            </w:r>
          </w:p>
        </w:tc>
        <w:tc>
          <w:tcPr>
            <w:tcW w:w="3836" w:type="dxa"/>
          </w:tcPr>
          <w:p w:rsidR="00F71F1A" w:rsidRDefault="00D3125B">
            <w:pPr>
              <w:pStyle w:val="Tabletext"/>
              <w:rPr>
                <w:rFonts w:cs="Times New Roman"/>
              </w:rPr>
            </w:pPr>
            <w:r w:rsidRPr="00D3125B">
              <w:t xml:space="preserve">No material cost or benefit measured as the Regulation is considered to assist in the management of disciplinary action but of itself does not change behaviour. This will provide increased certainty as to why disciplinary actions are being taken. </w:t>
            </w:r>
          </w:p>
        </w:tc>
      </w:tr>
      <w:tr w:rsidR="003A7FBC" w:rsidRPr="000700D8" w:rsidTr="00A13352">
        <w:tc>
          <w:tcPr>
            <w:tcW w:w="2041" w:type="dxa"/>
            <w:vMerge/>
          </w:tcPr>
          <w:p w:rsidR="003A7FBC" w:rsidRPr="000700D8" w:rsidRDefault="003A7FBC" w:rsidP="003A7FBC">
            <w:pPr>
              <w:spacing w:before="0" w:line="240" w:lineRule="atLeast"/>
              <w:ind w:left="0" w:right="0"/>
              <w:jc w:val="right"/>
              <w:rPr>
                <w:color w:val="FF0000"/>
              </w:rPr>
            </w:pPr>
          </w:p>
        </w:tc>
        <w:tc>
          <w:tcPr>
            <w:tcW w:w="2344" w:type="dxa"/>
            <w:tcBorders>
              <w:bottom w:val="single" w:sz="8" w:space="0" w:color="00B2A9" w:themeColor="text2"/>
            </w:tcBorders>
          </w:tcPr>
          <w:p w:rsidR="00F71F1A" w:rsidRDefault="00D3125B">
            <w:pPr>
              <w:pStyle w:val="Tabletext"/>
              <w:rPr>
                <w:rFonts w:cs="Times New Roman"/>
                <w:b/>
              </w:rPr>
            </w:pPr>
            <w:r w:rsidRPr="00D3125B">
              <w:t xml:space="preserve">Option 3.1: Remake only </w:t>
            </w:r>
            <w:proofErr w:type="spellStart"/>
            <w:r w:rsidR="000E2924">
              <w:t>pt</w:t>
            </w:r>
            <w:proofErr w:type="spellEnd"/>
            <w:r w:rsidRPr="00D3125B">
              <w:t xml:space="preserve">(a) of </w:t>
            </w:r>
            <w:r w:rsidR="000E2924">
              <w:t>reg</w:t>
            </w:r>
            <w:r w:rsidRPr="00D3125B">
              <w:t xml:space="preserve">1502 </w:t>
            </w:r>
          </w:p>
        </w:tc>
        <w:tc>
          <w:tcPr>
            <w:tcW w:w="3836" w:type="dxa"/>
            <w:tcBorders>
              <w:bottom w:val="single" w:sz="8" w:space="0" w:color="00B2A9" w:themeColor="text2"/>
            </w:tcBorders>
          </w:tcPr>
          <w:p w:rsidR="00F71F1A" w:rsidRDefault="00D3125B">
            <w:pPr>
              <w:pStyle w:val="Tabletext"/>
            </w:pPr>
            <w:r w:rsidRPr="00D3125B">
              <w:t xml:space="preserve">No material difference from remaking the current Regulation as </w:t>
            </w:r>
            <w:r w:rsidR="000E2924">
              <w:t>VBA</w:t>
            </w:r>
            <w:r w:rsidRPr="00D3125B">
              <w:t xml:space="preserve"> reports very little use of the Regulations other than </w:t>
            </w:r>
            <w:proofErr w:type="spellStart"/>
            <w:r w:rsidR="000E2924">
              <w:t>pt</w:t>
            </w:r>
            <w:proofErr w:type="spellEnd"/>
            <w:r w:rsidRPr="00D3125B">
              <w:t>(a).</w:t>
            </w:r>
          </w:p>
          <w:p w:rsidR="00011DF3" w:rsidRDefault="00011DF3">
            <w:pPr>
              <w:pStyle w:val="Tabletext"/>
            </w:pPr>
          </w:p>
          <w:p w:rsidR="00011DF3" w:rsidRDefault="00011DF3">
            <w:pPr>
              <w:pStyle w:val="Tabletext"/>
            </w:pPr>
          </w:p>
          <w:p w:rsidR="00011DF3" w:rsidRDefault="00011DF3">
            <w:pPr>
              <w:pStyle w:val="Tabletext"/>
              <w:rPr>
                <w:rFonts w:cs="Times New Roman"/>
              </w:rPr>
            </w:pPr>
          </w:p>
        </w:tc>
      </w:tr>
      <w:tr w:rsidR="003A7FBC" w:rsidRPr="00A13352" w:rsidTr="00A13352">
        <w:trPr>
          <w:trHeight w:val="782"/>
        </w:trPr>
        <w:tc>
          <w:tcPr>
            <w:tcW w:w="2041" w:type="dxa"/>
            <w:vMerge w:val="restart"/>
          </w:tcPr>
          <w:p w:rsidR="00F71F1A" w:rsidRDefault="00D3125B">
            <w:pPr>
              <w:pStyle w:val="Tabletext"/>
            </w:pPr>
            <w:r w:rsidRPr="00D3125B">
              <w:lastRenderedPageBreak/>
              <w:t>Period during which a private building surveyor cannot act</w:t>
            </w:r>
          </w:p>
          <w:p w:rsidR="00F71F1A" w:rsidRDefault="00F71F1A">
            <w:pPr>
              <w:pStyle w:val="Tabletext"/>
            </w:pPr>
          </w:p>
        </w:tc>
        <w:tc>
          <w:tcPr>
            <w:tcW w:w="2344" w:type="dxa"/>
            <w:tcBorders>
              <w:bottom w:val="single" w:sz="4" w:space="0" w:color="auto"/>
              <w:right w:val="nil"/>
            </w:tcBorders>
          </w:tcPr>
          <w:p w:rsidR="00F71F1A" w:rsidRDefault="00D3125B">
            <w:pPr>
              <w:pStyle w:val="Tabletext"/>
              <w:rPr>
                <w:i/>
              </w:rPr>
            </w:pPr>
            <w:r w:rsidRPr="00D3125B">
              <w:rPr>
                <w:b/>
              </w:rPr>
              <w:t>Option 4 (preferred)</w:t>
            </w:r>
            <w:r w:rsidRPr="00D3125B">
              <w:t xml:space="preserve"> – Remake </w:t>
            </w:r>
            <w:r w:rsidR="000E2924">
              <w:t>reg</w:t>
            </w:r>
            <w:r w:rsidRPr="00D3125B">
              <w:t xml:space="preserve">1504 </w:t>
            </w:r>
            <w:r w:rsidRPr="00D3125B">
              <w:rPr>
                <w:i/>
              </w:rPr>
              <w:t xml:space="preserve">(retain period during which a private building surveyor cannot act of </w:t>
            </w:r>
            <w:r w:rsidR="00A13352">
              <w:rPr>
                <w:i/>
              </w:rPr>
              <w:t xml:space="preserve">one </w:t>
            </w:r>
            <w:r w:rsidRPr="00D3125B">
              <w:rPr>
                <w:i/>
              </w:rPr>
              <w:t>year</w:t>
            </w:r>
            <w:r w:rsidR="00A13352">
              <w:rPr>
                <w:i/>
              </w:rPr>
              <w:t>)</w:t>
            </w:r>
          </w:p>
          <w:p w:rsidR="00F71F1A" w:rsidRDefault="00F71F1A">
            <w:pPr>
              <w:pStyle w:val="Tabletext"/>
            </w:pPr>
          </w:p>
        </w:tc>
        <w:tc>
          <w:tcPr>
            <w:tcW w:w="3836" w:type="dxa"/>
            <w:vMerge w:val="restart"/>
            <w:tcBorders>
              <w:left w:val="nil"/>
            </w:tcBorders>
          </w:tcPr>
          <w:p w:rsidR="00F71F1A" w:rsidRDefault="00D3125B">
            <w:pPr>
              <w:pStyle w:val="Tabletext"/>
            </w:pPr>
            <w:r w:rsidRPr="00D3125B">
              <w:t xml:space="preserve">The optimal prescribed period needs to balance the need to avoid conflicts of interest while minimising restricting work where no conflict exists or forcing use of exemption processes. The department considers the current period of </w:t>
            </w:r>
            <w:r w:rsidR="00A13352">
              <w:t>one</w:t>
            </w:r>
            <w:r w:rsidRPr="00D3125B">
              <w:t xml:space="preserve"> year balances these needs, and has no significant impact on the ability of building surveyors to operate. </w:t>
            </w:r>
          </w:p>
        </w:tc>
      </w:tr>
      <w:tr w:rsidR="00A13352" w:rsidRPr="000700D8" w:rsidTr="00A13352">
        <w:trPr>
          <w:trHeight w:val="1754"/>
        </w:trPr>
        <w:tc>
          <w:tcPr>
            <w:tcW w:w="2041" w:type="dxa"/>
            <w:vMerge/>
          </w:tcPr>
          <w:p w:rsidR="00F71F1A" w:rsidRDefault="00F71F1A">
            <w:pPr>
              <w:pStyle w:val="Tabletext"/>
            </w:pPr>
          </w:p>
        </w:tc>
        <w:tc>
          <w:tcPr>
            <w:tcW w:w="2344" w:type="dxa"/>
            <w:tcBorders>
              <w:top w:val="single" w:sz="4" w:space="0" w:color="auto"/>
              <w:right w:val="nil"/>
            </w:tcBorders>
          </w:tcPr>
          <w:p w:rsidR="00F71F1A" w:rsidRDefault="00D3125B">
            <w:pPr>
              <w:pStyle w:val="Tabletext"/>
            </w:pPr>
            <w:r w:rsidRPr="00D3125B">
              <w:t>Option 4.1</w:t>
            </w:r>
            <w:r w:rsidR="00A13352">
              <w:t xml:space="preserve"> – </w:t>
            </w:r>
            <w:r w:rsidRPr="00D3125B">
              <w:t xml:space="preserve">Reduce the prescribed period to </w:t>
            </w:r>
            <w:r w:rsidR="00A13352">
              <w:t xml:space="preserve">six </w:t>
            </w:r>
            <w:r w:rsidRPr="00D3125B">
              <w:t>months</w:t>
            </w:r>
          </w:p>
          <w:p w:rsidR="00F71F1A" w:rsidRDefault="00D3125B">
            <w:pPr>
              <w:pStyle w:val="Tabletext"/>
              <w:rPr>
                <w:b/>
                <w:u w:val="single"/>
              </w:rPr>
            </w:pPr>
            <w:r w:rsidRPr="00D3125B">
              <w:t>Option 4.2</w:t>
            </w:r>
            <w:r w:rsidR="00A13352">
              <w:t xml:space="preserve"> – </w:t>
            </w:r>
            <w:r w:rsidRPr="00D3125B">
              <w:t xml:space="preserve">Increase the prescribed period to </w:t>
            </w:r>
            <w:r w:rsidR="00A13352">
              <w:t>two</w:t>
            </w:r>
            <w:r w:rsidRPr="00D3125B">
              <w:t xml:space="preserve"> years </w:t>
            </w:r>
          </w:p>
        </w:tc>
        <w:tc>
          <w:tcPr>
            <w:tcW w:w="3836" w:type="dxa"/>
            <w:vMerge/>
            <w:tcBorders>
              <w:left w:val="nil"/>
            </w:tcBorders>
          </w:tcPr>
          <w:p w:rsidR="00F71F1A" w:rsidRDefault="00F71F1A">
            <w:pPr>
              <w:pStyle w:val="Tabletext"/>
            </w:pPr>
          </w:p>
        </w:tc>
      </w:tr>
      <w:tr w:rsidR="003A7FBC" w:rsidRPr="000700D8" w:rsidTr="003A7FBC">
        <w:tc>
          <w:tcPr>
            <w:tcW w:w="2041" w:type="dxa"/>
          </w:tcPr>
          <w:p w:rsidR="00F71F1A" w:rsidRDefault="00D3125B">
            <w:pPr>
              <w:pStyle w:val="Tabletext"/>
            </w:pPr>
            <w:r w:rsidRPr="00D3125B">
              <w:t>Prescribed information for applications</w:t>
            </w:r>
          </w:p>
        </w:tc>
        <w:tc>
          <w:tcPr>
            <w:tcW w:w="2344" w:type="dxa"/>
          </w:tcPr>
          <w:p w:rsidR="00F71F1A" w:rsidRDefault="00D3125B">
            <w:pPr>
              <w:pStyle w:val="Tabletext"/>
            </w:pPr>
            <w:r w:rsidRPr="00D3125B">
              <w:rPr>
                <w:b/>
              </w:rPr>
              <w:t xml:space="preserve">Option 5 (preferred) </w:t>
            </w:r>
            <w:r w:rsidRPr="00D3125B">
              <w:t>–</w:t>
            </w:r>
            <w:r w:rsidR="00A13352" w:rsidRPr="00366BFC">
              <w:t>Prescrib</w:t>
            </w:r>
            <w:r w:rsidR="00A13352">
              <w:t>e</w:t>
            </w:r>
            <w:r w:rsidR="00A13352" w:rsidRPr="00366BFC">
              <w:t xml:space="preserve"> application forms and other documents to be provided with an application</w:t>
            </w:r>
          </w:p>
        </w:tc>
        <w:tc>
          <w:tcPr>
            <w:tcW w:w="3836" w:type="dxa"/>
          </w:tcPr>
          <w:p w:rsidR="00F71F1A" w:rsidRDefault="00D3125B">
            <w:pPr>
              <w:pStyle w:val="Tabletext"/>
            </w:pPr>
            <w:r w:rsidRPr="00D3125B">
              <w:t xml:space="preserve">No material cost or benefit as this codifies the practice already used by </w:t>
            </w:r>
            <w:r w:rsidR="000E2924">
              <w:t>VBA</w:t>
            </w:r>
            <w:r w:rsidRPr="00D3125B">
              <w:t xml:space="preserve">, for which it has legislative powers. This will </w:t>
            </w:r>
            <w:r w:rsidR="00A13352">
              <w:rPr>
                <w:bCs/>
              </w:rPr>
              <w:t xml:space="preserve">help </w:t>
            </w:r>
            <w:r w:rsidRPr="00D3125B">
              <w:rPr>
                <w:bCs/>
              </w:rPr>
              <w:t>provid</w:t>
            </w:r>
            <w:r w:rsidR="00A13352">
              <w:rPr>
                <w:bCs/>
              </w:rPr>
              <w:t>e</w:t>
            </w:r>
            <w:r w:rsidRPr="00D3125B">
              <w:rPr>
                <w:bCs/>
              </w:rPr>
              <w:t xml:space="preserve"> transparency of process for applicants seeking registration as a building practitioner. </w:t>
            </w:r>
          </w:p>
        </w:tc>
      </w:tr>
      <w:tr w:rsidR="003A7FBC" w:rsidRPr="000700D8" w:rsidTr="003A7FBC">
        <w:tc>
          <w:tcPr>
            <w:tcW w:w="2041" w:type="dxa"/>
          </w:tcPr>
          <w:p w:rsidR="00F71F1A" w:rsidRDefault="00D3125B">
            <w:pPr>
              <w:pStyle w:val="Tabletext"/>
              <w:rPr>
                <w:rFonts w:cs="Times New Roman"/>
              </w:rPr>
            </w:pPr>
            <w:r w:rsidRPr="00D3125B">
              <w:t>Completing applications personally</w:t>
            </w:r>
          </w:p>
        </w:tc>
        <w:tc>
          <w:tcPr>
            <w:tcW w:w="2344" w:type="dxa"/>
          </w:tcPr>
          <w:p w:rsidR="00F71F1A" w:rsidRDefault="00A13352">
            <w:pPr>
              <w:pStyle w:val="Tabletext"/>
              <w:rPr>
                <w:rFonts w:cs="Times New Roman"/>
              </w:rPr>
            </w:pPr>
            <w:r w:rsidRPr="00EA7513">
              <w:t>Option 6</w:t>
            </w:r>
            <w:r>
              <w:t xml:space="preserve"> –</w:t>
            </w:r>
            <w:r w:rsidRPr="00EA7513">
              <w:t xml:space="preserve"> Require a statutory declaration that an applicant</w:t>
            </w:r>
            <w:r>
              <w:t xml:space="preserve">, not a third party, has prepared the </w:t>
            </w:r>
            <w:r w:rsidR="00B257D3">
              <w:t>application</w:t>
            </w:r>
          </w:p>
        </w:tc>
        <w:tc>
          <w:tcPr>
            <w:tcW w:w="3836" w:type="dxa"/>
          </w:tcPr>
          <w:p w:rsidR="00F71F1A" w:rsidRDefault="00D3125B">
            <w:pPr>
              <w:pStyle w:val="Tabletext"/>
              <w:rPr>
                <w:rFonts w:cs="Times New Roman"/>
              </w:rPr>
            </w:pPr>
            <w:r w:rsidRPr="00D3125B">
              <w:t xml:space="preserve">Incremental cost to applicants of $10,038 </w:t>
            </w:r>
            <w:r w:rsidR="00746629">
              <w:t>a year</w:t>
            </w:r>
            <w:r w:rsidRPr="00D3125B">
              <w:t xml:space="preserve">. However, requiring an applicant to prepare the application themselves will not adequately </w:t>
            </w:r>
            <w:r w:rsidR="00A13352">
              <w:t xml:space="preserve">address </w:t>
            </w:r>
            <w:r w:rsidRPr="00D3125B">
              <w:t xml:space="preserve">the problem identified and will most likely result in a higher burden on other applicants. </w:t>
            </w:r>
            <w:r w:rsidR="000E2924">
              <w:t>VBA</w:t>
            </w:r>
            <w:r w:rsidRPr="00D3125B">
              <w:t xml:space="preserve"> </w:t>
            </w:r>
            <w:r w:rsidR="00B13302">
              <w:t>advises there</w:t>
            </w:r>
            <w:r w:rsidRPr="00D3125B">
              <w:t xml:space="preserve"> other </w:t>
            </w:r>
            <w:proofErr w:type="spellStart"/>
            <w:r w:rsidRPr="00D3125B">
              <w:t>nonregulatory</w:t>
            </w:r>
            <w:proofErr w:type="spellEnd"/>
            <w:r w:rsidRPr="00D3125B">
              <w:t xml:space="preserve"> steps </w:t>
            </w:r>
            <w:r w:rsidR="00A13352">
              <w:t xml:space="preserve">it </w:t>
            </w:r>
            <w:r w:rsidRPr="00D3125B">
              <w:t>could take to address the problem.</w:t>
            </w:r>
          </w:p>
        </w:tc>
      </w:tr>
    </w:tbl>
    <w:p w:rsidR="003A7FBC" w:rsidRPr="000700D8" w:rsidRDefault="003A7FBC" w:rsidP="001623C3"/>
    <w:p w:rsidR="003A7FBC" w:rsidRPr="00A13352" w:rsidRDefault="00D3125B" w:rsidP="00743668">
      <w:pPr>
        <w:pStyle w:val="Normalpre-dotpoint"/>
      </w:pPr>
      <w:r w:rsidRPr="00D3125B">
        <w:t>In summary, the preferred approach is to:</w:t>
      </w:r>
    </w:p>
    <w:p w:rsidR="002129C8" w:rsidRPr="00A13352" w:rsidRDefault="00D3125B" w:rsidP="00743668">
      <w:pPr>
        <w:pStyle w:val="Dotpoint"/>
      </w:pPr>
      <w:r w:rsidRPr="00D3125B">
        <w:t>remake the Regulations related to qualifications and experience</w:t>
      </w:r>
      <w:r w:rsidR="00EB5F25">
        <w:t xml:space="preserve"> with some updates</w:t>
      </w:r>
    </w:p>
    <w:p w:rsidR="003A7FBC" w:rsidRPr="00A13352" w:rsidRDefault="00D3125B" w:rsidP="00743668">
      <w:pPr>
        <w:pStyle w:val="Dotpoint"/>
      </w:pPr>
      <w:r w:rsidRPr="00D3125B">
        <w:t xml:space="preserve">remake the </w:t>
      </w:r>
      <w:r w:rsidR="00EB5F25">
        <w:t>Regulation</w:t>
      </w:r>
      <w:r w:rsidR="00B440F1">
        <w:t xml:space="preserve"> prescribing information to be provided with an application </w:t>
      </w:r>
      <w:r w:rsidRPr="00D3125B">
        <w:t>to demonstrate good character</w:t>
      </w:r>
    </w:p>
    <w:p w:rsidR="003A7FBC" w:rsidRPr="00A13352" w:rsidRDefault="00D3125B" w:rsidP="00743668">
      <w:pPr>
        <w:pStyle w:val="Dotpoint"/>
      </w:pPr>
      <w:r w:rsidRPr="00D3125B">
        <w:t xml:space="preserve">remake the Regulation related to </w:t>
      </w:r>
      <w:r w:rsidR="00B440F1">
        <w:t xml:space="preserve">professional </w:t>
      </w:r>
      <w:r w:rsidRPr="00D3125B">
        <w:t>standards, without change</w:t>
      </w:r>
    </w:p>
    <w:p w:rsidR="003A7FBC" w:rsidRPr="00A13352" w:rsidRDefault="00D3125B" w:rsidP="00743668">
      <w:pPr>
        <w:pStyle w:val="Dotpoint"/>
      </w:pPr>
      <w:r w:rsidRPr="00D3125B">
        <w:t xml:space="preserve">remake the Regulation related to the period for which a private building surveyor </w:t>
      </w:r>
      <w:r w:rsidR="00010CE1">
        <w:t xml:space="preserve">(PBS) </w:t>
      </w:r>
      <w:r w:rsidRPr="00D3125B">
        <w:t>cannot act, without change</w:t>
      </w:r>
    </w:p>
    <w:p w:rsidR="003A7FBC" w:rsidRPr="00A13352" w:rsidRDefault="00D3125B" w:rsidP="00743668">
      <w:pPr>
        <w:pStyle w:val="Dotpointlast"/>
      </w:pPr>
      <w:r w:rsidRPr="00D3125B">
        <w:t>introduce a Regulation prescribing application forms and other documents to be provided with an application.</w:t>
      </w:r>
    </w:p>
    <w:p w:rsidR="003A7FBC" w:rsidRPr="00A13352" w:rsidRDefault="00D3125B" w:rsidP="00743668">
      <w:r w:rsidRPr="00D3125B">
        <w:t>Two of the current Regulations impose restrictions on competition. These are the prescribing of qualifications and experience in order to be registered and the prescribing of the period in which a building surveyor may not undertake certain work. These impacts are discussed in the relevant chapters in this report.</w:t>
      </w:r>
    </w:p>
    <w:p w:rsidR="003A7FBC" w:rsidRPr="00160290" w:rsidRDefault="003A7FBC" w:rsidP="00F7154D"/>
    <w:p w:rsidR="003A7FBC" w:rsidRPr="00160290" w:rsidRDefault="003A7FBC" w:rsidP="00F7154D"/>
    <w:p w:rsidR="003A7FBC" w:rsidRPr="00160290" w:rsidRDefault="003A7FBC" w:rsidP="00F7154D"/>
    <w:p w:rsidR="00C91615" w:rsidRPr="00160290" w:rsidRDefault="00C91615">
      <w:pPr>
        <w:spacing w:after="0"/>
        <w:rPr>
          <w:b/>
          <w:bCs/>
          <w:color w:val="201547" w:themeColor="accent2"/>
          <w:kern w:val="32"/>
          <w:sz w:val="40"/>
          <w:szCs w:val="32"/>
        </w:rPr>
      </w:pPr>
      <w:bookmarkStart w:id="9" w:name="_Toc475087229"/>
      <w:r w:rsidRPr="00160290">
        <w:br w:type="page"/>
      </w:r>
    </w:p>
    <w:p w:rsidR="0033590D" w:rsidRDefault="00F71F1A" w:rsidP="00011DF3">
      <w:pPr>
        <w:pStyle w:val="Heading1"/>
      </w:pPr>
      <w:bookmarkStart w:id="10" w:name="_Toc475087230"/>
      <w:bookmarkStart w:id="11" w:name="_Toc481502164"/>
      <w:bookmarkEnd w:id="9"/>
      <w:r>
        <w:lastRenderedPageBreak/>
        <w:t>C</w:t>
      </w:r>
      <w:r w:rsidR="00C7353B" w:rsidRPr="00160290">
        <w:t>1</w:t>
      </w:r>
      <w:r w:rsidR="00C7353B" w:rsidRPr="00160290">
        <w:tab/>
      </w:r>
      <w:r w:rsidR="003A7FBC" w:rsidRPr="00160290">
        <w:t>Introduction</w:t>
      </w:r>
      <w:bookmarkEnd w:id="10"/>
      <w:bookmarkEnd w:id="11"/>
    </w:p>
    <w:p w:rsidR="003A7FBC" w:rsidRPr="00160290" w:rsidRDefault="003A7FBC" w:rsidP="00743668">
      <w:r w:rsidRPr="00160290">
        <w:t xml:space="preserve">As </w:t>
      </w:r>
      <w:r w:rsidR="00C91615" w:rsidRPr="00160290">
        <w:t xml:space="preserve">explained </w:t>
      </w:r>
      <w:r w:rsidRPr="00160290">
        <w:t xml:space="preserve">in </w:t>
      </w:r>
      <w:r w:rsidR="00C91615" w:rsidRPr="00160290">
        <w:t>p</w:t>
      </w:r>
      <w:r w:rsidRPr="00160290">
        <w:t>arts A and B of this RIS, under the Act</w:t>
      </w:r>
      <w:r w:rsidR="00C91615" w:rsidRPr="00160290">
        <w:t xml:space="preserve"> </w:t>
      </w:r>
      <w:r w:rsidRPr="00160290">
        <w:t xml:space="preserve">a person must not carry out building work unless the work is carried out in accordance with the Act, the </w:t>
      </w:r>
      <w:r w:rsidR="00C91615" w:rsidRPr="00160290">
        <w:t xml:space="preserve">current </w:t>
      </w:r>
      <w:r w:rsidRPr="00160290">
        <w:t xml:space="preserve">Regulations and </w:t>
      </w:r>
      <w:r w:rsidR="00C91615" w:rsidRPr="00160290">
        <w:t xml:space="preserve">a </w:t>
      </w:r>
      <w:r w:rsidRPr="00160290">
        <w:t xml:space="preserve">building permit issued </w:t>
      </w:r>
      <w:r w:rsidR="00703FD9" w:rsidRPr="00160290">
        <w:t>in relation to</w:t>
      </w:r>
      <w:r w:rsidRPr="00160290">
        <w:t xml:space="preserve"> that work (if required).</w:t>
      </w:r>
      <w:r w:rsidR="002129C8" w:rsidRPr="00160290">
        <w:t xml:space="preserve"> </w:t>
      </w:r>
      <w:r w:rsidRPr="00160290">
        <w:t xml:space="preserve">Some aspects of building work and practitioners are covered by the </w:t>
      </w:r>
      <w:r w:rsidRPr="00160290">
        <w:rPr>
          <w:i/>
        </w:rPr>
        <w:t>Domestic Building Contracts Act 1995</w:t>
      </w:r>
      <w:r w:rsidRPr="00160290">
        <w:t xml:space="preserve"> which is outside the current scope of this </w:t>
      </w:r>
      <w:r w:rsidR="00C91615" w:rsidRPr="00160290">
        <w:t>RIS</w:t>
      </w:r>
      <w:r w:rsidRPr="00160290">
        <w:t>.</w:t>
      </w:r>
    </w:p>
    <w:p w:rsidR="003A7FBC" w:rsidRPr="00160290" w:rsidRDefault="003A7FBC" w:rsidP="00743668">
      <w:pPr>
        <w:pStyle w:val="Normalpre-dotpoint"/>
      </w:pPr>
      <w:r w:rsidRPr="00160290">
        <w:t>Various parts of the Act set out requirements in relation to:</w:t>
      </w:r>
    </w:p>
    <w:p w:rsidR="003A7FBC" w:rsidRPr="00160290" w:rsidRDefault="00C91615" w:rsidP="00743668">
      <w:pPr>
        <w:pStyle w:val="Dotpoint"/>
      </w:pPr>
      <w:r w:rsidRPr="00160290">
        <w:t>b</w:t>
      </w:r>
      <w:r w:rsidR="003A7FBC" w:rsidRPr="00160290">
        <w:t xml:space="preserve">uilding </w:t>
      </w:r>
      <w:r w:rsidRPr="00160290">
        <w:t>s</w:t>
      </w:r>
      <w:r w:rsidR="003A7FBC" w:rsidRPr="00160290">
        <w:t>tandards (</w:t>
      </w:r>
      <w:proofErr w:type="spellStart"/>
      <w:r w:rsidR="0062727D">
        <w:t>pt</w:t>
      </w:r>
      <w:proofErr w:type="spellEnd"/>
      <w:r w:rsidR="003A7FBC" w:rsidRPr="00160290">
        <w:t xml:space="preserve"> 2)</w:t>
      </w:r>
    </w:p>
    <w:p w:rsidR="003A7FBC" w:rsidRPr="00160290" w:rsidRDefault="00C91615" w:rsidP="00743668">
      <w:pPr>
        <w:pStyle w:val="Dotpoint"/>
      </w:pPr>
      <w:r w:rsidRPr="00160290">
        <w:t>b</w:t>
      </w:r>
      <w:r w:rsidR="003A7FBC" w:rsidRPr="00160290">
        <w:t>uilding permits (</w:t>
      </w:r>
      <w:proofErr w:type="spellStart"/>
      <w:r w:rsidR="0062727D">
        <w:t>pt</w:t>
      </w:r>
      <w:proofErr w:type="spellEnd"/>
      <w:r w:rsidR="003A7FBC" w:rsidRPr="00160290">
        <w:t xml:space="preserve"> 3)</w:t>
      </w:r>
    </w:p>
    <w:p w:rsidR="003A7FBC" w:rsidRPr="00160290" w:rsidRDefault="00C91615" w:rsidP="00743668">
      <w:pPr>
        <w:pStyle w:val="Dotpoint"/>
      </w:pPr>
      <w:r w:rsidRPr="00160290">
        <w:t>i</w:t>
      </w:r>
      <w:r w:rsidR="003A7FBC" w:rsidRPr="00160290">
        <w:t xml:space="preserve">nspection of </w:t>
      </w:r>
      <w:r w:rsidRPr="00160290">
        <w:t>b</w:t>
      </w:r>
      <w:r w:rsidR="003A7FBC" w:rsidRPr="00160290">
        <w:t>uilding works (</w:t>
      </w:r>
      <w:proofErr w:type="spellStart"/>
      <w:r w:rsidR="0062727D">
        <w:t>pt</w:t>
      </w:r>
      <w:proofErr w:type="spellEnd"/>
      <w:r w:rsidR="003A7FBC" w:rsidRPr="00160290">
        <w:t xml:space="preserve"> 4)</w:t>
      </w:r>
    </w:p>
    <w:p w:rsidR="003A7FBC" w:rsidRPr="00160290" w:rsidRDefault="00C91615" w:rsidP="00743668">
      <w:pPr>
        <w:pStyle w:val="Dotpoint"/>
      </w:pPr>
      <w:r w:rsidRPr="00160290">
        <w:t>o</w:t>
      </w:r>
      <w:r w:rsidR="003A7FBC" w:rsidRPr="00160290">
        <w:t>ccupancy permits (</w:t>
      </w:r>
      <w:proofErr w:type="spellStart"/>
      <w:r w:rsidR="0062727D">
        <w:t>pt</w:t>
      </w:r>
      <w:proofErr w:type="spellEnd"/>
      <w:r w:rsidR="003A7FBC" w:rsidRPr="00160290">
        <w:t xml:space="preserve"> 5)</w:t>
      </w:r>
    </w:p>
    <w:p w:rsidR="003A7FBC" w:rsidRPr="00160290" w:rsidRDefault="00C91615" w:rsidP="00743668">
      <w:pPr>
        <w:pStyle w:val="Dotpoint"/>
      </w:pPr>
      <w:r w:rsidRPr="00160290">
        <w:t>r</w:t>
      </w:r>
      <w:r w:rsidR="003A7FBC" w:rsidRPr="00160290">
        <w:t>egistration of building practitioners (</w:t>
      </w:r>
      <w:proofErr w:type="spellStart"/>
      <w:r w:rsidR="0062727D">
        <w:t>pt</w:t>
      </w:r>
      <w:proofErr w:type="spellEnd"/>
      <w:r w:rsidR="003A7FBC" w:rsidRPr="00160290">
        <w:t xml:space="preserve"> 11)</w:t>
      </w:r>
    </w:p>
    <w:p w:rsidR="003A7FBC" w:rsidRPr="00160290" w:rsidRDefault="00C91615" w:rsidP="00743668">
      <w:pPr>
        <w:pStyle w:val="Dotpoint"/>
      </w:pPr>
      <w:r w:rsidRPr="00160290">
        <w:t>e</w:t>
      </w:r>
      <w:r w:rsidR="003A7FBC" w:rsidRPr="00160290">
        <w:t>nforcement, appeals</w:t>
      </w:r>
      <w:r w:rsidRPr="00160290">
        <w:t xml:space="preserve"> and </w:t>
      </w:r>
      <w:r w:rsidR="003A7FBC" w:rsidRPr="00160290">
        <w:t>administration (</w:t>
      </w:r>
      <w:r w:rsidR="0062727D">
        <w:t>pt</w:t>
      </w:r>
      <w:r w:rsidR="003A7FBC" w:rsidRPr="00160290">
        <w:t>s 8</w:t>
      </w:r>
      <w:r w:rsidRPr="00160290">
        <w:t>,</w:t>
      </w:r>
      <w:r w:rsidR="003A7FBC" w:rsidRPr="00160290">
        <w:t xml:space="preserve"> 13, 10 and 12)</w:t>
      </w:r>
    </w:p>
    <w:p w:rsidR="003A7FBC" w:rsidRPr="00160290" w:rsidRDefault="00C91615" w:rsidP="00743668">
      <w:pPr>
        <w:pStyle w:val="Dotpointlast"/>
      </w:pPr>
      <w:r w:rsidRPr="00160290">
        <w:t>p</w:t>
      </w:r>
      <w:r w:rsidR="003A7FBC" w:rsidRPr="00160290">
        <w:t>lumbing licensing (</w:t>
      </w:r>
      <w:proofErr w:type="spellStart"/>
      <w:r w:rsidR="0062727D">
        <w:t>pt</w:t>
      </w:r>
      <w:proofErr w:type="spellEnd"/>
      <w:r w:rsidR="003A7FBC" w:rsidRPr="00160290">
        <w:t xml:space="preserve"> 12</w:t>
      </w:r>
      <w:r w:rsidR="0022498F">
        <w:t> A</w:t>
      </w:r>
      <w:r w:rsidR="003A7FBC" w:rsidRPr="00160290">
        <w:t>)</w:t>
      </w:r>
      <w:r w:rsidRPr="00160290">
        <w:t>.</w:t>
      </w:r>
    </w:p>
    <w:p w:rsidR="003A7FBC" w:rsidRPr="00160290" w:rsidRDefault="003A7FBC" w:rsidP="00743668">
      <w:pPr>
        <w:pStyle w:val="Normalpre-dotpoint"/>
      </w:pPr>
      <w:r w:rsidRPr="00160290">
        <w:t xml:space="preserve">The operation of the Act is supported by the building </w:t>
      </w:r>
      <w:r w:rsidR="00511A91">
        <w:t>R</w:t>
      </w:r>
      <w:r w:rsidRPr="00160290">
        <w:t>egulations, which regulate matters including:</w:t>
      </w:r>
    </w:p>
    <w:p w:rsidR="003A7FBC" w:rsidRPr="00160290" w:rsidRDefault="00C91615" w:rsidP="00743668">
      <w:pPr>
        <w:pStyle w:val="Dotpoint"/>
      </w:pPr>
      <w:r w:rsidRPr="00160290">
        <w:t>o</w:t>
      </w:r>
      <w:r w:rsidR="003A7FBC" w:rsidRPr="00160290">
        <w:t>wner</w:t>
      </w:r>
      <w:r w:rsidRPr="00160290">
        <w:t>-</w:t>
      </w:r>
      <w:r w:rsidR="003A7FBC" w:rsidRPr="00160290">
        <w:t>builders (</w:t>
      </w:r>
      <w:proofErr w:type="spellStart"/>
      <w:r w:rsidR="0062727D">
        <w:t>pt</w:t>
      </w:r>
      <w:proofErr w:type="spellEnd"/>
      <w:r w:rsidR="003A7FBC" w:rsidRPr="00160290">
        <w:t xml:space="preserve"> 2)</w:t>
      </w:r>
    </w:p>
    <w:p w:rsidR="003A7FBC" w:rsidRPr="00160290" w:rsidRDefault="00C91615" w:rsidP="00743668">
      <w:pPr>
        <w:pStyle w:val="Dotpoint"/>
      </w:pPr>
      <w:r w:rsidRPr="00160290">
        <w:t>b</w:t>
      </w:r>
      <w:r w:rsidR="003A7FBC" w:rsidRPr="00160290">
        <w:t>uilding permits (</w:t>
      </w:r>
      <w:r w:rsidRPr="00160290">
        <w:t xml:space="preserve">the </w:t>
      </w:r>
      <w:r w:rsidR="003A7FBC" w:rsidRPr="00160290">
        <w:t>process for applications and issuing) (</w:t>
      </w:r>
      <w:proofErr w:type="spellStart"/>
      <w:r w:rsidR="0062727D">
        <w:t>pt</w:t>
      </w:r>
      <w:proofErr w:type="spellEnd"/>
      <w:r w:rsidR="003A7FBC" w:rsidRPr="00160290">
        <w:t xml:space="preserve"> 3)</w:t>
      </w:r>
    </w:p>
    <w:p w:rsidR="003A7FBC" w:rsidRPr="00160290" w:rsidRDefault="00C91615" w:rsidP="00743668">
      <w:pPr>
        <w:pStyle w:val="Dotpoint"/>
      </w:pPr>
      <w:r w:rsidRPr="00160290">
        <w:t>s</w:t>
      </w:r>
      <w:r w:rsidR="003A7FBC" w:rsidRPr="00160290">
        <w:t>iting (</w:t>
      </w:r>
      <w:proofErr w:type="spellStart"/>
      <w:r w:rsidR="0062727D">
        <w:t>pt</w:t>
      </w:r>
      <w:proofErr w:type="spellEnd"/>
      <w:r w:rsidR="003A7FBC" w:rsidRPr="00160290">
        <w:t xml:space="preserve"> 4), building work (</w:t>
      </w:r>
      <w:proofErr w:type="spellStart"/>
      <w:r w:rsidR="0062727D">
        <w:t>pt</w:t>
      </w:r>
      <w:proofErr w:type="spellEnd"/>
      <w:r w:rsidR="003A7FBC" w:rsidRPr="00160290">
        <w:t xml:space="preserve"> 6)</w:t>
      </w:r>
      <w:r w:rsidRPr="00160290">
        <w:t xml:space="preserve"> and </w:t>
      </w:r>
      <w:r w:rsidR="003A7FBC" w:rsidRPr="00160290">
        <w:t>safety (</w:t>
      </w:r>
      <w:proofErr w:type="spellStart"/>
      <w:r w:rsidR="0062727D">
        <w:t>pt</w:t>
      </w:r>
      <w:proofErr w:type="spellEnd"/>
      <w:r w:rsidR="003A7FBC" w:rsidRPr="00160290">
        <w:t xml:space="preserve"> 7)</w:t>
      </w:r>
    </w:p>
    <w:p w:rsidR="003A7FBC" w:rsidRPr="00160290" w:rsidRDefault="00C91615" w:rsidP="00743668">
      <w:pPr>
        <w:pStyle w:val="Dotpoint"/>
      </w:pPr>
      <w:r w:rsidRPr="00160290">
        <w:t>i</w:t>
      </w:r>
      <w:r w:rsidR="003A7FBC" w:rsidRPr="00160290">
        <w:t>nspections, notices, directions and orders (</w:t>
      </w:r>
      <w:proofErr w:type="spellStart"/>
      <w:r w:rsidR="0062727D">
        <w:t>pt</w:t>
      </w:r>
      <w:proofErr w:type="spellEnd"/>
      <w:r w:rsidR="003A7FBC" w:rsidRPr="00160290">
        <w:t xml:space="preserve"> 9)</w:t>
      </w:r>
    </w:p>
    <w:p w:rsidR="003A7FBC" w:rsidRPr="00160290" w:rsidRDefault="00C91615" w:rsidP="00743668">
      <w:pPr>
        <w:pStyle w:val="Dotpoint"/>
      </w:pPr>
      <w:r w:rsidRPr="00160290">
        <w:t>o</w:t>
      </w:r>
      <w:r w:rsidR="003A7FBC" w:rsidRPr="00160290">
        <w:t>ccupancy permits (processes) (</w:t>
      </w:r>
      <w:proofErr w:type="spellStart"/>
      <w:r w:rsidR="0062727D">
        <w:t>pt</w:t>
      </w:r>
      <w:proofErr w:type="spellEnd"/>
      <w:r w:rsidR="003A7FBC" w:rsidRPr="00160290">
        <w:t xml:space="preserve"> 10)</w:t>
      </w:r>
    </w:p>
    <w:p w:rsidR="003A7FBC" w:rsidRPr="00160290" w:rsidRDefault="00C91615" w:rsidP="00743668">
      <w:pPr>
        <w:pStyle w:val="Dotpoint"/>
      </w:pPr>
      <w:r w:rsidRPr="00160290">
        <w:t>b</w:t>
      </w:r>
      <w:r w:rsidR="003A7FBC" w:rsidRPr="00160290">
        <w:t>uilding product accreditation (</w:t>
      </w:r>
      <w:proofErr w:type="spellStart"/>
      <w:r w:rsidR="0062727D">
        <w:t>pt</w:t>
      </w:r>
      <w:proofErr w:type="spellEnd"/>
      <w:r w:rsidR="003A7FBC" w:rsidRPr="00160290">
        <w:t xml:space="preserve"> 14)</w:t>
      </w:r>
    </w:p>
    <w:p w:rsidR="003A7FBC" w:rsidRPr="00160290" w:rsidRDefault="00C91615" w:rsidP="00743668">
      <w:pPr>
        <w:pStyle w:val="Dotpoint"/>
      </w:pPr>
      <w:r w:rsidRPr="00160290">
        <w:t>b</w:t>
      </w:r>
      <w:r w:rsidR="003A7FBC" w:rsidRPr="00160290">
        <w:t>uilding practitioners (</w:t>
      </w:r>
      <w:proofErr w:type="spellStart"/>
      <w:r w:rsidR="0062727D">
        <w:t>pt</w:t>
      </w:r>
      <w:proofErr w:type="spellEnd"/>
      <w:r w:rsidR="003A7FBC" w:rsidRPr="00160290">
        <w:t xml:space="preserve"> 15)</w:t>
      </w:r>
    </w:p>
    <w:p w:rsidR="003A7FBC" w:rsidRPr="00160290" w:rsidRDefault="00C91615" w:rsidP="00743668">
      <w:pPr>
        <w:pStyle w:val="Dotpoint"/>
      </w:pPr>
      <w:r w:rsidRPr="00160290">
        <w:t>a</w:t>
      </w:r>
      <w:r w:rsidR="003A7FBC" w:rsidRPr="00160290">
        <w:t>ppeals and reviews (</w:t>
      </w:r>
      <w:proofErr w:type="spellStart"/>
      <w:r w:rsidR="0062727D">
        <w:t>pt</w:t>
      </w:r>
      <w:proofErr w:type="spellEnd"/>
      <w:r w:rsidR="003A7FBC" w:rsidRPr="00160290">
        <w:t xml:space="preserve"> 16)</w:t>
      </w:r>
    </w:p>
    <w:p w:rsidR="003A7FBC" w:rsidRPr="00160290" w:rsidRDefault="00C91615" w:rsidP="003A7FBC">
      <w:pPr>
        <w:pStyle w:val="Dotpointlast"/>
      </w:pPr>
      <w:r w:rsidRPr="00160290">
        <w:t>e</w:t>
      </w:r>
      <w:r w:rsidR="003A7FBC" w:rsidRPr="00160290">
        <w:t>xemptions (</w:t>
      </w:r>
      <w:proofErr w:type="spellStart"/>
      <w:r w:rsidR="0062727D">
        <w:t>pt</w:t>
      </w:r>
      <w:proofErr w:type="spellEnd"/>
      <w:r w:rsidR="003A7FBC" w:rsidRPr="00160290">
        <w:t xml:space="preserve"> 18)</w:t>
      </w:r>
      <w:r w:rsidRPr="00160290">
        <w:t>.</w:t>
      </w:r>
    </w:p>
    <w:p w:rsidR="003A7FBC" w:rsidRPr="00160290" w:rsidRDefault="003A7FBC" w:rsidP="00743668">
      <w:pPr>
        <w:pStyle w:val="Normalpre-dotpoint"/>
        <w:rPr>
          <w:rFonts w:eastAsiaTheme="minorHAnsi"/>
        </w:rPr>
      </w:pPr>
      <w:r w:rsidRPr="00160290">
        <w:rPr>
          <w:rFonts w:eastAsiaTheme="minorHAnsi"/>
        </w:rPr>
        <w:t>Under the Act</w:t>
      </w:r>
      <w:r w:rsidR="00BC1922">
        <w:rPr>
          <w:rFonts w:eastAsiaTheme="minorHAnsi"/>
        </w:rPr>
        <w:t>,</w:t>
      </w:r>
      <w:r w:rsidRPr="00160290">
        <w:rPr>
          <w:rFonts w:eastAsiaTheme="minorHAnsi"/>
          <w:vertAlign w:val="superscript"/>
        </w:rPr>
        <w:footnoteReference w:id="3"/>
      </w:r>
      <w:r w:rsidRPr="00160290">
        <w:rPr>
          <w:rFonts w:eastAsiaTheme="minorHAnsi"/>
        </w:rPr>
        <w:t xml:space="preserve"> a building practitioner means:</w:t>
      </w:r>
    </w:p>
    <w:p w:rsidR="002129C8" w:rsidRPr="00160290" w:rsidRDefault="00743668" w:rsidP="00743668">
      <w:pPr>
        <w:pStyle w:val="Normalpre-dotpoint"/>
      </w:pPr>
      <w:r w:rsidRPr="00160290">
        <w:t>a)</w:t>
      </w:r>
      <w:r w:rsidRPr="00160290">
        <w:tab/>
      </w:r>
      <w:r w:rsidR="003A7FBC" w:rsidRPr="00160290">
        <w:t>a building surveyor</w:t>
      </w:r>
    </w:p>
    <w:p w:rsidR="002129C8" w:rsidRPr="00160290" w:rsidRDefault="00743668" w:rsidP="00743668">
      <w:pPr>
        <w:pStyle w:val="Normalpre-dotpoint"/>
      </w:pPr>
      <w:r w:rsidRPr="00160290">
        <w:t>b)</w:t>
      </w:r>
      <w:r w:rsidRPr="00160290">
        <w:tab/>
      </w:r>
      <w:r w:rsidR="003A7FBC" w:rsidRPr="00160290">
        <w:t>a building inspector</w:t>
      </w:r>
    </w:p>
    <w:p w:rsidR="002129C8" w:rsidRPr="00160290" w:rsidRDefault="00743668" w:rsidP="00743668">
      <w:pPr>
        <w:pStyle w:val="Normalpre-dotpoint"/>
      </w:pPr>
      <w:r w:rsidRPr="00160290">
        <w:t>c)</w:t>
      </w:r>
      <w:r w:rsidRPr="00160290">
        <w:tab/>
      </w:r>
      <w:r w:rsidR="003A7FBC" w:rsidRPr="00160290">
        <w:t>a quantity surveyor</w:t>
      </w:r>
    </w:p>
    <w:p w:rsidR="002129C8" w:rsidRPr="00160290" w:rsidRDefault="00743668" w:rsidP="00743668">
      <w:pPr>
        <w:pStyle w:val="Normalpre-dotpoint"/>
      </w:pPr>
      <w:r w:rsidRPr="00160290">
        <w:t>d)</w:t>
      </w:r>
      <w:r w:rsidRPr="00160290">
        <w:tab/>
      </w:r>
      <w:r w:rsidR="003A7FBC" w:rsidRPr="00160290">
        <w:t>an engineer engaged in the building industry</w:t>
      </w:r>
    </w:p>
    <w:p w:rsidR="002129C8" w:rsidRPr="00160290" w:rsidRDefault="00743668" w:rsidP="00743668">
      <w:pPr>
        <w:pStyle w:val="Normalpre-dotpoint"/>
      </w:pPr>
      <w:r w:rsidRPr="00160290">
        <w:t>e)</w:t>
      </w:r>
      <w:r w:rsidRPr="00160290">
        <w:tab/>
      </w:r>
      <w:r w:rsidR="003A7FBC" w:rsidRPr="00160290">
        <w:t>a draftsperson who carries on a business of preparing plans for building work or preparing documentation relating to permits or permit applications</w:t>
      </w:r>
    </w:p>
    <w:p w:rsidR="002129C8" w:rsidRPr="00160290" w:rsidRDefault="00743668" w:rsidP="00743668">
      <w:pPr>
        <w:pStyle w:val="Normalpre-dotpoint"/>
      </w:pPr>
      <w:r w:rsidRPr="00160290">
        <w:t>f)</w:t>
      </w:r>
      <w:r w:rsidRPr="00160290">
        <w:tab/>
      </w:r>
      <w:r w:rsidR="003A7FBC" w:rsidRPr="00160290">
        <w:t>a builder including a domestic builder</w:t>
      </w:r>
    </w:p>
    <w:p w:rsidR="002129C8" w:rsidRPr="00160290" w:rsidRDefault="00743668" w:rsidP="00743668">
      <w:pPr>
        <w:pStyle w:val="Normalpre-dotpoint"/>
      </w:pPr>
      <w:r w:rsidRPr="00160290">
        <w:t>g)</w:t>
      </w:r>
      <w:r w:rsidRPr="00160290">
        <w:tab/>
      </w:r>
      <w:r w:rsidR="003A7FBC" w:rsidRPr="00160290">
        <w:t>a person who erects or supervises the erection of prescribed temporary structures</w:t>
      </w:r>
    </w:p>
    <w:p w:rsidR="00F71F1A" w:rsidRDefault="00743668">
      <w:pPr>
        <w:pStyle w:val="Normalpre-dotpoint"/>
        <w:spacing w:after="200"/>
      </w:pPr>
      <w:r w:rsidRPr="00160290">
        <w:t>h)</w:t>
      </w:r>
      <w:r w:rsidRPr="00160290">
        <w:tab/>
      </w:r>
      <w:r w:rsidR="003A7FBC" w:rsidRPr="00160290">
        <w:t>a person responsible for a building project or any stage of a building project and who belongs to a class or category of people prescribed to be building practitioners</w:t>
      </w:r>
      <w:r w:rsidR="00C91615" w:rsidRPr="00160290">
        <w:t>.</w:t>
      </w:r>
    </w:p>
    <w:p w:rsidR="003A7FBC" w:rsidRPr="00160290" w:rsidRDefault="00C91615" w:rsidP="00332796">
      <w:r w:rsidRPr="00160290">
        <w:t xml:space="preserve">Under the Act, a building practitioner </w:t>
      </w:r>
      <w:r w:rsidR="003A7FBC" w:rsidRPr="00160290">
        <w:t>does not include an architect or a person (other than a domestic builder) who does not carry on the business of building.</w:t>
      </w:r>
    </w:p>
    <w:p w:rsidR="003A7FBC" w:rsidRPr="00160290" w:rsidRDefault="00F71F1A" w:rsidP="00357F56">
      <w:pPr>
        <w:pStyle w:val="Heading2"/>
      </w:pPr>
      <w:bookmarkStart w:id="12" w:name="_Toc481502165"/>
      <w:r>
        <w:lastRenderedPageBreak/>
        <w:t>C</w:t>
      </w:r>
      <w:r w:rsidR="005F6B8C" w:rsidRPr="00160290">
        <w:t>1.1</w:t>
      </w:r>
      <w:r w:rsidR="005F6B8C" w:rsidRPr="00160290">
        <w:tab/>
      </w:r>
      <w:r w:rsidR="003A7FBC" w:rsidRPr="00160290">
        <w:t xml:space="preserve">The need for </w:t>
      </w:r>
      <w:r w:rsidR="000700D8">
        <w:t>r</w:t>
      </w:r>
      <w:r w:rsidR="003A7FBC" w:rsidRPr="00160290">
        <w:t>egulation</w:t>
      </w:r>
      <w:bookmarkEnd w:id="12"/>
    </w:p>
    <w:p w:rsidR="003A7FBC" w:rsidRPr="00160290" w:rsidRDefault="003A7FBC" w:rsidP="00332796">
      <w:pPr>
        <w:pStyle w:val="Normalpre-dotpoint"/>
      </w:pPr>
      <w:r w:rsidRPr="00160290">
        <w:t xml:space="preserve">The rationale for </w:t>
      </w:r>
      <w:r w:rsidR="000700D8">
        <w:t>r</w:t>
      </w:r>
      <w:r w:rsidRPr="00160290">
        <w:t xml:space="preserve">egulation of building practitioners is influenced by </w:t>
      </w:r>
      <w:r w:rsidR="00C91615" w:rsidRPr="00160290">
        <w:t xml:space="preserve">the </w:t>
      </w:r>
      <w:r w:rsidRPr="00160290">
        <w:t xml:space="preserve">government’s ability to pre-emptively reduce a range of impacts which are commonly attributed to the nature of the building sector. As discussed in </w:t>
      </w:r>
      <w:r w:rsidR="000E2924">
        <w:t xml:space="preserve">RIS </w:t>
      </w:r>
      <w:r w:rsidRPr="00160290">
        <w:t>Part B, the complexity of building work and the associated potential for harms to practitioners, the public and consumers bolsters justification for government intervention in the interests of prevention. This includes:</w:t>
      </w:r>
    </w:p>
    <w:p w:rsidR="003A7FBC" w:rsidRPr="00160290" w:rsidRDefault="003A7FBC" w:rsidP="00332796">
      <w:pPr>
        <w:pStyle w:val="Dotpoint"/>
      </w:pPr>
      <w:r w:rsidRPr="00160290">
        <w:t xml:space="preserve">enhancing public confidence in building practitioners, by ensuring registered building practitioners have the minimum level of knowledge, skills and experience to competently and professionally carry out </w:t>
      </w:r>
      <w:r w:rsidR="00C91615" w:rsidRPr="00160290">
        <w:t xml:space="preserve">the </w:t>
      </w:r>
      <w:r w:rsidRPr="00160290">
        <w:t>specific scope of building work authorised by their desired registration</w:t>
      </w:r>
    </w:p>
    <w:p w:rsidR="003A7FBC" w:rsidRPr="00160290" w:rsidRDefault="00C91615" w:rsidP="00332796">
      <w:pPr>
        <w:pStyle w:val="Dotpoint"/>
      </w:pPr>
      <w:r w:rsidRPr="00160290">
        <w:t xml:space="preserve">protecting </w:t>
      </w:r>
      <w:r w:rsidR="003A7FBC" w:rsidRPr="00160290">
        <w:t>consumer</w:t>
      </w:r>
      <w:r w:rsidRPr="00160290">
        <w:t>s</w:t>
      </w:r>
      <w:r w:rsidR="003A7FBC" w:rsidRPr="00160290">
        <w:t>, by reducing safety risks (in addition to health, economic, environmental, social</w:t>
      </w:r>
      <w:r w:rsidRPr="00160290">
        <w:t xml:space="preserve"> and </w:t>
      </w:r>
      <w:r w:rsidR="003A7FBC" w:rsidRPr="00160290">
        <w:t>cultural risks) to the public from unqualified people carrying out regulated building work or carrying out substandard work</w:t>
      </w:r>
    </w:p>
    <w:p w:rsidR="003A7FBC" w:rsidRPr="00160290" w:rsidRDefault="00C91615" w:rsidP="00332796">
      <w:pPr>
        <w:pStyle w:val="Dotpoint"/>
      </w:pPr>
      <w:r w:rsidRPr="00160290">
        <w:t xml:space="preserve">providing </w:t>
      </w:r>
      <w:r w:rsidR="003A7FBC" w:rsidRPr="00160290">
        <w:t>better information to consumers</w:t>
      </w:r>
      <w:r w:rsidRPr="00160290">
        <w:t xml:space="preserve"> about </w:t>
      </w:r>
      <w:r w:rsidR="003A7FBC" w:rsidRPr="00160290">
        <w:t>the minimum standard of knowledge, skills and experience they can expect of a particular category or class of registered building practitioner</w:t>
      </w:r>
    </w:p>
    <w:p w:rsidR="002129C8" w:rsidRPr="00160290" w:rsidRDefault="00C91615" w:rsidP="00332796">
      <w:pPr>
        <w:pStyle w:val="Dotpointlast"/>
      </w:pPr>
      <w:r w:rsidRPr="00160290">
        <w:t xml:space="preserve">providing </w:t>
      </w:r>
      <w:r w:rsidR="003A7FBC" w:rsidRPr="00160290">
        <w:t xml:space="preserve">information to potential building practitioners, </w:t>
      </w:r>
      <w:r w:rsidRPr="00160290">
        <w:t xml:space="preserve">as </w:t>
      </w:r>
      <w:r w:rsidR="003A7FBC" w:rsidRPr="00160290">
        <w:t>a reference point from which to review their knowledge and skills to identify their training needs and career pathways in the building industry.</w:t>
      </w:r>
    </w:p>
    <w:p w:rsidR="002129C8" w:rsidRPr="00160290" w:rsidRDefault="00C91615" w:rsidP="00332796">
      <w:r w:rsidRPr="00160290">
        <w:t xml:space="preserve">RIS </w:t>
      </w:r>
      <w:r w:rsidR="000E2924">
        <w:t xml:space="preserve">Part </w:t>
      </w:r>
      <w:r w:rsidR="00B257D3">
        <w:t>A</w:t>
      </w:r>
      <w:r w:rsidR="00B257D3" w:rsidRPr="00160290">
        <w:t xml:space="preserve"> provides</w:t>
      </w:r>
      <w:r w:rsidR="003A7FBC" w:rsidRPr="00160290">
        <w:t xml:space="preserve"> further information </w:t>
      </w:r>
      <w:r w:rsidRPr="00160290">
        <w:t xml:space="preserve">about </w:t>
      </w:r>
      <w:r w:rsidR="003A7FBC" w:rsidRPr="00160290">
        <w:t xml:space="preserve">the underlying problem the </w:t>
      </w:r>
      <w:r w:rsidR="00160290">
        <w:t>R</w:t>
      </w:r>
      <w:r w:rsidR="003A7FBC" w:rsidRPr="00160290">
        <w:t>egulation of building practitioners intends to address.</w:t>
      </w:r>
    </w:p>
    <w:p w:rsidR="003A7FBC" w:rsidRPr="00160290" w:rsidRDefault="00F71F1A" w:rsidP="00357F56">
      <w:pPr>
        <w:pStyle w:val="Heading2"/>
      </w:pPr>
      <w:bookmarkStart w:id="13" w:name="_Toc481502166"/>
      <w:r>
        <w:t>C</w:t>
      </w:r>
      <w:r w:rsidR="00D81477">
        <w:t>1.2</w:t>
      </w:r>
      <w:r w:rsidR="00D81477">
        <w:tab/>
      </w:r>
      <w:r w:rsidR="003A7FBC" w:rsidRPr="00160290">
        <w:t>Options</w:t>
      </w:r>
      <w:bookmarkEnd w:id="13"/>
    </w:p>
    <w:p w:rsidR="003A7FBC" w:rsidRPr="00011DF3" w:rsidRDefault="003A7FBC" w:rsidP="00332796">
      <w:pPr>
        <w:pStyle w:val="Normalpre-dotpoint"/>
        <w:rPr>
          <w:rFonts w:eastAsiaTheme="minorHAnsi"/>
        </w:rPr>
      </w:pPr>
      <w:r w:rsidRPr="00160290">
        <w:rPr>
          <w:rFonts w:eastAsiaTheme="minorHAnsi"/>
        </w:rPr>
        <w:t xml:space="preserve">The department has considered a range of options for building practitioner registration. A description of the </w:t>
      </w:r>
      <w:r w:rsidR="00C91615" w:rsidRPr="00160290">
        <w:rPr>
          <w:rFonts w:eastAsiaTheme="minorHAnsi"/>
        </w:rPr>
        <w:t xml:space="preserve">options and </w:t>
      </w:r>
      <w:r w:rsidRPr="00160290">
        <w:rPr>
          <w:rFonts w:eastAsiaTheme="minorHAnsi"/>
        </w:rPr>
        <w:t>the</w:t>
      </w:r>
      <w:r w:rsidR="00C91615" w:rsidRPr="00160290">
        <w:rPr>
          <w:rFonts w:eastAsiaTheme="minorHAnsi"/>
        </w:rPr>
        <w:t>ir</w:t>
      </w:r>
      <w:r w:rsidRPr="00160290">
        <w:rPr>
          <w:rFonts w:eastAsiaTheme="minorHAnsi"/>
        </w:rPr>
        <w:t xml:space="preserve"> costs and benefits are set out in Chapter </w:t>
      </w:r>
      <w:r w:rsidR="008D3250">
        <w:rPr>
          <w:rFonts w:eastAsiaTheme="minorHAnsi"/>
        </w:rPr>
        <w:t>C</w:t>
      </w:r>
      <w:r w:rsidRPr="00160290">
        <w:rPr>
          <w:rFonts w:eastAsiaTheme="minorHAnsi"/>
        </w:rPr>
        <w:t>3</w:t>
      </w:r>
      <w:r w:rsidR="008D1FCB">
        <w:rPr>
          <w:rFonts w:eastAsiaTheme="minorHAnsi"/>
        </w:rPr>
        <w:t xml:space="preserve"> Cost-benefit analysis</w:t>
      </w:r>
      <w:r w:rsidRPr="00160290">
        <w:rPr>
          <w:rFonts w:eastAsiaTheme="minorHAnsi"/>
        </w:rPr>
        <w:t>.</w:t>
      </w:r>
      <w:r w:rsidR="002129C8" w:rsidRPr="00160290">
        <w:rPr>
          <w:rFonts w:eastAsiaTheme="minorHAnsi"/>
        </w:rPr>
        <w:t xml:space="preserve"> </w:t>
      </w:r>
      <w:r w:rsidRPr="00160290">
        <w:rPr>
          <w:rFonts w:eastAsiaTheme="minorHAnsi"/>
        </w:rPr>
        <w:t xml:space="preserve">The </w:t>
      </w:r>
      <w:r w:rsidR="00C91615" w:rsidRPr="00160290">
        <w:rPr>
          <w:rFonts w:eastAsiaTheme="minorHAnsi"/>
        </w:rPr>
        <w:t>o</w:t>
      </w:r>
      <w:r w:rsidRPr="00160290">
        <w:rPr>
          <w:rFonts w:eastAsiaTheme="minorHAnsi"/>
        </w:rPr>
        <w:t xml:space="preserve">ptions </w:t>
      </w:r>
      <w:r w:rsidR="00D3125B" w:rsidRPr="001623C3">
        <w:rPr>
          <w:rFonts w:eastAsiaTheme="minorHAnsi"/>
        </w:rPr>
        <w:t>considered are:</w:t>
      </w:r>
    </w:p>
    <w:p w:rsidR="003A7FBC" w:rsidRPr="00160290" w:rsidRDefault="008D3250" w:rsidP="008D3250">
      <w:pPr>
        <w:pStyle w:val="Dotpoint"/>
      </w:pPr>
      <w:r>
        <w:t>P</w:t>
      </w:r>
      <w:r w:rsidR="00D3125B" w:rsidRPr="00D3125B">
        <w:t>rescribed qualifications and experience (</w:t>
      </w:r>
      <w:r w:rsidR="000E2924">
        <w:t>reg</w:t>
      </w:r>
      <w:r w:rsidR="00D3125B" w:rsidRPr="00D3125B">
        <w:t>1503)</w:t>
      </w:r>
    </w:p>
    <w:p w:rsidR="003A7FBC" w:rsidRPr="00160290" w:rsidRDefault="008D3250" w:rsidP="008D3250">
      <w:pPr>
        <w:pStyle w:val="Dotpoint"/>
        <w:numPr>
          <w:ilvl w:val="1"/>
          <w:numId w:val="58"/>
        </w:numPr>
      </w:pPr>
      <w:r>
        <w:t xml:space="preserve">Option 1 – </w:t>
      </w:r>
      <w:r w:rsidR="00D3125B" w:rsidRPr="00D3125B">
        <w:t xml:space="preserve">Remake </w:t>
      </w:r>
      <w:r w:rsidR="000E2924">
        <w:t>reg</w:t>
      </w:r>
      <w:r w:rsidR="00D3125B" w:rsidRPr="00D3125B">
        <w:t>1503</w:t>
      </w:r>
    </w:p>
    <w:p w:rsidR="003A7FBC" w:rsidRPr="00160290" w:rsidRDefault="008D3250" w:rsidP="008D3250">
      <w:pPr>
        <w:pStyle w:val="Dotpoint"/>
        <w:numPr>
          <w:ilvl w:val="1"/>
          <w:numId w:val="58"/>
        </w:numPr>
      </w:pPr>
      <w:r>
        <w:t xml:space="preserve">Option 1.1 – </w:t>
      </w:r>
      <w:r w:rsidR="00D3125B" w:rsidRPr="00D3125B">
        <w:t xml:space="preserve">Remove the requirement for experience to be demonstrated to the satisfaction of </w:t>
      </w:r>
      <w:r w:rsidR="000E2924">
        <w:t>VBA</w:t>
      </w:r>
    </w:p>
    <w:p w:rsidR="003A7FBC" w:rsidRPr="008D3250" w:rsidRDefault="00D3125B" w:rsidP="008D3250">
      <w:pPr>
        <w:pStyle w:val="Dotpoint"/>
      </w:pPr>
      <w:r w:rsidRPr="008D3250">
        <w:t>Prescribed information related to character (</w:t>
      </w:r>
      <w:r w:rsidR="000E2924">
        <w:t>reg</w:t>
      </w:r>
      <w:r w:rsidRPr="008D3250">
        <w:t>1509)</w:t>
      </w:r>
    </w:p>
    <w:p w:rsidR="003A7FBC" w:rsidRPr="00160290" w:rsidRDefault="008D3250" w:rsidP="008D3250">
      <w:pPr>
        <w:pStyle w:val="Dotpoint"/>
        <w:numPr>
          <w:ilvl w:val="1"/>
          <w:numId w:val="58"/>
        </w:numPr>
      </w:pPr>
      <w:r>
        <w:t xml:space="preserve">Option </w:t>
      </w:r>
      <w:r w:rsidR="00D3125B" w:rsidRPr="00D3125B">
        <w:t>2</w:t>
      </w:r>
      <w:r>
        <w:t xml:space="preserve"> – </w:t>
      </w:r>
      <w:r w:rsidR="00D3125B" w:rsidRPr="00D3125B">
        <w:t xml:space="preserve">Remake </w:t>
      </w:r>
      <w:r w:rsidR="000E2924">
        <w:t>reg</w:t>
      </w:r>
      <w:r w:rsidR="00D3125B" w:rsidRPr="00D3125B">
        <w:t>1509</w:t>
      </w:r>
    </w:p>
    <w:p w:rsidR="003A7FBC" w:rsidRPr="00160290" w:rsidRDefault="008D3250" w:rsidP="008D3250">
      <w:pPr>
        <w:pStyle w:val="Dotpoint"/>
        <w:numPr>
          <w:ilvl w:val="1"/>
          <w:numId w:val="58"/>
        </w:numPr>
      </w:pPr>
      <w:r>
        <w:t xml:space="preserve">Option </w:t>
      </w:r>
      <w:r w:rsidR="00D3125B" w:rsidRPr="00D3125B">
        <w:t>2.1</w:t>
      </w:r>
      <w:r>
        <w:t xml:space="preserve"> – </w:t>
      </w:r>
      <w:r w:rsidR="00D3125B" w:rsidRPr="00D3125B">
        <w:t>Reduce the information required</w:t>
      </w:r>
    </w:p>
    <w:p w:rsidR="003A7FBC" w:rsidRPr="00160290" w:rsidRDefault="008D3250" w:rsidP="008D3250">
      <w:pPr>
        <w:pStyle w:val="Dotpoint"/>
        <w:numPr>
          <w:ilvl w:val="1"/>
          <w:numId w:val="58"/>
        </w:numPr>
      </w:pPr>
      <w:r>
        <w:t xml:space="preserve">Option </w:t>
      </w:r>
      <w:r w:rsidR="00D3125B" w:rsidRPr="00D3125B">
        <w:t>2.2</w:t>
      </w:r>
      <w:r>
        <w:t xml:space="preserve"> – </w:t>
      </w:r>
      <w:r w:rsidR="00D3125B" w:rsidRPr="00D3125B">
        <w:t>Increase the information required</w:t>
      </w:r>
    </w:p>
    <w:p w:rsidR="003A7FBC" w:rsidRPr="008D3250" w:rsidRDefault="00D3125B" w:rsidP="008D3250">
      <w:pPr>
        <w:pStyle w:val="Dotpoint"/>
      </w:pPr>
      <w:r w:rsidRPr="008D3250">
        <w:t>Prescribe professional standards (</w:t>
      </w:r>
      <w:r w:rsidR="000E2924">
        <w:t>reg</w:t>
      </w:r>
      <w:r w:rsidRPr="008D3250">
        <w:t>1502)</w:t>
      </w:r>
    </w:p>
    <w:p w:rsidR="003A7FBC" w:rsidRPr="008D3250" w:rsidRDefault="008D3250" w:rsidP="008D3250">
      <w:pPr>
        <w:pStyle w:val="Dotpoint"/>
        <w:numPr>
          <w:ilvl w:val="1"/>
          <w:numId w:val="58"/>
        </w:numPr>
      </w:pPr>
      <w:r w:rsidRPr="008D3250">
        <w:t xml:space="preserve">Option </w:t>
      </w:r>
      <w:r w:rsidR="00D3125B" w:rsidRPr="008D3250">
        <w:t>3</w:t>
      </w:r>
      <w:r>
        <w:t xml:space="preserve"> – </w:t>
      </w:r>
      <w:r w:rsidR="00D3125B" w:rsidRPr="008D3250">
        <w:t xml:space="preserve">Remake </w:t>
      </w:r>
      <w:r w:rsidR="000E2924">
        <w:t>reg</w:t>
      </w:r>
      <w:r w:rsidR="00D3125B" w:rsidRPr="008D3250">
        <w:t>1502</w:t>
      </w:r>
    </w:p>
    <w:p w:rsidR="003A7FBC" w:rsidRPr="008D3250" w:rsidRDefault="008D3250" w:rsidP="008D3250">
      <w:pPr>
        <w:pStyle w:val="Dotpoint"/>
        <w:numPr>
          <w:ilvl w:val="1"/>
          <w:numId w:val="58"/>
        </w:numPr>
      </w:pPr>
      <w:r w:rsidRPr="008D3250">
        <w:t xml:space="preserve">Option </w:t>
      </w:r>
      <w:r w:rsidR="00D3125B" w:rsidRPr="008D3250">
        <w:t>3.1</w:t>
      </w:r>
      <w:r>
        <w:t xml:space="preserve"> – </w:t>
      </w:r>
      <w:r w:rsidR="00D3125B" w:rsidRPr="008D3250">
        <w:t xml:space="preserve">Remake only </w:t>
      </w:r>
      <w:proofErr w:type="spellStart"/>
      <w:r w:rsidR="000E2924">
        <w:t>pt</w:t>
      </w:r>
      <w:proofErr w:type="spellEnd"/>
      <w:r w:rsidR="00D3125B" w:rsidRPr="008D3250">
        <w:t xml:space="preserve">(a) of </w:t>
      </w:r>
      <w:r w:rsidR="000E2924">
        <w:t>reg</w:t>
      </w:r>
      <w:r w:rsidR="00D3125B" w:rsidRPr="008D3250">
        <w:t>1502</w:t>
      </w:r>
    </w:p>
    <w:p w:rsidR="003A7FBC" w:rsidRPr="008D3250" w:rsidRDefault="00D3125B" w:rsidP="008D3250">
      <w:pPr>
        <w:pStyle w:val="Dotpoint"/>
      </w:pPr>
      <w:r w:rsidRPr="008D3250">
        <w:t xml:space="preserve">Period during which a </w:t>
      </w:r>
      <w:r w:rsidR="00010CE1">
        <w:t>PBS</w:t>
      </w:r>
      <w:r w:rsidRPr="008D3250">
        <w:t xml:space="preserve"> cannot act</w:t>
      </w:r>
    </w:p>
    <w:p w:rsidR="003A7FBC" w:rsidRPr="008D3250" w:rsidRDefault="008D3250" w:rsidP="008D3250">
      <w:pPr>
        <w:pStyle w:val="Dotpoint"/>
        <w:numPr>
          <w:ilvl w:val="1"/>
          <w:numId w:val="58"/>
        </w:numPr>
      </w:pPr>
      <w:r w:rsidRPr="008D3250">
        <w:t xml:space="preserve">Option </w:t>
      </w:r>
      <w:r w:rsidR="00D3125B" w:rsidRPr="008D3250">
        <w:t>4</w:t>
      </w:r>
      <w:r>
        <w:t xml:space="preserve"> – </w:t>
      </w:r>
      <w:r w:rsidR="00D3125B" w:rsidRPr="008D3250">
        <w:t xml:space="preserve">Remake </w:t>
      </w:r>
      <w:r w:rsidR="000E2924">
        <w:t>reg</w:t>
      </w:r>
      <w:r w:rsidR="00D3125B" w:rsidRPr="008D3250">
        <w:t>1504</w:t>
      </w:r>
    </w:p>
    <w:p w:rsidR="003A7FBC" w:rsidRPr="008D3250" w:rsidRDefault="008D3250" w:rsidP="008D3250">
      <w:pPr>
        <w:pStyle w:val="Dotpoint"/>
        <w:numPr>
          <w:ilvl w:val="1"/>
          <w:numId w:val="58"/>
        </w:numPr>
      </w:pPr>
      <w:r w:rsidRPr="008D3250">
        <w:t xml:space="preserve">Option </w:t>
      </w:r>
      <w:r>
        <w:t>4.1 –</w:t>
      </w:r>
      <w:r w:rsidR="004028EE">
        <w:t xml:space="preserve"> </w:t>
      </w:r>
      <w:r>
        <w:t>R</w:t>
      </w:r>
      <w:r w:rsidR="00D3125B" w:rsidRPr="008D3250">
        <w:t>educe the prescribed period to 6 months</w:t>
      </w:r>
    </w:p>
    <w:p w:rsidR="003A7FBC" w:rsidRPr="008D3250" w:rsidRDefault="008D3250" w:rsidP="008D3250">
      <w:pPr>
        <w:pStyle w:val="Dotpoint"/>
        <w:numPr>
          <w:ilvl w:val="1"/>
          <w:numId w:val="58"/>
        </w:numPr>
      </w:pPr>
      <w:r w:rsidRPr="008D3250">
        <w:t xml:space="preserve">Option </w:t>
      </w:r>
      <w:r w:rsidR="00D3125B" w:rsidRPr="008D3250">
        <w:t>4.2</w:t>
      </w:r>
      <w:r>
        <w:t xml:space="preserve"> – </w:t>
      </w:r>
      <w:r w:rsidR="00D3125B" w:rsidRPr="008D3250">
        <w:t>Increase the prescribed period to 2 years</w:t>
      </w:r>
    </w:p>
    <w:p w:rsidR="003A7FBC" w:rsidRPr="008D3250" w:rsidRDefault="00D3125B" w:rsidP="008D3250">
      <w:pPr>
        <w:pStyle w:val="Dotpoint"/>
      </w:pPr>
      <w:r w:rsidRPr="008D3250">
        <w:t>In relation to other matters</w:t>
      </w:r>
    </w:p>
    <w:p w:rsidR="003A7FBC" w:rsidRPr="008D3250" w:rsidRDefault="008D3250" w:rsidP="008D3250">
      <w:pPr>
        <w:pStyle w:val="Dotpoint"/>
        <w:numPr>
          <w:ilvl w:val="1"/>
          <w:numId w:val="58"/>
        </w:numPr>
      </w:pPr>
      <w:r w:rsidRPr="008D3250">
        <w:t xml:space="preserve">Option </w:t>
      </w:r>
      <w:r w:rsidR="00D3125B" w:rsidRPr="008D3250">
        <w:t>5.1</w:t>
      </w:r>
      <w:r>
        <w:t xml:space="preserve"> – </w:t>
      </w:r>
      <w:r w:rsidR="00D3125B" w:rsidRPr="008D3250">
        <w:t>Prescribe the information to be included in an application for registration</w:t>
      </w:r>
    </w:p>
    <w:p w:rsidR="003A7FBC" w:rsidRPr="008D3250" w:rsidRDefault="008D3250" w:rsidP="008D3250">
      <w:pPr>
        <w:pStyle w:val="Dotpointlast"/>
        <w:numPr>
          <w:ilvl w:val="1"/>
          <w:numId w:val="58"/>
        </w:numPr>
      </w:pPr>
      <w:r w:rsidRPr="008D3250">
        <w:t xml:space="preserve">Option </w:t>
      </w:r>
      <w:r w:rsidR="00D3125B" w:rsidRPr="008D3250">
        <w:t>5.2</w:t>
      </w:r>
      <w:r>
        <w:t xml:space="preserve"> – </w:t>
      </w:r>
      <w:r w:rsidR="00D3125B" w:rsidRPr="008D3250">
        <w:t>Require that applications for registration are completed personally by the applicant</w:t>
      </w:r>
    </w:p>
    <w:p w:rsidR="00011DF3" w:rsidRDefault="00011DF3">
      <w:pPr>
        <w:spacing w:after="0"/>
      </w:pPr>
      <w:r>
        <w:br w:type="page"/>
      </w:r>
    </w:p>
    <w:p w:rsidR="003A7FBC" w:rsidRPr="00160290" w:rsidRDefault="003A7FBC" w:rsidP="00332796">
      <w:pPr>
        <w:pStyle w:val="Normalpre-dotpoint"/>
      </w:pPr>
      <w:r w:rsidRPr="00160290">
        <w:lastRenderedPageBreak/>
        <w:t>The range of options considered in this RIS is limited to the remaking of current Regulations, with some minor variations also considered. In prepar</w:t>
      </w:r>
      <w:r w:rsidR="00C91615" w:rsidRPr="00160290">
        <w:t>ing</w:t>
      </w:r>
      <w:r w:rsidRPr="00160290">
        <w:t xml:space="preserve"> the proposed Regulations, further options were identified that would involve a more substantial shift from the current arrangements</w:t>
      </w:r>
      <w:r w:rsidR="00C91615" w:rsidRPr="00160290">
        <w:t>. T</w:t>
      </w:r>
      <w:r w:rsidRPr="00160290">
        <w:t>hese included:</w:t>
      </w:r>
    </w:p>
    <w:p w:rsidR="003A7FBC" w:rsidRPr="00160290" w:rsidRDefault="00C91615" w:rsidP="00332796">
      <w:pPr>
        <w:pStyle w:val="Dotpoint"/>
      </w:pPr>
      <w:r w:rsidRPr="00160290">
        <w:t>t</w:t>
      </w:r>
      <w:r w:rsidR="003A7FBC" w:rsidRPr="00160290">
        <w:t xml:space="preserve">o introduce into the Regulations specific </w:t>
      </w:r>
      <w:r w:rsidR="00160290" w:rsidRPr="00160290">
        <w:t>sub</w:t>
      </w:r>
      <w:r w:rsidR="003A7FBC" w:rsidRPr="00160290">
        <w:t>categories within the ‘limited’ builder classes</w:t>
      </w:r>
      <w:r w:rsidRPr="00160290">
        <w:t>; t</w:t>
      </w:r>
      <w:r w:rsidR="003A7FBC" w:rsidRPr="00160290">
        <w:t xml:space="preserve">his would formalise administrative arrangements already used by </w:t>
      </w:r>
      <w:r w:rsidR="000E2924">
        <w:t>VBA</w:t>
      </w:r>
      <w:r w:rsidRPr="00160290">
        <w:t xml:space="preserve"> </w:t>
      </w:r>
      <w:r w:rsidR="003A7FBC" w:rsidRPr="00160290">
        <w:t xml:space="preserve">and be the basis for defining the exact scope of works allowed under each </w:t>
      </w:r>
      <w:r w:rsidR="00160290" w:rsidRPr="00160290">
        <w:t>sub</w:t>
      </w:r>
      <w:r w:rsidR="003A7FBC" w:rsidRPr="00160290">
        <w:t>category</w:t>
      </w:r>
      <w:r w:rsidRPr="00160290">
        <w:t xml:space="preserve">, which </w:t>
      </w:r>
      <w:r w:rsidR="003A7FBC" w:rsidRPr="00160290">
        <w:t>would improve consistency across registered practitioners and allow consumers to easily confirm what work a practitioner is allowed to do</w:t>
      </w:r>
    </w:p>
    <w:p w:rsidR="003A7FBC" w:rsidRPr="00160290" w:rsidRDefault="00C91615" w:rsidP="00332796">
      <w:pPr>
        <w:pStyle w:val="Dotpointlast"/>
      </w:pPr>
      <w:r w:rsidRPr="00160290">
        <w:t>b</w:t>
      </w:r>
      <w:r w:rsidR="003A7FBC" w:rsidRPr="00160290">
        <w:t xml:space="preserve">ased on this prescribing </w:t>
      </w:r>
      <w:r w:rsidRPr="00160290">
        <w:t xml:space="preserve">of </w:t>
      </w:r>
      <w:r w:rsidR="003A7FBC" w:rsidRPr="00160290">
        <w:t xml:space="preserve">allowed scopes of work, </w:t>
      </w:r>
      <w:r w:rsidRPr="00160290">
        <w:t xml:space="preserve">establish </w:t>
      </w:r>
      <w:r w:rsidR="003A7FBC" w:rsidRPr="00160290">
        <w:t>a more</w:t>
      </w:r>
      <w:r w:rsidRPr="00160290">
        <w:t>-</w:t>
      </w:r>
      <w:r w:rsidR="003A7FBC" w:rsidRPr="00160290">
        <w:t>objective basis for defining what experiences are required to be eligible for registration in each category</w:t>
      </w:r>
      <w:r w:rsidRPr="00160290">
        <w:t xml:space="preserve">, which </w:t>
      </w:r>
      <w:r w:rsidR="003A7FBC" w:rsidRPr="00160290">
        <w:t>would improve certainty for practitioners and improve transparency of the assessment process.</w:t>
      </w:r>
    </w:p>
    <w:p w:rsidR="002129C8" w:rsidRPr="00160290" w:rsidRDefault="003A7FBC" w:rsidP="00F7154D">
      <w:r w:rsidRPr="00160290">
        <w:t xml:space="preserve">As described in </w:t>
      </w:r>
      <w:r w:rsidR="000700D8" w:rsidRPr="001623C3">
        <w:t>'</w:t>
      </w:r>
      <w:r w:rsidR="00FC6221" w:rsidRPr="00011DF3">
        <w:t>Summary'</w:t>
      </w:r>
      <w:r w:rsidRPr="001623C3">
        <w:t>, the</w:t>
      </w:r>
      <w:r w:rsidRPr="00160290">
        <w:t xml:space="preserve"> </w:t>
      </w:r>
      <w:r w:rsidR="00BE6DEA" w:rsidRPr="00160290">
        <w:t>department</w:t>
      </w:r>
      <w:r w:rsidRPr="00160290">
        <w:t xml:space="preserve"> intends to assess the merits of adopting these options </w:t>
      </w:r>
      <w:r w:rsidR="00BE6DEA" w:rsidRPr="00160290">
        <w:t xml:space="preserve">through </w:t>
      </w:r>
      <w:r w:rsidRPr="00160290">
        <w:t xml:space="preserve">a separate process. This will include considering new classes of registration, how best to incorporate the subcategories and scope of work in the Regulations (which would be most appropriate to include to best reflect the risks associated with the work undertaken) and any required transitional measures to a new structure. The </w:t>
      </w:r>
      <w:r w:rsidR="00BE6DEA" w:rsidRPr="00160290">
        <w:t>department</w:t>
      </w:r>
      <w:r w:rsidRPr="00160290">
        <w:t xml:space="preserve"> anticipates any changes </w:t>
      </w:r>
      <w:r w:rsidR="00AC2C94">
        <w:t>that</w:t>
      </w:r>
      <w:r w:rsidRPr="00160290">
        <w:t xml:space="preserve"> are warranted will commence on 1 July 2017</w:t>
      </w:r>
      <w:r w:rsidR="00BE6DEA" w:rsidRPr="00160290">
        <w:t>,</w:t>
      </w:r>
      <w:r w:rsidRPr="00160290">
        <w:t xml:space="preserve"> to correspond with consequential legislative amendments to the Act. Additional changes</w:t>
      </w:r>
      <w:r w:rsidR="00BE6DEA" w:rsidRPr="00160290">
        <w:t xml:space="preserve"> (</w:t>
      </w:r>
      <w:r w:rsidRPr="00160290">
        <w:t>such as any new classes of registration suggested through this process</w:t>
      </w:r>
      <w:r w:rsidR="00BE6DEA" w:rsidRPr="00160290">
        <w:t>)</w:t>
      </w:r>
      <w:r w:rsidRPr="00160290">
        <w:t xml:space="preserve"> will be considered as part of the department’s midterm evaluation.</w:t>
      </w:r>
    </w:p>
    <w:p w:rsidR="002129C8" w:rsidRPr="00160290" w:rsidRDefault="00D3125B" w:rsidP="0032260B">
      <w:pPr>
        <w:pStyle w:val="CQuestion"/>
        <w:rPr>
          <w:b/>
        </w:rPr>
      </w:pPr>
      <w:r w:rsidRPr="00D3125B">
        <w:rPr>
          <w:b/>
        </w:rPr>
        <w:t>Consultation question</w:t>
      </w:r>
      <w:r w:rsidR="0033153B">
        <w:rPr>
          <w:b/>
        </w:rPr>
        <w:t>s</w:t>
      </w:r>
    </w:p>
    <w:p w:rsidR="002129C8" w:rsidRPr="00160290" w:rsidRDefault="0032260B" w:rsidP="0032260B">
      <w:pPr>
        <w:pStyle w:val="CQuestion"/>
      </w:pPr>
      <w:r w:rsidRPr="00160290">
        <w:t xml:space="preserve">Is there an industry need for any categories or classes of registration which are not included in the current </w:t>
      </w:r>
      <w:r w:rsidR="00160290">
        <w:t>R</w:t>
      </w:r>
      <w:r w:rsidRPr="00160290">
        <w:t>egulations?</w:t>
      </w:r>
    </w:p>
    <w:p w:rsidR="0032260B" w:rsidRPr="00160290" w:rsidRDefault="0032260B" w:rsidP="0032260B">
      <w:pPr>
        <w:pStyle w:val="CQuestion"/>
      </w:pPr>
      <w:r w:rsidRPr="00160290">
        <w:t>Why</w:t>
      </w:r>
      <w:r w:rsidR="00BE6DEA" w:rsidRPr="00160290">
        <w:t xml:space="preserve"> or </w:t>
      </w:r>
      <w:r w:rsidRPr="00160290">
        <w:t>why not? What are the potential costs and benefits of changing categories and classes of registration?</w:t>
      </w:r>
      <w:r w:rsidR="002129C8" w:rsidRPr="00160290">
        <w:t xml:space="preserve"> </w:t>
      </w:r>
      <w:r w:rsidRPr="00160290">
        <w:t xml:space="preserve">For example, is there any merit to registering practitioners in the </w:t>
      </w:r>
      <w:bookmarkStart w:id="14" w:name="OLE_LINK1"/>
      <w:bookmarkStart w:id="15" w:name="OLE_LINK2"/>
      <w:r w:rsidR="00BC1922">
        <w:t>d</w:t>
      </w:r>
      <w:r w:rsidRPr="00160290">
        <w:t xml:space="preserve">omestic </w:t>
      </w:r>
      <w:r w:rsidR="00BC1922">
        <w:t>b</w:t>
      </w:r>
      <w:r w:rsidRPr="00160290">
        <w:t>uilder (</w:t>
      </w:r>
      <w:r w:rsidR="00BC1922">
        <w:t>u</w:t>
      </w:r>
      <w:r w:rsidRPr="00160290">
        <w:t xml:space="preserve">nlimited) </w:t>
      </w:r>
      <w:bookmarkEnd w:id="14"/>
      <w:bookmarkEnd w:id="15"/>
      <w:r w:rsidRPr="00160290">
        <w:t>class</w:t>
      </w:r>
      <w:r w:rsidR="00BE6DEA" w:rsidRPr="00160290">
        <w:t>,</w:t>
      </w:r>
      <w:r w:rsidRPr="00160290">
        <w:t xml:space="preserve"> according to building height?</w:t>
      </w:r>
    </w:p>
    <w:p w:rsidR="0032260B" w:rsidRPr="00160290" w:rsidRDefault="0032260B" w:rsidP="00F7154D">
      <w:pPr>
        <w:rPr>
          <w:rFonts w:eastAsiaTheme="minorHAnsi"/>
        </w:rPr>
      </w:pPr>
    </w:p>
    <w:p w:rsidR="00BE6DEA" w:rsidRPr="00160290" w:rsidRDefault="00BE6DEA">
      <w:pPr>
        <w:spacing w:after="0"/>
        <w:rPr>
          <w:b/>
          <w:bCs/>
          <w:color w:val="201547" w:themeColor="accent2"/>
          <w:kern w:val="32"/>
          <w:sz w:val="40"/>
          <w:szCs w:val="32"/>
        </w:rPr>
      </w:pPr>
      <w:bookmarkStart w:id="16" w:name="_Toc475087231"/>
      <w:r w:rsidRPr="00160290">
        <w:br w:type="page"/>
      </w:r>
    </w:p>
    <w:p w:rsidR="0033590D" w:rsidRDefault="00F71F1A">
      <w:pPr>
        <w:pStyle w:val="Heading1"/>
      </w:pPr>
      <w:bookmarkStart w:id="17" w:name="_Toc481502167"/>
      <w:r>
        <w:lastRenderedPageBreak/>
        <w:t>C</w:t>
      </w:r>
      <w:r w:rsidR="00D81477">
        <w:t>2</w:t>
      </w:r>
      <w:r w:rsidR="00D81477">
        <w:tab/>
      </w:r>
      <w:r>
        <w:tab/>
      </w:r>
      <w:r w:rsidR="003A7FBC" w:rsidRPr="00160290">
        <w:t>Issues with building practitioners</w:t>
      </w:r>
      <w:bookmarkEnd w:id="16"/>
      <w:bookmarkEnd w:id="17"/>
    </w:p>
    <w:p w:rsidR="002129C8" w:rsidRPr="00160290" w:rsidRDefault="003A7FBC" w:rsidP="00332796">
      <w:r w:rsidRPr="00160290">
        <w:t>In Victoria</w:t>
      </w:r>
      <w:r w:rsidR="00BE6DEA" w:rsidRPr="00160290">
        <w:t>,</w:t>
      </w:r>
      <w:r w:rsidRPr="00160290">
        <w:t xml:space="preserve"> there are two main avenues for consumers of domestic building work to lodge complaints against practitioners</w:t>
      </w:r>
      <w:r w:rsidR="00BE6DEA" w:rsidRPr="00160290">
        <w:t xml:space="preserve">, apart </w:t>
      </w:r>
      <w:r w:rsidRPr="00160290">
        <w:t xml:space="preserve">from engaging in a dispute or legal action as detailed in the previous </w:t>
      </w:r>
      <w:r w:rsidR="006461A8" w:rsidRPr="00160290">
        <w:t>chapter</w:t>
      </w:r>
      <w:r w:rsidRPr="00160290">
        <w:t>.</w:t>
      </w:r>
    </w:p>
    <w:p w:rsidR="003A7FBC" w:rsidRPr="00160290" w:rsidRDefault="003A7FBC" w:rsidP="00332796">
      <w:r w:rsidRPr="00160290">
        <w:t xml:space="preserve">The first is </w:t>
      </w:r>
      <w:r w:rsidR="00BE6DEA" w:rsidRPr="00160290">
        <w:t xml:space="preserve">through </w:t>
      </w:r>
      <w:r w:rsidRPr="00160290">
        <w:t>Consumer Affairs Victoria (CAV),</w:t>
      </w:r>
      <w:r w:rsidR="00BE6DEA" w:rsidRPr="00160290">
        <w:t xml:space="preserve"> which </w:t>
      </w:r>
      <w:r w:rsidRPr="00160290">
        <w:t>can hear complaints and offer free advice and conciliation services.</w:t>
      </w:r>
      <w:r w:rsidRPr="00160290">
        <w:rPr>
          <w:rStyle w:val="FootnoteReference"/>
          <w:rFonts w:asciiTheme="majorHAnsi" w:hAnsiTheme="majorHAnsi"/>
        </w:rPr>
        <w:footnoteReference w:id="4"/>
      </w:r>
      <w:r w:rsidRPr="00160290">
        <w:t xml:space="preserve"> In </w:t>
      </w:r>
      <w:r w:rsidR="002129C8" w:rsidRPr="00160290">
        <w:t>2013–14</w:t>
      </w:r>
      <w:r w:rsidR="000700D8">
        <w:t>,</w:t>
      </w:r>
      <w:r w:rsidRPr="00160290">
        <w:t xml:space="preserve"> CAV assessed 2,683 building complaints, of which 1,833 were subject to conciliation</w:t>
      </w:r>
      <w:r w:rsidR="00BC1922">
        <w:t>.</w:t>
      </w:r>
      <w:r w:rsidRPr="00160290">
        <w:rPr>
          <w:rStyle w:val="FootnoteReference"/>
          <w:rFonts w:asciiTheme="majorHAnsi" w:hAnsiTheme="majorHAnsi"/>
        </w:rPr>
        <w:footnoteReference w:id="5"/>
      </w:r>
      <w:r w:rsidRPr="00160290">
        <w:t xml:space="preserve"> </w:t>
      </w:r>
      <w:r w:rsidR="000700D8">
        <w:t xml:space="preserve">CAV </w:t>
      </w:r>
      <w:r w:rsidRPr="00160290">
        <w:t xml:space="preserve">is likely to only be able to help conciliate minor complaints and refer all other consumers to either legal action (covered in </w:t>
      </w:r>
      <w:r w:rsidR="000700D8">
        <w:t xml:space="preserve">the </w:t>
      </w:r>
      <w:r w:rsidRPr="00160290">
        <w:t xml:space="preserve">previous </w:t>
      </w:r>
      <w:r w:rsidR="006461A8" w:rsidRPr="00160290">
        <w:t>chapter</w:t>
      </w:r>
      <w:r w:rsidRPr="00160290">
        <w:t xml:space="preserve">) or to </w:t>
      </w:r>
      <w:r w:rsidR="000E2924">
        <w:t>VBA</w:t>
      </w:r>
      <w:r w:rsidRPr="00160290">
        <w:t xml:space="preserve"> as appropriate. </w:t>
      </w:r>
      <w:r w:rsidR="006C108D">
        <w:t>CAV</w:t>
      </w:r>
      <w:r w:rsidRPr="00160290">
        <w:t xml:space="preserve"> has no power to compel parties to a domestic building dispute to undertake conciliation. From 2017 a new dispute resolution service will provide for mandatory conciliation of disputes between consumers and builders.</w:t>
      </w:r>
    </w:p>
    <w:p w:rsidR="003A7FBC" w:rsidRPr="00160290" w:rsidRDefault="000E2924" w:rsidP="00332796">
      <w:r>
        <w:t>VBA</w:t>
      </w:r>
      <w:r w:rsidR="003A7FBC" w:rsidRPr="00160290">
        <w:t xml:space="preserve"> is the second main avenue for complaints and has a broader scope to investigate and otherwise deal with complaints. After a complaint has been investigated and found to be substantiated, </w:t>
      </w:r>
      <w:r>
        <w:t>VBA</w:t>
      </w:r>
      <w:r w:rsidR="003A7FBC" w:rsidRPr="00160290">
        <w:t xml:space="preserve"> can issue a notice of complaint with no further action, refer the practitioner for disciplinary action or prosecute the practitioner.</w:t>
      </w:r>
      <w:r w:rsidR="003A7FBC" w:rsidRPr="00160290">
        <w:rPr>
          <w:rStyle w:val="FootnoteReference"/>
          <w:rFonts w:asciiTheme="majorHAnsi" w:hAnsiTheme="majorHAnsi"/>
        </w:rPr>
        <w:footnoteReference w:id="6"/>
      </w:r>
      <w:r w:rsidR="003A7FBC" w:rsidRPr="00160290">
        <w:t xml:space="preserve"> In </w:t>
      </w:r>
      <w:r w:rsidR="002129C8" w:rsidRPr="00160290">
        <w:t>2015–16</w:t>
      </w:r>
      <w:r w:rsidR="003A7FBC" w:rsidRPr="00160290">
        <w:t xml:space="preserve">, </w:t>
      </w:r>
      <w:r>
        <w:t>VBA</w:t>
      </w:r>
      <w:r w:rsidR="003A7FBC" w:rsidRPr="00160290">
        <w:t xml:space="preserve"> conducted 405 investigations into building work, down from 464 in 2014-15 and 441 in </w:t>
      </w:r>
      <w:r w:rsidR="002129C8" w:rsidRPr="00160290">
        <w:t>2013–14</w:t>
      </w:r>
      <w:r w:rsidR="003A7FBC" w:rsidRPr="00160290">
        <w:t xml:space="preserve">. In </w:t>
      </w:r>
      <w:r w:rsidR="002129C8" w:rsidRPr="00160290">
        <w:t>2015–16</w:t>
      </w:r>
      <w:r w:rsidR="0062727D">
        <w:t>,</w:t>
      </w:r>
      <w:r w:rsidR="003A7FBC" w:rsidRPr="00160290">
        <w:t xml:space="preserve"> </w:t>
      </w:r>
      <w:r>
        <w:t>VBA</w:t>
      </w:r>
      <w:r w:rsidR="003A7FBC" w:rsidRPr="00160290">
        <w:t xml:space="preserve"> prosecuted 50 practitioners </w:t>
      </w:r>
      <w:r w:rsidR="0062727D">
        <w:t>(</w:t>
      </w:r>
      <w:r w:rsidR="003A7FBC" w:rsidRPr="00160290">
        <w:t>up from 35 in 2014-15</w:t>
      </w:r>
      <w:r w:rsidR="0062727D">
        <w:t>)</w:t>
      </w:r>
      <w:r w:rsidR="003A7FBC" w:rsidRPr="00160290">
        <w:t xml:space="preserve"> and the </w:t>
      </w:r>
      <w:r w:rsidR="006C108D">
        <w:t>BPB</w:t>
      </w:r>
      <w:r w:rsidR="003A7FBC" w:rsidRPr="00160290">
        <w:t xml:space="preserve"> held 91 disciplinary hearings.</w:t>
      </w:r>
      <w:r w:rsidR="003A7FBC" w:rsidRPr="00160290">
        <w:rPr>
          <w:rStyle w:val="FootnoteReference"/>
          <w:rFonts w:asciiTheme="majorHAnsi" w:hAnsiTheme="majorHAnsi"/>
        </w:rPr>
        <w:footnoteReference w:id="7"/>
      </w:r>
    </w:p>
    <w:p w:rsidR="003A7FBC" w:rsidRDefault="003A7FBC" w:rsidP="00332796">
      <w:r w:rsidRPr="00160290">
        <w:t xml:space="preserve">As of September 2016, </w:t>
      </w:r>
      <w:r w:rsidR="000E2924">
        <w:t>VBA</w:t>
      </w:r>
      <w:r w:rsidRPr="00160290">
        <w:t xml:space="preserve"> ha</w:t>
      </w:r>
      <w:r w:rsidR="0062727D">
        <w:t>d</w:t>
      </w:r>
      <w:r w:rsidRPr="00160290">
        <w:t xml:space="preserve"> direct responsibility for practitioner registration and discipline. A new show</w:t>
      </w:r>
      <w:r w:rsidR="0062727D">
        <w:t>-</w:t>
      </w:r>
      <w:r w:rsidRPr="00160290">
        <w:t xml:space="preserve">cause process is in place with provision for internal review and the ability to appeal to </w:t>
      </w:r>
      <w:r w:rsidR="006C108D">
        <w:t>the Victorian Civil &amp; Administrative Tribunal</w:t>
      </w:r>
      <w:r w:rsidRPr="00160290">
        <w:t xml:space="preserve">. The result of any disciplinary action is published on a public register maintained by </w:t>
      </w:r>
      <w:r w:rsidR="000E2924">
        <w:t>VBA</w:t>
      </w:r>
      <w:r w:rsidRPr="00160290">
        <w:t xml:space="preserve"> and accessible by consumers (online at </w:t>
      </w:r>
      <w:r w:rsidR="000E2924">
        <w:t>VBA</w:t>
      </w:r>
      <w:r w:rsidRPr="00160290">
        <w:t xml:space="preserve">’s website). The current register records decisions </w:t>
      </w:r>
      <w:r w:rsidR="006C108D">
        <w:t xml:space="preserve">of the </w:t>
      </w:r>
      <w:r w:rsidR="006C108D" w:rsidRPr="00C6416C">
        <w:t>Building Practitioners Board</w:t>
      </w:r>
      <w:r w:rsidR="006C108D" w:rsidRPr="00160290">
        <w:t xml:space="preserve"> </w:t>
      </w:r>
      <w:r w:rsidR="006C108D">
        <w:t xml:space="preserve">(BPB) </w:t>
      </w:r>
      <w:r w:rsidRPr="00160290">
        <w:t xml:space="preserve">from 1 July 2009 to 21 May 2015 and documents a total of 403 decisions, an average of 67 </w:t>
      </w:r>
      <w:r w:rsidR="0062727D">
        <w:t xml:space="preserve">a </w:t>
      </w:r>
      <w:r w:rsidRPr="00160290">
        <w:t xml:space="preserve">year or six </w:t>
      </w:r>
      <w:r w:rsidR="0062727D">
        <w:t xml:space="preserve">a </w:t>
      </w:r>
      <w:r w:rsidRPr="00160290">
        <w:t>month.</w:t>
      </w:r>
      <w:r w:rsidRPr="00160290">
        <w:rPr>
          <w:rStyle w:val="FootnoteReference"/>
          <w:rFonts w:asciiTheme="majorHAnsi" w:hAnsiTheme="majorHAnsi"/>
        </w:rPr>
        <w:footnoteReference w:id="8"/>
      </w:r>
      <w:r w:rsidRPr="00160290">
        <w:t xml:space="preserve"> In </w:t>
      </w:r>
      <w:r w:rsidR="002129C8" w:rsidRPr="00160290">
        <w:t>2013–14</w:t>
      </w:r>
      <w:r w:rsidRPr="00160290">
        <w:t>, 47 disciplinary action decisions were recorded, down 50</w:t>
      </w:r>
      <w:r w:rsidR="0062727D">
        <w:t>%</w:t>
      </w:r>
      <w:r w:rsidRPr="00160290">
        <w:t xml:space="preserve"> from 94 in </w:t>
      </w:r>
      <w:r w:rsidR="002129C8" w:rsidRPr="00160290">
        <w:t>2012–13</w:t>
      </w:r>
      <w:r w:rsidRPr="00160290">
        <w:t>.</w:t>
      </w:r>
    </w:p>
    <w:p w:rsidR="003A7FBC" w:rsidRPr="00357F56" w:rsidRDefault="00F71F1A" w:rsidP="00357F56">
      <w:pPr>
        <w:pStyle w:val="Heading2"/>
      </w:pPr>
      <w:bookmarkStart w:id="18" w:name="_Toc481502168"/>
      <w:r w:rsidRPr="00357F56">
        <w:t>C</w:t>
      </w:r>
      <w:r w:rsidR="00D81477" w:rsidRPr="00357F56">
        <w:t>2.1</w:t>
      </w:r>
      <w:r w:rsidR="00D81477" w:rsidRPr="00357F56">
        <w:tab/>
      </w:r>
      <w:r w:rsidR="003A7FBC" w:rsidRPr="00357F56">
        <w:t>Size of the problem</w:t>
      </w:r>
      <w:bookmarkEnd w:id="18"/>
    </w:p>
    <w:p w:rsidR="002129C8" w:rsidRPr="00160290" w:rsidRDefault="003A7FBC" w:rsidP="00FF7CA7">
      <w:r w:rsidRPr="00160290">
        <w:t>To inform the potential size of the problem, a sample of building surveyors and domestic builders will be discussed</w:t>
      </w:r>
      <w:r w:rsidR="0062727D">
        <w:t>,</w:t>
      </w:r>
      <w:r w:rsidRPr="00160290">
        <w:t xml:space="preserve"> based on information supplied from </w:t>
      </w:r>
      <w:r w:rsidR="000E2924">
        <w:t>VBA</w:t>
      </w:r>
      <w:r w:rsidRPr="00160290">
        <w:t xml:space="preserve"> </w:t>
      </w:r>
      <w:r w:rsidR="00160290" w:rsidRPr="00160290">
        <w:t>about</w:t>
      </w:r>
      <w:r w:rsidRPr="00160290">
        <w:t xml:space="preserve"> disciplinary proceedings for building practitioners between </w:t>
      </w:r>
      <w:r w:rsidR="0062727D">
        <w:t>200</w:t>
      </w:r>
      <w:r w:rsidRPr="00160290">
        <w:t>9</w:t>
      </w:r>
      <w:r w:rsidR="0062727D">
        <w:t>–</w:t>
      </w:r>
      <w:r w:rsidRPr="00160290">
        <w:t>13 (inclusive)</w:t>
      </w:r>
      <w:r w:rsidR="0062727D">
        <w:t>.</w:t>
      </w:r>
      <w:r w:rsidRPr="00160290">
        <w:t xml:space="preserve"> </w:t>
      </w:r>
    </w:p>
    <w:p w:rsidR="000918D7" w:rsidRDefault="00F71F1A" w:rsidP="000918D7">
      <w:pPr>
        <w:pStyle w:val="Heading2"/>
      </w:pPr>
      <w:bookmarkStart w:id="19" w:name="_Toc481502169"/>
      <w:r>
        <w:t>C</w:t>
      </w:r>
      <w:r w:rsidR="00D81477">
        <w:t xml:space="preserve">2.2 </w:t>
      </w:r>
      <w:r w:rsidR="00D81477">
        <w:tab/>
      </w:r>
      <w:r w:rsidR="003A7FBC" w:rsidRPr="00160290">
        <w:t>Domestic builder</w:t>
      </w:r>
      <w:bookmarkEnd w:id="19"/>
    </w:p>
    <w:p w:rsidR="003A7FBC" w:rsidRPr="00160290" w:rsidRDefault="00F71F1A" w:rsidP="00357F56">
      <w:pPr>
        <w:pStyle w:val="Heading3"/>
      </w:pPr>
      <w:bookmarkStart w:id="20" w:name="_Toc481502170"/>
      <w:r>
        <w:t>C</w:t>
      </w:r>
      <w:r w:rsidR="00D81477">
        <w:t>2.2.</w:t>
      </w:r>
      <w:r w:rsidR="00357F56">
        <w:t>1</w:t>
      </w:r>
      <w:r w:rsidR="00357F56">
        <w:tab/>
      </w:r>
      <w:r w:rsidR="003A7FBC" w:rsidRPr="00160290">
        <w:t>Number of domestic builders registered in Victoria</w:t>
      </w:r>
      <w:bookmarkEnd w:id="20"/>
    </w:p>
    <w:p w:rsidR="003A7FBC" w:rsidRPr="00160290" w:rsidRDefault="003A7FBC" w:rsidP="00FF7CA7">
      <w:pPr>
        <w:pStyle w:val="Normalpre-dotpoint"/>
      </w:pPr>
      <w:r w:rsidRPr="00160290">
        <w:t>As of 30 June 2016, there were 15,047</w:t>
      </w:r>
      <w:r w:rsidRPr="00160290">
        <w:rPr>
          <w:rStyle w:val="FootnoteReference"/>
        </w:rPr>
        <w:footnoteReference w:id="9"/>
      </w:r>
      <w:r w:rsidRPr="00160290">
        <w:t xml:space="preserve"> domestic builders registered in Victoria, comprising:</w:t>
      </w:r>
    </w:p>
    <w:p w:rsidR="002129C8" w:rsidRPr="00160290" w:rsidRDefault="003A7FBC" w:rsidP="00FF7CA7">
      <w:pPr>
        <w:pStyle w:val="Dotpoint"/>
      </w:pPr>
      <w:r w:rsidRPr="00160290">
        <w:t>2,660 registered in the category</w:t>
      </w:r>
      <w:r w:rsidR="004A284B">
        <w:t>/class</w:t>
      </w:r>
      <w:r w:rsidRPr="00160290">
        <w:t xml:space="preserve"> of </w:t>
      </w:r>
      <w:r w:rsidR="00BC1922">
        <w:t>d</w:t>
      </w:r>
      <w:r w:rsidRPr="00160290">
        <w:t xml:space="preserve">omestic </w:t>
      </w:r>
      <w:r w:rsidR="00BC1922">
        <w:t>b</w:t>
      </w:r>
      <w:r w:rsidRPr="00160290">
        <w:t>uilder (</w:t>
      </w:r>
      <w:r w:rsidR="00BC1922">
        <w:t>l</w:t>
      </w:r>
      <w:r w:rsidRPr="00160290">
        <w:t>imited)</w:t>
      </w:r>
    </w:p>
    <w:p w:rsidR="003A7FBC" w:rsidRPr="00160290" w:rsidRDefault="003A7FBC" w:rsidP="00FF7CA7">
      <w:pPr>
        <w:pStyle w:val="Dotpoint"/>
      </w:pPr>
      <w:r w:rsidRPr="00160290">
        <w:t>1,082 registered in the category</w:t>
      </w:r>
      <w:r w:rsidR="004A284B">
        <w:t>/class</w:t>
      </w:r>
      <w:r w:rsidRPr="00160290">
        <w:t xml:space="preserve"> of </w:t>
      </w:r>
      <w:r w:rsidR="00BC1922">
        <w:t>d</w:t>
      </w:r>
      <w:r w:rsidRPr="00160290">
        <w:t xml:space="preserve">omestic </w:t>
      </w:r>
      <w:r w:rsidR="00BC1922">
        <w:t>b</w:t>
      </w:r>
      <w:r w:rsidRPr="00160290">
        <w:t>uilder (</w:t>
      </w:r>
      <w:r w:rsidR="00BC1922">
        <w:t>m</w:t>
      </w:r>
      <w:r w:rsidRPr="00160290">
        <w:t>anager)</w:t>
      </w:r>
    </w:p>
    <w:p w:rsidR="002129C8" w:rsidRPr="00160290" w:rsidRDefault="003A7FBC" w:rsidP="00FF7CA7">
      <w:pPr>
        <w:pStyle w:val="Dotpointlast"/>
      </w:pPr>
      <w:r w:rsidRPr="00160290">
        <w:t>11,305 registered in the category</w:t>
      </w:r>
      <w:r w:rsidR="004A284B">
        <w:t>/class</w:t>
      </w:r>
      <w:r w:rsidRPr="00160290">
        <w:t xml:space="preserve"> of </w:t>
      </w:r>
      <w:r w:rsidR="00BC1922">
        <w:t>d</w:t>
      </w:r>
      <w:r w:rsidRPr="00160290">
        <w:t xml:space="preserve">omestic </w:t>
      </w:r>
      <w:r w:rsidR="00BC1922">
        <w:t>b</w:t>
      </w:r>
      <w:r w:rsidRPr="00160290">
        <w:t>uilder (</w:t>
      </w:r>
      <w:r w:rsidR="00BC1922">
        <w:t>u</w:t>
      </w:r>
      <w:r w:rsidRPr="00160290">
        <w:t>nlimited).</w:t>
      </w:r>
      <w:r w:rsidRPr="00160290">
        <w:rPr>
          <w:rStyle w:val="FootnoteReference"/>
        </w:rPr>
        <w:t xml:space="preserve"> </w:t>
      </w:r>
      <w:r w:rsidRPr="00160290">
        <w:rPr>
          <w:rStyle w:val="FootnoteReference"/>
        </w:rPr>
        <w:footnoteReference w:id="10"/>
      </w:r>
    </w:p>
    <w:p w:rsidR="002129C8" w:rsidRPr="00160290" w:rsidRDefault="003A7FBC" w:rsidP="00FF7CA7">
      <w:r w:rsidRPr="00160290">
        <w:lastRenderedPageBreak/>
        <w:t>Of the total number of building practitioners registered in Victoria at 30 June 2016</w:t>
      </w:r>
      <w:r w:rsidR="0062727D">
        <w:t xml:space="preserve"> – </w:t>
      </w:r>
      <w:r w:rsidRPr="00160290">
        <w:t>being 22,377</w:t>
      </w:r>
      <w:r w:rsidRPr="00160290">
        <w:rPr>
          <w:rStyle w:val="FootnoteReference"/>
        </w:rPr>
        <w:footnoteReference w:id="11"/>
      </w:r>
      <w:r w:rsidR="0062727D">
        <w:t xml:space="preserve"> –</w:t>
      </w:r>
      <w:r w:rsidRPr="00160290">
        <w:t xml:space="preserve"> 50%</w:t>
      </w:r>
      <w:r w:rsidR="0062727D">
        <w:t xml:space="preserve"> were </w:t>
      </w:r>
      <w:r w:rsidRPr="00160290">
        <w:t xml:space="preserve">registered in the </w:t>
      </w:r>
      <w:r w:rsidR="004A284B">
        <w:t>category/</w:t>
      </w:r>
      <w:r w:rsidRPr="00160290">
        <w:t xml:space="preserve">class of </w:t>
      </w:r>
      <w:r w:rsidR="00BC1922">
        <w:t>d</w:t>
      </w:r>
      <w:r w:rsidRPr="00160290">
        <w:t xml:space="preserve">omestic </w:t>
      </w:r>
      <w:r w:rsidR="00BC1922">
        <w:t>b</w:t>
      </w:r>
      <w:r w:rsidRPr="00160290">
        <w:t>uilder (</w:t>
      </w:r>
      <w:r w:rsidR="00BC1922">
        <w:t>u</w:t>
      </w:r>
      <w:r w:rsidRPr="00160290">
        <w:t xml:space="preserve">nlimited), 12% in the </w:t>
      </w:r>
      <w:r w:rsidR="004A284B">
        <w:t>category/</w:t>
      </w:r>
      <w:r w:rsidRPr="00160290">
        <w:t xml:space="preserve">class of </w:t>
      </w:r>
      <w:r w:rsidR="00BC1922">
        <w:t>d</w:t>
      </w:r>
      <w:r w:rsidRPr="00160290">
        <w:t xml:space="preserve">omestic </w:t>
      </w:r>
      <w:r w:rsidR="00BC1922">
        <w:t>b</w:t>
      </w:r>
      <w:r w:rsidRPr="00160290">
        <w:t>uilder (</w:t>
      </w:r>
      <w:proofErr w:type="spellStart"/>
      <w:r w:rsidRPr="00160290">
        <w:t>imited</w:t>
      </w:r>
      <w:proofErr w:type="spellEnd"/>
      <w:r w:rsidRPr="00160290">
        <w:t xml:space="preserve">) and 5% in the </w:t>
      </w:r>
      <w:r w:rsidR="004A284B">
        <w:t>category/</w:t>
      </w:r>
      <w:r w:rsidRPr="00160290">
        <w:t xml:space="preserve">class of </w:t>
      </w:r>
      <w:r w:rsidR="00BC1922">
        <w:t>d</w:t>
      </w:r>
      <w:r w:rsidRPr="00160290">
        <w:t xml:space="preserve">omestic </w:t>
      </w:r>
      <w:r w:rsidR="00BC1922">
        <w:t>b</w:t>
      </w:r>
      <w:r w:rsidRPr="00160290">
        <w:t>uilder (</w:t>
      </w:r>
      <w:r w:rsidR="00BC1922">
        <w:t>m</w:t>
      </w:r>
      <w:r w:rsidRPr="00160290">
        <w:t>anager). In total, this means 67% of registered building practitioners are registered as a domestic building practitioner.</w:t>
      </w:r>
    </w:p>
    <w:p w:rsidR="003A7FBC" w:rsidRPr="00160290" w:rsidRDefault="00357F56" w:rsidP="00357F56">
      <w:pPr>
        <w:pStyle w:val="Heading3"/>
      </w:pPr>
      <w:bookmarkStart w:id="21" w:name="_Toc481502171"/>
      <w:r>
        <w:t>C</w:t>
      </w:r>
      <w:r w:rsidR="00D81477">
        <w:t>2.2.2</w:t>
      </w:r>
      <w:r w:rsidR="00D81477">
        <w:tab/>
      </w:r>
      <w:r w:rsidR="003A7FBC" w:rsidRPr="00160290">
        <w:t>Scope of regulated work</w:t>
      </w:r>
      <w:bookmarkEnd w:id="21"/>
    </w:p>
    <w:p w:rsidR="003A7FBC" w:rsidRPr="00160290" w:rsidRDefault="003A7FBC" w:rsidP="00FF7CA7">
      <w:r w:rsidRPr="00160290">
        <w:t xml:space="preserve">Domestic building work is defined in the </w:t>
      </w:r>
      <w:r w:rsidRPr="00160290">
        <w:rPr>
          <w:i/>
        </w:rPr>
        <w:t>Domestic Building Contracts Act 1995</w:t>
      </w:r>
      <w:r w:rsidR="0062727D">
        <w:rPr>
          <w:i/>
        </w:rPr>
        <w:t xml:space="preserve"> </w:t>
      </w:r>
      <w:r w:rsidR="0062727D">
        <w:t xml:space="preserve">as </w:t>
      </w:r>
      <w:r w:rsidRPr="00160290">
        <w:t>work associated with the construction, renovation, improvement or maintenance of a home (class 1, 2 and 4 buildings</w:t>
      </w:r>
      <w:r w:rsidR="00160290">
        <w:t xml:space="preserve"> and</w:t>
      </w:r>
      <w:r w:rsidRPr="00160290">
        <w:t xml:space="preserve"> associated </w:t>
      </w:r>
      <w:r w:rsidR="0062727D">
        <w:t>C</w:t>
      </w:r>
      <w:r w:rsidRPr="00160290">
        <w:t xml:space="preserve">lass 10 buildings as classified in the </w:t>
      </w:r>
      <w:r w:rsidR="006C108D">
        <w:t>Building Code of Australia</w:t>
      </w:r>
      <w:r w:rsidRPr="00160290">
        <w:t>). A home is any residential premises, which includes any part of a commercial building or industrial premise that is used as a residential premise.</w:t>
      </w:r>
    </w:p>
    <w:p w:rsidR="003A7FBC" w:rsidRPr="00160290" w:rsidRDefault="003A7FBC" w:rsidP="00FF7CA7">
      <w:r w:rsidRPr="00160290">
        <w:t xml:space="preserve">Persons registered in the class of </w:t>
      </w:r>
      <w:r w:rsidR="00BC1922">
        <w:t>d</w:t>
      </w:r>
      <w:r w:rsidRPr="00160290">
        <w:t xml:space="preserve">omestic </w:t>
      </w:r>
      <w:r w:rsidR="00BC1922">
        <w:t>b</w:t>
      </w:r>
      <w:r w:rsidRPr="00160290">
        <w:t>uilder (</w:t>
      </w:r>
      <w:r w:rsidR="00BC1922">
        <w:t>u</w:t>
      </w:r>
      <w:r w:rsidRPr="00160290">
        <w:t>nlimited) are responsible for carrying out, or managing or arranging the carrying</w:t>
      </w:r>
      <w:r w:rsidR="00355370">
        <w:t>-</w:t>
      </w:r>
      <w:r w:rsidRPr="00160290">
        <w:t xml:space="preserve">out of, </w:t>
      </w:r>
      <w:r w:rsidR="00D3125B" w:rsidRPr="00D3125B">
        <w:t>all components</w:t>
      </w:r>
      <w:r w:rsidRPr="00160290">
        <w:t xml:space="preserve"> of domestic building work for the construction, renovation, improvement or maintenance of a home.</w:t>
      </w:r>
    </w:p>
    <w:p w:rsidR="003A7FBC" w:rsidRPr="00160290" w:rsidRDefault="000E2924" w:rsidP="00FF7CA7">
      <w:r>
        <w:t>VBA</w:t>
      </w:r>
      <w:r w:rsidR="003A7FBC" w:rsidRPr="00160290">
        <w:t xml:space="preserve"> uses 29 administrative </w:t>
      </w:r>
      <w:r w:rsidR="00160290" w:rsidRPr="00160290">
        <w:t>sub</w:t>
      </w:r>
      <w:r w:rsidR="003A7FBC" w:rsidRPr="00160290">
        <w:t xml:space="preserve">classes of </w:t>
      </w:r>
      <w:r w:rsidR="00BC1922">
        <w:t>d</w:t>
      </w:r>
      <w:r w:rsidR="003A7FBC" w:rsidRPr="00160290">
        <w:t xml:space="preserve">omestic </w:t>
      </w:r>
      <w:r w:rsidR="00BC1922">
        <w:t>b</w:t>
      </w:r>
      <w:r w:rsidR="003A7FBC" w:rsidRPr="00160290">
        <w:t>uilder (</w:t>
      </w:r>
      <w:r w:rsidR="00BC1922">
        <w:t>l</w:t>
      </w:r>
      <w:r w:rsidR="003A7FBC" w:rsidRPr="00160290">
        <w:t>imited) to register and authorise domestic builders to carry out 29 specific components of domestic building work.</w:t>
      </w:r>
      <w:r w:rsidR="002129C8" w:rsidRPr="00160290">
        <w:t xml:space="preserve"> </w:t>
      </w:r>
      <w:r w:rsidR="003A7FBC" w:rsidRPr="00160290">
        <w:t xml:space="preserve">These components include bricklaying, carpentry, framing work, construction of retaining walls, footing and slabs work and restumping and </w:t>
      </w:r>
      <w:proofErr w:type="spellStart"/>
      <w:r w:rsidR="003A7FBC" w:rsidRPr="00160290">
        <w:t>reblocking</w:t>
      </w:r>
      <w:proofErr w:type="spellEnd"/>
      <w:r w:rsidR="003A7FBC" w:rsidRPr="00160290">
        <w:t>. It also includes cabinet</w:t>
      </w:r>
      <w:r w:rsidR="0062727D">
        <w:t>-</w:t>
      </w:r>
      <w:r w:rsidR="003A7FBC" w:rsidRPr="00160290">
        <w:t>making, kitchen renovation work and sheet plastering</w:t>
      </w:r>
      <w:r w:rsidR="0062727D">
        <w:t>.</w:t>
      </w:r>
    </w:p>
    <w:p w:rsidR="002129C8" w:rsidRPr="00160290" w:rsidRDefault="000E2924" w:rsidP="00FF7CA7">
      <w:r>
        <w:t>VBA</w:t>
      </w:r>
      <w:r w:rsidR="003A7FBC" w:rsidRPr="00160290">
        <w:t xml:space="preserve"> has identif</w:t>
      </w:r>
      <w:r w:rsidR="0062727D">
        <w:t>ied</w:t>
      </w:r>
      <w:r w:rsidR="003A7FBC" w:rsidRPr="00160290">
        <w:t xml:space="preserve"> criteria for use in a new knowledge and </w:t>
      </w:r>
      <w:r w:rsidR="00160290">
        <w:t>e</w:t>
      </w:r>
      <w:r w:rsidR="003A7FBC" w:rsidRPr="00160290">
        <w:t xml:space="preserve">xperience </w:t>
      </w:r>
      <w:r w:rsidR="00160290">
        <w:t>a</w:t>
      </w:r>
      <w:r w:rsidR="003A7FBC" w:rsidRPr="00160290">
        <w:t xml:space="preserve">ssessment </w:t>
      </w:r>
      <w:r w:rsidR="00160290">
        <w:t>f</w:t>
      </w:r>
      <w:r w:rsidR="003A7FBC" w:rsidRPr="00160290">
        <w:t>ramework.</w:t>
      </w:r>
      <w:r w:rsidR="002129C8" w:rsidRPr="00160290">
        <w:t xml:space="preserve"> </w:t>
      </w:r>
      <w:r w:rsidR="0062727D">
        <w:t xml:space="preserve">It has </w:t>
      </w:r>
      <w:r w:rsidR="003A7FBC" w:rsidRPr="00160290">
        <w:t>identif</w:t>
      </w:r>
      <w:r w:rsidR="0062727D">
        <w:t>ied</w:t>
      </w:r>
      <w:r w:rsidR="003A7FBC" w:rsidRPr="00160290">
        <w:t xml:space="preserve"> scopes of work for its 29 administrative </w:t>
      </w:r>
      <w:r w:rsidR="00160290" w:rsidRPr="00160290">
        <w:t>sub</w:t>
      </w:r>
      <w:r w:rsidR="003A7FBC" w:rsidRPr="00160290">
        <w:t>classes of domestic builder (in addition to other particular categories and classes of registration of building practitioner)</w:t>
      </w:r>
      <w:r w:rsidR="0062727D">
        <w:t xml:space="preserve"> and</w:t>
      </w:r>
      <w:r w:rsidR="003A7FBC" w:rsidRPr="00160290">
        <w:t xml:space="preserve"> the competencies required to carry out the identified scopes of work</w:t>
      </w:r>
      <w:r w:rsidR="0062727D">
        <w:t xml:space="preserve">. It has also </w:t>
      </w:r>
      <w:r w:rsidR="003A7FBC" w:rsidRPr="00160290">
        <w:t>recommend</w:t>
      </w:r>
      <w:r w:rsidR="0062727D">
        <w:t>ed</w:t>
      </w:r>
      <w:r w:rsidR="003A7FBC" w:rsidRPr="00160290">
        <w:t xml:space="preserve"> renaming some categories and classes of building practitioner to better reflect the scope of work </w:t>
      </w:r>
      <w:r w:rsidR="0062727D">
        <w:t xml:space="preserve">in which </w:t>
      </w:r>
      <w:r w:rsidR="003A7FBC" w:rsidRPr="00160290">
        <w:t>they are required to be competent to carry out</w:t>
      </w:r>
      <w:r w:rsidR="0062727D">
        <w:t>,</w:t>
      </w:r>
      <w:r w:rsidR="003A7FBC" w:rsidRPr="00160290">
        <w:t xml:space="preserve"> for the purposes of registration.</w:t>
      </w:r>
    </w:p>
    <w:p w:rsidR="003A7FBC" w:rsidRPr="00160290" w:rsidRDefault="00357F56" w:rsidP="00357F56">
      <w:pPr>
        <w:pStyle w:val="Heading3"/>
      </w:pPr>
      <w:bookmarkStart w:id="22" w:name="_Toc481502172"/>
      <w:r>
        <w:t>C</w:t>
      </w:r>
      <w:r w:rsidR="00D81477">
        <w:t>2.2.3</w:t>
      </w:r>
      <w:r w:rsidR="00D81477">
        <w:tab/>
      </w:r>
      <w:r w:rsidR="003A7FBC" w:rsidRPr="00160290">
        <w:t xml:space="preserve">When registration of domestic builders </w:t>
      </w:r>
      <w:r w:rsidR="0062727D">
        <w:t xml:space="preserve">is </w:t>
      </w:r>
      <w:r w:rsidR="003A7FBC" w:rsidRPr="00160290">
        <w:t>required</w:t>
      </w:r>
      <w:bookmarkEnd w:id="22"/>
    </w:p>
    <w:p w:rsidR="002129C8" w:rsidRPr="00160290" w:rsidRDefault="003A7FBC" w:rsidP="00FF7CA7">
      <w:r w:rsidRPr="00160290">
        <w:t>If a builder intends to carry out, manage or arrange the carrying</w:t>
      </w:r>
      <w:r w:rsidR="0062727D">
        <w:t>-</w:t>
      </w:r>
      <w:r w:rsidRPr="00160290">
        <w:t>out of domestic building work for another person, and the cost of that work is more than $5,000, the parties must enter a major domestic building contract</w:t>
      </w:r>
      <w:r w:rsidR="0062727D">
        <w:t>. T</w:t>
      </w:r>
      <w:r w:rsidRPr="00160290">
        <w:t>he builder must not enter this contract unless they are registered in the appropriate class of domestic building practitioner under the Act.</w:t>
      </w:r>
    </w:p>
    <w:p w:rsidR="003A7FBC" w:rsidRPr="00160290" w:rsidRDefault="003A7FBC" w:rsidP="00FF7CA7">
      <w:r w:rsidRPr="00160290">
        <w:t>A building surveyor must not issue a building permit for domestic building work to be carried out under a major domestic building contract unless they are satisfied (among other conditions) that the work is to be carried out by a builder who is registered in the appropriate class of domestic builder.</w:t>
      </w:r>
    </w:p>
    <w:p w:rsidR="003A7FBC" w:rsidRPr="00D81477" w:rsidRDefault="00357F56" w:rsidP="00357F56">
      <w:pPr>
        <w:pStyle w:val="Heading3"/>
      </w:pPr>
      <w:bookmarkStart w:id="23" w:name="_Toc481502173"/>
      <w:r>
        <w:t>C</w:t>
      </w:r>
      <w:r w:rsidR="00D81477" w:rsidRPr="00D81477">
        <w:t>2.2.4</w:t>
      </w:r>
      <w:r w:rsidR="00D81477" w:rsidRPr="00D81477">
        <w:tab/>
      </w:r>
      <w:r w:rsidR="003A7FBC" w:rsidRPr="00D81477">
        <w:t>Volume of work undertaken by domestic builders in Victoria</w:t>
      </w:r>
      <w:bookmarkEnd w:id="23"/>
    </w:p>
    <w:p w:rsidR="002129C8" w:rsidRPr="00160290" w:rsidRDefault="003A7FBC" w:rsidP="00FF7CA7">
      <w:r w:rsidRPr="00160290">
        <w:t>In 2015</w:t>
      </w:r>
      <w:r w:rsidR="0062727D">
        <w:t>–</w:t>
      </w:r>
      <w:r w:rsidRPr="00160290">
        <w:t>16, 90,670 building permits were issued for domestic building work, on account of a reported cost of domestic building work of $16,203,987,963 in that financial year.</w:t>
      </w:r>
    </w:p>
    <w:p w:rsidR="003A7FBC" w:rsidRPr="00160290" w:rsidRDefault="00357F56" w:rsidP="00357F56">
      <w:pPr>
        <w:pStyle w:val="Heading3"/>
      </w:pPr>
      <w:bookmarkStart w:id="24" w:name="_Toc481502174"/>
      <w:r>
        <w:t>C</w:t>
      </w:r>
      <w:r w:rsidR="00D81477">
        <w:t>2.2.5</w:t>
      </w:r>
      <w:r w:rsidR="00D81477">
        <w:tab/>
      </w:r>
      <w:r w:rsidR="003A7FBC" w:rsidRPr="00160290">
        <w:t>Performance of domestic builders</w:t>
      </w:r>
      <w:bookmarkEnd w:id="24"/>
    </w:p>
    <w:p w:rsidR="002129C8" w:rsidRPr="00160290" w:rsidRDefault="003A7FBC" w:rsidP="00FF7CA7">
      <w:r w:rsidRPr="00160290">
        <w:t>The scope of regulated work of domestic builders, as set out above, necessarily charges domestic builders with a statutory responsibility to mitigate risk to owners, occupants and users of a building by ensuring domestic building work carried out by them complies with building standards, the building permit, the Act and Regulations.</w:t>
      </w:r>
    </w:p>
    <w:p w:rsidR="003A7FBC" w:rsidRPr="00160290" w:rsidRDefault="003A7FBC" w:rsidP="00FF7CA7">
      <w:r w:rsidRPr="00160290">
        <w:lastRenderedPageBreak/>
        <w:t xml:space="preserve">The 2015 </w:t>
      </w:r>
      <w:r w:rsidR="00B72C60">
        <w:t xml:space="preserve">Victorian Auditor-General's </w:t>
      </w:r>
      <w:r w:rsidR="00160290">
        <w:t>r</w:t>
      </w:r>
      <w:r w:rsidRPr="00160290">
        <w:t xml:space="preserve">eport found evidence of considerable consumer detriment in domestic building and concluded that, </w:t>
      </w:r>
      <w:r w:rsidR="00B72C60">
        <w:t>'</w:t>
      </w:r>
      <w:r w:rsidRPr="00160290">
        <w:t>…</w:t>
      </w:r>
      <w:r w:rsidR="00B72C60">
        <w:t xml:space="preserve"> </w:t>
      </w:r>
      <w:r w:rsidRPr="00160290">
        <w:t>the existing framework does not adequately protect consumers</w:t>
      </w:r>
      <w:r w:rsidR="00B72C60">
        <w:t>'</w:t>
      </w:r>
      <w:r w:rsidRPr="00160290">
        <w:t>.</w:t>
      </w:r>
    </w:p>
    <w:p w:rsidR="003A7FBC" w:rsidRDefault="003A7FBC" w:rsidP="00FF7CA7">
      <w:r w:rsidRPr="00160290">
        <w:t xml:space="preserve">The </w:t>
      </w:r>
      <w:r w:rsidR="00D3125B" w:rsidRPr="00D3125B">
        <w:rPr>
          <w:i/>
        </w:rPr>
        <w:t>Australian Consumer Survey 2016</w:t>
      </w:r>
      <w:r w:rsidRPr="00160290">
        <w:rPr>
          <w:rStyle w:val="FootnoteReference"/>
        </w:rPr>
        <w:footnoteReference w:id="12"/>
      </w:r>
      <w:r w:rsidRPr="00160290">
        <w:t xml:space="preserve"> found at least 17</w:t>
      </w:r>
      <w:r w:rsidR="00160290" w:rsidRPr="00160290">
        <w:t>%</w:t>
      </w:r>
      <w:r w:rsidRPr="00160290">
        <w:t xml:space="preserve"> of consumers who had undertaken home building, renovations, repairs or maintenance in Victoria had experienced a problem.</w:t>
      </w:r>
      <w:r w:rsidRPr="00160290">
        <w:rPr>
          <w:rStyle w:val="FootnoteReference"/>
        </w:rPr>
        <w:footnoteReference w:id="13"/>
      </w:r>
      <w:r w:rsidR="002129C8" w:rsidRPr="00160290">
        <w:t xml:space="preserve"> </w:t>
      </w:r>
      <w:r w:rsidRPr="00160290">
        <w:t xml:space="preserve">Problems were likely to be related to poor workmanship and delays in getting </w:t>
      </w:r>
      <w:r w:rsidR="00160290" w:rsidRPr="00160290">
        <w:t>sub</w:t>
      </w:r>
      <w:r w:rsidRPr="00160290">
        <w:t>standard work fixed.</w:t>
      </w:r>
      <w:r w:rsidRPr="00160290">
        <w:rPr>
          <w:rStyle w:val="FootnoteReference"/>
        </w:rPr>
        <w:footnoteReference w:id="14"/>
      </w:r>
      <w:r w:rsidR="002129C8" w:rsidRPr="00160290">
        <w:t xml:space="preserve"> </w:t>
      </w:r>
      <w:r w:rsidRPr="00160290">
        <w:t xml:space="preserve">The average estimated cost to resolve </w:t>
      </w:r>
      <w:r w:rsidR="00B72C60">
        <w:t xml:space="preserve">a </w:t>
      </w:r>
      <w:r w:rsidRPr="00160290">
        <w:t>problem was $1,321.02.</w:t>
      </w:r>
      <w:r w:rsidRPr="00160290">
        <w:rPr>
          <w:rStyle w:val="FootnoteReference"/>
        </w:rPr>
        <w:footnoteReference w:id="15"/>
      </w:r>
    </w:p>
    <w:p w:rsidR="002129C8" w:rsidRPr="00160290" w:rsidRDefault="003A7FBC" w:rsidP="00FF7CA7">
      <w:r w:rsidRPr="00160290">
        <w:t xml:space="preserve">Based on building permit data for </w:t>
      </w:r>
      <w:r w:rsidR="00B72C60">
        <w:t>2015–16</w:t>
      </w:r>
      <w:r w:rsidRPr="00160290">
        <w:t xml:space="preserve"> and assuming 100% of complaints related to domestic building work that required a building permit (which is conservative), up to 15,405</w:t>
      </w:r>
      <w:r w:rsidRPr="00160290">
        <w:rPr>
          <w:rStyle w:val="FootnoteReference"/>
        </w:rPr>
        <w:footnoteReference w:id="16"/>
      </w:r>
      <w:r w:rsidRPr="00160290">
        <w:t xml:space="preserve"> consumers experienced problems that required the work to be rectified or redone at a total additional cost to consumers of a</w:t>
      </w:r>
      <w:r w:rsidR="00703FD9" w:rsidRPr="00160290">
        <w:t>bout</w:t>
      </w:r>
      <w:r w:rsidRPr="00160290">
        <w:t xml:space="preserve"> $20.3 million.</w:t>
      </w:r>
      <w:r w:rsidRPr="00160290">
        <w:rPr>
          <w:rStyle w:val="FootnoteReference"/>
        </w:rPr>
        <w:footnoteReference w:id="17"/>
      </w:r>
    </w:p>
    <w:p w:rsidR="003A7FBC" w:rsidRPr="00160290" w:rsidRDefault="003A7FBC" w:rsidP="00FF7CA7">
      <w:r w:rsidRPr="00160290">
        <w:t>In July 2016, CAV commissioned research into demand and dispute experiences to assist with the establishment of the new dispute resolution service, Domestic Building Dispute Resolution Victoria. Waterproofing, brickwork and plastering consistently feature as some of the most commonly occurring defects.</w:t>
      </w:r>
      <w:r w:rsidR="002129C8" w:rsidRPr="00160290">
        <w:t xml:space="preserve"> </w:t>
      </w:r>
      <w:r w:rsidRPr="00160290">
        <w:t xml:space="preserve">All are defects which have the potential to </w:t>
      </w:r>
      <w:r w:rsidR="00B72C60">
        <w:t xml:space="preserve">affect </w:t>
      </w:r>
      <w:r w:rsidRPr="00160290">
        <w:t>the safety and amenity of the home and occupants.</w:t>
      </w:r>
      <w:r w:rsidR="002129C8" w:rsidRPr="00160290">
        <w:t xml:space="preserve"> </w:t>
      </w:r>
      <w:r w:rsidRPr="00160290">
        <w:t xml:space="preserve">If left unrectified, each could undermine the structural integrity of the dwelling and fail to meet the objective or performance standards in the </w:t>
      </w:r>
      <w:r w:rsidR="006C108D">
        <w:t>National Construction Code</w:t>
      </w:r>
      <w:r w:rsidRPr="00160290">
        <w:t>.</w:t>
      </w:r>
    </w:p>
    <w:p w:rsidR="002129C8" w:rsidRPr="00160290" w:rsidRDefault="003A7FBC" w:rsidP="00FF7CA7">
      <w:r w:rsidRPr="00160290">
        <w:t xml:space="preserve">The 2015 </w:t>
      </w:r>
      <w:r w:rsidR="00B72C60">
        <w:t xml:space="preserve">Victorian Auditor-General's </w:t>
      </w:r>
      <w:r w:rsidRPr="00160290">
        <w:t xml:space="preserve">report also reported that CAV in </w:t>
      </w:r>
      <w:r w:rsidR="00B72C60">
        <w:t xml:space="preserve">2013–14 </w:t>
      </w:r>
      <w:r w:rsidRPr="00160290">
        <w:t>responded to 21,342 calls in relation to building</w:t>
      </w:r>
      <w:r w:rsidR="00B72C60">
        <w:t>-</w:t>
      </w:r>
      <w:r w:rsidRPr="00160290">
        <w:t>related matters.</w:t>
      </w:r>
      <w:r w:rsidR="002129C8" w:rsidRPr="00160290">
        <w:t xml:space="preserve"> </w:t>
      </w:r>
      <w:r w:rsidRPr="00160290">
        <w:t>This compares with the NSW Office of Fair trading responding to 7,988 complaints and the Queensland Building and Construction Commission reporting receiving 12,702 calls in the same period. CAV data shows that in 2014</w:t>
      </w:r>
      <w:r w:rsidR="00B72C60">
        <w:t>–</w:t>
      </w:r>
      <w:r w:rsidRPr="00160290">
        <w:t>15 this figure had increased to 22,993.</w:t>
      </w:r>
    </w:p>
    <w:p w:rsidR="003A7FBC" w:rsidRPr="00160290" w:rsidRDefault="00357F56" w:rsidP="00357F56">
      <w:pPr>
        <w:pStyle w:val="Heading3"/>
      </w:pPr>
      <w:bookmarkStart w:id="25" w:name="_Toc481502175"/>
      <w:r>
        <w:t>C</w:t>
      </w:r>
      <w:r w:rsidR="00D81477">
        <w:t>2.2.6</w:t>
      </w:r>
      <w:r w:rsidR="00D81477">
        <w:tab/>
      </w:r>
      <w:r w:rsidR="003A7FBC" w:rsidRPr="00160290">
        <w:t>Discipline of domestic builders</w:t>
      </w:r>
      <w:bookmarkEnd w:id="25"/>
    </w:p>
    <w:p w:rsidR="002129C8" w:rsidRPr="00160290" w:rsidRDefault="000E2924" w:rsidP="00FF7CA7">
      <w:r>
        <w:t>VBA</w:t>
      </w:r>
      <w:r w:rsidR="003A7FBC" w:rsidRPr="00160290">
        <w:t xml:space="preserve"> has supplied the department with information about disciplinary proceedings for building practitioners between 2009</w:t>
      </w:r>
      <w:r w:rsidR="00B72C60">
        <w:t>–</w:t>
      </w:r>
      <w:r w:rsidR="003A7FBC" w:rsidRPr="00160290">
        <w:t>13</w:t>
      </w:r>
      <w:r w:rsidR="00B72C60">
        <w:t>.</w:t>
      </w:r>
    </w:p>
    <w:p w:rsidR="003A7FBC" w:rsidRPr="00160290" w:rsidRDefault="003A7FBC" w:rsidP="00FF7CA7">
      <w:r w:rsidRPr="00160290">
        <w:t xml:space="preserve">During this period, 561 disciplinary inquiries were conducted by the </w:t>
      </w:r>
      <w:r w:rsidR="006C108D">
        <w:t>BPB</w:t>
      </w:r>
      <w:r w:rsidRPr="00160290">
        <w:t xml:space="preserve"> into the conduct of </w:t>
      </w:r>
      <w:r w:rsidR="00435661">
        <w:t>d</w:t>
      </w:r>
      <w:r w:rsidRPr="00160290">
        <w:t xml:space="preserve">omestic </w:t>
      </w:r>
      <w:r w:rsidR="00435661">
        <w:t>b</w:t>
      </w:r>
      <w:r w:rsidRPr="00160290">
        <w:t>uilders (</w:t>
      </w:r>
      <w:r w:rsidR="00435661">
        <w:t>u</w:t>
      </w:r>
      <w:r w:rsidRPr="00160290">
        <w:t>nlimited).</w:t>
      </w:r>
      <w:r w:rsidR="002129C8" w:rsidRPr="00160290">
        <w:t xml:space="preserve"> </w:t>
      </w:r>
      <w:r w:rsidRPr="00160290">
        <w:t xml:space="preserve">As a result of these inquiries, 77% of findings </w:t>
      </w:r>
      <w:r w:rsidR="00703FD9" w:rsidRPr="00160290">
        <w:t>regarding</w:t>
      </w:r>
      <w:r w:rsidRPr="00160290">
        <w:t xml:space="preserve"> culpable practitioners were that the builder breached the Act or Regulations</w:t>
      </w:r>
      <w:r w:rsidR="00B72C60">
        <w:t xml:space="preserve">, with </w:t>
      </w:r>
      <w:r w:rsidRPr="00160290">
        <w:t xml:space="preserve">67% of these breaches in relation to carrying out building work in contravention of </w:t>
      </w:r>
      <w:r w:rsidR="00B72C60">
        <w:t xml:space="preserve">s </w:t>
      </w:r>
      <w:r w:rsidRPr="00160290">
        <w:t>16 of the Act</w:t>
      </w:r>
      <w:r w:rsidR="00B72C60">
        <w:t xml:space="preserve"> (</w:t>
      </w:r>
      <w:r w:rsidR="00703FD9" w:rsidRPr="00160290">
        <w:t>that is</w:t>
      </w:r>
      <w:r w:rsidR="00B72C60">
        <w:t>,</w:t>
      </w:r>
      <w:r w:rsidRPr="00160290">
        <w:t xml:space="preserve"> without a building permit or in contravention of a building permit</w:t>
      </w:r>
      <w:r w:rsidR="00B72C60">
        <w:t>)</w:t>
      </w:r>
      <w:r w:rsidRPr="00160290">
        <w:t xml:space="preserve">, 7% were </w:t>
      </w:r>
      <w:r w:rsidR="00703FD9" w:rsidRPr="00160290">
        <w:t>regarding</w:t>
      </w:r>
      <w:r w:rsidRPr="00160290">
        <w:t xml:space="preserve"> unprofessional conduct, 8% were for failing to carry out a recommendation contained in an inspector's report under </w:t>
      </w:r>
      <w:r w:rsidR="00B72C60">
        <w:t xml:space="preserve">s </w:t>
      </w:r>
      <w:r w:rsidRPr="00160290">
        <w:t xml:space="preserve">48 of the </w:t>
      </w:r>
      <w:r w:rsidRPr="00160290">
        <w:rPr>
          <w:i/>
        </w:rPr>
        <w:t>Domestic Building Contracts Act 1995,</w:t>
      </w:r>
      <w:r w:rsidRPr="00160290">
        <w:t xml:space="preserve"> 6% were for failing to comply with the </w:t>
      </w:r>
      <w:r w:rsidRPr="00160290">
        <w:rPr>
          <w:i/>
        </w:rPr>
        <w:t>Domestic Building Contracts Act 1995</w:t>
      </w:r>
      <w:r w:rsidRPr="00160290">
        <w:t xml:space="preserve"> and the balance of findings were in relation to being found guilty of conduct in relation to his or her practice as a building practitioner.</w:t>
      </w:r>
    </w:p>
    <w:p w:rsidR="00011DF3" w:rsidRDefault="00011DF3">
      <w:pPr>
        <w:spacing w:after="0"/>
      </w:pPr>
      <w:r>
        <w:br w:type="page"/>
      </w:r>
    </w:p>
    <w:p w:rsidR="003A7FBC" w:rsidRPr="00160290" w:rsidRDefault="003A7FBC" w:rsidP="00FF7CA7">
      <w:r w:rsidRPr="00160290">
        <w:lastRenderedPageBreak/>
        <w:t xml:space="preserve">In contrast, for the same period, only 88 inquiries were held into the conduct of building practitioners registered in the class of </w:t>
      </w:r>
      <w:r w:rsidR="00BC1922">
        <w:t>d</w:t>
      </w:r>
      <w:r w:rsidRPr="00160290">
        <w:t xml:space="preserve">omestic </w:t>
      </w:r>
      <w:r w:rsidR="00BC1922">
        <w:t>b</w:t>
      </w:r>
      <w:r w:rsidRPr="00160290">
        <w:t>uilder (</w:t>
      </w:r>
      <w:r w:rsidR="00BC1922">
        <w:t>l</w:t>
      </w:r>
      <w:r w:rsidRPr="00160290">
        <w:t xml:space="preserve">imited). As a result of these inquiries, 75% of findings were that the builder breached the Act or Regulations (53% of these being in relation to carrying out building work in contravention of </w:t>
      </w:r>
      <w:r w:rsidR="00B72C60">
        <w:t xml:space="preserve">s </w:t>
      </w:r>
      <w:r w:rsidRPr="00160290">
        <w:t xml:space="preserve">16 of the Act), 10% were on account of unprofessional conduct, 8% </w:t>
      </w:r>
      <w:r w:rsidR="00B72C60">
        <w:t xml:space="preserve">were </w:t>
      </w:r>
      <w:r w:rsidRPr="00160290">
        <w:t xml:space="preserve">for failing to comply with the </w:t>
      </w:r>
      <w:r w:rsidRPr="00160290">
        <w:rPr>
          <w:i/>
        </w:rPr>
        <w:t>Domestic Building Contracts Act 1995</w:t>
      </w:r>
      <w:r w:rsidRPr="00160290">
        <w:t xml:space="preserve"> and 3% were for failing to carry out a recommendation contained in an inspector's report under </w:t>
      </w:r>
      <w:r w:rsidR="000E2924">
        <w:t>s</w:t>
      </w:r>
      <w:r w:rsidRPr="00160290">
        <w:t xml:space="preserve"> 48 of the </w:t>
      </w:r>
      <w:r w:rsidRPr="00160290">
        <w:rPr>
          <w:i/>
        </w:rPr>
        <w:t>Domestic Building Contracts Act 1995</w:t>
      </w:r>
      <w:r w:rsidR="00B72C60">
        <w:t xml:space="preserve">. </w:t>
      </w:r>
      <w:r w:rsidR="00D3125B" w:rsidRPr="00D3125B">
        <w:t>T</w:t>
      </w:r>
      <w:r w:rsidRPr="00B72C60">
        <w:t>he</w:t>
      </w:r>
      <w:r w:rsidRPr="00160290">
        <w:t xml:space="preserve"> balance of </w:t>
      </w:r>
      <w:r w:rsidR="00B72C60">
        <w:t xml:space="preserve">the </w:t>
      </w:r>
      <w:r w:rsidRPr="00160290">
        <w:t>findings were in relation to being found guilty of conduct in relation to his or her practice as a building practitioner.</w:t>
      </w:r>
    </w:p>
    <w:p w:rsidR="003A7FBC" w:rsidRPr="00160290" w:rsidRDefault="00357F56" w:rsidP="00357F56">
      <w:pPr>
        <w:pStyle w:val="Heading3"/>
      </w:pPr>
      <w:bookmarkStart w:id="26" w:name="_Toc481502176"/>
      <w:r>
        <w:t>C</w:t>
      </w:r>
      <w:r w:rsidR="00D81477">
        <w:t>2.2.7</w:t>
      </w:r>
      <w:r w:rsidR="00D81477">
        <w:tab/>
      </w:r>
      <w:r w:rsidR="003A7FBC" w:rsidRPr="00160290">
        <w:t>Summary of performance measures</w:t>
      </w:r>
      <w:bookmarkEnd w:id="26"/>
    </w:p>
    <w:p w:rsidR="002129C8" w:rsidRPr="00160290" w:rsidRDefault="003A7FBC" w:rsidP="003A7FBC">
      <w:pPr>
        <w:spacing w:before="120" w:after="120"/>
      </w:pPr>
      <w:r w:rsidRPr="00160290">
        <w:t>As with building surveyors, it is not discernible from the information available</w:t>
      </w:r>
      <w:r w:rsidR="00B72C60">
        <w:t xml:space="preserve"> (</w:t>
      </w:r>
      <w:r w:rsidRPr="00160290">
        <w:t>especially in relation to findings which involved a breach of the Act and/or Regulations</w:t>
      </w:r>
      <w:r w:rsidR="00B72C60">
        <w:t xml:space="preserve">) </w:t>
      </w:r>
      <w:r w:rsidRPr="00160290">
        <w:t>whether the reason for the culpable conduct was unfamiliarity with the relevant parts of the relevant Acts and/or Regulations, or intentional noncompliance.</w:t>
      </w:r>
      <w:r w:rsidR="002129C8" w:rsidRPr="00160290">
        <w:t xml:space="preserve"> </w:t>
      </w:r>
      <w:r w:rsidRPr="00160290">
        <w:t xml:space="preserve">However, the </w:t>
      </w:r>
      <w:r w:rsidR="00BE6DEA" w:rsidRPr="00160290">
        <w:t>department</w:t>
      </w:r>
      <w:r w:rsidR="0078449D">
        <w:t xml:space="preserve"> considers </w:t>
      </w:r>
      <w:r w:rsidRPr="00160290">
        <w:t>prescribing appropriate qualifications for domestic builders and assessing these on application for registration will provide the best possible opportunity, at the point of registration, to ensure successful applicants have the necessary knowledge, skills and experience to carry out domestic building work in a competent and professional manner.</w:t>
      </w:r>
    </w:p>
    <w:p w:rsidR="002129C8" w:rsidRPr="00160290" w:rsidRDefault="00357F56" w:rsidP="00357F56">
      <w:pPr>
        <w:pStyle w:val="Heading2"/>
      </w:pPr>
      <w:bookmarkStart w:id="27" w:name="_Toc481502177"/>
      <w:r>
        <w:t>C</w:t>
      </w:r>
      <w:r w:rsidR="00D81477">
        <w:t>2.3</w:t>
      </w:r>
      <w:r w:rsidR="00D81477">
        <w:tab/>
      </w:r>
      <w:r w:rsidR="003A7FBC" w:rsidRPr="00160290">
        <w:t>Building surveyor</w:t>
      </w:r>
      <w:bookmarkEnd w:id="27"/>
    </w:p>
    <w:p w:rsidR="003A7FBC" w:rsidRPr="00160290" w:rsidRDefault="003A7FBC" w:rsidP="00FF7CA7">
      <w:pPr>
        <w:pStyle w:val="Normalpre-dotpoint"/>
      </w:pPr>
      <w:r w:rsidRPr="00160290">
        <w:t xml:space="preserve">As </w:t>
      </w:r>
      <w:r w:rsidR="0078449D">
        <w:t>at</w:t>
      </w:r>
      <w:r w:rsidR="0078449D" w:rsidRPr="00160290">
        <w:t xml:space="preserve"> </w:t>
      </w:r>
      <w:r w:rsidRPr="00160290">
        <w:t>30 June 2016, there were 666</w:t>
      </w:r>
      <w:r w:rsidRPr="00160290">
        <w:rPr>
          <w:rStyle w:val="FootnoteReference"/>
          <w:rFonts w:asciiTheme="majorHAnsi" w:hAnsiTheme="majorHAnsi"/>
        </w:rPr>
        <w:footnoteReference w:id="18"/>
      </w:r>
      <w:r w:rsidRPr="00160290">
        <w:t xml:space="preserve"> building surveyors registered in Victoria, comprising:</w:t>
      </w:r>
    </w:p>
    <w:p w:rsidR="003A7FBC" w:rsidRPr="00160290" w:rsidRDefault="003A7FBC" w:rsidP="00FF7CA7">
      <w:pPr>
        <w:pStyle w:val="Dotpoint"/>
      </w:pPr>
      <w:r w:rsidRPr="00160290">
        <w:t>108</w:t>
      </w:r>
      <w:r w:rsidRPr="00160290">
        <w:rPr>
          <w:rStyle w:val="FootnoteReference"/>
          <w:rFonts w:asciiTheme="majorHAnsi" w:hAnsiTheme="majorHAnsi"/>
        </w:rPr>
        <w:footnoteReference w:id="19"/>
      </w:r>
      <w:r w:rsidR="002129C8" w:rsidRPr="00160290">
        <w:t xml:space="preserve"> </w:t>
      </w:r>
      <w:r w:rsidRPr="00160290">
        <w:t>registered in the category</w:t>
      </w:r>
      <w:r w:rsidR="004A284B">
        <w:t>/</w:t>
      </w:r>
      <w:r w:rsidR="00435661">
        <w:t>class</w:t>
      </w:r>
      <w:r w:rsidRPr="00160290">
        <w:t xml:space="preserve"> of </w:t>
      </w:r>
      <w:r w:rsidR="00BC1922">
        <w:t>b</w:t>
      </w:r>
      <w:r w:rsidRPr="00160290">
        <w:t xml:space="preserve">uilding </w:t>
      </w:r>
      <w:r w:rsidR="00BC1922">
        <w:t>s</w:t>
      </w:r>
      <w:r w:rsidRPr="00160290">
        <w:t>urveyor (</w:t>
      </w:r>
      <w:r w:rsidR="00BC1922">
        <w:t>l</w:t>
      </w:r>
      <w:r w:rsidRPr="00160290">
        <w:t>imited)</w:t>
      </w:r>
    </w:p>
    <w:p w:rsidR="002129C8" w:rsidRPr="00160290" w:rsidRDefault="003A7FBC" w:rsidP="00FF7CA7">
      <w:pPr>
        <w:pStyle w:val="Dotpointlast"/>
      </w:pPr>
      <w:r w:rsidRPr="00160290">
        <w:t>558</w:t>
      </w:r>
      <w:r w:rsidRPr="00160290">
        <w:rPr>
          <w:rStyle w:val="FootnoteReference"/>
          <w:rFonts w:asciiTheme="majorHAnsi" w:hAnsiTheme="majorHAnsi"/>
        </w:rPr>
        <w:footnoteReference w:id="20"/>
      </w:r>
      <w:r w:rsidRPr="00160290">
        <w:t xml:space="preserve"> registered in the category</w:t>
      </w:r>
      <w:r w:rsidR="004A284B">
        <w:t>/</w:t>
      </w:r>
      <w:r w:rsidR="00435661">
        <w:t>class</w:t>
      </w:r>
      <w:r w:rsidRPr="00160290">
        <w:t xml:space="preserve"> of </w:t>
      </w:r>
      <w:r w:rsidR="00BC1922">
        <w:t>b</w:t>
      </w:r>
      <w:r w:rsidRPr="00160290">
        <w:t xml:space="preserve">uilding </w:t>
      </w:r>
      <w:r w:rsidR="00BC1922">
        <w:t>s</w:t>
      </w:r>
      <w:r w:rsidRPr="00160290">
        <w:t>urveyor (</w:t>
      </w:r>
      <w:r w:rsidR="00BC1922">
        <w:t>u</w:t>
      </w:r>
      <w:r w:rsidRPr="00160290">
        <w:t>nlimited).</w:t>
      </w:r>
    </w:p>
    <w:p w:rsidR="002129C8" w:rsidRPr="00160290" w:rsidRDefault="003A7FBC" w:rsidP="00FF7CA7">
      <w:r w:rsidRPr="00160290">
        <w:t>Of the total number of building practitioners registered in Victoria at 30 June 2016 (being 22,377)</w:t>
      </w:r>
      <w:r w:rsidR="00561486">
        <w:t>,</w:t>
      </w:r>
      <w:r w:rsidRPr="00160290">
        <w:rPr>
          <w:vertAlign w:val="superscript"/>
        </w:rPr>
        <w:footnoteReference w:id="21"/>
      </w:r>
      <w:r w:rsidRPr="00160290">
        <w:t xml:space="preserve"> 0.5% </w:t>
      </w:r>
      <w:r w:rsidR="0078449D">
        <w:t xml:space="preserve">were </w:t>
      </w:r>
      <w:r w:rsidR="00160290">
        <w:t>b</w:t>
      </w:r>
      <w:r w:rsidRPr="00160290">
        <w:t xml:space="preserve">uilding </w:t>
      </w:r>
      <w:r w:rsidR="00160290">
        <w:t>s</w:t>
      </w:r>
      <w:r w:rsidRPr="00160290">
        <w:t>urveyors (</w:t>
      </w:r>
      <w:r w:rsidR="00435661">
        <w:t>l</w:t>
      </w:r>
      <w:r w:rsidRPr="00160290">
        <w:t xml:space="preserve">imited) and 2.5% </w:t>
      </w:r>
      <w:r w:rsidR="0078449D">
        <w:t xml:space="preserve">were </w:t>
      </w:r>
      <w:r w:rsidR="00160290">
        <w:t>b</w:t>
      </w:r>
      <w:r w:rsidRPr="00160290">
        <w:t xml:space="preserve">uilding </w:t>
      </w:r>
      <w:r w:rsidR="00160290">
        <w:t>s</w:t>
      </w:r>
      <w:r w:rsidRPr="00160290">
        <w:t>urveyors (</w:t>
      </w:r>
      <w:r w:rsidR="00435661">
        <w:t>u</w:t>
      </w:r>
      <w:r w:rsidRPr="00160290">
        <w:t>nlimited).</w:t>
      </w:r>
    </w:p>
    <w:p w:rsidR="002129C8" w:rsidRPr="00160290" w:rsidRDefault="00357F56" w:rsidP="00357F56">
      <w:pPr>
        <w:pStyle w:val="Heading3"/>
      </w:pPr>
      <w:bookmarkStart w:id="28" w:name="_Toc481502178"/>
      <w:r>
        <w:t>C2.3.1</w:t>
      </w:r>
      <w:r>
        <w:tab/>
      </w:r>
      <w:r w:rsidR="003A7FBC" w:rsidRPr="00160290">
        <w:t>Scope of regulated work</w:t>
      </w:r>
      <w:bookmarkEnd w:id="28"/>
    </w:p>
    <w:p w:rsidR="003A7FBC" w:rsidRPr="00160290" w:rsidRDefault="003A7FBC" w:rsidP="00FF7CA7">
      <w:r w:rsidRPr="00160290">
        <w:t>People registered in the category</w:t>
      </w:r>
      <w:r w:rsidR="004A284B">
        <w:t>/</w:t>
      </w:r>
      <w:r w:rsidR="00435661">
        <w:t>class</w:t>
      </w:r>
      <w:r w:rsidRPr="00160290">
        <w:t xml:space="preserve"> of </w:t>
      </w:r>
      <w:r w:rsidR="00BC1922">
        <w:t>b</w:t>
      </w:r>
      <w:r w:rsidRPr="00160290">
        <w:t xml:space="preserve">uilding </w:t>
      </w:r>
      <w:r w:rsidR="00BC1922">
        <w:t>s</w:t>
      </w:r>
      <w:r w:rsidRPr="00160290">
        <w:t>urveyor (</w:t>
      </w:r>
      <w:r w:rsidR="00BC1922">
        <w:t>l</w:t>
      </w:r>
      <w:r w:rsidRPr="00160290">
        <w:t xml:space="preserve">imited) may perform the statutory functions and powers of a building surveyor as authorised or required by the </w:t>
      </w:r>
      <w:r w:rsidR="00D3125B" w:rsidRPr="00D3125B">
        <w:t>Act</w:t>
      </w:r>
      <w:r w:rsidRPr="00160290">
        <w:rPr>
          <w:i/>
        </w:rPr>
        <w:t xml:space="preserve"> </w:t>
      </w:r>
      <w:r w:rsidRPr="00160290">
        <w:t xml:space="preserve">and Regulations for all classes of building </w:t>
      </w:r>
      <w:r w:rsidR="00D3125B" w:rsidRPr="00D3125B">
        <w:t>up to three storeys in height with a maximum floor area of 2000</w:t>
      </w:r>
      <w:r w:rsidR="0022498F">
        <w:t> m</w:t>
      </w:r>
      <w:r w:rsidR="00FC6221" w:rsidRPr="00011DF3">
        <w:rPr>
          <w:vertAlign w:val="superscript"/>
        </w:rPr>
        <w:t>2</w:t>
      </w:r>
      <w:r w:rsidRPr="00160290">
        <w:t>.</w:t>
      </w:r>
    </w:p>
    <w:p w:rsidR="003A7FBC" w:rsidRPr="00160290" w:rsidRDefault="003A7FBC" w:rsidP="00FF7CA7">
      <w:r w:rsidRPr="00160290">
        <w:t>People registered in the category</w:t>
      </w:r>
      <w:r w:rsidR="004A284B">
        <w:t>/</w:t>
      </w:r>
      <w:r w:rsidR="00435661">
        <w:t>class</w:t>
      </w:r>
      <w:r w:rsidRPr="00160290">
        <w:t xml:space="preserve"> of </w:t>
      </w:r>
      <w:r w:rsidR="00BC1922">
        <w:t>b</w:t>
      </w:r>
      <w:r w:rsidRPr="00160290">
        <w:t xml:space="preserve">uilding </w:t>
      </w:r>
      <w:r w:rsidR="00BC1922">
        <w:t>s</w:t>
      </w:r>
      <w:r w:rsidRPr="00160290">
        <w:t>urveyor (</w:t>
      </w:r>
      <w:r w:rsidR="00BC1922">
        <w:t>u</w:t>
      </w:r>
      <w:r w:rsidRPr="00160290">
        <w:t>nlimited), in contrast, may perform all the statutory functions and powers of a building surveyor authorised or required by the Act and Regulations</w:t>
      </w:r>
      <w:r w:rsidR="0078449D">
        <w:t xml:space="preserve"> </w:t>
      </w:r>
      <w:r w:rsidRPr="00160290">
        <w:t xml:space="preserve">for </w:t>
      </w:r>
      <w:r w:rsidR="00D3125B" w:rsidRPr="00D3125B">
        <w:t>all classes</w:t>
      </w:r>
      <w:r w:rsidRPr="0078449D">
        <w:t xml:space="preserve"> of building of </w:t>
      </w:r>
      <w:r w:rsidR="00D3125B" w:rsidRPr="00D3125B">
        <w:t>unlimited height or floor area</w:t>
      </w:r>
      <w:r w:rsidRPr="0078449D">
        <w:t>.</w:t>
      </w:r>
    </w:p>
    <w:p w:rsidR="002129C8" w:rsidRPr="00160290" w:rsidRDefault="003A7FBC" w:rsidP="00FF7CA7">
      <w:r w:rsidRPr="00160290">
        <w:t>The two-tiered system of registration for building surveyors provides an environment in which building surveyors with a limited registration can elect to operate in the market for building approvals for simpler structures, increasing the supply of building surveyors and competitiveness in this sector. The complexity of the role of a building surveyor can vary enormously from issuing a building permit for a simple shed or dwelling to very complex and large projects</w:t>
      </w:r>
      <w:r w:rsidR="0078449D">
        <w:t xml:space="preserve"> (</w:t>
      </w:r>
      <w:r w:rsidRPr="00160290">
        <w:t>for example, high rise office buildings, industrial buildings</w:t>
      </w:r>
      <w:r w:rsidR="00160290">
        <w:t xml:space="preserve"> and</w:t>
      </w:r>
      <w:r w:rsidRPr="00160290">
        <w:t xml:space="preserve"> airports</w:t>
      </w:r>
      <w:r w:rsidR="0078449D">
        <w:t>)</w:t>
      </w:r>
      <w:r w:rsidRPr="00160290">
        <w:t xml:space="preserve">. These projects may involve approval of sophisticated and complex engineered solutions </w:t>
      </w:r>
      <w:r w:rsidR="0078449D">
        <w:t>(</w:t>
      </w:r>
      <w:r w:rsidRPr="00160290">
        <w:t>such as fire safety systems</w:t>
      </w:r>
      <w:r w:rsidR="0078449D">
        <w:t>)</w:t>
      </w:r>
      <w:r w:rsidRPr="00160290">
        <w:t>.</w:t>
      </w:r>
    </w:p>
    <w:p w:rsidR="00011DF3" w:rsidRDefault="00011DF3">
      <w:pPr>
        <w:spacing w:after="0"/>
      </w:pPr>
      <w:r>
        <w:br w:type="page"/>
      </w:r>
    </w:p>
    <w:p w:rsidR="003A7FBC" w:rsidRPr="00160290" w:rsidRDefault="003A7FBC" w:rsidP="00FF7CA7">
      <w:pPr>
        <w:pStyle w:val="Normalpre-dotpoint"/>
      </w:pPr>
      <w:r w:rsidRPr="00160290">
        <w:lastRenderedPageBreak/>
        <w:t>Functions and powers of a building surveyor under the Act and Regulations include:</w:t>
      </w:r>
    </w:p>
    <w:p w:rsidR="003A7FBC" w:rsidRPr="00160290" w:rsidRDefault="003A7FBC" w:rsidP="00FF7CA7">
      <w:pPr>
        <w:pStyle w:val="Dotpoint"/>
      </w:pPr>
      <w:r w:rsidRPr="00160290">
        <w:t>issuing building permits and temporary approvals</w:t>
      </w:r>
    </w:p>
    <w:p w:rsidR="003A7FBC" w:rsidRPr="00160290" w:rsidRDefault="003A7FBC" w:rsidP="00FF7CA7">
      <w:pPr>
        <w:pStyle w:val="Dotpoint"/>
      </w:pPr>
      <w:r w:rsidRPr="00160290">
        <w:t>arranging and undertaking inspections of building work to determine compliance with the Act</w:t>
      </w:r>
      <w:r w:rsidR="0078449D">
        <w:t xml:space="preserve"> and </w:t>
      </w:r>
      <w:r w:rsidRPr="00160290">
        <w:t>Regulations (including relevant building standards) and the building permit</w:t>
      </w:r>
    </w:p>
    <w:p w:rsidR="002129C8" w:rsidRPr="00160290" w:rsidRDefault="003A7FBC" w:rsidP="00FF7CA7">
      <w:pPr>
        <w:pStyle w:val="Dotpoint"/>
      </w:pPr>
      <w:r w:rsidRPr="00160290">
        <w:t>taking actions authorised under the Act and Regulations to ensure building work complies with the Act</w:t>
      </w:r>
      <w:r w:rsidR="0078449D">
        <w:t xml:space="preserve"> and </w:t>
      </w:r>
      <w:r w:rsidRPr="00160290">
        <w:t>Regulations and the building permit, including issuing</w:t>
      </w:r>
      <w:r w:rsidR="0078449D">
        <w:t>:</w:t>
      </w:r>
    </w:p>
    <w:p w:rsidR="003A7FBC" w:rsidRPr="00160290" w:rsidRDefault="003A7FBC" w:rsidP="00FF7CA7">
      <w:pPr>
        <w:pStyle w:val="Dotpoint"/>
        <w:numPr>
          <w:ilvl w:val="1"/>
          <w:numId w:val="58"/>
        </w:numPr>
      </w:pPr>
      <w:r w:rsidRPr="00160290">
        <w:t>building notices</w:t>
      </w:r>
    </w:p>
    <w:p w:rsidR="002129C8" w:rsidRPr="00160290" w:rsidRDefault="003A7FBC" w:rsidP="00FF7CA7">
      <w:pPr>
        <w:pStyle w:val="Dotpoint"/>
        <w:numPr>
          <w:ilvl w:val="1"/>
          <w:numId w:val="58"/>
        </w:numPr>
      </w:pPr>
      <w:r w:rsidRPr="00160290">
        <w:t>building orders</w:t>
      </w:r>
    </w:p>
    <w:p w:rsidR="003A7FBC" w:rsidRPr="00160290" w:rsidRDefault="003A7FBC" w:rsidP="00FF7CA7">
      <w:pPr>
        <w:pStyle w:val="Dotpoint"/>
        <w:numPr>
          <w:ilvl w:val="1"/>
          <w:numId w:val="58"/>
        </w:numPr>
      </w:pPr>
      <w:r w:rsidRPr="00160290">
        <w:t>directions to fix building work</w:t>
      </w:r>
    </w:p>
    <w:p w:rsidR="003A7FBC" w:rsidRPr="00160290" w:rsidRDefault="003A7FBC" w:rsidP="00FF7CA7">
      <w:pPr>
        <w:pStyle w:val="Dotpoint"/>
        <w:numPr>
          <w:ilvl w:val="1"/>
          <w:numId w:val="58"/>
        </w:numPr>
      </w:pPr>
      <w:r w:rsidRPr="00160290">
        <w:t>approving the use and occupation of buildings or parts of buildings in accordance with the Act and Regulations including issuing occupancy permits and certificates of final inspection</w:t>
      </w:r>
    </w:p>
    <w:p w:rsidR="003A7FBC" w:rsidRPr="00160290" w:rsidRDefault="003A7FBC" w:rsidP="00FF7CA7">
      <w:pPr>
        <w:pStyle w:val="Dotpointlast"/>
        <w:numPr>
          <w:ilvl w:val="1"/>
          <w:numId w:val="58"/>
        </w:numPr>
      </w:pPr>
      <w:r w:rsidRPr="00160290">
        <w:t>in relation to building work that has been inspected personally by that building surveyor, issuing a report of stage inspection stating that the building work complies with the Act and Regulations.</w:t>
      </w:r>
    </w:p>
    <w:p w:rsidR="003A7FBC" w:rsidRPr="00357F56" w:rsidRDefault="00357F56" w:rsidP="00357F56">
      <w:pPr>
        <w:pStyle w:val="Heading3"/>
      </w:pPr>
      <w:bookmarkStart w:id="29" w:name="_Toc481502179"/>
      <w:r w:rsidRPr="00357F56">
        <w:t>C2.3.2</w:t>
      </w:r>
      <w:r w:rsidRPr="00357F56">
        <w:tab/>
      </w:r>
      <w:r w:rsidR="003A7FBC" w:rsidRPr="00357F56">
        <w:t>Volume of work undertaken by registered building surveyors in Victoria</w:t>
      </w:r>
      <w:bookmarkEnd w:id="29"/>
    </w:p>
    <w:p w:rsidR="003A7FBC" w:rsidRPr="00160290" w:rsidRDefault="00435661" w:rsidP="00FF7CA7">
      <w:pPr>
        <w:pStyle w:val="Normalpre-dotpoint"/>
      </w:pPr>
      <w:r>
        <w:t>I</w:t>
      </w:r>
      <w:r w:rsidR="003A7FBC" w:rsidRPr="00160290">
        <w:t>n 2015</w:t>
      </w:r>
      <w:r>
        <w:t>–</w:t>
      </w:r>
      <w:r w:rsidR="003A7FBC" w:rsidRPr="00160290">
        <w:t>16:</w:t>
      </w:r>
    </w:p>
    <w:p w:rsidR="002129C8" w:rsidRPr="00160290" w:rsidRDefault="003A7FBC" w:rsidP="00FF7CA7">
      <w:pPr>
        <w:pStyle w:val="Dotpoint"/>
      </w:pPr>
      <w:r w:rsidRPr="00160290">
        <w:t xml:space="preserve">10,085 building permits were issued by people registered in the category of </w:t>
      </w:r>
      <w:r w:rsidR="00BC1922">
        <w:t>b</w:t>
      </w:r>
      <w:r w:rsidRPr="00160290">
        <w:t xml:space="preserve">uilding </w:t>
      </w:r>
      <w:r w:rsidR="00BC1922">
        <w:t>s</w:t>
      </w:r>
      <w:r w:rsidRPr="00160290">
        <w:t>urveyor (</w:t>
      </w:r>
      <w:r w:rsidR="00BC1922">
        <w:t>l</w:t>
      </w:r>
      <w:r w:rsidRPr="00160290">
        <w:t>imited)</w:t>
      </w:r>
      <w:r w:rsidR="00435661">
        <w:t>:</w:t>
      </w:r>
    </w:p>
    <w:p w:rsidR="002129C8" w:rsidRPr="00160290" w:rsidRDefault="00435661" w:rsidP="00D6050F">
      <w:pPr>
        <w:pStyle w:val="Dotpoint"/>
        <w:numPr>
          <w:ilvl w:val="1"/>
          <w:numId w:val="58"/>
        </w:numPr>
      </w:pPr>
      <w:r>
        <w:t>o</w:t>
      </w:r>
      <w:r w:rsidR="003A7FBC" w:rsidRPr="00160290">
        <w:t>n average, this amount</w:t>
      </w:r>
      <w:r>
        <w:t>ed</w:t>
      </w:r>
      <w:r w:rsidR="003A7FBC" w:rsidRPr="00160290">
        <w:t xml:space="preserve"> to 93 permits issued per practitioner in that financial year (using 365 days, this amounts to </w:t>
      </w:r>
      <w:proofErr w:type="spellStart"/>
      <w:r w:rsidR="003A7FBC" w:rsidRPr="00160290">
        <w:t>on</w:t>
      </w:r>
      <w:proofErr w:type="spellEnd"/>
      <w:r w:rsidR="003A7FBC" w:rsidRPr="00160290">
        <w:t xml:space="preserve"> average 3.8 days spent issuing and managing each permit)</w:t>
      </w:r>
    </w:p>
    <w:p w:rsidR="003A7FBC" w:rsidRPr="00160290" w:rsidRDefault="00435661" w:rsidP="00D6050F">
      <w:pPr>
        <w:pStyle w:val="Dotpoint"/>
        <w:numPr>
          <w:ilvl w:val="1"/>
          <w:numId w:val="58"/>
        </w:numPr>
      </w:pPr>
      <w:r>
        <w:t>o</w:t>
      </w:r>
      <w:r w:rsidR="003A7FBC" w:rsidRPr="00160290">
        <w:t>f these 10,085 permits:</w:t>
      </w:r>
    </w:p>
    <w:p w:rsidR="002129C8" w:rsidRPr="00160290" w:rsidRDefault="003A7FBC" w:rsidP="00D6050F">
      <w:pPr>
        <w:pStyle w:val="Dotpoint"/>
        <w:numPr>
          <w:ilvl w:val="2"/>
          <w:numId w:val="58"/>
        </w:numPr>
      </w:pPr>
      <w:r w:rsidRPr="00160290">
        <w:t>9,354 permits were issued in relation to domestic building work (92.75% of permits, at a reported cost of building work of $1,118,164,771)</w:t>
      </w:r>
    </w:p>
    <w:p w:rsidR="002129C8" w:rsidRPr="00160290" w:rsidRDefault="003A7FBC" w:rsidP="00D6050F">
      <w:pPr>
        <w:pStyle w:val="Dotpoint"/>
        <w:numPr>
          <w:ilvl w:val="2"/>
          <w:numId w:val="58"/>
        </w:numPr>
      </w:pPr>
      <w:r w:rsidRPr="00160290">
        <w:t xml:space="preserve">the balance of permits </w:t>
      </w:r>
      <w:r w:rsidR="00435661">
        <w:t xml:space="preserve">was </w:t>
      </w:r>
      <w:r w:rsidRPr="00160290">
        <w:t>issued in relation to commercial, retail, health</w:t>
      </w:r>
      <w:r w:rsidR="00703FD9" w:rsidRPr="00160290">
        <w:t>care</w:t>
      </w:r>
      <w:r w:rsidRPr="00160290">
        <w:t>, industrial and public</w:t>
      </w:r>
      <w:r w:rsidR="00435661">
        <w:t>-</w:t>
      </w:r>
      <w:r w:rsidRPr="00160290">
        <w:t>use buildings (with a reported cost of building work of $119,380,023)</w:t>
      </w:r>
    </w:p>
    <w:p w:rsidR="002129C8" w:rsidRPr="00160290" w:rsidRDefault="003A7FBC" w:rsidP="00D6050F">
      <w:pPr>
        <w:pStyle w:val="Dotpoint"/>
      </w:pPr>
      <w:r w:rsidRPr="00160290">
        <w:t xml:space="preserve">99,984 building permits were issued by 558 people registered in the category of </w:t>
      </w:r>
      <w:r w:rsidR="00BC1922">
        <w:t>b</w:t>
      </w:r>
      <w:r w:rsidRPr="00160290">
        <w:t xml:space="preserve">uilding </w:t>
      </w:r>
      <w:r w:rsidR="00BC1922">
        <w:t>s</w:t>
      </w:r>
      <w:r w:rsidRPr="00160290">
        <w:t>urveyor (</w:t>
      </w:r>
      <w:r w:rsidR="00BC1922">
        <w:t>u</w:t>
      </w:r>
      <w:r w:rsidRPr="00160290">
        <w:t>nlimited)</w:t>
      </w:r>
      <w:r w:rsidR="00435661">
        <w:t>:</w:t>
      </w:r>
    </w:p>
    <w:p w:rsidR="003A7FBC" w:rsidRPr="00160290" w:rsidRDefault="00435661" w:rsidP="00D6050F">
      <w:pPr>
        <w:pStyle w:val="Dotpoint"/>
        <w:numPr>
          <w:ilvl w:val="1"/>
          <w:numId w:val="58"/>
        </w:numPr>
      </w:pPr>
      <w:r>
        <w:t>o</w:t>
      </w:r>
      <w:r w:rsidR="003A7FBC" w:rsidRPr="00160290">
        <w:t>n average, this amount</w:t>
      </w:r>
      <w:r>
        <w:t>ed</w:t>
      </w:r>
      <w:r w:rsidR="003A7FBC" w:rsidRPr="00160290">
        <w:t xml:space="preserve"> to 179 permits issued per practitioner in that financial year (using 365 days, this amounts to </w:t>
      </w:r>
      <w:proofErr w:type="spellStart"/>
      <w:r w:rsidR="003A7FBC" w:rsidRPr="00160290">
        <w:t>on</w:t>
      </w:r>
      <w:proofErr w:type="spellEnd"/>
      <w:r w:rsidR="003A7FBC" w:rsidRPr="00160290">
        <w:t xml:space="preserve"> average 3.1 days spent on issuing and managing each permit in that year)</w:t>
      </w:r>
    </w:p>
    <w:p w:rsidR="003A7FBC" w:rsidRPr="00160290" w:rsidRDefault="009E37A3" w:rsidP="00D6050F">
      <w:pPr>
        <w:pStyle w:val="Dotpoint"/>
        <w:numPr>
          <w:ilvl w:val="1"/>
          <w:numId w:val="58"/>
        </w:numPr>
      </w:pPr>
      <w:r>
        <w:t>o</w:t>
      </w:r>
      <w:r w:rsidR="003A7FBC" w:rsidRPr="00160290">
        <w:t>f these 99,984 permits:</w:t>
      </w:r>
    </w:p>
    <w:p w:rsidR="003A7FBC" w:rsidRPr="00160290" w:rsidRDefault="003A7FBC" w:rsidP="00D6050F">
      <w:pPr>
        <w:pStyle w:val="Dotpoint"/>
        <w:numPr>
          <w:ilvl w:val="2"/>
          <w:numId w:val="58"/>
        </w:numPr>
      </w:pPr>
      <w:r w:rsidRPr="00160290">
        <w:t>81,316 permits were issued in relation to domestic building work (81.33% at a reported cost of building work of $15,085,823,192)</w:t>
      </w:r>
    </w:p>
    <w:p w:rsidR="00F71F1A" w:rsidRDefault="003A7FBC">
      <w:pPr>
        <w:pStyle w:val="Dotpoint"/>
        <w:numPr>
          <w:ilvl w:val="2"/>
          <w:numId w:val="58"/>
        </w:numPr>
        <w:spacing w:after="200"/>
        <w:ind w:left="851"/>
      </w:pPr>
      <w:r w:rsidRPr="00160290">
        <w:t xml:space="preserve">the balance </w:t>
      </w:r>
      <w:r w:rsidR="00435661">
        <w:t xml:space="preserve">of permits was issued </w:t>
      </w:r>
      <w:r w:rsidRPr="00160290">
        <w:t>in relation to commercial, retail, health</w:t>
      </w:r>
      <w:r w:rsidR="00703FD9" w:rsidRPr="00160290">
        <w:t>care</w:t>
      </w:r>
      <w:r w:rsidRPr="00160290">
        <w:t>, industrial and public</w:t>
      </w:r>
      <w:r w:rsidR="00435661">
        <w:t>-</w:t>
      </w:r>
      <w:r w:rsidRPr="00160290">
        <w:t>use buildings (at a reported cost of building work of $15,172,676,113)</w:t>
      </w:r>
    </w:p>
    <w:p w:rsidR="00F71F1A" w:rsidRDefault="003A7FBC">
      <w:r w:rsidRPr="00160290">
        <w:t xml:space="preserve">This means </w:t>
      </w:r>
      <w:r w:rsidR="00160290">
        <w:t>b</w:t>
      </w:r>
      <w:r w:rsidRPr="00160290">
        <w:t xml:space="preserve">uilding </w:t>
      </w:r>
      <w:r w:rsidR="00160290">
        <w:t>s</w:t>
      </w:r>
      <w:r w:rsidRPr="00160290">
        <w:t>urveyors (</w:t>
      </w:r>
      <w:r w:rsidR="00435661">
        <w:t>u</w:t>
      </w:r>
      <w:r w:rsidRPr="00160290">
        <w:t>nlimited) on average each issue</w:t>
      </w:r>
      <w:r w:rsidR="00435661">
        <w:t>d</w:t>
      </w:r>
      <w:r w:rsidRPr="00160290">
        <w:t xml:space="preserve"> a</w:t>
      </w:r>
      <w:r w:rsidR="00703FD9" w:rsidRPr="00160290">
        <w:t>bout</w:t>
      </w:r>
      <w:r w:rsidRPr="00160290">
        <w:t xml:space="preserve"> double the number of permits </w:t>
      </w:r>
      <w:r w:rsidR="00435661">
        <w:t xml:space="preserve">a year as did </w:t>
      </w:r>
      <w:r w:rsidR="00160290">
        <w:t>b</w:t>
      </w:r>
      <w:r w:rsidRPr="00160290">
        <w:t xml:space="preserve">uilding </w:t>
      </w:r>
      <w:r w:rsidR="00160290">
        <w:t>s</w:t>
      </w:r>
      <w:r w:rsidRPr="00160290">
        <w:t>urveyors (</w:t>
      </w:r>
      <w:r w:rsidR="00435661">
        <w:t>l</w:t>
      </w:r>
      <w:r w:rsidRPr="00160290">
        <w:t>imited).</w:t>
      </w:r>
    </w:p>
    <w:p w:rsidR="00011DF3" w:rsidRDefault="00011DF3">
      <w:pPr>
        <w:spacing w:after="0"/>
        <w:rPr>
          <w:rFonts w:asciiTheme="majorHAnsi" w:hAnsiTheme="majorHAnsi"/>
          <w:i/>
          <w:color w:val="00B2A9" w:themeColor="accent1"/>
          <w:sz w:val="28"/>
        </w:rPr>
      </w:pPr>
      <w:bookmarkStart w:id="30" w:name="_Toc481502180"/>
      <w:r>
        <w:br w:type="page"/>
      </w:r>
    </w:p>
    <w:p w:rsidR="003A7FBC" w:rsidRPr="00160290" w:rsidRDefault="00357F56" w:rsidP="00357F56">
      <w:pPr>
        <w:pStyle w:val="Heading3"/>
      </w:pPr>
      <w:r>
        <w:lastRenderedPageBreak/>
        <w:t>C2.3.3</w:t>
      </w:r>
      <w:r>
        <w:tab/>
      </w:r>
      <w:r w:rsidR="003A7FBC" w:rsidRPr="00160290">
        <w:t>Performance of building surveyors</w:t>
      </w:r>
      <w:bookmarkEnd w:id="30"/>
    </w:p>
    <w:p w:rsidR="002129C8" w:rsidRPr="00160290" w:rsidRDefault="003A7FBC" w:rsidP="00D6050F">
      <w:r w:rsidRPr="00160290">
        <w:t xml:space="preserve">The scope of regulated work of building surveyors, as set out above, necessarily charges the building surveyor with a statutory responsibility to mitigate risk to owners, occupants and users of a building by ensuring </w:t>
      </w:r>
      <w:r w:rsidR="00435661">
        <w:t xml:space="preserve">the </w:t>
      </w:r>
      <w:r w:rsidRPr="00160290">
        <w:t xml:space="preserve">building work </w:t>
      </w:r>
      <w:r w:rsidR="00435661">
        <w:t xml:space="preserve">complies </w:t>
      </w:r>
      <w:r w:rsidRPr="00160290">
        <w:t>(at both the design and construction stages) with building standards, the Act and Regulations.</w:t>
      </w:r>
    </w:p>
    <w:p w:rsidR="00435661" w:rsidRDefault="003A7FBC" w:rsidP="00D6050F">
      <w:r w:rsidRPr="00160290">
        <w:t xml:space="preserve">Building standards are the minimum necessary standards </w:t>
      </w:r>
      <w:r w:rsidR="00435661">
        <w:t xml:space="preserve">for </w:t>
      </w:r>
      <w:r w:rsidRPr="00160290">
        <w:t>safety (including structural safety and safety from fire), health, amenity and sustainability.</w:t>
      </w:r>
      <w:r w:rsidR="002129C8" w:rsidRPr="00160290">
        <w:t xml:space="preserve"> </w:t>
      </w:r>
      <w:r w:rsidRPr="00160290">
        <w:t>If these standards are not required and enforced, harm (</w:t>
      </w:r>
      <w:r w:rsidR="00435661">
        <w:t xml:space="preserve">for example, </w:t>
      </w:r>
      <w:r w:rsidRPr="00160290">
        <w:t>safety, health and financial) may result to the building owners, occupants and users.</w:t>
      </w:r>
      <w:r w:rsidR="002129C8" w:rsidRPr="00160290">
        <w:t xml:space="preserve"> </w:t>
      </w:r>
      <w:r w:rsidRPr="00160290">
        <w:t>Higher</w:t>
      </w:r>
      <w:r w:rsidR="00435661">
        <w:t xml:space="preserve"> </w:t>
      </w:r>
      <w:r w:rsidRPr="00160290">
        <w:t>/</w:t>
      </w:r>
      <w:r w:rsidR="00435661">
        <w:t xml:space="preserve"> </w:t>
      </w:r>
      <w:r w:rsidRPr="00160290">
        <w:t>larger buildings present greater risks and require more</w:t>
      </w:r>
      <w:r w:rsidR="00355370">
        <w:t>-</w:t>
      </w:r>
      <w:r w:rsidRPr="00160290">
        <w:t>complex safety features</w:t>
      </w:r>
      <w:r w:rsidR="00435661">
        <w:t xml:space="preserve"> (</w:t>
      </w:r>
      <w:r w:rsidRPr="00160290">
        <w:t>for example</w:t>
      </w:r>
      <w:r w:rsidR="00435661">
        <w:t>,</w:t>
      </w:r>
      <w:r w:rsidRPr="00160290">
        <w:t xml:space="preserve"> in relation to egress, emergency evacuation</w:t>
      </w:r>
      <w:r w:rsidR="00435661">
        <w:t xml:space="preserve"> and</w:t>
      </w:r>
      <w:r w:rsidRPr="00160290">
        <w:t xml:space="preserve"> fire safety systems</w:t>
      </w:r>
      <w:r w:rsidR="00435661">
        <w:t>)</w:t>
      </w:r>
      <w:r w:rsidRPr="00160290">
        <w:t>.</w:t>
      </w:r>
    </w:p>
    <w:p w:rsidR="002129C8" w:rsidRPr="00160290" w:rsidRDefault="003A7FBC" w:rsidP="00D6050F">
      <w:r w:rsidRPr="00160290">
        <w:t xml:space="preserve">Building </w:t>
      </w:r>
      <w:r w:rsidR="00435661">
        <w:t>s</w:t>
      </w:r>
      <w:r w:rsidRPr="00160290">
        <w:t>urveyors (</w:t>
      </w:r>
      <w:r w:rsidR="00435661">
        <w:t>u</w:t>
      </w:r>
      <w:r w:rsidRPr="00160290">
        <w:t>nlimited) are generally responsible for approving more</w:t>
      </w:r>
      <w:r w:rsidR="00435661">
        <w:t>-</w:t>
      </w:r>
      <w:r w:rsidRPr="00160290">
        <w:t xml:space="preserve">complex building projects than </w:t>
      </w:r>
      <w:r w:rsidR="00160290">
        <w:t>b</w:t>
      </w:r>
      <w:r w:rsidRPr="00160290">
        <w:t xml:space="preserve">uilding </w:t>
      </w:r>
      <w:r w:rsidR="00160290">
        <w:t>s</w:t>
      </w:r>
      <w:r w:rsidRPr="00160290">
        <w:t>urveyors (</w:t>
      </w:r>
      <w:r w:rsidR="00435661">
        <w:t>l</w:t>
      </w:r>
      <w:r w:rsidRPr="00160290">
        <w:t>imited), which necessarily involve a higher level of risk to building owners, occupiers and users should something go wrong.</w:t>
      </w:r>
    </w:p>
    <w:p w:rsidR="002129C8" w:rsidRPr="00160290" w:rsidRDefault="003A7FBC" w:rsidP="00D6050F">
      <w:r w:rsidRPr="00160290">
        <w:t>To gain an understanding of how well building surveyors in Victoria are performing their statutory functions and powers, and if this performance relates in any way to the qualification eligibility requirement for registration, the performance of building surveyors is briefly considered below.</w:t>
      </w:r>
    </w:p>
    <w:p w:rsidR="00F71F1A" w:rsidRDefault="00357F56" w:rsidP="00357F56">
      <w:pPr>
        <w:pStyle w:val="Heading3"/>
      </w:pPr>
      <w:bookmarkStart w:id="31" w:name="_Toc481502181"/>
      <w:r>
        <w:t>C2.3.4</w:t>
      </w:r>
      <w:r>
        <w:tab/>
      </w:r>
      <w:r w:rsidR="00435661">
        <w:t xml:space="preserve">2011 </w:t>
      </w:r>
      <w:r w:rsidR="00435661" w:rsidRPr="00435661">
        <w:t xml:space="preserve">Compliance with Building Permits </w:t>
      </w:r>
      <w:r w:rsidR="00435661">
        <w:t>report</w:t>
      </w:r>
      <w:bookmarkEnd w:id="31"/>
    </w:p>
    <w:p w:rsidR="003A7FBC" w:rsidRPr="00160290" w:rsidRDefault="003A7FBC" w:rsidP="00435661">
      <w:r w:rsidRPr="00435661">
        <w:t xml:space="preserve">In 2011, in relation to the performance of building surveyors, the </w:t>
      </w:r>
      <w:r w:rsidR="00435661" w:rsidRPr="00435661">
        <w:t xml:space="preserve">Victorian Auditor-General's Office </w:t>
      </w:r>
      <w:r w:rsidR="006C108D">
        <w:t xml:space="preserve">(VAGO) </w:t>
      </w:r>
      <w:r w:rsidRPr="00435661">
        <w:t xml:space="preserve">concluded </w:t>
      </w:r>
      <w:r w:rsidR="00435661" w:rsidRPr="00435661">
        <w:t xml:space="preserve">in his </w:t>
      </w:r>
      <w:r w:rsidR="00D3125B" w:rsidRPr="00D3125B">
        <w:rPr>
          <w:i/>
        </w:rPr>
        <w:t>Compliance with Building Permits</w:t>
      </w:r>
      <w:r w:rsidR="00D3125B" w:rsidRPr="00D3125B">
        <w:t xml:space="preserve"> report </w:t>
      </w:r>
      <w:r w:rsidRPr="00435661">
        <w:t xml:space="preserve">that there are significant gaps in the documentation lodged by building surveyors </w:t>
      </w:r>
      <w:r w:rsidR="00435661">
        <w:t xml:space="preserve">with </w:t>
      </w:r>
      <w:r w:rsidRPr="00435661">
        <w:t>councils.</w:t>
      </w:r>
      <w:r w:rsidRPr="00160290">
        <w:t xml:space="preserve"> This absence of documentary evidence to support assessments provides little assurance that surveyors have carried out their responsibilities effectively and that they are adequately upholding and enforcing building and safety requirements.</w:t>
      </w:r>
      <w:r w:rsidRPr="00160290">
        <w:rPr>
          <w:rStyle w:val="FootnoteReference"/>
        </w:rPr>
        <w:footnoteReference w:id="22"/>
      </w:r>
    </w:p>
    <w:p w:rsidR="003A7FBC" w:rsidRPr="00160290" w:rsidRDefault="00357F56" w:rsidP="00357F56">
      <w:pPr>
        <w:pStyle w:val="Heading3"/>
      </w:pPr>
      <w:bookmarkStart w:id="32" w:name="_Toc481502182"/>
      <w:r>
        <w:t>C2.3.5</w:t>
      </w:r>
      <w:r>
        <w:tab/>
      </w:r>
      <w:r w:rsidR="003A7FBC" w:rsidRPr="00160290">
        <w:t>Discipline of building surveyors</w:t>
      </w:r>
      <w:bookmarkEnd w:id="32"/>
    </w:p>
    <w:p w:rsidR="002129C8" w:rsidRPr="00160290" w:rsidRDefault="00435661" w:rsidP="00435661">
      <w:r>
        <w:t xml:space="preserve">Based on </w:t>
      </w:r>
      <w:r w:rsidR="000700D8">
        <w:t>authority</w:t>
      </w:r>
      <w:r w:rsidR="003A7FBC" w:rsidRPr="00160290">
        <w:t xml:space="preserve"> information</w:t>
      </w:r>
      <w:r>
        <w:t xml:space="preserve">, </w:t>
      </w:r>
      <w:r w:rsidR="003A7FBC" w:rsidRPr="00160290">
        <w:t>between 2009</w:t>
      </w:r>
      <w:r>
        <w:t>–</w:t>
      </w:r>
      <w:r w:rsidR="003A7FBC" w:rsidRPr="00160290">
        <w:t>13 (inclusive)</w:t>
      </w:r>
      <w:r>
        <w:t xml:space="preserve">, </w:t>
      </w:r>
      <w:r w:rsidR="003A7FBC" w:rsidRPr="00160290">
        <w:t xml:space="preserve">197 disciplinary inquiries were carried out by the </w:t>
      </w:r>
      <w:r w:rsidR="006C108D">
        <w:t>BPB</w:t>
      </w:r>
      <w:r w:rsidR="003A7FBC" w:rsidRPr="00160290">
        <w:t xml:space="preserve"> into the conduct of </w:t>
      </w:r>
      <w:r w:rsidR="00160290">
        <w:t>b</w:t>
      </w:r>
      <w:r w:rsidR="003A7FBC" w:rsidRPr="00160290">
        <w:t xml:space="preserve">uilding </w:t>
      </w:r>
      <w:r w:rsidR="00160290">
        <w:t>s</w:t>
      </w:r>
      <w:r w:rsidR="003A7FBC" w:rsidRPr="00160290">
        <w:t>urveyors (</w:t>
      </w:r>
      <w:r>
        <w:t>u</w:t>
      </w:r>
      <w:r w:rsidR="003A7FBC" w:rsidRPr="00160290">
        <w:t>nlimited).</w:t>
      </w:r>
      <w:r w:rsidR="003A7FBC" w:rsidRPr="00160290">
        <w:rPr>
          <w:rStyle w:val="FootnoteReference"/>
        </w:rPr>
        <w:footnoteReference w:id="23"/>
      </w:r>
      <w:r w:rsidR="003A7FBC" w:rsidRPr="00160290">
        <w:t xml:space="preserve"> As a result of these inquiries, 95% of findings in relation to culpable practitioners were that the building surveyor breached the Act or Regulations.</w:t>
      </w:r>
      <w:r w:rsidR="002129C8" w:rsidRPr="00160290">
        <w:t xml:space="preserve"> </w:t>
      </w:r>
      <w:r w:rsidR="003A7FBC" w:rsidRPr="00160290">
        <w:t xml:space="preserve">The remaining 5% of decisions were findings of unprofessional conduct, misconduct in relation to </w:t>
      </w:r>
      <w:r>
        <w:t xml:space="preserve">their </w:t>
      </w:r>
      <w:r w:rsidR="003A7FBC" w:rsidRPr="00160290">
        <w:t>practice as a building practitioner and the employment or engagement of a person to do</w:t>
      </w:r>
      <w:r>
        <w:t xml:space="preserve"> </w:t>
      </w:r>
      <w:r w:rsidR="003A7FBC" w:rsidRPr="00160290">
        <w:t xml:space="preserve">on </w:t>
      </w:r>
      <w:r>
        <w:t xml:space="preserve">their </w:t>
      </w:r>
      <w:r w:rsidR="003A7FBC" w:rsidRPr="00160290">
        <w:t xml:space="preserve">behalf work that </w:t>
      </w:r>
      <w:r>
        <w:t xml:space="preserve">could </w:t>
      </w:r>
      <w:r w:rsidR="003A7FBC" w:rsidRPr="00160290">
        <w:t xml:space="preserve">only be done by a person registered under the Act and the person </w:t>
      </w:r>
      <w:r>
        <w:t xml:space="preserve">was </w:t>
      </w:r>
      <w:r w:rsidR="003A7FBC" w:rsidRPr="00160290">
        <w:t>not so registered.</w:t>
      </w:r>
    </w:p>
    <w:p w:rsidR="003A7FBC" w:rsidRPr="00160290" w:rsidRDefault="00435661" w:rsidP="00D6050F">
      <w:pPr>
        <w:pStyle w:val="Normalpre-dotpoint"/>
      </w:pPr>
      <w:r>
        <w:t>B</w:t>
      </w:r>
      <w:r w:rsidR="003A7FBC" w:rsidRPr="00160290">
        <w:t xml:space="preserve">reaches of the Act or Regulations by </w:t>
      </w:r>
      <w:r w:rsidR="00160290">
        <w:t>b</w:t>
      </w:r>
      <w:r w:rsidR="003A7FBC" w:rsidRPr="00160290">
        <w:t xml:space="preserve">uilding </w:t>
      </w:r>
      <w:r w:rsidR="00160290">
        <w:t>s</w:t>
      </w:r>
      <w:r w:rsidR="003A7FBC" w:rsidRPr="00160290">
        <w:t>urveyors (</w:t>
      </w:r>
      <w:r>
        <w:t>u</w:t>
      </w:r>
      <w:r w:rsidR="003A7FBC" w:rsidRPr="00160290">
        <w:t>nlimited) during the period include</w:t>
      </w:r>
      <w:r>
        <w:t>d</w:t>
      </w:r>
      <w:r w:rsidR="003A7FBC" w:rsidRPr="00160290">
        <w:t>:</w:t>
      </w:r>
    </w:p>
    <w:p w:rsidR="003A7FBC" w:rsidRPr="00160290" w:rsidRDefault="00435661" w:rsidP="00D6050F">
      <w:pPr>
        <w:pStyle w:val="Dotpoint"/>
      </w:pPr>
      <w:r>
        <w:t>b</w:t>
      </w:r>
      <w:r w:rsidR="003A7FBC" w:rsidRPr="00160290">
        <w:t>reaches of s</w:t>
      </w:r>
      <w:r>
        <w:t xml:space="preserve"> </w:t>
      </w:r>
      <w:r w:rsidR="003A7FBC" w:rsidRPr="00160290">
        <w:t>24 of the Act by failing to refuse a building permit in a situation where it must be refused (58% of findings)</w:t>
      </w:r>
    </w:p>
    <w:p w:rsidR="002129C8" w:rsidRPr="00160290" w:rsidRDefault="00435661" w:rsidP="00D6050F">
      <w:pPr>
        <w:pStyle w:val="Dotpoint"/>
      </w:pPr>
      <w:r>
        <w:t>f</w:t>
      </w:r>
      <w:r w:rsidR="003A7FBC" w:rsidRPr="00160290">
        <w:t xml:space="preserve">ailing to give copies of permits and documents to </w:t>
      </w:r>
      <w:r>
        <w:t xml:space="preserve">a </w:t>
      </w:r>
      <w:r w:rsidR="003A7FBC" w:rsidRPr="00160290">
        <w:t>council (24% of findings)</w:t>
      </w:r>
    </w:p>
    <w:p w:rsidR="00F71F1A" w:rsidRDefault="00435661">
      <w:pPr>
        <w:pStyle w:val="Dotpointlast"/>
      </w:pPr>
      <w:r>
        <w:t>f</w:t>
      </w:r>
      <w:r w:rsidR="003A7FBC" w:rsidRPr="00160290">
        <w:t xml:space="preserve">ailing to notify </w:t>
      </w:r>
      <w:r>
        <w:t xml:space="preserve">a </w:t>
      </w:r>
      <w:r w:rsidR="003A7FBC" w:rsidRPr="00160290">
        <w:t>council of their appointment as the relevant building surveyor and also of the building work in respect of which the</w:t>
      </w:r>
      <w:r>
        <w:t xml:space="preserve">y were </w:t>
      </w:r>
      <w:r w:rsidR="003A7FBC" w:rsidRPr="00160290">
        <w:t>appointed (8% of findings)</w:t>
      </w:r>
      <w:r>
        <w:t>.</w:t>
      </w:r>
    </w:p>
    <w:p w:rsidR="00F71F1A" w:rsidRDefault="003A7FBC">
      <w:r w:rsidRPr="00160290">
        <w:t>The balance relat</w:t>
      </w:r>
      <w:r w:rsidR="00435661">
        <w:t>ed</w:t>
      </w:r>
      <w:r w:rsidRPr="00160290">
        <w:t xml:space="preserve"> to findings of claiming to be insured when uninsured and issuing an occupancy permit in contravention of s 44 of the Act.</w:t>
      </w:r>
    </w:p>
    <w:p w:rsidR="00011DF3" w:rsidRDefault="00011DF3">
      <w:pPr>
        <w:spacing w:after="0"/>
      </w:pPr>
      <w:r>
        <w:br w:type="page"/>
      </w:r>
    </w:p>
    <w:p w:rsidR="002129C8" w:rsidRPr="00160290" w:rsidRDefault="003A7FBC" w:rsidP="00D6050F">
      <w:r w:rsidRPr="00160290">
        <w:lastRenderedPageBreak/>
        <w:t xml:space="preserve">For the same period, only </w:t>
      </w:r>
      <w:r w:rsidR="00160290" w:rsidRPr="00160290">
        <w:t>four</w:t>
      </w:r>
      <w:r w:rsidRPr="00160290">
        <w:t xml:space="preserve"> disciplinary inquiries were carried out into the conduct of </w:t>
      </w:r>
      <w:r w:rsidR="00160290">
        <w:t>b</w:t>
      </w:r>
      <w:r w:rsidRPr="00160290">
        <w:t xml:space="preserve">uilding </w:t>
      </w:r>
      <w:r w:rsidR="00160290">
        <w:t>s</w:t>
      </w:r>
      <w:r w:rsidRPr="00160290">
        <w:t>urveyors (</w:t>
      </w:r>
      <w:r w:rsidR="00435661">
        <w:t>l</w:t>
      </w:r>
      <w:r w:rsidRPr="00160290">
        <w:t>imited). As a result of these inquiries, a</w:t>
      </w:r>
      <w:r w:rsidR="00703FD9" w:rsidRPr="00160290">
        <w:t>bout</w:t>
      </w:r>
      <w:r w:rsidRPr="00160290">
        <w:t xml:space="preserve"> 50% of findings </w:t>
      </w:r>
      <w:r w:rsidR="00703FD9" w:rsidRPr="00160290">
        <w:t>regarding</w:t>
      </w:r>
      <w:r w:rsidRPr="00160290">
        <w:t xml:space="preserve"> culpable practitioners were in relation to unprofessional conduct and 50% for breaches </w:t>
      </w:r>
      <w:r w:rsidR="00435661">
        <w:t xml:space="preserve">of </w:t>
      </w:r>
      <w:r w:rsidRPr="00160290">
        <w:t>the Act or Regulations.</w:t>
      </w:r>
    </w:p>
    <w:p w:rsidR="002129C8" w:rsidRPr="00160290" w:rsidRDefault="003A7FBC" w:rsidP="00D6050F">
      <w:r w:rsidRPr="00160290">
        <w:t>About half the breaches of the Act or Regulations related to making false or misleading statements</w:t>
      </w:r>
      <w:r w:rsidR="00435661">
        <w:t xml:space="preserve">; </w:t>
      </w:r>
      <w:r w:rsidRPr="00160290">
        <w:t>a</w:t>
      </w:r>
      <w:r w:rsidR="00703FD9" w:rsidRPr="00160290">
        <w:t>bout</w:t>
      </w:r>
      <w:r w:rsidRPr="00160290">
        <w:t xml:space="preserve"> 25% to a failure to provide </w:t>
      </w:r>
      <w:r w:rsidR="00435661">
        <w:t xml:space="preserve">a </w:t>
      </w:r>
      <w:r w:rsidRPr="00160290">
        <w:t>council with documents</w:t>
      </w:r>
      <w:r w:rsidR="00435661">
        <w:t>;</w:t>
      </w:r>
      <w:r w:rsidRPr="00160290">
        <w:t xml:space="preserve"> and a</w:t>
      </w:r>
      <w:r w:rsidR="00703FD9" w:rsidRPr="00160290">
        <w:t>bout</w:t>
      </w:r>
      <w:r w:rsidRPr="00160290">
        <w:t xml:space="preserve"> 25% </w:t>
      </w:r>
      <w:r w:rsidR="00435661">
        <w:t xml:space="preserve">to </w:t>
      </w:r>
      <w:r w:rsidRPr="00160290">
        <w:t>contravening s 24 of the Act by issuing a building permit when it should have been refused.</w:t>
      </w:r>
    </w:p>
    <w:p w:rsidR="002129C8" w:rsidRPr="00160290" w:rsidRDefault="003A7FBC" w:rsidP="00D6050F">
      <w:r w:rsidRPr="00160290">
        <w:t>At least 11 building surveyors had been subject to more than one inquiry into conduct which resulted in disciplinary action being taken.</w:t>
      </w:r>
    </w:p>
    <w:p w:rsidR="002129C8" w:rsidRPr="00160290" w:rsidRDefault="003A7FBC" w:rsidP="00D6050F">
      <w:r w:rsidRPr="00160290">
        <w:t xml:space="preserve">There </w:t>
      </w:r>
      <w:r w:rsidR="00435661">
        <w:t xml:space="preserve">were </w:t>
      </w:r>
      <w:r w:rsidRPr="00160290">
        <w:t xml:space="preserve">no reported inquiries into </w:t>
      </w:r>
      <w:r w:rsidR="00010CE1">
        <w:t xml:space="preserve">registered building surveyors’ </w:t>
      </w:r>
      <w:r w:rsidRPr="00160290">
        <w:t xml:space="preserve">ability to practise under s 180 </w:t>
      </w:r>
      <w:r w:rsidR="00435661">
        <w:t xml:space="preserve">of the </w:t>
      </w:r>
      <w:r w:rsidRPr="00160290">
        <w:t>Act</w:t>
      </w:r>
      <w:r w:rsidR="00435661">
        <w:t>. I</w:t>
      </w:r>
      <w:r w:rsidRPr="00160290">
        <w:t>t is assumed all disciplinary inquiries were conducted under the broad grounds available under s</w:t>
      </w:r>
      <w:r w:rsidR="00435661">
        <w:t xml:space="preserve"> </w:t>
      </w:r>
      <w:r w:rsidRPr="00160290">
        <w:t xml:space="preserve">179 of the Act – </w:t>
      </w:r>
      <w:r w:rsidR="00435661">
        <w:t>I</w:t>
      </w:r>
      <w:r w:rsidRPr="00160290">
        <w:t>nquiry into conduct).</w:t>
      </w:r>
    </w:p>
    <w:p w:rsidR="002129C8" w:rsidRPr="00160290" w:rsidRDefault="003A7FBC" w:rsidP="00D6050F">
      <w:r w:rsidRPr="00160290">
        <w:t>It is not discernible from the information available, especially in relation to findings which involved a breach of the Act or Regulations, whether the reason for the culpable conduct was because of an unfamiliarity with the relevant parts of the Act and/or Regulations or intentional noncompliance.</w:t>
      </w:r>
      <w:r w:rsidR="002129C8" w:rsidRPr="00160290">
        <w:t xml:space="preserve"> </w:t>
      </w:r>
      <w:r w:rsidRPr="00160290">
        <w:t xml:space="preserve">In any event, the knowledge and experience (qualification) eligibility requirements for registration as a building practitioner, together with </w:t>
      </w:r>
      <w:r w:rsidR="000E2924">
        <w:t>VBA</w:t>
      </w:r>
      <w:r w:rsidRPr="00160290">
        <w:t xml:space="preserve">’s knowledge and experience assessment framework applied to all applications for registration, are designed to ensure that at the point of registration the applicant has sufficient knowledge and experience to competently perform the scope of regulated work of a building surveyor. This necessarily requires demonstrating to </w:t>
      </w:r>
      <w:r w:rsidR="000E2924">
        <w:t>VBA</w:t>
      </w:r>
      <w:r w:rsidRPr="00160290">
        <w:t xml:space="preserve"> a sound working knowledge of the Act and Regulations.</w:t>
      </w:r>
    </w:p>
    <w:p w:rsidR="003A7FBC" w:rsidRPr="00357F56" w:rsidRDefault="00357F56" w:rsidP="00357F56">
      <w:pPr>
        <w:pStyle w:val="Heading2"/>
      </w:pPr>
      <w:bookmarkStart w:id="33" w:name="_Toc481502183"/>
      <w:r>
        <w:t>C</w:t>
      </w:r>
      <w:r w:rsidRPr="00357F56">
        <w:t>2.4</w:t>
      </w:r>
      <w:r w:rsidRPr="00357F56">
        <w:tab/>
      </w:r>
      <w:r w:rsidR="003A7FBC" w:rsidRPr="00357F56">
        <w:t xml:space="preserve">Practitioner </w:t>
      </w:r>
      <w:r w:rsidR="009A6A1B" w:rsidRPr="00357F56">
        <w:t>i</w:t>
      </w:r>
      <w:r w:rsidR="003A7FBC" w:rsidRPr="00357F56">
        <w:t>ssues – qualifications and experience</w:t>
      </w:r>
      <w:bookmarkEnd w:id="33"/>
    </w:p>
    <w:p w:rsidR="003A7FBC" w:rsidRPr="00160290" w:rsidRDefault="003A7FBC" w:rsidP="00D6050F">
      <w:r w:rsidRPr="00160290">
        <w:t>As</w:t>
      </w:r>
      <w:r w:rsidR="009A6A1B">
        <w:t xml:space="preserve"> explained </w:t>
      </w:r>
      <w:r w:rsidRPr="00160290">
        <w:t xml:space="preserve">in </w:t>
      </w:r>
      <w:r w:rsidR="000E2924">
        <w:t xml:space="preserve">RIS </w:t>
      </w:r>
      <w:r w:rsidRPr="00160290">
        <w:t>Part A, building practitioner</w:t>
      </w:r>
      <w:r w:rsidR="009A6A1B">
        <w:t>s'</w:t>
      </w:r>
      <w:r w:rsidRPr="00160290">
        <w:t xml:space="preserve"> incompetence can have a multitude of </w:t>
      </w:r>
      <w:r w:rsidR="009A6A1B">
        <w:t xml:space="preserve">harms for </w:t>
      </w:r>
      <w:r w:rsidRPr="00160290">
        <w:t xml:space="preserve">the building industry and </w:t>
      </w:r>
      <w:r w:rsidR="009A6A1B">
        <w:t xml:space="preserve">on </w:t>
      </w:r>
      <w:r w:rsidRPr="00160290">
        <w:t xml:space="preserve">society more broadly. These harms </w:t>
      </w:r>
      <w:r w:rsidR="009A6A1B">
        <w:t>can be</w:t>
      </w:r>
      <w:r w:rsidR="009A6A1B" w:rsidRPr="00160290">
        <w:t xml:space="preserve"> </w:t>
      </w:r>
      <w:r w:rsidRPr="00160290">
        <w:t>economic (</w:t>
      </w:r>
      <w:r w:rsidR="009A6A1B">
        <w:t xml:space="preserve">such as </w:t>
      </w:r>
      <w:r w:rsidRPr="00160290">
        <w:t xml:space="preserve">property damage </w:t>
      </w:r>
      <w:r w:rsidR="009A6A1B">
        <w:t xml:space="preserve">and </w:t>
      </w:r>
      <w:r w:rsidRPr="00160290">
        <w:t>financial loss)</w:t>
      </w:r>
      <w:r w:rsidR="009A6A1B">
        <w:t xml:space="preserve">, </w:t>
      </w:r>
      <w:r w:rsidRPr="00160290">
        <w:t>health and safety (</w:t>
      </w:r>
      <w:r w:rsidR="009A6A1B">
        <w:t xml:space="preserve">such as </w:t>
      </w:r>
      <w:r w:rsidRPr="00160290">
        <w:t xml:space="preserve">injury </w:t>
      </w:r>
      <w:r w:rsidR="009A6A1B">
        <w:t xml:space="preserve">and </w:t>
      </w:r>
      <w:r w:rsidRPr="00160290">
        <w:t>loss of life)</w:t>
      </w:r>
      <w:r w:rsidR="009A6A1B">
        <w:t>,</w:t>
      </w:r>
      <w:r w:rsidRPr="00160290">
        <w:t xml:space="preserve"> environmental (</w:t>
      </w:r>
      <w:r w:rsidR="009A6A1B">
        <w:t xml:space="preserve">such as </w:t>
      </w:r>
      <w:r w:rsidRPr="00160290">
        <w:t>pollution during or after construction)</w:t>
      </w:r>
      <w:r w:rsidR="009A6A1B">
        <w:t xml:space="preserve">, </w:t>
      </w:r>
      <w:r w:rsidRPr="00160290">
        <w:t>societal (</w:t>
      </w:r>
      <w:r w:rsidR="009A6A1B">
        <w:t xml:space="preserve">such as </w:t>
      </w:r>
      <w:r w:rsidRPr="00160290">
        <w:t>groups excluded from facilities or buildings)</w:t>
      </w:r>
      <w:r w:rsidR="009A6A1B">
        <w:t xml:space="preserve"> </w:t>
      </w:r>
      <w:r w:rsidRPr="00160290">
        <w:t>and cultural (</w:t>
      </w:r>
      <w:r w:rsidR="009A6A1B">
        <w:t xml:space="preserve">such as streetscape </w:t>
      </w:r>
      <w:r w:rsidRPr="00160290">
        <w:t>amenity).</w:t>
      </w:r>
    </w:p>
    <w:p w:rsidR="003A7FBC" w:rsidRPr="00160290" w:rsidRDefault="009A6A1B" w:rsidP="00D6050F">
      <w:r>
        <w:t>M</w:t>
      </w:r>
      <w:r w:rsidR="003A7FBC" w:rsidRPr="00160290">
        <w:t>andating minimum skills and qualifications provides a means by which to regulate entry to registration. An effective registration system provides consumers with confidence in the technical skills of the building practitioners they employ. Consumers should have a reasonable expectation that using a registered practitioner on building projects will result in a high level of competency and quality built outcomes, an expectation that can be assisted by regulation.</w:t>
      </w:r>
    </w:p>
    <w:p w:rsidR="002129C8" w:rsidRPr="00160290" w:rsidRDefault="003A7FBC" w:rsidP="00D6050F">
      <w:r w:rsidRPr="00160290">
        <w:t xml:space="preserve">Academic qualifications and practical experience are the two forms in which competency is commonly assessed. </w:t>
      </w:r>
      <w:r w:rsidR="00224707">
        <w:t>Trade</w:t>
      </w:r>
      <w:r w:rsidR="009A6A1B">
        <w:t>-</w:t>
      </w:r>
      <w:r w:rsidRPr="00160290">
        <w:t xml:space="preserve">specific academic courses allow practical and theoretical skills to be adopted specific to the type of </w:t>
      </w:r>
      <w:r w:rsidR="009A6A1B">
        <w:t xml:space="preserve">service </w:t>
      </w:r>
      <w:r w:rsidRPr="00160290">
        <w:t>a prospective practitioner want</w:t>
      </w:r>
      <w:r w:rsidR="009A6A1B">
        <w:t>s</w:t>
      </w:r>
      <w:r w:rsidRPr="00160290">
        <w:t xml:space="preserve"> to supply. These trade</w:t>
      </w:r>
      <w:r w:rsidR="009A6A1B">
        <w:t>-</w:t>
      </w:r>
      <w:r w:rsidRPr="00160290">
        <w:t>specific skills are crucial to the regulation of building practitioners, as consumers should be able to contract the services of a building practitioner with confidence that these skills have been obtained.</w:t>
      </w:r>
    </w:p>
    <w:p w:rsidR="002129C8" w:rsidRPr="00160290" w:rsidRDefault="003A7FBC" w:rsidP="00D6050F">
      <w:r w:rsidRPr="00160290">
        <w:t>While certain qualifications encompass the full range of competencies expected of a practitioner, there may also be deficiencies in a practitioner</w:t>
      </w:r>
      <w:r w:rsidR="009A6A1B">
        <w:t>'</w:t>
      </w:r>
      <w:r w:rsidRPr="00160290">
        <w:t xml:space="preserve">s ability to apply </w:t>
      </w:r>
      <w:r w:rsidR="009A6A1B">
        <w:t xml:space="preserve">their </w:t>
      </w:r>
      <w:r w:rsidRPr="00160290">
        <w:t>skills in the context of the legislative framework and its many requirements. Consequently, practical</w:t>
      </w:r>
      <w:r w:rsidR="009A6A1B">
        <w:t xml:space="preserve">, </w:t>
      </w:r>
      <w:r w:rsidRPr="00160290">
        <w:t>on</w:t>
      </w:r>
      <w:r w:rsidR="00703FD9" w:rsidRPr="00160290">
        <w:t>-</w:t>
      </w:r>
      <w:r w:rsidRPr="00160290">
        <w:t>the</w:t>
      </w:r>
      <w:r w:rsidR="00703FD9" w:rsidRPr="00160290">
        <w:t>-</w:t>
      </w:r>
      <w:r w:rsidRPr="00160290">
        <w:t>job experience including that which is supervised by practitioners already registered, allows an additional layer of skill development by which to assess practitioner competency and increase consumer confidence before contracting for services. This type of experience, as compared to experience gained academically, can in some circumstances provide an effective alternative to formal training.</w:t>
      </w:r>
    </w:p>
    <w:p w:rsidR="00011DF3" w:rsidRDefault="00011DF3">
      <w:pPr>
        <w:spacing w:after="0"/>
      </w:pPr>
      <w:r>
        <w:br w:type="page"/>
      </w:r>
    </w:p>
    <w:p w:rsidR="003A7FBC" w:rsidRPr="00160290" w:rsidRDefault="003A7FBC" w:rsidP="00D6050F">
      <w:r w:rsidRPr="00160290">
        <w:lastRenderedPageBreak/>
        <w:t>The qualifications required for registration process</w:t>
      </w:r>
      <w:r w:rsidR="009A6A1B">
        <w:t>es</w:t>
      </w:r>
      <w:r w:rsidRPr="00160290">
        <w:t xml:space="preserve"> are used </w:t>
      </w:r>
      <w:r w:rsidR="00A16FCE">
        <w:t>t</w:t>
      </w:r>
      <w:r w:rsidRPr="00160290">
        <w:t xml:space="preserve">o overcome information </w:t>
      </w:r>
      <w:r w:rsidR="00224707">
        <w:t xml:space="preserve">asymmetry </w:t>
      </w:r>
      <w:r w:rsidRPr="00160290">
        <w:t>in the marketplace. Consumers, who are typically infrequent purchasers of building work services, are unlikely to know who are qualified providers of services. This means that prices for supply can be pushed down, which in turn can lead to a reduction in the quality of services provided by building practitioners and an increase in the discussed harms.</w:t>
      </w:r>
    </w:p>
    <w:p w:rsidR="003A7FBC" w:rsidRPr="00160290" w:rsidRDefault="003A7FBC" w:rsidP="00D6050F">
      <w:r w:rsidRPr="00160290">
        <w:t>The prescription of minimum academic qualifications and practical experience requirements may have the effect of reducing these harms including for example defects in building work</w:t>
      </w:r>
      <w:r w:rsidR="009A6A1B">
        <w:t xml:space="preserve">, </w:t>
      </w:r>
      <w:r w:rsidRPr="00160290">
        <w:t xml:space="preserve">or in the case of building surveyors improving their ability to detect defects in building work, as the demonstration of competency before registration allows the regulation of entry based on competency. </w:t>
      </w:r>
      <w:r w:rsidR="009A6A1B">
        <w:t xml:space="preserve">A </w:t>
      </w:r>
      <w:r w:rsidRPr="00160290">
        <w:t>defect avoided by a builder or detected by a building surveyor is likely to avoid costs to consumers to rectify that defect, whereas a defect that occurs and requires rectification is likely to be a source of substantial cost to consumers.</w:t>
      </w:r>
    </w:p>
    <w:p w:rsidR="002129C8" w:rsidRPr="00160290" w:rsidRDefault="003A7FBC" w:rsidP="00D6050F">
      <w:r w:rsidRPr="00160290">
        <w:t xml:space="preserve">As </w:t>
      </w:r>
      <w:r w:rsidR="009A6A1B">
        <w:t>explained</w:t>
      </w:r>
      <w:r w:rsidR="009A6A1B" w:rsidRPr="00160290">
        <w:t xml:space="preserve"> </w:t>
      </w:r>
      <w:r w:rsidRPr="00160290">
        <w:t xml:space="preserve">in </w:t>
      </w:r>
      <w:r w:rsidR="000E2924" w:rsidDel="0055341D">
        <w:t xml:space="preserve">Option 1 – Remake </w:t>
      </w:r>
      <w:r w:rsidR="000E2924">
        <w:t>reg</w:t>
      </w:r>
      <w:r w:rsidR="000E2924" w:rsidDel="0055341D">
        <w:t>1503</w:t>
      </w:r>
      <w:r w:rsidR="000E2924">
        <w:t xml:space="preserve">, </w:t>
      </w:r>
      <w:r w:rsidRPr="00160290">
        <w:t xml:space="preserve">in the absence of the Regulations </w:t>
      </w:r>
      <w:r w:rsidR="000E2924">
        <w:t>VBA</w:t>
      </w:r>
      <w:r w:rsidRPr="00160290">
        <w:t xml:space="preserve"> could still refuse to register a practitioner if it considered </w:t>
      </w:r>
      <w:r w:rsidR="009A6A1B">
        <w:t xml:space="preserve">they </w:t>
      </w:r>
      <w:r w:rsidRPr="00160290">
        <w:t xml:space="preserve">did not </w:t>
      </w:r>
      <w:r w:rsidR="009A6A1B">
        <w:t xml:space="preserve">have </w:t>
      </w:r>
      <w:r w:rsidRPr="00160290">
        <w:t xml:space="preserve">sufficient knowledge or ability to be registered. The intent of prescribed academic qualifications and experience requirements is to provide objective grounds </w:t>
      </w:r>
      <w:r w:rsidR="009A6A1B">
        <w:t xml:space="preserve">on </w:t>
      </w:r>
      <w:r w:rsidRPr="00160290">
        <w:t xml:space="preserve">which </w:t>
      </w:r>
      <w:r w:rsidR="00116D5E">
        <w:t>prospective</w:t>
      </w:r>
      <w:r w:rsidR="00116D5E" w:rsidRPr="00160290">
        <w:t xml:space="preserve"> </w:t>
      </w:r>
      <w:r w:rsidRPr="00160290">
        <w:t xml:space="preserve">building practitioners can base their registration pathway. While these qualification grounds are objective, they are not exhaustive and </w:t>
      </w:r>
      <w:r w:rsidR="000E2924">
        <w:t>VBA</w:t>
      </w:r>
      <w:r w:rsidRPr="00160290">
        <w:t xml:space="preserve"> continues to retain the ability under the Act to assess applicants for registration that have alternative but equivalent qualifications and experience.</w:t>
      </w:r>
    </w:p>
    <w:p w:rsidR="003A7FBC" w:rsidRPr="00160290" w:rsidRDefault="00357F56" w:rsidP="00357F56">
      <w:pPr>
        <w:pStyle w:val="Heading3"/>
      </w:pPr>
      <w:bookmarkStart w:id="34" w:name="_Toc481502184"/>
      <w:r>
        <w:t>C2.4.1</w:t>
      </w:r>
      <w:r>
        <w:tab/>
      </w:r>
      <w:r w:rsidR="003A7FBC" w:rsidRPr="00160290">
        <w:t>Assessment of experience</w:t>
      </w:r>
      <w:bookmarkEnd w:id="34"/>
    </w:p>
    <w:p w:rsidR="002129C8" w:rsidRPr="00160290" w:rsidRDefault="003A7FBC" w:rsidP="00D6050F">
      <w:r w:rsidRPr="00160290">
        <w:t xml:space="preserve">Under the Act, to qualify for registration an applicant must demonstrate to </w:t>
      </w:r>
      <w:r w:rsidR="000E2924">
        <w:t>VBA</w:t>
      </w:r>
      <w:r w:rsidRPr="00160290">
        <w:t xml:space="preserve"> that they can competently perform the scope of building work applicable to the relevant category or class of building practitioner </w:t>
      </w:r>
      <w:r w:rsidR="009A6A1B">
        <w:t xml:space="preserve">for </w:t>
      </w:r>
      <w:r w:rsidRPr="00160290">
        <w:t xml:space="preserve">which </w:t>
      </w:r>
      <w:r w:rsidR="009A6A1B">
        <w:t xml:space="preserve">they seek </w:t>
      </w:r>
      <w:r w:rsidRPr="00160290">
        <w:t>registration.</w:t>
      </w:r>
      <w:r w:rsidR="002129C8" w:rsidRPr="00160290">
        <w:t xml:space="preserve"> </w:t>
      </w:r>
      <w:r w:rsidRPr="00160290">
        <w:t xml:space="preserve">To achieve this, </w:t>
      </w:r>
      <w:r w:rsidR="000E2924">
        <w:t>VBA</w:t>
      </w:r>
      <w:r w:rsidR="009A6A1B">
        <w:t>'s</w:t>
      </w:r>
      <w:r w:rsidRPr="00160290">
        <w:t xml:space="preserve"> application form requires </w:t>
      </w:r>
      <w:r w:rsidR="00703FD9" w:rsidRPr="00160290">
        <w:t>among</w:t>
      </w:r>
      <w:r w:rsidRPr="00160290">
        <w:t xml:space="preserve"> other </w:t>
      </w:r>
      <w:r w:rsidR="009A6A1B">
        <w:t xml:space="preserve">things </w:t>
      </w:r>
      <w:r w:rsidRPr="00160290">
        <w:t xml:space="preserve">the applicant’s building employment history, an experience statement and at least two technical referee reports (which enable </w:t>
      </w:r>
      <w:r w:rsidR="000E2924">
        <w:t>VBA</w:t>
      </w:r>
      <w:r w:rsidRPr="00160290">
        <w:t xml:space="preserve"> to validate the information in the application).</w:t>
      </w:r>
      <w:r w:rsidR="002129C8" w:rsidRPr="00160290">
        <w:t xml:space="preserve"> </w:t>
      </w:r>
      <w:r w:rsidRPr="00160290">
        <w:t xml:space="preserve">The </w:t>
      </w:r>
      <w:r w:rsidR="00BE6DEA" w:rsidRPr="00160290">
        <w:t>department</w:t>
      </w:r>
      <w:r w:rsidRPr="00160290">
        <w:t xml:space="preserve"> is proposing to formalise these information requirements in the Regulations as a way to reduce or avoid delays caused by lack of information. </w:t>
      </w:r>
      <w:r w:rsidR="000E2924">
        <w:t>VBA</w:t>
      </w:r>
      <w:r w:rsidRPr="00160290">
        <w:t xml:space="preserve"> ha</w:t>
      </w:r>
      <w:r w:rsidR="000700D8">
        <w:t xml:space="preserve">s </w:t>
      </w:r>
      <w:r w:rsidRPr="00160290">
        <w:t>advise</w:t>
      </w:r>
      <w:r w:rsidR="000700D8">
        <w:t>d</w:t>
      </w:r>
      <w:r w:rsidRPr="00160290">
        <w:t xml:space="preserve"> that </w:t>
      </w:r>
      <w:r w:rsidR="000700D8">
        <w:t xml:space="preserve">it </w:t>
      </w:r>
      <w:r w:rsidR="009A6A1B">
        <w:t xml:space="preserve">is </w:t>
      </w:r>
      <w:r w:rsidRPr="00160290">
        <w:t xml:space="preserve">often required to request further information because an application is incomplete. </w:t>
      </w:r>
      <w:r w:rsidR="009A6A1B">
        <w:t>The department expects</w:t>
      </w:r>
      <w:r w:rsidR="009A6A1B" w:rsidRPr="00160290">
        <w:t xml:space="preserve"> </w:t>
      </w:r>
      <w:r w:rsidRPr="00160290">
        <w:t>codifying the requirements will improve the applications received.</w:t>
      </w:r>
    </w:p>
    <w:p w:rsidR="002129C8" w:rsidRPr="00160290" w:rsidRDefault="000E2924" w:rsidP="00D6050F">
      <w:r>
        <w:t>VBA</w:t>
      </w:r>
      <w:r w:rsidR="003A7FBC" w:rsidRPr="00160290">
        <w:t>’s knowledge and assessment framework may involve an initial examination of the applicant, the checking of technical referee reports and an interview.</w:t>
      </w:r>
      <w:r w:rsidR="002129C8" w:rsidRPr="00160290">
        <w:t xml:space="preserve"> </w:t>
      </w:r>
      <w:r w:rsidR="003A7FBC" w:rsidRPr="00160290">
        <w:t>Building surveyors are expected to have developed and be able to demonstrate competency in the scope of regulated work relevant to building surveyors</w:t>
      </w:r>
      <w:r w:rsidR="009A6A1B">
        <w:t xml:space="preserve">, </w:t>
      </w:r>
      <w:r w:rsidR="003A7FBC" w:rsidRPr="00160290">
        <w:t>described above.</w:t>
      </w:r>
      <w:r w:rsidR="002129C8" w:rsidRPr="00160290">
        <w:t xml:space="preserve"> </w:t>
      </w:r>
      <w:r w:rsidR="003A7FBC" w:rsidRPr="00160290">
        <w:t xml:space="preserve">While </w:t>
      </w:r>
      <w:r w:rsidR="00703FD9" w:rsidRPr="00160290">
        <w:t>some</w:t>
      </w:r>
      <w:r w:rsidR="003A7FBC" w:rsidRPr="00160290">
        <w:t xml:space="preserve"> years of practical experience is prescribed in the </w:t>
      </w:r>
      <w:r w:rsidR="00160290">
        <w:t>R</w:t>
      </w:r>
      <w:r w:rsidR="003A7FBC" w:rsidRPr="00160290">
        <w:t xml:space="preserve">egulations, if competency cannot be demonstrated after that period has expired, registration will not be granted by </w:t>
      </w:r>
      <w:r>
        <w:t>VBA</w:t>
      </w:r>
      <w:r w:rsidR="003A7FBC" w:rsidRPr="00160290">
        <w:t>.</w:t>
      </w:r>
      <w:bookmarkStart w:id="35" w:name="_Toc475087232"/>
    </w:p>
    <w:p w:rsidR="009A6A1B" w:rsidRDefault="009A6A1B">
      <w:pPr>
        <w:spacing w:after="0"/>
        <w:rPr>
          <w:b/>
          <w:bCs/>
          <w:color w:val="201547" w:themeColor="accent2"/>
          <w:kern w:val="32"/>
          <w:sz w:val="40"/>
          <w:szCs w:val="32"/>
        </w:rPr>
      </w:pPr>
      <w:r>
        <w:br w:type="page"/>
      </w:r>
    </w:p>
    <w:p w:rsidR="0033590D" w:rsidRDefault="00357F56">
      <w:pPr>
        <w:pStyle w:val="Heading1"/>
      </w:pPr>
      <w:bookmarkStart w:id="36" w:name="_Toc481502185"/>
      <w:r>
        <w:lastRenderedPageBreak/>
        <w:t>C3</w:t>
      </w:r>
      <w:r>
        <w:tab/>
      </w:r>
      <w:r w:rsidR="003A7FBC" w:rsidRPr="00160290">
        <w:t>Cost</w:t>
      </w:r>
      <w:r w:rsidR="00703FD9" w:rsidRPr="00160290">
        <w:t>-b</w:t>
      </w:r>
      <w:r w:rsidR="003A7FBC" w:rsidRPr="00160290">
        <w:t xml:space="preserve">enefit </w:t>
      </w:r>
      <w:r w:rsidR="00703FD9" w:rsidRPr="00160290">
        <w:t>a</w:t>
      </w:r>
      <w:r w:rsidR="003A7FBC" w:rsidRPr="00160290">
        <w:t>nalysis</w:t>
      </w:r>
      <w:bookmarkEnd w:id="35"/>
      <w:bookmarkEnd w:id="36"/>
    </w:p>
    <w:p w:rsidR="003A7FBC" w:rsidRPr="00160290" w:rsidRDefault="000E2924" w:rsidP="00D6050F">
      <w:pPr>
        <w:pStyle w:val="Normalpre-dotpoint"/>
      </w:pPr>
      <w:r w:rsidRPr="00160290">
        <w:t xml:space="preserve">RIS </w:t>
      </w:r>
      <w:r w:rsidR="003A7FBC" w:rsidRPr="00160290">
        <w:t xml:space="preserve">Part C assesses the costs and benefits of </w:t>
      </w:r>
      <w:r w:rsidR="00160290">
        <w:t>R</w:t>
      </w:r>
      <w:r w:rsidR="003A7FBC" w:rsidRPr="00160290">
        <w:t>egulations that relate to building practitioners:</w:t>
      </w:r>
    </w:p>
    <w:p w:rsidR="003A7FBC" w:rsidRPr="00160290" w:rsidRDefault="009A6A1B" w:rsidP="00D6050F">
      <w:pPr>
        <w:pStyle w:val="Dotpoint"/>
      </w:pPr>
      <w:r>
        <w:t>p</w:t>
      </w:r>
      <w:r w:rsidR="003A7FBC" w:rsidRPr="00160290">
        <w:t xml:space="preserve">rescribed qualifications and classes (current building </w:t>
      </w:r>
      <w:r w:rsidR="000E2924">
        <w:t>reg</w:t>
      </w:r>
      <w:r w:rsidR="003A7FBC" w:rsidRPr="00160290">
        <w:t>1503 and other options to remake)</w:t>
      </w:r>
    </w:p>
    <w:p w:rsidR="003A7FBC" w:rsidRPr="00160290" w:rsidRDefault="009A6A1B" w:rsidP="00D6050F">
      <w:pPr>
        <w:pStyle w:val="Dotpoint"/>
      </w:pPr>
      <w:r>
        <w:t>p</w:t>
      </w:r>
      <w:r w:rsidR="003A7FBC" w:rsidRPr="00160290">
        <w:t xml:space="preserve">rescribed information as to character (current </w:t>
      </w:r>
      <w:r w:rsidR="000E2924">
        <w:t>reg</w:t>
      </w:r>
      <w:r w:rsidR="003A7FBC" w:rsidRPr="00160290">
        <w:t>1509 and other options to remake)</w:t>
      </w:r>
    </w:p>
    <w:p w:rsidR="003A7FBC" w:rsidRPr="00160290" w:rsidRDefault="009A6A1B" w:rsidP="00D6050F">
      <w:pPr>
        <w:pStyle w:val="Dotpoint"/>
      </w:pPr>
      <w:r>
        <w:t>p</w:t>
      </w:r>
      <w:r w:rsidR="003A7FBC" w:rsidRPr="00160290">
        <w:t xml:space="preserve">rofessional standards (current building </w:t>
      </w:r>
      <w:r w:rsidR="000E2924">
        <w:t>reg</w:t>
      </w:r>
      <w:r w:rsidR="003A7FBC" w:rsidRPr="00160290">
        <w:t>1502 and other options to remake)</w:t>
      </w:r>
    </w:p>
    <w:p w:rsidR="003A7FBC" w:rsidRPr="00160290" w:rsidRDefault="009A6A1B" w:rsidP="00D6050F">
      <w:pPr>
        <w:pStyle w:val="Dotpoint"/>
      </w:pPr>
      <w:r>
        <w:t>the p</w:t>
      </w:r>
      <w:r w:rsidR="003A7FBC" w:rsidRPr="00160290">
        <w:t xml:space="preserve">eriod during which a builder surveyor cannot act (current </w:t>
      </w:r>
      <w:r w:rsidR="000E2924">
        <w:t>reg</w:t>
      </w:r>
      <w:r w:rsidR="003A7FBC" w:rsidRPr="00160290">
        <w:t>1504 and other options to remake)</w:t>
      </w:r>
    </w:p>
    <w:p w:rsidR="003A7FBC" w:rsidRPr="00160290" w:rsidRDefault="009A6A1B" w:rsidP="00D6050F">
      <w:pPr>
        <w:pStyle w:val="Dotpointlast"/>
      </w:pPr>
      <w:r>
        <w:t>p</w:t>
      </w:r>
      <w:r w:rsidR="003A7FBC" w:rsidRPr="00160290">
        <w:t xml:space="preserve">otential new </w:t>
      </w:r>
      <w:r w:rsidR="00160290">
        <w:t>R</w:t>
      </w:r>
      <w:r w:rsidR="003A7FBC" w:rsidRPr="00160290">
        <w:t xml:space="preserve">egulations </w:t>
      </w:r>
      <w:r w:rsidR="00D6135D">
        <w:t xml:space="preserve">about </w:t>
      </w:r>
      <w:r w:rsidR="00B257D3">
        <w:t>requiring</w:t>
      </w:r>
      <w:r w:rsidR="00D6135D">
        <w:t xml:space="preserve"> an </w:t>
      </w:r>
      <w:r w:rsidR="003A7FBC" w:rsidRPr="00160290">
        <w:t xml:space="preserve">applicant to complete </w:t>
      </w:r>
      <w:r w:rsidR="00D6135D">
        <w:t xml:space="preserve">their </w:t>
      </w:r>
      <w:r w:rsidR="003A7FBC" w:rsidRPr="00160290">
        <w:t xml:space="preserve">application personally, </w:t>
      </w:r>
      <w:r w:rsidR="00D6135D">
        <w:t xml:space="preserve">the </w:t>
      </w:r>
      <w:r w:rsidR="003A7FBC" w:rsidRPr="00160290">
        <w:t>prescribed information in applications</w:t>
      </w:r>
      <w:r w:rsidR="00D6135D">
        <w:t xml:space="preserve"> and </w:t>
      </w:r>
      <w:r w:rsidR="003A7FBC" w:rsidRPr="00160290">
        <w:t>mandatory business skills.</w:t>
      </w:r>
    </w:p>
    <w:p w:rsidR="003A7FBC" w:rsidRPr="00160290" w:rsidRDefault="003A7FBC" w:rsidP="00D6050F">
      <w:r w:rsidRPr="00160290">
        <w:t>The cost</w:t>
      </w:r>
      <w:r w:rsidR="00703FD9" w:rsidRPr="00160290">
        <w:t>-</w:t>
      </w:r>
      <w:r w:rsidRPr="00160290">
        <w:t xml:space="preserve">benefit analysis does not consider currents </w:t>
      </w:r>
      <w:r w:rsidR="00381EF5">
        <w:t>regs</w:t>
      </w:r>
      <w:r w:rsidRPr="00160290">
        <w:t xml:space="preserve">1505, 1506, 1507 and 1508 (which are proposed to be moved to a new part of the </w:t>
      </w:r>
      <w:r w:rsidR="00D6135D">
        <w:t>R</w:t>
      </w:r>
      <w:r w:rsidRPr="00160290">
        <w:t xml:space="preserve">egulations </w:t>
      </w:r>
      <w:r w:rsidR="00D6135D">
        <w:t xml:space="preserve">to </w:t>
      </w:r>
      <w:r w:rsidRPr="00160290">
        <w:t xml:space="preserve">deal with compliance of building work and are discussed in </w:t>
      </w:r>
      <w:r w:rsidR="000E2924">
        <w:t xml:space="preserve">RIS </w:t>
      </w:r>
      <w:r w:rsidRPr="00160290">
        <w:t>Part B), 1511</w:t>
      </w:r>
      <w:r w:rsidR="00160290">
        <w:t xml:space="preserve"> or</w:t>
      </w:r>
      <w:r w:rsidRPr="00160290">
        <w:t xml:space="preserve"> 1512.</w:t>
      </w:r>
    </w:p>
    <w:p w:rsidR="003A7FBC" w:rsidRPr="00160290" w:rsidRDefault="003A7FBC" w:rsidP="00D6050F">
      <w:r w:rsidRPr="00160290">
        <w:t xml:space="preserve">The modelling assumptions used for the </w:t>
      </w:r>
      <w:r w:rsidR="00D6135D" w:rsidRPr="00160290">
        <w:t xml:space="preserve">cost-benefit analysis </w:t>
      </w:r>
      <w:r w:rsidRPr="00160290">
        <w:t>are set out in Appendix 1.</w:t>
      </w:r>
    </w:p>
    <w:p w:rsidR="00F71F1A" w:rsidRDefault="00357F56" w:rsidP="00357F56">
      <w:pPr>
        <w:pStyle w:val="Heading2"/>
      </w:pPr>
      <w:bookmarkStart w:id="37" w:name="_Toc481502186"/>
      <w:r>
        <w:t>C3.1</w:t>
      </w:r>
      <w:r>
        <w:tab/>
      </w:r>
      <w:r w:rsidR="003A7FBC" w:rsidRPr="00160290">
        <w:t>Approach</w:t>
      </w:r>
      <w:bookmarkEnd w:id="37"/>
    </w:p>
    <w:p w:rsidR="003A7FBC" w:rsidRPr="00160290" w:rsidRDefault="000E2924" w:rsidP="00D6050F">
      <w:r>
        <w:t xml:space="preserve">RIS </w:t>
      </w:r>
      <w:r w:rsidR="003A7FBC" w:rsidRPr="00160290">
        <w:t xml:space="preserve">Part C considers the costs and benefits associated with </w:t>
      </w:r>
      <w:r w:rsidR="00703FD9" w:rsidRPr="00160290">
        <w:t>some</w:t>
      </w:r>
      <w:r w:rsidR="003A7FBC" w:rsidRPr="00160290">
        <w:t xml:space="preserve"> options identified by the department and </w:t>
      </w:r>
      <w:r w:rsidR="00D6135D">
        <w:t xml:space="preserve">explained </w:t>
      </w:r>
      <w:r w:rsidR="003A7FBC" w:rsidRPr="00160290">
        <w:t xml:space="preserve">in </w:t>
      </w:r>
      <w:r w:rsidR="00D6135D">
        <w:t>c</w:t>
      </w:r>
      <w:r w:rsidR="003A7FBC" w:rsidRPr="00160290">
        <w:t xml:space="preserve">hapters </w:t>
      </w:r>
      <w:r>
        <w:t>C</w:t>
      </w:r>
      <w:r w:rsidR="003A7FBC" w:rsidRPr="00160290">
        <w:t xml:space="preserve">1 </w:t>
      </w:r>
      <w:r w:rsidR="008D1FCB">
        <w:t xml:space="preserve">Introduction </w:t>
      </w:r>
      <w:r w:rsidR="003A7FBC" w:rsidRPr="00160290">
        <w:t xml:space="preserve">and </w:t>
      </w:r>
      <w:r>
        <w:t>C</w:t>
      </w:r>
      <w:r w:rsidR="003A7FBC" w:rsidRPr="00160290">
        <w:t>2</w:t>
      </w:r>
      <w:r w:rsidR="008D1FCB">
        <w:t xml:space="preserve"> Issues with building practitioners</w:t>
      </w:r>
      <w:r w:rsidR="003A7FBC" w:rsidRPr="00160290">
        <w:t xml:space="preserve">. The measurement of costs and benefits is against the base case of the relevant </w:t>
      </w:r>
      <w:r w:rsidR="00160290">
        <w:t>R</w:t>
      </w:r>
      <w:r w:rsidR="003A7FBC" w:rsidRPr="00160290">
        <w:t xml:space="preserve">egulation not being in place after it sunsets. This is not the same as an absence of all regulation, as much of the regulatory framework and controls are contained in the Act with the specific </w:t>
      </w:r>
      <w:r w:rsidR="00160290">
        <w:t>R</w:t>
      </w:r>
      <w:r w:rsidR="003A7FBC" w:rsidRPr="00160290">
        <w:t xml:space="preserve">egulations in </w:t>
      </w:r>
      <w:proofErr w:type="spellStart"/>
      <w:r w:rsidR="0062727D">
        <w:t>pt</w:t>
      </w:r>
      <w:proofErr w:type="spellEnd"/>
      <w:r w:rsidR="003A7FBC" w:rsidRPr="00160290">
        <w:t xml:space="preserve"> 15 supporting the broader framework by providing administrative detail required to operationalise certain provisions in the Act. The measurement of costs is only those impacts </w:t>
      </w:r>
      <w:r w:rsidR="00D3125B" w:rsidRPr="00D3125B">
        <w:t>incremental</w:t>
      </w:r>
      <w:r w:rsidR="003A7FBC" w:rsidRPr="00160290">
        <w:t xml:space="preserve"> to the base case, meaning those costs incurred that are genuinely in addition to those that are likely to be incurred anyway.</w:t>
      </w:r>
    </w:p>
    <w:p w:rsidR="002129C8" w:rsidRPr="00160290" w:rsidRDefault="003A7FBC" w:rsidP="00D6050F">
      <w:r w:rsidRPr="00160290">
        <w:t xml:space="preserve">The focus of this analysis has been on measuring the costs of the current </w:t>
      </w:r>
      <w:r w:rsidR="00160290">
        <w:t>R</w:t>
      </w:r>
      <w:r w:rsidRPr="00160290">
        <w:t xml:space="preserve">egulations, as the presented data provide some evidence </w:t>
      </w:r>
      <w:r w:rsidR="00D6135D">
        <w:t xml:space="preserve">about </w:t>
      </w:r>
      <w:r w:rsidRPr="00160290">
        <w:t xml:space="preserve">how these have operated in practice. Other options have not necessarily been modelled separately but as variations from the current </w:t>
      </w:r>
      <w:r w:rsidR="00160290">
        <w:t>R</w:t>
      </w:r>
      <w:r w:rsidRPr="00160290">
        <w:t>egulations (</w:t>
      </w:r>
      <w:r w:rsidR="00D6135D">
        <w:t>for example</w:t>
      </w:r>
      <w:r w:rsidRPr="00160290">
        <w:t>, reduce or increase certain elements). The variations quantified are therefore limited to areas where there would be a material change to the costs or benefits.</w:t>
      </w:r>
    </w:p>
    <w:p w:rsidR="003A7FBC" w:rsidRPr="00160290" w:rsidRDefault="003A7FBC" w:rsidP="00D6050F">
      <w:r w:rsidRPr="00160290">
        <w:t xml:space="preserve">In some instances, the differences of costs and benefits between options is not significant or the overall costs and benefits of the </w:t>
      </w:r>
      <w:r w:rsidR="00160290">
        <w:t>R</w:t>
      </w:r>
      <w:r w:rsidRPr="00160290">
        <w:t>egulation itself is not significant. For these areas, judgement about a preferred option will primarily be based on the department’s judg</w:t>
      </w:r>
      <w:r w:rsidR="00BA4BF1" w:rsidRPr="00160290">
        <w:t>ement</w:t>
      </w:r>
      <w:r w:rsidRPr="00160290">
        <w:t xml:space="preserve"> about alignment of the option against the objectives set out in the </w:t>
      </w:r>
      <w:r w:rsidR="00160290" w:rsidRPr="00160290">
        <w:t>RIS</w:t>
      </w:r>
      <w:r w:rsidRPr="00160290">
        <w:t xml:space="preserve">, which itself will be informed by an assessment of the risk profile associated with the underlying problem. Similarly, where options are assessed using a break-even analysis, the </w:t>
      </w:r>
      <w:r w:rsidR="00BE6DEA" w:rsidRPr="00160290">
        <w:t>department</w:t>
      </w:r>
      <w:r w:rsidRPr="00160290">
        <w:t xml:space="preserve"> has considered likely risks to inform its judgement about the likelihood of reaching the break-even point.</w:t>
      </w:r>
    </w:p>
    <w:p w:rsidR="002129C8" w:rsidRPr="00160290" w:rsidRDefault="003A7FBC" w:rsidP="00D6050F">
      <w:r w:rsidRPr="00160290">
        <w:t>This cost-benefit analysis is to assist consideration of options related to building practitioners (</w:t>
      </w:r>
      <w:proofErr w:type="spellStart"/>
      <w:r w:rsidR="0062727D">
        <w:t>pt</w:t>
      </w:r>
      <w:proofErr w:type="spellEnd"/>
      <w:r w:rsidRPr="00160290">
        <w:t xml:space="preserve"> 15 of the current Regulations) only. It assumes that other parts of the current </w:t>
      </w:r>
      <w:r w:rsidR="00160290">
        <w:t>R</w:t>
      </w:r>
      <w:r w:rsidRPr="00160290">
        <w:t xml:space="preserve">egulations are likely to remain in place in some form, as it would be unhelpful to assess the requirements on building practitioners with all other building </w:t>
      </w:r>
      <w:r w:rsidR="00511A91">
        <w:t>R</w:t>
      </w:r>
      <w:r w:rsidRPr="00160290">
        <w:t>egulations on an all</w:t>
      </w:r>
      <w:r w:rsidR="00D6135D">
        <w:t>-</w:t>
      </w:r>
      <w:r w:rsidRPr="00160290">
        <w:t>or</w:t>
      </w:r>
      <w:r w:rsidR="00D6135D">
        <w:t>-</w:t>
      </w:r>
      <w:r w:rsidRPr="00160290">
        <w:t>nothing basis.</w:t>
      </w:r>
    </w:p>
    <w:p w:rsidR="00011DF3" w:rsidRDefault="00011DF3">
      <w:pPr>
        <w:spacing w:after="0"/>
        <w:rPr>
          <w:rFonts w:asciiTheme="majorHAnsi" w:hAnsiTheme="majorHAnsi"/>
          <w:i/>
          <w:color w:val="00B2A9" w:themeColor="accent1"/>
          <w:sz w:val="28"/>
        </w:rPr>
      </w:pPr>
      <w:bookmarkStart w:id="38" w:name="_Toc481502187"/>
      <w:r>
        <w:br w:type="page"/>
      </w:r>
    </w:p>
    <w:p w:rsidR="0049524F" w:rsidRDefault="00357F56" w:rsidP="00357F56">
      <w:pPr>
        <w:pStyle w:val="Heading3"/>
      </w:pPr>
      <w:r>
        <w:lastRenderedPageBreak/>
        <w:t>3.1.1</w:t>
      </w:r>
      <w:r>
        <w:tab/>
      </w:r>
      <w:r w:rsidR="003A7FBC" w:rsidRPr="00160290">
        <w:t>Sources of data</w:t>
      </w:r>
      <w:bookmarkEnd w:id="38"/>
    </w:p>
    <w:p w:rsidR="003A7FBC" w:rsidRPr="00160290" w:rsidRDefault="003A7FBC" w:rsidP="00D6050F">
      <w:r w:rsidRPr="00160290">
        <w:t xml:space="preserve">The analysis in this </w:t>
      </w:r>
      <w:r w:rsidR="00D6135D">
        <w:t xml:space="preserve">part </w:t>
      </w:r>
      <w:r w:rsidRPr="00160290">
        <w:t xml:space="preserve">relies on data provided by </w:t>
      </w:r>
      <w:r w:rsidR="000E2924">
        <w:t>VBA</w:t>
      </w:r>
      <w:r w:rsidRPr="00160290">
        <w:t xml:space="preserve"> unless otherwise indicated. </w:t>
      </w:r>
      <w:r w:rsidR="00703FD9" w:rsidRPr="00160290">
        <w:t>Sometimes</w:t>
      </w:r>
      <w:r w:rsidRPr="00160290">
        <w:t xml:space="preserve">, the data available from </w:t>
      </w:r>
      <w:r w:rsidR="000E2924">
        <w:t>VBA</w:t>
      </w:r>
      <w:r w:rsidRPr="00160290">
        <w:t xml:space="preserve"> </w:t>
      </w:r>
      <w:r w:rsidR="00D6135D">
        <w:t xml:space="preserve">were </w:t>
      </w:r>
      <w:r w:rsidRPr="00160290">
        <w:t xml:space="preserve">not sufficient to fully model the likely impacts of some options. Working assumptions have therefore been used in some places. Where this occurs, the reasonableness of these assumptions has been validated based on discussions with </w:t>
      </w:r>
      <w:r w:rsidR="000E2924">
        <w:t>VBA</w:t>
      </w:r>
      <w:r w:rsidRPr="00160290">
        <w:t xml:space="preserve"> and through limited consultation with a small sample of registered practitioners, including discussions with 20 practitioners across all practitioner categories.</w:t>
      </w:r>
      <w:r w:rsidRPr="00160290">
        <w:rPr>
          <w:rStyle w:val="FootnoteReference"/>
          <w:rFonts w:cs="Times New Roman"/>
        </w:rPr>
        <w:footnoteReference w:id="24"/>
      </w:r>
      <w:r w:rsidRPr="00160290">
        <w:t xml:space="preserve"> Given the nature of the analysis used to compare the options, this level of consultation is sufficient to develop indicative results, noting that the </w:t>
      </w:r>
      <w:r w:rsidR="00160290" w:rsidRPr="00160290">
        <w:t>RIS</w:t>
      </w:r>
      <w:r w:rsidRPr="00160290">
        <w:t xml:space="preserve"> process will be an opportunity for stakeholders to comment on the assumptions relied on.</w:t>
      </w:r>
    </w:p>
    <w:p w:rsidR="003A7FBC" w:rsidRPr="00160290" w:rsidRDefault="00357F56" w:rsidP="00357F56">
      <w:pPr>
        <w:pStyle w:val="Heading2"/>
      </w:pPr>
      <w:bookmarkStart w:id="39" w:name="_Toc481502188"/>
      <w:r>
        <w:t>C3.2</w:t>
      </w:r>
      <w:r>
        <w:tab/>
      </w:r>
      <w:r w:rsidR="003A7FBC" w:rsidRPr="00160290">
        <w:t>Prescribed qualifications and classes</w:t>
      </w:r>
      <w:bookmarkEnd w:id="39"/>
    </w:p>
    <w:p w:rsidR="003A7FBC" w:rsidRPr="00160290" w:rsidRDefault="003A7FBC" w:rsidP="00D6050F">
      <w:r w:rsidRPr="00160290">
        <w:t xml:space="preserve">The current building </w:t>
      </w:r>
      <w:r w:rsidR="00511A91">
        <w:t>R</w:t>
      </w:r>
      <w:r w:rsidRPr="00160290">
        <w:t xml:space="preserve">egulations </w:t>
      </w:r>
      <w:r w:rsidR="00D6135D">
        <w:t>(</w:t>
      </w:r>
      <w:r w:rsidR="000E2924">
        <w:t>reg</w:t>
      </w:r>
      <w:r w:rsidRPr="00160290">
        <w:t>1503</w:t>
      </w:r>
      <w:r w:rsidR="0062727D">
        <w:t xml:space="preserve"> </w:t>
      </w:r>
      <w:proofErr w:type="spellStart"/>
      <w:r w:rsidR="0062727D">
        <w:t>s</w:t>
      </w:r>
      <w:r w:rsidRPr="00160290">
        <w:t>ch</w:t>
      </w:r>
      <w:proofErr w:type="spellEnd"/>
      <w:r w:rsidR="0062727D">
        <w:t xml:space="preserve"> </w:t>
      </w:r>
      <w:r w:rsidRPr="00160290">
        <w:t>7</w:t>
      </w:r>
      <w:r w:rsidR="00D6135D">
        <w:t>)</w:t>
      </w:r>
      <w:r w:rsidRPr="00160290">
        <w:t xml:space="preserve"> set out a range of classes and the qualifications for each. This is a prerequisite related to the competency of a practitioner.</w:t>
      </w:r>
    </w:p>
    <w:p w:rsidR="00F71F1A" w:rsidRDefault="00FB7090" w:rsidP="00357F56">
      <w:pPr>
        <w:pStyle w:val="Heading3"/>
      </w:pPr>
      <w:bookmarkStart w:id="40" w:name="_Toc481502189"/>
      <w:r w:rsidDel="0055341D">
        <w:t xml:space="preserve">Option 1 – Remake </w:t>
      </w:r>
      <w:r w:rsidR="000E2924">
        <w:t>reg</w:t>
      </w:r>
      <w:r w:rsidR="00FA2F8A" w:rsidDel="0055341D">
        <w:t>1503</w:t>
      </w:r>
      <w:bookmarkEnd w:id="40"/>
    </w:p>
    <w:p w:rsidR="00F71F1A" w:rsidRDefault="003A7FBC" w:rsidP="00357F56">
      <w:pPr>
        <w:pStyle w:val="Heading4"/>
      </w:pPr>
      <w:bookmarkStart w:id="41" w:name="_Toc481502190"/>
      <w:r w:rsidRPr="00160290">
        <w:t xml:space="preserve">Base </w:t>
      </w:r>
      <w:r w:rsidRPr="00357F56">
        <w:t>case</w:t>
      </w:r>
      <w:bookmarkEnd w:id="41"/>
    </w:p>
    <w:p w:rsidR="003A7FBC" w:rsidRDefault="003A7FBC" w:rsidP="00D6050F">
      <w:r w:rsidRPr="00160290">
        <w:t xml:space="preserve">In the absence of </w:t>
      </w:r>
      <w:r w:rsidR="000E2924">
        <w:t>reg</w:t>
      </w:r>
      <w:r w:rsidRPr="00160290">
        <w:t xml:space="preserve">1503 (and the other </w:t>
      </w:r>
      <w:r w:rsidR="00160290">
        <w:t>R</w:t>
      </w:r>
      <w:r w:rsidRPr="00160290">
        <w:t>egulations related to building practitioners), there would remain a registration framework for building practitioners. The Act still requires practitioners to be registered (s 16</w:t>
      </w:r>
      <w:r w:rsidR="00D6135D">
        <w:t xml:space="preserve"> and </w:t>
      </w:r>
      <w:r w:rsidRPr="00160290">
        <w:t>s 176) to carry out building work.</w:t>
      </w:r>
    </w:p>
    <w:p w:rsidR="003A7FBC" w:rsidRPr="00160290" w:rsidRDefault="003A7FBC" w:rsidP="00D6050F">
      <w:r w:rsidRPr="00160290">
        <w:t xml:space="preserve">Even in the absence of </w:t>
      </w:r>
      <w:r w:rsidR="000E2924">
        <w:t>reg</w:t>
      </w:r>
      <w:r w:rsidRPr="00160290">
        <w:t xml:space="preserve">1503, the Act requires </w:t>
      </w:r>
      <w:r w:rsidR="000E2924">
        <w:t>VBA</w:t>
      </w:r>
      <w:r w:rsidRPr="00160290">
        <w:t xml:space="preserve"> to be satisfied that a building practitioner is a fit and proper person to practi</w:t>
      </w:r>
      <w:r w:rsidR="00D6135D">
        <w:t>s</w:t>
      </w:r>
      <w:r w:rsidRPr="00160290">
        <w:t xml:space="preserve">e as a building practitioner (s 170). In the absence of specific </w:t>
      </w:r>
      <w:r w:rsidR="00160290">
        <w:t>R</w:t>
      </w:r>
      <w:r w:rsidRPr="00160290">
        <w:t>egulations on qualification and experience, the assessment of fit and proper person could take account of matters such as skills and competency. A number of court decisions have confirmed that ‘fit and proper’ includes skill and competency.</w:t>
      </w:r>
      <w:r w:rsidRPr="00160290">
        <w:rPr>
          <w:rStyle w:val="FootnoteReference"/>
        </w:rPr>
        <w:footnoteReference w:id="25"/>
      </w:r>
      <w:r w:rsidRPr="00160290">
        <w:t xml:space="preserve"> The Act itself notes that fit and proper includes character, indicating other factors may also be considered. This suggests that in the absence of current </w:t>
      </w:r>
      <w:r w:rsidR="000E2924">
        <w:t>reg</w:t>
      </w:r>
      <w:r w:rsidRPr="00160290">
        <w:t xml:space="preserve">1503 </w:t>
      </w:r>
      <w:r w:rsidR="000E2924">
        <w:t>VBA</w:t>
      </w:r>
      <w:r w:rsidRPr="00160290">
        <w:t xml:space="preserve"> could still refuse to register a practitioner if it considered an applicant did not possess sufficient knowledge or ability.</w:t>
      </w:r>
    </w:p>
    <w:p w:rsidR="003A7FBC" w:rsidRPr="00160290" w:rsidRDefault="003A7FBC" w:rsidP="00D6050F">
      <w:r w:rsidRPr="00160290">
        <w:t xml:space="preserve">The Act requires building practitioners to ensure all building work is carried out in accordance with the Act, </w:t>
      </w:r>
      <w:r w:rsidR="00160290">
        <w:t>R</w:t>
      </w:r>
      <w:r w:rsidRPr="00160290">
        <w:t>egulations and building permits, with penalties for noncompliance. This suggests</w:t>
      </w:r>
      <w:r w:rsidR="00D6135D">
        <w:t xml:space="preserve"> that </w:t>
      </w:r>
      <w:r w:rsidRPr="00160290">
        <w:t xml:space="preserve">even in the absence of any formal requirements on qualifications or experience, a practitioner would need to take at least some form of training or </w:t>
      </w:r>
      <w:r w:rsidR="00D6135D">
        <w:t xml:space="preserve">have </w:t>
      </w:r>
      <w:r w:rsidRPr="00160290">
        <w:t>experience in order to comply with the Act</w:t>
      </w:r>
      <w:r w:rsidR="00D6135D">
        <w:t>. O</w:t>
      </w:r>
      <w:r w:rsidRPr="00160290">
        <w:t>therwise</w:t>
      </w:r>
      <w:r w:rsidR="00D6135D">
        <w:t>,</w:t>
      </w:r>
      <w:r w:rsidRPr="00160290">
        <w:t xml:space="preserve"> they may suffer reputational damage if they are not able to perform building work to the required standard. Outside the Act, tort law and other legislation (</w:t>
      </w:r>
      <w:r w:rsidR="00703FD9" w:rsidRPr="00160290">
        <w:t>for example</w:t>
      </w:r>
      <w:r w:rsidR="00D6135D">
        <w:t xml:space="preserve">, </w:t>
      </w:r>
      <w:r w:rsidRPr="00160290">
        <w:t xml:space="preserve">the </w:t>
      </w:r>
      <w:r w:rsidR="00D3125B" w:rsidRPr="00D3125B">
        <w:rPr>
          <w:i/>
        </w:rPr>
        <w:t>Domestic Building Contracts Act 1995</w:t>
      </w:r>
      <w:r w:rsidRPr="00160290">
        <w:t>) would also apply</w:t>
      </w:r>
      <w:r w:rsidR="00D6135D">
        <w:t>,</w:t>
      </w:r>
      <w:r w:rsidRPr="00160290">
        <w:t xml:space="preserve"> giving incentive for practitioners to make themselves reasonably competent to undertake building work.</w:t>
      </w:r>
    </w:p>
    <w:p w:rsidR="003A7FBC" w:rsidRPr="00160290" w:rsidRDefault="003A7FBC" w:rsidP="00D6050F">
      <w:r w:rsidRPr="00160290">
        <w:t>In addition, the Act requires certain building practitioners to have relevant insurance (</w:t>
      </w:r>
      <w:proofErr w:type="spellStart"/>
      <w:r w:rsidR="0062727D">
        <w:t>pt</w:t>
      </w:r>
      <w:proofErr w:type="spellEnd"/>
      <w:r w:rsidRPr="00160290">
        <w:t xml:space="preserve"> 9). While primarily aimed at protecting consumers, the insurance requirement also acts as a de facto control over competency as a pattern of poor performance is likely to result in insurance being refused. Loss of insurance results in immediate suspension of registration.</w:t>
      </w:r>
    </w:p>
    <w:p w:rsidR="003A7FBC" w:rsidRPr="00160290" w:rsidRDefault="003A7FBC" w:rsidP="00D6050F">
      <w:r w:rsidRPr="00160290">
        <w:t xml:space="preserve">Further, the Act provides mechanisms to suspend or cancel the registration of a practitioner found to be incompetent. Disciplinary action can be taken under </w:t>
      </w:r>
      <w:r w:rsidR="000254D8">
        <w:t>s 1</w:t>
      </w:r>
      <w:r w:rsidRPr="00160290">
        <w:t xml:space="preserve">79 and can occur in relation to contraventions of the Act, unprofessional conduct, </w:t>
      </w:r>
      <w:r w:rsidR="00D6135D">
        <w:t xml:space="preserve">a </w:t>
      </w:r>
      <w:r w:rsidRPr="00160290">
        <w:t xml:space="preserve">pattern of incompetence or negligence, or where </w:t>
      </w:r>
      <w:r w:rsidR="000E2924">
        <w:t>VBA</w:t>
      </w:r>
      <w:r w:rsidRPr="00160290">
        <w:t xml:space="preserve"> </w:t>
      </w:r>
      <w:r w:rsidR="001A6162">
        <w:t>considers</w:t>
      </w:r>
      <w:r w:rsidRPr="00160290">
        <w:t xml:space="preserve"> the person is no longer fit to practi</w:t>
      </w:r>
      <w:r w:rsidR="0022498F">
        <w:t>s</w:t>
      </w:r>
      <w:r w:rsidRPr="00160290">
        <w:t>e.</w:t>
      </w:r>
    </w:p>
    <w:p w:rsidR="003A7FBC" w:rsidRPr="00160290" w:rsidRDefault="003A7FBC" w:rsidP="00D6050F">
      <w:pPr>
        <w:pStyle w:val="Normalpre-dotpoint"/>
      </w:pPr>
      <w:r w:rsidRPr="00160290">
        <w:lastRenderedPageBreak/>
        <w:t xml:space="preserve">In summary, in the absence of a </w:t>
      </w:r>
      <w:r w:rsidR="00160290">
        <w:t>R</w:t>
      </w:r>
      <w:r w:rsidRPr="00160290">
        <w:t>egulation specifically on minimum qualifications and experience, it appears that:</w:t>
      </w:r>
    </w:p>
    <w:p w:rsidR="003A7FBC" w:rsidRPr="00160290" w:rsidRDefault="000E2924" w:rsidP="00D6050F">
      <w:pPr>
        <w:pStyle w:val="Dotpoint"/>
      </w:pPr>
      <w:r>
        <w:t>VBA</w:t>
      </w:r>
      <w:r w:rsidR="003A7FBC" w:rsidRPr="00160290">
        <w:t xml:space="preserve"> may still consider the knowledge and ability of an applicant in deciding whether or not to register the practitioner</w:t>
      </w:r>
      <w:r w:rsidR="00D6135D">
        <w:t xml:space="preserve">; </w:t>
      </w:r>
      <w:r w:rsidR="00703FD9" w:rsidRPr="00160290">
        <w:t>probably</w:t>
      </w:r>
      <w:r w:rsidR="003A7FBC" w:rsidRPr="00160290">
        <w:t xml:space="preserve"> under this scenario </w:t>
      </w:r>
      <w:r>
        <w:t>VBA</w:t>
      </w:r>
      <w:r w:rsidR="003A7FBC" w:rsidRPr="00160290">
        <w:t xml:space="preserve"> could ask applicants </w:t>
      </w:r>
      <w:r w:rsidR="00D6135D" w:rsidRPr="00160290">
        <w:t xml:space="preserve">to list any qualifications and experience </w:t>
      </w:r>
      <w:r w:rsidR="00D6135D">
        <w:t>o</w:t>
      </w:r>
      <w:r w:rsidR="003A7FBC" w:rsidRPr="00160290">
        <w:t>n the application form</w:t>
      </w:r>
    </w:p>
    <w:p w:rsidR="003A7FBC" w:rsidRPr="00160290" w:rsidRDefault="00D6135D" w:rsidP="00D6050F">
      <w:pPr>
        <w:pStyle w:val="Dotpoint"/>
      </w:pPr>
      <w:r>
        <w:t>t</w:t>
      </w:r>
      <w:r w:rsidR="003A7FBC" w:rsidRPr="00160290">
        <w:t xml:space="preserve">he practitioner is likely to take some form of training and </w:t>
      </w:r>
      <w:r>
        <w:t xml:space="preserve">have </w:t>
      </w:r>
      <w:r w:rsidR="003A7FBC" w:rsidRPr="00160290">
        <w:t>experience in order to be able to have the expertise to comply with other parts of the Act</w:t>
      </w:r>
    </w:p>
    <w:p w:rsidR="003A7FBC" w:rsidRPr="00160290" w:rsidRDefault="00D6135D" w:rsidP="00D6050F">
      <w:pPr>
        <w:pStyle w:val="Dotpointlast"/>
      </w:pPr>
      <w:r>
        <w:t>t</w:t>
      </w:r>
      <w:r w:rsidR="003A7FBC" w:rsidRPr="00160290">
        <w:t>here are several mechanisms in the Act that would lead to registration being taken away should a practitioner be found to be not competent.</w:t>
      </w:r>
    </w:p>
    <w:p w:rsidR="002129C8" w:rsidRPr="00160290" w:rsidRDefault="003A7FBC" w:rsidP="00D6050F">
      <w:r w:rsidRPr="00160290">
        <w:t xml:space="preserve">Currently, consumers use the registration of a building practitioner as a signal that the government has checked the competency of a practitioner. In the absence of this, consumers would be able to take their own steps to check the quality of a practitioner </w:t>
      </w:r>
      <w:r w:rsidR="00D6135D">
        <w:t>(</w:t>
      </w:r>
      <w:r w:rsidRPr="00160290">
        <w:t xml:space="preserve">for example, </w:t>
      </w:r>
      <w:r w:rsidR="00D6135D">
        <w:t xml:space="preserve">they could </w:t>
      </w:r>
      <w:r w:rsidRPr="00160290">
        <w:t>reference check past work and many do this even in the presence of registration requirements</w:t>
      </w:r>
      <w:r w:rsidR="00D6135D">
        <w:t>)</w:t>
      </w:r>
      <w:r w:rsidRPr="00160290">
        <w:t>.</w:t>
      </w:r>
    </w:p>
    <w:p w:rsidR="003A7FBC" w:rsidRPr="00160290" w:rsidRDefault="003A7FBC" w:rsidP="00D6050F">
      <w:r w:rsidRPr="00160290">
        <w:t xml:space="preserve">Indeed, in the absence of this government endorsement of competency, building practitioners may take their own steps to demonstrate their competency, such as providing further information </w:t>
      </w:r>
      <w:r w:rsidR="00703FD9" w:rsidRPr="00160290">
        <w:t>about</w:t>
      </w:r>
      <w:r w:rsidRPr="00160290">
        <w:t xml:space="preserve"> their experience to potential customers. In addition, there may be an incentive in the sector to form practitioner</w:t>
      </w:r>
      <w:r w:rsidR="00D6135D">
        <w:t>s'</w:t>
      </w:r>
      <w:r w:rsidRPr="00160290">
        <w:t xml:space="preserve"> associations whereby </w:t>
      </w:r>
      <w:r w:rsidR="00D6135D">
        <w:t xml:space="preserve">an </w:t>
      </w:r>
      <w:r w:rsidRPr="00160290">
        <w:t>association would set membership requirements and then market its membership to consumers. Some membership organisations exist (such as Master Builders</w:t>
      </w:r>
      <w:r w:rsidR="00D6135D">
        <w:t xml:space="preserve"> and </w:t>
      </w:r>
      <w:r w:rsidR="006C108D">
        <w:t>Housing Industry Association</w:t>
      </w:r>
      <w:r w:rsidRPr="00160290">
        <w:t xml:space="preserve">) although these do not assess the qualifications or experience of </w:t>
      </w:r>
      <w:r w:rsidR="00D6135D">
        <w:t xml:space="preserve">their </w:t>
      </w:r>
      <w:r w:rsidRPr="00160290">
        <w:t xml:space="preserve">members. The likelihood they would take on a broader role of assessing qualifications in the absence of regulatory requirements </w:t>
      </w:r>
      <w:r w:rsidR="00D6135D">
        <w:t xml:space="preserve">for a </w:t>
      </w:r>
      <w:r w:rsidRPr="00160290">
        <w:t xml:space="preserve">qualification and experience is unknown and the </w:t>
      </w:r>
      <w:r w:rsidR="00BE6DEA" w:rsidRPr="00160290">
        <w:t>department</w:t>
      </w:r>
      <w:r w:rsidRPr="00160290">
        <w:t xml:space="preserve"> has assumed it will not occur in this base case. The </w:t>
      </w:r>
      <w:r w:rsidR="00BE6DEA" w:rsidRPr="00160290">
        <w:t>department</w:t>
      </w:r>
      <w:r w:rsidRPr="00160290">
        <w:t xml:space="preserve"> notes however that associations in various sectors do use other means to signal the quality of their members.</w:t>
      </w:r>
    </w:p>
    <w:p w:rsidR="003A7FBC" w:rsidRPr="00160290" w:rsidRDefault="003A7FBC" w:rsidP="00D6050F">
      <w:r w:rsidRPr="00160290">
        <w:t xml:space="preserve">The core analysis in this </w:t>
      </w:r>
      <w:r w:rsidR="006461A8" w:rsidRPr="00160290">
        <w:t>chapter</w:t>
      </w:r>
      <w:r w:rsidRPr="00160290">
        <w:t xml:space="preserve"> addresses Option 1, which assumes the current </w:t>
      </w:r>
      <w:r w:rsidR="00D6135D">
        <w:t>R</w:t>
      </w:r>
      <w:r w:rsidRPr="00160290">
        <w:t xml:space="preserve">egulation </w:t>
      </w:r>
      <w:r w:rsidR="00D6135D">
        <w:t xml:space="preserve">about </w:t>
      </w:r>
      <w:r w:rsidRPr="00160290">
        <w:t xml:space="preserve">qualifications and experience will be remade in </w:t>
      </w:r>
      <w:r w:rsidR="00D6135D">
        <w:t xml:space="preserve">its </w:t>
      </w:r>
      <w:r w:rsidRPr="00160290">
        <w:t>current form, and would allow for updating of prescribed qualifications to reflect the current courses available.</w:t>
      </w:r>
    </w:p>
    <w:p w:rsidR="00F71F1A" w:rsidRDefault="003A7FBC" w:rsidP="008D3250">
      <w:pPr>
        <w:pStyle w:val="Heading6"/>
      </w:pPr>
      <w:r w:rsidRPr="00D6135D">
        <w:t>Costs</w:t>
      </w:r>
    </w:p>
    <w:p w:rsidR="003A7FBC" w:rsidRPr="00160290" w:rsidRDefault="00D6050F" w:rsidP="00D6050F">
      <w:r w:rsidRPr="00160290">
        <w:t xml:space="preserve">Table </w:t>
      </w:r>
      <w:r w:rsidR="007C1EF0">
        <w:t>2</w:t>
      </w:r>
      <w:r w:rsidRPr="00160290">
        <w:t xml:space="preserve"> </w:t>
      </w:r>
      <w:r w:rsidR="00D6135D">
        <w:t>shows the regulatory costs of Option 1</w:t>
      </w:r>
      <w:r w:rsidRPr="00160290">
        <w:t>.</w:t>
      </w:r>
      <w:r w:rsidR="003A7FBC" w:rsidRPr="00160290">
        <w:t xml:space="preserve">The cost in the table for the qualification and experience requirements is not the total cost of meeting these requirements, but the </w:t>
      </w:r>
      <w:r w:rsidR="00D3125B" w:rsidRPr="00D3125B">
        <w:t>incremental</w:t>
      </w:r>
      <w:r w:rsidR="003A7FBC" w:rsidRPr="00160290">
        <w:t xml:space="preserve"> cost that occurs beyond what would occur in the base case. As noted above, in the absence of current </w:t>
      </w:r>
      <w:r w:rsidR="000E2924">
        <w:t>reg</w:t>
      </w:r>
      <w:r w:rsidR="003A7FBC" w:rsidRPr="00160290">
        <w:t xml:space="preserve">1503, there would be reasons (from both a registration perspective as well as basic knowledge to undertake work) for practitioners to undertake formal training and work experience. Discussions with a sample of practitioners indicated that in the absence of these qualifications being prescribed </w:t>
      </w:r>
      <w:r w:rsidR="00D6135D">
        <w:t xml:space="preserve">about </w:t>
      </w:r>
      <w:r w:rsidR="003A7FBC" w:rsidRPr="00160290">
        <w:t>75% of practitioners would have the relevant qualifications and 80% of practitioners would have the relevant experience when they begin providing services, as a means of preparing themselves to operate as building practitioner</w:t>
      </w:r>
      <w:r w:rsidR="00D6135D">
        <w:t>s</w:t>
      </w:r>
      <w:r w:rsidR="003A7FBC" w:rsidRPr="00160290">
        <w:t>. Th</w:t>
      </w:r>
      <w:r w:rsidR="00D6135D">
        <w:t>is</w:t>
      </w:r>
      <w:r w:rsidR="003A7FBC" w:rsidRPr="00160290">
        <w:t xml:space="preserve"> ha</w:t>
      </w:r>
      <w:r w:rsidR="00D6135D">
        <w:t>s</w:t>
      </w:r>
      <w:r w:rsidR="003A7FBC" w:rsidRPr="00160290">
        <w:t xml:space="preserve"> been reflected in the modelling assumptions, noting that the </w:t>
      </w:r>
      <w:r w:rsidR="00160290" w:rsidRPr="00160290">
        <w:t>RIS</w:t>
      </w:r>
      <w:r w:rsidR="003A7FBC" w:rsidRPr="00160290">
        <w:t xml:space="preserve"> is available for wider comment on these assumptions.</w:t>
      </w:r>
    </w:p>
    <w:p w:rsidR="003A7FBC" w:rsidRPr="00160290" w:rsidRDefault="003A7FBC" w:rsidP="00D6050F">
      <w:r w:rsidRPr="00160290">
        <w:t xml:space="preserve">The total costs, </w:t>
      </w:r>
      <w:r w:rsidR="00D6135D">
        <w:t xml:space="preserve">of about </w:t>
      </w:r>
      <w:r w:rsidRPr="00160290">
        <w:t xml:space="preserve">$27 million </w:t>
      </w:r>
      <w:r w:rsidR="00D6135D">
        <w:t>a year</w:t>
      </w:r>
      <w:r w:rsidRPr="00160290">
        <w:t xml:space="preserve">, represent </w:t>
      </w:r>
      <w:r w:rsidR="00D6135D">
        <w:t xml:space="preserve">about </w:t>
      </w:r>
      <w:r w:rsidRPr="00160290">
        <w:t xml:space="preserve">0.08% of the value of works completed under building permits issued in </w:t>
      </w:r>
      <w:r w:rsidR="002129C8" w:rsidRPr="00160290">
        <w:t>2015–16</w:t>
      </w:r>
      <w:r w:rsidRPr="00160290">
        <w:t>.</w:t>
      </w:r>
    </w:p>
    <w:p w:rsidR="003A7FBC" w:rsidRPr="00160290" w:rsidRDefault="003A7FBC" w:rsidP="00891FAB">
      <w:pPr>
        <w:sectPr w:rsidR="003A7FBC" w:rsidRPr="00160290" w:rsidSect="004028EE">
          <w:headerReference w:type="default" r:id="rId30"/>
          <w:footerReference w:type="default" r:id="rId31"/>
          <w:pgSz w:w="11900" w:h="16840"/>
          <w:pgMar w:top="992" w:right="1559" w:bottom="709" w:left="1797" w:header="708" w:footer="271" w:gutter="0"/>
          <w:cols w:space="708"/>
          <w:docGrid w:linePitch="272"/>
        </w:sectPr>
      </w:pPr>
      <w:r w:rsidRPr="00160290">
        <w:t>Requiring applicants to have competed a qualification or otherwise satisfy their qualification through an alternative pathway is a barrier to entry (</w:t>
      </w:r>
      <w:r w:rsidR="0075733B">
        <w:t>compared</w:t>
      </w:r>
      <w:r w:rsidR="0075733B" w:rsidRPr="00160290">
        <w:t xml:space="preserve"> </w:t>
      </w:r>
      <w:r w:rsidRPr="00160290">
        <w:t xml:space="preserve">to having no requirements for registration) and as such will </w:t>
      </w:r>
      <w:r w:rsidR="00D6135D">
        <w:t>affect</w:t>
      </w:r>
      <w:r w:rsidR="00D6135D" w:rsidRPr="00160290">
        <w:t xml:space="preserve"> </w:t>
      </w:r>
      <w:r w:rsidRPr="00160290">
        <w:t>competition. Compared to the base case, the qualification and experience requirements will result in fewer building practitioners than would otherwise be the case, collectively producing less output than in the base case. It is this reduction in output (economic production) that is the real economic cost of reducing competition. However, quantifying this competition effect is difficult for this sector.</w:t>
      </w:r>
    </w:p>
    <w:p w:rsidR="003A7FBC" w:rsidRPr="00160290" w:rsidRDefault="003A7FBC" w:rsidP="00031DCC">
      <w:pPr>
        <w:pStyle w:val="Caption"/>
      </w:pPr>
      <w:bookmarkStart w:id="42" w:name="_Toc481473110"/>
      <w:r w:rsidRPr="00160290">
        <w:lastRenderedPageBreak/>
        <w:t xml:space="preserve">Table </w:t>
      </w:r>
      <w:r w:rsidR="008A39F6">
        <w:t>2</w:t>
      </w:r>
      <w:r w:rsidRPr="00160290">
        <w:t>: Regulatory costs of Option 1</w:t>
      </w:r>
      <w:bookmarkEnd w:id="42"/>
    </w:p>
    <w:tbl>
      <w:tblPr>
        <w:tblStyle w:val="TableGrid"/>
        <w:tblW w:w="14884" w:type="dxa"/>
        <w:tblInd w:w="-459" w:type="dxa"/>
        <w:tblLook w:val="04A0" w:firstRow="1" w:lastRow="0" w:firstColumn="1" w:lastColumn="0" w:noHBand="0" w:noVBand="1"/>
      </w:tblPr>
      <w:tblGrid>
        <w:gridCol w:w="1548"/>
        <w:gridCol w:w="4122"/>
        <w:gridCol w:w="7360"/>
        <w:gridCol w:w="1854"/>
      </w:tblGrid>
      <w:tr w:rsidR="003A7FBC" w:rsidRPr="00F6402F" w:rsidTr="00A16FCE">
        <w:trPr>
          <w:cnfStyle w:val="100000000000" w:firstRow="1" w:lastRow="0" w:firstColumn="0" w:lastColumn="0" w:oddVBand="0" w:evenVBand="0" w:oddHBand="0" w:evenHBand="0" w:firstRowFirstColumn="0" w:firstRowLastColumn="0" w:lastRowFirstColumn="0" w:lastRowLastColumn="0"/>
        </w:trPr>
        <w:tc>
          <w:tcPr>
            <w:cnfStyle w:val="000000000100" w:firstRow="0" w:lastRow="0" w:firstColumn="0" w:lastColumn="0" w:oddVBand="0" w:evenVBand="0" w:oddHBand="0" w:evenHBand="0" w:firstRowFirstColumn="1" w:firstRowLastColumn="0" w:lastRowFirstColumn="0" w:lastRowLastColumn="0"/>
            <w:tcW w:w="1548" w:type="dxa"/>
            <w:shd w:val="clear" w:color="auto" w:fill="00B2A9" w:themeFill="accent1"/>
          </w:tcPr>
          <w:p w:rsidR="003A7FBC" w:rsidRPr="00011DF3" w:rsidRDefault="00FC6221" w:rsidP="00414B82">
            <w:pPr>
              <w:pStyle w:val="Tablecolumnhead"/>
              <w:spacing w:before="80" w:after="80"/>
              <w:ind w:left="0" w:right="0"/>
              <w:rPr>
                <w:sz w:val="18"/>
                <w:szCs w:val="18"/>
              </w:rPr>
            </w:pPr>
            <w:r w:rsidRPr="00011DF3">
              <w:rPr>
                <w:sz w:val="18"/>
                <w:szCs w:val="18"/>
              </w:rPr>
              <w:t>Type of cost</w:t>
            </w:r>
          </w:p>
        </w:tc>
        <w:tc>
          <w:tcPr>
            <w:tcW w:w="4122" w:type="dxa"/>
            <w:shd w:val="clear" w:color="auto" w:fill="00B2A9" w:themeFill="accent1"/>
          </w:tcPr>
          <w:p w:rsidR="003A7FBC" w:rsidRPr="00011DF3" w:rsidRDefault="00FC6221" w:rsidP="00414B82">
            <w:pPr>
              <w:pStyle w:val="Tablecolumnhead"/>
              <w:spacing w:before="80" w:after="80"/>
              <w:ind w:left="0" w:right="0"/>
              <w:cnfStyle w:val="100000000000" w:firstRow="1" w:lastRow="0" w:firstColumn="0" w:lastColumn="0" w:oddVBand="0" w:evenVBand="0" w:oddHBand="0" w:evenHBand="0" w:firstRowFirstColumn="0" w:firstRowLastColumn="0" w:lastRowFirstColumn="0" w:lastRowLastColumn="0"/>
              <w:rPr>
                <w:sz w:val="18"/>
                <w:szCs w:val="18"/>
              </w:rPr>
            </w:pPr>
            <w:r w:rsidRPr="00011DF3">
              <w:rPr>
                <w:sz w:val="18"/>
                <w:szCs w:val="18"/>
              </w:rPr>
              <w:t>Description of burden</w:t>
            </w:r>
          </w:p>
        </w:tc>
        <w:tc>
          <w:tcPr>
            <w:tcW w:w="7360" w:type="dxa"/>
            <w:shd w:val="clear" w:color="auto" w:fill="00B2A9" w:themeFill="accent1"/>
          </w:tcPr>
          <w:p w:rsidR="003A7FBC" w:rsidRPr="00011DF3" w:rsidRDefault="00FC6221" w:rsidP="00414B82">
            <w:pPr>
              <w:pStyle w:val="Tablecolumnhead"/>
              <w:spacing w:before="80" w:after="80"/>
              <w:ind w:left="0" w:right="0"/>
              <w:cnfStyle w:val="100000000000" w:firstRow="1" w:lastRow="0" w:firstColumn="0" w:lastColumn="0" w:oddVBand="0" w:evenVBand="0" w:oddHBand="0" w:evenHBand="0" w:firstRowFirstColumn="0" w:firstRowLastColumn="0" w:lastRowFirstColumn="0" w:lastRowLastColumn="0"/>
              <w:rPr>
                <w:sz w:val="18"/>
                <w:szCs w:val="18"/>
              </w:rPr>
            </w:pPr>
            <w:r w:rsidRPr="00011DF3">
              <w:rPr>
                <w:sz w:val="18"/>
                <w:szCs w:val="18"/>
              </w:rPr>
              <w:t>Measurement of burden</w:t>
            </w:r>
          </w:p>
        </w:tc>
        <w:tc>
          <w:tcPr>
            <w:tcW w:w="1854" w:type="dxa"/>
            <w:shd w:val="clear" w:color="auto" w:fill="00B2A9" w:themeFill="accent1"/>
          </w:tcPr>
          <w:p w:rsidR="003A7FBC" w:rsidRPr="00011DF3" w:rsidRDefault="00FC6221" w:rsidP="00414B82">
            <w:pPr>
              <w:pStyle w:val="Tablecolumnhead"/>
              <w:spacing w:before="80" w:after="80"/>
              <w:ind w:left="0" w:right="0"/>
              <w:cnfStyle w:val="100000000000" w:firstRow="1" w:lastRow="0" w:firstColumn="0" w:lastColumn="0" w:oddVBand="0" w:evenVBand="0" w:oddHBand="0" w:evenHBand="0" w:firstRowFirstColumn="0" w:firstRowLastColumn="0" w:lastRowFirstColumn="0" w:lastRowLastColumn="0"/>
              <w:rPr>
                <w:sz w:val="18"/>
                <w:szCs w:val="18"/>
              </w:rPr>
            </w:pPr>
            <w:r w:rsidRPr="00011DF3">
              <w:rPr>
                <w:sz w:val="18"/>
                <w:szCs w:val="18"/>
              </w:rPr>
              <w:t>Total cost</w:t>
            </w:r>
          </w:p>
        </w:tc>
      </w:tr>
      <w:tr w:rsidR="003A7FBC" w:rsidRPr="00F6402F" w:rsidTr="00A16FCE">
        <w:tc>
          <w:tcPr>
            <w:tcW w:w="1548" w:type="dxa"/>
          </w:tcPr>
          <w:p w:rsidR="003A7FBC" w:rsidRPr="00011DF3" w:rsidRDefault="00D3125B" w:rsidP="00031DCC">
            <w:pPr>
              <w:pStyle w:val="Tabletext"/>
              <w:ind w:left="0" w:right="0"/>
              <w:rPr>
                <w:szCs w:val="18"/>
                <w:lang w:val="en-AU"/>
              </w:rPr>
            </w:pPr>
            <w:r w:rsidRPr="00F6402F">
              <w:rPr>
                <w:szCs w:val="18"/>
                <w:lang w:val="en-AU"/>
              </w:rPr>
              <w:t xml:space="preserve">Administrative cost </w:t>
            </w:r>
          </w:p>
        </w:tc>
        <w:tc>
          <w:tcPr>
            <w:tcW w:w="4122" w:type="dxa"/>
          </w:tcPr>
          <w:p w:rsidR="003A7FBC" w:rsidRPr="00011DF3" w:rsidRDefault="00D3125B" w:rsidP="00031DCC">
            <w:pPr>
              <w:pStyle w:val="Tabletext"/>
              <w:ind w:left="0" w:right="0"/>
              <w:rPr>
                <w:szCs w:val="18"/>
                <w:lang w:val="en-AU"/>
              </w:rPr>
            </w:pPr>
            <w:r w:rsidRPr="00F6402F">
              <w:rPr>
                <w:szCs w:val="18"/>
                <w:lang w:val="en-AU"/>
              </w:rPr>
              <w:t>New applicants would need to provide information about their qualifications and experience in their ap</w:t>
            </w:r>
            <w:r w:rsidR="00FC6221" w:rsidRPr="00FC6221">
              <w:rPr>
                <w:szCs w:val="18"/>
                <w:lang w:val="en-AU"/>
              </w:rPr>
              <w:t xml:space="preserve">plication. In practice, </w:t>
            </w:r>
            <w:r w:rsidR="00FC6221" w:rsidRPr="00F57EAA">
              <w:rPr>
                <w:szCs w:val="18"/>
                <w:lang w:val="en-AU"/>
              </w:rPr>
              <w:t>VBA requires copies of transcripts and written references.</w:t>
            </w:r>
          </w:p>
        </w:tc>
        <w:tc>
          <w:tcPr>
            <w:tcW w:w="7360" w:type="dxa"/>
          </w:tcPr>
          <w:p w:rsidR="003A7FBC" w:rsidRPr="00011DF3" w:rsidRDefault="00D3125B" w:rsidP="00031DCC">
            <w:pPr>
              <w:pStyle w:val="Tabletext"/>
              <w:ind w:left="0" w:right="0"/>
              <w:rPr>
                <w:szCs w:val="18"/>
                <w:lang w:val="en-AU"/>
              </w:rPr>
            </w:pPr>
            <w:r w:rsidRPr="00F6402F">
              <w:rPr>
                <w:szCs w:val="18"/>
                <w:lang w:val="en-AU"/>
              </w:rPr>
              <w:t>Additional time to note qualifications and experience is assumed to be negligible.</w:t>
            </w:r>
          </w:p>
          <w:p w:rsidR="003A7FBC" w:rsidRPr="00011DF3" w:rsidRDefault="00D3125B" w:rsidP="00031DCC">
            <w:pPr>
              <w:pStyle w:val="Tabletext"/>
              <w:ind w:left="0" w:right="0"/>
              <w:rPr>
                <w:szCs w:val="18"/>
                <w:lang w:val="en-AU"/>
              </w:rPr>
            </w:pPr>
            <w:r w:rsidRPr="00F6402F">
              <w:rPr>
                <w:szCs w:val="18"/>
                <w:lang w:val="en-AU"/>
              </w:rPr>
              <w:t xml:space="preserve">The time required to obtain copies of the relevant documents is estimated to </w:t>
            </w:r>
            <w:r w:rsidR="00FC6221" w:rsidRPr="00FC6221">
              <w:rPr>
                <w:szCs w:val="18"/>
                <w:lang w:val="en-AU"/>
              </w:rPr>
              <w:t>be one hour per applicant. Valuing an applicant’s time at $37.36 per hour</w:t>
            </w:r>
            <w:r w:rsidR="00561486">
              <w:rPr>
                <w:szCs w:val="18"/>
                <w:lang w:val="en-AU"/>
              </w:rPr>
              <w:t>,</w:t>
            </w:r>
            <w:r w:rsidR="00FC6221" w:rsidRPr="00F57EAA">
              <w:rPr>
                <w:szCs w:val="18"/>
                <w:vertAlign w:val="superscript"/>
                <w:lang w:val="en-AU"/>
              </w:rPr>
              <w:footnoteReference w:id="26"/>
            </w:r>
            <w:r w:rsidR="00FC6221" w:rsidRPr="00F57EAA">
              <w:rPr>
                <w:szCs w:val="18"/>
                <w:lang w:val="en-AU"/>
              </w:rPr>
              <w:t xml:space="preserve"> t</w:t>
            </w:r>
            <w:r w:rsidRPr="00F6402F">
              <w:rPr>
                <w:szCs w:val="18"/>
                <w:lang w:val="en-AU"/>
              </w:rPr>
              <w:t xml:space="preserve">his adds a total $37.36 per application. </w:t>
            </w:r>
            <w:r w:rsidR="00FC6221" w:rsidRPr="00FC6221">
              <w:rPr>
                <w:szCs w:val="18"/>
                <w:lang w:val="en-AU"/>
              </w:rPr>
              <w:t xml:space="preserve">about </w:t>
            </w:r>
            <w:r w:rsidRPr="00F6402F">
              <w:rPr>
                <w:szCs w:val="18"/>
                <w:lang w:val="en-AU"/>
              </w:rPr>
              <w:t xml:space="preserve">700 new applications for registration are received each year, giving a total administrative cost of $26,152 </w:t>
            </w:r>
            <w:r w:rsidR="00FC6221" w:rsidRPr="00FC6221">
              <w:rPr>
                <w:szCs w:val="18"/>
                <w:lang w:val="en-AU"/>
              </w:rPr>
              <w:t>a year</w:t>
            </w:r>
            <w:r w:rsidRPr="00F6402F">
              <w:rPr>
                <w:szCs w:val="18"/>
                <w:lang w:val="en-AU"/>
              </w:rPr>
              <w:t>.</w:t>
            </w:r>
          </w:p>
          <w:p w:rsidR="003A7FBC" w:rsidRPr="00011DF3" w:rsidRDefault="00D3125B" w:rsidP="006B38DF">
            <w:pPr>
              <w:pStyle w:val="Tabletext"/>
              <w:ind w:left="0" w:right="0"/>
              <w:rPr>
                <w:rFonts w:cstheme="minorHAnsi"/>
                <w:szCs w:val="18"/>
                <w:lang w:val="en-AU"/>
              </w:rPr>
            </w:pPr>
            <w:r w:rsidRPr="00F6402F">
              <w:rPr>
                <w:szCs w:val="18"/>
                <w:lang w:val="en-AU"/>
              </w:rPr>
              <w:t>These costs assu</w:t>
            </w:r>
            <w:r w:rsidR="00FC6221" w:rsidRPr="00FC6221">
              <w:rPr>
                <w:szCs w:val="18"/>
                <w:lang w:val="en-AU"/>
              </w:rPr>
              <w:t xml:space="preserve">me that in the absence of Regulations about qualifications </w:t>
            </w:r>
            <w:r w:rsidR="00FC6221" w:rsidRPr="00F57EAA">
              <w:rPr>
                <w:szCs w:val="18"/>
                <w:lang w:val="en-AU"/>
              </w:rPr>
              <w:t xml:space="preserve">VBA would not need to obtain evidence of qualifications. However, as noted above, </w:t>
            </w:r>
            <w:r w:rsidR="00FC6221" w:rsidRPr="00723878">
              <w:rPr>
                <w:szCs w:val="18"/>
              </w:rPr>
              <w:t>VBA</w:t>
            </w:r>
            <w:r w:rsidR="00FC6221" w:rsidRPr="00723878">
              <w:rPr>
                <w:szCs w:val="18"/>
                <w:lang w:val="en-AU"/>
              </w:rPr>
              <w:t xml:space="preserve"> could still decide to obtain information about an applicant’s qualifications to determine if they are otherwise suitable for registration, which would reduce th</w:t>
            </w:r>
            <w:r w:rsidR="00FC6221" w:rsidRPr="00BC1922">
              <w:rPr>
                <w:szCs w:val="18"/>
                <w:lang w:val="en-AU"/>
              </w:rPr>
              <w:t>e incremental nature of this cost item for this option. It has been included here for transparency, and the department notes it is a very small component of the overall scale of costs of this option.</w:t>
            </w:r>
          </w:p>
        </w:tc>
        <w:tc>
          <w:tcPr>
            <w:tcW w:w="1854" w:type="dxa"/>
          </w:tcPr>
          <w:p w:rsidR="003A7FBC" w:rsidRPr="00011DF3" w:rsidRDefault="00D3125B" w:rsidP="00031DCC">
            <w:pPr>
              <w:pStyle w:val="Tabletext"/>
              <w:ind w:left="0" w:right="0"/>
              <w:rPr>
                <w:szCs w:val="18"/>
                <w:lang w:val="en-AU"/>
              </w:rPr>
            </w:pPr>
            <w:r w:rsidRPr="00F6402F">
              <w:rPr>
                <w:szCs w:val="18"/>
                <w:lang w:val="en-AU"/>
              </w:rPr>
              <w:t xml:space="preserve">$26,152 </w:t>
            </w:r>
            <w:r w:rsidR="00FC6221" w:rsidRPr="00FC6221">
              <w:rPr>
                <w:szCs w:val="18"/>
                <w:lang w:val="en-AU"/>
              </w:rPr>
              <w:t>a year</w:t>
            </w:r>
          </w:p>
          <w:p w:rsidR="003A7FBC" w:rsidRPr="00011DF3" w:rsidRDefault="003A7FBC" w:rsidP="00031DCC">
            <w:pPr>
              <w:pStyle w:val="Tabletext"/>
              <w:ind w:left="0" w:right="0"/>
              <w:rPr>
                <w:rFonts w:cstheme="minorHAnsi"/>
                <w:szCs w:val="18"/>
                <w:lang w:val="en-AU"/>
              </w:rPr>
            </w:pPr>
          </w:p>
          <w:p w:rsidR="003A7FBC" w:rsidRPr="00011DF3" w:rsidRDefault="003A7FBC" w:rsidP="00031DCC">
            <w:pPr>
              <w:pStyle w:val="Tabletext"/>
              <w:ind w:left="0" w:right="0"/>
              <w:rPr>
                <w:rFonts w:cstheme="minorHAnsi"/>
                <w:szCs w:val="18"/>
                <w:lang w:val="en-AU"/>
              </w:rPr>
            </w:pPr>
          </w:p>
        </w:tc>
      </w:tr>
      <w:tr w:rsidR="003A7FBC" w:rsidRPr="00F6402F" w:rsidTr="00A16FCE">
        <w:tc>
          <w:tcPr>
            <w:tcW w:w="1548" w:type="dxa"/>
          </w:tcPr>
          <w:p w:rsidR="003A7FBC" w:rsidRPr="00011DF3" w:rsidRDefault="00D3125B" w:rsidP="00031DCC">
            <w:pPr>
              <w:pStyle w:val="Tabletext"/>
              <w:ind w:left="0" w:right="0"/>
              <w:rPr>
                <w:szCs w:val="18"/>
                <w:lang w:val="en-AU"/>
              </w:rPr>
            </w:pPr>
            <w:r w:rsidRPr="00F6402F">
              <w:rPr>
                <w:szCs w:val="18"/>
                <w:lang w:val="en-AU"/>
              </w:rPr>
              <w:t>Administrative cost</w:t>
            </w:r>
          </w:p>
        </w:tc>
        <w:tc>
          <w:tcPr>
            <w:tcW w:w="4122" w:type="dxa"/>
          </w:tcPr>
          <w:p w:rsidR="003A7FBC" w:rsidRPr="00011DF3" w:rsidRDefault="00D3125B" w:rsidP="00703FD9">
            <w:pPr>
              <w:pStyle w:val="Tabletext"/>
              <w:ind w:left="0" w:right="0"/>
              <w:rPr>
                <w:szCs w:val="18"/>
                <w:lang w:val="en-AU"/>
              </w:rPr>
            </w:pPr>
            <w:r w:rsidRPr="00F6402F">
              <w:rPr>
                <w:szCs w:val="18"/>
                <w:lang w:val="en-AU"/>
              </w:rPr>
              <w:t>Most applicants are required to attend testing and interviews. This is to test the practical application of their knowledge.</w:t>
            </w:r>
          </w:p>
        </w:tc>
        <w:tc>
          <w:tcPr>
            <w:tcW w:w="7360" w:type="dxa"/>
          </w:tcPr>
          <w:p w:rsidR="003A7FBC" w:rsidRPr="00011DF3" w:rsidRDefault="00D3125B" w:rsidP="00031DCC">
            <w:pPr>
              <w:pStyle w:val="Tabletext"/>
              <w:ind w:left="0" w:right="0"/>
              <w:rPr>
                <w:szCs w:val="18"/>
                <w:lang w:val="en-AU"/>
              </w:rPr>
            </w:pPr>
            <w:r w:rsidRPr="00F6402F">
              <w:rPr>
                <w:szCs w:val="18"/>
                <w:lang w:val="en-AU"/>
              </w:rPr>
              <w:t xml:space="preserve">Online testing takes </w:t>
            </w:r>
            <w:r w:rsidR="00FC6221" w:rsidRPr="00FC6221">
              <w:rPr>
                <w:szCs w:val="18"/>
                <w:lang w:val="en-AU"/>
              </w:rPr>
              <w:t>about</w:t>
            </w:r>
            <w:r w:rsidRPr="00F6402F">
              <w:rPr>
                <w:szCs w:val="18"/>
                <w:lang w:val="en-AU"/>
              </w:rPr>
              <w:t xml:space="preserve"> 1.5 hours per applicant. The time value ($37.36</w:t>
            </w:r>
            <w:r w:rsidR="00FC6221" w:rsidRPr="00FC6221">
              <w:rPr>
                <w:szCs w:val="18"/>
                <w:lang w:val="en-AU"/>
              </w:rPr>
              <w:t xml:space="preserve"> per hour) provides $56.04 per applicant.</w:t>
            </w:r>
          </w:p>
          <w:p w:rsidR="003A7FBC" w:rsidRPr="00011DF3" w:rsidRDefault="00D3125B" w:rsidP="00031DCC">
            <w:pPr>
              <w:pStyle w:val="Tabletext"/>
              <w:ind w:left="0" w:right="0"/>
              <w:rPr>
                <w:szCs w:val="18"/>
                <w:lang w:val="en-AU"/>
              </w:rPr>
            </w:pPr>
            <w:r w:rsidRPr="00F6402F">
              <w:rPr>
                <w:szCs w:val="18"/>
              </w:rPr>
              <w:t xml:space="preserve">Attendance at interviews may take up to </w:t>
            </w:r>
            <w:r w:rsidR="00FC6221" w:rsidRPr="00FC6221">
              <w:rPr>
                <w:szCs w:val="18"/>
                <w:lang w:val="en-AU"/>
              </w:rPr>
              <w:t xml:space="preserve">three </w:t>
            </w:r>
            <w:r w:rsidRPr="00F6402F">
              <w:rPr>
                <w:szCs w:val="18"/>
              </w:rPr>
              <w:t>hours</w:t>
            </w:r>
            <w:r w:rsidR="00FC6221" w:rsidRPr="00FC6221">
              <w:rPr>
                <w:szCs w:val="18"/>
                <w:lang w:val="en-AU"/>
              </w:rPr>
              <w:t xml:space="preserve"> but </w:t>
            </w:r>
            <w:r w:rsidRPr="00F6402F">
              <w:rPr>
                <w:szCs w:val="18"/>
              </w:rPr>
              <w:t xml:space="preserve">not all applicants are required to attend an interview. Averaged over all applicants, </w:t>
            </w:r>
            <w:r w:rsidR="00FC6221" w:rsidRPr="00FC6221">
              <w:rPr>
                <w:szCs w:val="18"/>
                <w:lang w:val="en-AU"/>
              </w:rPr>
              <w:t xml:space="preserve">at one </w:t>
            </w:r>
            <w:r w:rsidRPr="00F6402F">
              <w:rPr>
                <w:szCs w:val="18"/>
              </w:rPr>
              <w:t xml:space="preserve">hour per applicant, </w:t>
            </w:r>
            <w:r w:rsidR="00FC6221" w:rsidRPr="00FC6221">
              <w:rPr>
                <w:szCs w:val="18"/>
                <w:lang w:val="en-AU"/>
              </w:rPr>
              <w:t xml:space="preserve">the </w:t>
            </w:r>
            <w:r w:rsidR="00FC6221" w:rsidRPr="00F57EAA">
              <w:rPr>
                <w:szCs w:val="18"/>
                <w:lang w:val="en-AU"/>
              </w:rPr>
              <w:t xml:space="preserve">estimated </w:t>
            </w:r>
            <w:r w:rsidRPr="00F6402F">
              <w:rPr>
                <w:szCs w:val="18"/>
              </w:rPr>
              <w:t xml:space="preserve">time cost </w:t>
            </w:r>
            <w:r w:rsidR="00FC6221" w:rsidRPr="00FC6221">
              <w:rPr>
                <w:szCs w:val="18"/>
                <w:lang w:val="en-AU"/>
              </w:rPr>
              <w:t xml:space="preserve">is </w:t>
            </w:r>
            <w:r w:rsidRPr="00F6402F">
              <w:rPr>
                <w:szCs w:val="18"/>
              </w:rPr>
              <w:t>$37.36 per applican</w:t>
            </w:r>
            <w:r w:rsidR="00FC6221" w:rsidRPr="00FC6221">
              <w:rPr>
                <w:szCs w:val="18"/>
              </w:rPr>
              <w:t>t.</w:t>
            </w:r>
            <w:r w:rsidR="00FC6221" w:rsidRPr="00F57EAA">
              <w:rPr>
                <w:szCs w:val="18"/>
                <w:lang w:val="en-AU"/>
              </w:rPr>
              <w:t xml:space="preserve"> </w:t>
            </w:r>
            <w:r w:rsidRPr="00F6402F">
              <w:rPr>
                <w:szCs w:val="18"/>
                <w:lang w:val="en-AU"/>
              </w:rPr>
              <w:t xml:space="preserve">This gives a total cost of $65,380 </w:t>
            </w:r>
            <w:r w:rsidR="00FC6221" w:rsidRPr="00FC6221">
              <w:rPr>
                <w:szCs w:val="18"/>
                <w:lang w:val="en-AU"/>
              </w:rPr>
              <w:t>a year</w:t>
            </w:r>
            <w:r w:rsidRPr="00F6402F">
              <w:rPr>
                <w:szCs w:val="18"/>
                <w:lang w:val="en-AU"/>
              </w:rPr>
              <w:t>.</w:t>
            </w:r>
          </w:p>
          <w:p w:rsidR="003A7FBC" w:rsidRPr="00011DF3" w:rsidRDefault="00D3125B" w:rsidP="006B38DF">
            <w:pPr>
              <w:pStyle w:val="Tabletext"/>
              <w:ind w:left="0" w:right="0"/>
              <w:rPr>
                <w:rFonts w:cstheme="minorHAnsi"/>
                <w:szCs w:val="18"/>
                <w:lang w:val="en-AU"/>
              </w:rPr>
            </w:pPr>
            <w:r w:rsidRPr="00F6402F">
              <w:rPr>
                <w:szCs w:val="18"/>
                <w:lang w:val="en-AU"/>
              </w:rPr>
              <w:t xml:space="preserve">These costs assume that in the absence of Regulations about experience </w:t>
            </w:r>
            <w:r w:rsidR="00FC6221" w:rsidRPr="00F57EAA">
              <w:rPr>
                <w:szCs w:val="18"/>
                <w:lang w:val="en-AU"/>
              </w:rPr>
              <w:t>VBA would not need to obtain evidence of experience. However, as noted above, VBA could still decide to obtain information about an applicant’s knowledge and e</w:t>
            </w:r>
            <w:r w:rsidR="00FC6221" w:rsidRPr="00723878">
              <w:rPr>
                <w:szCs w:val="18"/>
                <w:lang w:val="en-AU"/>
              </w:rPr>
              <w:t xml:space="preserve">xperience to determine if they are otherwise suitable for registration (that is, fit to practise), which would reduce the incremental nature of this cost item for this option. It is </w:t>
            </w:r>
            <w:r w:rsidRPr="00F6402F">
              <w:rPr>
                <w:szCs w:val="18"/>
                <w:lang w:val="en-AU"/>
              </w:rPr>
              <w:t>included here for transparen</w:t>
            </w:r>
            <w:r w:rsidR="00FC6221" w:rsidRPr="00FC6221">
              <w:rPr>
                <w:szCs w:val="18"/>
                <w:lang w:val="en-AU"/>
              </w:rPr>
              <w:t xml:space="preserve">cy, and the </w:t>
            </w:r>
            <w:r w:rsidRPr="00F6402F">
              <w:rPr>
                <w:szCs w:val="18"/>
                <w:lang w:val="en-AU"/>
              </w:rPr>
              <w:t>department notes it is a very small component of the overall scale of costs of this option.</w:t>
            </w:r>
          </w:p>
        </w:tc>
        <w:tc>
          <w:tcPr>
            <w:tcW w:w="1854" w:type="dxa"/>
          </w:tcPr>
          <w:p w:rsidR="003A7FBC" w:rsidRPr="00011DF3" w:rsidRDefault="00D3125B" w:rsidP="00031DCC">
            <w:pPr>
              <w:pStyle w:val="Tabletext"/>
              <w:ind w:left="0" w:right="0"/>
              <w:rPr>
                <w:szCs w:val="18"/>
                <w:lang w:val="en-AU"/>
              </w:rPr>
            </w:pPr>
            <w:r w:rsidRPr="00F6402F">
              <w:rPr>
                <w:szCs w:val="18"/>
                <w:lang w:val="en-AU"/>
              </w:rPr>
              <w:t xml:space="preserve">$65,380 </w:t>
            </w:r>
            <w:r w:rsidR="00FC6221" w:rsidRPr="00FC6221">
              <w:rPr>
                <w:szCs w:val="18"/>
                <w:lang w:val="en-AU"/>
              </w:rPr>
              <w:t>a year</w:t>
            </w:r>
          </w:p>
          <w:p w:rsidR="003A7FBC" w:rsidRPr="00011DF3" w:rsidRDefault="003A7FBC" w:rsidP="00031DCC">
            <w:pPr>
              <w:pStyle w:val="Tabletext"/>
              <w:ind w:left="0" w:right="0"/>
              <w:rPr>
                <w:rFonts w:cstheme="minorHAnsi"/>
                <w:szCs w:val="18"/>
                <w:lang w:val="en-AU"/>
              </w:rPr>
            </w:pPr>
          </w:p>
          <w:p w:rsidR="003A7FBC" w:rsidRPr="00011DF3" w:rsidRDefault="003A7FBC" w:rsidP="00031DCC">
            <w:pPr>
              <w:pStyle w:val="Tabletext"/>
              <w:ind w:left="0" w:right="0"/>
              <w:rPr>
                <w:rFonts w:cstheme="minorHAnsi"/>
                <w:szCs w:val="18"/>
                <w:lang w:val="en-AU"/>
              </w:rPr>
            </w:pPr>
          </w:p>
        </w:tc>
      </w:tr>
      <w:tr w:rsidR="003A7FBC" w:rsidRPr="00F6402F" w:rsidTr="00A16FCE">
        <w:tc>
          <w:tcPr>
            <w:tcW w:w="1548" w:type="dxa"/>
          </w:tcPr>
          <w:p w:rsidR="003A7FBC" w:rsidRPr="00011DF3" w:rsidRDefault="00D3125B" w:rsidP="00031DCC">
            <w:pPr>
              <w:pStyle w:val="Tabletext"/>
              <w:ind w:left="0" w:right="0"/>
              <w:rPr>
                <w:szCs w:val="18"/>
                <w:lang w:val="en-AU"/>
              </w:rPr>
            </w:pPr>
            <w:r w:rsidRPr="00F6402F">
              <w:rPr>
                <w:szCs w:val="18"/>
                <w:lang w:val="en-AU"/>
              </w:rPr>
              <w:t>Substantive compliance cost</w:t>
            </w:r>
          </w:p>
        </w:tc>
        <w:tc>
          <w:tcPr>
            <w:tcW w:w="4122" w:type="dxa"/>
          </w:tcPr>
          <w:p w:rsidR="002129C8" w:rsidRPr="00011DF3" w:rsidRDefault="00D3125B" w:rsidP="00031DCC">
            <w:pPr>
              <w:pStyle w:val="Tabletext"/>
              <w:ind w:left="0" w:right="0"/>
              <w:rPr>
                <w:szCs w:val="18"/>
                <w:lang w:val="en-AU"/>
              </w:rPr>
            </w:pPr>
            <w:r w:rsidRPr="00F6402F">
              <w:rPr>
                <w:szCs w:val="18"/>
              </w:rPr>
              <w:t>Applicants are required to have the prescribed qualification listed in the Regulations. In most cases, the</w:t>
            </w:r>
            <w:r w:rsidR="00FC6221" w:rsidRPr="00FC6221">
              <w:rPr>
                <w:szCs w:val="18"/>
              </w:rPr>
              <w:t xml:space="preserve"> primary means to satisfying the qualification requirement is the completion of a qualification recognised under the Australian Qualifications Framework (such as a </w:t>
            </w:r>
            <w:r w:rsidR="00FC6221" w:rsidRPr="00F57EAA">
              <w:rPr>
                <w:szCs w:val="18"/>
                <w:lang w:val="en-AU"/>
              </w:rPr>
              <w:t>c</w:t>
            </w:r>
            <w:proofErr w:type="spellStart"/>
            <w:r w:rsidRPr="00F6402F">
              <w:rPr>
                <w:szCs w:val="18"/>
              </w:rPr>
              <w:t>ertificate</w:t>
            </w:r>
            <w:proofErr w:type="spellEnd"/>
            <w:r w:rsidRPr="00F6402F">
              <w:rPr>
                <w:szCs w:val="18"/>
              </w:rPr>
              <w:t xml:space="preserve">, </w:t>
            </w:r>
            <w:r w:rsidR="00FC6221" w:rsidRPr="00FC6221">
              <w:rPr>
                <w:szCs w:val="18"/>
                <w:lang w:val="en-AU"/>
              </w:rPr>
              <w:t>d</w:t>
            </w:r>
            <w:proofErr w:type="spellStart"/>
            <w:r w:rsidRPr="00F6402F">
              <w:rPr>
                <w:szCs w:val="18"/>
              </w:rPr>
              <w:t>iploma</w:t>
            </w:r>
            <w:proofErr w:type="spellEnd"/>
            <w:r w:rsidRPr="00F6402F">
              <w:rPr>
                <w:szCs w:val="18"/>
              </w:rPr>
              <w:t xml:space="preserve"> or degree), although the Act also provides for alternative pathways to </w:t>
            </w:r>
            <w:r w:rsidR="00FC6221" w:rsidRPr="00FC6221">
              <w:rPr>
                <w:szCs w:val="18"/>
              </w:rPr>
              <w:t>satisfy the qualification requirement.</w:t>
            </w:r>
          </w:p>
          <w:p w:rsidR="003A7FBC" w:rsidRPr="00011DF3" w:rsidRDefault="00D3125B" w:rsidP="006C108D">
            <w:pPr>
              <w:pStyle w:val="Tabletext"/>
              <w:ind w:left="0" w:right="0"/>
              <w:rPr>
                <w:szCs w:val="18"/>
                <w:lang w:val="en-AU"/>
              </w:rPr>
            </w:pPr>
            <w:r w:rsidRPr="00F6402F">
              <w:rPr>
                <w:szCs w:val="18"/>
                <w:lang w:val="en-AU"/>
              </w:rPr>
              <w:t xml:space="preserve">For those that obtain the relevant </w:t>
            </w:r>
            <w:r w:rsidR="00FC6221" w:rsidRPr="00FC6221">
              <w:rPr>
                <w:szCs w:val="18"/>
                <w:lang w:val="en-AU"/>
              </w:rPr>
              <w:t xml:space="preserve">Australian Qualifications Framework </w:t>
            </w:r>
            <w:r w:rsidR="00FC6221" w:rsidRPr="00F57EAA">
              <w:rPr>
                <w:szCs w:val="18"/>
                <w:lang w:val="en-AU"/>
              </w:rPr>
              <w:t xml:space="preserve">qualification, there is a cost of obtaining this qualification (tuition/course fees) as well as the time (opportunity cost) spent doing </w:t>
            </w:r>
            <w:r w:rsidRPr="00F6402F">
              <w:rPr>
                <w:szCs w:val="18"/>
                <w:lang w:val="en-AU"/>
              </w:rPr>
              <w:t>the co</w:t>
            </w:r>
            <w:r w:rsidR="00FC6221" w:rsidRPr="00FC6221">
              <w:rPr>
                <w:szCs w:val="18"/>
                <w:lang w:val="en-AU"/>
              </w:rPr>
              <w:t>urse.</w:t>
            </w:r>
          </w:p>
        </w:tc>
        <w:tc>
          <w:tcPr>
            <w:tcW w:w="7360" w:type="dxa"/>
          </w:tcPr>
          <w:p w:rsidR="003A7FBC" w:rsidRPr="00011DF3" w:rsidRDefault="00FC6221" w:rsidP="00031DCC">
            <w:pPr>
              <w:pStyle w:val="Tabletext"/>
              <w:ind w:left="0" w:right="0"/>
              <w:rPr>
                <w:szCs w:val="18"/>
                <w:lang w:val="en-AU"/>
              </w:rPr>
            </w:pPr>
            <w:r w:rsidRPr="00FC6221">
              <w:rPr>
                <w:szCs w:val="18"/>
                <w:lang w:val="en-AU"/>
              </w:rPr>
              <w:t>The c</w:t>
            </w:r>
            <w:r w:rsidR="00D3125B" w:rsidRPr="00F6402F">
              <w:rPr>
                <w:szCs w:val="18"/>
                <w:lang w:val="en-AU"/>
              </w:rPr>
              <w:t xml:space="preserve">ost </w:t>
            </w:r>
            <w:r w:rsidRPr="00FC6221">
              <w:rPr>
                <w:szCs w:val="18"/>
                <w:lang w:val="en-AU"/>
              </w:rPr>
              <w:t xml:space="preserve">to applicants </w:t>
            </w:r>
            <w:r w:rsidR="00D3125B" w:rsidRPr="00F6402F">
              <w:rPr>
                <w:szCs w:val="18"/>
                <w:lang w:val="en-AU"/>
              </w:rPr>
              <w:t xml:space="preserve">of </w:t>
            </w:r>
            <w:r w:rsidRPr="00FC6221">
              <w:rPr>
                <w:szCs w:val="18"/>
                <w:lang w:val="en-AU"/>
              </w:rPr>
              <w:t xml:space="preserve">doing a </w:t>
            </w:r>
            <w:r w:rsidR="00D3125B" w:rsidRPr="00F6402F">
              <w:rPr>
                <w:szCs w:val="18"/>
                <w:lang w:val="en-AU"/>
              </w:rPr>
              <w:t xml:space="preserve">qualification (or alternative pathway) is estimated </w:t>
            </w:r>
            <w:r w:rsidRPr="00FC6221">
              <w:rPr>
                <w:szCs w:val="18"/>
                <w:lang w:val="en-AU"/>
              </w:rPr>
              <w:t xml:space="preserve">at </w:t>
            </w:r>
            <w:r w:rsidR="00D3125B" w:rsidRPr="00F6402F">
              <w:rPr>
                <w:szCs w:val="18"/>
                <w:lang w:val="en-AU"/>
              </w:rPr>
              <w:t xml:space="preserve">$20.6 million </w:t>
            </w:r>
            <w:r w:rsidRPr="00FC6221">
              <w:rPr>
                <w:szCs w:val="18"/>
                <w:lang w:val="en-AU"/>
              </w:rPr>
              <w:t>a year</w:t>
            </w:r>
            <w:r w:rsidR="00D3125B" w:rsidRPr="00F6402F">
              <w:rPr>
                <w:szCs w:val="18"/>
                <w:lang w:val="en-AU"/>
              </w:rPr>
              <w:t xml:space="preserve"> incremental to formal training that practitioners may undertake in the absence of an explicit </w:t>
            </w:r>
            <w:r w:rsidR="00723878">
              <w:rPr>
                <w:szCs w:val="18"/>
                <w:lang w:val="en-AU"/>
              </w:rPr>
              <w:t>qualification</w:t>
            </w:r>
            <w:r w:rsidR="00723878" w:rsidRPr="00F6402F">
              <w:rPr>
                <w:szCs w:val="18"/>
                <w:lang w:val="en-AU"/>
              </w:rPr>
              <w:t xml:space="preserve"> </w:t>
            </w:r>
            <w:r w:rsidR="00D3125B" w:rsidRPr="00F6402F">
              <w:rPr>
                <w:szCs w:val="18"/>
                <w:lang w:val="en-AU"/>
              </w:rPr>
              <w:t>requirement. This cost includes t</w:t>
            </w:r>
            <w:r w:rsidRPr="00FC6221">
              <w:rPr>
                <w:szCs w:val="18"/>
                <w:lang w:val="en-AU"/>
              </w:rPr>
              <w:t>he cost of the course itself as well as the time taken to complete the course.</w:t>
            </w:r>
          </w:p>
          <w:p w:rsidR="003A7FBC" w:rsidRPr="00011DF3" w:rsidRDefault="003A7FBC" w:rsidP="00031DCC">
            <w:pPr>
              <w:pStyle w:val="Tabletext"/>
              <w:ind w:left="0" w:right="0"/>
              <w:rPr>
                <w:szCs w:val="18"/>
                <w:lang w:val="en-AU"/>
              </w:rPr>
            </w:pPr>
          </w:p>
        </w:tc>
        <w:tc>
          <w:tcPr>
            <w:tcW w:w="1854" w:type="dxa"/>
          </w:tcPr>
          <w:p w:rsidR="003A7FBC" w:rsidRPr="00011DF3" w:rsidRDefault="00D3125B" w:rsidP="00031DCC">
            <w:pPr>
              <w:pStyle w:val="Tabletext"/>
              <w:ind w:left="0" w:right="0"/>
              <w:rPr>
                <w:szCs w:val="18"/>
                <w:lang w:val="en-AU"/>
              </w:rPr>
            </w:pPr>
            <w:r w:rsidRPr="00F6402F">
              <w:rPr>
                <w:szCs w:val="18"/>
                <w:lang w:val="en-AU"/>
              </w:rPr>
              <w:t xml:space="preserve">$20.6 million </w:t>
            </w:r>
            <w:r w:rsidR="00FC6221" w:rsidRPr="00FC6221">
              <w:rPr>
                <w:szCs w:val="18"/>
                <w:lang w:val="en-AU"/>
              </w:rPr>
              <w:t>a year</w:t>
            </w:r>
          </w:p>
          <w:p w:rsidR="003A7FBC" w:rsidRPr="00011DF3" w:rsidRDefault="003A7FBC" w:rsidP="00031DCC">
            <w:pPr>
              <w:pStyle w:val="Tabletext"/>
              <w:ind w:left="0" w:right="0"/>
              <w:rPr>
                <w:szCs w:val="18"/>
                <w:lang w:val="en-AU"/>
              </w:rPr>
            </w:pPr>
          </w:p>
          <w:p w:rsidR="003A7FBC" w:rsidRPr="00011DF3" w:rsidRDefault="003A7FBC" w:rsidP="00031DCC">
            <w:pPr>
              <w:pStyle w:val="Tabletext"/>
              <w:ind w:left="0" w:right="0"/>
              <w:rPr>
                <w:szCs w:val="18"/>
                <w:lang w:val="en-AU"/>
              </w:rPr>
            </w:pPr>
          </w:p>
        </w:tc>
      </w:tr>
      <w:tr w:rsidR="003A7FBC" w:rsidRPr="00F6402F" w:rsidTr="00A16FCE">
        <w:trPr>
          <w:trHeight w:val="350"/>
        </w:trPr>
        <w:tc>
          <w:tcPr>
            <w:tcW w:w="1548" w:type="dxa"/>
          </w:tcPr>
          <w:p w:rsidR="003A7FBC" w:rsidRPr="00011DF3" w:rsidRDefault="00D3125B" w:rsidP="00031DCC">
            <w:pPr>
              <w:pStyle w:val="Tabletext"/>
              <w:ind w:left="0" w:right="0"/>
              <w:rPr>
                <w:szCs w:val="18"/>
                <w:lang w:val="en-AU"/>
              </w:rPr>
            </w:pPr>
            <w:r w:rsidRPr="00F6402F">
              <w:rPr>
                <w:szCs w:val="18"/>
                <w:lang w:val="en-AU"/>
              </w:rPr>
              <w:lastRenderedPageBreak/>
              <w:t>Opportunity cost</w:t>
            </w:r>
          </w:p>
        </w:tc>
        <w:tc>
          <w:tcPr>
            <w:tcW w:w="4122" w:type="dxa"/>
          </w:tcPr>
          <w:p w:rsidR="003A7FBC" w:rsidRPr="00011DF3" w:rsidRDefault="00D3125B" w:rsidP="004F471C">
            <w:pPr>
              <w:pStyle w:val="Tabletext"/>
              <w:ind w:left="0" w:right="0"/>
              <w:rPr>
                <w:szCs w:val="18"/>
                <w:lang w:val="en-AU"/>
              </w:rPr>
            </w:pPr>
            <w:r w:rsidRPr="00F6402F">
              <w:rPr>
                <w:szCs w:val="18"/>
                <w:lang w:val="en-AU"/>
              </w:rPr>
              <w:t>The requirement of minimum amounts of experience mean</w:t>
            </w:r>
            <w:r w:rsidR="00FC6221" w:rsidRPr="00FC6221">
              <w:rPr>
                <w:szCs w:val="18"/>
                <w:lang w:val="en-AU"/>
              </w:rPr>
              <w:t>s</w:t>
            </w:r>
            <w:r w:rsidRPr="00F6402F">
              <w:rPr>
                <w:szCs w:val="18"/>
                <w:lang w:val="en-AU"/>
              </w:rPr>
              <w:t xml:space="preserve"> in practice there is a delay in being able to practise.</w:t>
            </w:r>
          </w:p>
        </w:tc>
        <w:tc>
          <w:tcPr>
            <w:tcW w:w="7360" w:type="dxa"/>
          </w:tcPr>
          <w:p w:rsidR="003A7FBC" w:rsidRPr="00011DF3" w:rsidRDefault="00D3125B" w:rsidP="001623C3">
            <w:pPr>
              <w:pStyle w:val="Tabletext"/>
              <w:ind w:left="0" w:right="0"/>
              <w:rPr>
                <w:szCs w:val="18"/>
                <w:lang w:val="en-AU"/>
              </w:rPr>
            </w:pPr>
            <w:r w:rsidRPr="00F6402F">
              <w:rPr>
                <w:szCs w:val="18"/>
                <w:lang w:val="en-AU"/>
              </w:rPr>
              <w:t>This opportunity cost ha</w:t>
            </w:r>
            <w:r w:rsidR="00FC6221" w:rsidRPr="00FC6221">
              <w:rPr>
                <w:szCs w:val="18"/>
                <w:lang w:val="en-AU"/>
              </w:rPr>
              <w:t xml:space="preserve">s been estimated based on a delay (the years of experience) in obtaining additional annual income. </w:t>
            </w:r>
          </w:p>
        </w:tc>
        <w:tc>
          <w:tcPr>
            <w:tcW w:w="1854" w:type="dxa"/>
          </w:tcPr>
          <w:p w:rsidR="003A7FBC" w:rsidRPr="00011DF3" w:rsidRDefault="00D3125B" w:rsidP="00031DCC">
            <w:pPr>
              <w:pStyle w:val="Tabletext"/>
              <w:ind w:left="0" w:right="0"/>
              <w:rPr>
                <w:szCs w:val="18"/>
                <w:lang w:val="en-AU"/>
              </w:rPr>
            </w:pPr>
            <w:r w:rsidRPr="00F6402F">
              <w:rPr>
                <w:szCs w:val="18"/>
                <w:lang w:val="en-AU"/>
              </w:rPr>
              <w:t xml:space="preserve">$4.6 million </w:t>
            </w:r>
            <w:r w:rsidR="00FC6221" w:rsidRPr="00FC6221">
              <w:rPr>
                <w:szCs w:val="18"/>
                <w:lang w:val="en-AU"/>
              </w:rPr>
              <w:t>a year</w:t>
            </w:r>
          </w:p>
          <w:p w:rsidR="00F71F1A" w:rsidRPr="00011DF3" w:rsidRDefault="00F71F1A">
            <w:pPr>
              <w:pStyle w:val="Tabletext"/>
              <w:ind w:left="0" w:right="0"/>
              <w:rPr>
                <w:b/>
                <w:spacing w:val="2"/>
                <w:szCs w:val="18"/>
                <w:lang w:val="en-AU"/>
              </w:rPr>
            </w:pPr>
          </w:p>
        </w:tc>
      </w:tr>
      <w:tr w:rsidR="003A7FBC" w:rsidRPr="00F6402F" w:rsidTr="00A16FCE">
        <w:tc>
          <w:tcPr>
            <w:tcW w:w="1548" w:type="dxa"/>
          </w:tcPr>
          <w:p w:rsidR="003A7FBC" w:rsidRPr="00011DF3" w:rsidRDefault="00D3125B" w:rsidP="00031DCC">
            <w:pPr>
              <w:pStyle w:val="Tabletext"/>
              <w:ind w:left="0" w:right="0"/>
              <w:rPr>
                <w:szCs w:val="18"/>
                <w:lang w:val="en-AU"/>
              </w:rPr>
            </w:pPr>
            <w:r w:rsidRPr="00F6402F">
              <w:rPr>
                <w:szCs w:val="18"/>
                <w:lang w:val="en-AU"/>
              </w:rPr>
              <w:t>Market effects</w:t>
            </w:r>
          </w:p>
        </w:tc>
        <w:tc>
          <w:tcPr>
            <w:tcW w:w="4122" w:type="dxa"/>
          </w:tcPr>
          <w:p w:rsidR="003A7FBC" w:rsidRPr="00011DF3" w:rsidRDefault="00D3125B" w:rsidP="004F471C">
            <w:pPr>
              <w:pStyle w:val="Tabletext"/>
              <w:ind w:left="0" w:right="0"/>
              <w:rPr>
                <w:szCs w:val="18"/>
                <w:lang w:val="en-AU"/>
              </w:rPr>
            </w:pPr>
            <w:r w:rsidRPr="00F6402F">
              <w:rPr>
                <w:szCs w:val="18"/>
                <w:lang w:val="en-AU"/>
              </w:rPr>
              <w:t xml:space="preserve">Setting barriers to entry generally results in fewer practitioners than otherwise in the </w:t>
            </w:r>
            <w:r w:rsidR="00FC6221" w:rsidRPr="00FC6221">
              <w:rPr>
                <w:szCs w:val="18"/>
                <w:lang w:val="en-AU"/>
              </w:rPr>
              <w:t>market. This is a competition effect:</w:t>
            </w:r>
            <w:r w:rsidRPr="00F6402F">
              <w:rPr>
                <w:szCs w:val="18"/>
                <w:lang w:val="en-AU"/>
              </w:rPr>
              <w:t xml:space="preserve"> reducing the number of </w:t>
            </w:r>
            <w:r w:rsidR="00FC6221" w:rsidRPr="00FC6221">
              <w:rPr>
                <w:szCs w:val="18"/>
                <w:lang w:val="en-AU"/>
              </w:rPr>
              <w:t xml:space="preserve">available </w:t>
            </w:r>
            <w:r w:rsidRPr="00F6402F">
              <w:rPr>
                <w:szCs w:val="18"/>
                <w:lang w:val="en-AU"/>
              </w:rPr>
              <w:t>practitioners results in higher costs for consumers.</w:t>
            </w:r>
          </w:p>
        </w:tc>
        <w:tc>
          <w:tcPr>
            <w:tcW w:w="7360" w:type="dxa"/>
          </w:tcPr>
          <w:p w:rsidR="003A7FBC" w:rsidRPr="00011DF3" w:rsidRDefault="00D3125B" w:rsidP="004F471C">
            <w:pPr>
              <w:pStyle w:val="Tabletext"/>
              <w:ind w:left="0" w:right="0"/>
              <w:rPr>
                <w:szCs w:val="18"/>
                <w:lang w:val="en-AU"/>
              </w:rPr>
            </w:pPr>
            <w:r w:rsidRPr="00F6402F">
              <w:rPr>
                <w:szCs w:val="18"/>
                <w:lang w:val="en-AU"/>
              </w:rPr>
              <w:t xml:space="preserve">No cost has been included. See </w:t>
            </w:r>
            <w:r w:rsidR="00FC6221" w:rsidRPr="00FC6221">
              <w:rPr>
                <w:szCs w:val="18"/>
                <w:lang w:val="en-AU"/>
              </w:rPr>
              <w:t xml:space="preserve">the explanation </w:t>
            </w:r>
            <w:r w:rsidRPr="00F6402F">
              <w:rPr>
                <w:szCs w:val="18"/>
                <w:lang w:val="en-AU"/>
              </w:rPr>
              <w:t>below.</w:t>
            </w:r>
          </w:p>
        </w:tc>
        <w:tc>
          <w:tcPr>
            <w:tcW w:w="1854" w:type="dxa"/>
          </w:tcPr>
          <w:p w:rsidR="003A7FBC" w:rsidRPr="00011DF3" w:rsidRDefault="00D3125B" w:rsidP="00031DCC">
            <w:pPr>
              <w:pStyle w:val="Tabletext"/>
              <w:ind w:left="0" w:right="0"/>
              <w:rPr>
                <w:szCs w:val="18"/>
                <w:lang w:val="en-AU"/>
              </w:rPr>
            </w:pPr>
            <w:r w:rsidRPr="00F6402F">
              <w:rPr>
                <w:szCs w:val="18"/>
                <w:lang w:val="en-AU"/>
              </w:rPr>
              <w:t>-</w:t>
            </w:r>
          </w:p>
        </w:tc>
      </w:tr>
      <w:tr w:rsidR="003A7FBC" w:rsidRPr="00F6402F" w:rsidTr="00A16FCE">
        <w:tc>
          <w:tcPr>
            <w:tcW w:w="1548" w:type="dxa"/>
          </w:tcPr>
          <w:p w:rsidR="003A7FBC" w:rsidRPr="00011DF3" w:rsidRDefault="00D3125B" w:rsidP="00031DCC">
            <w:pPr>
              <w:pStyle w:val="Tabletext"/>
              <w:ind w:left="0" w:right="0"/>
              <w:rPr>
                <w:szCs w:val="18"/>
                <w:lang w:val="en-AU"/>
              </w:rPr>
            </w:pPr>
            <w:r w:rsidRPr="00F6402F">
              <w:rPr>
                <w:szCs w:val="18"/>
                <w:lang w:val="en-AU"/>
              </w:rPr>
              <w:t>Government costs</w:t>
            </w:r>
          </w:p>
        </w:tc>
        <w:tc>
          <w:tcPr>
            <w:tcW w:w="4122" w:type="dxa"/>
          </w:tcPr>
          <w:p w:rsidR="00C442C8" w:rsidRPr="00011DF3" w:rsidRDefault="00D3125B" w:rsidP="004F471C">
            <w:pPr>
              <w:pStyle w:val="Tabletext"/>
              <w:ind w:left="0" w:right="0"/>
              <w:rPr>
                <w:szCs w:val="18"/>
                <w:lang w:val="en-AU"/>
              </w:rPr>
            </w:pPr>
            <w:r w:rsidRPr="00F6402F">
              <w:rPr>
                <w:szCs w:val="18"/>
                <w:lang w:val="en-AU"/>
              </w:rPr>
              <w:t xml:space="preserve">There are additional costs </w:t>
            </w:r>
            <w:r w:rsidR="00FC6221" w:rsidRPr="00FC6221">
              <w:rPr>
                <w:szCs w:val="18"/>
                <w:lang w:val="en-AU"/>
              </w:rPr>
              <w:t>to</w:t>
            </w:r>
            <w:r w:rsidRPr="00F6402F">
              <w:rPr>
                <w:szCs w:val="18"/>
                <w:lang w:val="en-AU"/>
              </w:rPr>
              <w:t xml:space="preserve"> government associated with c</w:t>
            </w:r>
            <w:r w:rsidR="00FC6221" w:rsidRPr="00FC6221">
              <w:rPr>
                <w:szCs w:val="18"/>
                <w:lang w:val="en-AU"/>
              </w:rPr>
              <w:t>hecking the qualifications and experience of applicants.</w:t>
            </w:r>
          </w:p>
          <w:p w:rsidR="00F71F1A" w:rsidRPr="00F6402F" w:rsidRDefault="00F71F1A">
            <w:pPr>
              <w:rPr>
                <w:szCs w:val="18"/>
              </w:rPr>
            </w:pPr>
          </w:p>
          <w:p w:rsidR="00F71F1A" w:rsidRPr="00011DF3" w:rsidRDefault="00F71F1A">
            <w:pPr>
              <w:spacing w:before="0" w:line="240" w:lineRule="atLeast"/>
              <w:ind w:left="0" w:right="0"/>
              <w:rPr>
                <w:szCs w:val="18"/>
              </w:rPr>
            </w:pPr>
          </w:p>
          <w:p w:rsidR="00F71F1A" w:rsidRPr="00011DF3" w:rsidRDefault="00FC6221">
            <w:pPr>
              <w:tabs>
                <w:tab w:val="left" w:pos="898"/>
              </w:tabs>
              <w:spacing w:before="0" w:line="240" w:lineRule="atLeast"/>
              <w:ind w:left="0" w:right="0"/>
              <w:rPr>
                <w:szCs w:val="18"/>
              </w:rPr>
            </w:pPr>
            <w:r w:rsidRPr="00FC6221">
              <w:rPr>
                <w:szCs w:val="18"/>
              </w:rPr>
              <w:tab/>
            </w:r>
          </w:p>
        </w:tc>
        <w:tc>
          <w:tcPr>
            <w:tcW w:w="7360" w:type="dxa"/>
          </w:tcPr>
          <w:p w:rsidR="003A7FBC" w:rsidRPr="00011DF3" w:rsidRDefault="00FC6221" w:rsidP="00031DCC">
            <w:pPr>
              <w:pStyle w:val="Tabletext"/>
              <w:ind w:left="0" w:right="0"/>
              <w:rPr>
                <w:szCs w:val="18"/>
                <w:lang w:val="en-AU"/>
              </w:rPr>
            </w:pPr>
            <w:r w:rsidRPr="00FC6221">
              <w:rPr>
                <w:szCs w:val="18"/>
                <w:lang w:val="en-AU"/>
              </w:rPr>
              <w:t>VBA</w:t>
            </w:r>
            <w:r w:rsidRPr="00F57EAA">
              <w:rPr>
                <w:szCs w:val="18"/>
                <w:lang w:val="en-AU"/>
              </w:rPr>
              <w:t xml:space="preserve"> has not measured its costs for </w:t>
            </w:r>
            <w:r w:rsidR="00D3125B" w:rsidRPr="00F6402F">
              <w:rPr>
                <w:szCs w:val="18"/>
                <w:lang w:val="en-AU"/>
              </w:rPr>
              <w:t>each step of the application process. The current applicant fees are an indication of the magnitude of costs but are unlikely to be precise</w:t>
            </w:r>
            <w:r w:rsidRPr="00FC6221">
              <w:rPr>
                <w:szCs w:val="18"/>
                <w:lang w:val="en-AU"/>
              </w:rPr>
              <w:t xml:space="preserve">: </w:t>
            </w:r>
            <w:r w:rsidR="00D3125B" w:rsidRPr="00F6402F">
              <w:rPr>
                <w:szCs w:val="18"/>
                <w:lang w:val="en-AU"/>
              </w:rPr>
              <w:t>fees h</w:t>
            </w:r>
            <w:r w:rsidRPr="00FC6221">
              <w:rPr>
                <w:szCs w:val="18"/>
                <w:lang w:val="en-AU"/>
              </w:rPr>
              <w:t>ave not been reviewed for some time. Further, many application processing activities would occur in the absence of qualification or experience requirements. P</w:t>
            </w:r>
            <w:r w:rsidR="00D3125B" w:rsidRPr="00F6402F">
              <w:rPr>
                <w:szCs w:val="18"/>
                <w:lang w:val="en-AU"/>
              </w:rPr>
              <w:t xml:space="preserve">rescribing specific qualifications may reduce the costs to </w:t>
            </w:r>
            <w:r w:rsidRPr="00F57EAA">
              <w:rPr>
                <w:szCs w:val="18"/>
                <w:lang w:val="en-AU"/>
              </w:rPr>
              <w:t xml:space="preserve">VBA of </w:t>
            </w:r>
            <w:r w:rsidR="00D3125B" w:rsidRPr="00F6402F">
              <w:rPr>
                <w:szCs w:val="18"/>
                <w:lang w:val="en-AU"/>
              </w:rPr>
              <w:t>otherwise determini</w:t>
            </w:r>
            <w:r w:rsidRPr="00FC6221">
              <w:rPr>
                <w:szCs w:val="18"/>
                <w:lang w:val="en-AU"/>
              </w:rPr>
              <w:t>ng whether an application has the knowledge to be fit to practise.</w:t>
            </w:r>
          </w:p>
          <w:p w:rsidR="003A7FBC" w:rsidRPr="00011DF3" w:rsidRDefault="00D3125B" w:rsidP="004F471C">
            <w:pPr>
              <w:pStyle w:val="Tabletext"/>
              <w:ind w:left="0" w:right="0"/>
              <w:rPr>
                <w:szCs w:val="18"/>
                <w:lang w:val="en-AU"/>
              </w:rPr>
            </w:pPr>
            <w:r w:rsidRPr="00F6402F">
              <w:rPr>
                <w:szCs w:val="18"/>
                <w:lang w:val="en-AU"/>
              </w:rPr>
              <w:t xml:space="preserve">For </w:t>
            </w:r>
            <w:r w:rsidR="00FC6221" w:rsidRPr="00FC6221">
              <w:rPr>
                <w:szCs w:val="18"/>
                <w:lang w:val="en-AU"/>
              </w:rPr>
              <w:t xml:space="preserve">modelling </w:t>
            </w:r>
            <w:r w:rsidRPr="00F6402F">
              <w:rPr>
                <w:szCs w:val="18"/>
                <w:lang w:val="en-AU"/>
              </w:rPr>
              <w:t>purposes, it is assumed a cost of half the current application fee is taken as the cost attributable to checking the qualifications and experience of applicants, based on disc</w:t>
            </w:r>
            <w:r w:rsidR="00FC6221" w:rsidRPr="00FC6221">
              <w:rPr>
                <w:szCs w:val="18"/>
                <w:lang w:val="en-AU"/>
              </w:rPr>
              <w:t>ussion with VBA</w:t>
            </w:r>
            <w:r w:rsidRPr="00F6402F">
              <w:rPr>
                <w:szCs w:val="18"/>
                <w:lang w:val="en-AU"/>
              </w:rPr>
              <w:t xml:space="preserve"> about the tasks involved.</w:t>
            </w:r>
          </w:p>
        </w:tc>
        <w:tc>
          <w:tcPr>
            <w:tcW w:w="1854" w:type="dxa"/>
          </w:tcPr>
          <w:p w:rsidR="003A7FBC" w:rsidRPr="00011DF3" w:rsidRDefault="00D3125B" w:rsidP="00031DCC">
            <w:pPr>
              <w:pStyle w:val="Tabletext"/>
              <w:ind w:left="0" w:right="0"/>
              <w:rPr>
                <w:szCs w:val="18"/>
                <w:lang w:val="en-AU"/>
              </w:rPr>
            </w:pPr>
            <w:r w:rsidRPr="00F6402F">
              <w:rPr>
                <w:szCs w:val="18"/>
                <w:lang w:val="en-AU"/>
              </w:rPr>
              <w:t xml:space="preserve">$1.7 million </w:t>
            </w:r>
            <w:r w:rsidR="00FC6221" w:rsidRPr="00FC6221">
              <w:rPr>
                <w:szCs w:val="18"/>
                <w:lang w:val="en-AU"/>
              </w:rPr>
              <w:t>a year</w:t>
            </w:r>
          </w:p>
          <w:p w:rsidR="003A7FBC" w:rsidRPr="00011DF3" w:rsidRDefault="003A7FBC" w:rsidP="00031DCC">
            <w:pPr>
              <w:pStyle w:val="Tabletext"/>
              <w:ind w:left="0" w:right="0"/>
              <w:rPr>
                <w:szCs w:val="18"/>
                <w:lang w:val="en-AU"/>
              </w:rPr>
            </w:pPr>
          </w:p>
          <w:p w:rsidR="003A7FBC" w:rsidRPr="00011DF3" w:rsidRDefault="003A7FBC" w:rsidP="00031DCC">
            <w:pPr>
              <w:pStyle w:val="Tabletext"/>
              <w:ind w:left="0" w:right="0"/>
              <w:rPr>
                <w:szCs w:val="18"/>
                <w:lang w:val="en-AU"/>
              </w:rPr>
            </w:pPr>
          </w:p>
        </w:tc>
      </w:tr>
      <w:tr w:rsidR="003A7FBC" w:rsidRPr="00F6402F" w:rsidTr="00A16FCE">
        <w:tc>
          <w:tcPr>
            <w:tcW w:w="1548" w:type="dxa"/>
          </w:tcPr>
          <w:p w:rsidR="003A7FBC" w:rsidRPr="00011DF3" w:rsidRDefault="00D3125B" w:rsidP="00031DCC">
            <w:pPr>
              <w:pStyle w:val="Tabletext"/>
              <w:ind w:left="0" w:right="0"/>
              <w:rPr>
                <w:b/>
                <w:szCs w:val="18"/>
                <w:lang w:val="en-AU"/>
              </w:rPr>
            </w:pPr>
            <w:r w:rsidRPr="00F6402F">
              <w:rPr>
                <w:b/>
                <w:szCs w:val="18"/>
                <w:lang w:val="en-AU"/>
              </w:rPr>
              <w:t>TOTAL COSTS</w:t>
            </w:r>
          </w:p>
        </w:tc>
        <w:tc>
          <w:tcPr>
            <w:tcW w:w="4122" w:type="dxa"/>
          </w:tcPr>
          <w:p w:rsidR="003A7FBC" w:rsidRPr="00011DF3" w:rsidRDefault="003A7FBC" w:rsidP="00031DCC">
            <w:pPr>
              <w:pStyle w:val="Tabletext"/>
              <w:ind w:left="0" w:right="0"/>
              <w:rPr>
                <w:b/>
                <w:szCs w:val="18"/>
                <w:lang w:val="en-AU"/>
              </w:rPr>
            </w:pPr>
          </w:p>
        </w:tc>
        <w:tc>
          <w:tcPr>
            <w:tcW w:w="7360" w:type="dxa"/>
          </w:tcPr>
          <w:p w:rsidR="003A7FBC" w:rsidRPr="00011DF3" w:rsidRDefault="003A7FBC" w:rsidP="00031DCC">
            <w:pPr>
              <w:pStyle w:val="Tabletext"/>
              <w:ind w:left="0" w:right="0"/>
              <w:rPr>
                <w:b/>
                <w:szCs w:val="18"/>
                <w:lang w:val="en-AU"/>
              </w:rPr>
            </w:pPr>
          </w:p>
        </w:tc>
        <w:tc>
          <w:tcPr>
            <w:tcW w:w="1854" w:type="dxa"/>
          </w:tcPr>
          <w:p w:rsidR="003A7FBC" w:rsidRPr="00011DF3" w:rsidRDefault="00D3125B" w:rsidP="006C108D">
            <w:pPr>
              <w:pStyle w:val="Tabletext"/>
              <w:ind w:left="0" w:right="0"/>
              <w:rPr>
                <w:b/>
                <w:szCs w:val="18"/>
                <w:lang w:val="en-AU"/>
              </w:rPr>
            </w:pPr>
            <w:r w:rsidRPr="00F6402F">
              <w:rPr>
                <w:b/>
                <w:szCs w:val="18"/>
              </w:rPr>
              <w:t xml:space="preserve">$27.0 million </w:t>
            </w:r>
            <w:r w:rsidR="00FC6221" w:rsidRPr="00FC6221">
              <w:rPr>
                <w:b/>
                <w:szCs w:val="18"/>
              </w:rPr>
              <w:t>a year</w:t>
            </w:r>
            <w:r w:rsidR="00FC6221" w:rsidRPr="00F57EAA">
              <w:rPr>
                <w:b/>
                <w:szCs w:val="18"/>
              </w:rPr>
              <w:t>, or</w:t>
            </w:r>
            <w:r w:rsidR="00482560">
              <w:rPr>
                <w:b/>
                <w:szCs w:val="18"/>
                <w:lang w:val="en-AU"/>
              </w:rPr>
              <w:t xml:space="preserve"> </w:t>
            </w:r>
            <w:r w:rsidR="006C108D" w:rsidRPr="00F6402F">
              <w:rPr>
                <w:b/>
                <w:szCs w:val="18"/>
                <w:lang w:val="en-AU"/>
              </w:rPr>
              <w:t>$237 million</w:t>
            </w:r>
            <w:r w:rsidR="00FC6221" w:rsidRPr="00FC6221">
              <w:rPr>
                <w:rStyle w:val="FootnoteReference"/>
                <w:b/>
                <w:szCs w:val="18"/>
              </w:rPr>
              <w:footnoteReference w:id="27"/>
            </w:r>
            <w:r w:rsidR="006C108D" w:rsidRPr="00F6402F">
              <w:rPr>
                <w:b/>
                <w:szCs w:val="18"/>
                <w:lang w:val="en-AU"/>
              </w:rPr>
              <w:t xml:space="preserve"> NPV over </w:t>
            </w:r>
            <w:r w:rsidRPr="00F6402F">
              <w:rPr>
                <w:b/>
                <w:szCs w:val="18"/>
                <w:lang w:val="en-AU"/>
              </w:rPr>
              <w:t>10</w:t>
            </w:r>
            <w:r w:rsidR="00FC6221" w:rsidRPr="00011DF3">
              <w:rPr>
                <w:b/>
                <w:szCs w:val="18"/>
                <w:lang w:val="en-AU"/>
              </w:rPr>
              <w:t xml:space="preserve"> years</w:t>
            </w:r>
          </w:p>
        </w:tc>
      </w:tr>
    </w:tbl>
    <w:p w:rsidR="003A7FBC" w:rsidRPr="00160290" w:rsidRDefault="003A7FBC" w:rsidP="003A7FBC">
      <w:pPr>
        <w:sectPr w:rsidR="003A7FBC" w:rsidRPr="00160290" w:rsidSect="00C442C8">
          <w:pgSz w:w="16840" w:h="11900" w:orient="landscape"/>
          <w:pgMar w:top="702" w:right="1559" w:bottom="851" w:left="1797" w:header="284" w:footer="0" w:gutter="0"/>
          <w:cols w:space="708"/>
        </w:sectPr>
      </w:pPr>
    </w:p>
    <w:p w:rsidR="003A7FBC" w:rsidRPr="00160290" w:rsidRDefault="003A7FBC" w:rsidP="002424BD">
      <w:r w:rsidRPr="00160290">
        <w:lastRenderedPageBreak/>
        <w:t>While higher prices may be an indicator of reduced competition, it is also likely that other regulatory costs (</w:t>
      </w:r>
      <w:r w:rsidR="00B7574E">
        <w:t>for example</w:t>
      </w:r>
      <w:r w:rsidRPr="00160290">
        <w:t>, the cost of obtaining a qualification) are ultimately passed on to consumers through the practitioners’ costs</w:t>
      </w:r>
      <w:r w:rsidR="00B7574E">
        <w:t xml:space="preserve"> </w:t>
      </w:r>
      <w:r w:rsidRPr="00160290">
        <w:t>and hence this impact is already reflected in the costs in the above table</w:t>
      </w:r>
      <w:r w:rsidR="00561486">
        <w:t>.</w:t>
      </w:r>
      <w:r w:rsidRPr="00160290">
        <w:rPr>
          <w:rStyle w:val="FootnoteReference"/>
          <w:rFonts w:cs="Times New Roman"/>
        </w:rPr>
        <w:footnoteReference w:id="28"/>
      </w:r>
      <w:r w:rsidRPr="00160290">
        <w:t xml:space="preserve"> The reduction in output, if it could be measured, would also be problematic as the output common to both scenarios would not be of the same quality</w:t>
      </w:r>
      <w:r w:rsidR="00B7574E">
        <w:t>:</w:t>
      </w:r>
      <w:r w:rsidRPr="00160290">
        <w:t xml:space="preserve"> in other words, while the barriers to entry may reduce the amount of building activity undertaken, the community would place a higher value on this output because it would have a higher average quality. Thus, the extent of any real competition impacts would depend on the benefits</w:t>
      </w:r>
      <w:r w:rsidR="00B7574E">
        <w:t xml:space="preserve"> explained </w:t>
      </w:r>
      <w:r w:rsidRPr="00160290">
        <w:t>below.</w:t>
      </w:r>
    </w:p>
    <w:p w:rsidR="008D3250" w:rsidRPr="008D3250" w:rsidRDefault="008D3250" w:rsidP="008D3250">
      <w:pPr>
        <w:pStyle w:val="Heading6"/>
      </w:pPr>
      <w:bookmarkStart w:id="43" w:name="_Toc481333105"/>
      <w:r w:rsidRPr="008D3250">
        <w:t>Benefits</w:t>
      </w:r>
      <w:bookmarkEnd w:id="43"/>
    </w:p>
    <w:p w:rsidR="003A7FBC" w:rsidRPr="00160290" w:rsidRDefault="003A7FBC" w:rsidP="002424BD">
      <w:r w:rsidRPr="00160290">
        <w:t xml:space="preserve">The </w:t>
      </w:r>
      <w:r w:rsidR="00BE6DEA" w:rsidRPr="00160290">
        <w:t>department</w:t>
      </w:r>
      <w:r w:rsidRPr="00160290">
        <w:t xml:space="preserve"> expects there would be reduced search costs for consumers. In the base case, consumers would need to satisfy themselves of the competency of a building practitioner, </w:t>
      </w:r>
      <w:r w:rsidR="00B7574E">
        <w:t xml:space="preserve">a task </w:t>
      </w:r>
      <w:r w:rsidRPr="00160290">
        <w:t xml:space="preserve">which </w:t>
      </w:r>
      <w:r w:rsidR="00B7574E">
        <w:t xml:space="preserve">would often be lessened if </w:t>
      </w:r>
      <w:r w:rsidRPr="00160290">
        <w:t xml:space="preserve">they accept the registration process has already checked the qualifications and experience of the practitioner. This benefit may not </w:t>
      </w:r>
      <w:r w:rsidR="00703FD9" w:rsidRPr="00160290">
        <w:t xml:space="preserve">always </w:t>
      </w:r>
      <w:r w:rsidRPr="00160290">
        <w:t xml:space="preserve">occur: many consumers would continue to undertake their own investigations even where registration is evidence of competency and conversely, some consumers may not undertake adequate checks even in the base case. Assuming that search costs are reduced by </w:t>
      </w:r>
      <w:r w:rsidR="00B7574E">
        <w:t xml:space="preserve">one </w:t>
      </w:r>
      <w:r w:rsidRPr="00160290">
        <w:t>hour on average</w:t>
      </w:r>
      <w:r w:rsidRPr="00160290">
        <w:rPr>
          <w:rStyle w:val="FootnoteReference"/>
        </w:rPr>
        <w:footnoteReference w:id="29"/>
      </w:r>
      <w:r w:rsidRPr="00160290">
        <w:t xml:space="preserve"> in half the number of permits issued, </w:t>
      </w:r>
      <w:r w:rsidR="00B7574E">
        <w:t xml:space="preserve">taking </w:t>
      </w:r>
      <w:r w:rsidRPr="00160290">
        <w:t xml:space="preserve">the value of a person’s time as $37.36 gives a total saving to consumers of $2.1 million </w:t>
      </w:r>
      <w:r w:rsidR="00746629">
        <w:t>a year</w:t>
      </w:r>
      <w:r w:rsidRPr="00160290">
        <w:t>.</w:t>
      </w:r>
    </w:p>
    <w:p w:rsidR="002129C8" w:rsidRPr="00160290" w:rsidRDefault="003A7FBC" w:rsidP="002424BD">
      <w:r w:rsidRPr="00160290">
        <w:t>For other consumers, checking competency will result in improved quality of building works and integrity of dealing</w:t>
      </w:r>
      <w:r w:rsidR="00B7574E">
        <w:t>s</w:t>
      </w:r>
      <w:r w:rsidRPr="00160290">
        <w:t xml:space="preserve"> with practitioners. A 2006 report by </w:t>
      </w:r>
      <w:r w:rsidR="00B7574E">
        <w:t>CAV</w:t>
      </w:r>
      <w:r w:rsidRPr="00160290">
        <w:rPr>
          <w:rStyle w:val="FootnoteReference"/>
          <w:rFonts w:cs="Times New Roman"/>
        </w:rPr>
        <w:footnoteReference w:id="30"/>
      </w:r>
      <w:r w:rsidRPr="00160290">
        <w:t xml:space="preserve"> estimated detriment relating to building and renovating cost the consumer an average of $1,600 in money, time and emotional cost per incident. That survey has not been repeated since 2006</w:t>
      </w:r>
      <w:r w:rsidR="00B7574E">
        <w:t xml:space="preserve"> but </w:t>
      </w:r>
      <w:r w:rsidRPr="00160290">
        <w:t xml:space="preserve">a similar survey </w:t>
      </w:r>
      <w:r w:rsidR="00B7574E">
        <w:t xml:space="preserve">was </w:t>
      </w:r>
      <w:r w:rsidRPr="00160290">
        <w:t>conducted at the national level in 2011 and 2016</w:t>
      </w:r>
      <w:r w:rsidR="00561486">
        <w:t>.</w:t>
      </w:r>
      <w:r w:rsidRPr="00160290">
        <w:rPr>
          <w:rStyle w:val="FootnoteReference"/>
          <w:rFonts w:cs="Times New Roman"/>
        </w:rPr>
        <w:footnoteReference w:id="31"/>
      </w:r>
      <w:r w:rsidRPr="00160290">
        <w:t xml:space="preserve"> The 2016 survey</w:t>
      </w:r>
      <w:r w:rsidR="00B7574E">
        <w:t xml:space="preserve"> estimated the average </w:t>
      </w:r>
      <w:r w:rsidRPr="00160290">
        <w:t xml:space="preserve">cost to Australian consumers to resolve building problems was $751.36 per incident. </w:t>
      </w:r>
      <w:r w:rsidR="00B7574E">
        <w:t>T</w:t>
      </w:r>
      <w:r w:rsidRPr="00160290">
        <w:t>o break</w:t>
      </w:r>
      <w:r w:rsidR="00B7574E">
        <w:t xml:space="preserve"> </w:t>
      </w:r>
      <w:r w:rsidRPr="00160290">
        <w:t>even (</w:t>
      </w:r>
      <w:r w:rsidR="00B7574E">
        <w:t xml:space="preserve">for </w:t>
      </w:r>
      <w:r w:rsidRPr="00160290">
        <w:t xml:space="preserve">benefits </w:t>
      </w:r>
      <w:r w:rsidR="00B7574E">
        <w:t xml:space="preserve">to </w:t>
      </w:r>
      <w:r w:rsidRPr="00160290">
        <w:t xml:space="preserve">outweigh costs), the number of detrimental incidents needed to be avoided due to the increased competency of practitioners would need to be at least 33,155. This is a high number but represents only 30% of the number of permits issued each year and is smaller than the proportion of incidents that occur under the existing arrangements. Despite the lack of evidence about the reasons for incidents, and the potential link between these and the specific qualification requirements in the Regulations, the department is satisfied that this break-even point is achievable given the analysis of the extent of the problem </w:t>
      </w:r>
      <w:r w:rsidR="003C0A7D">
        <w:t xml:space="preserve">detailed </w:t>
      </w:r>
      <w:r w:rsidRPr="00160290">
        <w:t>above and that this option therefore will result in an overall net benefit.</w:t>
      </w:r>
    </w:p>
    <w:p w:rsidR="003A7FBC" w:rsidRPr="00160290" w:rsidRDefault="003A7FBC" w:rsidP="002424BD">
      <w:r w:rsidRPr="00160290">
        <w:t xml:space="preserve">However, caution should be exercised when considering benefits. In a sector that is highly regulated because of </w:t>
      </w:r>
      <w:r w:rsidR="003C0A7D">
        <w:t xml:space="preserve">perceived </w:t>
      </w:r>
      <w:r w:rsidRPr="00160290">
        <w:t xml:space="preserve">high risks of harms, it is difficult to link benefits to single elements of the overall regulatory system. The </w:t>
      </w:r>
      <w:r w:rsidR="00160290">
        <w:t>R</w:t>
      </w:r>
      <w:r w:rsidRPr="00160290">
        <w:t xml:space="preserve">egulations </w:t>
      </w:r>
      <w:r w:rsidR="003C0A7D">
        <w:t xml:space="preserve">about </w:t>
      </w:r>
      <w:r w:rsidRPr="00160290">
        <w:t>qualifications and experience are not the primary instruments to ensure quality but work as part of a suite of measures to reduce overall risk.</w:t>
      </w:r>
    </w:p>
    <w:p w:rsidR="00011DF3" w:rsidRDefault="00011DF3">
      <w:pPr>
        <w:spacing w:after="0"/>
      </w:pPr>
      <w:r>
        <w:br w:type="page"/>
      </w:r>
    </w:p>
    <w:p w:rsidR="003A7FBC" w:rsidRPr="00160290" w:rsidRDefault="003A7FBC" w:rsidP="002424BD">
      <w:r w:rsidRPr="00160290">
        <w:lastRenderedPageBreak/>
        <w:t>In that regard, an assessment of costs and benefits also need</w:t>
      </w:r>
      <w:r w:rsidR="007D0967">
        <w:t>s</w:t>
      </w:r>
      <w:r w:rsidRPr="00160290">
        <w:t xml:space="preserve"> to consider whether the reduction of risk will be effective in practice. Measures to address one area of risk may increase risks in other areas. For example, if entry requirements for registration in Victoria are set too high, practitioners may seek to avoid the requirements by becoming registered in another state where requirements are lower and then practi</w:t>
      </w:r>
      <w:r w:rsidR="007D0967">
        <w:t>s</w:t>
      </w:r>
      <w:r w:rsidRPr="00160290">
        <w:t xml:space="preserve">e in Victoria under mutual recognition arrangements. This means that an attempt to increase the competency requirements in Victoria may actually lead to a reduction in the quality of practitioners. The department </w:t>
      </w:r>
      <w:r w:rsidR="007D0967">
        <w:t xml:space="preserve">considers </w:t>
      </w:r>
      <w:r w:rsidRPr="00160290">
        <w:t xml:space="preserve">the requirements appropriately balance this risk, in light of actions undertaken by </w:t>
      </w:r>
      <w:r w:rsidR="000E2924">
        <w:t>VBA</w:t>
      </w:r>
      <w:r w:rsidRPr="00160290">
        <w:t xml:space="preserve"> to address such problems including sharing information with interstate counterparts and use of investigators to determine whether a practitioner genuinely operates in the state in which they are registered.</w:t>
      </w:r>
    </w:p>
    <w:p w:rsidR="003A7FBC" w:rsidRPr="00160290" w:rsidRDefault="003A7FBC" w:rsidP="00357F56">
      <w:pPr>
        <w:pStyle w:val="Heading3"/>
      </w:pPr>
      <w:bookmarkStart w:id="44" w:name="_Toc481502191"/>
      <w:r w:rsidRPr="00160290">
        <w:t xml:space="preserve">Option 1.1 – </w:t>
      </w:r>
      <w:r w:rsidR="0062727D">
        <w:t>R</w:t>
      </w:r>
      <w:r w:rsidRPr="00160290">
        <w:t xml:space="preserve">emove requirement for </w:t>
      </w:r>
      <w:r w:rsidR="000E2924">
        <w:t>VBA</w:t>
      </w:r>
      <w:r w:rsidRPr="00160290">
        <w:t xml:space="preserve"> to be satisfied of experience</w:t>
      </w:r>
      <w:bookmarkEnd w:id="44"/>
    </w:p>
    <w:p w:rsidR="002129C8" w:rsidRPr="00160290" w:rsidRDefault="003A7FBC" w:rsidP="002424BD">
      <w:r w:rsidRPr="00160290">
        <w:t xml:space="preserve">An option to reduce the regulatory barrier would be to remove the current requirement for </w:t>
      </w:r>
      <w:r w:rsidR="000E2924">
        <w:t>VBA</w:t>
      </w:r>
      <w:r w:rsidRPr="00160290">
        <w:t xml:space="preserve"> to be satisfied of the applicant’s experience. Registration would rely on demonstration of the relevant qualification (as </w:t>
      </w:r>
      <w:r w:rsidR="0063360C">
        <w:t xml:space="preserve">with </w:t>
      </w:r>
      <w:r w:rsidRPr="00160290">
        <w:t xml:space="preserve">the current </w:t>
      </w:r>
      <w:r w:rsidR="00160290">
        <w:t>R</w:t>
      </w:r>
      <w:r w:rsidRPr="00160290">
        <w:t xml:space="preserve">egulations) and attestation by two referees that the applicant has the relevant experience. </w:t>
      </w:r>
      <w:r w:rsidR="000E2924">
        <w:t>VBA</w:t>
      </w:r>
      <w:r w:rsidRPr="00160290">
        <w:t xml:space="preserve"> would not need to satisfy itself of the applicant’s experience beyond those references.</w:t>
      </w:r>
    </w:p>
    <w:p w:rsidR="003A7FBC" w:rsidRPr="00160290" w:rsidRDefault="003A7FBC" w:rsidP="002424BD">
      <w:r w:rsidRPr="00160290">
        <w:t>This would likely reduce the amount of experience needed to be undertaken before registration could occur, although some experience would still be necessary in order to properly obtain references</w:t>
      </w:r>
      <w:r w:rsidR="0063360C">
        <w:t xml:space="preserve"> about </w:t>
      </w:r>
      <w:r w:rsidRPr="00160290">
        <w:t xml:space="preserve">experience and to gain sufficient skills to operate effectively in the industry. Importantly, </w:t>
      </w:r>
      <w:r w:rsidR="000E2924">
        <w:t xml:space="preserve">VBA's </w:t>
      </w:r>
      <w:r w:rsidRPr="00160290">
        <w:t xml:space="preserve"> assessment process would be shorter, requiring a lower cost to </w:t>
      </w:r>
      <w:r w:rsidR="000E2924">
        <w:t xml:space="preserve">it </w:t>
      </w:r>
      <w:r w:rsidRPr="00160290">
        <w:t>of assessing applications.</w:t>
      </w:r>
    </w:p>
    <w:p w:rsidR="002129C8" w:rsidRPr="00160290" w:rsidRDefault="003A7FBC" w:rsidP="002424BD">
      <w:r w:rsidRPr="00160290">
        <w:t xml:space="preserve">It is estimated that the incremental costs of the </w:t>
      </w:r>
      <w:r w:rsidR="00160290">
        <w:t>R</w:t>
      </w:r>
      <w:r w:rsidRPr="00160290">
        <w:t xml:space="preserve">egulation under this option would be </w:t>
      </w:r>
      <w:r w:rsidR="00746629">
        <w:t>about</w:t>
      </w:r>
      <w:r w:rsidRPr="00160290">
        <w:t xml:space="preserve"> $22.3 million </w:t>
      </w:r>
      <w:r w:rsidR="00746629">
        <w:t>a year</w:t>
      </w:r>
      <w:r w:rsidRPr="00160290">
        <w:t xml:space="preserve">, </w:t>
      </w:r>
      <w:r w:rsidR="00746629">
        <w:t>about</w:t>
      </w:r>
      <w:r w:rsidRPr="00160290">
        <w:t xml:space="preserve"> $4.7 million less than the cost of remaking the current </w:t>
      </w:r>
      <w:r w:rsidR="00160290">
        <w:t>R</w:t>
      </w:r>
      <w:r w:rsidRPr="00160290">
        <w:t xml:space="preserve">egulations. Under this option, the </w:t>
      </w:r>
      <w:r w:rsidR="00160290">
        <w:t>R</w:t>
      </w:r>
      <w:r w:rsidRPr="00160290">
        <w:t xml:space="preserve">egulation would need to prevent </w:t>
      </w:r>
      <w:r w:rsidR="00746629">
        <w:t>about</w:t>
      </w:r>
      <w:r w:rsidRPr="00160290">
        <w:t xml:space="preserve"> 27,008 detrimental incidents each year in order to break even. While this is less than the break-even point for continuing the current </w:t>
      </w:r>
      <w:r w:rsidR="00160290">
        <w:t>R</w:t>
      </w:r>
      <w:r w:rsidRPr="00160290">
        <w:t xml:space="preserve">egulations, the </w:t>
      </w:r>
      <w:r w:rsidR="00BE6DEA" w:rsidRPr="00160290">
        <w:t>department</w:t>
      </w:r>
      <w:r w:rsidRPr="00160290">
        <w:t xml:space="preserve"> considers that the likelihood of reaching the break-even point is less because there would be a higher likelihood of building defects and poor dealings with consumers, due to practitioners in general having less practical experience compared to Option 1. On balance, the department considers this option increases risks</w:t>
      </w:r>
      <w:r w:rsidR="00F43619">
        <w:t>,</w:t>
      </w:r>
      <w:r w:rsidR="0063360C">
        <w:t xml:space="preserve"> which would</w:t>
      </w:r>
      <w:r w:rsidR="004028EE">
        <w:t xml:space="preserve"> </w:t>
      </w:r>
      <w:r w:rsidRPr="00160290">
        <w:t>exacerbat</w:t>
      </w:r>
      <w:r w:rsidR="0063360C">
        <w:t>e</w:t>
      </w:r>
      <w:r w:rsidRPr="00160290">
        <w:t xml:space="preserve"> the already high levels of concern about building practitioners outlined earlier in </w:t>
      </w:r>
      <w:r w:rsidR="000E2924">
        <w:t>the</w:t>
      </w:r>
      <w:r w:rsidR="000E2924" w:rsidRPr="00160290">
        <w:t xml:space="preserve"> </w:t>
      </w:r>
      <w:r w:rsidRPr="00160290">
        <w:t>RIS.</w:t>
      </w:r>
      <w:r w:rsidR="002129C8" w:rsidRPr="00160290">
        <w:t xml:space="preserve"> </w:t>
      </w:r>
      <w:r w:rsidRPr="00160290">
        <w:t>The department</w:t>
      </w:r>
      <w:r w:rsidR="0063360C">
        <w:t xml:space="preserve"> considers </w:t>
      </w:r>
      <w:r w:rsidRPr="00160290">
        <w:t xml:space="preserve">the probability of reaching the break-even point of this option is less that the status quo and the status quo (Option 1) is </w:t>
      </w:r>
      <w:r w:rsidR="0063360C" w:rsidRPr="00160290">
        <w:t xml:space="preserve">therefore </w:t>
      </w:r>
      <w:r w:rsidRPr="00160290">
        <w:t>the preferred option.</w:t>
      </w:r>
    </w:p>
    <w:p w:rsidR="003A7FBC" w:rsidRPr="00160290" w:rsidRDefault="003A7FBC" w:rsidP="003A7FBC">
      <w:r w:rsidRPr="00160290">
        <w:t xml:space="preserve">This option would also potentially lower competition barriers compared to remaking the current </w:t>
      </w:r>
      <w:r w:rsidR="00160290">
        <w:t>R</w:t>
      </w:r>
      <w:r w:rsidRPr="00160290">
        <w:t xml:space="preserve">egulations and improve market access and choice. As noted above, these impacts are difficult to quantify and are complicated by the likely market responses to the </w:t>
      </w:r>
      <w:r w:rsidR="00160290">
        <w:t>R</w:t>
      </w:r>
      <w:r w:rsidRPr="00160290">
        <w:t>egulations (</w:t>
      </w:r>
      <w:r w:rsidR="00703FD9" w:rsidRPr="00160290">
        <w:t>that is</w:t>
      </w:r>
      <w:r w:rsidRPr="00160290">
        <w:t>, pass</w:t>
      </w:r>
      <w:r w:rsidR="0063360C">
        <w:t>-</w:t>
      </w:r>
      <w:r w:rsidRPr="00160290">
        <w:t>through of costs to consumers) which are already included in the above costs.</w:t>
      </w:r>
    </w:p>
    <w:p w:rsidR="003A7FBC" w:rsidRPr="00160290" w:rsidRDefault="008D3250" w:rsidP="00357F56">
      <w:pPr>
        <w:pStyle w:val="Heading2"/>
      </w:pPr>
      <w:bookmarkStart w:id="45" w:name="_Toc481502192"/>
      <w:r>
        <w:t>C3.3</w:t>
      </w:r>
      <w:r>
        <w:tab/>
      </w:r>
      <w:r w:rsidR="003A7FBC" w:rsidRPr="00160290">
        <w:t>Prescribed information related to character</w:t>
      </w:r>
      <w:bookmarkEnd w:id="45"/>
    </w:p>
    <w:p w:rsidR="003A7FBC" w:rsidRPr="00160290" w:rsidRDefault="003A7FBC" w:rsidP="002424BD">
      <w:pPr>
        <w:pStyle w:val="Normalpre-dotpoint"/>
      </w:pPr>
      <w:r w:rsidRPr="00160290">
        <w:t xml:space="preserve">The Act requires </w:t>
      </w:r>
      <w:r w:rsidR="000E2924">
        <w:t>VBA</w:t>
      </w:r>
      <w:r w:rsidRPr="00160290">
        <w:t xml:space="preserve"> to determine if an applicant is a fit and proper person to practise as a building practitioner (</w:t>
      </w:r>
      <w:r w:rsidR="000254D8">
        <w:t>s 1</w:t>
      </w:r>
      <w:r w:rsidRPr="00160290">
        <w:t>70). To facilitate this, the Act requires an applicant to provide with their application prescribed information relating to their character (</w:t>
      </w:r>
      <w:r w:rsidR="000254D8">
        <w:t>s 1</w:t>
      </w:r>
      <w:r w:rsidRPr="00160290">
        <w:t xml:space="preserve">69). The current prescribed information is set out in </w:t>
      </w:r>
      <w:r w:rsidR="000E2924">
        <w:t>reg</w:t>
      </w:r>
      <w:r w:rsidRPr="00160290">
        <w:t>1509</w:t>
      </w:r>
      <w:r w:rsidR="0063360C">
        <w:t xml:space="preserve"> which requires the </w:t>
      </w:r>
      <w:r w:rsidRPr="00160290">
        <w:t xml:space="preserve">applicant </w:t>
      </w:r>
      <w:r w:rsidR="0063360C">
        <w:t xml:space="preserve">to </w:t>
      </w:r>
      <w:r w:rsidRPr="00160290">
        <w:t>disclose if:</w:t>
      </w:r>
    </w:p>
    <w:p w:rsidR="002129C8" w:rsidRPr="00160290" w:rsidRDefault="002424BD" w:rsidP="002424BD">
      <w:pPr>
        <w:kinsoku w:val="0"/>
        <w:overflowPunct w:val="0"/>
        <w:autoSpaceDE w:val="0"/>
        <w:autoSpaceDN w:val="0"/>
        <w:adjustRightInd w:val="0"/>
        <w:snapToGrid w:val="0"/>
        <w:spacing w:before="120" w:after="120" w:line="240" w:lineRule="auto"/>
        <w:ind w:left="567" w:hanging="567"/>
      </w:pPr>
      <w:r w:rsidRPr="00160290">
        <w:t>a)</w:t>
      </w:r>
      <w:r w:rsidRPr="00160290">
        <w:tab/>
      </w:r>
      <w:r w:rsidR="003A7FBC" w:rsidRPr="00160290">
        <w:t xml:space="preserve">the applicant has within the last 10 years as an adult or the last </w:t>
      </w:r>
      <w:r w:rsidR="0063360C">
        <w:t xml:space="preserve">five </w:t>
      </w:r>
      <w:r w:rsidR="003A7FBC" w:rsidRPr="00160290">
        <w:t>years as a child, been convicted or found guilty of an indictable offence or an offence that, if committed in Victoria, would be an indictable offence involving fraud, dishonesty, drug trafficking or violence; or</w:t>
      </w:r>
    </w:p>
    <w:p w:rsidR="002129C8" w:rsidRPr="00160290" w:rsidRDefault="002424BD" w:rsidP="002424BD">
      <w:pPr>
        <w:kinsoku w:val="0"/>
        <w:overflowPunct w:val="0"/>
        <w:autoSpaceDE w:val="0"/>
        <w:autoSpaceDN w:val="0"/>
        <w:adjustRightInd w:val="0"/>
        <w:snapToGrid w:val="0"/>
        <w:spacing w:before="120" w:after="120" w:line="240" w:lineRule="auto"/>
      </w:pPr>
      <w:r w:rsidRPr="00160290">
        <w:t>b)</w:t>
      </w:r>
      <w:r w:rsidRPr="00160290">
        <w:tab/>
      </w:r>
      <w:r w:rsidR="003A7FBC" w:rsidRPr="00160290">
        <w:t>the applicant has ever been insolvent under administration; or</w:t>
      </w:r>
    </w:p>
    <w:p w:rsidR="002129C8" w:rsidRPr="00160290" w:rsidRDefault="002424BD" w:rsidP="002424BD">
      <w:pPr>
        <w:kinsoku w:val="0"/>
        <w:overflowPunct w:val="0"/>
        <w:autoSpaceDE w:val="0"/>
        <w:autoSpaceDN w:val="0"/>
        <w:adjustRightInd w:val="0"/>
        <w:snapToGrid w:val="0"/>
        <w:spacing w:before="120" w:after="120" w:line="240" w:lineRule="auto"/>
        <w:ind w:left="567" w:hanging="567"/>
      </w:pPr>
      <w:r w:rsidRPr="00160290">
        <w:t>c)</w:t>
      </w:r>
      <w:r w:rsidRPr="00160290">
        <w:tab/>
      </w:r>
      <w:r w:rsidR="003A7FBC" w:rsidRPr="00160290">
        <w:t>any licence, permit, registration or other authority enabling the applicant to work as a building practitioner in Victoria or in an equivalent occupation in the building and construction industry in another State or Territory has ever been cancelled or suspended; or</w:t>
      </w:r>
    </w:p>
    <w:p w:rsidR="002129C8" w:rsidRPr="00160290" w:rsidRDefault="002424BD" w:rsidP="002424BD">
      <w:pPr>
        <w:kinsoku w:val="0"/>
        <w:overflowPunct w:val="0"/>
        <w:autoSpaceDE w:val="0"/>
        <w:autoSpaceDN w:val="0"/>
        <w:adjustRightInd w:val="0"/>
        <w:snapToGrid w:val="0"/>
        <w:spacing w:before="120" w:after="120" w:line="240" w:lineRule="auto"/>
        <w:ind w:left="567" w:hanging="567"/>
      </w:pPr>
      <w:r w:rsidRPr="00160290">
        <w:lastRenderedPageBreak/>
        <w:t>d)</w:t>
      </w:r>
      <w:r w:rsidRPr="00160290">
        <w:tab/>
      </w:r>
      <w:r w:rsidR="003A7FBC" w:rsidRPr="00160290">
        <w:t>the applicant has ever been disqualified from holding, or been refused a licence, permit, registration or other authority enabling the applicant to work as a building practitioner in Victoria or in an equivalent occupation in the building and construction industry in another State or Territory; or</w:t>
      </w:r>
    </w:p>
    <w:p w:rsidR="002129C8" w:rsidRPr="00160290" w:rsidRDefault="002424BD" w:rsidP="002424BD">
      <w:pPr>
        <w:kinsoku w:val="0"/>
        <w:overflowPunct w:val="0"/>
        <w:autoSpaceDE w:val="0"/>
        <w:autoSpaceDN w:val="0"/>
        <w:adjustRightInd w:val="0"/>
        <w:snapToGrid w:val="0"/>
        <w:spacing w:before="120" w:after="120" w:line="240" w:lineRule="auto"/>
        <w:ind w:left="567" w:hanging="567"/>
      </w:pPr>
      <w:r w:rsidRPr="00160290">
        <w:t>e)</w:t>
      </w:r>
      <w:r w:rsidRPr="00160290">
        <w:tab/>
      </w:r>
      <w:r w:rsidR="003A7FBC" w:rsidRPr="00160290">
        <w:t xml:space="preserve">the applicant has been fined, reprimanded or cautioned for any breach of an Act, </w:t>
      </w:r>
      <w:r w:rsidR="00160290">
        <w:t>R</w:t>
      </w:r>
      <w:r w:rsidR="003A7FBC" w:rsidRPr="00160290">
        <w:t>egulations, rules, professional conduct or code of ethics, in relation to working as a building practitioner in Victoria or in an equivalent occupation in the building and construction industry in another State or Territory; or</w:t>
      </w:r>
    </w:p>
    <w:p w:rsidR="002129C8" w:rsidRPr="00160290" w:rsidRDefault="002424BD" w:rsidP="002424BD">
      <w:pPr>
        <w:ind w:left="567" w:hanging="567"/>
      </w:pPr>
      <w:r w:rsidRPr="00160290">
        <w:t>f)</w:t>
      </w:r>
      <w:r w:rsidRPr="00160290">
        <w:tab/>
      </w:r>
      <w:r w:rsidR="003A7FBC" w:rsidRPr="00160290">
        <w:t xml:space="preserve">any insurer has ever declined, cancelled, or imposed special conditions in relation to the provision of professional indemnity insurance, public liability insurance, or any other indemnity insurance </w:t>
      </w:r>
      <w:r w:rsidR="00703FD9" w:rsidRPr="00160290">
        <w:t>regarding</w:t>
      </w:r>
      <w:r w:rsidR="003A7FBC" w:rsidRPr="00160290">
        <w:t xml:space="preserve"> the applicant working as a building practitioner in Victoria or in an equivalent occupation in the building and construction industry in another State or Territory.</w:t>
      </w:r>
    </w:p>
    <w:p w:rsidR="00F71F1A" w:rsidRDefault="00204BEB" w:rsidP="008D3250">
      <w:pPr>
        <w:pStyle w:val="Heading3"/>
      </w:pPr>
      <w:bookmarkStart w:id="46" w:name="_Toc481502193"/>
      <w:r>
        <w:t xml:space="preserve">Option 2 – Remake </w:t>
      </w:r>
      <w:r w:rsidR="000E2924">
        <w:t>reg</w:t>
      </w:r>
      <w:r w:rsidR="00FA2F8A">
        <w:t>1509</w:t>
      </w:r>
      <w:bookmarkEnd w:id="46"/>
    </w:p>
    <w:p w:rsidR="003A7FBC" w:rsidRPr="00160290" w:rsidRDefault="003A7FBC" w:rsidP="002424BD">
      <w:r w:rsidRPr="00160290">
        <w:t>Under Option 2</w:t>
      </w:r>
      <w:r w:rsidR="0063360C">
        <w:t>,</w:t>
      </w:r>
      <w:r w:rsidRPr="00160290">
        <w:t xml:space="preserve"> the current </w:t>
      </w:r>
      <w:r w:rsidR="00160290">
        <w:t>R</w:t>
      </w:r>
      <w:r w:rsidRPr="00160290">
        <w:t>egulation would be remade.</w:t>
      </w:r>
    </w:p>
    <w:p w:rsidR="00F71F1A" w:rsidRDefault="003A7FBC" w:rsidP="008D3250">
      <w:pPr>
        <w:pStyle w:val="Heading4"/>
      </w:pPr>
      <w:bookmarkStart w:id="47" w:name="_Toc481502194"/>
      <w:r w:rsidRPr="00160290">
        <w:t>Base case</w:t>
      </w:r>
      <w:bookmarkEnd w:id="47"/>
    </w:p>
    <w:p w:rsidR="003A7FBC" w:rsidRPr="00160290" w:rsidRDefault="003A7FBC" w:rsidP="002424BD">
      <w:pPr>
        <w:pStyle w:val="Normalpre-dotpoint"/>
      </w:pPr>
      <w:r w:rsidRPr="00160290">
        <w:t xml:space="preserve">In the absence of prescribing the current information, there is still an obligation on </w:t>
      </w:r>
      <w:r w:rsidR="000E2924">
        <w:t>VBA</w:t>
      </w:r>
      <w:r w:rsidRPr="00160290">
        <w:t xml:space="preserve"> to consider an applicant’s character before registration can occur (</w:t>
      </w:r>
      <w:r w:rsidR="000254D8">
        <w:t>s 1</w:t>
      </w:r>
      <w:r w:rsidRPr="00160290">
        <w:t>70(1)(c)). There are existing mechanisms to do this</w:t>
      </w:r>
      <w:r w:rsidR="0063360C">
        <w:t xml:space="preserve">. </w:t>
      </w:r>
      <w:r w:rsidR="000E2924">
        <w:t>VBA</w:t>
      </w:r>
      <w:r w:rsidR="0063360C">
        <w:t>:</w:t>
      </w:r>
    </w:p>
    <w:p w:rsidR="003A7FBC" w:rsidRPr="00160290" w:rsidRDefault="003A7FBC" w:rsidP="002424BD">
      <w:pPr>
        <w:pStyle w:val="Dotpoint"/>
      </w:pPr>
      <w:r w:rsidRPr="00160290">
        <w:t>may arrange for the conduct of a police record check (</w:t>
      </w:r>
      <w:r w:rsidR="000254D8">
        <w:t>s 1</w:t>
      </w:r>
      <w:r w:rsidRPr="00160290">
        <w:t>69</w:t>
      </w:r>
      <w:r w:rsidR="0022498F">
        <w:t> A</w:t>
      </w:r>
      <w:r w:rsidRPr="00160290">
        <w:t>)</w:t>
      </w:r>
      <w:r w:rsidR="0063360C">
        <w:t>; i</w:t>
      </w:r>
      <w:r w:rsidRPr="00160290">
        <w:t xml:space="preserve">n practice, </w:t>
      </w:r>
      <w:r w:rsidR="000E2924">
        <w:t>VBA</w:t>
      </w:r>
      <w:r w:rsidRPr="00160290">
        <w:t xml:space="preserve"> does this for all applicants</w:t>
      </w:r>
    </w:p>
    <w:p w:rsidR="003A7FBC" w:rsidRPr="00160290" w:rsidRDefault="003A7FBC" w:rsidP="002424BD">
      <w:pPr>
        <w:pStyle w:val="Dotpoint"/>
      </w:pPr>
      <w:r w:rsidRPr="00160290">
        <w:t xml:space="preserve">may look for risk indicators based on past known activities (including </w:t>
      </w:r>
      <w:r w:rsidR="0063360C">
        <w:t xml:space="preserve">the </w:t>
      </w:r>
      <w:r w:rsidRPr="00160290">
        <w:t>disciplinary history and previous referrals) of the person or associated persons or where referees have been unreliable in the past</w:t>
      </w:r>
    </w:p>
    <w:p w:rsidR="003A7FBC" w:rsidRPr="00160290" w:rsidRDefault="00703FD9" w:rsidP="002424BD">
      <w:pPr>
        <w:pStyle w:val="Dotpoint"/>
      </w:pPr>
      <w:r w:rsidRPr="00160290">
        <w:t xml:space="preserve">can </w:t>
      </w:r>
      <w:r w:rsidR="003A7FBC" w:rsidRPr="00160290">
        <w:t>also do other checks (</w:t>
      </w:r>
      <w:r w:rsidR="0063360C">
        <w:t>for example</w:t>
      </w:r>
      <w:r w:rsidR="003A7FBC" w:rsidRPr="00160290">
        <w:t>, checks</w:t>
      </w:r>
      <w:r w:rsidR="006C108D">
        <w:t xml:space="preserve"> by the Australian Securities and Investments Commission</w:t>
      </w:r>
      <w:r w:rsidR="0063360C">
        <w:t xml:space="preserve">, checks of </w:t>
      </w:r>
      <w:r w:rsidR="003A7FBC" w:rsidRPr="00160290">
        <w:t xml:space="preserve">information from </w:t>
      </w:r>
      <w:r w:rsidR="006C108D">
        <w:t>the Victorian Managed Insurance Agency</w:t>
      </w:r>
      <w:r w:rsidR="006C108D" w:rsidRPr="00160290">
        <w:t xml:space="preserve"> </w:t>
      </w:r>
      <w:r w:rsidR="003A7FBC" w:rsidRPr="00160290">
        <w:t>if deemed relevant or liaison with interstate regulators if particular risks are identified)</w:t>
      </w:r>
    </w:p>
    <w:p w:rsidR="003A7FBC" w:rsidRPr="00160290" w:rsidRDefault="003A7FBC" w:rsidP="002424BD">
      <w:pPr>
        <w:pStyle w:val="Dotpointlast"/>
      </w:pPr>
      <w:r w:rsidRPr="00160290">
        <w:t>has a power under the Act to ask the applicant to give it any information that it reasonably requires to determine the application (</w:t>
      </w:r>
      <w:r w:rsidR="000254D8">
        <w:t>s 1</w:t>
      </w:r>
      <w:r w:rsidRPr="00160290">
        <w:t>69(3)).</w:t>
      </w:r>
    </w:p>
    <w:p w:rsidR="003A7FBC" w:rsidRPr="00160290" w:rsidRDefault="003A7FBC" w:rsidP="002424BD">
      <w:r w:rsidRPr="00160290">
        <w:t xml:space="preserve">There is no application form prescribed by the Act or </w:t>
      </w:r>
      <w:r w:rsidR="00160290">
        <w:t>R</w:t>
      </w:r>
      <w:r w:rsidRPr="00160290">
        <w:t xml:space="preserve">egulations, </w:t>
      </w:r>
      <w:r w:rsidR="00D20CBF">
        <w:t xml:space="preserve">but </w:t>
      </w:r>
      <w:r w:rsidRPr="00160290">
        <w:t xml:space="preserve">in practice </w:t>
      </w:r>
      <w:r w:rsidR="000E2924">
        <w:t>VBA</w:t>
      </w:r>
      <w:r w:rsidRPr="00160290">
        <w:t xml:space="preserve"> uses a standard application form that it requires applicants to complete. This means in practice, in the absence of </w:t>
      </w:r>
      <w:r w:rsidR="000E2924">
        <w:t>reg</w:t>
      </w:r>
      <w:r w:rsidRPr="00160290">
        <w:t xml:space="preserve">1509, </w:t>
      </w:r>
      <w:r w:rsidR="000E2924">
        <w:t>VBA</w:t>
      </w:r>
      <w:r w:rsidRPr="00160290">
        <w:t xml:space="preserve"> could still include questions related to the same information in the standard application form. While an applicant could refuse to answer these questions, </w:t>
      </w:r>
      <w:r w:rsidR="000E2924">
        <w:t>VBA</w:t>
      </w:r>
      <w:r w:rsidRPr="00160290">
        <w:t xml:space="preserve"> could refuse to consider the application unless the information is provided (relying on </w:t>
      </w:r>
      <w:r w:rsidR="000254D8">
        <w:t>s 1</w:t>
      </w:r>
      <w:r w:rsidRPr="00160290">
        <w:t>69(3)).</w:t>
      </w:r>
    </w:p>
    <w:p w:rsidR="00F71F1A" w:rsidRDefault="003A7FBC" w:rsidP="008D3250">
      <w:pPr>
        <w:pStyle w:val="Heading6"/>
      </w:pPr>
      <w:r w:rsidRPr="00160290">
        <w:t xml:space="preserve">Costs </w:t>
      </w:r>
    </w:p>
    <w:p w:rsidR="003A7FBC" w:rsidRPr="00160290" w:rsidRDefault="003A7FBC" w:rsidP="002424BD">
      <w:r w:rsidRPr="00160290">
        <w:t xml:space="preserve">The direct costs of the current </w:t>
      </w:r>
      <w:r w:rsidR="00160290">
        <w:t>R</w:t>
      </w:r>
      <w:r w:rsidRPr="00160290">
        <w:t>egulation 1509 is that an applicant needs to answer a series of questions related to character as part of their application form. Th</w:t>
      </w:r>
      <w:r w:rsidR="00D20CBF">
        <w:t xml:space="preserve">ese are </w:t>
      </w:r>
      <w:r w:rsidRPr="00160290">
        <w:t>yes</w:t>
      </w:r>
      <w:r w:rsidR="00D20CBF">
        <w:t>-</w:t>
      </w:r>
      <w:r w:rsidRPr="00160290">
        <w:t xml:space="preserve">no questions, and in nearly all cases no other information is required to be provided. This is estimated to involve an incremental cost to completing an application of </w:t>
      </w:r>
      <w:r w:rsidR="00746629">
        <w:t>about</w:t>
      </w:r>
      <w:r w:rsidRPr="00160290">
        <w:t xml:space="preserve"> </w:t>
      </w:r>
      <w:r w:rsidR="00D20CBF">
        <w:t xml:space="preserve">five </w:t>
      </w:r>
      <w:r w:rsidRPr="00160290">
        <w:t>minutes per applicant.</w:t>
      </w:r>
      <w:r w:rsidRPr="00160290">
        <w:rPr>
          <w:rStyle w:val="FootnoteReference"/>
          <w:rFonts w:cs="Times New Roman"/>
        </w:rPr>
        <w:footnoteReference w:id="32"/>
      </w:r>
      <w:r w:rsidRPr="00160290">
        <w:t xml:space="preserve"> Valuing an applicant’s time at $56.04 per hour</w:t>
      </w:r>
      <w:r w:rsidR="00561486">
        <w:t>,</w:t>
      </w:r>
      <w:r w:rsidRPr="00160290">
        <w:rPr>
          <w:rStyle w:val="FootnoteReference"/>
          <w:rFonts w:cs="Times New Roman"/>
        </w:rPr>
        <w:footnoteReference w:id="33"/>
      </w:r>
      <w:r w:rsidRPr="00160290">
        <w:t xml:space="preserve"> the incremental cost is estimated at $4.67 per application.</w:t>
      </w:r>
    </w:p>
    <w:p w:rsidR="00011DF3" w:rsidRDefault="00011DF3">
      <w:pPr>
        <w:spacing w:after="0"/>
      </w:pPr>
      <w:r>
        <w:br w:type="page"/>
      </w:r>
    </w:p>
    <w:p w:rsidR="003A7FBC" w:rsidRPr="00160290" w:rsidRDefault="003A7FBC" w:rsidP="002424BD">
      <w:r w:rsidRPr="00160290">
        <w:lastRenderedPageBreak/>
        <w:t xml:space="preserve">From 1 September 2016, registered practitioners must renew their registration at least every five years. This means the number of applications where the prescribed information will need to be provided will be for new applicants as well as a share of existing registered practitioners. As the change to five-yearly renewals is new, </w:t>
      </w:r>
      <w:r w:rsidR="000E2924">
        <w:t>VBA</w:t>
      </w:r>
      <w:r w:rsidRPr="00160290">
        <w:t xml:space="preserve"> is still working through the process to allocate renewal years to registrations before September 2016. This may result in the number of renewals being volatile from year to year, </w:t>
      </w:r>
      <w:r w:rsidR="00D20CBF">
        <w:t xml:space="preserve">but </w:t>
      </w:r>
      <w:r w:rsidRPr="00160290">
        <w:t xml:space="preserve">for modelling purposes a smoothed distribution of renewals </w:t>
      </w:r>
      <w:r w:rsidR="00D20CBF">
        <w:t>is assumed</w:t>
      </w:r>
      <w:r w:rsidRPr="00160290">
        <w:t>, such that one-fifth of existing practitioners will need to renew each year. There were 22,377 registered building practitioners as at 30 June 201</w:t>
      </w:r>
      <w:r w:rsidR="00D20CBF">
        <w:t xml:space="preserve"> so it </w:t>
      </w:r>
      <w:r w:rsidRPr="00160290">
        <w:t xml:space="preserve">is therefore assumed that 4,475 practitioners need to renew each year. There will also be </w:t>
      </w:r>
      <w:r w:rsidR="00746629">
        <w:t>about</w:t>
      </w:r>
      <w:r w:rsidRPr="00160290">
        <w:t xml:space="preserve"> 700 net new applications</w:t>
      </w:r>
      <w:r w:rsidR="00561486">
        <w:t>.</w:t>
      </w:r>
      <w:r w:rsidRPr="00160290">
        <w:rPr>
          <w:rStyle w:val="FootnoteReference"/>
          <w:rFonts w:cs="Times New Roman"/>
        </w:rPr>
        <w:footnoteReference w:id="34"/>
      </w:r>
      <w:r w:rsidRPr="00160290">
        <w:t xml:space="preserve"> This gives a total number of registration renewals</w:t>
      </w:r>
      <w:r w:rsidR="00D20CBF">
        <w:t xml:space="preserve"> and </w:t>
      </w:r>
      <w:r w:rsidRPr="00160290">
        <w:t>applications each year of 5,175.</w:t>
      </w:r>
    </w:p>
    <w:p w:rsidR="003A7FBC" w:rsidRPr="00160290" w:rsidRDefault="003A7FBC" w:rsidP="002424BD">
      <w:r w:rsidRPr="00160290">
        <w:t xml:space="preserve">The total administrative burden for applicants providing the prescribed information is therefore $24,171 </w:t>
      </w:r>
      <w:r w:rsidR="00746629">
        <w:t>a year</w:t>
      </w:r>
      <w:r w:rsidR="00D20CBF">
        <w:t xml:space="preserve">, or </w:t>
      </w:r>
      <w:r w:rsidRPr="00160290">
        <w:t>$212,393</w:t>
      </w:r>
      <w:r w:rsidR="00D20CBF">
        <w:t xml:space="preserve"> NPV </w:t>
      </w:r>
      <w:r w:rsidR="006C108D">
        <w:t xml:space="preserve">(net present value) </w:t>
      </w:r>
      <w:r w:rsidR="00D20CBF">
        <w:t>over 10 years</w:t>
      </w:r>
      <w:r w:rsidRPr="00160290">
        <w:t>.</w:t>
      </w:r>
    </w:p>
    <w:p w:rsidR="003A7FBC" w:rsidRPr="00160290" w:rsidRDefault="003A7FBC" w:rsidP="002424BD">
      <w:r w:rsidRPr="00160290">
        <w:t xml:space="preserve">The prescribing of information in </w:t>
      </w:r>
      <w:r w:rsidR="00381EF5">
        <w:t>reg</w:t>
      </w:r>
      <w:r w:rsidRPr="00160290">
        <w:t xml:space="preserve">1509 also triggers another obligation under the Act. Under </w:t>
      </w:r>
      <w:r w:rsidR="000254D8">
        <w:t>s 1</w:t>
      </w:r>
      <w:r w:rsidRPr="00160290">
        <w:t>72</w:t>
      </w:r>
      <w:r w:rsidR="0022498F">
        <w:t>A</w:t>
      </w:r>
      <w:r w:rsidRPr="00160290">
        <w:t xml:space="preserve">, a registered practitioner must notify </w:t>
      </w:r>
      <w:r w:rsidR="000E2924">
        <w:t>VBA</w:t>
      </w:r>
      <w:r w:rsidRPr="00160290">
        <w:t xml:space="preserve"> of any change to the prescribed information about the practitioner provided as part their application</w:t>
      </w:r>
      <w:r w:rsidR="00D20CBF">
        <w:t>,</w:t>
      </w:r>
      <w:r w:rsidRPr="00160290">
        <w:t xml:space="preserve"> without delay</w:t>
      </w:r>
      <w:r w:rsidR="00D20CBF">
        <w:t>,</w:t>
      </w:r>
      <w:r w:rsidRPr="00160290">
        <w:t xml:space="preserve"> after the change occurs. However, </w:t>
      </w:r>
      <w:r w:rsidR="000700D8">
        <w:t>authority</w:t>
      </w:r>
      <w:r w:rsidRPr="00160290">
        <w:t xml:space="preserve"> staff consulted for this report were not aware of any practitioners providing such information in practice, and therefore this secondary requirement is assumed to impose no real burden on practitioners.</w:t>
      </w:r>
    </w:p>
    <w:p w:rsidR="00F71F1A" w:rsidRDefault="003A7FBC" w:rsidP="008D3250">
      <w:pPr>
        <w:pStyle w:val="Heading6"/>
      </w:pPr>
      <w:r w:rsidRPr="00160290">
        <w:t>Benefits</w:t>
      </w:r>
    </w:p>
    <w:p w:rsidR="003A7FBC" w:rsidRPr="00160290" w:rsidRDefault="003A7FBC" w:rsidP="002424BD">
      <w:r w:rsidRPr="00160290">
        <w:t>The risks sought to be addressed by regulating building practitioners go to the high risks of fraud, corruption and dishonestly that may occur in an unregulated sector. The prescribed information is not the first line of checking character</w:t>
      </w:r>
      <w:r w:rsidR="00D20CBF">
        <w:t xml:space="preserve">: </w:t>
      </w:r>
      <w:r w:rsidR="000E2924">
        <w:t>VBA</w:t>
      </w:r>
      <w:r w:rsidRPr="00160290">
        <w:t xml:space="preserve"> obtains its own police record checks and reference checks. Indeed, the above costs may be zero in practice if </w:t>
      </w:r>
      <w:r w:rsidR="000E2924">
        <w:t>VBA</w:t>
      </w:r>
      <w:r w:rsidRPr="00160290">
        <w:t xml:space="preserve"> requests the information from applicants anyway. To the extent that prescribing the information may allow </w:t>
      </w:r>
      <w:r w:rsidR="000E2924">
        <w:t>VBA</w:t>
      </w:r>
      <w:r w:rsidRPr="00160290">
        <w:t xml:space="preserve"> to identify unsuitable applicants that it otherwise would</w:t>
      </w:r>
      <w:r w:rsidR="00D20CBF">
        <w:t xml:space="preserve"> not</w:t>
      </w:r>
      <w:r w:rsidRPr="00160290">
        <w:t xml:space="preserve">, the benefit of the prescribed information is to increase the likelihood that unsuitable practitioners will be prevented from becoming registered and consumers will </w:t>
      </w:r>
      <w:r w:rsidR="00D20CBF" w:rsidRPr="00160290">
        <w:t xml:space="preserve">therefore </w:t>
      </w:r>
      <w:r w:rsidRPr="00160290">
        <w:t>be protected.</w:t>
      </w:r>
    </w:p>
    <w:p w:rsidR="003A7FBC" w:rsidRPr="00160290" w:rsidRDefault="003A7FBC" w:rsidP="002424BD">
      <w:r w:rsidRPr="00160290">
        <w:t>The prescribed information is not only a mechanism to capture information that may not be identified through other checks</w:t>
      </w:r>
      <w:r w:rsidR="009F55B5">
        <w:t xml:space="preserve">: it </w:t>
      </w:r>
      <w:r w:rsidRPr="00160290">
        <w:t>also serves as a way of seeing if an applicant is honest and open in their application</w:t>
      </w:r>
      <w:r w:rsidR="009F55B5">
        <w:t xml:space="preserve">, which is </w:t>
      </w:r>
      <w:r w:rsidRPr="00160290">
        <w:t>itself a matter of character (for example, admission of prior insolvency or disqualification in another state, which may be able to be separately verified in some cases).</w:t>
      </w:r>
    </w:p>
    <w:p w:rsidR="003A7FBC" w:rsidRPr="00160290" w:rsidRDefault="003A7FBC" w:rsidP="002424BD">
      <w:r w:rsidRPr="00160290">
        <w:t xml:space="preserve">These benefits are difficult to quantify, both in assigning a value to the benefit and </w:t>
      </w:r>
      <w:r w:rsidR="009F55B5">
        <w:t xml:space="preserve">in </w:t>
      </w:r>
      <w:r w:rsidRPr="00160290">
        <w:t>estimating the frequency</w:t>
      </w:r>
      <w:r w:rsidR="009F55B5">
        <w:t xml:space="preserve"> with </w:t>
      </w:r>
      <w:r w:rsidRPr="00160290">
        <w:t xml:space="preserve">which the prescribing of information will result in a different outcome. Based on the data held at an aggregate level by </w:t>
      </w:r>
      <w:r w:rsidR="000E2924">
        <w:t>VBA</w:t>
      </w:r>
      <w:r w:rsidRPr="00160290">
        <w:t xml:space="preserve">, the number of applications refused on character grounds was unable to be determined, as was whether or not this was only possible because of the prescribed information. This is because applications are </w:t>
      </w:r>
      <w:r w:rsidR="009F55B5" w:rsidRPr="00160290">
        <w:t xml:space="preserve">often </w:t>
      </w:r>
      <w:r w:rsidRPr="00160290">
        <w:t>in practice refused for multiple reasons and are not easily counted on the basis of single grounds for refusal</w:t>
      </w:r>
      <w:r w:rsidR="009F55B5">
        <w:t xml:space="preserve">: </w:t>
      </w:r>
      <w:r w:rsidRPr="00160290">
        <w:t>complete information is recorded on each individual file only.</w:t>
      </w:r>
    </w:p>
    <w:p w:rsidR="003A7FBC" w:rsidRPr="00160290" w:rsidRDefault="003A7FBC" w:rsidP="002424BD">
      <w:pPr>
        <w:rPr>
          <w:bCs/>
        </w:rPr>
      </w:pPr>
      <w:r w:rsidRPr="00160290">
        <w:t xml:space="preserve">The </w:t>
      </w:r>
      <w:r w:rsidR="00D3125B" w:rsidRPr="00D3125B">
        <w:rPr>
          <w:i/>
        </w:rPr>
        <w:t>2016 Australian Consumer Survey</w:t>
      </w:r>
      <w:r w:rsidRPr="00160290">
        <w:t xml:space="preserve"> indicated the cost to Australian consumers to resolve building problems was an estimated average of $751.36 per incident. While this figure represents the costs from all types of problems (</w:t>
      </w:r>
      <w:r w:rsidR="00703FD9" w:rsidRPr="00160290">
        <w:t>that is</w:t>
      </w:r>
      <w:r w:rsidRPr="00160290">
        <w:t>, poor</w:t>
      </w:r>
      <w:r w:rsidR="009F55B5">
        <w:t>-</w:t>
      </w:r>
      <w:r w:rsidRPr="00160290">
        <w:t xml:space="preserve">quality work as well as unprofessional conduct), it is an indicator </w:t>
      </w:r>
      <w:r w:rsidR="009F55B5">
        <w:t xml:space="preserve">of </w:t>
      </w:r>
      <w:r w:rsidRPr="00160290">
        <w:t>the possible benefits of avoiding unsuitable practitioners from being registered. In order to break-even (</w:t>
      </w:r>
      <w:r w:rsidR="009F55B5">
        <w:t xml:space="preserve">for the </w:t>
      </w:r>
      <w:r w:rsidRPr="00160290">
        <w:t xml:space="preserve">benefits </w:t>
      </w:r>
      <w:r w:rsidR="009F55B5">
        <w:t xml:space="preserve">to </w:t>
      </w:r>
      <w:r w:rsidRPr="00160290">
        <w:t xml:space="preserve">outweigh the costs), the prescribing of the character information would need to result in 22 incidents being avoided each year. As each registered builder may undertake </w:t>
      </w:r>
      <w:r w:rsidR="00746629">
        <w:t>about</w:t>
      </w:r>
      <w:r w:rsidRPr="00160290">
        <w:t xml:space="preserve"> 10 building works each year, the break-even point suggests that if </w:t>
      </w:r>
      <w:r w:rsidR="00746629">
        <w:t>about</w:t>
      </w:r>
      <w:r w:rsidRPr="00160290">
        <w:t xml:space="preserve"> </w:t>
      </w:r>
      <w:r w:rsidR="00160290" w:rsidRPr="00160290">
        <w:t>three</w:t>
      </w:r>
      <w:r w:rsidRPr="00160290">
        <w:t xml:space="preserve"> unsuitable practitioners are prevented </w:t>
      </w:r>
      <w:r w:rsidRPr="00160290">
        <w:lastRenderedPageBreak/>
        <w:t xml:space="preserve">from being registered because of the prescribing of the character information, then the benefits will outweigh the costs. While aggregate data is not available, our understanding from </w:t>
      </w:r>
      <w:r w:rsidR="000E2924">
        <w:t>VBA</w:t>
      </w:r>
      <w:r w:rsidRPr="00160290">
        <w:t xml:space="preserve"> is that character grounds are common in refusal</w:t>
      </w:r>
      <w:r w:rsidR="009F55B5">
        <w:t>s</w:t>
      </w:r>
      <w:r w:rsidRPr="00160290">
        <w:t xml:space="preserve">, and that asking </w:t>
      </w:r>
      <w:r w:rsidR="009F55B5">
        <w:t xml:space="preserve">for </w:t>
      </w:r>
      <w:r w:rsidRPr="00160290">
        <w:t xml:space="preserve">the prescribed information is </w:t>
      </w:r>
      <w:r w:rsidR="009F55B5">
        <w:t xml:space="preserve">how </w:t>
      </w:r>
      <w:r w:rsidR="000E2924">
        <w:t>VBA</w:t>
      </w:r>
      <w:r w:rsidRPr="00160290">
        <w:t xml:space="preserve"> identified initial risk indicators. The </w:t>
      </w:r>
      <w:r w:rsidR="00BE6DEA" w:rsidRPr="00160290">
        <w:t>department</w:t>
      </w:r>
      <w:r w:rsidRPr="00160290">
        <w:t xml:space="preserve"> considers it likely that this break-even point is met, despite it not hav</w:t>
      </w:r>
      <w:r w:rsidR="00703FD9" w:rsidRPr="00160290">
        <w:t>ing</w:t>
      </w:r>
      <w:r w:rsidRPr="00160290">
        <w:t xml:space="preserve"> data on the extent to which issues of character are (or would be) a cause of problems reported by consumers.</w:t>
      </w:r>
    </w:p>
    <w:p w:rsidR="00F71F1A" w:rsidRDefault="003A7FBC">
      <w:r w:rsidRPr="00160290">
        <w:t>The department has considered two other options</w:t>
      </w:r>
      <w:r w:rsidR="009F55B5">
        <w:t>.</w:t>
      </w:r>
    </w:p>
    <w:p w:rsidR="00F71F1A" w:rsidRDefault="003A7FBC" w:rsidP="008D3250">
      <w:pPr>
        <w:pStyle w:val="Heading3"/>
      </w:pPr>
      <w:bookmarkStart w:id="48" w:name="_Toc481502195"/>
      <w:r w:rsidRPr="00160290">
        <w:t xml:space="preserve">Option 2.1 – </w:t>
      </w:r>
      <w:r w:rsidR="00B66344">
        <w:t>R</w:t>
      </w:r>
      <w:r w:rsidRPr="00160290">
        <w:t>educ</w:t>
      </w:r>
      <w:r w:rsidR="00B66344">
        <w:t>e</w:t>
      </w:r>
      <w:r w:rsidRPr="00160290">
        <w:t xml:space="preserve"> the</w:t>
      </w:r>
      <w:r w:rsidR="008A5E35">
        <w:t xml:space="preserve"> prescribed</w:t>
      </w:r>
      <w:r w:rsidRPr="00160290">
        <w:t xml:space="preserve"> information to be provided</w:t>
      </w:r>
      <w:bookmarkEnd w:id="48"/>
    </w:p>
    <w:p w:rsidR="00F71F1A" w:rsidRDefault="003A7FBC">
      <w:r w:rsidRPr="00160290">
        <w:t xml:space="preserve">This option is examined </w:t>
      </w:r>
      <w:r w:rsidR="00703FD9" w:rsidRPr="00160290">
        <w:t xml:space="preserve">to </w:t>
      </w:r>
      <w:r w:rsidRPr="00160290">
        <w:t xml:space="preserve">consider a </w:t>
      </w:r>
      <w:r w:rsidR="00B66344">
        <w:t>reduced-</w:t>
      </w:r>
      <w:r w:rsidR="00160290">
        <w:t>R</w:t>
      </w:r>
      <w:r w:rsidRPr="00160290">
        <w:t xml:space="preserve">egulation option. </w:t>
      </w:r>
      <w:proofErr w:type="spellStart"/>
      <w:r w:rsidR="00B66344">
        <w:t>R</w:t>
      </w:r>
      <w:r w:rsidR="00381EF5">
        <w:t>eg</w:t>
      </w:r>
      <w:proofErr w:type="spellEnd"/>
      <w:r w:rsidR="00B66344">
        <w:t xml:space="preserve"> </w:t>
      </w:r>
      <w:r w:rsidRPr="00160290">
        <w:t xml:space="preserve">1509(e) requires an applicant to disclose whether </w:t>
      </w:r>
      <w:r w:rsidR="00B66344">
        <w:t xml:space="preserve">they have </w:t>
      </w:r>
      <w:r w:rsidRPr="00160290">
        <w:t xml:space="preserve">been fined, reprimanded or cautioned for any breach of an Act, </w:t>
      </w:r>
      <w:r w:rsidR="00160290">
        <w:t>R</w:t>
      </w:r>
      <w:r w:rsidRPr="00160290">
        <w:t>egulations, rules, professional conduct or code of ethics, in relation to working as a building practitioner in Victoria or in an equivalent occupation in the building and construction industry in another State or Territory</w:t>
      </w:r>
      <w:r w:rsidR="00B66344">
        <w:t xml:space="preserve">. </w:t>
      </w:r>
      <w:r w:rsidR="00B66344" w:rsidRPr="00160290">
        <w:t>The department identified that</w:t>
      </w:r>
      <w:r w:rsidR="00B66344">
        <w:t xml:space="preserve"> this Regulation</w:t>
      </w:r>
      <w:r w:rsidRPr="00160290">
        <w:t xml:space="preserve"> could be removed, as </w:t>
      </w:r>
      <w:r w:rsidR="00B66344">
        <w:t xml:space="preserve">it is </w:t>
      </w:r>
      <w:r w:rsidRPr="00160290">
        <w:t xml:space="preserve">considered </w:t>
      </w:r>
      <w:r w:rsidR="00B66344">
        <w:t xml:space="preserve">to be </w:t>
      </w:r>
      <w:r w:rsidRPr="00160290">
        <w:t xml:space="preserve">rarely used in making a decision </w:t>
      </w:r>
      <w:r w:rsidR="00703FD9" w:rsidRPr="00160290">
        <w:t>about</w:t>
      </w:r>
      <w:r w:rsidRPr="00160290">
        <w:t xml:space="preserve"> character.</w:t>
      </w:r>
    </w:p>
    <w:p w:rsidR="00F71F1A" w:rsidRDefault="003A7FBC" w:rsidP="008D3250">
      <w:pPr>
        <w:pStyle w:val="Heading3"/>
      </w:pPr>
      <w:bookmarkStart w:id="49" w:name="_Toc481502196"/>
      <w:r w:rsidRPr="00160290">
        <w:t>Option 2.2 –</w:t>
      </w:r>
      <w:r w:rsidR="00BD1691">
        <w:t xml:space="preserve"> </w:t>
      </w:r>
      <w:r w:rsidR="008A5E35">
        <w:t>Expand</w:t>
      </w:r>
      <w:r w:rsidR="00FA2F8A">
        <w:t xml:space="preserve"> </w:t>
      </w:r>
      <w:r w:rsidR="00BD1691" w:rsidRPr="00160290">
        <w:t>the</w:t>
      </w:r>
      <w:r w:rsidR="008A5E35">
        <w:t xml:space="preserve"> prescribed</w:t>
      </w:r>
      <w:r w:rsidR="00BD1691" w:rsidRPr="00160290">
        <w:t xml:space="preserve"> information </w:t>
      </w:r>
      <w:r w:rsidR="00FA2F8A">
        <w:t>to be provided</w:t>
      </w:r>
      <w:bookmarkEnd w:id="49"/>
    </w:p>
    <w:p w:rsidR="00F71F1A" w:rsidRDefault="003A7FBC">
      <w:r w:rsidRPr="00160290">
        <w:t xml:space="preserve">Following discussions with </w:t>
      </w:r>
      <w:r w:rsidR="000E2924">
        <w:t>VBA</w:t>
      </w:r>
      <w:r w:rsidRPr="00160290">
        <w:t xml:space="preserve">, additional information was identified that could be useful in making an assessment but is currently not </w:t>
      </w:r>
      <w:r w:rsidR="00B66344">
        <w:t>requested</w:t>
      </w:r>
      <w:r w:rsidRPr="00160290">
        <w:t xml:space="preserve">. Under this option, information in relation to breaches of the securities of payment legislation, domestic building contracts legislation, </w:t>
      </w:r>
      <w:r w:rsidR="00B66344">
        <w:t xml:space="preserve">environmental protection </w:t>
      </w:r>
      <w:r w:rsidRPr="00160290">
        <w:t>legislation and</w:t>
      </w:r>
      <w:r w:rsidR="00B66344">
        <w:t xml:space="preserve"> occupational health and safety </w:t>
      </w:r>
      <w:r w:rsidRPr="00160290">
        <w:t xml:space="preserve">legislation would also be </w:t>
      </w:r>
      <w:r w:rsidR="00B66344">
        <w:t>requested</w:t>
      </w:r>
      <w:r w:rsidRPr="00160290">
        <w:t>.</w:t>
      </w:r>
    </w:p>
    <w:p w:rsidR="003A7FBC" w:rsidRPr="00160290" w:rsidRDefault="003A7FBC" w:rsidP="002424BD">
      <w:r w:rsidRPr="00160290">
        <w:t xml:space="preserve">The main differences in relation to </w:t>
      </w:r>
      <w:r w:rsidR="00B66344">
        <w:t xml:space="preserve">the </w:t>
      </w:r>
      <w:r w:rsidRPr="00160290">
        <w:t>cost</w:t>
      </w:r>
      <w:r w:rsidR="00B66344">
        <w:t>s</w:t>
      </w:r>
      <w:r w:rsidRPr="00160290">
        <w:t xml:space="preserve"> of these options is the time it takes an applicant to read the relevant question and provide a yes</w:t>
      </w:r>
      <w:r w:rsidR="00B66344">
        <w:t>-</w:t>
      </w:r>
      <w:r w:rsidRPr="00160290">
        <w:t xml:space="preserve">no answer. While continuing the existing questions was estimated to take </w:t>
      </w:r>
      <w:r w:rsidR="00B66344">
        <w:t xml:space="preserve">five </w:t>
      </w:r>
      <w:r w:rsidRPr="00160290">
        <w:t xml:space="preserve">minutes per application, reducing the number of questions by </w:t>
      </w:r>
      <w:r w:rsidR="00160290" w:rsidRPr="00160290">
        <w:t>one</w:t>
      </w:r>
      <w:r w:rsidRPr="00160290">
        <w:t xml:space="preserve"> is unlikely to have a material change: purely based on the number of questions, this may take only </w:t>
      </w:r>
      <w:r w:rsidR="00B66344">
        <w:t xml:space="preserve">four </w:t>
      </w:r>
      <w:r w:rsidRPr="00160290">
        <w:t xml:space="preserve">minutes. Therefore, </w:t>
      </w:r>
      <w:r w:rsidR="00B66344" w:rsidRPr="00160290">
        <w:t xml:space="preserve">Option 2.1 </w:t>
      </w:r>
      <w:r w:rsidR="00B66344">
        <w:t>(</w:t>
      </w:r>
      <w:r w:rsidRPr="00160290">
        <w:t>the reduced</w:t>
      </w:r>
      <w:r w:rsidR="00B66344">
        <w:t>-</w:t>
      </w:r>
      <w:r w:rsidR="00160290">
        <w:t>R</w:t>
      </w:r>
      <w:r w:rsidRPr="00160290">
        <w:t>egulation option</w:t>
      </w:r>
      <w:r w:rsidR="00B66344">
        <w:t xml:space="preserve">) </w:t>
      </w:r>
      <w:r w:rsidRPr="00160290">
        <w:t xml:space="preserve">would have a total cost of $19,337 </w:t>
      </w:r>
      <w:r w:rsidR="00746629">
        <w:t>a year</w:t>
      </w:r>
      <w:r w:rsidRPr="00160290">
        <w:t xml:space="preserve"> and require the information to lead to </w:t>
      </w:r>
      <w:r w:rsidR="00B66344">
        <w:t xml:space="preserve">an average </w:t>
      </w:r>
      <w:r w:rsidRPr="00160290">
        <w:t>2</w:t>
      </w:r>
      <w:r w:rsidR="00B66344">
        <w:t>.5</w:t>
      </w:r>
      <w:r w:rsidRPr="00160290">
        <w:t xml:space="preserve"> unsuitable practitioners being refused registration each year in order to break even.</w:t>
      </w:r>
    </w:p>
    <w:p w:rsidR="002129C8" w:rsidRDefault="003A7FBC" w:rsidP="002424BD">
      <w:r w:rsidRPr="00160290">
        <w:t>Conversely</w:t>
      </w:r>
      <w:r w:rsidR="00B66344">
        <w:t>,</w:t>
      </w:r>
      <w:r w:rsidRPr="00160290">
        <w:t xml:space="preserve"> under Option 2.2, asking </w:t>
      </w:r>
      <w:r w:rsidR="00B66344">
        <w:t xml:space="preserve">for </w:t>
      </w:r>
      <w:r w:rsidRPr="00160290">
        <w:t xml:space="preserve">additional information would increase the administrative cost </w:t>
      </w:r>
      <w:r w:rsidR="00B66344">
        <w:t xml:space="preserve">to </w:t>
      </w:r>
      <w:r w:rsidRPr="00160290">
        <w:t xml:space="preserve">applicants. The additional information may be more time-consuming to provide as an applicant may need to consider a wider range of information before responding. It may therefore take </w:t>
      </w:r>
      <w:r w:rsidR="00746629">
        <w:t>about</w:t>
      </w:r>
      <w:r w:rsidRPr="00160290">
        <w:t xml:space="preserve"> </w:t>
      </w:r>
      <w:r w:rsidR="00B66344">
        <w:t xml:space="preserve">seven </w:t>
      </w:r>
      <w:r w:rsidRPr="00160290">
        <w:t xml:space="preserve">minutes to complete this range of questions in an application. On the same methodology, this option would result in a total cost of $33,839 </w:t>
      </w:r>
      <w:r w:rsidR="00746629">
        <w:t>a year</w:t>
      </w:r>
      <w:r w:rsidRPr="00160290">
        <w:t xml:space="preserve">, and require </w:t>
      </w:r>
      <w:r w:rsidR="00B66344">
        <w:t xml:space="preserve">an average of some </w:t>
      </w:r>
      <w:r w:rsidRPr="00160290">
        <w:t>4</w:t>
      </w:r>
      <w:r w:rsidR="00B66344">
        <w:t xml:space="preserve">.5 </w:t>
      </w:r>
      <w:r w:rsidRPr="00160290">
        <w:t>unsuitable practitioners being refused each year because of the prescribed information.</w:t>
      </w:r>
    </w:p>
    <w:p w:rsidR="00011DF3" w:rsidRDefault="00011DF3">
      <w:pPr>
        <w:spacing w:after="0"/>
      </w:pPr>
      <w:r>
        <w:br w:type="page"/>
      </w:r>
    </w:p>
    <w:p w:rsidR="00B66344" w:rsidRPr="00160290" w:rsidRDefault="00B66344" w:rsidP="002424BD">
      <w:r>
        <w:lastRenderedPageBreak/>
        <w:t xml:space="preserve">Table </w:t>
      </w:r>
      <w:r w:rsidR="008A39F6">
        <w:t>3</w:t>
      </w:r>
      <w:r>
        <w:t xml:space="preserve"> shows the yearly and </w:t>
      </w:r>
      <w:r w:rsidR="000E2924">
        <w:t>10</w:t>
      </w:r>
      <w:r>
        <w:t xml:space="preserve">-year NPV costs of remaking the Regulation and the </w:t>
      </w:r>
      <w:r w:rsidR="0058158E">
        <w:t>three</w:t>
      </w:r>
      <w:r>
        <w:t xml:space="preserve"> options and the benefits of each.</w:t>
      </w:r>
    </w:p>
    <w:p w:rsidR="00F71F1A" w:rsidRDefault="00160290">
      <w:pPr>
        <w:pStyle w:val="Caption"/>
      </w:pPr>
      <w:bookmarkStart w:id="50" w:name="_Toc481473111"/>
      <w:r>
        <w:t xml:space="preserve">Table </w:t>
      </w:r>
      <w:r w:rsidR="008A39F6">
        <w:t>3</w:t>
      </w:r>
      <w:r>
        <w:t xml:space="preserve">: </w:t>
      </w:r>
      <w:r w:rsidR="00B669AA">
        <w:t>Prescribed information relating to character options, costs and benefits</w:t>
      </w:r>
      <w:bookmarkEnd w:id="50"/>
    </w:p>
    <w:tbl>
      <w:tblPr>
        <w:tblStyle w:val="TableGrid"/>
        <w:tblW w:w="8613" w:type="dxa"/>
        <w:tblLook w:val="04A0" w:firstRow="1" w:lastRow="0" w:firstColumn="1" w:lastColumn="0" w:noHBand="0" w:noVBand="1"/>
      </w:tblPr>
      <w:tblGrid>
        <w:gridCol w:w="2376"/>
        <w:gridCol w:w="2694"/>
        <w:gridCol w:w="3543"/>
      </w:tblGrid>
      <w:tr w:rsidR="003A7FBC" w:rsidRPr="00160290" w:rsidTr="00B66344">
        <w:trPr>
          <w:cnfStyle w:val="100000000000" w:firstRow="1" w:lastRow="0" w:firstColumn="0" w:lastColumn="0" w:oddVBand="0" w:evenVBand="0" w:oddHBand="0" w:evenHBand="0" w:firstRowFirstColumn="0" w:firstRowLastColumn="0" w:lastRowFirstColumn="0" w:lastRowLastColumn="0"/>
          <w:trHeight w:val="33"/>
        </w:trPr>
        <w:tc>
          <w:tcPr>
            <w:cnfStyle w:val="000000000100" w:firstRow="0" w:lastRow="0" w:firstColumn="0" w:lastColumn="0" w:oddVBand="0" w:evenVBand="0" w:oddHBand="0" w:evenHBand="0" w:firstRowFirstColumn="1" w:firstRowLastColumn="0" w:lastRowFirstColumn="0" w:lastRowLastColumn="0"/>
            <w:tcW w:w="2376" w:type="dxa"/>
            <w:shd w:val="clear" w:color="auto" w:fill="00B2A9" w:themeFill="accent1"/>
          </w:tcPr>
          <w:p w:rsidR="00F71F1A" w:rsidRDefault="003A7FBC">
            <w:pPr>
              <w:pStyle w:val="Tablecolumnhead"/>
              <w:rPr>
                <w:rFonts w:asciiTheme="majorHAnsi" w:eastAsiaTheme="majorEastAsia" w:hAnsiTheme="majorHAnsi" w:cs="Arial"/>
                <w:sz w:val="16"/>
              </w:rPr>
            </w:pPr>
            <w:r w:rsidRPr="00160290">
              <w:t>Option</w:t>
            </w:r>
          </w:p>
        </w:tc>
        <w:tc>
          <w:tcPr>
            <w:tcW w:w="2694" w:type="dxa"/>
            <w:shd w:val="clear" w:color="auto" w:fill="00B2A9" w:themeFill="accent1"/>
          </w:tcPr>
          <w:p w:rsidR="00F71F1A" w:rsidRDefault="003A7FBC">
            <w:pPr>
              <w:pStyle w:val="Tablecolumnhead"/>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Arial"/>
                <w:sz w:val="40"/>
              </w:rPr>
            </w:pPr>
            <w:r w:rsidRPr="00160290">
              <w:t>Costs</w:t>
            </w:r>
          </w:p>
        </w:tc>
        <w:tc>
          <w:tcPr>
            <w:tcW w:w="3543" w:type="dxa"/>
            <w:shd w:val="clear" w:color="auto" w:fill="00B2A9" w:themeFill="accent1"/>
          </w:tcPr>
          <w:p w:rsidR="00F71F1A" w:rsidRDefault="003A7FBC">
            <w:pPr>
              <w:pStyle w:val="Tablecolumnhead"/>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Arial"/>
                <w:sz w:val="16"/>
              </w:rPr>
            </w:pPr>
            <w:r w:rsidRPr="00160290">
              <w:t>Benefits</w:t>
            </w:r>
            <w:r w:rsidRPr="00160290">
              <w:rPr>
                <w:rStyle w:val="FootnoteReference"/>
                <w:b w:val="0"/>
                <w:bCs/>
                <w:color w:val="FFFFFF" w:themeColor="background1"/>
              </w:rPr>
              <w:footnoteReference w:id="35"/>
            </w:r>
          </w:p>
        </w:tc>
      </w:tr>
      <w:tr w:rsidR="003A7FBC" w:rsidRPr="00160290" w:rsidTr="003A7FBC">
        <w:tc>
          <w:tcPr>
            <w:tcW w:w="2376" w:type="dxa"/>
          </w:tcPr>
          <w:p w:rsidR="00F71F1A" w:rsidRDefault="0058158E">
            <w:pPr>
              <w:pStyle w:val="Tabletext"/>
              <w:rPr>
                <w:rFonts w:asciiTheme="majorHAnsi" w:eastAsiaTheme="majorEastAsia" w:hAnsiTheme="majorHAnsi" w:cstheme="majorBidi"/>
                <w:b/>
                <w:sz w:val="20"/>
              </w:rPr>
            </w:pPr>
            <w:r>
              <w:t xml:space="preserve">2 </w:t>
            </w:r>
            <w:r w:rsidR="003A7FBC" w:rsidRPr="00160290">
              <w:t xml:space="preserve">Remake </w:t>
            </w:r>
            <w:r w:rsidR="00381EF5">
              <w:t>reg</w:t>
            </w:r>
            <w:r w:rsidR="003A7FBC" w:rsidRPr="00160290">
              <w:t>1509 without change</w:t>
            </w:r>
          </w:p>
        </w:tc>
        <w:tc>
          <w:tcPr>
            <w:tcW w:w="2694" w:type="dxa"/>
          </w:tcPr>
          <w:p w:rsidR="00F71F1A" w:rsidRDefault="003A7FBC">
            <w:pPr>
              <w:pStyle w:val="Tabletext"/>
              <w:rPr>
                <w:rFonts w:asciiTheme="majorHAnsi" w:eastAsiaTheme="majorEastAsia" w:hAnsiTheme="majorHAnsi" w:cstheme="majorBidi"/>
                <w:b/>
                <w:sz w:val="20"/>
              </w:rPr>
            </w:pPr>
            <w:r w:rsidRPr="00160290">
              <w:t xml:space="preserve">$24,171 </w:t>
            </w:r>
            <w:r w:rsidR="00746629">
              <w:t>a year</w:t>
            </w:r>
          </w:p>
          <w:p w:rsidR="00F71F1A" w:rsidRDefault="003A7FBC">
            <w:pPr>
              <w:pStyle w:val="Tabletext"/>
              <w:rPr>
                <w:rFonts w:asciiTheme="majorHAnsi" w:eastAsiaTheme="majorEastAsia" w:hAnsiTheme="majorHAnsi" w:cstheme="majorBidi"/>
                <w:b/>
                <w:sz w:val="20"/>
              </w:rPr>
            </w:pPr>
            <w:r w:rsidRPr="00160290">
              <w:t>$212,393 NPV</w:t>
            </w:r>
            <w:r w:rsidR="00151043">
              <w:t xml:space="preserve"> (10 years)</w:t>
            </w:r>
          </w:p>
        </w:tc>
        <w:tc>
          <w:tcPr>
            <w:tcW w:w="3543" w:type="dxa"/>
          </w:tcPr>
          <w:p w:rsidR="00F71F1A" w:rsidRDefault="003A7FBC">
            <w:pPr>
              <w:pStyle w:val="Tabletext"/>
              <w:rPr>
                <w:rFonts w:asciiTheme="majorHAnsi" w:eastAsiaTheme="majorEastAsia" w:hAnsiTheme="majorHAnsi" w:cstheme="majorBidi"/>
                <w:b/>
                <w:sz w:val="20"/>
              </w:rPr>
            </w:pPr>
            <w:r w:rsidRPr="00160290">
              <w:t xml:space="preserve">Benefits outweigh costs if the information leads to </w:t>
            </w:r>
            <w:r w:rsidR="00160290" w:rsidRPr="00160290">
              <w:t>three</w:t>
            </w:r>
            <w:r w:rsidRPr="00160290">
              <w:t xml:space="preserve"> unsuitable practitioners being registered each year</w:t>
            </w:r>
          </w:p>
        </w:tc>
      </w:tr>
      <w:tr w:rsidR="003A7FBC" w:rsidRPr="00160290" w:rsidTr="003A7FBC">
        <w:tc>
          <w:tcPr>
            <w:tcW w:w="2376" w:type="dxa"/>
          </w:tcPr>
          <w:p w:rsidR="00F71F1A" w:rsidRDefault="00BD1691">
            <w:pPr>
              <w:pStyle w:val="Tabletext"/>
              <w:rPr>
                <w:sz w:val="20"/>
              </w:rPr>
            </w:pPr>
            <w:r>
              <w:t xml:space="preserve">2.1 </w:t>
            </w:r>
            <w:r w:rsidR="003A7FBC" w:rsidRPr="00160290">
              <w:t xml:space="preserve">Reduce the </w:t>
            </w:r>
            <w:r w:rsidR="00B257D3" w:rsidRPr="00160290">
              <w:t>prescribed</w:t>
            </w:r>
            <w:r w:rsidR="00B257D3">
              <w:t xml:space="preserve"> information</w:t>
            </w:r>
            <w:r w:rsidR="004028EE">
              <w:t xml:space="preserve"> </w:t>
            </w:r>
            <w:r>
              <w:t>to be provided</w:t>
            </w:r>
          </w:p>
        </w:tc>
        <w:tc>
          <w:tcPr>
            <w:tcW w:w="2694" w:type="dxa"/>
          </w:tcPr>
          <w:p w:rsidR="00F71F1A" w:rsidRDefault="003A7FBC">
            <w:pPr>
              <w:pStyle w:val="Tabletext"/>
              <w:rPr>
                <w:rFonts w:asciiTheme="majorHAnsi" w:eastAsiaTheme="majorEastAsia" w:hAnsiTheme="majorHAnsi" w:cstheme="majorBidi"/>
                <w:b/>
                <w:sz w:val="20"/>
              </w:rPr>
            </w:pPr>
            <w:r w:rsidRPr="00160290">
              <w:t xml:space="preserve">$19,337 </w:t>
            </w:r>
            <w:r w:rsidR="00746629">
              <w:t>a year</w:t>
            </w:r>
          </w:p>
          <w:p w:rsidR="00F71F1A" w:rsidRDefault="003A7FBC">
            <w:pPr>
              <w:pStyle w:val="Tabletext"/>
              <w:rPr>
                <w:rFonts w:asciiTheme="majorHAnsi" w:eastAsiaTheme="majorEastAsia" w:hAnsiTheme="majorHAnsi" w:cstheme="majorBidi"/>
                <w:b/>
                <w:sz w:val="20"/>
              </w:rPr>
            </w:pPr>
            <w:r w:rsidRPr="00160290">
              <w:t>$169,914 NPV</w:t>
            </w:r>
            <w:r w:rsidR="00151043">
              <w:t xml:space="preserve"> (10 years)</w:t>
            </w:r>
          </w:p>
        </w:tc>
        <w:tc>
          <w:tcPr>
            <w:tcW w:w="3543" w:type="dxa"/>
          </w:tcPr>
          <w:p w:rsidR="00F71F1A" w:rsidRDefault="003A7FBC">
            <w:pPr>
              <w:pStyle w:val="Tabletext"/>
              <w:rPr>
                <w:rFonts w:asciiTheme="majorHAnsi" w:eastAsiaTheme="majorEastAsia" w:hAnsiTheme="majorHAnsi" w:cstheme="majorBidi"/>
                <w:b/>
                <w:sz w:val="20"/>
              </w:rPr>
            </w:pPr>
            <w:r w:rsidRPr="00160290">
              <w:t xml:space="preserve">Benefits outweigh costs if the information leads to </w:t>
            </w:r>
            <w:r w:rsidR="0058158E">
              <w:t xml:space="preserve">an </w:t>
            </w:r>
            <w:r w:rsidR="00151043">
              <w:t xml:space="preserve">average of </w:t>
            </w:r>
            <w:r w:rsidRPr="00160290">
              <w:t>2</w:t>
            </w:r>
            <w:r w:rsidR="00151043">
              <w:t>.5</w:t>
            </w:r>
            <w:r w:rsidRPr="00160290">
              <w:t xml:space="preserve"> unsuitable practitioners being registered each year</w:t>
            </w:r>
          </w:p>
        </w:tc>
      </w:tr>
      <w:tr w:rsidR="003A7FBC" w:rsidRPr="00160290" w:rsidTr="003A7FBC">
        <w:tc>
          <w:tcPr>
            <w:tcW w:w="2376" w:type="dxa"/>
          </w:tcPr>
          <w:p w:rsidR="00F71F1A" w:rsidRDefault="00BD1691">
            <w:pPr>
              <w:pStyle w:val="Tabletext"/>
              <w:rPr>
                <w:sz w:val="20"/>
              </w:rPr>
            </w:pPr>
            <w:r>
              <w:t xml:space="preserve">2.2 </w:t>
            </w:r>
            <w:r w:rsidR="003A7FBC" w:rsidRPr="00160290">
              <w:t xml:space="preserve">Expand the </w:t>
            </w:r>
            <w:r w:rsidR="008A5E35">
              <w:t xml:space="preserve">prescribed </w:t>
            </w:r>
            <w:r w:rsidR="003A7FBC" w:rsidRPr="00160290">
              <w:t xml:space="preserve">information </w:t>
            </w:r>
            <w:r w:rsidR="008A5E35">
              <w:t>to be provided</w:t>
            </w:r>
          </w:p>
        </w:tc>
        <w:tc>
          <w:tcPr>
            <w:tcW w:w="2694" w:type="dxa"/>
          </w:tcPr>
          <w:p w:rsidR="00F71F1A" w:rsidRDefault="003A7FBC">
            <w:pPr>
              <w:pStyle w:val="Tabletext"/>
              <w:rPr>
                <w:rFonts w:asciiTheme="majorHAnsi" w:eastAsiaTheme="majorEastAsia" w:hAnsiTheme="majorHAnsi" w:cstheme="majorBidi"/>
                <w:b/>
                <w:sz w:val="20"/>
              </w:rPr>
            </w:pPr>
            <w:r w:rsidRPr="00160290">
              <w:t xml:space="preserve">$33,839 </w:t>
            </w:r>
            <w:r w:rsidR="00746629">
              <w:t>a year</w:t>
            </w:r>
          </w:p>
          <w:p w:rsidR="00F71F1A" w:rsidRDefault="003A7FBC">
            <w:pPr>
              <w:pStyle w:val="Tabletext"/>
              <w:rPr>
                <w:rFonts w:asciiTheme="majorHAnsi" w:eastAsiaTheme="majorEastAsia" w:hAnsiTheme="majorHAnsi" w:cstheme="majorBidi"/>
                <w:b/>
                <w:sz w:val="20"/>
              </w:rPr>
            </w:pPr>
            <w:r w:rsidRPr="00160290">
              <w:t>$297,359 NPV</w:t>
            </w:r>
            <w:r w:rsidR="00151043">
              <w:t xml:space="preserve"> (10 years)</w:t>
            </w:r>
          </w:p>
        </w:tc>
        <w:tc>
          <w:tcPr>
            <w:tcW w:w="3543" w:type="dxa"/>
          </w:tcPr>
          <w:p w:rsidR="00F71F1A" w:rsidRDefault="003A7FBC">
            <w:pPr>
              <w:pStyle w:val="Tabletext"/>
              <w:rPr>
                <w:rFonts w:asciiTheme="majorHAnsi" w:eastAsiaTheme="majorEastAsia" w:hAnsiTheme="majorHAnsi" w:cstheme="majorBidi"/>
                <w:b/>
                <w:sz w:val="20"/>
              </w:rPr>
            </w:pPr>
            <w:r w:rsidRPr="00160290">
              <w:t xml:space="preserve">Benefits outweigh costs if the information leads to </w:t>
            </w:r>
            <w:r w:rsidR="0058158E">
              <w:t xml:space="preserve">an </w:t>
            </w:r>
            <w:r w:rsidR="00151043">
              <w:t xml:space="preserve">average of </w:t>
            </w:r>
            <w:r w:rsidRPr="00160290">
              <w:t>4</w:t>
            </w:r>
            <w:r w:rsidR="00151043">
              <w:t>.5</w:t>
            </w:r>
            <w:r w:rsidRPr="00160290">
              <w:t xml:space="preserve"> unsuitable practitioners being registered each year</w:t>
            </w:r>
          </w:p>
        </w:tc>
      </w:tr>
    </w:tbl>
    <w:p w:rsidR="00BD1691" w:rsidRDefault="00BD1691" w:rsidP="003A7FBC">
      <w:pPr>
        <w:rPr>
          <w:bCs/>
        </w:rPr>
      </w:pPr>
    </w:p>
    <w:p w:rsidR="002129C8" w:rsidRPr="00160290" w:rsidRDefault="003A7FBC" w:rsidP="002424BD">
      <w:r w:rsidRPr="00160290">
        <w:t>The department</w:t>
      </w:r>
      <w:r w:rsidR="00151043">
        <w:t xml:space="preserve"> considers </w:t>
      </w:r>
      <w:r w:rsidRPr="00160290">
        <w:t xml:space="preserve">all three options would </w:t>
      </w:r>
      <w:r w:rsidR="00703FD9" w:rsidRPr="00160290">
        <w:t xml:space="preserve">probably </w:t>
      </w:r>
      <w:r w:rsidRPr="00160290">
        <w:t>achieve their break-even points, as it understands the information collected on character has been relied on in refusing registration to far more applicants than these break-even points.</w:t>
      </w:r>
    </w:p>
    <w:p w:rsidR="00CF3B74" w:rsidRPr="00CF3B74" w:rsidRDefault="003A7FBC" w:rsidP="00CF3B74">
      <w:pPr>
        <w:rPr>
          <w:bCs/>
        </w:rPr>
      </w:pPr>
      <w:r w:rsidRPr="00CF3B74">
        <w:rPr>
          <w:bCs/>
        </w:rPr>
        <w:t xml:space="preserve">The status quo is preferred. While </w:t>
      </w:r>
      <w:r w:rsidR="00160290" w:rsidRPr="00CF3B74">
        <w:rPr>
          <w:bCs/>
        </w:rPr>
        <w:t>O</w:t>
      </w:r>
      <w:r w:rsidRPr="00CF3B74">
        <w:rPr>
          <w:bCs/>
        </w:rPr>
        <w:t xml:space="preserve">ption 2.1 has a lower cost, the lower break-even point is minor and the department considers it does not justify the reduced information that will be available to </w:t>
      </w:r>
      <w:r w:rsidR="000E2924">
        <w:rPr>
          <w:bCs/>
        </w:rPr>
        <w:t>VBA</w:t>
      </w:r>
      <w:r w:rsidRPr="00CF3B74">
        <w:rPr>
          <w:bCs/>
        </w:rPr>
        <w:t xml:space="preserve">. Conversely, the additional cost for </w:t>
      </w:r>
      <w:r w:rsidR="00160290" w:rsidRPr="00CF3B74">
        <w:rPr>
          <w:bCs/>
        </w:rPr>
        <w:t>O</w:t>
      </w:r>
      <w:r w:rsidRPr="00CF3B74">
        <w:rPr>
          <w:bCs/>
        </w:rPr>
        <w:t xml:space="preserve">ption 2.2 is more significant and, because it is not known whether the additional information requested will itself lead to more unsuitable practitioners not being registered, the department </w:t>
      </w:r>
      <w:r w:rsidR="001A6162" w:rsidRPr="00CF3B74">
        <w:rPr>
          <w:bCs/>
        </w:rPr>
        <w:t>considers</w:t>
      </w:r>
      <w:r w:rsidRPr="00CF3B74">
        <w:rPr>
          <w:bCs/>
        </w:rPr>
        <w:t xml:space="preserve"> is not justified based on the very small amount of information that will be available.</w:t>
      </w:r>
    </w:p>
    <w:p w:rsidR="003A7FBC" w:rsidRDefault="008D3250" w:rsidP="00357F56">
      <w:pPr>
        <w:pStyle w:val="Heading2"/>
      </w:pPr>
      <w:bookmarkStart w:id="51" w:name="_Toc481502197"/>
      <w:r>
        <w:t>C3.4</w:t>
      </w:r>
      <w:r>
        <w:tab/>
      </w:r>
      <w:r w:rsidR="003A7FBC" w:rsidRPr="00160290">
        <w:t xml:space="preserve">Professional </w:t>
      </w:r>
      <w:r w:rsidR="00160290">
        <w:t>s</w:t>
      </w:r>
      <w:r w:rsidR="003A7FBC" w:rsidRPr="00160290">
        <w:t>tandards</w:t>
      </w:r>
      <w:bookmarkEnd w:id="51"/>
    </w:p>
    <w:p w:rsidR="00F71F1A" w:rsidRDefault="00D3125B" w:rsidP="008D3250">
      <w:pPr>
        <w:pStyle w:val="Heading3"/>
      </w:pPr>
      <w:bookmarkStart w:id="52" w:name="_Toc481502198"/>
      <w:r w:rsidRPr="00D3125B">
        <w:t xml:space="preserve">Option 3 – Remake </w:t>
      </w:r>
      <w:r w:rsidR="00381EF5">
        <w:t>reg</w:t>
      </w:r>
      <w:r w:rsidRPr="00D3125B">
        <w:t>1502</w:t>
      </w:r>
      <w:bookmarkEnd w:id="52"/>
    </w:p>
    <w:p w:rsidR="00F71F1A" w:rsidRDefault="00CF3B74" w:rsidP="008D3250">
      <w:pPr>
        <w:pStyle w:val="Heading3"/>
      </w:pPr>
      <w:bookmarkStart w:id="53" w:name="_Toc481502199"/>
      <w:r>
        <w:t xml:space="preserve">Option </w:t>
      </w:r>
      <w:r w:rsidRPr="00FA2F8A">
        <w:t>3.1</w:t>
      </w:r>
      <w:r>
        <w:t xml:space="preserve"> – </w:t>
      </w:r>
      <w:r w:rsidRPr="00FA2F8A">
        <w:t xml:space="preserve">Remake only </w:t>
      </w:r>
      <w:proofErr w:type="spellStart"/>
      <w:r w:rsidRPr="00FA2F8A">
        <w:t>pt</w:t>
      </w:r>
      <w:proofErr w:type="spellEnd"/>
      <w:r w:rsidRPr="00FA2F8A">
        <w:t xml:space="preserve"> (a) of </w:t>
      </w:r>
      <w:r w:rsidR="00381EF5">
        <w:t>reg</w:t>
      </w:r>
      <w:r w:rsidRPr="00FA2F8A">
        <w:t>1502</w:t>
      </w:r>
      <w:bookmarkEnd w:id="53"/>
    </w:p>
    <w:p w:rsidR="003A7FBC" w:rsidRPr="00160290" w:rsidRDefault="000254D8" w:rsidP="002424BD">
      <w:pPr>
        <w:rPr>
          <w:bCs/>
        </w:rPr>
      </w:pPr>
      <w:r>
        <w:t>S 2</w:t>
      </w:r>
      <w:r w:rsidR="003A7FBC" w:rsidRPr="00160290">
        <w:t xml:space="preserve">61(1)(j) allows the </w:t>
      </w:r>
      <w:r w:rsidR="00160290">
        <w:t>R</w:t>
      </w:r>
      <w:r w:rsidR="003A7FBC" w:rsidRPr="00160290">
        <w:t>egulations to prescribe the professional standards to be observed by registered building practitioners in the different categories or classes. Standards are relevant for matters such as disciplinary action (</w:t>
      </w:r>
      <w:r>
        <w:t>s 1</w:t>
      </w:r>
      <w:r w:rsidR="003A7FBC" w:rsidRPr="00160290">
        <w:t>79).</w:t>
      </w:r>
    </w:p>
    <w:p w:rsidR="003A7FBC" w:rsidRPr="00160290" w:rsidRDefault="003A7FBC" w:rsidP="002424BD">
      <w:pPr>
        <w:pStyle w:val="Normalpre-dotpoint"/>
      </w:pPr>
      <w:r w:rsidRPr="00160290">
        <w:t xml:space="preserve">Current </w:t>
      </w:r>
      <w:r w:rsidR="00381EF5">
        <w:t>reg</w:t>
      </w:r>
      <w:r w:rsidRPr="00160290">
        <w:t xml:space="preserve">1502 sets out basic standards of behaviour that can be expected of all registered building practitioners. Option 3 would remake this </w:t>
      </w:r>
      <w:r w:rsidR="00160290">
        <w:t>R</w:t>
      </w:r>
      <w:r w:rsidRPr="00160290">
        <w:t>egulation, which requires that a registered building practitioner must:</w:t>
      </w:r>
    </w:p>
    <w:p w:rsidR="002129C8" w:rsidRPr="00160290" w:rsidRDefault="002424BD" w:rsidP="00757E56">
      <w:pPr>
        <w:pStyle w:val="Normalpre-dotpoint"/>
        <w:ind w:left="567" w:hanging="567"/>
      </w:pPr>
      <w:r w:rsidRPr="00160290">
        <w:t>a)</w:t>
      </w:r>
      <w:r w:rsidRPr="00160290">
        <w:tab/>
      </w:r>
      <w:r w:rsidR="003A7FBC" w:rsidRPr="00160290">
        <w:t>perform his or her work as a building practitioner in a competent manner and to a professional standard; and</w:t>
      </w:r>
    </w:p>
    <w:p w:rsidR="002129C8" w:rsidRPr="00160290" w:rsidRDefault="002424BD" w:rsidP="00757E56">
      <w:pPr>
        <w:pStyle w:val="Normalpre-dotpoint"/>
        <w:ind w:left="567" w:hanging="567"/>
      </w:pPr>
      <w:r w:rsidRPr="00160290">
        <w:t>b)</w:t>
      </w:r>
      <w:r w:rsidRPr="00160290">
        <w:tab/>
      </w:r>
      <w:r w:rsidR="003A7FBC" w:rsidRPr="00160290">
        <w:t>immediately inform the client in writing if a conflict of interest arises or appears likely to arise between his or her interest as a building practitioner and that of his or her client; and</w:t>
      </w:r>
    </w:p>
    <w:p w:rsidR="002129C8" w:rsidRPr="00160290" w:rsidRDefault="002424BD" w:rsidP="00757E56">
      <w:pPr>
        <w:ind w:left="567" w:hanging="567"/>
      </w:pPr>
      <w:r w:rsidRPr="00160290">
        <w:t>c)</w:t>
      </w:r>
      <w:r w:rsidRPr="00160290">
        <w:tab/>
      </w:r>
      <w:r w:rsidR="003A7FBC" w:rsidRPr="00160290">
        <w:t>receive remuneration for his or her services as a building practitioner solely by the professional fee or other benefits specified in the contract of engagement or by the salary and other benefits payable by the building practitioner's employer.</w:t>
      </w:r>
    </w:p>
    <w:p w:rsidR="002129C8" w:rsidRPr="00160290" w:rsidRDefault="003A7FBC" w:rsidP="00282301">
      <w:r w:rsidRPr="00160290">
        <w:t>These standards have been in place since 1994.</w:t>
      </w:r>
    </w:p>
    <w:p w:rsidR="002129C8" w:rsidRPr="00160290" w:rsidRDefault="003A7FBC" w:rsidP="00282301">
      <w:r w:rsidRPr="00160290">
        <w:t xml:space="preserve">No formal evaluation of the impacts of </w:t>
      </w:r>
      <w:r w:rsidR="00381EF5">
        <w:t>reg</w:t>
      </w:r>
      <w:r w:rsidRPr="00160290">
        <w:t xml:space="preserve">1502 has been undertaken, </w:t>
      </w:r>
      <w:r w:rsidR="00151043">
        <w:t xml:space="preserve">but </w:t>
      </w:r>
      <w:r w:rsidR="000E2924">
        <w:t>VBA</w:t>
      </w:r>
      <w:r w:rsidRPr="00160290">
        <w:t xml:space="preserve"> advises data on disciplinary action indicates that standard (a) is used, while the others</w:t>
      </w:r>
      <w:r w:rsidR="00151043">
        <w:t xml:space="preserve"> </w:t>
      </w:r>
      <w:r w:rsidRPr="00160290">
        <w:t>are not.</w:t>
      </w:r>
    </w:p>
    <w:p w:rsidR="003A7FBC" w:rsidRPr="00160290" w:rsidRDefault="003A7FBC" w:rsidP="00282301">
      <w:r w:rsidRPr="00160290">
        <w:lastRenderedPageBreak/>
        <w:t xml:space="preserve">A preliminary reading of the register reveals that </w:t>
      </w:r>
      <w:r w:rsidR="00381EF5">
        <w:t>reg</w:t>
      </w:r>
      <w:r w:rsidRPr="00160290">
        <w:t xml:space="preserve">1502 is often used as a basis for disciplinary action. In particular, </w:t>
      </w:r>
      <w:r w:rsidR="00381EF5">
        <w:t>reg</w:t>
      </w:r>
      <w:r w:rsidRPr="00160290">
        <w:t xml:space="preserve">1502(a) (competent manner and to a professional standard) is often referenced whereas </w:t>
      </w:r>
      <w:r w:rsidR="00381EF5">
        <w:t>reg</w:t>
      </w:r>
      <w:r w:rsidRPr="00160290">
        <w:t xml:space="preserve">1502(b) (notification of conflict of interest) is referred to only once. </w:t>
      </w:r>
      <w:proofErr w:type="spellStart"/>
      <w:r w:rsidR="00381EF5">
        <w:t>Reg</w:t>
      </w:r>
      <w:proofErr w:type="spellEnd"/>
      <w:r w:rsidR="00381EF5">
        <w:t xml:space="preserve"> </w:t>
      </w:r>
      <w:r w:rsidRPr="00160290">
        <w:t xml:space="preserve">1502(c) (remuneration other than through fees for services) is not mentioned at all. Most of the misconduct relating to payments involves the builder demanding more or earlier payments. </w:t>
      </w:r>
      <w:proofErr w:type="spellStart"/>
      <w:r w:rsidR="00151043">
        <w:t>R</w:t>
      </w:r>
      <w:r w:rsidR="00381EF5">
        <w:t>eg</w:t>
      </w:r>
      <w:proofErr w:type="spellEnd"/>
      <w:r w:rsidRPr="00160290">
        <w:t xml:space="preserve"> 1502(a) has been used to capture a wide variety of misconduct relating to technical competency (</w:t>
      </w:r>
      <w:r w:rsidR="00703FD9" w:rsidRPr="00160290">
        <w:t>for example</w:t>
      </w:r>
      <w:r w:rsidR="00151043">
        <w:t>,</w:t>
      </w:r>
      <w:r w:rsidRPr="00160290">
        <w:t xml:space="preserve"> ensuring that work is not defective), procedural requirements (</w:t>
      </w:r>
      <w:r w:rsidR="00703FD9" w:rsidRPr="00160290">
        <w:t>for example</w:t>
      </w:r>
      <w:r w:rsidR="00151043">
        <w:t>,</w:t>
      </w:r>
      <w:r w:rsidRPr="00160290">
        <w:t xml:space="preserve"> failing to issue a building permit)</w:t>
      </w:r>
      <w:r w:rsidR="00151043">
        <w:t xml:space="preserve"> and</w:t>
      </w:r>
      <w:r w:rsidR="004028EE">
        <w:t xml:space="preserve"> </w:t>
      </w:r>
      <w:r w:rsidRPr="00160290">
        <w:t>business conduct (</w:t>
      </w:r>
      <w:r w:rsidR="00703FD9" w:rsidRPr="00160290">
        <w:t>for example</w:t>
      </w:r>
      <w:r w:rsidR="00151043">
        <w:t>,</w:t>
      </w:r>
      <w:r w:rsidRPr="00160290">
        <w:t xml:space="preserve"> delays in communicating with clients).</w:t>
      </w:r>
    </w:p>
    <w:p w:rsidR="003A7FBC" w:rsidRDefault="003A7FBC" w:rsidP="00282301">
      <w:r w:rsidRPr="00160290">
        <w:t xml:space="preserve">It is not apparent that </w:t>
      </w:r>
      <w:r w:rsidR="00381EF5">
        <w:t>reg</w:t>
      </w:r>
      <w:r w:rsidRPr="00160290">
        <w:t xml:space="preserve">1502 genuinely introduces any new obligations or consequences for a practitioner, as other provisions in the Act could be used to achieve the same result. The Act provides mechanisms to suspend or cancel the registration of a practitioner found to be incompetent. Disciplinary action can be taken under </w:t>
      </w:r>
      <w:r w:rsidR="000254D8">
        <w:t>s 1</w:t>
      </w:r>
      <w:r w:rsidRPr="00160290">
        <w:t xml:space="preserve">79 and can occur in relation to contraventions of the Act, unprofessional conduct, </w:t>
      </w:r>
      <w:r w:rsidR="00E92761">
        <w:t xml:space="preserve">a </w:t>
      </w:r>
      <w:r w:rsidRPr="00160290">
        <w:t xml:space="preserve">pattern of incompetence or negligence, or where </w:t>
      </w:r>
      <w:r w:rsidR="000E2924">
        <w:t>VBA</w:t>
      </w:r>
      <w:r w:rsidRPr="00160290">
        <w:t xml:space="preserve"> </w:t>
      </w:r>
      <w:r w:rsidR="00E92761">
        <w:t xml:space="preserve">considers </w:t>
      </w:r>
      <w:r w:rsidRPr="00160290">
        <w:t>the person is no longer fit to practi</w:t>
      </w:r>
      <w:r w:rsidR="0022498F">
        <w:t>s</w:t>
      </w:r>
      <w:r w:rsidRPr="00160290">
        <w:t xml:space="preserve">e. Unprofessional conduct under </w:t>
      </w:r>
      <w:r w:rsidR="000254D8">
        <w:t>s 1</w:t>
      </w:r>
      <w:r w:rsidRPr="00160290">
        <w:t>79 would include conduct that ‘falls short of, to a substantial degree, the standard of professional conduct observed or approved by members of the profession of good repute and competency’.</w:t>
      </w:r>
      <w:r w:rsidRPr="00160290">
        <w:rPr>
          <w:rStyle w:val="FootnoteReference"/>
          <w:rFonts w:cs="Times New Roman"/>
        </w:rPr>
        <w:footnoteReference w:id="36"/>
      </w:r>
      <w:r w:rsidRPr="00160290">
        <w:t xml:space="preserve"> However, </w:t>
      </w:r>
      <w:r w:rsidR="000E2924">
        <w:t>VBA</w:t>
      </w:r>
      <w:r w:rsidRPr="00160290">
        <w:t xml:space="preserve"> advises that it does in practice rely on this </w:t>
      </w:r>
      <w:r w:rsidR="00160290">
        <w:t>R</w:t>
      </w:r>
      <w:r w:rsidRPr="00160290">
        <w:t xml:space="preserve">egulation as an overall benchmark in undertaking </w:t>
      </w:r>
      <w:r w:rsidR="00E92761">
        <w:t xml:space="preserve">its </w:t>
      </w:r>
      <w:r w:rsidRPr="00160290">
        <w:t xml:space="preserve">assessment of practitioners, in particular linking a practitioner’s conduct to the legislative assessment of being </w:t>
      </w:r>
      <w:r w:rsidR="00E92761">
        <w:t xml:space="preserve">a </w:t>
      </w:r>
      <w:r w:rsidRPr="00160290">
        <w:t>fit and proper person to practi</w:t>
      </w:r>
      <w:r w:rsidR="00E92761">
        <w:t>s</w:t>
      </w:r>
      <w:r w:rsidRPr="00160290">
        <w:t xml:space="preserve">e. </w:t>
      </w:r>
      <w:r w:rsidR="000E2924">
        <w:t>VBA</w:t>
      </w:r>
      <w:r w:rsidRPr="00160290">
        <w:t xml:space="preserve"> use the requirement for professional conduct in the process </w:t>
      </w:r>
      <w:r w:rsidR="00E92761">
        <w:t xml:space="preserve">of </w:t>
      </w:r>
      <w:r w:rsidRPr="00160290">
        <w:t>assessing knowledge and experience</w:t>
      </w:r>
      <w:r w:rsidR="00204BEB">
        <w:t xml:space="preserve">: </w:t>
      </w:r>
      <w:r w:rsidRPr="00160290">
        <w:t>to determine if it is satisfied that an applicant has demonstrated sufficient knowledge and experience to perform the functions of the registered practitioner in a competent manner and to a professional standard.</w:t>
      </w:r>
    </w:p>
    <w:p w:rsidR="002129C8" w:rsidRPr="00160290" w:rsidRDefault="003A7FBC" w:rsidP="00282301">
      <w:r w:rsidRPr="00160290">
        <w:t>Generally, standard (a) (as it relates to disciplinary action) is used where other breaches may already be relevant (</w:t>
      </w:r>
      <w:r w:rsidR="00204BEB">
        <w:t>for example</w:t>
      </w:r>
      <w:r w:rsidRPr="00160290">
        <w:t>, failing to issue a building permit</w:t>
      </w:r>
      <w:r w:rsidR="00204BEB">
        <w:t xml:space="preserve"> or </w:t>
      </w:r>
      <w:r w:rsidRPr="00160290">
        <w:t xml:space="preserve">technical competency </w:t>
      </w:r>
      <w:r w:rsidR="00204BEB">
        <w:t xml:space="preserve">in terms of </w:t>
      </w:r>
      <w:r w:rsidRPr="00160290">
        <w:t>defective work) as well as business conduct.</w:t>
      </w:r>
    </w:p>
    <w:p w:rsidR="003A7FBC" w:rsidRPr="00160290" w:rsidRDefault="003A7FBC" w:rsidP="00282301">
      <w:r w:rsidRPr="00160290">
        <w:t xml:space="preserve">A sample of practitioners was asked about their understanding of their obligations arising from </w:t>
      </w:r>
      <w:r w:rsidR="00381EF5">
        <w:t>reg</w:t>
      </w:r>
      <w:r w:rsidRPr="00160290">
        <w:t xml:space="preserve">1502. No practitioners could describe any precise obligations that arise from </w:t>
      </w:r>
      <w:r w:rsidR="00381EF5">
        <w:t>reg</w:t>
      </w:r>
      <w:r w:rsidRPr="00160290">
        <w:t xml:space="preserve">1502(a), and no practitioners considered the </w:t>
      </w:r>
      <w:r w:rsidR="00160290">
        <w:t>R</w:t>
      </w:r>
      <w:r w:rsidRPr="00160290">
        <w:t>egulation changes their behaviour beyond what is already required.</w:t>
      </w:r>
    </w:p>
    <w:p w:rsidR="003A7FBC" w:rsidRPr="00160290" w:rsidRDefault="003A7FBC" w:rsidP="00282301">
      <w:r w:rsidRPr="00160290">
        <w:t xml:space="preserve">The current form of the </w:t>
      </w:r>
      <w:r w:rsidR="00160290">
        <w:t>R</w:t>
      </w:r>
      <w:r w:rsidRPr="00160290">
        <w:t>egulation has been in place since 1994</w:t>
      </w:r>
      <w:r w:rsidR="00204BEB">
        <w:t>. T</w:t>
      </w:r>
      <w:r w:rsidRPr="00160290">
        <w:t>o the extent that it originally was a meaningful signal of the expectations of practitioners, such behaviour is likely to have now become part of normal behaviour.</w:t>
      </w:r>
    </w:p>
    <w:p w:rsidR="003A7FBC" w:rsidRPr="00160290" w:rsidRDefault="003A7FBC" w:rsidP="00282301">
      <w:r w:rsidRPr="00160290">
        <w:t xml:space="preserve">It therefore appears that </w:t>
      </w:r>
      <w:r w:rsidR="00381EF5">
        <w:t>reg</w:t>
      </w:r>
      <w:r w:rsidRPr="00160290">
        <w:t xml:space="preserve">1502 imposes no additional costs on practitioners, but it remains necessary as it clearly establishes the professional standards to which a building practitioner must adhere. Contravention of this standard provides a basis for disciplinary action. It is important to note that </w:t>
      </w:r>
      <w:r w:rsidR="00381EF5">
        <w:t>reg</w:t>
      </w:r>
      <w:r w:rsidRPr="00160290">
        <w:t>1502 is not needed in relation to a consumer’s right for remedy should a consumer suffer harm from dealings with an unprofessional practitioner.</w:t>
      </w:r>
    </w:p>
    <w:p w:rsidR="003A7FBC" w:rsidRPr="00160290" w:rsidRDefault="003A7FBC" w:rsidP="00282301">
      <w:r w:rsidRPr="00160290">
        <w:t xml:space="preserve">On this basis, there is effectively no material cost or benefit of remaking </w:t>
      </w:r>
      <w:r w:rsidR="00381EF5">
        <w:t>reg</w:t>
      </w:r>
      <w:r w:rsidRPr="00160290">
        <w:t xml:space="preserve">1502 in its current form. Similarly, there is no material difference should the </w:t>
      </w:r>
      <w:r w:rsidR="00160290">
        <w:t>R</w:t>
      </w:r>
      <w:r w:rsidRPr="00160290">
        <w:t xml:space="preserve">egulation be reduced to include only </w:t>
      </w:r>
      <w:proofErr w:type="spellStart"/>
      <w:r w:rsidR="000E2924">
        <w:t>pt</w:t>
      </w:r>
      <w:proofErr w:type="spellEnd"/>
      <w:r w:rsidRPr="00160290">
        <w:t xml:space="preserve">(a) (Option 3.1), or whether the </w:t>
      </w:r>
      <w:r w:rsidR="00160290">
        <w:t>R</w:t>
      </w:r>
      <w:r w:rsidRPr="00160290">
        <w:t xml:space="preserve">egulation remains in its current form with </w:t>
      </w:r>
      <w:r w:rsidR="000E2924">
        <w:t>VBA</w:t>
      </w:r>
      <w:r w:rsidRPr="00160290">
        <w:t xml:space="preserve"> issuing guidance notes </w:t>
      </w:r>
      <w:r w:rsidR="00204BEB">
        <w:t xml:space="preserve">about </w:t>
      </w:r>
      <w:r w:rsidRPr="00160290">
        <w:t>how it will be interpreted and applied.</w:t>
      </w:r>
    </w:p>
    <w:p w:rsidR="00011DF3" w:rsidRDefault="00011DF3">
      <w:pPr>
        <w:spacing w:after="0"/>
      </w:pPr>
      <w:r>
        <w:br w:type="page"/>
      </w:r>
    </w:p>
    <w:p w:rsidR="003A7FBC" w:rsidRPr="00160290" w:rsidRDefault="003A7FBC" w:rsidP="00282301">
      <w:r w:rsidRPr="00160290">
        <w:lastRenderedPageBreak/>
        <w:t xml:space="preserve">The department has identified an option to strengthen the </w:t>
      </w:r>
      <w:r w:rsidR="00160290">
        <w:t>R</w:t>
      </w:r>
      <w:r w:rsidRPr="00160290">
        <w:t>egulation by including more specific information</w:t>
      </w:r>
      <w:r w:rsidR="00204BEB">
        <w:t xml:space="preserve"> about </w:t>
      </w:r>
      <w:r w:rsidRPr="00160290">
        <w:t>what constitutes professional conduct</w:t>
      </w:r>
      <w:r w:rsidR="00204BEB">
        <w:t xml:space="preserve">, </w:t>
      </w:r>
      <w:r w:rsidRPr="00160290">
        <w:t xml:space="preserve">either within the </w:t>
      </w:r>
      <w:r w:rsidR="00160290">
        <w:t>R</w:t>
      </w:r>
      <w:r w:rsidRPr="00160290">
        <w:t xml:space="preserve">egulations or by incorporation of other documents. While one such specific standard has been suggested </w:t>
      </w:r>
      <w:r w:rsidR="00204BEB">
        <w:t xml:space="preserve">– </w:t>
      </w:r>
      <w:r w:rsidRPr="00160290">
        <w:t xml:space="preserve">requiring </w:t>
      </w:r>
      <w:r w:rsidR="00BC1922">
        <w:t>d</w:t>
      </w:r>
      <w:r w:rsidRPr="00160290">
        <w:t xml:space="preserve">omestic </w:t>
      </w:r>
      <w:r w:rsidR="00BC1922">
        <w:t>b</w:t>
      </w:r>
      <w:r w:rsidRPr="00160290">
        <w:t>uilder (</w:t>
      </w:r>
      <w:r w:rsidR="00BC1922">
        <w:t>m</w:t>
      </w:r>
      <w:r w:rsidRPr="00160290">
        <w:t>anager) to only hire registered building practitioners</w:t>
      </w:r>
      <w:r w:rsidR="00204BEB">
        <w:t xml:space="preserve"> – </w:t>
      </w:r>
      <w:r w:rsidRPr="00160290">
        <w:t xml:space="preserve">it is still unclear whether describing standards in more detail would change behaviours and introduce new obligations, or remain only as a means to establish grounds for disciplinary action. The </w:t>
      </w:r>
      <w:r w:rsidR="00BE6DEA" w:rsidRPr="00160290">
        <w:t>department</w:t>
      </w:r>
      <w:r w:rsidRPr="00160290">
        <w:t xml:space="preserve"> has not pursued this option, although it is an area the department will monitor as part of the evaluation process, to determine if sufficient evidence emerges to warrant revisiting this </w:t>
      </w:r>
      <w:r w:rsidR="00204BEB">
        <w:t>topic.</w:t>
      </w:r>
    </w:p>
    <w:p w:rsidR="003A7FBC" w:rsidRDefault="003A7FBC" w:rsidP="00282301">
      <w:pPr>
        <w:rPr>
          <w:bCs/>
        </w:rPr>
      </w:pPr>
      <w:r w:rsidRPr="00160290">
        <w:rPr>
          <w:bCs/>
        </w:rPr>
        <w:t>The</w:t>
      </w:r>
      <w:r w:rsidRPr="00160290">
        <w:rPr>
          <w:b/>
          <w:bCs/>
          <w:u w:val="single"/>
        </w:rPr>
        <w:t xml:space="preserve"> </w:t>
      </w:r>
      <w:r w:rsidRPr="00160290">
        <w:rPr>
          <w:bCs/>
        </w:rPr>
        <w:t xml:space="preserve">base case must now also recognise </w:t>
      </w:r>
      <w:proofErr w:type="spellStart"/>
      <w:r w:rsidRPr="00160290">
        <w:rPr>
          <w:bCs/>
        </w:rPr>
        <w:t xml:space="preserve">new </w:t>
      </w:r>
      <w:r w:rsidR="000254D8">
        <w:rPr>
          <w:bCs/>
        </w:rPr>
        <w:t>s</w:t>
      </w:r>
      <w:proofErr w:type="spellEnd"/>
      <w:r w:rsidR="000254D8">
        <w:rPr>
          <w:bCs/>
        </w:rPr>
        <w:t xml:space="preserve"> 1</w:t>
      </w:r>
      <w:r w:rsidRPr="00160290">
        <w:rPr>
          <w:bCs/>
        </w:rPr>
        <w:t>77 of the Act (</w:t>
      </w:r>
      <w:r w:rsidR="00204BEB">
        <w:rPr>
          <w:bCs/>
        </w:rPr>
        <w:t xml:space="preserve">which </w:t>
      </w:r>
      <w:r w:rsidRPr="00160290">
        <w:rPr>
          <w:bCs/>
        </w:rPr>
        <w:t xml:space="preserve">commenced </w:t>
      </w:r>
      <w:r w:rsidR="00204BEB">
        <w:rPr>
          <w:bCs/>
        </w:rPr>
        <w:t xml:space="preserve">on </w:t>
      </w:r>
      <w:r w:rsidRPr="00160290">
        <w:rPr>
          <w:bCs/>
        </w:rPr>
        <w:t xml:space="preserve">1 September 2016), which provides that </w:t>
      </w:r>
      <w:r w:rsidR="000E2924">
        <w:rPr>
          <w:bCs/>
        </w:rPr>
        <w:t>VBA</w:t>
      </w:r>
      <w:r w:rsidRPr="00160290">
        <w:t xml:space="preserve"> may approve</w:t>
      </w:r>
      <w:r w:rsidR="004028EE">
        <w:t xml:space="preserve"> </w:t>
      </w:r>
      <w:r w:rsidRPr="00160290">
        <w:t>code</w:t>
      </w:r>
      <w:r w:rsidR="00CF3B74">
        <w:t>s</w:t>
      </w:r>
      <w:r w:rsidRPr="00160290">
        <w:t xml:space="preserve"> of </w:t>
      </w:r>
      <w:hyperlink r:id="rId32" w:anchor="conduct" w:history="1">
        <w:r w:rsidRPr="00160290">
          <w:t>conduct</w:t>
        </w:r>
      </w:hyperlink>
      <w:r w:rsidRPr="00160290">
        <w:t xml:space="preserve"> for </w:t>
      </w:r>
      <w:hyperlink r:id="rId33" w:anchor="building" w:history="1">
        <w:r w:rsidRPr="00160290">
          <w:t>building</w:t>
        </w:r>
      </w:hyperlink>
      <w:r w:rsidRPr="00160290">
        <w:t xml:space="preserve"> practitioners and disciplinary action may be taken where a practitioner does not comply with </w:t>
      </w:r>
      <w:r w:rsidR="00692E00">
        <w:t>a</w:t>
      </w:r>
      <w:r w:rsidR="00692E00" w:rsidRPr="00160290">
        <w:t xml:space="preserve"> </w:t>
      </w:r>
      <w:r w:rsidRPr="00160290">
        <w:t xml:space="preserve">code. The Act sets out a process for preparing such a code. From a regulatory compliance perspective, a code of conduct may be a more appropriate mechanism to set out standards of behaviour in the long run. </w:t>
      </w:r>
      <w:r w:rsidRPr="00160290">
        <w:rPr>
          <w:bCs/>
        </w:rPr>
        <w:t xml:space="preserve">The department considers that, as the code of conduct regime has not been developed (and would take some time to develop), the </w:t>
      </w:r>
      <w:r w:rsidR="00160290">
        <w:rPr>
          <w:bCs/>
        </w:rPr>
        <w:t>R</w:t>
      </w:r>
      <w:r w:rsidRPr="00160290">
        <w:rPr>
          <w:bCs/>
        </w:rPr>
        <w:t>egulation should be re</w:t>
      </w:r>
      <w:r w:rsidR="00703FD9" w:rsidRPr="00160290">
        <w:rPr>
          <w:bCs/>
        </w:rPr>
        <w:t>made</w:t>
      </w:r>
      <w:r w:rsidRPr="00160290">
        <w:rPr>
          <w:bCs/>
        </w:rPr>
        <w:t xml:space="preserve"> in its current form.</w:t>
      </w:r>
    </w:p>
    <w:p w:rsidR="003A7FBC" w:rsidRPr="00160290" w:rsidRDefault="008D3250" w:rsidP="00357F56">
      <w:pPr>
        <w:pStyle w:val="Heading2"/>
      </w:pPr>
      <w:bookmarkStart w:id="54" w:name="_Toc481502200"/>
      <w:r>
        <w:t>C3.5</w:t>
      </w:r>
      <w:r>
        <w:tab/>
      </w:r>
      <w:r w:rsidR="003A7FBC" w:rsidRPr="00160290">
        <w:t>Period during which a private building surveyor cannot act</w:t>
      </w:r>
      <w:bookmarkEnd w:id="54"/>
    </w:p>
    <w:p w:rsidR="002129C8" w:rsidRPr="00160290" w:rsidRDefault="003A7FBC" w:rsidP="00282301">
      <w:pPr>
        <w:pStyle w:val="Normalpre-dotpoint"/>
      </w:pPr>
      <w:r w:rsidRPr="00160290">
        <w:t xml:space="preserve">Under the Act, a </w:t>
      </w:r>
      <w:r w:rsidR="00010CE1">
        <w:t>PBS</w:t>
      </w:r>
      <w:r w:rsidRPr="00160290">
        <w:t xml:space="preserve"> may be appointed to carry out all or any of the following functions:</w:t>
      </w:r>
    </w:p>
    <w:p w:rsidR="002129C8" w:rsidRPr="00160290" w:rsidRDefault="00282301" w:rsidP="00282301">
      <w:pPr>
        <w:pStyle w:val="Normalpre-dotpoint"/>
      </w:pPr>
      <w:r w:rsidRPr="00160290">
        <w:t>a)</w:t>
      </w:r>
      <w:r w:rsidRPr="00160290">
        <w:tab/>
      </w:r>
      <w:r w:rsidR="003A7FBC" w:rsidRPr="00160290">
        <w:t>the issuing of building permits</w:t>
      </w:r>
      <w:r w:rsidR="003A7FBC" w:rsidRPr="00160290">
        <w:rPr>
          <w:rStyle w:val="FootnoteReference"/>
        </w:rPr>
        <w:footnoteReference w:id="37"/>
      </w:r>
    </w:p>
    <w:p w:rsidR="003A7FBC" w:rsidRPr="00160290" w:rsidRDefault="00282301" w:rsidP="00282301">
      <w:pPr>
        <w:pStyle w:val="Normalpre-dotpoint"/>
      </w:pPr>
      <w:r w:rsidRPr="00160290">
        <w:t>b)</w:t>
      </w:r>
      <w:r w:rsidRPr="00160290">
        <w:tab/>
      </w:r>
      <w:r w:rsidR="003A7FBC" w:rsidRPr="00160290">
        <w:t>the carrying</w:t>
      </w:r>
      <w:r w:rsidR="00355370">
        <w:t>-</w:t>
      </w:r>
      <w:r w:rsidR="003A7FBC" w:rsidRPr="00160290">
        <w:t xml:space="preserve">out of inspections of buildings and building work under </w:t>
      </w:r>
      <w:proofErr w:type="spellStart"/>
      <w:r w:rsidR="0062727D">
        <w:t>pt</w:t>
      </w:r>
      <w:proofErr w:type="spellEnd"/>
      <w:r w:rsidR="003A7FBC" w:rsidRPr="00160290">
        <w:t xml:space="preserve"> 4</w:t>
      </w:r>
    </w:p>
    <w:p w:rsidR="002129C8" w:rsidRPr="00160290" w:rsidRDefault="00282301" w:rsidP="00282301">
      <w:r w:rsidRPr="00160290">
        <w:t>c)</w:t>
      </w:r>
      <w:r w:rsidRPr="00160290">
        <w:tab/>
      </w:r>
      <w:r w:rsidR="003A7FBC" w:rsidRPr="00160290">
        <w:t xml:space="preserve">the issuing of occupancy permits and temporary approvals under </w:t>
      </w:r>
      <w:proofErr w:type="spellStart"/>
      <w:r w:rsidR="0062727D">
        <w:t>pt</w:t>
      </w:r>
      <w:proofErr w:type="spellEnd"/>
      <w:r w:rsidR="003A7FBC" w:rsidRPr="00160290">
        <w:t xml:space="preserve"> 5.</w:t>
      </w:r>
    </w:p>
    <w:p w:rsidR="003A7FBC" w:rsidRPr="00160290" w:rsidRDefault="000E2924" w:rsidP="00282301">
      <w:r>
        <w:t>S</w:t>
      </w:r>
      <w:r w:rsidR="003A7FBC" w:rsidRPr="00160290">
        <w:t xml:space="preserve"> 79 sets out the circumstance</w:t>
      </w:r>
      <w:r w:rsidR="00E06704">
        <w:t>s</w:t>
      </w:r>
      <w:r w:rsidR="003A7FBC" w:rsidRPr="00160290">
        <w:t xml:space="preserve"> in which a </w:t>
      </w:r>
      <w:r w:rsidR="00010CE1">
        <w:t>PBS</w:t>
      </w:r>
      <w:r w:rsidR="003A7FBC" w:rsidRPr="00160290">
        <w:t xml:space="preserve"> must not act. These are where the building surveyor has a pecuniary interest in the building work or its design, where they were involved in the design of the building or work, and where they were previously employed or engaged by the entity that prepared the design for the building or works. This last</w:t>
      </w:r>
      <w:r w:rsidR="00E06704">
        <w:t xml:space="preserve"> circumstance </w:t>
      </w:r>
      <w:r w:rsidR="003A7FBC" w:rsidRPr="00160290">
        <w:t>only applies where the employment or engagement was within a period prescribed in the Regulations.</w:t>
      </w:r>
      <w:r>
        <w:t xml:space="preserve"> </w:t>
      </w:r>
    </w:p>
    <w:p w:rsidR="003A7FBC" w:rsidRPr="00160290" w:rsidRDefault="003A7FBC" w:rsidP="00282301">
      <w:r w:rsidRPr="00160290">
        <w:t>The objective of s</w:t>
      </w:r>
      <w:r w:rsidR="00E06704">
        <w:t xml:space="preserve"> </w:t>
      </w:r>
      <w:r w:rsidRPr="00160290">
        <w:t>79 is to prevent a building surveyor having a conflict between their own interests (such as a sense of fidelity or loyalty to a former employer) and their duty to a consumer. There is a risk that a consumer will not be adequately protected (</w:t>
      </w:r>
      <w:r w:rsidR="00E06704">
        <w:t>for example</w:t>
      </w:r>
      <w:r w:rsidRPr="00160290">
        <w:t xml:space="preserve">, </w:t>
      </w:r>
      <w:r w:rsidR="00E06704">
        <w:t xml:space="preserve">be </w:t>
      </w:r>
      <w:r w:rsidRPr="00160290">
        <w:t>informed about defects) where a building surveyor has such a conflict of interest.</w:t>
      </w:r>
    </w:p>
    <w:p w:rsidR="00F71F1A" w:rsidRDefault="003A7FBC">
      <w:pPr>
        <w:pStyle w:val="Heading4"/>
      </w:pPr>
      <w:bookmarkStart w:id="55" w:name="_Toc481502201"/>
      <w:r w:rsidRPr="00160290">
        <w:t>Base case</w:t>
      </w:r>
      <w:bookmarkEnd w:id="55"/>
    </w:p>
    <w:p w:rsidR="003A7FBC" w:rsidRPr="00160290" w:rsidRDefault="003A7FBC" w:rsidP="00282301">
      <w:r w:rsidRPr="00160290">
        <w:t xml:space="preserve">Current </w:t>
      </w:r>
      <w:r w:rsidR="00381EF5">
        <w:t>reg</w:t>
      </w:r>
      <w:r w:rsidRPr="00160290">
        <w:t xml:space="preserve">1504 sets the prescribed period at </w:t>
      </w:r>
      <w:r w:rsidR="00E06704">
        <w:t xml:space="preserve">one </w:t>
      </w:r>
      <w:r w:rsidRPr="00160290">
        <w:t xml:space="preserve">year. In the absence of this </w:t>
      </w:r>
      <w:r w:rsidR="00160290">
        <w:t>R</w:t>
      </w:r>
      <w:r w:rsidRPr="00160290">
        <w:t xml:space="preserve">egulation, </w:t>
      </w:r>
      <w:r w:rsidR="00E06704" w:rsidRPr="00160290">
        <w:t>s</w:t>
      </w:r>
      <w:r w:rsidR="00E06704">
        <w:t>.</w:t>
      </w:r>
      <w:r w:rsidRPr="00160290">
        <w:t xml:space="preserve">79(1) of the Act could not be used to prevent a person acting as building surveyor for a building works designed by their previous employer, even if that employment relationship existed immediately </w:t>
      </w:r>
      <w:r w:rsidR="00703FD9" w:rsidRPr="00160290">
        <w:t>before</w:t>
      </w:r>
      <w:r w:rsidRPr="00160290">
        <w:t xml:space="preserve"> the functions performed by the building surveyor. Remaking </w:t>
      </w:r>
      <w:r w:rsidR="00381EF5">
        <w:t>reg</w:t>
      </w:r>
      <w:r w:rsidRPr="00160290">
        <w:t>1504 is Option 4.</w:t>
      </w:r>
    </w:p>
    <w:p w:rsidR="003A7FBC" w:rsidRPr="00160290" w:rsidRDefault="003A7FBC" w:rsidP="00282301">
      <w:pPr>
        <w:rPr>
          <w:bCs/>
        </w:rPr>
      </w:pPr>
      <w:r w:rsidRPr="00160290">
        <w:t>This creates a risk of conflict of interest in the functions carried out by building surveyors.</w:t>
      </w:r>
      <w:r w:rsidR="00E06704">
        <w:t xml:space="preserve"> </w:t>
      </w:r>
      <w:r w:rsidRPr="00160290">
        <w:t>However, the Act still has controls to prevent such conflicts of interest arising. These include</w:t>
      </w:r>
      <w:r w:rsidR="00E06704">
        <w:t xml:space="preserve"> s </w:t>
      </w:r>
      <w:r w:rsidRPr="00160290">
        <w:t>79(1</w:t>
      </w:r>
      <w:r w:rsidR="0022498F">
        <w:t>A</w:t>
      </w:r>
      <w:r w:rsidRPr="00160290">
        <w:t>)</w:t>
      </w:r>
      <w:r w:rsidR="00E06704">
        <w:t xml:space="preserve">, which </w:t>
      </w:r>
      <w:r w:rsidRPr="00160290">
        <w:t xml:space="preserve">provides that a </w:t>
      </w:r>
      <w:r w:rsidR="00010CE1">
        <w:t>PBS</w:t>
      </w:r>
      <w:r w:rsidRPr="00160290">
        <w:t xml:space="preserve"> must not carry out any function as a </w:t>
      </w:r>
      <w:r w:rsidR="00010CE1">
        <w:t>PBS</w:t>
      </w:r>
      <w:r w:rsidRPr="00160290">
        <w:t xml:space="preserve"> in relation to which the </w:t>
      </w:r>
      <w:r w:rsidR="00010CE1">
        <w:t>PBS</w:t>
      </w:r>
      <w:r w:rsidRPr="00160290">
        <w:t xml:space="preserve"> or a related person has a conflict of interest.</w:t>
      </w:r>
      <w:r w:rsidR="00E06704">
        <w:t xml:space="preserve"> </w:t>
      </w:r>
      <w:r w:rsidRPr="00160290">
        <w:rPr>
          <w:bCs/>
        </w:rPr>
        <w:t>Disciplinary</w:t>
      </w:r>
      <w:r w:rsidRPr="00160290">
        <w:t xml:space="preserve"> action can be taken under </w:t>
      </w:r>
      <w:r w:rsidR="000254D8">
        <w:t>s 1</w:t>
      </w:r>
      <w:r w:rsidRPr="00160290">
        <w:t>79, including for unprofessional conduct of which acting under a conflict of interest would be an example.</w:t>
      </w:r>
    </w:p>
    <w:p w:rsidR="003A7FBC" w:rsidRPr="00160290" w:rsidRDefault="003A7FBC" w:rsidP="00282301">
      <w:r w:rsidRPr="00160290">
        <w:lastRenderedPageBreak/>
        <w:t>Thus, in the absence of prescribing a period to which previous employment would prevent a building surveyor from acting, the Act may nevertheless prevent the building surveyor from acting where to do so amounts to a conflict of interest (generally defined) or unprofessional conduct.</w:t>
      </w:r>
    </w:p>
    <w:p w:rsidR="003A7FBC" w:rsidRPr="00160290" w:rsidRDefault="003A7FBC" w:rsidP="00282301">
      <w:r w:rsidRPr="00160290">
        <w:t>S</w:t>
      </w:r>
      <w:r w:rsidR="00E06704">
        <w:t xml:space="preserve"> </w:t>
      </w:r>
      <w:r w:rsidRPr="00160290">
        <w:t>79(1</w:t>
      </w:r>
      <w:r w:rsidR="0022498F">
        <w:t>A</w:t>
      </w:r>
      <w:r w:rsidRPr="00160290">
        <w:t xml:space="preserve">) was only introduced in the 2016 amendments to the Act and as such now provides a general catch-all for conflicts of interest. This was introduced following </w:t>
      </w:r>
      <w:r w:rsidR="00E06704">
        <w:t xml:space="preserve">the </w:t>
      </w:r>
      <w:r w:rsidRPr="00160290">
        <w:t xml:space="preserve">2015 </w:t>
      </w:r>
      <w:r w:rsidR="006C108D">
        <w:t>VAGO</w:t>
      </w:r>
      <w:r w:rsidR="00E06704">
        <w:t xml:space="preserve"> </w:t>
      </w:r>
      <w:r w:rsidR="00D3125B" w:rsidRPr="00D3125B">
        <w:rPr>
          <w:i/>
        </w:rPr>
        <w:t>Victoria’s Consumer Protection Framework for Building Construction</w:t>
      </w:r>
      <w:r w:rsidR="00E06704">
        <w:t xml:space="preserve"> report</w:t>
      </w:r>
      <w:r w:rsidRPr="00160290">
        <w:t xml:space="preserve">, which found the framework had failed to manage a long-recognised conflict of interest for </w:t>
      </w:r>
      <w:r w:rsidR="00010CE1">
        <w:t>PBS</w:t>
      </w:r>
      <w:r w:rsidRPr="00160290">
        <w:t xml:space="preserve">s, and evidence of collusion and conflict of interest between builders and building surveyors. The new </w:t>
      </w:r>
      <w:r w:rsidR="000E2924">
        <w:t>s</w:t>
      </w:r>
      <w:r w:rsidR="00E06704">
        <w:t xml:space="preserve"> </w:t>
      </w:r>
      <w:r w:rsidRPr="00160290">
        <w:t>79(1</w:t>
      </w:r>
      <w:r w:rsidR="0022498F">
        <w:t>A</w:t>
      </w:r>
      <w:r w:rsidRPr="00160290">
        <w:t xml:space="preserve">) means that reliance on the period prescribed under </w:t>
      </w:r>
      <w:r w:rsidR="000E2924">
        <w:t>s</w:t>
      </w:r>
      <w:r w:rsidRPr="00160290">
        <w:t xml:space="preserve"> 79(1) is now much less important.</w:t>
      </w:r>
    </w:p>
    <w:p w:rsidR="003A7FBC" w:rsidRPr="00160290" w:rsidRDefault="003A7FBC" w:rsidP="00282301">
      <w:r w:rsidRPr="00160290">
        <w:t>There are also likely existing reputational incentives for a builder surveyor to avoid perceptions of conflict of interest, as well as some more</w:t>
      </w:r>
      <w:r w:rsidR="00E06704">
        <w:t>-</w:t>
      </w:r>
      <w:r w:rsidRPr="00160290">
        <w:t>astute customers actively ensuring conflicts of interest are avoided.</w:t>
      </w:r>
    </w:p>
    <w:p w:rsidR="002129C8" w:rsidRPr="00160290" w:rsidRDefault="003A7FBC" w:rsidP="00282301">
      <w:r w:rsidRPr="00160290">
        <w:t xml:space="preserve">Proving a case of conflict of interest related to previous employment is inherently subjective as there may be </w:t>
      </w:r>
      <w:r w:rsidR="00703FD9" w:rsidRPr="00160290">
        <w:t xml:space="preserve">several </w:t>
      </w:r>
      <w:r w:rsidRPr="00160290">
        <w:t>factors to be considered, only one of which is the time period since the employment relationship ended.</w:t>
      </w:r>
    </w:p>
    <w:p w:rsidR="003A7FBC" w:rsidRPr="00160290" w:rsidRDefault="003A7FBC" w:rsidP="00757E56">
      <w:r w:rsidRPr="00160290">
        <w:t xml:space="preserve">With the introduction of </w:t>
      </w:r>
      <w:r w:rsidR="000E2924">
        <w:t>s</w:t>
      </w:r>
      <w:r w:rsidRPr="00160290">
        <w:t xml:space="preserve"> 79(1</w:t>
      </w:r>
      <w:r w:rsidR="0022498F">
        <w:t>A</w:t>
      </w:r>
      <w:r w:rsidRPr="00160290">
        <w:t xml:space="preserve">), the prescribed period in relation to previous employment now only acts as an effective default minimum. It is a minimum because even if the employment occurs outside the period prescribed for </w:t>
      </w:r>
      <w:r w:rsidR="000E2924">
        <w:t>s</w:t>
      </w:r>
      <w:r w:rsidRPr="00160290">
        <w:t xml:space="preserve"> 79(1), a conflict of interest may still be considered to exist under </w:t>
      </w:r>
      <w:r w:rsidR="000E2924">
        <w:t>s</w:t>
      </w:r>
      <w:r w:rsidRPr="00160290">
        <w:t xml:space="preserve"> 79(1</w:t>
      </w:r>
      <w:r w:rsidR="0022498F">
        <w:t>A</w:t>
      </w:r>
      <w:r w:rsidRPr="00160290">
        <w:t xml:space="preserve">). It is a default, because a person may apply to be exempt from </w:t>
      </w:r>
      <w:r w:rsidR="000E2924">
        <w:t>s</w:t>
      </w:r>
      <w:r w:rsidRPr="00160290">
        <w:t xml:space="preserve"> 79 even where they may have previously employment within the prescribed period.</w:t>
      </w:r>
    </w:p>
    <w:p w:rsidR="003A7FBC" w:rsidRPr="00160290" w:rsidRDefault="003A7FBC" w:rsidP="00757E56">
      <w:r w:rsidRPr="00160290">
        <w:t xml:space="preserve">With the introduction of </w:t>
      </w:r>
      <w:r w:rsidR="000E2924">
        <w:t>s</w:t>
      </w:r>
      <w:r w:rsidRPr="00160290">
        <w:t xml:space="preserve"> 79(1</w:t>
      </w:r>
      <w:r w:rsidR="0022498F">
        <w:t>A</w:t>
      </w:r>
      <w:r w:rsidRPr="00160290">
        <w:t xml:space="preserve">), prescribing any period for the purpose of </w:t>
      </w:r>
      <w:r w:rsidR="000E2924">
        <w:t>s</w:t>
      </w:r>
      <w:r w:rsidRPr="00160290">
        <w:t xml:space="preserve"> 79(1) may </w:t>
      </w:r>
      <w:r w:rsidR="00703FD9" w:rsidRPr="00160290">
        <w:t xml:space="preserve">sometimes </w:t>
      </w:r>
      <w:r w:rsidRPr="00160290">
        <w:t xml:space="preserve">increase the risk of misinterpretation, for example if a building surveyor (wrongly) </w:t>
      </w:r>
      <w:r w:rsidR="001A6162">
        <w:t>considers</w:t>
      </w:r>
      <w:r w:rsidRPr="00160290">
        <w:t xml:space="preserve"> that once the prescribed period has elapsed there is no longer a question of conflict of interest. The </w:t>
      </w:r>
      <w:r w:rsidR="00BE6DEA" w:rsidRPr="00160290">
        <w:t>department</w:t>
      </w:r>
      <w:r w:rsidRPr="00160290">
        <w:t xml:space="preserve"> </w:t>
      </w:r>
      <w:r w:rsidR="00CF157F">
        <w:t>considers</w:t>
      </w:r>
      <w:r w:rsidRPr="00160290">
        <w:t xml:space="preserve"> however that this risk is low. Moreover, removal of any prescribed period (</w:t>
      </w:r>
      <w:r w:rsidR="00703FD9" w:rsidRPr="00160290">
        <w:t>that is</w:t>
      </w:r>
      <w:r w:rsidRPr="00160290">
        <w:t xml:space="preserve">, an intention to rely solely on </w:t>
      </w:r>
      <w:r w:rsidR="000E2924">
        <w:t>s</w:t>
      </w:r>
      <w:r w:rsidRPr="00160290">
        <w:t xml:space="preserve"> 79(1</w:t>
      </w:r>
      <w:r w:rsidR="0022498F">
        <w:t>A</w:t>
      </w:r>
      <w:r w:rsidRPr="00160290">
        <w:t>)) may cause some practitioners to (wrongly) believe there is no longer a restriction on providing services for work undertaken by a former employer.</w:t>
      </w:r>
    </w:p>
    <w:p w:rsidR="003A7FBC" w:rsidRPr="00160290" w:rsidRDefault="000254D8" w:rsidP="00757E56">
      <w:r>
        <w:t>S</w:t>
      </w:r>
      <w:r w:rsidR="00CF157F">
        <w:t xml:space="preserve"> </w:t>
      </w:r>
      <w:r w:rsidR="003A7FBC" w:rsidRPr="00160290">
        <w:t xml:space="preserve">79(1A) relies on a practitioner being able to identify and assess that a conflict of interest exists. The department </w:t>
      </w:r>
      <w:r w:rsidR="00CF157F">
        <w:t xml:space="preserve">considers </w:t>
      </w:r>
      <w:r w:rsidR="003A7FBC" w:rsidRPr="00160290">
        <w:t xml:space="preserve">this is not always </w:t>
      </w:r>
      <w:r w:rsidR="00BA4BF1" w:rsidRPr="00160290">
        <w:t>likely</w:t>
      </w:r>
      <w:r w:rsidR="003A7FBC" w:rsidRPr="00160290">
        <w:t xml:space="preserve"> and </w:t>
      </w:r>
      <w:r w:rsidR="00CF157F">
        <w:t xml:space="preserve">therefore </w:t>
      </w:r>
      <w:r w:rsidR="003A7FBC" w:rsidRPr="00160290">
        <w:t>considers</w:t>
      </w:r>
      <w:r w:rsidR="00CF157F">
        <w:t xml:space="preserve"> that </w:t>
      </w:r>
      <w:r w:rsidR="003A7FBC" w:rsidRPr="00160290">
        <w:t>to ensure conflict</w:t>
      </w:r>
      <w:r w:rsidR="00CF157F">
        <w:t>s</w:t>
      </w:r>
      <w:r w:rsidR="003A7FBC" w:rsidRPr="00160290">
        <w:t xml:space="preserve"> of interest are avoided (as opposed to subsequently detected), a more</w:t>
      </w:r>
      <w:r w:rsidR="00703FD9" w:rsidRPr="00160290">
        <w:t>-</w:t>
      </w:r>
      <w:r w:rsidR="003A7FBC" w:rsidRPr="00160290">
        <w:t>objective rule that restricts the period in which a building surveyor can work on particular projects is beneficial.</w:t>
      </w:r>
    </w:p>
    <w:p w:rsidR="003A7FBC" w:rsidRPr="00160290" w:rsidRDefault="003A7FBC" w:rsidP="00757E56">
      <w:pPr>
        <w:pStyle w:val="Normalpre-dotpoint"/>
      </w:pPr>
      <w:r w:rsidRPr="00160290">
        <w:t>The choice of an appropriate prescribed period therefore needs to balance:</w:t>
      </w:r>
    </w:p>
    <w:p w:rsidR="003A7FBC" w:rsidRPr="00160290" w:rsidRDefault="00CF157F" w:rsidP="00757E56">
      <w:pPr>
        <w:pStyle w:val="Dotpoint"/>
      </w:pPr>
      <w:r>
        <w:t>n</w:t>
      </w:r>
      <w:r w:rsidR="003A7FBC" w:rsidRPr="00160290">
        <w:t xml:space="preserve">ot </w:t>
      </w:r>
      <w:r w:rsidR="003A7FBC" w:rsidRPr="00160290">
        <w:rPr>
          <w:bCs/>
        </w:rPr>
        <w:t>being</w:t>
      </w:r>
      <w:r w:rsidR="003A7FBC" w:rsidRPr="00160290">
        <w:t xml:space="preserve"> too short as to not capture genuine conflicts of interest that could arise from these situations</w:t>
      </w:r>
    </w:p>
    <w:p w:rsidR="0049524F" w:rsidRDefault="00CF157F">
      <w:pPr>
        <w:pStyle w:val="Dotpointlast"/>
      </w:pPr>
      <w:r>
        <w:t>n</w:t>
      </w:r>
      <w:r w:rsidR="003A7FBC" w:rsidRPr="00160290">
        <w:t xml:space="preserve">ot </w:t>
      </w:r>
      <w:r w:rsidR="003A7FBC" w:rsidRPr="00160290">
        <w:rPr>
          <w:bCs/>
        </w:rPr>
        <w:t>being</w:t>
      </w:r>
      <w:r w:rsidR="003A7FBC" w:rsidRPr="00160290">
        <w:t xml:space="preserve"> too long as to capture too many situations where conflicts are unlikely to be present, or place a higher need on people needing to apply for exemptions.</w:t>
      </w:r>
    </w:p>
    <w:p w:rsidR="00692E00" w:rsidRDefault="00692E00" w:rsidP="008D3250">
      <w:pPr>
        <w:pStyle w:val="Heading3"/>
      </w:pPr>
      <w:bookmarkStart w:id="56" w:name="_Toc481502202"/>
      <w:r w:rsidRPr="00692E00">
        <w:rPr>
          <w:rFonts w:eastAsiaTheme="majorEastAsia"/>
        </w:rPr>
        <w:t xml:space="preserve">Option 4 – Remake </w:t>
      </w:r>
      <w:proofErr w:type="spellStart"/>
      <w:r w:rsidR="00B53D4A">
        <w:rPr>
          <w:rFonts w:eastAsiaTheme="majorEastAsia"/>
        </w:rPr>
        <w:t>r</w:t>
      </w:r>
      <w:r w:rsidRPr="00692E00">
        <w:rPr>
          <w:rFonts w:eastAsiaTheme="majorEastAsia"/>
        </w:rPr>
        <w:t>eg</w:t>
      </w:r>
      <w:proofErr w:type="spellEnd"/>
      <w:r w:rsidR="00B53D4A">
        <w:rPr>
          <w:rFonts w:eastAsiaTheme="majorEastAsia"/>
        </w:rPr>
        <w:t xml:space="preserve"> 1504</w:t>
      </w:r>
      <w:bookmarkEnd w:id="56"/>
    </w:p>
    <w:p w:rsidR="003A7FBC" w:rsidRDefault="00692E00" w:rsidP="00757E56">
      <w:r>
        <w:t>Option 4 is to remake the current Regulation and r</w:t>
      </w:r>
      <w:r w:rsidRPr="00692E00">
        <w:t xml:space="preserve">etain </w:t>
      </w:r>
      <w:r>
        <w:t xml:space="preserve">the </w:t>
      </w:r>
      <w:r w:rsidRPr="00692E00">
        <w:t xml:space="preserve">period during which a </w:t>
      </w:r>
      <w:r w:rsidR="00010CE1">
        <w:t>PBS</w:t>
      </w:r>
      <w:r w:rsidRPr="00692E00">
        <w:t xml:space="preserve"> cannot act of one year</w:t>
      </w:r>
      <w:r>
        <w:t xml:space="preserve">. </w:t>
      </w:r>
      <w:r w:rsidR="003A7FBC" w:rsidRPr="00160290">
        <w:t xml:space="preserve">Preliminary discussions with a small sample of building surveyors considered that the current </w:t>
      </w:r>
      <w:r w:rsidR="00CF157F">
        <w:t>one-</w:t>
      </w:r>
      <w:r w:rsidR="003A7FBC" w:rsidRPr="00160290">
        <w:t xml:space="preserve">year period was reasonable and noted that </w:t>
      </w:r>
      <w:r w:rsidR="00CF157F">
        <w:t xml:space="preserve">this time period did not impose a </w:t>
      </w:r>
      <w:r w:rsidR="003A7FBC" w:rsidRPr="00160290">
        <w:t xml:space="preserve">material burden on building surveyors. While notionally prescribing a period where a person cannot do work in relation to works undertaken by others is a restraint on competition, in practice there are only a small number of building surveyors compared to the very large number of building works undertaken each year. Precluding a building surveyor from performing functions in relation to a previous employer was considered to not have any real impact on their ability to operate and compete in the market. </w:t>
      </w:r>
      <w:r w:rsidR="000E2924">
        <w:t>VBA</w:t>
      </w:r>
      <w:r w:rsidR="003A7FBC" w:rsidRPr="00160290">
        <w:t xml:space="preserve"> advised that requests for exemptions from the current </w:t>
      </w:r>
      <w:r w:rsidR="00703FD9" w:rsidRPr="00160290">
        <w:t>one-</w:t>
      </w:r>
      <w:r w:rsidR="003A7FBC" w:rsidRPr="00160290">
        <w:t>year prescribed period are extremely rare.</w:t>
      </w:r>
    </w:p>
    <w:p w:rsidR="00F71F1A" w:rsidRDefault="00CF157F" w:rsidP="008D3250">
      <w:pPr>
        <w:pStyle w:val="Heading3"/>
      </w:pPr>
      <w:bookmarkStart w:id="57" w:name="_Toc481502203"/>
      <w:r w:rsidRPr="00EA7513">
        <w:lastRenderedPageBreak/>
        <w:t>Option 4.1</w:t>
      </w:r>
      <w:r>
        <w:t xml:space="preserve"> – </w:t>
      </w:r>
      <w:r w:rsidRPr="00EA7513">
        <w:t xml:space="preserve">Reduce the prescribed period to </w:t>
      </w:r>
      <w:r>
        <w:t xml:space="preserve">six </w:t>
      </w:r>
      <w:r w:rsidRPr="00EA7513">
        <w:t>months</w:t>
      </w:r>
      <w:bookmarkEnd w:id="57"/>
    </w:p>
    <w:p w:rsidR="003A7FBC" w:rsidRPr="00160290" w:rsidRDefault="00CF157F" w:rsidP="00757E56">
      <w:r>
        <w:t xml:space="preserve">Option 4.1 is to reduce </w:t>
      </w:r>
      <w:r w:rsidR="003A7FBC" w:rsidRPr="00160290">
        <w:t xml:space="preserve">the prescribed period to </w:t>
      </w:r>
      <w:r>
        <w:t xml:space="preserve">six </w:t>
      </w:r>
      <w:r w:rsidR="003A7FBC" w:rsidRPr="00160290">
        <w:t>months</w:t>
      </w:r>
      <w:r>
        <w:t>. This</w:t>
      </w:r>
      <w:r w:rsidR="003A7FBC" w:rsidRPr="00160290">
        <w:t xml:space="preserve"> would not materially alter the costs of complying with the </w:t>
      </w:r>
      <w:r w:rsidR="00160290">
        <w:t>R</w:t>
      </w:r>
      <w:r w:rsidR="003A7FBC" w:rsidRPr="00160290">
        <w:t xml:space="preserve">egulation but would increase the risk of a building surveyor acting where, despite </w:t>
      </w:r>
      <w:r>
        <w:t xml:space="preserve">six </w:t>
      </w:r>
      <w:r w:rsidR="003A7FBC" w:rsidRPr="00160290">
        <w:t>months elapsing, a relevant conflict of interest still exist</w:t>
      </w:r>
      <w:r>
        <w:t>ed</w:t>
      </w:r>
      <w:r w:rsidR="003A7FBC" w:rsidRPr="00160290">
        <w:t xml:space="preserve">. This is because they would be guided by the prescribed period and not separately consider the operation of </w:t>
      </w:r>
      <w:r w:rsidR="000E2924">
        <w:t>s</w:t>
      </w:r>
      <w:r w:rsidR="003A7FBC" w:rsidRPr="00160290">
        <w:t xml:space="preserve"> 79(1A) which applies without a time limit. The risks of a building surveyor acting while under a conflict of interest are the costs to the customer if potential defects are not properly identified and avoided. Because of this risk, the department </w:t>
      </w:r>
      <w:r>
        <w:t xml:space="preserve">considers </w:t>
      </w:r>
      <w:r w:rsidR="003A7FBC" w:rsidRPr="00160290">
        <w:t xml:space="preserve">a </w:t>
      </w:r>
      <w:r w:rsidR="00703FD9" w:rsidRPr="00160290">
        <w:t>six</w:t>
      </w:r>
      <w:r w:rsidR="003A7FBC" w:rsidRPr="00160290">
        <w:t xml:space="preserve">-month prescribed period is inferior to the current </w:t>
      </w:r>
      <w:r w:rsidR="00703FD9" w:rsidRPr="00160290">
        <w:t>one</w:t>
      </w:r>
      <w:r w:rsidR="003A7FBC" w:rsidRPr="00160290">
        <w:t>-year period, although the extent of the difference (and whether it is significant) cannot be meaningfully quantified.</w:t>
      </w:r>
    </w:p>
    <w:p w:rsidR="00F71F1A" w:rsidRDefault="00CF157F" w:rsidP="008D3250">
      <w:pPr>
        <w:pStyle w:val="Heading3"/>
      </w:pPr>
      <w:bookmarkStart w:id="58" w:name="_Toc481502204"/>
      <w:r>
        <w:t xml:space="preserve">Option 4.2 – </w:t>
      </w:r>
      <w:r w:rsidRPr="00EA7513">
        <w:t>Inc</w:t>
      </w:r>
      <w:r>
        <w:t>rease the prescribed period to two</w:t>
      </w:r>
      <w:r w:rsidRPr="00EA7513">
        <w:t xml:space="preserve"> years</w:t>
      </w:r>
      <w:bookmarkEnd w:id="58"/>
    </w:p>
    <w:p w:rsidR="003A7FBC" w:rsidRPr="00160290" w:rsidRDefault="00CF157F" w:rsidP="00757E56">
      <w:r>
        <w:t xml:space="preserve">Option 4.2 is to increase </w:t>
      </w:r>
      <w:r w:rsidR="003A7FBC" w:rsidRPr="00160290">
        <w:t xml:space="preserve">the prescribed period to </w:t>
      </w:r>
      <w:r>
        <w:t xml:space="preserve">two </w:t>
      </w:r>
      <w:r w:rsidR="003A7FBC" w:rsidRPr="00160290">
        <w:t>years</w:t>
      </w:r>
      <w:r>
        <w:t xml:space="preserve">. This </w:t>
      </w:r>
      <w:r w:rsidR="003A7FBC" w:rsidRPr="00160290">
        <w:t xml:space="preserve">might provide greater protection against conflicts of interest, </w:t>
      </w:r>
      <w:r>
        <w:t xml:space="preserve">but it </w:t>
      </w:r>
      <w:r w:rsidR="003A7FBC" w:rsidRPr="00160290">
        <w:t xml:space="preserve">would also increase the costs of the </w:t>
      </w:r>
      <w:r w:rsidR="00160290">
        <w:t>R</w:t>
      </w:r>
      <w:r w:rsidR="003A7FBC" w:rsidRPr="00160290">
        <w:t xml:space="preserve">egulation. A </w:t>
      </w:r>
      <w:r w:rsidR="00703FD9" w:rsidRPr="00160290">
        <w:t>two</w:t>
      </w:r>
      <w:r w:rsidR="003A7FBC" w:rsidRPr="00160290">
        <w:t>-year period would continue to restrict when building surveyors could act even where a real conflict of interest no longer existed. If people could demonstrate no conflict of interest existing within this period, they may apply for an exemption under the Act, which itself is a time-consuming process. There would appear to be no strong evidence of the need to increase the prescribed period</w:t>
      </w:r>
      <w:r>
        <w:t xml:space="preserve">: </w:t>
      </w:r>
      <w:r w:rsidR="003A7FBC" w:rsidRPr="00160290">
        <w:t xml:space="preserve">as </w:t>
      </w:r>
      <w:r w:rsidR="000E2924">
        <w:t>s</w:t>
      </w:r>
      <w:r w:rsidR="003A7FBC" w:rsidRPr="00160290">
        <w:t xml:space="preserve"> 79(1A) is new, an evaluation on its effectiveness may provide further insights in the future.</w:t>
      </w:r>
    </w:p>
    <w:p w:rsidR="003A7FBC" w:rsidRPr="00160290" w:rsidRDefault="008D3250" w:rsidP="00357F56">
      <w:pPr>
        <w:pStyle w:val="Heading2"/>
      </w:pPr>
      <w:bookmarkStart w:id="59" w:name="_Toc481502205"/>
      <w:r>
        <w:t>C3.6</w:t>
      </w:r>
      <w:r>
        <w:tab/>
      </w:r>
      <w:r w:rsidR="00366BFC">
        <w:t>Other topics</w:t>
      </w:r>
      <w:bookmarkEnd w:id="59"/>
      <w:r w:rsidR="00366BFC">
        <w:t xml:space="preserve"> </w:t>
      </w:r>
    </w:p>
    <w:p w:rsidR="003A7FBC" w:rsidRPr="00160290" w:rsidRDefault="003A7FBC" w:rsidP="00757E56">
      <w:r w:rsidRPr="00160290">
        <w:t xml:space="preserve">The department also considered </w:t>
      </w:r>
      <w:r w:rsidR="00703FD9" w:rsidRPr="00160290">
        <w:t>some</w:t>
      </w:r>
      <w:r w:rsidRPr="00160290">
        <w:t xml:space="preserve"> additional </w:t>
      </w:r>
      <w:r w:rsidR="00160290">
        <w:t>R</w:t>
      </w:r>
      <w:r w:rsidRPr="00160290">
        <w:t xml:space="preserve">egulations, based on suggestion made through previous VAGO/Ombudsman reports and </w:t>
      </w:r>
      <w:r w:rsidR="000700D8">
        <w:t>authority</w:t>
      </w:r>
      <w:r w:rsidRPr="00160290">
        <w:t xml:space="preserve"> advice.</w:t>
      </w:r>
    </w:p>
    <w:p w:rsidR="00F71F1A" w:rsidRDefault="00366BFC" w:rsidP="008D3250">
      <w:pPr>
        <w:pStyle w:val="Heading3"/>
      </w:pPr>
      <w:bookmarkStart w:id="60" w:name="_Toc481502206"/>
      <w:r>
        <w:t xml:space="preserve">Option 5 – </w:t>
      </w:r>
      <w:r w:rsidR="00D3125B" w:rsidRPr="00D3125B">
        <w:t>Prescrib</w:t>
      </w:r>
      <w:r w:rsidR="00A13352">
        <w:t>e</w:t>
      </w:r>
      <w:r w:rsidR="00D3125B" w:rsidRPr="00D3125B">
        <w:t xml:space="preserve"> application forms and other documents to be provided with an application</w:t>
      </w:r>
      <w:bookmarkEnd w:id="60"/>
      <w:r>
        <w:t xml:space="preserve"> </w:t>
      </w:r>
    </w:p>
    <w:p w:rsidR="0049524F" w:rsidRDefault="003A7FBC">
      <w:r w:rsidRPr="00160290">
        <w:t xml:space="preserve">Option 5 is to prescribe in </w:t>
      </w:r>
      <w:r w:rsidR="00160290">
        <w:t>R</w:t>
      </w:r>
      <w:r w:rsidRPr="00160290">
        <w:t>egulation</w:t>
      </w:r>
      <w:r w:rsidR="00160290">
        <w:t>s</w:t>
      </w:r>
      <w:r w:rsidRPr="00160290">
        <w:t xml:space="preserve"> the information needed to be provided in an application for registration. This could be a standard application form, but </w:t>
      </w:r>
      <w:r w:rsidR="00366BFC">
        <w:t xml:space="preserve">it could </w:t>
      </w:r>
      <w:r w:rsidRPr="00160290">
        <w:t>also include specific additional information needed to be included before an application is in an acceptable form (for example, copies of transcripts or written references).</w:t>
      </w:r>
    </w:p>
    <w:p w:rsidR="003A7FBC" w:rsidRPr="00160290" w:rsidRDefault="003A7FBC" w:rsidP="00757E56">
      <w:r w:rsidRPr="00160290">
        <w:t xml:space="preserve">The </w:t>
      </w:r>
      <w:r w:rsidR="00BE6DEA" w:rsidRPr="00160290">
        <w:t>department</w:t>
      </w:r>
      <w:r w:rsidRPr="00160290">
        <w:t xml:space="preserve"> understands this would merely codify what </w:t>
      </w:r>
      <w:r w:rsidR="000E2924">
        <w:t>VBA</w:t>
      </w:r>
      <w:r w:rsidRPr="00160290">
        <w:t xml:space="preserve"> requires from applicants, for which there is already powers in the Act for </w:t>
      </w:r>
      <w:r w:rsidR="000E2924">
        <w:t>VBA</w:t>
      </w:r>
      <w:r w:rsidRPr="00160290">
        <w:t xml:space="preserve"> to request any information it considers it reasonably requires to determine the application</w:t>
      </w:r>
      <w:r w:rsidR="00366BFC">
        <w:t xml:space="preserve">. It may </w:t>
      </w:r>
      <w:r w:rsidRPr="00160290">
        <w:t>refuse the application if the applicant does not comply with the request within a reasonable time (</w:t>
      </w:r>
      <w:r w:rsidR="000E2924">
        <w:t>s</w:t>
      </w:r>
      <w:r w:rsidRPr="00160290">
        <w:t xml:space="preserve"> 169).</w:t>
      </w:r>
    </w:p>
    <w:p w:rsidR="002129C8" w:rsidRPr="00160290" w:rsidRDefault="003A7FBC" w:rsidP="00757E56">
      <w:r w:rsidRPr="00160290">
        <w:t xml:space="preserve">As such, prescribing the information that is already required by </w:t>
      </w:r>
      <w:r w:rsidR="000E2924">
        <w:t>VBA</w:t>
      </w:r>
      <w:r w:rsidRPr="00160290">
        <w:t xml:space="preserve"> would not impose any substantive incremental costs or benefits</w:t>
      </w:r>
      <w:r w:rsidR="00366BFC">
        <w:t>,</w:t>
      </w:r>
      <w:r w:rsidRPr="00160290">
        <w:t xml:space="preserve"> and the </w:t>
      </w:r>
      <w:r w:rsidR="00BE6DEA" w:rsidRPr="00160290">
        <w:t>department</w:t>
      </w:r>
      <w:r w:rsidRPr="00160290">
        <w:t xml:space="preserve"> is proposing to include this in the new Regulations to assist in providing transparency of process for applicants seeking registration as building practitioner</w:t>
      </w:r>
      <w:r w:rsidR="00366BFC">
        <w:t>s</w:t>
      </w:r>
      <w:r w:rsidRPr="00160290">
        <w:t>.</w:t>
      </w:r>
    </w:p>
    <w:p w:rsidR="00F71F1A" w:rsidRDefault="00366BFC" w:rsidP="008D3250">
      <w:pPr>
        <w:pStyle w:val="Heading3"/>
      </w:pPr>
      <w:bookmarkStart w:id="61" w:name="_Toc481502207"/>
      <w:r w:rsidRPr="00EA7513">
        <w:t>Option 6</w:t>
      </w:r>
      <w:r w:rsidR="00FA2F8A">
        <w:t xml:space="preserve"> –</w:t>
      </w:r>
      <w:r w:rsidRPr="00EA7513">
        <w:t xml:space="preserve"> Require a statutory declaration </w:t>
      </w:r>
      <w:r w:rsidR="00B53D4A">
        <w:t xml:space="preserve">that the </w:t>
      </w:r>
      <w:r w:rsidRPr="00EA7513">
        <w:t>applicant</w:t>
      </w:r>
      <w:r>
        <w:t>, not a third party, prepared the applicat</w:t>
      </w:r>
      <w:r w:rsidR="009030BC">
        <w:t>ion</w:t>
      </w:r>
      <w:bookmarkEnd w:id="61"/>
    </w:p>
    <w:p w:rsidR="0049524F" w:rsidRDefault="00D3125B">
      <w:r w:rsidRPr="00D3125B">
        <w:t xml:space="preserve">Option 6 is to introduce a requirement whereby applications for registration must be completed personally by </w:t>
      </w:r>
      <w:r w:rsidR="00366BFC">
        <w:t xml:space="preserve">the </w:t>
      </w:r>
      <w:r w:rsidRPr="00D3125B">
        <w:t xml:space="preserve">applicant </w:t>
      </w:r>
      <w:r w:rsidR="003A7FBC" w:rsidRPr="00160290">
        <w:t>and not by third parties.</w:t>
      </w:r>
    </w:p>
    <w:p w:rsidR="003A7FBC" w:rsidRPr="00160290" w:rsidRDefault="003A7FBC" w:rsidP="00757E56">
      <w:r w:rsidRPr="00160290">
        <w:t xml:space="preserve">The </w:t>
      </w:r>
      <w:r w:rsidR="00BE6DEA" w:rsidRPr="00160290">
        <w:t>department</w:t>
      </w:r>
      <w:r w:rsidRPr="00160290">
        <w:t xml:space="preserve"> understands some applicants seek the services of other parties to help them prepare their applications. This may be to assist in understanding the application requirements or to ensure their information correctly address</w:t>
      </w:r>
      <w:r w:rsidR="00366BFC">
        <w:t>es</w:t>
      </w:r>
      <w:r w:rsidRPr="00160290">
        <w:t xml:space="preserve"> all relevant registration requirements. There is no reason why this</w:t>
      </w:r>
      <w:r w:rsidR="00366BFC">
        <w:t xml:space="preserve"> </w:t>
      </w:r>
      <w:r w:rsidRPr="00160290">
        <w:t>genuine assistance</w:t>
      </w:r>
      <w:r w:rsidR="00366BFC">
        <w:t xml:space="preserve"> </w:t>
      </w:r>
      <w:r w:rsidRPr="00160290">
        <w:t>should not occur.</w:t>
      </w:r>
    </w:p>
    <w:p w:rsidR="003A7FBC" w:rsidRPr="00160290" w:rsidRDefault="003A7FBC" w:rsidP="00757E56">
      <w:r w:rsidRPr="00160290">
        <w:lastRenderedPageBreak/>
        <w:t xml:space="preserve">However, the third party </w:t>
      </w:r>
      <w:r w:rsidR="00703FD9" w:rsidRPr="00160290">
        <w:t xml:space="preserve">sometimes </w:t>
      </w:r>
      <w:r w:rsidRPr="00160290">
        <w:t xml:space="preserve">effectively writes the entire application </w:t>
      </w:r>
      <w:r w:rsidR="00366BFC">
        <w:t xml:space="preserve">and </w:t>
      </w:r>
      <w:r w:rsidRPr="00160290">
        <w:t>the applicant only sign</w:t>
      </w:r>
      <w:r w:rsidR="00366BFC">
        <w:t>s</w:t>
      </w:r>
      <w:r w:rsidRPr="00160290">
        <w:t xml:space="preserve"> the form. A 2012 Ombudsman’s report found some applications for registration as a building practitioner are completed by third parties for a fee and then provided to </w:t>
      </w:r>
      <w:r w:rsidR="00366BFC">
        <w:t xml:space="preserve">the </w:t>
      </w:r>
      <w:r w:rsidRPr="00160290">
        <w:t xml:space="preserve">applicant for submission. This has </w:t>
      </w:r>
      <w:r w:rsidR="00703FD9" w:rsidRPr="00160290">
        <w:t xml:space="preserve">sometimes </w:t>
      </w:r>
      <w:r w:rsidRPr="00160290">
        <w:t>meant that the information provided in an application does not properly reflect the person making the application, particularly where completing the form would require an applicant to demonstrate they understand the nature of the work involved. While such a practice is generally identified during interviews (</w:t>
      </w:r>
      <w:r w:rsidR="00366BFC">
        <w:t>for example</w:t>
      </w:r>
      <w:r w:rsidRPr="00160290">
        <w:t>, an applicant is unable to explain building practices in person that they demonstrated in their application), it means that time and resources are used up when it should have been clear much earlier that an applicant had inadequate knowledge.</w:t>
      </w:r>
    </w:p>
    <w:p w:rsidR="003A7FBC" w:rsidRPr="00160290" w:rsidRDefault="003A7FBC" w:rsidP="00757E56">
      <w:r w:rsidRPr="00160290">
        <w:t>The Ombudsman concluded this was an integrity issue with the application process. The Ombudsman’s report recommended each applicant be required to prepare their own application for registration.</w:t>
      </w:r>
      <w:r w:rsidR="002129C8" w:rsidRPr="00160290">
        <w:t xml:space="preserve"> </w:t>
      </w:r>
      <w:r w:rsidRPr="00160290">
        <w:t xml:space="preserve">This would introduce tighter controls to ensure the integrity of practitioner registration, including requiring applicants to complete a statutory declaration that they have personally prepared all documentation submitted to </w:t>
      </w:r>
      <w:r w:rsidR="000E2924">
        <w:t>VBA</w:t>
      </w:r>
      <w:r w:rsidRPr="00160290">
        <w:t>.</w:t>
      </w:r>
    </w:p>
    <w:p w:rsidR="002129C8" w:rsidRPr="00160290" w:rsidRDefault="003A7FBC" w:rsidP="00757E56">
      <w:r w:rsidRPr="00160290">
        <w:t xml:space="preserve">While a requirement for applications to be prepared personally would be straightforward, the difficultly </w:t>
      </w:r>
      <w:r w:rsidR="00366BFC">
        <w:t>with</w:t>
      </w:r>
      <w:r w:rsidR="00366BFC" w:rsidRPr="00160290">
        <w:t xml:space="preserve"> </w:t>
      </w:r>
      <w:r w:rsidRPr="00160290">
        <w:t xml:space="preserve">such a requirement relates to enforcement and compliance. As a mere requirement, compliance is expected to be low. As such, a feasible mechanism would be for applicants to provide a statutory declaration that they have indeed prepared the application themselves. Requiring a statutory declaration to be provided has a regulatory burden. An applicant needs to spent time preparing the statutory declaration and to obtain a witness. While </w:t>
      </w:r>
      <w:r w:rsidR="000E2924">
        <w:t>VBA</w:t>
      </w:r>
      <w:r w:rsidRPr="00160290">
        <w:t xml:space="preserve"> could provide a template declaration, it would still be expected that an applicant would spend up to 15 minutes preparing the form and getting it witnessed. This would be </w:t>
      </w:r>
      <w:r w:rsidR="00746629">
        <w:t>about</w:t>
      </w:r>
      <w:r w:rsidRPr="00160290">
        <w:t xml:space="preserve"> $9.34 per applicant. Further, the time burden imposed on the witness would also need to be considered: while the range of witnesses is large, an indicative cost is where, for example, certain registered professions charge a small fee for witnessing documents. A fee of </w:t>
      </w:r>
      <w:r w:rsidR="00746629">
        <w:t>about</w:t>
      </w:r>
      <w:r w:rsidRPr="00160290">
        <w:t xml:space="preserve"> $5 is common.</w:t>
      </w:r>
      <w:r w:rsidRPr="00160290">
        <w:rPr>
          <w:rStyle w:val="FootnoteReference"/>
          <w:rFonts w:cs="Times New Roman"/>
          <w:bCs/>
        </w:rPr>
        <w:footnoteReference w:id="38"/>
      </w:r>
      <w:r w:rsidRPr="00160290">
        <w:t xml:space="preserve"> Therefore, the total cost of providing a statutory declaration is </w:t>
      </w:r>
      <w:r w:rsidR="00746629">
        <w:t>about</w:t>
      </w:r>
      <w:r w:rsidRPr="00160290">
        <w:t xml:space="preserve"> $14.34 per new applicant, with a total cost of this requirement being $10,038 </w:t>
      </w:r>
      <w:r w:rsidR="00746629">
        <w:t>a year</w:t>
      </w:r>
      <w:r w:rsidR="00366BFC">
        <w:t xml:space="preserve">, or </w:t>
      </w:r>
      <w:r w:rsidR="00366BFC" w:rsidRPr="00160290">
        <w:t>$88,209</w:t>
      </w:r>
      <w:r w:rsidR="00366BFC">
        <w:t xml:space="preserve"> </w:t>
      </w:r>
      <w:r w:rsidRPr="00160290">
        <w:t xml:space="preserve">NPV over </w:t>
      </w:r>
      <w:r w:rsidR="00366BFC">
        <w:t>10 years</w:t>
      </w:r>
      <w:r w:rsidRPr="00160290">
        <w:t>.</w:t>
      </w:r>
      <w:r w:rsidRPr="00160290">
        <w:rPr>
          <w:rStyle w:val="FootnoteReference"/>
          <w:rFonts w:cs="Times New Roman"/>
          <w:bCs/>
        </w:rPr>
        <w:footnoteReference w:id="39"/>
      </w:r>
    </w:p>
    <w:p w:rsidR="003A7FBC" w:rsidRPr="00160290" w:rsidRDefault="003A7FBC" w:rsidP="00757E56">
      <w:r w:rsidRPr="00160290">
        <w:t xml:space="preserve">Based on the similar break-even analysis of the other </w:t>
      </w:r>
      <w:r w:rsidR="00160290">
        <w:t>R</w:t>
      </w:r>
      <w:r w:rsidRPr="00160290">
        <w:t xml:space="preserve">egulations, this requirement would break even if it resulted in just over </w:t>
      </w:r>
      <w:r w:rsidR="00366BFC">
        <w:t xml:space="preserve">one </w:t>
      </w:r>
      <w:r w:rsidRPr="00160290">
        <w:t xml:space="preserve">practitioner </w:t>
      </w:r>
      <w:r w:rsidR="00366BFC">
        <w:t xml:space="preserve">on average a </w:t>
      </w:r>
      <w:r w:rsidRPr="00160290">
        <w:t xml:space="preserve">year not being registered (13 over 10 years). While this is </w:t>
      </w:r>
      <w:r w:rsidR="00366BFC">
        <w:t xml:space="preserve">a </w:t>
      </w:r>
      <w:r w:rsidRPr="00160290">
        <w:t xml:space="preserve">small number, it is difficult to attribute the identification of unsuitable practitioners to the requirement to complete the statutory declaration as </w:t>
      </w:r>
      <w:r w:rsidR="000E2924">
        <w:t>VBA</w:t>
      </w:r>
      <w:r w:rsidRPr="00160290">
        <w:t xml:space="preserve"> has a series of check points.</w:t>
      </w:r>
    </w:p>
    <w:p w:rsidR="003A7FBC" w:rsidRPr="00160290" w:rsidRDefault="003A7FBC" w:rsidP="00757E56">
      <w:r w:rsidRPr="00160290">
        <w:t xml:space="preserve">There may be other costs incurred as a result of this requirement. For example, a person who may have previously used some assistance to complete an application (to ensure </w:t>
      </w:r>
      <w:r w:rsidR="0030299E">
        <w:t xml:space="preserve">their </w:t>
      </w:r>
      <w:r w:rsidRPr="00160290">
        <w:t xml:space="preserve">information was complete and legible) may no longer seek such assistance, resulting in an application that requires </w:t>
      </w:r>
      <w:r w:rsidR="000E2924">
        <w:t>VBA</w:t>
      </w:r>
      <w:r w:rsidRPr="00160290">
        <w:t xml:space="preserve"> to follow</w:t>
      </w:r>
      <w:r w:rsidR="0030299E">
        <w:t xml:space="preserve"> </w:t>
      </w:r>
      <w:r w:rsidRPr="00160290">
        <w:t xml:space="preserve">up to clarify information. Alternatively, </w:t>
      </w:r>
      <w:r w:rsidR="000E2924">
        <w:t>VBA</w:t>
      </w:r>
      <w:r w:rsidRPr="00160290">
        <w:t xml:space="preserve"> further advises that such a requirement is likely to unnecessarily slow down the process for many applications where there is very low risk. For example, if an applicant declares they had assistance with their application, </w:t>
      </w:r>
      <w:r w:rsidR="000E2924">
        <w:t>VBA</w:t>
      </w:r>
      <w:r w:rsidRPr="00160290">
        <w:t xml:space="preserve"> would be required to investigate the circumstances, which they consider in most cases would be benign assistance (</w:t>
      </w:r>
      <w:r w:rsidR="0030299E">
        <w:t xml:space="preserve">such as </w:t>
      </w:r>
      <w:r w:rsidRPr="00160290">
        <w:t>a spouse helping an applicant fill out a form)</w:t>
      </w:r>
      <w:r w:rsidR="0030299E">
        <w:t>. H</w:t>
      </w:r>
      <w:r w:rsidRPr="00160290">
        <w:t>owever it would be difficult to establish a clear evidentiary basis for what constituted allowable assistance (</w:t>
      </w:r>
      <w:r w:rsidR="0030299E">
        <w:t>for example</w:t>
      </w:r>
      <w:r w:rsidRPr="00160290">
        <w:t xml:space="preserve">, an applicant may have difficulty in demonstrating that assistance from a spouse is merely benign). To overcome this difficulty, there would be a significant resource burden on </w:t>
      </w:r>
      <w:r w:rsidR="000E2924">
        <w:t>VBA</w:t>
      </w:r>
      <w:r w:rsidRPr="00160290">
        <w:t xml:space="preserve"> to collect and assess evidence to be satisfied of the nature of the assistance provided.</w:t>
      </w:r>
    </w:p>
    <w:p w:rsidR="003A7FBC" w:rsidRPr="00160290" w:rsidRDefault="003A7FBC" w:rsidP="00757E56">
      <w:r w:rsidRPr="00160290">
        <w:t xml:space="preserve">The other question to consider is the effectiveness of such a requirement. While the influence of the statutory declaration may change the behaviour of some applicants, it may not for all. </w:t>
      </w:r>
      <w:r w:rsidRPr="00160290">
        <w:lastRenderedPageBreak/>
        <w:t>Indeed, the requirement may provide a disincentive for people who would otherwise only seek assistance and advice in preparing their own application and provide little incentive for people who already allow a third party to write the entire application.</w:t>
      </w:r>
    </w:p>
    <w:p w:rsidR="003A7FBC" w:rsidRPr="00160290" w:rsidRDefault="003A7FBC" w:rsidP="00757E56">
      <w:r w:rsidRPr="00160290">
        <w:t xml:space="preserve">Based on the difficulties in enforcing such a requirement and the likelihood that a blunt approach would impose a greater burden on applicants for which seeking assistance is not a problem, the department </w:t>
      </w:r>
      <w:r w:rsidR="0044135D">
        <w:t xml:space="preserve">considers </w:t>
      </w:r>
      <w:r w:rsidRPr="00160290">
        <w:t>this option (</w:t>
      </w:r>
      <w:r w:rsidR="00703FD9" w:rsidRPr="00160290">
        <w:t>that is</w:t>
      </w:r>
      <w:r w:rsidRPr="00160290">
        <w:t xml:space="preserve">, relying on a broad-based </w:t>
      </w:r>
      <w:r w:rsidR="00160290">
        <w:t>R</w:t>
      </w:r>
      <w:r w:rsidRPr="00160290">
        <w:t xml:space="preserve">egulation that applies to all applicants) is unlikely to result in benefits that outweigh costs. Therefore, there will be no requirement in the proposed Regulations for an applicant to personally complete their application. Instead, </w:t>
      </w:r>
      <w:r w:rsidR="000E2924">
        <w:t>VBA</w:t>
      </w:r>
      <w:r w:rsidRPr="00160290">
        <w:t xml:space="preserve"> advises there are </w:t>
      </w:r>
      <w:proofErr w:type="spellStart"/>
      <w:r w:rsidRPr="00160290">
        <w:t>nonregulatory</w:t>
      </w:r>
      <w:proofErr w:type="spellEnd"/>
      <w:r w:rsidRPr="00160290">
        <w:t xml:space="preserve"> options that could be used more effectively</w:t>
      </w:r>
      <w:r w:rsidR="0044135D">
        <w:t xml:space="preserve"> (</w:t>
      </w:r>
      <w:r w:rsidRPr="00160290">
        <w:t xml:space="preserve">such as using the interview process to more rigorously test an applicant’s knowledge and understanding </w:t>
      </w:r>
      <w:r w:rsidR="0044135D">
        <w:t xml:space="preserve">if </w:t>
      </w:r>
      <w:r w:rsidR="000E2924">
        <w:t>VBA</w:t>
      </w:r>
      <w:r w:rsidRPr="00160290">
        <w:t xml:space="preserve"> suspects the information included in an application does not represent the applicants’ knowledge of building requirements</w:t>
      </w:r>
      <w:r w:rsidR="0044135D">
        <w:t>)</w:t>
      </w:r>
      <w:r w:rsidRPr="00160290">
        <w:t>.</w:t>
      </w:r>
    </w:p>
    <w:p w:rsidR="008338ED" w:rsidRDefault="008338ED">
      <w:pPr>
        <w:spacing w:after="0"/>
        <w:rPr>
          <w:b/>
          <w:bCs/>
          <w:color w:val="201547" w:themeColor="accent2"/>
          <w:kern w:val="32"/>
          <w:sz w:val="40"/>
          <w:szCs w:val="32"/>
        </w:rPr>
      </w:pPr>
      <w:bookmarkStart w:id="62" w:name="_Toc475087233"/>
      <w:r>
        <w:br w:type="page"/>
      </w:r>
    </w:p>
    <w:p w:rsidR="0033590D" w:rsidRDefault="008D3250" w:rsidP="00011DF3">
      <w:pPr>
        <w:pStyle w:val="Heading1"/>
      </w:pPr>
      <w:bookmarkStart w:id="63" w:name="_Toc481502208"/>
      <w:r>
        <w:lastRenderedPageBreak/>
        <w:t>C4</w:t>
      </w:r>
      <w:r>
        <w:tab/>
        <w:t>Competition and small business impact</w:t>
      </w:r>
      <w:r w:rsidR="000E2924">
        <w:t>s</w:t>
      </w:r>
      <w:bookmarkEnd w:id="63"/>
    </w:p>
    <w:p w:rsidR="003A7FBC" w:rsidRPr="00160290" w:rsidRDefault="008D3250" w:rsidP="008D3250">
      <w:pPr>
        <w:pStyle w:val="Heading2"/>
      </w:pPr>
      <w:bookmarkStart w:id="64" w:name="_Toc481502209"/>
      <w:r>
        <w:t>C4.1</w:t>
      </w:r>
      <w:r>
        <w:tab/>
      </w:r>
      <w:r w:rsidR="003A7FBC" w:rsidRPr="00160290">
        <w:t>Competition impact</w:t>
      </w:r>
      <w:bookmarkEnd w:id="62"/>
      <w:r w:rsidR="0033149C">
        <w:t>s</w:t>
      </w:r>
      <w:bookmarkEnd w:id="64"/>
    </w:p>
    <w:p w:rsidR="003A7FBC" w:rsidRPr="00160290" w:rsidRDefault="003A7FBC" w:rsidP="00757E56">
      <w:r w:rsidRPr="00160290">
        <w:t xml:space="preserve">Two of the current </w:t>
      </w:r>
      <w:r w:rsidR="00160290">
        <w:t>R</w:t>
      </w:r>
      <w:r w:rsidRPr="00160290">
        <w:t xml:space="preserve">egulations impose restrictions on competition. These are the prescribing of qualifications and experience in order to be registered, and the prescribing of the period in which a building surveyor may not undertake certain work. These impacts are discussed in the respective </w:t>
      </w:r>
      <w:r w:rsidR="006461A8" w:rsidRPr="00160290">
        <w:t>chapter</w:t>
      </w:r>
      <w:r w:rsidRPr="00160290">
        <w:t>s in this report.</w:t>
      </w:r>
    </w:p>
    <w:p w:rsidR="003A7FBC" w:rsidRPr="00160290" w:rsidRDefault="008D3250" w:rsidP="00357F56">
      <w:pPr>
        <w:pStyle w:val="Heading2"/>
      </w:pPr>
      <w:bookmarkStart w:id="65" w:name="_Toc481502210"/>
      <w:r>
        <w:t>C4.2</w:t>
      </w:r>
      <w:r>
        <w:tab/>
      </w:r>
      <w:r w:rsidR="003A7FBC" w:rsidRPr="00160290">
        <w:t>Small business impacts</w:t>
      </w:r>
      <w:bookmarkEnd w:id="65"/>
    </w:p>
    <w:p w:rsidR="003A7FBC" w:rsidRPr="00160290" w:rsidRDefault="003A7FBC" w:rsidP="00757E56">
      <w:r w:rsidRPr="00160290">
        <w:t xml:space="preserve">It is useful when considering regulatory options to examine the impacts on small business. While all </w:t>
      </w:r>
      <w:r w:rsidR="00160290">
        <w:t>R</w:t>
      </w:r>
      <w:r w:rsidRPr="00160290">
        <w:t xml:space="preserve">egulations can affect small businesses, the key policy question is whether a </w:t>
      </w:r>
      <w:r w:rsidR="00160290">
        <w:t>R</w:t>
      </w:r>
      <w:r w:rsidRPr="00160290">
        <w:t xml:space="preserve">egulation has a </w:t>
      </w:r>
      <w:r w:rsidR="00D3125B" w:rsidRPr="00D3125B">
        <w:t>disproportionally</w:t>
      </w:r>
      <w:r w:rsidRPr="00160290">
        <w:rPr>
          <w:i/>
        </w:rPr>
        <w:t xml:space="preserve"> </w:t>
      </w:r>
      <w:r w:rsidRPr="00160290">
        <w:t>adverse impact on small business</w:t>
      </w:r>
      <w:r w:rsidR="008338ED">
        <w:t>es</w:t>
      </w:r>
      <w:r w:rsidRPr="00160290">
        <w:t xml:space="preserve"> to the extent it affects small businesses’ ability to compete with larger businesses. There is no single definition of </w:t>
      </w:r>
      <w:r w:rsidR="008338ED">
        <w:t xml:space="preserve">a </w:t>
      </w:r>
      <w:r w:rsidRPr="00160290">
        <w:t>small business, although number of employees and annual turnover are often used.</w:t>
      </w:r>
    </w:p>
    <w:p w:rsidR="003A7FBC" w:rsidRPr="00160290" w:rsidRDefault="003A7FBC" w:rsidP="00757E56">
      <w:r w:rsidRPr="00160290">
        <w:t xml:space="preserve">Registered practitioners are individuals although practitioners may employ other people to work under their supervision. These may be employees but </w:t>
      </w:r>
      <w:r w:rsidR="008338ED">
        <w:t xml:space="preserve">are </w:t>
      </w:r>
      <w:r w:rsidRPr="00160290">
        <w:t>often independent contractors. The Housing Industry Association</w:t>
      </w:r>
      <w:r w:rsidR="006C108D">
        <w:t>'s</w:t>
      </w:r>
      <w:r w:rsidRPr="00160290">
        <w:t xml:space="preserve"> </w:t>
      </w:r>
      <w:r w:rsidRPr="00160290">
        <w:rPr>
          <w:i/>
        </w:rPr>
        <w:t>Renovations Roundup (</w:t>
      </w:r>
      <w:r w:rsidR="00160290">
        <w:rPr>
          <w:i/>
        </w:rPr>
        <w:t>a</w:t>
      </w:r>
      <w:r w:rsidRPr="00160290">
        <w:rPr>
          <w:i/>
        </w:rPr>
        <w:t>utumn 2016)</w:t>
      </w:r>
      <w:r w:rsidRPr="00160290">
        <w:t xml:space="preserve"> reports the vast majority of practitioners active in the market operate on a small scale. Further, given the nature of the types of work performed, it is more common for smaller practitioners to compete in practice with other smaller practitioners.</w:t>
      </w:r>
    </w:p>
    <w:p w:rsidR="003A7FBC" w:rsidRPr="00160290" w:rsidRDefault="003A7FBC" w:rsidP="003A7FBC">
      <w:pPr>
        <w:rPr>
          <w:bCs/>
        </w:rPr>
      </w:pPr>
      <w:r w:rsidRPr="00160290">
        <w:t xml:space="preserve">The range of </w:t>
      </w:r>
      <w:r w:rsidR="00160290">
        <w:t>R</w:t>
      </w:r>
      <w:r w:rsidRPr="00160290">
        <w:t xml:space="preserve">egulations considered in this report do not have any apparent disproportional impact on small businesses. To the extent that the </w:t>
      </w:r>
      <w:r w:rsidR="00160290">
        <w:t>R</w:t>
      </w:r>
      <w:r w:rsidRPr="00160290">
        <w:t xml:space="preserve">egulations require a practitioner to do something that </w:t>
      </w:r>
      <w:r w:rsidR="008338ED">
        <w:t xml:space="preserve">they </w:t>
      </w:r>
      <w:r w:rsidRPr="00160290">
        <w:t>otherwise would</w:t>
      </w:r>
      <w:r w:rsidR="008338ED">
        <w:t xml:space="preserve"> not</w:t>
      </w:r>
      <w:r w:rsidRPr="00160290">
        <w:t xml:space="preserve">, there is no identified additional time, cost or effort for a small business to meet these requirements compared to other businesses. Indeed, the </w:t>
      </w:r>
      <w:r w:rsidR="00160290">
        <w:t>R</w:t>
      </w:r>
      <w:r w:rsidRPr="00160290">
        <w:t>egulation</w:t>
      </w:r>
      <w:r w:rsidR="008338ED">
        <w:t>s</w:t>
      </w:r>
      <w:r w:rsidRPr="00160290">
        <w:t xml:space="preserve"> may provide a disproportionate benefit to small businesses, as a more</w:t>
      </w:r>
      <w:r w:rsidR="008338ED">
        <w:t>-</w:t>
      </w:r>
      <w:r w:rsidRPr="00160290">
        <w:t xml:space="preserve">rigorous registration and regulation process signals a practitioner’s competence and quality, which may otherwise be more costly for small businesses to demonstrate to </w:t>
      </w:r>
      <w:r w:rsidR="008338ED">
        <w:t xml:space="preserve">a </w:t>
      </w:r>
      <w:r w:rsidRPr="00160290">
        <w:t>customer.</w:t>
      </w:r>
    </w:p>
    <w:p w:rsidR="004028EE" w:rsidRDefault="004028EE">
      <w:pPr>
        <w:spacing w:after="0"/>
        <w:rPr>
          <w:b/>
          <w:bCs/>
          <w:color w:val="201547" w:themeColor="accent2"/>
          <w:kern w:val="32"/>
          <w:sz w:val="40"/>
          <w:szCs w:val="32"/>
        </w:rPr>
      </w:pPr>
      <w:bookmarkStart w:id="66" w:name="_Toc475087234"/>
      <w:r>
        <w:br w:type="page"/>
      </w:r>
    </w:p>
    <w:p w:rsidR="0033590D" w:rsidRDefault="003A7FBC">
      <w:pPr>
        <w:pStyle w:val="Heading1"/>
      </w:pPr>
      <w:bookmarkStart w:id="67" w:name="_Toc481502211"/>
      <w:r w:rsidRPr="00160290">
        <w:lastRenderedPageBreak/>
        <w:t>Appendix 1: Modelling assumptions</w:t>
      </w:r>
      <w:bookmarkEnd w:id="66"/>
      <w:bookmarkEnd w:id="67"/>
    </w:p>
    <w:p w:rsidR="00F71F1A" w:rsidRDefault="003A7FBC">
      <w:pPr>
        <w:pStyle w:val="Heading4"/>
      </w:pPr>
      <w:bookmarkStart w:id="68" w:name="_Toc481502212"/>
      <w:r w:rsidRPr="00160290">
        <w:t>Net present value</w:t>
      </w:r>
      <w:bookmarkEnd w:id="68"/>
    </w:p>
    <w:p w:rsidR="003A7FBC" w:rsidRPr="00160290" w:rsidRDefault="003A7FBC" w:rsidP="00757E56">
      <w:r w:rsidRPr="00160290">
        <w:t>For net present value calculations, the number of registered building practitioners is assumed to grow at 1.54</w:t>
      </w:r>
      <w:r w:rsidR="00BA4BF1" w:rsidRPr="00160290">
        <w:t>%</w:t>
      </w:r>
      <w:r w:rsidRPr="00160290">
        <w:t xml:space="preserve"> </w:t>
      </w:r>
      <w:r w:rsidR="00746629">
        <w:t>a year</w:t>
      </w:r>
      <w:r w:rsidRPr="00160290">
        <w:t>, consistent with employment projections by occupation group</w:t>
      </w:r>
      <w:r w:rsidR="0033149C">
        <w:t>s</w:t>
      </w:r>
      <w:r w:rsidRPr="00160290">
        <w:t xml:space="preserve"> published by the Commonwealth Department of Employment (2015</w:t>
      </w:r>
      <w:r w:rsidR="0033149C">
        <w:t>–</w:t>
      </w:r>
      <w:r w:rsidRPr="00160290">
        <w:t>20 projections).</w:t>
      </w:r>
    </w:p>
    <w:p w:rsidR="003A7FBC" w:rsidRPr="00160290" w:rsidRDefault="003A7FBC" w:rsidP="00757E56">
      <w:r w:rsidRPr="00160290">
        <w:t>A real discount rate of 4</w:t>
      </w:r>
      <w:r w:rsidR="00BA4BF1" w:rsidRPr="00160290">
        <w:t>%</w:t>
      </w:r>
      <w:r w:rsidRPr="00160290">
        <w:t xml:space="preserve"> has been used, consistent with the rate used for </w:t>
      </w:r>
      <w:r w:rsidR="00160290">
        <w:t xml:space="preserve">RISs </w:t>
      </w:r>
      <w:r w:rsidRPr="00160290">
        <w:t>and guidance published by the Department of Treasury and Finance.</w:t>
      </w:r>
    </w:p>
    <w:p w:rsidR="00F71F1A" w:rsidRDefault="003A7FBC">
      <w:pPr>
        <w:pStyle w:val="Heading4"/>
      </w:pPr>
      <w:bookmarkStart w:id="69" w:name="_Toc481502213"/>
      <w:r w:rsidRPr="00160290">
        <w:t>Value of time</w:t>
      </w:r>
      <w:bookmarkEnd w:id="69"/>
    </w:p>
    <w:p w:rsidR="003A7FBC" w:rsidRPr="00160290" w:rsidRDefault="003A7FBC" w:rsidP="00757E56">
      <w:r w:rsidRPr="00160290">
        <w:t xml:space="preserve">The administrative burdens caused by </w:t>
      </w:r>
      <w:r w:rsidR="00703FD9" w:rsidRPr="00160290">
        <w:t xml:space="preserve">some </w:t>
      </w:r>
      <w:r w:rsidRPr="00160290">
        <w:t>options involves a practitioner or applicant spending an amount of time to comply (</w:t>
      </w:r>
      <w:r w:rsidR="0033149C">
        <w:t>for example</w:t>
      </w:r>
      <w:r w:rsidRPr="00160290">
        <w:t>,</w:t>
      </w:r>
      <w:r w:rsidR="0033149C">
        <w:t xml:space="preserve"> to </w:t>
      </w:r>
      <w:r w:rsidRPr="00160290">
        <w:t>complet</w:t>
      </w:r>
      <w:r w:rsidR="0033149C">
        <w:t>e</w:t>
      </w:r>
      <w:r w:rsidRPr="00160290">
        <w:t xml:space="preserve"> a form). The amount of time spent has been estimated by a review of the information required and consultation with a sample of practitioners.</w:t>
      </w:r>
    </w:p>
    <w:p w:rsidR="003A7FBC" w:rsidRPr="00160290" w:rsidRDefault="003A7FBC" w:rsidP="00757E56">
      <w:r w:rsidRPr="00160290">
        <w:t xml:space="preserve">The value of the time spent on these activities has been estimated from </w:t>
      </w:r>
      <w:r w:rsidR="0033149C">
        <w:t xml:space="preserve">data about </w:t>
      </w:r>
      <w:r w:rsidRPr="00160290">
        <w:t>average wage</w:t>
      </w:r>
      <w:r w:rsidR="0033149C">
        <w:t>s</w:t>
      </w:r>
      <w:r w:rsidRPr="00160290">
        <w:t xml:space="preserve"> and hours worked published by the </w:t>
      </w:r>
      <w:r w:rsidR="006C108D">
        <w:t>Australian Bureau of Statistics (</w:t>
      </w:r>
      <w:r w:rsidRPr="00160290">
        <w:t>ABS</w:t>
      </w:r>
      <w:r w:rsidR="006C108D">
        <w:t>)</w:t>
      </w:r>
      <w:r w:rsidRPr="00160290">
        <w:t>. In particular, earnings were taken as average weekly ordinary time earnings for full</w:t>
      </w:r>
      <w:r w:rsidR="00703FD9" w:rsidRPr="00160290">
        <w:t>-</w:t>
      </w:r>
      <w:r w:rsidRPr="00160290">
        <w:t>time adults as at May 2016 (seasonally adjusted). For new applicants, it is assumed that the average weekly earnings represent their opportunity cost of time. For practitioners that are already registered (and therefore likely earning a higher income as a result of their registration) a multiple of 1.5 times average earnings has been used to reflect the higher value of time for skilled workers.</w:t>
      </w:r>
    </w:p>
    <w:p w:rsidR="003A7FBC" w:rsidRPr="00160290" w:rsidRDefault="003A7FBC" w:rsidP="00757E56">
      <w:r w:rsidRPr="00160290">
        <w:t>It is assumed these represents costs to individuals, as practitioners are registered as individuals. Therefore, costs to business associated with employee</w:t>
      </w:r>
      <w:r w:rsidR="0033149C">
        <w:t>s'</w:t>
      </w:r>
      <w:r w:rsidRPr="00160290">
        <w:t xml:space="preserve"> time (</w:t>
      </w:r>
      <w:r w:rsidR="0033149C">
        <w:t>for example</w:t>
      </w:r>
      <w:r w:rsidRPr="00160290">
        <w:t>, overheads) are not considered.</w:t>
      </w:r>
    </w:p>
    <w:p w:rsidR="00F71F1A" w:rsidRDefault="003A7FBC">
      <w:pPr>
        <w:pStyle w:val="Heading4"/>
      </w:pPr>
      <w:bookmarkStart w:id="70" w:name="_Toc481502214"/>
      <w:r w:rsidRPr="00160290">
        <w:t>Travel costs</w:t>
      </w:r>
      <w:bookmarkEnd w:id="70"/>
    </w:p>
    <w:p w:rsidR="002129C8" w:rsidRPr="00160290" w:rsidRDefault="003A7FBC" w:rsidP="00757E56">
      <w:r w:rsidRPr="00160290">
        <w:t>Applicants may need to travel to attend interviews and obtain a witness’ signature on a statutory declaration. These have not been included in the costs of the options analysed.</w:t>
      </w:r>
    </w:p>
    <w:p w:rsidR="003A7FBC" w:rsidRPr="00160290" w:rsidRDefault="003A7FBC" w:rsidP="00757E56">
      <w:r w:rsidRPr="00160290">
        <w:t xml:space="preserve">In the absence of the </w:t>
      </w:r>
      <w:r w:rsidR="00160290">
        <w:t>R</w:t>
      </w:r>
      <w:r w:rsidRPr="00160290">
        <w:t xml:space="preserve">egulations, </w:t>
      </w:r>
      <w:r w:rsidR="000E2924">
        <w:t>VBA</w:t>
      </w:r>
      <w:r w:rsidRPr="00160290">
        <w:t xml:space="preserve"> is still required to determine an applicant’s suitability to practise. While the testing and interviews may not be as extensive as under the </w:t>
      </w:r>
      <w:r w:rsidR="00160290">
        <w:t>R</w:t>
      </w:r>
      <w:r w:rsidRPr="00160290">
        <w:t xml:space="preserve">egulations, it is expected that applicants would still need to attend some form of meeting with </w:t>
      </w:r>
      <w:r w:rsidR="000E2924">
        <w:t>VBA</w:t>
      </w:r>
      <w:r w:rsidRPr="00160290">
        <w:t xml:space="preserve">. Therefore, the </w:t>
      </w:r>
      <w:r w:rsidR="0033149C">
        <w:t xml:space="preserve">cost-benefit analysis </w:t>
      </w:r>
      <w:r w:rsidRPr="00160290">
        <w:t xml:space="preserve">takes account of expected </w:t>
      </w:r>
      <w:r w:rsidR="00D3125B" w:rsidRPr="00D3125B">
        <w:t>additional</w:t>
      </w:r>
      <w:r w:rsidRPr="00160290">
        <w:t xml:space="preserve"> time involved in the interviews, but </w:t>
      </w:r>
      <w:r w:rsidR="0033149C">
        <w:t xml:space="preserve">it </w:t>
      </w:r>
      <w:r w:rsidRPr="00160290">
        <w:t>does not include any costs for the time and travel costs to arrive at the interviews as these would not be additional.</w:t>
      </w:r>
    </w:p>
    <w:p w:rsidR="003A7FBC" w:rsidRPr="00160290" w:rsidRDefault="003A7FBC" w:rsidP="00757E56">
      <w:r w:rsidRPr="00160290">
        <w:t>In relation to obtaining a witness</w:t>
      </w:r>
      <w:r w:rsidR="0033149C">
        <w:t>'</w:t>
      </w:r>
      <w:r w:rsidRPr="00160290">
        <w:t xml:space="preserve"> signature on a statutory declaration, it is assumed that applicants </w:t>
      </w:r>
      <w:r w:rsidR="00703FD9" w:rsidRPr="00160290">
        <w:t>could</w:t>
      </w:r>
      <w:r w:rsidRPr="00160290">
        <w:t xml:space="preserve"> attend a relevant witness (</w:t>
      </w:r>
      <w:r w:rsidR="0033149C">
        <w:t>for example</w:t>
      </w:r>
      <w:r w:rsidRPr="00160290">
        <w:t>, a pharmacist) in the course of their other activities and not need to undertake a separate and additional trip to obtain the signature. Therefore, no additional travel costs have been factored in. However, the time of an applicant to wait for a witness signature (</w:t>
      </w:r>
      <w:r w:rsidR="0033149C">
        <w:t>for example</w:t>
      </w:r>
      <w:r w:rsidRPr="00160290">
        <w:t>, enter a pharmacy and wait for the pharmacist to witness and sign the document) has been included in the applicant’s costs (an allowance of 10 minutes).</w:t>
      </w:r>
    </w:p>
    <w:p w:rsidR="00F71F1A" w:rsidRDefault="003A7FBC">
      <w:pPr>
        <w:pStyle w:val="Heading4"/>
      </w:pPr>
      <w:bookmarkStart w:id="71" w:name="_Toc481502215"/>
      <w:r w:rsidRPr="00160290">
        <w:t>Prescribed qualifications and experience</w:t>
      </w:r>
      <w:bookmarkEnd w:id="71"/>
    </w:p>
    <w:p w:rsidR="003A7FBC" w:rsidRPr="00160290" w:rsidRDefault="003A7FBC" w:rsidP="00757E56">
      <w:r w:rsidRPr="00160290">
        <w:t xml:space="preserve">The number (population) included is only successful new applications each year. </w:t>
      </w:r>
      <w:r w:rsidR="0033149C">
        <w:t xml:space="preserve">Practitioners renewing </w:t>
      </w:r>
      <w:r w:rsidRPr="00160290">
        <w:t xml:space="preserve">do not need to obtain qualifications after </w:t>
      </w:r>
      <w:r w:rsidR="0033149C">
        <w:t xml:space="preserve">their </w:t>
      </w:r>
      <w:r w:rsidRPr="00160290">
        <w:t>first registration. Unsuccessful applica</w:t>
      </w:r>
      <w:r w:rsidR="0033149C">
        <w:t>n</w:t>
      </w:r>
      <w:r w:rsidRPr="00160290">
        <w:t>t</w:t>
      </w:r>
      <w:r w:rsidR="0033149C">
        <w:t>s</w:t>
      </w:r>
      <w:r w:rsidRPr="00160290">
        <w:t xml:space="preserve"> often apply again so to count all applications would double</w:t>
      </w:r>
      <w:r w:rsidR="0033149C">
        <w:t>-</w:t>
      </w:r>
      <w:r w:rsidRPr="00160290">
        <w:t xml:space="preserve">count the people actually obtaining qualifications. </w:t>
      </w:r>
      <w:r w:rsidR="0033149C">
        <w:t>The n</w:t>
      </w:r>
      <w:r w:rsidRPr="00160290">
        <w:t xml:space="preserve">umber of new registrations granted was provided by </w:t>
      </w:r>
      <w:r w:rsidR="000E2924">
        <w:t>VBA</w:t>
      </w:r>
      <w:r w:rsidRPr="00160290">
        <w:t>.</w:t>
      </w:r>
    </w:p>
    <w:p w:rsidR="003A7FBC" w:rsidRDefault="0033149C" w:rsidP="00757E56">
      <w:r>
        <w:t xml:space="preserve">Table </w:t>
      </w:r>
      <w:r w:rsidR="008A39F6">
        <w:t>4</w:t>
      </w:r>
      <w:r>
        <w:t xml:space="preserve"> shows t</w:t>
      </w:r>
      <w:r w:rsidR="003A7FBC" w:rsidRPr="00160290">
        <w:t>he underlying cost assumptions used for each type of registration</w:t>
      </w:r>
      <w:r w:rsidR="00757E56" w:rsidRPr="00160290">
        <w:t>.</w:t>
      </w:r>
    </w:p>
    <w:p w:rsidR="00F71F1A" w:rsidRDefault="00160290">
      <w:pPr>
        <w:pStyle w:val="Caption"/>
      </w:pPr>
      <w:bookmarkStart w:id="72" w:name="_Toc481473112"/>
      <w:r>
        <w:lastRenderedPageBreak/>
        <w:t xml:space="preserve">Table </w:t>
      </w:r>
      <w:r w:rsidR="008A39F6">
        <w:t>4</w:t>
      </w:r>
      <w:r>
        <w:t xml:space="preserve">: </w:t>
      </w:r>
      <w:r w:rsidR="0033149C">
        <w:t xml:space="preserve">Cost assumptions for categories </w:t>
      </w:r>
      <w:r w:rsidR="0033149C" w:rsidRPr="00160290">
        <w:t>/</w:t>
      </w:r>
      <w:r w:rsidR="0033149C">
        <w:t xml:space="preserve"> </w:t>
      </w:r>
      <w:r w:rsidR="0033149C" w:rsidRPr="00160290">
        <w:t>prescribed class</w:t>
      </w:r>
      <w:r w:rsidR="0033149C">
        <w:t>es</w:t>
      </w:r>
      <w:r w:rsidR="0033149C" w:rsidRPr="00160290">
        <w:t xml:space="preserve"> of building practitioner</w:t>
      </w:r>
      <w:bookmarkEnd w:id="72"/>
    </w:p>
    <w:tbl>
      <w:tblPr>
        <w:tblStyle w:val="TableGrid"/>
        <w:tblW w:w="0" w:type="auto"/>
        <w:tblLayout w:type="fixed"/>
        <w:tblLook w:val="04A0" w:firstRow="1" w:lastRow="0" w:firstColumn="1" w:lastColumn="0" w:noHBand="0" w:noVBand="1"/>
      </w:tblPr>
      <w:tblGrid>
        <w:gridCol w:w="2827"/>
        <w:gridCol w:w="1560"/>
        <w:gridCol w:w="1155"/>
        <w:gridCol w:w="1311"/>
        <w:gridCol w:w="1447"/>
      </w:tblGrid>
      <w:tr w:rsidR="003A7FBC" w:rsidRPr="00160290" w:rsidTr="003A7FBC">
        <w:trPr>
          <w:cnfStyle w:val="100000000000" w:firstRow="1" w:lastRow="0" w:firstColumn="0" w:lastColumn="0" w:oddVBand="0" w:evenVBand="0" w:oddHBand="0" w:evenHBand="0" w:firstRowFirstColumn="0" w:firstRowLastColumn="0" w:lastRowFirstColumn="0" w:lastRowLastColumn="0"/>
          <w:trHeight w:val="1300"/>
        </w:trPr>
        <w:tc>
          <w:tcPr>
            <w:cnfStyle w:val="000000000100" w:firstRow="0" w:lastRow="0" w:firstColumn="0" w:lastColumn="0" w:oddVBand="0" w:evenVBand="0" w:oddHBand="0" w:evenHBand="0" w:firstRowFirstColumn="1" w:firstRowLastColumn="0" w:lastRowFirstColumn="0" w:lastRowLastColumn="0"/>
            <w:tcW w:w="2827" w:type="dxa"/>
            <w:hideMark/>
          </w:tcPr>
          <w:p w:rsidR="003A7FBC" w:rsidRPr="00160290" w:rsidRDefault="003A7FBC" w:rsidP="00624E28">
            <w:pPr>
              <w:pStyle w:val="Tablecolumnhead"/>
            </w:pPr>
            <w:r w:rsidRPr="00160290">
              <w:t xml:space="preserve">Category/prescribed class of building practitioner </w:t>
            </w:r>
          </w:p>
        </w:tc>
        <w:tc>
          <w:tcPr>
            <w:tcW w:w="1560" w:type="dxa"/>
            <w:hideMark/>
          </w:tcPr>
          <w:p w:rsidR="003A7FBC" w:rsidRPr="00160290" w:rsidRDefault="003A7FBC" w:rsidP="00624E28">
            <w:pPr>
              <w:pStyle w:val="Tablecolumnhead"/>
              <w:cnfStyle w:val="100000000000" w:firstRow="1" w:lastRow="0" w:firstColumn="0" w:lastColumn="0" w:oddVBand="0" w:evenVBand="0" w:oddHBand="0" w:evenHBand="0" w:firstRowFirstColumn="0" w:firstRowLastColumn="0" w:lastRowFirstColumn="0" w:lastRowLastColumn="0"/>
            </w:pPr>
            <w:r w:rsidRPr="00160290">
              <w:t>Cost of qualification (course fees)</w:t>
            </w:r>
          </w:p>
        </w:tc>
        <w:tc>
          <w:tcPr>
            <w:tcW w:w="1155" w:type="dxa"/>
            <w:hideMark/>
          </w:tcPr>
          <w:p w:rsidR="003A7FBC" w:rsidRPr="00160290" w:rsidRDefault="003A7FBC" w:rsidP="00624E28">
            <w:pPr>
              <w:pStyle w:val="Tablecolumnhead"/>
              <w:cnfStyle w:val="100000000000" w:firstRow="1" w:lastRow="0" w:firstColumn="0" w:lastColumn="0" w:oddVBand="0" w:evenVBand="0" w:oddHBand="0" w:evenHBand="0" w:firstRowFirstColumn="0" w:firstRowLastColumn="0" w:lastRowFirstColumn="0" w:lastRowLastColumn="0"/>
            </w:pPr>
            <w:r w:rsidRPr="00160290">
              <w:t>Hours of course</w:t>
            </w:r>
          </w:p>
        </w:tc>
        <w:tc>
          <w:tcPr>
            <w:tcW w:w="1311" w:type="dxa"/>
            <w:hideMark/>
          </w:tcPr>
          <w:p w:rsidR="003A7FBC" w:rsidRPr="00160290" w:rsidRDefault="003A7FBC" w:rsidP="00624E28">
            <w:pPr>
              <w:pStyle w:val="Tablecolumnhead"/>
              <w:cnfStyle w:val="100000000000" w:firstRow="1" w:lastRow="0" w:firstColumn="0" w:lastColumn="0" w:oddVBand="0" w:evenVBand="0" w:oddHBand="0" w:evenHBand="0" w:firstRowFirstColumn="0" w:firstRowLastColumn="0" w:lastRowFirstColumn="0" w:lastRowLastColumn="0"/>
            </w:pPr>
            <w:r w:rsidRPr="00160290">
              <w:t xml:space="preserve">Years of experience required in practice </w:t>
            </w:r>
          </w:p>
        </w:tc>
        <w:tc>
          <w:tcPr>
            <w:tcW w:w="1447" w:type="dxa"/>
            <w:hideMark/>
          </w:tcPr>
          <w:p w:rsidR="003A7FBC" w:rsidRPr="00160290" w:rsidRDefault="003A7FBC" w:rsidP="00624E28">
            <w:pPr>
              <w:pStyle w:val="Tablecolumnhead"/>
              <w:cnfStyle w:val="100000000000" w:firstRow="1" w:lastRow="0" w:firstColumn="0" w:lastColumn="0" w:oddVBand="0" w:evenVBand="0" w:oddHBand="0" w:evenHBand="0" w:firstRowFirstColumn="0" w:firstRowLastColumn="0" w:lastRowFirstColumn="0" w:lastRowLastColumn="0"/>
            </w:pPr>
            <w:r w:rsidRPr="00160290">
              <w:t>Income differential (annual)</w:t>
            </w:r>
          </w:p>
        </w:tc>
      </w:tr>
      <w:tr w:rsidR="003A7FBC" w:rsidRPr="00160290" w:rsidTr="003A7FBC">
        <w:trPr>
          <w:trHeight w:val="260"/>
        </w:trPr>
        <w:tc>
          <w:tcPr>
            <w:tcW w:w="2827" w:type="dxa"/>
            <w:hideMark/>
          </w:tcPr>
          <w:p w:rsidR="003A7FBC" w:rsidRPr="00160290" w:rsidRDefault="0033149C" w:rsidP="00CB3019">
            <w:pPr>
              <w:pStyle w:val="Tabletext"/>
              <w:rPr>
                <w:sz w:val="20"/>
                <w:lang w:val="en-AU"/>
              </w:rPr>
            </w:pPr>
            <w:r w:rsidRPr="00160290">
              <w:rPr>
                <w:sz w:val="20"/>
                <w:lang w:val="en-AU"/>
              </w:rPr>
              <w:t xml:space="preserve"> Building surveyor (unlimited) </w:t>
            </w:r>
          </w:p>
        </w:tc>
        <w:tc>
          <w:tcPr>
            <w:tcW w:w="1560" w:type="dxa"/>
            <w:noWrap/>
            <w:hideMark/>
          </w:tcPr>
          <w:p w:rsidR="003A7FBC" w:rsidRPr="00160290" w:rsidRDefault="003A7FBC" w:rsidP="00CB3019">
            <w:pPr>
              <w:pStyle w:val="Tabletext"/>
              <w:rPr>
                <w:sz w:val="20"/>
                <w:lang w:val="en-AU"/>
              </w:rPr>
            </w:pPr>
            <w:r w:rsidRPr="00160290">
              <w:rPr>
                <w:sz w:val="20"/>
                <w:lang w:val="en-AU"/>
              </w:rPr>
              <w:t xml:space="preserve"> $44,800 </w:t>
            </w:r>
          </w:p>
        </w:tc>
        <w:tc>
          <w:tcPr>
            <w:tcW w:w="1155" w:type="dxa"/>
            <w:noWrap/>
            <w:hideMark/>
          </w:tcPr>
          <w:p w:rsidR="003A7FBC" w:rsidRPr="00160290" w:rsidRDefault="003A7FBC" w:rsidP="00CB3019">
            <w:pPr>
              <w:pStyle w:val="Tabletext"/>
              <w:rPr>
                <w:sz w:val="20"/>
                <w:lang w:val="en-AU"/>
              </w:rPr>
            </w:pPr>
            <w:r w:rsidRPr="00160290">
              <w:rPr>
                <w:sz w:val="20"/>
                <w:lang w:val="en-AU"/>
              </w:rPr>
              <w:t>4</w:t>
            </w:r>
            <w:r w:rsidR="00160290" w:rsidRPr="00160290">
              <w:rPr>
                <w:sz w:val="20"/>
                <w:lang w:val="en-AU"/>
              </w:rPr>
              <w:t>,800</w:t>
            </w:r>
          </w:p>
        </w:tc>
        <w:tc>
          <w:tcPr>
            <w:tcW w:w="1311" w:type="dxa"/>
            <w:noWrap/>
            <w:hideMark/>
          </w:tcPr>
          <w:p w:rsidR="003A7FBC" w:rsidRPr="00160290" w:rsidRDefault="003A7FBC" w:rsidP="00CB3019">
            <w:pPr>
              <w:pStyle w:val="Tabletext"/>
              <w:rPr>
                <w:sz w:val="20"/>
                <w:lang w:val="en-AU"/>
              </w:rPr>
            </w:pPr>
            <w:r w:rsidRPr="00160290">
              <w:rPr>
                <w:sz w:val="20"/>
                <w:lang w:val="en-AU"/>
              </w:rPr>
              <w:t>4</w:t>
            </w:r>
          </w:p>
        </w:tc>
        <w:tc>
          <w:tcPr>
            <w:tcW w:w="1447" w:type="dxa"/>
            <w:noWrap/>
            <w:hideMark/>
          </w:tcPr>
          <w:p w:rsidR="003A7FBC" w:rsidRPr="00160290" w:rsidRDefault="003A7FBC" w:rsidP="00CB3019">
            <w:pPr>
              <w:pStyle w:val="Tabletext"/>
              <w:rPr>
                <w:sz w:val="20"/>
                <w:lang w:val="en-AU"/>
              </w:rPr>
            </w:pPr>
            <w:r w:rsidRPr="00160290">
              <w:rPr>
                <w:sz w:val="20"/>
                <w:lang w:val="en-AU"/>
              </w:rPr>
              <w:t xml:space="preserve"> $15,000 </w:t>
            </w:r>
          </w:p>
        </w:tc>
      </w:tr>
      <w:tr w:rsidR="003A7FBC" w:rsidRPr="00160290" w:rsidTr="003A7FBC">
        <w:trPr>
          <w:trHeight w:val="260"/>
        </w:trPr>
        <w:tc>
          <w:tcPr>
            <w:tcW w:w="2827" w:type="dxa"/>
            <w:hideMark/>
          </w:tcPr>
          <w:p w:rsidR="003A7FBC" w:rsidRPr="00160290" w:rsidRDefault="0033149C" w:rsidP="00CB3019">
            <w:pPr>
              <w:pStyle w:val="Tabletext"/>
              <w:rPr>
                <w:sz w:val="20"/>
                <w:lang w:val="en-AU"/>
              </w:rPr>
            </w:pPr>
            <w:r w:rsidRPr="00160290">
              <w:rPr>
                <w:sz w:val="20"/>
                <w:lang w:val="en-AU"/>
              </w:rPr>
              <w:t xml:space="preserve"> Building surveyor (limited) </w:t>
            </w:r>
          </w:p>
        </w:tc>
        <w:tc>
          <w:tcPr>
            <w:tcW w:w="1560" w:type="dxa"/>
            <w:noWrap/>
            <w:hideMark/>
          </w:tcPr>
          <w:p w:rsidR="003A7FBC" w:rsidRPr="00160290" w:rsidRDefault="003A7FBC" w:rsidP="00CB3019">
            <w:pPr>
              <w:pStyle w:val="Tabletext"/>
              <w:rPr>
                <w:sz w:val="20"/>
                <w:lang w:val="en-AU"/>
              </w:rPr>
            </w:pPr>
            <w:r w:rsidRPr="00160290">
              <w:rPr>
                <w:sz w:val="20"/>
                <w:lang w:val="en-AU"/>
              </w:rPr>
              <w:t xml:space="preserve"> $28,080 </w:t>
            </w:r>
          </w:p>
        </w:tc>
        <w:tc>
          <w:tcPr>
            <w:tcW w:w="1155" w:type="dxa"/>
            <w:noWrap/>
            <w:hideMark/>
          </w:tcPr>
          <w:p w:rsidR="003A7FBC" w:rsidRPr="00160290" w:rsidRDefault="003A7FBC" w:rsidP="00CB3019">
            <w:pPr>
              <w:pStyle w:val="Tabletext"/>
              <w:rPr>
                <w:sz w:val="20"/>
                <w:lang w:val="en-AU"/>
              </w:rPr>
            </w:pPr>
            <w:r w:rsidRPr="00160290">
              <w:rPr>
                <w:sz w:val="20"/>
                <w:lang w:val="en-AU"/>
              </w:rPr>
              <w:t>2,340</w:t>
            </w:r>
          </w:p>
        </w:tc>
        <w:tc>
          <w:tcPr>
            <w:tcW w:w="1311" w:type="dxa"/>
            <w:noWrap/>
            <w:hideMark/>
          </w:tcPr>
          <w:p w:rsidR="003A7FBC" w:rsidRPr="00160290" w:rsidRDefault="003A7FBC" w:rsidP="00CB3019">
            <w:pPr>
              <w:pStyle w:val="Tabletext"/>
              <w:rPr>
                <w:sz w:val="20"/>
                <w:lang w:val="en-AU"/>
              </w:rPr>
            </w:pPr>
            <w:r w:rsidRPr="00160290">
              <w:rPr>
                <w:sz w:val="20"/>
                <w:lang w:val="en-AU"/>
              </w:rPr>
              <w:t>3</w:t>
            </w:r>
          </w:p>
        </w:tc>
        <w:tc>
          <w:tcPr>
            <w:tcW w:w="1447" w:type="dxa"/>
            <w:noWrap/>
            <w:hideMark/>
          </w:tcPr>
          <w:p w:rsidR="003A7FBC" w:rsidRPr="00160290" w:rsidRDefault="003A7FBC" w:rsidP="00CB3019">
            <w:pPr>
              <w:pStyle w:val="Tabletext"/>
              <w:rPr>
                <w:sz w:val="20"/>
                <w:lang w:val="en-AU"/>
              </w:rPr>
            </w:pPr>
            <w:r w:rsidRPr="00160290">
              <w:rPr>
                <w:sz w:val="20"/>
                <w:lang w:val="en-AU"/>
              </w:rPr>
              <w:t xml:space="preserve"> $10,000 </w:t>
            </w:r>
          </w:p>
        </w:tc>
      </w:tr>
      <w:tr w:rsidR="003A7FBC" w:rsidRPr="00160290" w:rsidTr="003A7FBC">
        <w:trPr>
          <w:trHeight w:val="260"/>
        </w:trPr>
        <w:tc>
          <w:tcPr>
            <w:tcW w:w="2827" w:type="dxa"/>
            <w:hideMark/>
          </w:tcPr>
          <w:p w:rsidR="003A7FBC" w:rsidRPr="00160290" w:rsidRDefault="0033149C" w:rsidP="00CB3019">
            <w:pPr>
              <w:pStyle w:val="Tabletext"/>
              <w:rPr>
                <w:sz w:val="20"/>
                <w:lang w:val="en-AU"/>
              </w:rPr>
            </w:pPr>
            <w:r w:rsidRPr="00160290">
              <w:rPr>
                <w:sz w:val="20"/>
                <w:lang w:val="en-AU"/>
              </w:rPr>
              <w:t xml:space="preserve"> Building inspector (unlimited) </w:t>
            </w:r>
          </w:p>
        </w:tc>
        <w:tc>
          <w:tcPr>
            <w:tcW w:w="1560" w:type="dxa"/>
            <w:noWrap/>
            <w:hideMark/>
          </w:tcPr>
          <w:p w:rsidR="003A7FBC" w:rsidRPr="00160290" w:rsidRDefault="003A7FBC" w:rsidP="00CB3019">
            <w:pPr>
              <w:pStyle w:val="Tabletext"/>
              <w:rPr>
                <w:sz w:val="20"/>
                <w:lang w:val="en-AU"/>
              </w:rPr>
            </w:pPr>
            <w:r w:rsidRPr="00160290">
              <w:rPr>
                <w:sz w:val="20"/>
                <w:lang w:val="en-AU"/>
              </w:rPr>
              <w:t xml:space="preserve"> $13,992 </w:t>
            </w:r>
          </w:p>
        </w:tc>
        <w:tc>
          <w:tcPr>
            <w:tcW w:w="1155" w:type="dxa"/>
            <w:noWrap/>
            <w:hideMark/>
          </w:tcPr>
          <w:p w:rsidR="003A7FBC" w:rsidRPr="00160290" w:rsidRDefault="003A7FBC" w:rsidP="00CB3019">
            <w:pPr>
              <w:pStyle w:val="Tabletext"/>
              <w:rPr>
                <w:sz w:val="20"/>
                <w:lang w:val="en-AU"/>
              </w:rPr>
            </w:pPr>
            <w:r w:rsidRPr="00160290">
              <w:rPr>
                <w:sz w:val="20"/>
                <w:lang w:val="en-AU"/>
              </w:rPr>
              <w:t>1,166</w:t>
            </w:r>
          </w:p>
        </w:tc>
        <w:tc>
          <w:tcPr>
            <w:tcW w:w="1311" w:type="dxa"/>
            <w:noWrap/>
            <w:hideMark/>
          </w:tcPr>
          <w:p w:rsidR="003A7FBC" w:rsidRPr="00160290" w:rsidRDefault="003A7FBC" w:rsidP="00CB3019">
            <w:pPr>
              <w:pStyle w:val="Tabletext"/>
              <w:rPr>
                <w:sz w:val="20"/>
                <w:lang w:val="en-AU"/>
              </w:rPr>
            </w:pPr>
            <w:r w:rsidRPr="00160290">
              <w:rPr>
                <w:sz w:val="20"/>
                <w:lang w:val="en-AU"/>
              </w:rPr>
              <w:t>3</w:t>
            </w:r>
          </w:p>
        </w:tc>
        <w:tc>
          <w:tcPr>
            <w:tcW w:w="1447" w:type="dxa"/>
            <w:noWrap/>
            <w:hideMark/>
          </w:tcPr>
          <w:p w:rsidR="003A7FBC" w:rsidRPr="00160290" w:rsidRDefault="003A7FBC" w:rsidP="00CB3019">
            <w:pPr>
              <w:pStyle w:val="Tabletext"/>
              <w:rPr>
                <w:sz w:val="20"/>
                <w:lang w:val="en-AU"/>
              </w:rPr>
            </w:pPr>
            <w:r w:rsidRPr="00160290">
              <w:rPr>
                <w:sz w:val="20"/>
                <w:lang w:val="en-AU"/>
              </w:rPr>
              <w:t xml:space="preserve"> $15,000 </w:t>
            </w:r>
          </w:p>
        </w:tc>
      </w:tr>
      <w:tr w:rsidR="003A7FBC" w:rsidRPr="00160290" w:rsidTr="003A7FBC">
        <w:trPr>
          <w:trHeight w:val="260"/>
        </w:trPr>
        <w:tc>
          <w:tcPr>
            <w:tcW w:w="2827" w:type="dxa"/>
            <w:hideMark/>
          </w:tcPr>
          <w:p w:rsidR="003A7FBC" w:rsidRPr="00160290" w:rsidRDefault="0033149C" w:rsidP="00CB3019">
            <w:pPr>
              <w:pStyle w:val="Tabletext"/>
              <w:rPr>
                <w:sz w:val="20"/>
                <w:lang w:val="en-AU"/>
              </w:rPr>
            </w:pPr>
            <w:r w:rsidRPr="00160290">
              <w:rPr>
                <w:sz w:val="20"/>
                <w:lang w:val="en-AU"/>
              </w:rPr>
              <w:t xml:space="preserve"> Building inspector (limited) </w:t>
            </w:r>
          </w:p>
        </w:tc>
        <w:tc>
          <w:tcPr>
            <w:tcW w:w="1560" w:type="dxa"/>
            <w:noWrap/>
            <w:hideMark/>
          </w:tcPr>
          <w:p w:rsidR="003A7FBC" w:rsidRPr="00160290" w:rsidRDefault="003A7FBC" w:rsidP="00CB3019">
            <w:pPr>
              <w:pStyle w:val="Tabletext"/>
              <w:rPr>
                <w:sz w:val="20"/>
                <w:lang w:val="en-AU"/>
              </w:rPr>
            </w:pPr>
            <w:r w:rsidRPr="00160290">
              <w:rPr>
                <w:sz w:val="20"/>
                <w:lang w:val="en-AU"/>
              </w:rPr>
              <w:t xml:space="preserve"> $13,992 </w:t>
            </w:r>
          </w:p>
        </w:tc>
        <w:tc>
          <w:tcPr>
            <w:tcW w:w="1155" w:type="dxa"/>
            <w:noWrap/>
            <w:hideMark/>
          </w:tcPr>
          <w:p w:rsidR="003A7FBC" w:rsidRPr="00160290" w:rsidRDefault="003A7FBC" w:rsidP="00CB3019">
            <w:pPr>
              <w:pStyle w:val="Tabletext"/>
              <w:rPr>
                <w:sz w:val="20"/>
                <w:lang w:val="en-AU"/>
              </w:rPr>
            </w:pPr>
            <w:r w:rsidRPr="00160290">
              <w:rPr>
                <w:sz w:val="20"/>
                <w:lang w:val="en-AU"/>
              </w:rPr>
              <w:t>1,166</w:t>
            </w:r>
          </w:p>
        </w:tc>
        <w:tc>
          <w:tcPr>
            <w:tcW w:w="1311" w:type="dxa"/>
            <w:noWrap/>
            <w:hideMark/>
          </w:tcPr>
          <w:p w:rsidR="003A7FBC" w:rsidRPr="00160290" w:rsidRDefault="003A7FBC" w:rsidP="00CB3019">
            <w:pPr>
              <w:pStyle w:val="Tabletext"/>
              <w:rPr>
                <w:sz w:val="20"/>
                <w:lang w:val="en-AU"/>
              </w:rPr>
            </w:pPr>
            <w:r w:rsidRPr="00160290">
              <w:rPr>
                <w:sz w:val="20"/>
                <w:lang w:val="en-AU"/>
              </w:rPr>
              <w:t>3</w:t>
            </w:r>
          </w:p>
        </w:tc>
        <w:tc>
          <w:tcPr>
            <w:tcW w:w="1447" w:type="dxa"/>
            <w:noWrap/>
            <w:hideMark/>
          </w:tcPr>
          <w:p w:rsidR="003A7FBC" w:rsidRPr="00160290" w:rsidRDefault="003A7FBC" w:rsidP="00CB3019">
            <w:pPr>
              <w:pStyle w:val="Tabletext"/>
              <w:rPr>
                <w:sz w:val="20"/>
                <w:lang w:val="en-AU"/>
              </w:rPr>
            </w:pPr>
            <w:r w:rsidRPr="00160290">
              <w:rPr>
                <w:sz w:val="20"/>
                <w:lang w:val="en-AU"/>
              </w:rPr>
              <w:t xml:space="preserve"> $10,000 </w:t>
            </w:r>
          </w:p>
        </w:tc>
      </w:tr>
      <w:tr w:rsidR="003A7FBC" w:rsidRPr="00160290" w:rsidTr="003A7FBC">
        <w:trPr>
          <w:trHeight w:val="320"/>
        </w:trPr>
        <w:tc>
          <w:tcPr>
            <w:tcW w:w="2827" w:type="dxa"/>
            <w:hideMark/>
          </w:tcPr>
          <w:p w:rsidR="003A7FBC" w:rsidRPr="00160290" w:rsidRDefault="003A7FBC" w:rsidP="00CB3019">
            <w:pPr>
              <w:pStyle w:val="Tabletext"/>
              <w:rPr>
                <w:sz w:val="20"/>
                <w:lang w:val="en-AU"/>
              </w:rPr>
            </w:pPr>
            <w:r w:rsidRPr="00160290">
              <w:rPr>
                <w:sz w:val="20"/>
                <w:lang w:val="en-AU"/>
              </w:rPr>
              <w:t xml:space="preserve"> Quantity surveyor </w:t>
            </w:r>
          </w:p>
        </w:tc>
        <w:tc>
          <w:tcPr>
            <w:tcW w:w="1560" w:type="dxa"/>
            <w:noWrap/>
            <w:hideMark/>
          </w:tcPr>
          <w:p w:rsidR="003A7FBC" w:rsidRPr="00160290" w:rsidRDefault="003A7FBC" w:rsidP="00CB3019">
            <w:pPr>
              <w:pStyle w:val="Tabletext"/>
              <w:rPr>
                <w:sz w:val="20"/>
                <w:lang w:val="en-AU"/>
              </w:rPr>
            </w:pPr>
            <w:r w:rsidRPr="00160290">
              <w:rPr>
                <w:sz w:val="20"/>
                <w:lang w:val="en-AU"/>
              </w:rPr>
              <w:t xml:space="preserve"> $28,080 </w:t>
            </w:r>
          </w:p>
        </w:tc>
        <w:tc>
          <w:tcPr>
            <w:tcW w:w="1155" w:type="dxa"/>
            <w:noWrap/>
            <w:hideMark/>
          </w:tcPr>
          <w:p w:rsidR="003A7FBC" w:rsidRPr="00160290" w:rsidRDefault="003A7FBC" w:rsidP="00CB3019">
            <w:pPr>
              <w:pStyle w:val="Tabletext"/>
              <w:rPr>
                <w:sz w:val="20"/>
                <w:lang w:val="en-AU"/>
              </w:rPr>
            </w:pPr>
            <w:r w:rsidRPr="00160290">
              <w:rPr>
                <w:sz w:val="20"/>
                <w:lang w:val="en-AU"/>
              </w:rPr>
              <w:t>2,340</w:t>
            </w:r>
          </w:p>
        </w:tc>
        <w:tc>
          <w:tcPr>
            <w:tcW w:w="1311" w:type="dxa"/>
            <w:noWrap/>
            <w:hideMark/>
          </w:tcPr>
          <w:p w:rsidR="003A7FBC" w:rsidRPr="00160290" w:rsidRDefault="003A7FBC" w:rsidP="00CB3019">
            <w:pPr>
              <w:pStyle w:val="Tabletext"/>
              <w:rPr>
                <w:sz w:val="20"/>
                <w:lang w:val="en-AU"/>
              </w:rPr>
            </w:pPr>
            <w:r w:rsidRPr="00160290">
              <w:rPr>
                <w:sz w:val="20"/>
                <w:lang w:val="en-AU"/>
              </w:rPr>
              <w:t>3</w:t>
            </w:r>
          </w:p>
        </w:tc>
        <w:tc>
          <w:tcPr>
            <w:tcW w:w="1447" w:type="dxa"/>
            <w:noWrap/>
            <w:hideMark/>
          </w:tcPr>
          <w:p w:rsidR="003A7FBC" w:rsidRPr="00160290" w:rsidRDefault="003A7FBC" w:rsidP="00CB3019">
            <w:pPr>
              <w:pStyle w:val="Tabletext"/>
              <w:rPr>
                <w:sz w:val="20"/>
                <w:lang w:val="en-AU"/>
              </w:rPr>
            </w:pPr>
            <w:r w:rsidRPr="00160290">
              <w:rPr>
                <w:sz w:val="20"/>
                <w:lang w:val="en-AU"/>
              </w:rPr>
              <w:t xml:space="preserve"> $15,000 </w:t>
            </w:r>
          </w:p>
        </w:tc>
      </w:tr>
      <w:tr w:rsidR="003A7FBC" w:rsidRPr="00160290" w:rsidTr="003A7FBC">
        <w:trPr>
          <w:trHeight w:val="260"/>
        </w:trPr>
        <w:tc>
          <w:tcPr>
            <w:tcW w:w="2827" w:type="dxa"/>
            <w:hideMark/>
          </w:tcPr>
          <w:p w:rsidR="003A7FBC" w:rsidRPr="00160290" w:rsidRDefault="003A7FBC" w:rsidP="00CB3019">
            <w:pPr>
              <w:pStyle w:val="Tabletext"/>
              <w:rPr>
                <w:sz w:val="20"/>
                <w:lang w:val="en-AU"/>
              </w:rPr>
            </w:pPr>
            <w:r w:rsidRPr="00160290">
              <w:rPr>
                <w:sz w:val="20"/>
                <w:lang w:val="en-AU"/>
              </w:rPr>
              <w:t xml:space="preserve"> Civil engineer </w:t>
            </w:r>
          </w:p>
        </w:tc>
        <w:tc>
          <w:tcPr>
            <w:tcW w:w="1560" w:type="dxa"/>
            <w:noWrap/>
            <w:hideMark/>
          </w:tcPr>
          <w:p w:rsidR="003A7FBC" w:rsidRPr="00160290" w:rsidRDefault="003A7FBC" w:rsidP="00CB3019">
            <w:pPr>
              <w:pStyle w:val="Tabletext"/>
              <w:rPr>
                <w:sz w:val="20"/>
                <w:lang w:val="en-AU"/>
              </w:rPr>
            </w:pPr>
            <w:r w:rsidRPr="00160290">
              <w:rPr>
                <w:sz w:val="20"/>
                <w:lang w:val="en-AU"/>
              </w:rPr>
              <w:t xml:space="preserve"> $35,668 </w:t>
            </w:r>
          </w:p>
        </w:tc>
        <w:tc>
          <w:tcPr>
            <w:tcW w:w="1155" w:type="dxa"/>
            <w:noWrap/>
            <w:hideMark/>
          </w:tcPr>
          <w:p w:rsidR="003A7FBC" w:rsidRPr="00160290" w:rsidRDefault="003A7FBC" w:rsidP="00CB3019">
            <w:pPr>
              <w:pStyle w:val="Tabletext"/>
              <w:rPr>
                <w:sz w:val="20"/>
                <w:lang w:val="en-AU"/>
              </w:rPr>
            </w:pPr>
            <w:r w:rsidRPr="00160290">
              <w:rPr>
                <w:sz w:val="20"/>
                <w:lang w:val="en-AU"/>
              </w:rPr>
              <w:t>6</w:t>
            </w:r>
            <w:r w:rsidR="00160290" w:rsidRPr="00160290">
              <w:rPr>
                <w:sz w:val="20"/>
                <w:lang w:val="en-AU"/>
              </w:rPr>
              <w:t>,400</w:t>
            </w:r>
          </w:p>
        </w:tc>
        <w:tc>
          <w:tcPr>
            <w:tcW w:w="1311" w:type="dxa"/>
            <w:noWrap/>
            <w:hideMark/>
          </w:tcPr>
          <w:p w:rsidR="003A7FBC" w:rsidRPr="00160290" w:rsidRDefault="003A7FBC" w:rsidP="00CB3019">
            <w:pPr>
              <w:pStyle w:val="Tabletext"/>
              <w:rPr>
                <w:sz w:val="20"/>
                <w:lang w:val="en-AU"/>
              </w:rPr>
            </w:pPr>
            <w:r w:rsidRPr="00160290">
              <w:rPr>
                <w:sz w:val="20"/>
                <w:lang w:val="en-AU"/>
              </w:rPr>
              <w:t>4</w:t>
            </w:r>
          </w:p>
        </w:tc>
        <w:tc>
          <w:tcPr>
            <w:tcW w:w="1447" w:type="dxa"/>
            <w:noWrap/>
            <w:hideMark/>
          </w:tcPr>
          <w:p w:rsidR="003A7FBC" w:rsidRPr="00160290" w:rsidRDefault="003A7FBC" w:rsidP="00CB3019">
            <w:pPr>
              <w:pStyle w:val="Tabletext"/>
              <w:rPr>
                <w:sz w:val="20"/>
                <w:lang w:val="en-AU"/>
              </w:rPr>
            </w:pPr>
            <w:r w:rsidRPr="00160290">
              <w:rPr>
                <w:sz w:val="20"/>
                <w:lang w:val="en-AU"/>
              </w:rPr>
              <w:t xml:space="preserve"> $20,000 </w:t>
            </w:r>
          </w:p>
        </w:tc>
      </w:tr>
      <w:tr w:rsidR="003A7FBC" w:rsidRPr="00160290" w:rsidTr="003A7FBC">
        <w:trPr>
          <w:trHeight w:val="260"/>
        </w:trPr>
        <w:tc>
          <w:tcPr>
            <w:tcW w:w="2827" w:type="dxa"/>
            <w:hideMark/>
          </w:tcPr>
          <w:p w:rsidR="003A7FBC" w:rsidRPr="00160290" w:rsidRDefault="003A7FBC" w:rsidP="00CB3019">
            <w:pPr>
              <w:pStyle w:val="Tabletext"/>
              <w:rPr>
                <w:sz w:val="20"/>
                <w:lang w:val="en-AU"/>
              </w:rPr>
            </w:pPr>
            <w:r w:rsidRPr="00160290">
              <w:rPr>
                <w:sz w:val="20"/>
                <w:lang w:val="en-AU"/>
              </w:rPr>
              <w:t xml:space="preserve"> Mechanical engineer </w:t>
            </w:r>
          </w:p>
        </w:tc>
        <w:tc>
          <w:tcPr>
            <w:tcW w:w="1560" w:type="dxa"/>
            <w:noWrap/>
            <w:hideMark/>
          </w:tcPr>
          <w:p w:rsidR="003A7FBC" w:rsidRPr="00160290" w:rsidRDefault="003A7FBC" w:rsidP="00CB3019">
            <w:pPr>
              <w:pStyle w:val="Tabletext"/>
              <w:rPr>
                <w:sz w:val="20"/>
                <w:lang w:val="en-AU"/>
              </w:rPr>
            </w:pPr>
            <w:r w:rsidRPr="00160290">
              <w:rPr>
                <w:sz w:val="20"/>
                <w:lang w:val="en-AU"/>
              </w:rPr>
              <w:t xml:space="preserve"> $35,668 </w:t>
            </w:r>
          </w:p>
        </w:tc>
        <w:tc>
          <w:tcPr>
            <w:tcW w:w="1155" w:type="dxa"/>
            <w:noWrap/>
            <w:hideMark/>
          </w:tcPr>
          <w:p w:rsidR="003A7FBC" w:rsidRPr="00160290" w:rsidRDefault="003A7FBC" w:rsidP="00CB3019">
            <w:pPr>
              <w:pStyle w:val="Tabletext"/>
              <w:rPr>
                <w:sz w:val="20"/>
                <w:lang w:val="en-AU"/>
              </w:rPr>
            </w:pPr>
            <w:r w:rsidRPr="00160290">
              <w:rPr>
                <w:sz w:val="20"/>
                <w:lang w:val="en-AU"/>
              </w:rPr>
              <w:t>6</w:t>
            </w:r>
            <w:r w:rsidR="00160290" w:rsidRPr="00160290">
              <w:rPr>
                <w:sz w:val="20"/>
                <w:lang w:val="en-AU"/>
              </w:rPr>
              <w:t>,400</w:t>
            </w:r>
          </w:p>
        </w:tc>
        <w:tc>
          <w:tcPr>
            <w:tcW w:w="1311" w:type="dxa"/>
            <w:noWrap/>
            <w:hideMark/>
          </w:tcPr>
          <w:p w:rsidR="003A7FBC" w:rsidRPr="00160290" w:rsidRDefault="003A7FBC" w:rsidP="00CB3019">
            <w:pPr>
              <w:pStyle w:val="Tabletext"/>
              <w:rPr>
                <w:sz w:val="20"/>
                <w:lang w:val="en-AU"/>
              </w:rPr>
            </w:pPr>
            <w:r w:rsidRPr="00160290">
              <w:rPr>
                <w:sz w:val="20"/>
                <w:lang w:val="en-AU"/>
              </w:rPr>
              <w:t>3</w:t>
            </w:r>
          </w:p>
        </w:tc>
        <w:tc>
          <w:tcPr>
            <w:tcW w:w="1447" w:type="dxa"/>
            <w:noWrap/>
            <w:hideMark/>
          </w:tcPr>
          <w:p w:rsidR="003A7FBC" w:rsidRPr="00160290" w:rsidRDefault="003A7FBC" w:rsidP="00CB3019">
            <w:pPr>
              <w:pStyle w:val="Tabletext"/>
              <w:rPr>
                <w:sz w:val="20"/>
                <w:lang w:val="en-AU"/>
              </w:rPr>
            </w:pPr>
            <w:r w:rsidRPr="00160290">
              <w:rPr>
                <w:sz w:val="20"/>
                <w:lang w:val="en-AU"/>
              </w:rPr>
              <w:t xml:space="preserve"> $20,000 </w:t>
            </w:r>
          </w:p>
        </w:tc>
      </w:tr>
      <w:tr w:rsidR="003A7FBC" w:rsidRPr="00160290" w:rsidTr="003A7FBC">
        <w:trPr>
          <w:trHeight w:val="320"/>
        </w:trPr>
        <w:tc>
          <w:tcPr>
            <w:tcW w:w="2827" w:type="dxa"/>
            <w:hideMark/>
          </w:tcPr>
          <w:p w:rsidR="003A7FBC" w:rsidRPr="00160290" w:rsidRDefault="003A7FBC" w:rsidP="00CB3019">
            <w:pPr>
              <w:pStyle w:val="Tabletext"/>
              <w:rPr>
                <w:sz w:val="20"/>
                <w:lang w:val="en-AU"/>
              </w:rPr>
            </w:pPr>
            <w:r w:rsidRPr="00160290">
              <w:rPr>
                <w:sz w:val="20"/>
                <w:lang w:val="en-AU"/>
              </w:rPr>
              <w:t xml:space="preserve"> Electrical engineer </w:t>
            </w:r>
          </w:p>
        </w:tc>
        <w:tc>
          <w:tcPr>
            <w:tcW w:w="1560" w:type="dxa"/>
            <w:noWrap/>
            <w:hideMark/>
          </w:tcPr>
          <w:p w:rsidR="003A7FBC" w:rsidRPr="00160290" w:rsidRDefault="003A7FBC" w:rsidP="00CB3019">
            <w:pPr>
              <w:pStyle w:val="Tabletext"/>
              <w:rPr>
                <w:sz w:val="20"/>
                <w:lang w:val="en-AU"/>
              </w:rPr>
            </w:pPr>
            <w:r w:rsidRPr="00160290">
              <w:rPr>
                <w:sz w:val="20"/>
                <w:lang w:val="en-AU"/>
              </w:rPr>
              <w:t xml:space="preserve"> $35,668 </w:t>
            </w:r>
          </w:p>
        </w:tc>
        <w:tc>
          <w:tcPr>
            <w:tcW w:w="1155" w:type="dxa"/>
            <w:noWrap/>
            <w:hideMark/>
          </w:tcPr>
          <w:p w:rsidR="003A7FBC" w:rsidRPr="00160290" w:rsidRDefault="003A7FBC" w:rsidP="00CB3019">
            <w:pPr>
              <w:pStyle w:val="Tabletext"/>
              <w:rPr>
                <w:sz w:val="20"/>
                <w:lang w:val="en-AU"/>
              </w:rPr>
            </w:pPr>
            <w:r w:rsidRPr="00160290">
              <w:rPr>
                <w:sz w:val="20"/>
                <w:lang w:val="en-AU"/>
              </w:rPr>
              <w:t>6</w:t>
            </w:r>
            <w:r w:rsidR="00160290" w:rsidRPr="00160290">
              <w:rPr>
                <w:sz w:val="20"/>
                <w:lang w:val="en-AU"/>
              </w:rPr>
              <w:t>,400</w:t>
            </w:r>
          </w:p>
        </w:tc>
        <w:tc>
          <w:tcPr>
            <w:tcW w:w="1311" w:type="dxa"/>
            <w:noWrap/>
            <w:hideMark/>
          </w:tcPr>
          <w:p w:rsidR="003A7FBC" w:rsidRPr="00160290" w:rsidRDefault="003A7FBC" w:rsidP="00CB3019">
            <w:pPr>
              <w:pStyle w:val="Tabletext"/>
              <w:rPr>
                <w:sz w:val="20"/>
                <w:lang w:val="en-AU"/>
              </w:rPr>
            </w:pPr>
            <w:r w:rsidRPr="00160290">
              <w:rPr>
                <w:sz w:val="20"/>
                <w:lang w:val="en-AU"/>
              </w:rPr>
              <w:t>4</w:t>
            </w:r>
          </w:p>
        </w:tc>
        <w:tc>
          <w:tcPr>
            <w:tcW w:w="1447" w:type="dxa"/>
            <w:noWrap/>
            <w:hideMark/>
          </w:tcPr>
          <w:p w:rsidR="003A7FBC" w:rsidRPr="00160290" w:rsidRDefault="003A7FBC" w:rsidP="00CB3019">
            <w:pPr>
              <w:pStyle w:val="Tabletext"/>
              <w:rPr>
                <w:sz w:val="20"/>
                <w:lang w:val="en-AU"/>
              </w:rPr>
            </w:pPr>
            <w:r w:rsidRPr="00160290">
              <w:rPr>
                <w:sz w:val="20"/>
                <w:lang w:val="en-AU"/>
              </w:rPr>
              <w:t xml:space="preserve"> $20,000 </w:t>
            </w:r>
          </w:p>
        </w:tc>
      </w:tr>
      <w:tr w:rsidR="003A7FBC" w:rsidRPr="00160290" w:rsidTr="003A7FBC">
        <w:trPr>
          <w:trHeight w:val="260"/>
        </w:trPr>
        <w:tc>
          <w:tcPr>
            <w:tcW w:w="2827" w:type="dxa"/>
            <w:hideMark/>
          </w:tcPr>
          <w:p w:rsidR="003A7FBC" w:rsidRPr="00160290" w:rsidRDefault="003A7FBC" w:rsidP="00CB3019">
            <w:pPr>
              <w:pStyle w:val="Tabletext"/>
              <w:rPr>
                <w:sz w:val="20"/>
                <w:lang w:val="en-AU"/>
              </w:rPr>
            </w:pPr>
            <w:r w:rsidRPr="00160290">
              <w:rPr>
                <w:sz w:val="20"/>
                <w:lang w:val="en-AU"/>
              </w:rPr>
              <w:t xml:space="preserve"> Fire safety engineer </w:t>
            </w:r>
          </w:p>
        </w:tc>
        <w:tc>
          <w:tcPr>
            <w:tcW w:w="1560" w:type="dxa"/>
            <w:noWrap/>
            <w:hideMark/>
          </w:tcPr>
          <w:p w:rsidR="003A7FBC" w:rsidRPr="00160290" w:rsidRDefault="003A7FBC" w:rsidP="00CB3019">
            <w:pPr>
              <w:pStyle w:val="Tabletext"/>
              <w:rPr>
                <w:sz w:val="20"/>
                <w:lang w:val="en-AU"/>
              </w:rPr>
            </w:pPr>
            <w:r w:rsidRPr="00160290">
              <w:rPr>
                <w:sz w:val="20"/>
                <w:lang w:val="en-AU"/>
              </w:rPr>
              <w:t xml:space="preserve"> $35,668 </w:t>
            </w:r>
          </w:p>
        </w:tc>
        <w:tc>
          <w:tcPr>
            <w:tcW w:w="1155" w:type="dxa"/>
            <w:noWrap/>
            <w:hideMark/>
          </w:tcPr>
          <w:p w:rsidR="003A7FBC" w:rsidRPr="00160290" w:rsidRDefault="003A7FBC" w:rsidP="00CB3019">
            <w:pPr>
              <w:pStyle w:val="Tabletext"/>
              <w:rPr>
                <w:sz w:val="20"/>
                <w:lang w:val="en-AU"/>
              </w:rPr>
            </w:pPr>
            <w:r w:rsidRPr="00160290">
              <w:rPr>
                <w:sz w:val="20"/>
                <w:lang w:val="en-AU"/>
              </w:rPr>
              <w:t>6</w:t>
            </w:r>
            <w:r w:rsidR="00160290" w:rsidRPr="00160290">
              <w:rPr>
                <w:sz w:val="20"/>
                <w:lang w:val="en-AU"/>
              </w:rPr>
              <w:t>,400</w:t>
            </w:r>
          </w:p>
        </w:tc>
        <w:tc>
          <w:tcPr>
            <w:tcW w:w="1311" w:type="dxa"/>
            <w:noWrap/>
            <w:hideMark/>
          </w:tcPr>
          <w:p w:rsidR="003A7FBC" w:rsidRPr="00160290" w:rsidRDefault="003A7FBC" w:rsidP="00CB3019">
            <w:pPr>
              <w:pStyle w:val="Tabletext"/>
              <w:rPr>
                <w:sz w:val="20"/>
                <w:lang w:val="en-AU"/>
              </w:rPr>
            </w:pPr>
            <w:r w:rsidRPr="00160290">
              <w:rPr>
                <w:sz w:val="20"/>
                <w:lang w:val="en-AU"/>
              </w:rPr>
              <w:t>4</w:t>
            </w:r>
          </w:p>
        </w:tc>
        <w:tc>
          <w:tcPr>
            <w:tcW w:w="1447" w:type="dxa"/>
            <w:noWrap/>
            <w:hideMark/>
          </w:tcPr>
          <w:p w:rsidR="003A7FBC" w:rsidRPr="00160290" w:rsidRDefault="003A7FBC" w:rsidP="00CB3019">
            <w:pPr>
              <w:pStyle w:val="Tabletext"/>
              <w:rPr>
                <w:sz w:val="20"/>
                <w:lang w:val="en-AU"/>
              </w:rPr>
            </w:pPr>
            <w:r w:rsidRPr="00160290">
              <w:rPr>
                <w:sz w:val="20"/>
                <w:lang w:val="en-AU"/>
              </w:rPr>
              <w:t xml:space="preserve"> $20,000 </w:t>
            </w:r>
          </w:p>
        </w:tc>
      </w:tr>
      <w:tr w:rsidR="003A7FBC" w:rsidRPr="00160290" w:rsidTr="003A7FBC">
        <w:trPr>
          <w:trHeight w:val="260"/>
        </w:trPr>
        <w:tc>
          <w:tcPr>
            <w:tcW w:w="2827" w:type="dxa"/>
            <w:hideMark/>
          </w:tcPr>
          <w:p w:rsidR="003A7FBC" w:rsidRPr="00160290" w:rsidRDefault="003A7FBC" w:rsidP="00CB3019">
            <w:pPr>
              <w:pStyle w:val="Tabletext"/>
              <w:rPr>
                <w:sz w:val="20"/>
                <w:lang w:val="en-AU"/>
              </w:rPr>
            </w:pPr>
            <w:r w:rsidRPr="00160290">
              <w:rPr>
                <w:sz w:val="20"/>
                <w:lang w:val="en-AU"/>
              </w:rPr>
              <w:t xml:space="preserve"> Building design (architectural) </w:t>
            </w:r>
          </w:p>
        </w:tc>
        <w:tc>
          <w:tcPr>
            <w:tcW w:w="1560" w:type="dxa"/>
            <w:noWrap/>
            <w:hideMark/>
          </w:tcPr>
          <w:p w:rsidR="003A7FBC" w:rsidRPr="00160290" w:rsidRDefault="003A7FBC" w:rsidP="00CB3019">
            <w:pPr>
              <w:pStyle w:val="Tabletext"/>
              <w:rPr>
                <w:sz w:val="20"/>
                <w:lang w:val="en-AU"/>
              </w:rPr>
            </w:pPr>
            <w:r w:rsidRPr="00160290">
              <w:rPr>
                <w:sz w:val="20"/>
                <w:lang w:val="en-AU"/>
              </w:rPr>
              <w:t xml:space="preserve"> $25,032 </w:t>
            </w:r>
          </w:p>
        </w:tc>
        <w:tc>
          <w:tcPr>
            <w:tcW w:w="1155" w:type="dxa"/>
            <w:noWrap/>
            <w:hideMark/>
          </w:tcPr>
          <w:p w:rsidR="003A7FBC" w:rsidRPr="00160290" w:rsidRDefault="003A7FBC" w:rsidP="00CB3019">
            <w:pPr>
              <w:pStyle w:val="Tabletext"/>
              <w:rPr>
                <w:sz w:val="20"/>
                <w:lang w:val="en-AU"/>
              </w:rPr>
            </w:pPr>
            <w:r w:rsidRPr="00160290">
              <w:rPr>
                <w:sz w:val="20"/>
                <w:lang w:val="en-AU"/>
              </w:rPr>
              <w:t>2,086</w:t>
            </w:r>
          </w:p>
        </w:tc>
        <w:tc>
          <w:tcPr>
            <w:tcW w:w="1311" w:type="dxa"/>
            <w:noWrap/>
            <w:hideMark/>
          </w:tcPr>
          <w:p w:rsidR="003A7FBC" w:rsidRPr="00160290" w:rsidRDefault="003A7FBC" w:rsidP="00CB3019">
            <w:pPr>
              <w:pStyle w:val="Tabletext"/>
              <w:rPr>
                <w:sz w:val="20"/>
                <w:lang w:val="en-AU"/>
              </w:rPr>
            </w:pPr>
            <w:r w:rsidRPr="00160290">
              <w:rPr>
                <w:sz w:val="20"/>
                <w:lang w:val="en-AU"/>
              </w:rPr>
              <w:t>2</w:t>
            </w:r>
          </w:p>
        </w:tc>
        <w:tc>
          <w:tcPr>
            <w:tcW w:w="1447" w:type="dxa"/>
            <w:noWrap/>
            <w:hideMark/>
          </w:tcPr>
          <w:p w:rsidR="003A7FBC" w:rsidRPr="00160290" w:rsidRDefault="003A7FBC" w:rsidP="00CB3019">
            <w:pPr>
              <w:pStyle w:val="Tabletext"/>
              <w:rPr>
                <w:sz w:val="20"/>
                <w:lang w:val="en-AU"/>
              </w:rPr>
            </w:pPr>
            <w:r w:rsidRPr="00160290">
              <w:rPr>
                <w:sz w:val="20"/>
                <w:lang w:val="en-AU"/>
              </w:rPr>
              <w:t xml:space="preserve"> $10,000 </w:t>
            </w:r>
          </w:p>
        </w:tc>
      </w:tr>
      <w:tr w:rsidR="003A7FBC" w:rsidRPr="00160290" w:rsidTr="003A7FBC">
        <w:trPr>
          <w:trHeight w:val="260"/>
        </w:trPr>
        <w:tc>
          <w:tcPr>
            <w:tcW w:w="2827" w:type="dxa"/>
            <w:hideMark/>
          </w:tcPr>
          <w:p w:rsidR="003A7FBC" w:rsidRPr="00160290" w:rsidRDefault="003A7FBC" w:rsidP="00CB3019">
            <w:pPr>
              <w:pStyle w:val="Tabletext"/>
              <w:rPr>
                <w:sz w:val="20"/>
                <w:lang w:val="en-AU"/>
              </w:rPr>
            </w:pPr>
            <w:r w:rsidRPr="00160290">
              <w:rPr>
                <w:sz w:val="20"/>
                <w:lang w:val="en-AU"/>
              </w:rPr>
              <w:t xml:space="preserve"> Building design (interior) </w:t>
            </w:r>
          </w:p>
        </w:tc>
        <w:tc>
          <w:tcPr>
            <w:tcW w:w="1560" w:type="dxa"/>
            <w:noWrap/>
            <w:hideMark/>
          </w:tcPr>
          <w:p w:rsidR="003A7FBC" w:rsidRPr="00160290" w:rsidRDefault="003A7FBC" w:rsidP="00CB3019">
            <w:pPr>
              <w:pStyle w:val="Tabletext"/>
              <w:rPr>
                <w:sz w:val="20"/>
                <w:lang w:val="en-AU"/>
              </w:rPr>
            </w:pPr>
            <w:r w:rsidRPr="00160290">
              <w:rPr>
                <w:sz w:val="20"/>
                <w:lang w:val="en-AU"/>
              </w:rPr>
              <w:t xml:space="preserve"> $13,252 </w:t>
            </w:r>
          </w:p>
        </w:tc>
        <w:tc>
          <w:tcPr>
            <w:tcW w:w="1155" w:type="dxa"/>
            <w:noWrap/>
            <w:hideMark/>
          </w:tcPr>
          <w:p w:rsidR="003A7FBC" w:rsidRPr="00160290" w:rsidRDefault="003A7FBC" w:rsidP="00CB3019">
            <w:pPr>
              <w:pStyle w:val="Tabletext"/>
              <w:rPr>
                <w:sz w:val="20"/>
                <w:lang w:val="en-AU"/>
              </w:rPr>
            </w:pPr>
            <w:r w:rsidRPr="00160290">
              <w:rPr>
                <w:sz w:val="20"/>
                <w:lang w:val="en-AU"/>
              </w:rPr>
              <w:t xml:space="preserve"> 1,325 </w:t>
            </w:r>
          </w:p>
        </w:tc>
        <w:tc>
          <w:tcPr>
            <w:tcW w:w="1311" w:type="dxa"/>
            <w:noWrap/>
            <w:hideMark/>
          </w:tcPr>
          <w:p w:rsidR="003A7FBC" w:rsidRPr="00160290" w:rsidRDefault="003A7FBC" w:rsidP="00CB3019">
            <w:pPr>
              <w:pStyle w:val="Tabletext"/>
              <w:rPr>
                <w:sz w:val="20"/>
                <w:lang w:val="en-AU"/>
              </w:rPr>
            </w:pPr>
            <w:r w:rsidRPr="00160290">
              <w:rPr>
                <w:sz w:val="20"/>
                <w:lang w:val="en-AU"/>
              </w:rPr>
              <w:t>2</w:t>
            </w:r>
          </w:p>
        </w:tc>
        <w:tc>
          <w:tcPr>
            <w:tcW w:w="1447" w:type="dxa"/>
            <w:noWrap/>
            <w:hideMark/>
          </w:tcPr>
          <w:p w:rsidR="003A7FBC" w:rsidRPr="00160290" w:rsidRDefault="003A7FBC" w:rsidP="00CB3019">
            <w:pPr>
              <w:pStyle w:val="Tabletext"/>
              <w:rPr>
                <w:sz w:val="20"/>
                <w:lang w:val="en-AU"/>
              </w:rPr>
            </w:pPr>
            <w:r w:rsidRPr="00160290">
              <w:rPr>
                <w:sz w:val="20"/>
                <w:lang w:val="en-AU"/>
              </w:rPr>
              <w:t xml:space="preserve"> $10,000 </w:t>
            </w:r>
          </w:p>
        </w:tc>
      </w:tr>
      <w:tr w:rsidR="003A7FBC" w:rsidRPr="00160290" w:rsidTr="003A7FBC">
        <w:trPr>
          <w:trHeight w:val="320"/>
        </w:trPr>
        <w:tc>
          <w:tcPr>
            <w:tcW w:w="2827" w:type="dxa"/>
            <w:hideMark/>
          </w:tcPr>
          <w:p w:rsidR="003A7FBC" w:rsidRPr="00160290" w:rsidRDefault="003A7FBC" w:rsidP="00CB3019">
            <w:pPr>
              <w:pStyle w:val="Tabletext"/>
              <w:rPr>
                <w:sz w:val="20"/>
                <w:lang w:val="en-AU"/>
              </w:rPr>
            </w:pPr>
            <w:r w:rsidRPr="00160290">
              <w:rPr>
                <w:sz w:val="20"/>
                <w:lang w:val="en-AU"/>
              </w:rPr>
              <w:t xml:space="preserve"> Building design (services) </w:t>
            </w:r>
          </w:p>
        </w:tc>
        <w:tc>
          <w:tcPr>
            <w:tcW w:w="1560" w:type="dxa"/>
            <w:noWrap/>
            <w:hideMark/>
          </w:tcPr>
          <w:p w:rsidR="003A7FBC" w:rsidRPr="00160290" w:rsidRDefault="003A7FBC" w:rsidP="00CB3019">
            <w:pPr>
              <w:pStyle w:val="Tabletext"/>
              <w:rPr>
                <w:sz w:val="20"/>
                <w:lang w:val="en-AU"/>
              </w:rPr>
            </w:pPr>
            <w:r w:rsidRPr="00160290">
              <w:rPr>
                <w:sz w:val="20"/>
                <w:lang w:val="en-AU"/>
              </w:rPr>
              <w:t xml:space="preserve"> $13,252 </w:t>
            </w:r>
          </w:p>
        </w:tc>
        <w:tc>
          <w:tcPr>
            <w:tcW w:w="1155" w:type="dxa"/>
            <w:noWrap/>
            <w:hideMark/>
          </w:tcPr>
          <w:p w:rsidR="003A7FBC" w:rsidRPr="00160290" w:rsidRDefault="003A7FBC" w:rsidP="00CB3019">
            <w:pPr>
              <w:pStyle w:val="Tabletext"/>
              <w:rPr>
                <w:sz w:val="20"/>
                <w:lang w:val="en-AU"/>
              </w:rPr>
            </w:pPr>
            <w:r w:rsidRPr="00160290">
              <w:rPr>
                <w:sz w:val="20"/>
                <w:lang w:val="en-AU"/>
              </w:rPr>
              <w:t xml:space="preserve"> 1,325 </w:t>
            </w:r>
          </w:p>
        </w:tc>
        <w:tc>
          <w:tcPr>
            <w:tcW w:w="1311" w:type="dxa"/>
            <w:noWrap/>
            <w:hideMark/>
          </w:tcPr>
          <w:p w:rsidR="003A7FBC" w:rsidRPr="00160290" w:rsidRDefault="003A7FBC" w:rsidP="00CB3019">
            <w:pPr>
              <w:pStyle w:val="Tabletext"/>
              <w:rPr>
                <w:sz w:val="20"/>
                <w:lang w:val="en-AU"/>
              </w:rPr>
            </w:pPr>
            <w:r w:rsidRPr="00160290">
              <w:rPr>
                <w:sz w:val="20"/>
                <w:lang w:val="en-AU"/>
              </w:rPr>
              <w:t>2</w:t>
            </w:r>
          </w:p>
        </w:tc>
        <w:tc>
          <w:tcPr>
            <w:tcW w:w="1447" w:type="dxa"/>
            <w:noWrap/>
            <w:hideMark/>
          </w:tcPr>
          <w:p w:rsidR="003A7FBC" w:rsidRPr="00160290" w:rsidRDefault="003A7FBC" w:rsidP="00CB3019">
            <w:pPr>
              <w:pStyle w:val="Tabletext"/>
              <w:rPr>
                <w:sz w:val="20"/>
                <w:lang w:val="en-AU"/>
              </w:rPr>
            </w:pPr>
            <w:r w:rsidRPr="00160290">
              <w:rPr>
                <w:sz w:val="20"/>
                <w:lang w:val="en-AU"/>
              </w:rPr>
              <w:t xml:space="preserve"> $10,000 </w:t>
            </w:r>
          </w:p>
        </w:tc>
      </w:tr>
      <w:tr w:rsidR="003A7FBC" w:rsidRPr="00160290" w:rsidTr="003A7FBC">
        <w:trPr>
          <w:trHeight w:val="260"/>
        </w:trPr>
        <w:tc>
          <w:tcPr>
            <w:tcW w:w="2827" w:type="dxa"/>
            <w:hideMark/>
          </w:tcPr>
          <w:p w:rsidR="003A7FBC" w:rsidRPr="00160290" w:rsidRDefault="003A7FBC" w:rsidP="00CB3019">
            <w:pPr>
              <w:pStyle w:val="Tabletext"/>
              <w:rPr>
                <w:sz w:val="20"/>
                <w:lang w:val="en-AU"/>
              </w:rPr>
            </w:pPr>
            <w:r w:rsidRPr="00160290">
              <w:rPr>
                <w:sz w:val="20"/>
                <w:lang w:val="en-AU"/>
              </w:rPr>
              <w:t xml:space="preserve"> Commercial builder (unlimited) </w:t>
            </w:r>
          </w:p>
        </w:tc>
        <w:tc>
          <w:tcPr>
            <w:tcW w:w="1560" w:type="dxa"/>
            <w:noWrap/>
            <w:hideMark/>
          </w:tcPr>
          <w:p w:rsidR="003A7FBC" w:rsidRPr="00160290" w:rsidRDefault="003A7FBC" w:rsidP="00CB3019">
            <w:pPr>
              <w:pStyle w:val="Tabletext"/>
              <w:rPr>
                <w:sz w:val="20"/>
                <w:lang w:val="en-AU"/>
              </w:rPr>
            </w:pPr>
            <w:r w:rsidRPr="00160290">
              <w:rPr>
                <w:sz w:val="20"/>
                <w:lang w:val="en-AU"/>
              </w:rPr>
              <w:t xml:space="preserve"> $22,080 </w:t>
            </w:r>
          </w:p>
        </w:tc>
        <w:tc>
          <w:tcPr>
            <w:tcW w:w="1155" w:type="dxa"/>
            <w:noWrap/>
            <w:hideMark/>
          </w:tcPr>
          <w:p w:rsidR="003A7FBC" w:rsidRPr="00160290" w:rsidRDefault="003A7FBC" w:rsidP="00CB3019">
            <w:pPr>
              <w:pStyle w:val="Tabletext"/>
              <w:rPr>
                <w:sz w:val="20"/>
                <w:lang w:val="en-AU"/>
              </w:rPr>
            </w:pPr>
            <w:r w:rsidRPr="00160290">
              <w:rPr>
                <w:sz w:val="20"/>
                <w:lang w:val="en-AU"/>
              </w:rPr>
              <w:t>1,840</w:t>
            </w:r>
          </w:p>
        </w:tc>
        <w:tc>
          <w:tcPr>
            <w:tcW w:w="1311" w:type="dxa"/>
            <w:noWrap/>
            <w:hideMark/>
          </w:tcPr>
          <w:p w:rsidR="003A7FBC" w:rsidRPr="00160290" w:rsidRDefault="003A7FBC" w:rsidP="00CB3019">
            <w:pPr>
              <w:pStyle w:val="Tabletext"/>
              <w:rPr>
                <w:sz w:val="20"/>
                <w:lang w:val="en-AU"/>
              </w:rPr>
            </w:pPr>
            <w:r w:rsidRPr="00160290">
              <w:rPr>
                <w:sz w:val="20"/>
                <w:lang w:val="en-AU"/>
              </w:rPr>
              <w:t>4</w:t>
            </w:r>
          </w:p>
        </w:tc>
        <w:tc>
          <w:tcPr>
            <w:tcW w:w="1447" w:type="dxa"/>
            <w:noWrap/>
            <w:hideMark/>
          </w:tcPr>
          <w:p w:rsidR="003A7FBC" w:rsidRPr="00160290" w:rsidRDefault="003A7FBC" w:rsidP="00CB3019">
            <w:pPr>
              <w:pStyle w:val="Tabletext"/>
              <w:rPr>
                <w:sz w:val="20"/>
                <w:lang w:val="en-AU"/>
              </w:rPr>
            </w:pPr>
            <w:r w:rsidRPr="00160290">
              <w:rPr>
                <w:sz w:val="20"/>
                <w:lang w:val="en-AU"/>
              </w:rPr>
              <w:t xml:space="preserve"> $15,000 </w:t>
            </w:r>
          </w:p>
        </w:tc>
      </w:tr>
      <w:tr w:rsidR="003A7FBC" w:rsidRPr="00160290" w:rsidTr="003A7FBC">
        <w:trPr>
          <w:trHeight w:val="260"/>
        </w:trPr>
        <w:tc>
          <w:tcPr>
            <w:tcW w:w="2827" w:type="dxa"/>
            <w:hideMark/>
          </w:tcPr>
          <w:p w:rsidR="003A7FBC" w:rsidRPr="00160290" w:rsidRDefault="003A7FBC" w:rsidP="00CB3019">
            <w:pPr>
              <w:pStyle w:val="Tabletext"/>
              <w:rPr>
                <w:sz w:val="20"/>
                <w:lang w:val="en-AU"/>
              </w:rPr>
            </w:pPr>
            <w:r w:rsidRPr="00160290">
              <w:rPr>
                <w:sz w:val="20"/>
                <w:lang w:val="en-AU"/>
              </w:rPr>
              <w:t xml:space="preserve"> Commercial builder (limited) </w:t>
            </w:r>
          </w:p>
        </w:tc>
        <w:tc>
          <w:tcPr>
            <w:tcW w:w="1560" w:type="dxa"/>
            <w:noWrap/>
            <w:hideMark/>
          </w:tcPr>
          <w:p w:rsidR="003A7FBC" w:rsidRPr="00160290" w:rsidRDefault="003A7FBC" w:rsidP="00CB3019">
            <w:pPr>
              <w:pStyle w:val="Tabletext"/>
              <w:rPr>
                <w:sz w:val="20"/>
                <w:lang w:val="en-AU"/>
              </w:rPr>
            </w:pPr>
            <w:r w:rsidRPr="00160290">
              <w:rPr>
                <w:sz w:val="20"/>
                <w:lang w:val="en-AU"/>
              </w:rPr>
              <w:t xml:space="preserve"> $11,040 </w:t>
            </w:r>
          </w:p>
        </w:tc>
        <w:tc>
          <w:tcPr>
            <w:tcW w:w="1155" w:type="dxa"/>
            <w:noWrap/>
            <w:hideMark/>
          </w:tcPr>
          <w:p w:rsidR="003A7FBC" w:rsidRPr="00160290" w:rsidRDefault="003A7FBC" w:rsidP="00CB3019">
            <w:pPr>
              <w:pStyle w:val="Tabletext"/>
              <w:rPr>
                <w:sz w:val="20"/>
                <w:lang w:val="en-AU"/>
              </w:rPr>
            </w:pPr>
            <w:r w:rsidRPr="00160290">
              <w:rPr>
                <w:sz w:val="20"/>
                <w:lang w:val="en-AU"/>
              </w:rPr>
              <w:t>920</w:t>
            </w:r>
          </w:p>
        </w:tc>
        <w:tc>
          <w:tcPr>
            <w:tcW w:w="1311" w:type="dxa"/>
            <w:noWrap/>
            <w:hideMark/>
          </w:tcPr>
          <w:p w:rsidR="003A7FBC" w:rsidRPr="00160290" w:rsidRDefault="003A7FBC" w:rsidP="00CB3019">
            <w:pPr>
              <w:pStyle w:val="Tabletext"/>
              <w:rPr>
                <w:sz w:val="20"/>
                <w:lang w:val="en-AU"/>
              </w:rPr>
            </w:pPr>
            <w:r w:rsidRPr="00160290">
              <w:rPr>
                <w:sz w:val="20"/>
                <w:lang w:val="en-AU"/>
              </w:rPr>
              <w:t>1</w:t>
            </w:r>
          </w:p>
        </w:tc>
        <w:tc>
          <w:tcPr>
            <w:tcW w:w="1447" w:type="dxa"/>
            <w:noWrap/>
            <w:hideMark/>
          </w:tcPr>
          <w:p w:rsidR="003A7FBC" w:rsidRPr="00160290" w:rsidRDefault="003A7FBC" w:rsidP="00CB3019">
            <w:pPr>
              <w:pStyle w:val="Tabletext"/>
              <w:rPr>
                <w:sz w:val="20"/>
                <w:lang w:val="en-AU"/>
              </w:rPr>
            </w:pPr>
            <w:r w:rsidRPr="00160290">
              <w:rPr>
                <w:sz w:val="20"/>
                <w:lang w:val="en-AU"/>
              </w:rPr>
              <w:t xml:space="preserve"> $10,000 </w:t>
            </w:r>
          </w:p>
        </w:tc>
      </w:tr>
      <w:tr w:rsidR="003A7FBC" w:rsidRPr="00160290" w:rsidTr="003A7FBC">
        <w:trPr>
          <w:trHeight w:val="260"/>
        </w:trPr>
        <w:tc>
          <w:tcPr>
            <w:tcW w:w="2827" w:type="dxa"/>
            <w:hideMark/>
          </w:tcPr>
          <w:p w:rsidR="003A7FBC" w:rsidRPr="00160290" w:rsidRDefault="003A7FBC" w:rsidP="00CB3019">
            <w:pPr>
              <w:pStyle w:val="Tabletext"/>
              <w:rPr>
                <w:sz w:val="20"/>
                <w:lang w:val="en-AU"/>
              </w:rPr>
            </w:pPr>
            <w:r w:rsidRPr="00160290">
              <w:rPr>
                <w:sz w:val="20"/>
                <w:lang w:val="en-AU"/>
              </w:rPr>
              <w:t xml:space="preserve"> Domestic builder (unlimited) </w:t>
            </w:r>
          </w:p>
        </w:tc>
        <w:tc>
          <w:tcPr>
            <w:tcW w:w="1560" w:type="dxa"/>
            <w:noWrap/>
            <w:hideMark/>
          </w:tcPr>
          <w:p w:rsidR="003A7FBC" w:rsidRPr="00160290" w:rsidRDefault="003A7FBC" w:rsidP="00CB3019">
            <w:pPr>
              <w:pStyle w:val="Tabletext"/>
              <w:rPr>
                <w:sz w:val="20"/>
                <w:lang w:val="en-AU"/>
              </w:rPr>
            </w:pPr>
            <w:r w:rsidRPr="00160290">
              <w:rPr>
                <w:sz w:val="20"/>
                <w:lang w:val="en-AU"/>
              </w:rPr>
              <w:t xml:space="preserve"> $22,080 </w:t>
            </w:r>
          </w:p>
        </w:tc>
        <w:tc>
          <w:tcPr>
            <w:tcW w:w="1155" w:type="dxa"/>
            <w:noWrap/>
            <w:hideMark/>
          </w:tcPr>
          <w:p w:rsidR="003A7FBC" w:rsidRPr="00160290" w:rsidRDefault="003A7FBC" w:rsidP="00CB3019">
            <w:pPr>
              <w:pStyle w:val="Tabletext"/>
              <w:rPr>
                <w:sz w:val="20"/>
                <w:lang w:val="en-AU"/>
              </w:rPr>
            </w:pPr>
            <w:r w:rsidRPr="00160290">
              <w:rPr>
                <w:sz w:val="20"/>
                <w:lang w:val="en-AU"/>
              </w:rPr>
              <w:t>1,840</w:t>
            </w:r>
          </w:p>
        </w:tc>
        <w:tc>
          <w:tcPr>
            <w:tcW w:w="1311" w:type="dxa"/>
            <w:noWrap/>
            <w:hideMark/>
          </w:tcPr>
          <w:p w:rsidR="003A7FBC" w:rsidRPr="00160290" w:rsidRDefault="003A7FBC" w:rsidP="00CB3019">
            <w:pPr>
              <w:pStyle w:val="Tabletext"/>
              <w:rPr>
                <w:sz w:val="20"/>
                <w:lang w:val="en-AU"/>
              </w:rPr>
            </w:pPr>
            <w:r w:rsidRPr="00160290">
              <w:rPr>
                <w:sz w:val="20"/>
                <w:lang w:val="en-AU"/>
              </w:rPr>
              <w:t>4</w:t>
            </w:r>
          </w:p>
        </w:tc>
        <w:tc>
          <w:tcPr>
            <w:tcW w:w="1447" w:type="dxa"/>
            <w:noWrap/>
            <w:hideMark/>
          </w:tcPr>
          <w:p w:rsidR="003A7FBC" w:rsidRPr="00160290" w:rsidRDefault="003A7FBC" w:rsidP="00CB3019">
            <w:pPr>
              <w:pStyle w:val="Tabletext"/>
              <w:rPr>
                <w:sz w:val="20"/>
                <w:lang w:val="en-AU"/>
              </w:rPr>
            </w:pPr>
            <w:r w:rsidRPr="00160290">
              <w:rPr>
                <w:sz w:val="20"/>
                <w:lang w:val="en-AU"/>
              </w:rPr>
              <w:t xml:space="preserve"> $10,000 </w:t>
            </w:r>
          </w:p>
        </w:tc>
      </w:tr>
      <w:tr w:rsidR="003A7FBC" w:rsidRPr="00160290" w:rsidTr="003A7FBC">
        <w:trPr>
          <w:trHeight w:val="260"/>
        </w:trPr>
        <w:tc>
          <w:tcPr>
            <w:tcW w:w="2827" w:type="dxa"/>
            <w:hideMark/>
          </w:tcPr>
          <w:p w:rsidR="003A7FBC" w:rsidRPr="00160290" w:rsidRDefault="003A7FBC" w:rsidP="00CB3019">
            <w:pPr>
              <w:pStyle w:val="Tabletext"/>
              <w:rPr>
                <w:sz w:val="20"/>
                <w:lang w:val="en-AU"/>
              </w:rPr>
            </w:pPr>
            <w:r w:rsidRPr="00160290">
              <w:rPr>
                <w:sz w:val="20"/>
                <w:lang w:val="en-AU"/>
              </w:rPr>
              <w:t xml:space="preserve"> Domestic builder (limited) </w:t>
            </w:r>
          </w:p>
        </w:tc>
        <w:tc>
          <w:tcPr>
            <w:tcW w:w="1560" w:type="dxa"/>
            <w:noWrap/>
            <w:hideMark/>
          </w:tcPr>
          <w:p w:rsidR="003A7FBC" w:rsidRPr="00160290" w:rsidRDefault="003A7FBC" w:rsidP="00CB3019">
            <w:pPr>
              <w:pStyle w:val="Tabletext"/>
              <w:rPr>
                <w:sz w:val="20"/>
                <w:lang w:val="en-AU"/>
              </w:rPr>
            </w:pPr>
            <w:r w:rsidRPr="00160290">
              <w:rPr>
                <w:sz w:val="20"/>
                <w:lang w:val="en-AU"/>
              </w:rPr>
              <w:t xml:space="preserve"> $11,040 </w:t>
            </w:r>
          </w:p>
        </w:tc>
        <w:tc>
          <w:tcPr>
            <w:tcW w:w="1155" w:type="dxa"/>
            <w:noWrap/>
            <w:hideMark/>
          </w:tcPr>
          <w:p w:rsidR="003A7FBC" w:rsidRPr="00160290" w:rsidRDefault="003A7FBC" w:rsidP="00CB3019">
            <w:pPr>
              <w:pStyle w:val="Tabletext"/>
              <w:rPr>
                <w:sz w:val="20"/>
                <w:lang w:val="en-AU"/>
              </w:rPr>
            </w:pPr>
            <w:r w:rsidRPr="00160290">
              <w:rPr>
                <w:sz w:val="20"/>
                <w:lang w:val="en-AU"/>
              </w:rPr>
              <w:t>920</w:t>
            </w:r>
          </w:p>
        </w:tc>
        <w:tc>
          <w:tcPr>
            <w:tcW w:w="1311" w:type="dxa"/>
            <w:noWrap/>
            <w:hideMark/>
          </w:tcPr>
          <w:p w:rsidR="003A7FBC" w:rsidRPr="00160290" w:rsidRDefault="003A7FBC" w:rsidP="00CB3019">
            <w:pPr>
              <w:pStyle w:val="Tabletext"/>
              <w:rPr>
                <w:sz w:val="20"/>
                <w:lang w:val="en-AU"/>
              </w:rPr>
            </w:pPr>
            <w:r w:rsidRPr="00160290">
              <w:rPr>
                <w:sz w:val="20"/>
                <w:lang w:val="en-AU"/>
              </w:rPr>
              <w:t>1</w:t>
            </w:r>
          </w:p>
        </w:tc>
        <w:tc>
          <w:tcPr>
            <w:tcW w:w="1447" w:type="dxa"/>
            <w:noWrap/>
            <w:hideMark/>
          </w:tcPr>
          <w:p w:rsidR="003A7FBC" w:rsidRPr="00160290" w:rsidRDefault="003A7FBC" w:rsidP="00CB3019">
            <w:pPr>
              <w:pStyle w:val="Tabletext"/>
              <w:rPr>
                <w:sz w:val="20"/>
                <w:lang w:val="en-AU"/>
              </w:rPr>
            </w:pPr>
            <w:r w:rsidRPr="00160290">
              <w:rPr>
                <w:sz w:val="20"/>
                <w:lang w:val="en-AU"/>
              </w:rPr>
              <w:t xml:space="preserve"> $7,000 </w:t>
            </w:r>
          </w:p>
        </w:tc>
      </w:tr>
    </w:tbl>
    <w:p w:rsidR="0033149C" w:rsidRDefault="003A7FBC" w:rsidP="003A7FBC">
      <w:pPr>
        <w:spacing w:before="120" w:after="120"/>
        <w:rPr>
          <w:i/>
          <w:sz w:val="18"/>
        </w:rPr>
      </w:pPr>
      <w:r w:rsidRPr="00160290">
        <w:rPr>
          <w:i/>
          <w:sz w:val="18"/>
        </w:rPr>
        <w:t>Source: Regulatory Impact Solutions</w:t>
      </w:r>
    </w:p>
    <w:p w:rsidR="00F71F1A" w:rsidRDefault="00F71F1A"/>
    <w:p w:rsidR="003A7FBC" w:rsidRPr="00160290" w:rsidRDefault="003A7FBC" w:rsidP="00757E56">
      <w:r w:rsidRPr="00160290">
        <w:t xml:space="preserve">Course fees are taken as </w:t>
      </w:r>
      <w:r w:rsidR="0033149C">
        <w:t xml:space="preserve">the </w:t>
      </w:r>
      <w:r w:rsidRPr="00160290">
        <w:t>average of course fees published by a selection of institutions (Victoria University, Victoria Polytechnic, Holmesglen</w:t>
      </w:r>
      <w:r w:rsidR="0033149C">
        <w:t xml:space="preserve"> and </w:t>
      </w:r>
      <w:r w:rsidRPr="00160290">
        <w:t xml:space="preserve">Latrobe University). Using </w:t>
      </w:r>
      <w:r w:rsidR="0033149C">
        <w:t xml:space="preserve">the </w:t>
      </w:r>
      <w:r w:rsidRPr="00160290">
        <w:t>average is likely to overestimate the minimum cost of compliance</w:t>
      </w:r>
      <w:r w:rsidR="0033149C">
        <w:t>, but</w:t>
      </w:r>
      <w:r w:rsidR="004028EE">
        <w:t xml:space="preserve"> </w:t>
      </w:r>
      <w:r w:rsidRPr="00160290">
        <w:t>will more accurately reflect the costs more likely to be incurred across the population. Where the listed qualification is no longer offered under that title, the current equivalent has been used. Course costs include tuition fees and course materials. Student service fees have been excluded as students receive other benefits in exchange for these fees.</w:t>
      </w:r>
    </w:p>
    <w:p w:rsidR="002129C8" w:rsidRPr="00160290" w:rsidRDefault="003A7FBC" w:rsidP="00757E56">
      <w:r w:rsidRPr="00160290">
        <w:t xml:space="preserve">Courses below diploma level include the full course cost even though the course cost may be subsidised by the Victorian Government under the Victorian Training Guarantee. This means the cost reflects the total cost to the Victorian community of the course. However, for </w:t>
      </w:r>
      <w:r w:rsidR="00160290">
        <w:t>d</w:t>
      </w:r>
      <w:r w:rsidRPr="00160290">
        <w:t>egree courses, only the student contribution has been included under an assumption of all places being Commonwealth</w:t>
      </w:r>
      <w:r w:rsidR="0033149C">
        <w:t>-s</w:t>
      </w:r>
      <w:r w:rsidRPr="00160290">
        <w:t xml:space="preserve">upported </w:t>
      </w:r>
      <w:r w:rsidR="0033149C">
        <w:t>p</w:t>
      </w:r>
      <w:r w:rsidRPr="00160290">
        <w:t>laces.</w:t>
      </w:r>
    </w:p>
    <w:p w:rsidR="003A7FBC" w:rsidRPr="00160290" w:rsidRDefault="003A7FBC" w:rsidP="00757E56">
      <w:r w:rsidRPr="00160290">
        <w:t xml:space="preserve">The number of years needed to achieve the experience requirement is generally higher than the number of years listed in the Regulations. This is because it nearly always takes more time to achieve experience in all relevant elements assessed by </w:t>
      </w:r>
      <w:r w:rsidR="000E2924">
        <w:t>VBA</w:t>
      </w:r>
      <w:r w:rsidRPr="00160290">
        <w:t xml:space="preserve">. Therefore, the actual duration of experience </w:t>
      </w:r>
      <w:r w:rsidR="00703FD9" w:rsidRPr="00160290">
        <w:t>before</w:t>
      </w:r>
      <w:r w:rsidRPr="00160290">
        <w:t xml:space="preserve"> achieving registration has been used. This is an average</w:t>
      </w:r>
      <w:r w:rsidR="0033149C">
        <w:t>,</w:t>
      </w:r>
      <w:r w:rsidRPr="00160290">
        <w:t xml:space="preserve"> based on discussions </w:t>
      </w:r>
      <w:r w:rsidR="0033149C">
        <w:t xml:space="preserve">with </w:t>
      </w:r>
      <w:r w:rsidR="000E2924">
        <w:t>VBA</w:t>
      </w:r>
      <w:r w:rsidR="0033149C">
        <w:t xml:space="preserve"> about </w:t>
      </w:r>
      <w:r w:rsidRPr="00160290">
        <w:t>their assessment methodology.</w:t>
      </w:r>
    </w:p>
    <w:p w:rsidR="003A7FBC" w:rsidRPr="00160290" w:rsidRDefault="003A7FBC" w:rsidP="00757E56">
      <w:r w:rsidRPr="00160290">
        <w:lastRenderedPageBreak/>
        <w:t xml:space="preserve">The income differential used refers to the difference between average earnings for the population and the </w:t>
      </w:r>
      <w:r w:rsidR="00703FD9" w:rsidRPr="00160290">
        <w:t>starting</w:t>
      </w:r>
      <w:r w:rsidRPr="00160290">
        <w:t xml:space="preserve"> annual income for each group</w:t>
      </w:r>
      <w:r w:rsidR="0033149C">
        <w:t xml:space="preserve">. It is </w:t>
      </w:r>
      <w:r w:rsidRPr="00160290">
        <w:t>based on desktop research, validated by discussions with a sample of registered building practitioners across all groups. This is used for modelling purposes only, as it is difficult to estimate the income a building practitioner might be able to achieve were no experience requirements in place.</w:t>
      </w:r>
    </w:p>
    <w:p w:rsidR="00F71F1A" w:rsidRDefault="003A7FBC">
      <w:pPr>
        <w:pStyle w:val="Heading4"/>
      </w:pPr>
      <w:bookmarkStart w:id="73" w:name="_Toc481502216"/>
      <w:r w:rsidRPr="00160290">
        <w:t>Avoided consumer detriment</w:t>
      </w:r>
      <w:bookmarkEnd w:id="73"/>
    </w:p>
    <w:p w:rsidR="003A7FBC" w:rsidRPr="00160290" w:rsidRDefault="003A7FBC" w:rsidP="00757E56">
      <w:r w:rsidRPr="00160290">
        <w:t xml:space="preserve">This report uses a measure of consumer detriment reported in the </w:t>
      </w:r>
      <w:r w:rsidR="00D3125B" w:rsidRPr="00D3125B">
        <w:rPr>
          <w:i/>
        </w:rPr>
        <w:t>2016 Australian Consumer Survey</w:t>
      </w:r>
      <w:r w:rsidRPr="00160290">
        <w:t xml:space="preserve"> (published </w:t>
      </w:r>
      <w:r w:rsidR="0033149C">
        <w:t xml:space="preserve">on </w:t>
      </w:r>
      <w:r w:rsidRPr="00160290">
        <w:t>18 May 2016) by the Commonwealth Treasurer. The full report is available on the Australian Consumer Law website.</w:t>
      </w:r>
    </w:p>
    <w:p w:rsidR="003A7FBC" w:rsidRPr="00160290" w:rsidRDefault="003A7FBC" w:rsidP="00757E56">
      <w:pPr>
        <w:rPr>
          <w:rFonts w:cs="Times New Roman"/>
        </w:rPr>
      </w:pPr>
      <w:r w:rsidRPr="00160290">
        <w:rPr>
          <w:rFonts w:cs="Times New Roman"/>
        </w:rPr>
        <w:t xml:space="preserve">A ‘detrimental incident’ is one of a range of problems experienced by consumers when engaging professionals to undertake building, renovations, repairs or maintenance. The problems reported include poor workmanship, poor customer service, faulty or unsafe products, delays in having defects repaired or replaced, false or misleading information, </w:t>
      </w:r>
      <w:proofErr w:type="spellStart"/>
      <w:r w:rsidRPr="00160290">
        <w:rPr>
          <w:rFonts w:cs="Times New Roman"/>
        </w:rPr>
        <w:t>nondelivery</w:t>
      </w:r>
      <w:proofErr w:type="spellEnd"/>
      <w:r w:rsidRPr="00160290">
        <w:rPr>
          <w:rFonts w:cs="Times New Roman"/>
        </w:rPr>
        <w:t xml:space="preserve"> of a service, unclear or unfair terms or price, and scams. The measure used to determine the break-even points is the cost to the consumer either direct loss or costs of rectifying the problem. It includes the time spent by the consumer dealing with the problem.</w:t>
      </w:r>
    </w:p>
    <w:p w:rsidR="003A7FBC" w:rsidRPr="00160290" w:rsidRDefault="003A7FBC" w:rsidP="00757E56">
      <w:pPr>
        <w:rPr>
          <w:rFonts w:cs="Times New Roman"/>
        </w:rPr>
      </w:pPr>
      <w:r w:rsidRPr="00160290">
        <w:rPr>
          <w:rFonts w:cs="Times New Roman"/>
        </w:rPr>
        <w:t xml:space="preserve">The </w:t>
      </w:r>
      <w:r w:rsidR="00160290">
        <w:rPr>
          <w:rFonts w:cs="Times New Roman"/>
        </w:rPr>
        <w:t>s</w:t>
      </w:r>
      <w:r w:rsidRPr="00160290">
        <w:rPr>
          <w:rFonts w:cs="Times New Roman"/>
        </w:rPr>
        <w:t xml:space="preserve">urvey only reports this estimated average cost at a national level: $751.36 per incident. This was a reduced estimate from the previous 2011 </w:t>
      </w:r>
      <w:r w:rsidR="00160290">
        <w:rPr>
          <w:rFonts w:cs="Times New Roman"/>
        </w:rPr>
        <w:t>s</w:t>
      </w:r>
      <w:r w:rsidRPr="00160290">
        <w:rPr>
          <w:rFonts w:cs="Times New Roman"/>
        </w:rPr>
        <w:t xml:space="preserve">urvey of $1,321.02. However, both estimates are below a previous estimate measured for Victoria by </w:t>
      </w:r>
      <w:r w:rsidR="006F48F9">
        <w:rPr>
          <w:rFonts w:cs="Times New Roman"/>
        </w:rPr>
        <w:t>CAV</w:t>
      </w:r>
      <w:r w:rsidRPr="00160290">
        <w:rPr>
          <w:rStyle w:val="FootnoteReference"/>
          <w:rFonts w:cs="Times New Roman"/>
        </w:rPr>
        <w:footnoteReference w:id="40"/>
      </w:r>
      <w:r w:rsidRPr="00160290">
        <w:rPr>
          <w:rFonts w:cs="Times New Roman"/>
        </w:rPr>
        <w:t xml:space="preserve"> in 2006, which estimated that detriment relating to building and renovating cost the consumer an average of $1,600 in money, time and emotional cost per incident. There was no overlap in the timing of the surveys, so it is unclear whether Victoria has experienced a decline in the average cost of building problems or if the costs of detriment in Victoria per incident are higher than the national average.</w:t>
      </w:r>
    </w:p>
    <w:p w:rsidR="003A7FBC" w:rsidRPr="00160290" w:rsidRDefault="003A7FBC" w:rsidP="00757E56">
      <w:pPr>
        <w:rPr>
          <w:rFonts w:cs="Times New Roman"/>
        </w:rPr>
      </w:pPr>
      <w:r w:rsidRPr="00160290">
        <w:rPr>
          <w:rFonts w:cs="Times New Roman"/>
        </w:rPr>
        <w:t xml:space="preserve">The 2016 </w:t>
      </w:r>
      <w:r w:rsidR="00160290">
        <w:rPr>
          <w:rFonts w:cs="Times New Roman"/>
        </w:rPr>
        <w:t>s</w:t>
      </w:r>
      <w:r w:rsidRPr="00160290">
        <w:rPr>
          <w:rFonts w:cs="Times New Roman"/>
        </w:rPr>
        <w:t>urvey does report state and territory results on the incidence of experiencing a problem, which reports that the incidence of problems relating to building or renovations is slightly higher (18%) in Victoria than the national incidence (17%). It is unclear how (or if) this higher incidence may translate into a higher average cost of rectifying problems.</w:t>
      </w:r>
    </w:p>
    <w:p w:rsidR="000758E3" w:rsidRPr="00160290" w:rsidRDefault="000758E3" w:rsidP="00F7154D"/>
    <w:p w:rsidR="0058551B" w:rsidRPr="00160290" w:rsidRDefault="0058551B">
      <w:pPr>
        <w:rPr>
          <w:rFonts w:cs="Times New Roman"/>
        </w:rPr>
      </w:pPr>
      <w:r w:rsidRPr="00160290">
        <w:br w:type="page"/>
      </w:r>
    </w:p>
    <w:p w:rsidR="0058551B" w:rsidRPr="00160290" w:rsidRDefault="003448FA" w:rsidP="00F7154D">
      <w:r>
        <w:rPr>
          <w:noProof/>
        </w:rPr>
        <w:lastRenderedPageBreak/>
        <mc:AlternateContent>
          <mc:Choice Requires="wpc">
            <w:drawing>
              <wp:anchor distT="0" distB="0" distL="114300" distR="114300" simplePos="0" relativeHeight="251662336" behindDoc="0" locked="0" layoutInCell="1" allowOverlap="1">
                <wp:simplePos x="0" y="0"/>
                <wp:positionH relativeFrom="page">
                  <wp:posOffset>0</wp:posOffset>
                </wp:positionH>
                <wp:positionV relativeFrom="page">
                  <wp:posOffset>0</wp:posOffset>
                </wp:positionV>
                <wp:extent cx="7562850" cy="10687050"/>
                <wp:effectExtent l="0" t="0" r="0" b="0"/>
                <wp:wrapNone/>
                <wp:docPr id="5" name="BackCoverPortrait"/>
                <wp:cNvGraphicFramePr>
                  <a:graphicFrameLocks xmlns:a="http://schemas.openxmlformats.org/drawingml/2006/main"/>
                </wp:cNvGraphicFramePr>
                <a:graphic xmlns:a="http://schemas.openxmlformats.org/drawingml/2006/main">
                  <a:graphicData uri="http://schemas.microsoft.com/office/word/2010/wordprocessingCanvas">
                    <wpc:wpc>
                      <wpc:bg>
                        <a:solidFill>
                          <a:schemeClr val="bg1">
                            <a:lumMod val="100000"/>
                            <a:lumOff val="0"/>
                          </a:schemeClr>
                        </a:solidFill>
                      </wpc:bg>
                      <wpc:whole/>
                      <wps:wsp>
                        <wps:cNvPr id="18" name="DELWPRectangle"/>
                        <wps:cNvSpPr>
                          <a:spLocks noChangeArrowheads="1"/>
                        </wps:cNvSpPr>
                        <wps:spPr bwMode="auto">
                          <a:xfrm>
                            <a:off x="358702" y="360002"/>
                            <a:ext cx="6840045" cy="9972047"/>
                          </a:xfrm>
                          <a:prstGeom prst="rect">
                            <a:avLst/>
                          </a:prstGeom>
                          <a:solidFill>
                            <a:srgbClr val="20154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Text Box 22"/>
                        <wps:cNvSpPr txBox="1">
                          <a:spLocks noChangeArrowheads="1"/>
                        </wps:cNvSpPr>
                        <wps:spPr bwMode="auto">
                          <a:xfrm>
                            <a:off x="720005" y="9757446"/>
                            <a:ext cx="2383216" cy="576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011DF3" w:rsidRDefault="00011DF3" w:rsidP="00CC18C6">
                              <w:pPr>
                                <w:pStyle w:val="xWeb"/>
                                <w:rPr>
                                  <w:color w:val="FFFFFF"/>
                                </w:rPr>
                              </w:pPr>
                              <w:r w:rsidRPr="00CC18C6">
                                <w:rPr>
                                  <w:color w:val="FFFFFF"/>
                                </w:rPr>
                                <w:t>delwp.vic.gov.au</w:t>
                              </w:r>
                            </w:p>
                            <w:p w:rsidR="00011DF3" w:rsidRPr="00CC18C6" w:rsidRDefault="00011DF3" w:rsidP="00CC18C6">
                              <w:pPr>
                                <w:pStyle w:val="xWeb"/>
                                <w:rPr>
                                  <w:color w:val="FFFFFF"/>
                                </w:rPr>
                              </w:pPr>
                            </w:p>
                          </w:txbxContent>
                        </wps:txbx>
                        <wps:bodyPr rot="0" vert="horz" wrap="square" lIns="0" tIns="0" rIns="0" bIns="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BackCoverPortrait" o:spid="_x0000_s1031" editas="canvas" style="position:absolute;margin-left:0;margin-top:0;width:595.5pt;height:841.5pt;z-index:251662336;mso-position-horizontal-relative:page;mso-position-vertical-relative:page" coordsize="75628,106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width:75628;height:106870;visibility:visible;mso-wrap-style:square" filled="t" fillcolor="white [3212]">
                  <v:fill o:detectmouseclick="t"/>
                  <v:path o:connecttype="none"/>
                </v:shape>
                <v:rect id="DELWPRectangle" o:spid="_x0000_s1033" style="position:absolute;left:3587;top:3600;width:68400;height:99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IB48MA&#10;AADbAAAADwAAAGRycy9kb3ducmV2LnhtbESPQWvCQBCF70L/wzKF3nSjFJXoKqVYKFQPxv6AaXZM&#10;gtnZsLtq7K93DoK3Gd6b975ZrnvXqguF2Hg2MB5loIhLbxuuDPwevoZzUDEhW2w9k4EbRVivXgZL&#10;zK2/8p4uRaqUhHDM0UCdUpdrHcuaHMaR74hFO/rgMMkaKm0DXiXctXqSZVPtsGFpqLGjz5rKU3F2&#10;Bna3v8kP/m/fy03rZp33msP4aMzba/+xAJWoT0/z4/rbCr7Ayi8ygF7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LIB48MAAADbAAAADwAAAAAAAAAAAAAAAACYAgAAZHJzL2Rv&#10;d25yZXYueG1sUEsFBgAAAAAEAAQA9QAAAIgDAAAAAA==&#10;" fillcolor="#201547" stroked="f"/>
                <v:shape id="Text Box 22" o:spid="_x0000_s1034" type="#_x0000_t202" style="position:absolute;left:7200;top:97574;width:23832;height:5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r+18MA&#10;AADbAAAADwAAAGRycy9kb3ducmV2LnhtbERPS2vCQBC+F/oflin0Vjd6KDV1FbEKHvpQ20J7m2an&#10;SWh2NuyOMf57tyB4m4/vOZNZ7xrVUYi1ZwPDQQaKuPC25tLAx/vq7gFUFGSLjWcycKQIs+n11QRz&#10;6w+8pW4npUohHHM0UIm0udaxqMhhHPiWOHG/PjiUBEOpbcBDCneNHmXZvXZYc2qosKVFRcXfbu8M&#10;NF8xPP9k8t09lS+yedP7z+Xw1Zjbm37+CEqol4v47F7bNH8M/7+kA/T0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r+18MAAADbAAAADwAAAAAAAAAAAAAAAACYAgAAZHJzL2Rv&#10;d25yZXYueG1sUEsFBgAAAAAEAAQA9QAAAIgDAAAAAA==&#10;" filled="f" stroked="f" strokeweight=".5pt">
                  <v:textbox inset="0,0,0,0">
                    <w:txbxContent>
                      <w:p w:rsidR="00011DF3" w:rsidRDefault="00011DF3" w:rsidP="00CC18C6">
                        <w:pPr>
                          <w:pStyle w:val="xWeb"/>
                          <w:rPr>
                            <w:color w:val="FFFFFF"/>
                          </w:rPr>
                        </w:pPr>
                        <w:r w:rsidRPr="00CC18C6">
                          <w:rPr>
                            <w:color w:val="FFFFFF"/>
                          </w:rPr>
                          <w:t>delwp.vic.gov.au</w:t>
                        </w:r>
                      </w:p>
                      <w:p w:rsidR="00011DF3" w:rsidRPr="00CC18C6" w:rsidRDefault="00011DF3" w:rsidP="00CC18C6">
                        <w:pPr>
                          <w:pStyle w:val="xWeb"/>
                          <w:rPr>
                            <w:color w:val="FFFFFF"/>
                          </w:rPr>
                        </w:pPr>
                      </w:p>
                    </w:txbxContent>
                  </v:textbox>
                </v:shape>
                <w10:wrap anchorx="page" anchory="page"/>
              </v:group>
            </w:pict>
          </mc:Fallback>
        </mc:AlternateContent>
      </w:r>
    </w:p>
    <w:sectPr w:rsidR="0058551B" w:rsidRPr="00160290" w:rsidSect="00011DF3">
      <w:pgSz w:w="11907" w:h="16840" w:code="9"/>
      <w:pgMar w:top="992" w:right="1559" w:bottom="1560" w:left="1797" w:header="284" w:footer="284" w:gutter="0"/>
      <w:cols w:space="28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1DF3" w:rsidRDefault="00011DF3">
      <w:r>
        <w:separator/>
      </w:r>
    </w:p>
    <w:p w:rsidR="00011DF3" w:rsidRDefault="00011DF3"/>
  </w:endnote>
  <w:endnote w:type="continuationSeparator" w:id="0">
    <w:p w:rsidR="00011DF3" w:rsidRDefault="00011DF3">
      <w:r>
        <w:continuationSeparator/>
      </w:r>
    </w:p>
    <w:p w:rsidR="00011DF3" w:rsidRDefault="00011D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n-ea">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HelveticaNeueLT Std Lt">
    <w:altName w:val="HelveticaNeueLT Std L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AsPlaceholder"/>
      <w:tblpPr w:bottomFromText="284" w:vertAnchor="page" w:horzAnchor="margin" w:tblpYSpec="bottom"/>
      <w:tblW w:w="8504" w:type="dxa"/>
      <w:tblLayout w:type="fixed"/>
      <w:tblCellMar>
        <w:bottom w:w="284" w:type="dxa"/>
      </w:tblCellMar>
      <w:tblLook w:val="04A0" w:firstRow="1" w:lastRow="0" w:firstColumn="1" w:lastColumn="0" w:noHBand="0" w:noVBand="1"/>
    </w:tblPr>
    <w:tblGrid>
      <w:gridCol w:w="340"/>
      <w:gridCol w:w="8164"/>
    </w:tblGrid>
    <w:tr w:rsidR="00011DF3" w:rsidTr="00D83BD4">
      <w:trPr>
        <w:trHeight w:val="397"/>
      </w:trPr>
      <w:tc>
        <w:tcPr>
          <w:tcW w:w="340" w:type="dxa"/>
        </w:tcPr>
        <w:p w:rsidR="00011DF3" w:rsidRPr="00D55628" w:rsidRDefault="00011DF3" w:rsidP="00D55628">
          <w:pPr>
            <w:pStyle w:val="FooterEven"/>
          </w:pPr>
          <w:r>
            <w:fldChar w:fldCharType="begin"/>
          </w:r>
          <w:r>
            <w:instrText xml:space="preserve"> PAGE   \* MERGEFORMAT </w:instrText>
          </w:r>
          <w:r>
            <w:fldChar w:fldCharType="separate"/>
          </w:r>
          <w:r>
            <w:rPr>
              <w:noProof/>
            </w:rPr>
            <w:t>3</w:t>
          </w:r>
          <w:r>
            <w:rPr>
              <w:noProof/>
            </w:rPr>
            <w:fldChar w:fldCharType="end"/>
          </w:r>
        </w:p>
      </w:tc>
      <w:tc>
        <w:tcPr>
          <w:tcW w:w="8164" w:type="dxa"/>
        </w:tcPr>
        <w:p w:rsidR="00011DF3" w:rsidRPr="00D55628" w:rsidRDefault="00011DF3" w:rsidP="00D55628">
          <w:pPr>
            <w:pStyle w:val="FooterEven"/>
          </w:pPr>
          <w:r w:rsidRPr="000A15E4">
            <w:rPr>
              <w:rStyle w:val="Bold"/>
            </w:rPr>
            <w:t>Title of document</w:t>
          </w:r>
          <w:r w:rsidRPr="00D55628">
            <w:t xml:space="preserve"> Subtitle</w:t>
          </w:r>
        </w:p>
      </w:tc>
    </w:tr>
  </w:tbl>
  <w:p w:rsidR="00011DF3" w:rsidRPr="008B6D45" w:rsidRDefault="00011DF3" w:rsidP="005949B0">
    <w:pPr>
      <w:pStyle w:val="FooterEven"/>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1DF3" w:rsidRDefault="003448FA">
    <w:pPr>
      <w:pStyle w:val="Footer"/>
    </w:pPr>
    <w:r>
      <w:rPr>
        <w:noProof/>
      </w:rPr>
      <mc:AlternateContent>
        <mc:Choice Requires="wps">
          <w:drawing>
            <wp:anchor distT="0" distB="0" distL="114300" distR="114300" simplePos="0" relativeHeight="251658240" behindDoc="1" locked="1" layoutInCell="1" allowOverlap="1">
              <wp:simplePos x="0" y="0"/>
              <wp:positionH relativeFrom="page">
                <wp:align>center</wp:align>
              </wp:positionH>
              <wp:positionV relativeFrom="page">
                <wp:align>center</wp:align>
              </wp:positionV>
              <wp:extent cx="7560310" cy="1796415"/>
              <wp:effectExtent l="0" t="0" r="0" b="0"/>
              <wp:wrapNone/>
              <wp:docPr id="2" name="Text Box 224" title="Background Watermark Imag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1796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1DF3" w:rsidRPr="0001226A" w:rsidRDefault="00011DF3" w:rsidP="00DF21D2">
                          <w:pPr>
                            <w:pStyle w:val="xStatu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4" o:spid="_x0000_s1035" type="#_x0000_t202" alt="Title: Background Watermark Image" style="position:absolute;margin-left:0;margin-top:0;width:595.3pt;height:141.45pt;z-index:-251658240;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" filled="f" stroked="f">
              <v:textbox>
                <w:txbxContent>
                  <w:p w:rsidR="00011DF3" w:rsidRPr="0001226A" w:rsidRDefault="00011DF3" w:rsidP="00DF21D2">
                    <w:pPr>
                      <w:pStyle w:val="xStatus"/>
                    </w:pPr>
                  </w:p>
                </w:txbxContent>
              </v:textbox>
              <w10:wrap anchorx="page" anchory="page"/>
              <w10:anchorlock/>
            </v:shape>
          </w:pict>
        </mc:Fallback>
      </mc:AlternateContent>
    </w:r>
  </w:p>
  <w:p w:rsidR="00011DF3" w:rsidRDefault="00011DF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1DF3" w:rsidRDefault="00011DF3">
    <w:pPr>
      <w:pStyle w:val="Footer"/>
    </w:pPr>
    <w:r w:rsidRPr="00D55628">
      <w:rPr>
        <w:noProof/>
      </w:rPr>
      <w:drawing>
        <wp:anchor distT="0" distB="0" distL="114300" distR="114300" simplePos="0" relativeHeight="251654144" behindDoc="1" locked="0" layoutInCell="1" allowOverlap="1" wp14:anchorId="3DD1DD4F" wp14:editId="3723F318">
          <wp:simplePos x="0" y="0"/>
          <wp:positionH relativeFrom="page">
            <wp:align>right</wp:align>
          </wp:positionH>
          <wp:positionV relativeFrom="page">
            <wp:align>bottom</wp:align>
          </wp:positionV>
          <wp:extent cx="2203200" cy="903600"/>
          <wp:effectExtent l="0" t="0" r="6985" b="0"/>
          <wp:wrapNone/>
          <wp:docPr id="10" name="LogoMono"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I_Black_RGB_right (w 1cm margin).emf"/>
                  <pic:cNvPicPr/>
                </pic:nvPicPr>
                <pic:blipFill>
                  <a:blip r:embed="rId1">
                    <a:extLst>
                      <a:ext uri="{28A0092B-C50C-407E-A947-70E740481C1C}">
                        <a14:useLocalDpi xmlns:a14="http://schemas.microsoft.com/office/drawing/2010/main" val="0"/>
                      </a:ext>
                    </a:extLst>
                  </a:blip>
                  <a:stretch>
                    <a:fillRect/>
                  </a:stretch>
                </pic:blipFill>
                <pic:spPr bwMode="auto">
                  <a:xfrm>
                    <a:off x="0" y="0"/>
                    <a:ext cx="2203200" cy="903600"/>
                  </a:xfrm>
                  <a:prstGeom prst="rect">
                    <a:avLst/>
                  </a:prstGeom>
                  <a:ln>
                    <a:noFill/>
                  </a:ln>
                  <a:extLst>
                    <a:ext uri="{53640926-AAD7-44D8-BBD7-CCE9431645EC}">
                      <a14:shadowObscured xmlns:a14="http://schemas.microsoft.com/office/drawing/2010/main"/>
                    </a:ext>
                  </a:extLst>
                </pic:spPr>
              </pic:pic>
            </a:graphicData>
          </a:graphic>
        </wp:anchor>
      </w:drawing>
    </w:r>
    <w:r w:rsidRPr="00D55628">
      <w:rPr>
        <w:noProof/>
      </w:rPr>
      <w:drawing>
        <wp:anchor distT="0" distB="0" distL="114300" distR="114300" simplePos="0" relativeHeight="251652096" behindDoc="1" locked="1" layoutInCell="1" allowOverlap="1" wp14:anchorId="7931BFEC" wp14:editId="049CC9A2">
          <wp:simplePos x="0" y="0"/>
          <wp:positionH relativeFrom="page">
            <wp:align>right</wp:align>
          </wp:positionH>
          <wp:positionV relativeFrom="page">
            <wp:align>bottom</wp:align>
          </wp:positionV>
          <wp:extent cx="2520000" cy="1062000"/>
          <wp:effectExtent l="0" t="0" r="0" b="0"/>
          <wp:wrapNone/>
          <wp:docPr id="47" name="Logo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I_541_RGB_right (w 1cm margin).emf"/>
                  <pic:cNvPicPr/>
                </pic:nvPicPr>
                <pic:blipFill>
                  <a:blip r:embed="rId2">
                    <a:extLst>
                      <a:ext uri="{28A0092B-C50C-407E-A947-70E740481C1C}">
                        <a14:useLocalDpi xmlns:a14="http://schemas.microsoft.com/office/drawing/2010/main" val="0"/>
                      </a:ext>
                    </a:extLst>
                  </a:blip>
                  <a:srcRect r="-37744" b="-93793"/>
                  <a:stretch>
                    <a:fillRect/>
                  </a:stretch>
                </pic:blipFill>
                <pic:spPr bwMode="auto">
                  <a:xfrm>
                    <a:off x="0" y="0"/>
                    <a:ext cx="2520000" cy="1062000"/>
                  </a:xfrm>
                  <a:prstGeom prst="rect">
                    <a:avLst/>
                  </a:prstGeom>
                  <a:ln>
                    <a:noFill/>
                  </a:ln>
                  <a:extLst>
                    <a:ext uri="{53640926-AAD7-44D8-BBD7-CCE9431645EC}">
                      <a14:shadowObscured xmlns:a14="http://schemas.microsoft.com/office/drawing/2010/main"/>
                    </a:ext>
                  </a:extLst>
                </pic:spPr>
              </pic:pic>
            </a:graphicData>
          </a:graphic>
        </wp:anchor>
      </w:drawing>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1DF3" w:rsidRPr="00124E8F" w:rsidRDefault="003448FA" w:rsidP="00124E8F">
    <w:pPr>
      <w:pStyle w:val="Footer"/>
    </w:pPr>
    <w:r>
      <w:rPr>
        <w:noProof/>
      </w:rPr>
      <mc:AlternateContent>
        <mc:Choice Requires="wps">
          <w:drawing>
            <wp:anchor distT="0" distB="0" distL="114300" distR="114300" simplePos="0" relativeHeight="251664384" behindDoc="1" locked="1" layoutInCell="1" allowOverlap="1">
              <wp:simplePos x="0" y="0"/>
              <wp:positionH relativeFrom="page">
                <wp:align>center</wp:align>
              </wp:positionH>
              <wp:positionV relativeFrom="page">
                <wp:align>center</wp:align>
              </wp:positionV>
              <wp:extent cx="7560310" cy="1796415"/>
              <wp:effectExtent l="0" t="0" r="0" b="0"/>
              <wp:wrapNone/>
              <wp:docPr id="27" name="Text 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1796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1DF3" w:rsidRPr="0001226A" w:rsidRDefault="00011DF3" w:rsidP="00DF21D2">
                          <w:pPr>
                            <w:pStyle w:val="xStatu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5" o:spid="_x0000_s1036" type="#_x0000_t202" style="position:absolute;margin-left:0;margin-top:0;width:595.3pt;height:141.45pt;z-index:-25165209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" filled="f" stroked="f">
              <v:textbox>
                <w:txbxContent>
                  <w:p w:rsidR="00011DF3" w:rsidRPr="0001226A" w:rsidRDefault="00011DF3" w:rsidP="00DF21D2">
                    <w:pPr>
                      <w:pStyle w:val="xStatus"/>
                    </w:pPr>
                  </w:p>
                </w:txbxContent>
              </v:textbox>
              <w10:wrap anchorx="page" anchory="page"/>
              <w10:anchorlock/>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1DF3" w:rsidRDefault="003448FA">
    <w:pPr>
      <w:pStyle w:val="Footer"/>
    </w:pPr>
    <w:r>
      <w:rPr>
        <w:noProof/>
      </w:rPr>
      <mc:AlternateContent>
        <mc:Choice Requires="wps">
          <w:drawing>
            <wp:anchor distT="0" distB="0" distL="114300" distR="114300" simplePos="0" relativeHeight="251656192" behindDoc="1" locked="1" layoutInCell="1" allowOverlap="1">
              <wp:simplePos x="0" y="0"/>
              <wp:positionH relativeFrom="page">
                <wp:align>center</wp:align>
              </wp:positionH>
              <wp:positionV relativeFrom="page">
                <wp:align>center</wp:align>
              </wp:positionV>
              <wp:extent cx="7560310" cy="1796415"/>
              <wp:effectExtent l="0" t="0" r="0" b="0"/>
              <wp:wrapNone/>
              <wp:docPr id="14" name="Text Box 225" title="Background Watermark Imag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1796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1DF3" w:rsidRPr="0001226A" w:rsidRDefault="00011DF3" w:rsidP="00DF21D2">
                          <w:pPr>
                            <w:pStyle w:val="xStatu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7" type="#_x0000_t202" alt="Title: Background Watermark Image" style="position:absolute;margin-left:0;margin-top:0;width:595.3pt;height:141.45pt;z-index:-251660288;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" filled="f" stroked="f">
              <v:textbox>
                <w:txbxContent>
                  <w:p w:rsidR="00011DF3" w:rsidRPr="0001226A" w:rsidRDefault="00011DF3" w:rsidP="00DF21D2">
                    <w:pPr>
                      <w:pStyle w:val="xStatus"/>
                    </w:pPr>
                  </w:p>
                </w:txbxContent>
              </v:textbox>
              <w10:wrap anchorx="page" anchory="page"/>
              <w10:anchorlock/>
            </v:shape>
          </w:pict>
        </mc:Fallback>
      </mc:AlternateContent>
    </w:r>
  </w:p>
  <w:p w:rsidR="00011DF3" w:rsidRDefault="00011DF3">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7713005"/>
      <w:docPartObj>
        <w:docPartGallery w:val="Page Numbers (Bottom of Page)"/>
        <w:docPartUnique/>
      </w:docPartObj>
    </w:sdtPr>
    <w:sdtEndPr>
      <w:rPr>
        <w:color w:val="7F7F7F" w:themeColor="background1" w:themeShade="7F"/>
        <w:spacing w:val="60"/>
      </w:rPr>
    </w:sdtEndPr>
    <w:sdtContent>
      <w:p w:rsidR="00011DF3" w:rsidRDefault="00011DF3">
        <w:pPr>
          <w:pStyle w:val="Footer"/>
          <w:pBdr>
            <w:top w:val="single" w:sz="4" w:space="1" w:color="D9D9D9" w:themeColor="background1" w:themeShade="D9"/>
          </w:pBdr>
          <w:rPr>
            <w:b/>
          </w:rPr>
        </w:pPr>
        <w:r>
          <w:fldChar w:fldCharType="begin"/>
        </w:r>
        <w:r>
          <w:instrText xml:space="preserve"> PAGE   \* MERGEFORMAT </w:instrText>
        </w:r>
        <w:r>
          <w:fldChar w:fldCharType="separate"/>
        </w:r>
        <w:r w:rsidRPr="004028EE">
          <w:rPr>
            <w:b/>
            <w:noProof/>
          </w:rPr>
          <w:t>6</w:t>
        </w:r>
        <w:r>
          <w:rPr>
            <w:b/>
            <w:noProof/>
          </w:rPr>
          <w:fldChar w:fldCharType="end"/>
        </w:r>
        <w:r>
          <w:rPr>
            <w:b/>
          </w:rPr>
          <w:t xml:space="preserve"> | </w:t>
        </w:r>
        <w:r>
          <w:rPr>
            <w:color w:val="7F7F7F" w:themeColor="background1" w:themeShade="7F"/>
            <w:spacing w:val="60"/>
          </w:rPr>
          <w:t>Page</w:t>
        </w:r>
      </w:p>
    </w:sdtContent>
  </w:sdt>
  <w:p w:rsidR="00011DF3" w:rsidRPr="00B5221E" w:rsidRDefault="00011DF3" w:rsidP="00B5221E">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1DF3" w:rsidRDefault="003448FA">
    <w:pPr>
      <w:pStyle w:val="Footer"/>
    </w:pPr>
    <w:r>
      <w:rPr>
        <w:noProof/>
      </w:rPr>
      <mc:AlternateContent>
        <mc:Choice Requires="wps">
          <w:drawing>
            <wp:anchor distT="0" distB="0" distL="114300" distR="114300" simplePos="0" relativeHeight="251660288" behindDoc="1" locked="1" layoutInCell="1" allowOverlap="1">
              <wp:simplePos x="0" y="0"/>
              <wp:positionH relativeFrom="page">
                <wp:align>center</wp:align>
              </wp:positionH>
              <wp:positionV relativeFrom="page">
                <wp:align>center</wp:align>
              </wp:positionV>
              <wp:extent cx="7560310" cy="1796415"/>
              <wp:effectExtent l="0" t="0" r="0" b="0"/>
              <wp:wrapNone/>
              <wp:docPr id="7" name="Text Box 224" title="Background Watermark Imag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1796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1DF3" w:rsidRPr="0001226A" w:rsidRDefault="00011DF3" w:rsidP="00DF21D2">
                          <w:pPr>
                            <w:pStyle w:val="xStatu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8" type="#_x0000_t202" alt="Title: Background Watermark Image" style="position:absolute;margin-left:0;margin-top:0;width:595.3pt;height:141.45pt;z-index:-251656192;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" filled="f" stroked="f">
              <v:textbox>
                <w:txbxContent>
                  <w:p w:rsidR="00011DF3" w:rsidRPr="0001226A" w:rsidRDefault="00011DF3" w:rsidP="00DF21D2">
                    <w:pPr>
                      <w:pStyle w:val="xStatus"/>
                    </w:pPr>
                  </w:p>
                </w:txbxContent>
              </v:textbox>
              <w10:wrap anchorx="page" anchory="page"/>
              <w10:anchorlock/>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0904"/>
      <w:docPartObj>
        <w:docPartGallery w:val="Page Numbers (Bottom of Page)"/>
        <w:docPartUnique/>
      </w:docPartObj>
    </w:sdtPr>
    <w:sdtEndPr>
      <w:rPr>
        <w:color w:val="7F7F7F" w:themeColor="background1" w:themeShade="7F"/>
        <w:spacing w:val="60"/>
      </w:rPr>
    </w:sdtEndPr>
    <w:sdtContent>
      <w:p w:rsidR="00011DF3" w:rsidRPr="00DB4C93" w:rsidRDefault="00011DF3" w:rsidP="001623C3">
        <w:pPr>
          <w:pStyle w:val="Footer"/>
          <w:pBdr>
            <w:top w:val="single" w:sz="4" w:space="1" w:color="D9D9D9" w:themeColor="background1" w:themeShade="D9"/>
          </w:pBdr>
          <w:spacing w:after="0" w:line="240" w:lineRule="auto"/>
          <w:rPr>
            <w:b/>
            <w:color w:val="1A1A1A" w:themeColor="text1" w:themeShade="80"/>
          </w:rPr>
        </w:pPr>
        <w:r>
          <w:fldChar w:fldCharType="begin"/>
        </w:r>
        <w:r>
          <w:instrText xml:space="preserve"> PAGE   \* MERGEFORMAT </w:instrText>
        </w:r>
        <w:r>
          <w:fldChar w:fldCharType="separate"/>
        </w:r>
        <w:r w:rsidR="00716E0C" w:rsidRPr="00716E0C">
          <w:rPr>
            <w:b/>
            <w:noProof/>
          </w:rPr>
          <w:t>39</w:t>
        </w:r>
        <w:r>
          <w:rPr>
            <w:b/>
            <w:noProof/>
          </w:rPr>
          <w:fldChar w:fldCharType="end"/>
        </w:r>
        <w:r>
          <w:rPr>
            <w:b/>
          </w:rPr>
          <w:t xml:space="preserve"> | </w:t>
        </w:r>
        <w:r>
          <w:rPr>
            <w:b/>
          </w:rPr>
          <w:tab/>
        </w:r>
        <w:r w:rsidRPr="00DB4C93">
          <w:rPr>
            <w:b/>
            <w:color w:val="1A1A1A" w:themeColor="text1" w:themeShade="80"/>
          </w:rPr>
          <w:t>Regulatory impact statement proposed Building Regulations 2017</w:t>
        </w:r>
      </w:p>
      <w:p w:rsidR="00011DF3" w:rsidRDefault="00011DF3" w:rsidP="00011DF3">
        <w:pPr>
          <w:pStyle w:val="Footer"/>
          <w:pBdr>
            <w:top w:val="single" w:sz="4" w:space="1" w:color="D9D9D9" w:themeColor="background1" w:themeShade="D9"/>
          </w:pBdr>
          <w:ind w:firstLine="567"/>
          <w:rPr>
            <w:b/>
          </w:rPr>
        </w:pPr>
        <w:r w:rsidRPr="00DB4C93">
          <w:rPr>
            <w:rStyle w:val="Bold"/>
            <w:b w:val="0"/>
            <w:color w:val="1A1A1A" w:themeColor="text1" w:themeShade="80"/>
          </w:rPr>
          <w:t xml:space="preserve">Part </w:t>
        </w:r>
        <w:r>
          <w:rPr>
            <w:rStyle w:val="Bold"/>
            <w:b w:val="0"/>
            <w:color w:val="1A1A1A" w:themeColor="text1" w:themeShade="80"/>
          </w:rPr>
          <w:t xml:space="preserve">C: Building practitioner registration </w:t>
        </w:r>
      </w:p>
    </w:sdtContent>
  </w:sdt>
  <w:p w:rsidR="00011DF3" w:rsidRDefault="00011D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1DF3" w:rsidRDefault="00011DF3" w:rsidP="00011DF3">
      <w:pPr>
        <w:pStyle w:val="FootnoteSeparator"/>
        <w:spacing w:before="200" w:after="80" w:line="240" w:lineRule="auto"/>
      </w:pPr>
    </w:p>
  </w:footnote>
  <w:footnote w:type="continuationSeparator" w:id="0">
    <w:p w:rsidR="00011DF3" w:rsidRDefault="00011DF3" w:rsidP="00011DF3">
      <w:pPr>
        <w:pStyle w:val="FootnoteSeparator"/>
        <w:spacing w:before="0"/>
      </w:pPr>
    </w:p>
    <w:p w:rsidR="00011DF3" w:rsidRPr="00011DF3" w:rsidRDefault="00011DF3" w:rsidP="00011DF3">
      <w:pPr>
        <w:spacing w:after="0" w:line="240" w:lineRule="auto"/>
        <w:rPr>
          <w:sz w:val="8"/>
        </w:rPr>
      </w:pPr>
    </w:p>
  </w:footnote>
  <w:footnote w:type="continuationNotice" w:id="1">
    <w:p w:rsidR="00011DF3" w:rsidRPr="00011DF3" w:rsidRDefault="00011DF3" w:rsidP="00011DF3">
      <w:pPr>
        <w:spacing w:after="80" w:line="240" w:lineRule="auto"/>
        <w:rPr>
          <w:sz w:val="16"/>
        </w:rPr>
      </w:pPr>
    </w:p>
  </w:footnote>
  <w:footnote w:id="2">
    <w:p w:rsidR="00011DF3" w:rsidRPr="00053B19" w:rsidRDefault="00011DF3" w:rsidP="003A7FBC">
      <w:pPr>
        <w:pStyle w:val="FootnoteText"/>
        <w:ind w:left="0" w:firstLine="0"/>
        <w:rPr>
          <w:sz w:val="18"/>
          <w:lang w:val="en-US"/>
        </w:rPr>
      </w:pPr>
      <w:r w:rsidRPr="00053B19">
        <w:rPr>
          <w:rStyle w:val="FootnoteReference"/>
          <w:sz w:val="18"/>
        </w:rPr>
        <w:footnoteRef/>
      </w:r>
      <w:r w:rsidRPr="00053B19">
        <w:rPr>
          <w:sz w:val="18"/>
        </w:rPr>
        <w:t xml:space="preserve"> </w:t>
      </w:r>
      <w:r w:rsidRPr="00D3125B">
        <w:t xml:space="preserve">In this report, ‘detrimental incidents’ means one of a range of problems experienced by consumers when engaging professionals to undertake home building, renovations, repairs or maintenance. The problems reported include poor workmanship, poor customer service, faulty or unsafe products, delays in having defects repaired or replaced, false or misleading information, </w:t>
      </w:r>
      <w:proofErr w:type="spellStart"/>
      <w:r w:rsidRPr="00D3125B">
        <w:t>nondelivery</w:t>
      </w:r>
      <w:proofErr w:type="spellEnd"/>
      <w:r w:rsidRPr="00D3125B">
        <w:t xml:space="preserve"> of a service, unclear or unfair terms or price, and scams. The measure used to determine the break-even points is the cost to the consumer in terms of either direct loss or costs of rectifying the problem. It includes the time spent by the consumer in dealing with the problem.</w:t>
      </w:r>
    </w:p>
  </w:footnote>
  <w:footnote w:id="3">
    <w:p w:rsidR="00011DF3" w:rsidRPr="003810A3" w:rsidRDefault="00011DF3" w:rsidP="003A7FBC">
      <w:pPr>
        <w:pStyle w:val="FootnoteText"/>
        <w:rPr>
          <w:sz w:val="18"/>
          <w:szCs w:val="18"/>
        </w:rPr>
      </w:pPr>
      <w:r w:rsidRPr="003810A3">
        <w:rPr>
          <w:rStyle w:val="FootnoteReference"/>
          <w:sz w:val="18"/>
          <w:szCs w:val="18"/>
        </w:rPr>
        <w:footnoteRef/>
      </w:r>
      <w:r w:rsidRPr="003810A3">
        <w:rPr>
          <w:sz w:val="18"/>
          <w:szCs w:val="18"/>
        </w:rPr>
        <w:t xml:space="preserve"> </w:t>
      </w:r>
      <w:r w:rsidRPr="00011DF3">
        <w:t>S 3(1) of the Act.</w:t>
      </w:r>
    </w:p>
  </w:footnote>
  <w:footnote w:id="4">
    <w:p w:rsidR="00011DF3" w:rsidRDefault="00011DF3" w:rsidP="00011DF3">
      <w:pPr>
        <w:pStyle w:val="FootnoteText"/>
      </w:pPr>
      <w:r>
        <w:rPr>
          <w:rStyle w:val="FootnoteReference"/>
        </w:rPr>
        <w:footnoteRef/>
      </w:r>
      <w:r>
        <w:t xml:space="preserve"> </w:t>
      </w:r>
      <w:r>
        <w:tab/>
        <w:t xml:space="preserve">CAV (2015) Building disputes, defects and delays. Available at </w:t>
      </w:r>
      <w:hyperlink r:id="rId1" w:history="1">
        <w:r w:rsidRPr="00D93EBD">
          <w:rPr>
            <w:rStyle w:val="Hyperlink"/>
          </w:rPr>
          <w:t>http://www.consumer.vic.gov.au/housing-and-accommodation/building-and-renovating/defects-delays-and-insolvency/disputes-defects-and-delays</w:t>
        </w:r>
      </w:hyperlink>
      <w:r>
        <w:t>.</w:t>
      </w:r>
    </w:p>
  </w:footnote>
  <w:footnote w:id="5">
    <w:p w:rsidR="00011DF3" w:rsidRDefault="00011DF3" w:rsidP="003A7FBC">
      <w:pPr>
        <w:pStyle w:val="FootnoteText"/>
      </w:pPr>
      <w:r>
        <w:rPr>
          <w:rStyle w:val="FootnoteReference"/>
        </w:rPr>
        <w:footnoteRef/>
      </w:r>
      <w:r>
        <w:t xml:space="preserve"> </w:t>
      </w:r>
      <w:r>
        <w:tab/>
      </w:r>
      <w:r w:rsidRPr="002C423F">
        <w:t xml:space="preserve">Victorian Auditor General Office (2015), Victoria’s Consumer Protection Framework for Building Construction. Available at: </w:t>
      </w:r>
      <w:hyperlink r:id="rId2" w:history="1">
        <w:r w:rsidRPr="002C423F">
          <w:rPr>
            <w:rStyle w:val="Hyperlink"/>
          </w:rPr>
          <w:t>http://www.audit.vic.gov.au</w:t>
        </w:r>
      </w:hyperlink>
    </w:p>
  </w:footnote>
  <w:footnote w:id="6">
    <w:p w:rsidR="00011DF3" w:rsidRDefault="00011DF3" w:rsidP="003A7FBC">
      <w:pPr>
        <w:pStyle w:val="FootnoteText"/>
      </w:pPr>
      <w:r>
        <w:rPr>
          <w:rStyle w:val="FootnoteReference"/>
        </w:rPr>
        <w:footnoteRef/>
      </w:r>
      <w:r>
        <w:t xml:space="preserve"> </w:t>
      </w:r>
      <w:r>
        <w:tab/>
        <w:t>VBA</w:t>
      </w:r>
      <w:r w:rsidRPr="003E0E31">
        <w:t xml:space="preserve"> (2015) Complaints process. Available</w:t>
      </w:r>
      <w:r>
        <w:t xml:space="preserve"> </w:t>
      </w:r>
      <w:hyperlink r:id="rId3" w:history="1">
        <w:r w:rsidRPr="003E0E31">
          <w:rPr>
            <w:rStyle w:val="Hyperlink"/>
          </w:rPr>
          <w:t>http://www.vba.vic.gov.au/disputes-and-resolutions/complaints/building</w:t>
        </w:r>
      </w:hyperlink>
    </w:p>
  </w:footnote>
  <w:footnote w:id="7">
    <w:p w:rsidR="00011DF3" w:rsidRDefault="00011DF3" w:rsidP="003A7FBC">
      <w:pPr>
        <w:pStyle w:val="FootnoteText"/>
      </w:pPr>
      <w:r>
        <w:rPr>
          <w:rStyle w:val="FootnoteReference"/>
        </w:rPr>
        <w:footnoteRef/>
      </w:r>
      <w:r>
        <w:t xml:space="preserve"> </w:t>
      </w:r>
      <w:r>
        <w:tab/>
        <w:t>VBA</w:t>
      </w:r>
      <w:r w:rsidRPr="003E0E31">
        <w:t xml:space="preserve"> five-year metrics 2011-16, available at: http://www.vba.vic.gov.au/about/annual-reports</w:t>
      </w:r>
    </w:p>
  </w:footnote>
  <w:footnote w:id="8">
    <w:p w:rsidR="00011DF3" w:rsidRDefault="00011DF3" w:rsidP="003A7FBC">
      <w:pPr>
        <w:pStyle w:val="FootnoteText"/>
      </w:pPr>
      <w:r>
        <w:rPr>
          <w:rStyle w:val="FootnoteReference"/>
        </w:rPr>
        <w:footnoteRef/>
      </w:r>
      <w:r>
        <w:t xml:space="preserve"> </w:t>
      </w:r>
      <w:r>
        <w:tab/>
        <w:t>VBA</w:t>
      </w:r>
      <w:r w:rsidRPr="003E0E31">
        <w:t xml:space="preserve"> (2015) Practitioner Disciplinary Register. Available at http://www.vba.vic.gov.au/disputes-and-resolutions/practitioner-disciplinary-register</w:t>
      </w:r>
    </w:p>
  </w:footnote>
  <w:footnote w:id="9">
    <w:p w:rsidR="00011DF3" w:rsidRDefault="00011DF3" w:rsidP="003A7FBC">
      <w:pPr>
        <w:pStyle w:val="FootnoteText"/>
      </w:pPr>
      <w:r>
        <w:rPr>
          <w:rStyle w:val="FootnoteReference"/>
        </w:rPr>
        <w:footnoteRef/>
      </w:r>
      <w:r>
        <w:t xml:space="preserve"> </w:t>
      </w:r>
      <w:r>
        <w:tab/>
        <w:t>Information supplied by VBA.</w:t>
      </w:r>
    </w:p>
  </w:footnote>
  <w:footnote w:id="10">
    <w:p w:rsidR="00011DF3" w:rsidRDefault="00011DF3" w:rsidP="003A7FBC">
      <w:pPr>
        <w:pStyle w:val="FootnoteText"/>
      </w:pPr>
      <w:r>
        <w:rPr>
          <w:rStyle w:val="FootnoteReference"/>
        </w:rPr>
        <w:footnoteRef/>
      </w:r>
      <w:r>
        <w:t xml:space="preserve"> </w:t>
      </w:r>
      <w:r>
        <w:tab/>
      </w:r>
      <w:r w:rsidRPr="005258FC">
        <w:t xml:space="preserve">Information supplied by </w:t>
      </w:r>
      <w:r>
        <w:t>VBA.</w:t>
      </w:r>
    </w:p>
  </w:footnote>
  <w:footnote w:id="11">
    <w:p w:rsidR="00011DF3" w:rsidRDefault="00011DF3" w:rsidP="003A7FBC">
      <w:pPr>
        <w:pStyle w:val="FootnoteText"/>
      </w:pPr>
      <w:r>
        <w:rPr>
          <w:rStyle w:val="FootnoteReference"/>
        </w:rPr>
        <w:footnoteRef/>
      </w:r>
      <w:r>
        <w:t xml:space="preserve"> </w:t>
      </w:r>
      <w:r>
        <w:tab/>
        <w:t>Information supplied by VBA.</w:t>
      </w:r>
    </w:p>
  </w:footnote>
  <w:footnote w:id="12">
    <w:p w:rsidR="00011DF3" w:rsidRDefault="00011DF3" w:rsidP="003A7FBC">
      <w:pPr>
        <w:pStyle w:val="FootnoteText"/>
      </w:pPr>
      <w:r>
        <w:rPr>
          <w:rStyle w:val="FootnoteReference"/>
        </w:rPr>
        <w:footnoteRef/>
      </w:r>
      <w:r>
        <w:t xml:space="preserve"> </w:t>
      </w:r>
      <w:r>
        <w:tab/>
        <w:t xml:space="preserve">Australian Consumer Survey 2016, The Treasury, on behalf of Consumer Affairs Australia and New Zealand, (EY Sweeney Ref No. 25364) – 18th May 2016, </w:t>
      </w:r>
      <w:hyperlink r:id="rId4" w:history="1">
        <w:r w:rsidRPr="00D57B42">
          <w:rPr>
            <w:rStyle w:val="Hyperlink"/>
          </w:rPr>
          <w:t>http://consumerlaw.gov.au/files/2016/05/ACL-Consumer-Survey-2016.pdf</w:t>
        </w:r>
      </w:hyperlink>
      <w:r>
        <w:t>.</w:t>
      </w:r>
    </w:p>
  </w:footnote>
  <w:footnote w:id="13">
    <w:p w:rsidR="00011DF3" w:rsidRDefault="00011DF3" w:rsidP="003A7FBC">
      <w:pPr>
        <w:pStyle w:val="FootnoteText"/>
      </w:pPr>
      <w:r>
        <w:rPr>
          <w:rStyle w:val="FootnoteReference"/>
        </w:rPr>
        <w:footnoteRef/>
      </w:r>
      <w:r>
        <w:t xml:space="preserve"> </w:t>
      </w:r>
      <w:r>
        <w:tab/>
        <w:t>Figure 23 on page 39.</w:t>
      </w:r>
    </w:p>
  </w:footnote>
  <w:footnote w:id="14">
    <w:p w:rsidR="00011DF3" w:rsidRDefault="00011DF3" w:rsidP="003A7FBC">
      <w:pPr>
        <w:pStyle w:val="FootnoteText"/>
      </w:pPr>
      <w:r>
        <w:rPr>
          <w:rStyle w:val="FootnoteReference"/>
        </w:rPr>
        <w:footnoteRef/>
      </w:r>
      <w:r>
        <w:t xml:space="preserve"> </w:t>
      </w:r>
      <w:r>
        <w:tab/>
        <w:t>See page 59 of the report and figure 49 on page 59 of the Australian Consumer Survey 2016.</w:t>
      </w:r>
    </w:p>
  </w:footnote>
  <w:footnote w:id="15">
    <w:p w:rsidR="00011DF3" w:rsidRDefault="00011DF3" w:rsidP="003A7FBC">
      <w:pPr>
        <w:pStyle w:val="FootnoteText"/>
      </w:pPr>
      <w:r>
        <w:rPr>
          <w:rStyle w:val="FootnoteReference"/>
        </w:rPr>
        <w:footnoteRef/>
      </w:r>
      <w:r>
        <w:t xml:space="preserve"> </w:t>
      </w:r>
      <w:r>
        <w:tab/>
        <w:t>See Table 17 on page 109 of the Australian Consumer Survey 2016.</w:t>
      </w:r>
    </w:p>
  </w:footnote>
  <w:footnote w:id="16">
    <w:p w:rsidR="00011DF3" w:rsidRDefault="00011DF3" w:rsidP="003A7FBC">
      <w:pPr>
        <w:pStyle w:val="FootnoteText"/>
      </w:pPr>
      <w:r>
        <w:rPr>
          <w:rStyle w:val="FootnoteReference"/>
        </w:rPr>
        <w:footnoteRef/>
      </w:r>
      <w:r>
        <w:t xml:space="preserve"> </w:t>
      </w:r>
      <w:r>
        <w:tab/>
        <w:t xml:space="preserve">17% x </w:t>
      </w:r>
      <w:r>
        <w:rPr>
          <w:iCs/>
        </w:rPr>
        <w:t>90,670 domestic building permits issued.</w:t>
      </w:r>
    </w:p>
  </w:footnote>
  <w:footnote w:id="17">
    <w:p w:rsidR="00011DF3" w:rsidRDefault="00011DF3" w:rsidP="003A7FBC">
      <w:pPr>
        <w:pStyle w:val="FootnoteText"/>
      </w:pPr>
      <w:r>
        <w:rPr>
          <w:rStyle w:val="FootnoteReference"/>
        </w:rPr>
        <w:footnoteRef/>
      </w:r>
      <w:r>
        <w:t xml:space="preserve"> </w:t>
      </w:r>
      <w:r>
        <w:tab/>
        <w:t>15,405.4 x $1,321.02.</w:t>
      </w:r>
    </w:p>
  </w:footnote>
  <w:footnote w:id="18">
    <w:p w:rsidR="00011DF3" w:rsidRDefault="00011DF3" w:rsidP="003A7FBC">
      <w:pPr>
        <w:pStyle w:val="FootnoteText"/>
      </w:pPr>
      <w:r>
        <w:rPr>
          <w:rStyle w:val="FootnoteReference"/>
        </w:rPr>
        <w:footnoteRef/>
      </w:r>
      <w:r>
        <w:t xml:space="preserve"> </w:t>
      </w:r>
      <w:r>
        <w:tab/>
        <w:t>Information supplied by VBA.</w:t>
      </w:r>
    </w:p>
  </w:footnote>
  <w:footnote w:id="19">
    <w:p w:rsidR="00011DF3" w:rsidRDefault="00011DF3" w:rsidP="003A7FBC">
      <w:pPr>
        <w:pStyle w:val="FootnoteText"/>
      </w:pPr>
      <w:r>
        <w:rPr>
          <w:rStyle w:val="FootnoteReference"/>
        </w:rPr>
        <w:footnoteRef/>
      </w:r>
      <w:r>
        <w:t xml:space="preserve"> </w:t>
      </w:r>
      <w:r>
        <w:tab/>
        <w:t>Information supplied by VBA.</w:t>
      </w:r>
    </w:p>
  </w:footnote>
  <w:footnote w:id="20">
    <w:p w:rsidR="00011DF3" w:rsidRDefault="00011DF3" w:rsidP="003A7FBC">
      <w:pPr>
        <w:pStyle w:val="FootnoteText"/>
      </w:pPr>
      <w:r>
        <w:rPr>
          <w:rStyle w:val="FootnoteReference"/>
        </w:rPr>
        <w:footnoteRef/>
      </w:r>
      <w:r>
        <w:t xml:space="preserve"> </w:t>
      </w:r>
      <w:r>
        <w:tab/>
        <w:t>Information supplied by VBA.</w:t>
      </w:r>
    </w:p>
  </w:footnote>
  <w:footnote w:id="21">
    <w:p w:rsidR="00011DF3" w:rsidRDefault="00011DF3" w:rsidP="003A7FBC">
      <w:pPr>
        <w:pStyle w:val="FootnoteText"/>
      </w:pPr>
      <w:r>
        <w:rPr>
          <w:rStyle w:val="FootnoteReference"/>
        </w:rPr>
        <w:footnoteRef/>
      </w:r>
      <w:r>
        <w:t xml:space="preserve"> </w:t>
      </w:r>
      <w:r>
        <w:tab/>
        <w:t>Information supplied by VBA.</w:t>
      </w:r>
    </w:p>
  </w:footnote>
  <w:footnote w:id="22">
    <w:p w:rsidR="00011DF3" w:rsidRDefault="00011DF3" w:rsidP="003A7FBC">
      <w:pPr>
        <w:pStyle w:val="FootnoteText"/>
      </w:pPr>
      <w:r>
        <w:rPr>
          <w:rStyle w:val="FootnoteReference"/>
        </w:rPr>
        <w:footnoteRef/>
      </w:r>
      <w:r>
        <w:t xml:space="preserve"> </w:t>
      </w:r>
      <w:r>
        <w:tab/>
      </w:r>
      <w:r w:rsidRPr="00BF0D81">
        <w:t>Compliance with Building Permits</w:t>
      </w:r>
      <w:r>
        <w:t>,</w:t>
      </w:r>
      <w:r w:rsidRPr="00BF0D81">
        <w:t xml:space="preserve"> </w:t>
      </w:r>
      <w:r>
        <w:t>VAGO r</w:t>
      </w:r>
      <w:r w:rsidRPr="00BF0D81">
        <w:t>eport</w:t>
      </w:r>
      <w:r>
        <w:t>, December 2011 at page 21.</w:t>
      </w:r>
    </w:p>
  </w:footnote>
  <w:footnote w:id="23">
    <w:p w:rsidR="00011DF3" w:rsidRDefault="00011DF3" w:rsidP="003A7FBC">
      <w:pPr>
        <w:pStyle w:val="FootnoteText"/>
      </w:pPr>
      <w:r>
        <w:rPr>
          <w:rStyle w:val="FootnoteReference"/>
        </w:rPr>
        <w:footnoteRef/>
      </w:r>
      <w:r>
        <w:t xml:space="preserve"> </w:t>
      </w:r>
      <w:r>
        <w:tab/>
        <w:t>Information supplied by VBA.</w:t>
      </w:r>
    </w:p>
  </w:footnote>
  <w:footnote w:id="24">
    <w:p w:rsidR="00011DF3" w:rsidRPr="00993FA7" w:rsidRDefault="00011DF3" w:rsidP="003A7FBC">
      <w:pPr>
        <w:pStyle w:val="FootnoteText"/>
        <w:rPr>
          <w:rFonts w:cs="Times New Roman"/>
          <w:sz w:val="18"/>
          <w:szCs w:val="18"/>
        </w:rPr>
      </w:pPr>
      <w:r>
        <w:rPr>
          <w:rStyle w:val="FootnoteReference"/>
        </w:rPr>
        <w:footnoteRef/>
      </w:r>
      <w:r>
        <w:t xml:space="preserve"> </w:t>
      </w:r>
      <w:r>
        <w:tab/>
      </w:r>
      <w:r w:rsidRPr="00011DF3">
        <w:t>The practitioners consulted were 7 domestic builders (including both small and large scale builders), 5 commercial builders, 3 building surveyors, 2 building inspectors, 1 engineer, 1 building design and 1 erector/demolisher.</w:t>
      </w:r>
    </w:p>
  </w:footnote>
  <w:footnote w:id="25">
    <w:p w:rsidR="00011DF3" w:rsidRDefault="00011DF3" w:rsidP="003A7FBC">
      <w:pPr>
        <w:pStyle w:val="FootnoteText"/>
      </w:pPr>
      <w:r>
        <w:rPr>
          <w:rStyle w:val="FootnoteReference"/>
        </w:rPr>
        <w:footnoteRef/>
      </w:r>
      <w:r>
        <w:t xml:space="preserve"> </w:t>
      </w:r>
      <w:r>
        <w:tab/>
      </w:r>
      <w:r w:rsidRPr="00011DF3">
        <w:rPr>
          <w:i/>
        </w:rPr>
        <w:t>Hughes and Vale Pty Ltd v New South Wales</w:t>
      </w:r>
      <w:r w:rsidRPr="00011DF3">
        <w:t xml:space="preserve"> (No 2) [(1955) [1955] HCA 28; 93 CLR 127 at 156-157 – ‘Fit’ means ‘honesty, knowledge and ability’. </w:t>
      </w:r>
      <w:proofErr w:type="spellStart"/>
      <w:r w:rsidRPr="00011DF3">
        <w:rPr>
          <w:i/>
        </w:rPr>
        <w:t>Sobey</w:t>
      </w:r>
      <w:proofErr w:type="spellEnd"/>
      <w:r w:rsidRPr="00011DF3">
        <w:rPr>
          <w:i/>
        </w:rPr>
        <w:t xml:space="preserve"> v Commercial and Private Agents Board</w:t>
      </w:r>
      <w:r w:rsidRPr="00011DF3">
        <w:t xml:space="preserve"> [(1979) 22 SASR 70 at 76] – Fit and proper person requires an applicant to show he is possessed of a requisite knowledge of the duties and responsibilities devolving upon him as the holder of the particular licence under the Act.</w:t>
      </w:r>
    </w:p>
  </w:footnote>
  <w:footnote w:id="26">
    <w:p w:rsidR="00011DF3" w:rsidRPr="003810A3" w:rsidRDefault="00011DF3" w:rsidP="003A7FBC">
      <w:pPr>
        <w:pStyle w:val="FootnoteText"/>
        <w:rPr>
          <w:rFonts w:cs="Times New Roman"/>
          <w:sz w:val="18"/>
          <w:szCs w:val="18"/>
          <w:lang w:val="en-US"/>
        </w:rPr>
      </w:pPr>
      <w:r w:rsidRPr="003810A3">
        <w:rPr>
          <w:rStyle w:val="FootnoteReference"/>
          <w:rFonts w:cs="Times New Roman"/>
          <w:sz w:val="18"/>
          <w:szCs w:val="18"/>
        </w:rPr>
        <w:footnoteRef/>
      </w:r>
      <w:r w:rsidRPr="003810A3">
        <w:rPr>
          <w:rFonts w:cs="Times New Roman"/>
          <w:sz w:val="18"/>
          <w:szCs w:val="18"/>
        </w:rPr>
        <w:t xml:space="preserve"> </w:t>
      </w:r>
      <w:r>
        <w:rPr>
          <w:rFonts w:cs="Times New Roman"/>
          <w:sz w:val="18"/>
          <w:szCs w:val="18"/>
        </w:rPr>
        <w:tab/>
      </w:r>
      <w:r w:rsidRPr="00011DF3">
        <w:t>This value of time uses the Average Weekly Ordinary Times Earnings for Victorian, seasonally adjusted as at May 2016 (ABS), over a 38</w:t>
      </w:r>
      <w:r>
        <w:t>-</w:t>
      </w:r>
      <w:r w:rsidRPr="00011DF3">
        <w:t>hour week.</w:t>
      </w:r>
    </w:p>
  </w:footnote>
  <w:footnote w:id="27">
    <w:p w:rsidR="00011DF3" w:rsidRPr="005258FC" w:rsidRDefault="00011DF3" w:rsidP="006C108D">
      <w:pPr>
        <w:pStyle w:val="FootnoteText"/>
      </w:pPr>
      <w:r>
        <w:rPr>
          <w:rStyle w:val="FootnoteReference"/>
        </w:rPr>
        <w:footnoteRef/>
      </w:r>
      <w:r>
        <w:t xml:space="preserve"> </w:t>
      </w:r>
      <w:r>
        <w:tab/>
      </w:r>
      <w:r w:rsidRPr="00011DF3">
        <w:t>10-year NPV assumed a growth in the number of registered practitioners of 2.5% a year over the next 10 years, discounted at a real discount rate of 4%.</w:t>
      </w:r>
    </w:p>
  </w:footnote>
  <w:footnote w:id="28">
    <w:p w:rsidR="00011DF3" w:rsidRPr="003810A3" w:rsidRDefault="00011DF3" w:rsidP="003A7FBC">
      <w:pPr>
        <w:pStyle w:val="FootnoteText"/>
        <w:rPr>
          <w:rFonts w:cs="Times New Roman"/>
          <w:sz w:val="18"/>
          <w:szCs w:val="18"/>
          <w:lang w:val="en-US"/>
        </w:rPr>
      </w:pPr>
      <w:r w:rsidRPr="003810A3">
        <w:rPr>
          <w:rStyle w:val="FootnoteReference"/>
          <w:rFonts w:cs="Times New Roman"/>
          <w:sz w:val="18"/>
          <w:szCs w:val="18"/>
        </w:rPr>
        <w:footnoteRef/>
      </w:r>
      <w:r w:rsidRPr="003810A3">
        <w:rPr>
          <w:rFonts w:cs="Times New Roman"/>
          <w:sz w:val="18"/>
          <w:szCs w:val="18"/>
        </w:rPr>
        <w:t xml:space="preserve"> </w:t>
      </w:r>
      <w:r>
        <w:rPr>
          <w:rFonts w:cs="Times New Roman"/>
          <w:sz w:val="18"/>
          <w:szCs w:val="18"/>
        </w:rPr>
        <w:tab/>
      </w:r>
      <w:r w:rsidRPr="00D3125B">
        <w:t>Indeed, it is expected that most practitioners would only undertake the qualifications and experience to become registered if they believed they would recover those associated costs through higher lifetime earnings, which would only occur in practice where the market was prepared to reward that increased competency through increased prices. Therefore, there is an inherent tendency towards an optimal number of practitioners, provided the market has sufficient confidence in the registration process.</w:t>
      </w:r>
    </w:p>
  </w:footnote>
  <w:footnote w:id="29">
    <w:p w:rsidR="00011DF3" w:rsidRPr="00C90F21" w:rsidRDefault="00011DF3" w:rsidP="003A7FBC">
      <w:pPr>
        <w:pStyle w:val="FootnoteText"/>
        <w:rPr>
          <w:rFonts w:cs="Times New Roman"/>
          <w:sz w:val="18"/>
          <w:szCs w:val="18"/>
          <w:lang w:val="en-US"/>
        </w:rPr>
      </w:pPr>
      <w:r w:rsidRPr="00C90F21">
        <w:rPr>
          <w:rStyle w:val="FootnoteReference"/>
          <w:rFonts w:cs="Times New Roman"/>
          <w:sz w:val="18"/>
          <w:szCs w:val="18"/>
        </w:rPr>
        <w:footnoteRef/>
      </w:r>
      <w:r w:rsidRPr="00C90F21">
        <w:rPr>
          <w:rStyle w:val="FootnoteReference"/>
          <w:rFonts w:cs="Times New Roman"/>
          <w:sz w:val="18"/>
          <w:szCs w:val="18"/>
        </w:rPr>
        <w:t xml:space="preserve"> </w:t>
      </w:r>
      <w:r>
        <w:rPr>
          <w:rFonts w:cs="Times New Roman"/>
          <w:sz w:val="18"/>
          <w:szCs w:val="18"/>
        </w:rPr>
        <w:tab/>
      </w:r>
      <w:r w:rsidRPr="00D3125B">
        <w:t>Search time of 1 hour reflects the department’s estimate of time to request referee details from a prospective builder, contact up to three referees to inquire about the performance of the builder, and (in some cases) travel to and inspect previous work completed by a builder. This is an average across those consumers that do take active steps to find out about a builder’s past performance.</w:t>
      </w:r>
    </w:p>
  </w:footnote>
  <w:footnote w:id="30">
    <w:p w:rsidR="00011DF3" w:rsidRPr="003810A3" w:rsidRDefault="00011DF3" w:rsidP="003A7FBC">
      <w:pPr>
        <w:pStyle w:val="FootnoteText"/>
        <w:rPr>
          <w:rFonts w:cs="Times New Roman"/>
          <w:sz w:val="18"/>
          <w:szCs w:val="18"/>
          <w:lang w:val="en-US"/>
        </w:rPr>
      </w:pPr>
      <w:r w:rsidRPr="003810A3">
        <w:rPr>
          <w:rStyle w:val="FootnoteReference"/>
          <w:rFonts w:cs="Times New Roman"/>
          <w:sz w:val="18"/>
          <w:szCs w:val="18"/>
        </w:rPr>
        <w:footnoteRef/>
      </w:r>
      <w:r w:rsidRPr="003810A3">
        <w:rPr>
          <w:rFonts w:cs="Times New Roman"/>
          <w:sz w:val="18"/>
          <w:szCs w:val="18"/>
        </w:rPr>
        <w:t xml:space="preserve"> </w:t>
      </w:r>
      <w:r>
        <w:rPr>
          <w:rFonts w:cs="Times New Roman"/>
          <w:sz w:val="18"/>
          <w:szCs w:val="18"/>
        </w:rPr>
        <w:tab/>
      </w:r>
      <w:r w:rsidRPr="00D3125B">
        <w:rPr>
          <w:i/>
        </w:rPr>
        <w:t>Consumer Detriment in Victoria: a survey of its costs, nature and implications.</w:t>
      </w:r>
    </w:p>
  </w:footnote>
  <w:footnote w:id="31">
    <w:p w:rsidR="00011DF3" w:rsidRPr="003810A3" w:rsidRDefault="00011DF3" w:rsidP="003A7FBC">
      <w:pPr>
        <w:pStyle w:val="FootnoteText"/>
        <w:rPr>
          <w:rFonts w:cs="Times New Roman"/>
          <w:sz w:val="18"/>
          <w:szCs w:val="18"/>
          <w:lang w:val="en-US"/>
        </w:rPr>
      </w:pPr>
      <w:r w:rsidRPr="003810A3">
        <w:rPr>
          <w:rStyle w:val="FootnoteReference"/>
          <w:rFonts w:cs="Times New Roman"/>
          <w:sz w:val="18"/>
          <w:szCs w:val="18"/>
        </w:rPr>
        <w:footnoteRef/>
      </w:r>
      <w:r w:rsidRPr="003810A3">
        <w:rPr>
          <w:rFonts w:cs="Times New Roman"/>
          <w:sz w:val="18"/>
          <w:szCs w:val="18"/>
        </w:rPr>
        <w:t xml:space="preserve"> </w:t>
      </w:r>
      <w:r>
        <w:rPr>
          <w:rFonts w:cs="Times New Roman"/>
          <w:sz w:val="18"/>
          <w:szCs w:val="18"/>
        </w:rPr>
        <w:tab/>
      </w:r>
      <w:r w:rsidRPr="00D3125B">
        <w:t>Australian Consumer Survey, published by Commonwealth Treasury, May 2016.</w:t>
      </w:r>
    </w:p>
  </w:footnote>
  <w:footnote w:id="32">
    <w:p w:rsidR="00011DF3" w:rsidRPr="003810A3" w:rsidRDefault="00011DF3" w:rsidP="003A7FBC">
      <w:pPr>
        <w:pStyle w:val="FootnoteText"/>
        <w:rPr>
          <w:rFonts w:cs="Times New Roman"/>
          <w:sz w:val="18"/>
          <w:szCs w:val="18"/>
          <w:lang w:val="en-US"/>
        </w:rPr>
      </w:pPr>
      <w:r w:rsidRPr="003810A3">
        <w:rPr>
          <w:rStyle w:val="FootnoteReference"/>
          <w:rFonts w:cs="Times New Roman"/>
          <w:sz w:val="18"/>
          <w:szCs w:val="18"/>
        </w:rPr>
        <w:footnoteRef/>
      </w:r>
      <w:r w:rsidRPr="003810A3">
        <w:rPr>
          <w:rFonts w:cs="Times New Roman"/>
          <w:sz w:val="18"/>
          <w:szCs w:val="18"/>
        </w:rPr>
        <w:t xml:space="preserve"> </w:t>
      </w:r>
      <w:r>
        <w:rPr>
          <w:rFonts w:cs="Times New Roman"/>
          <w:sz w:val="18"/>
          <w:szCs w:val="18"/>
        </w:rPr>
        <w:tab/>
      </w:r>
      <w:r w:rsidRPr="00011DF3">
        <w:t>This is based on the time needed to read and answer each question. Discussions with a sample of practitioners confirmed this as reasonable, although several practitioners suggested that where they are familiar with the information requested, it would take only about 1 minute to answer ‘no’ down the list of questions.</w:t>
      </w:r>
    </w:p>
  </w:footnote>
  <w:footnote w:id="33">
    <w:p w:rsidR="00011DF3" w:rsidRPr="00011DF3" w:rsidRDefault="00011DF3" w:rsidP="003A7FBC">
      <w:pPr>
        <w:pStyle w:val="FootnoteText"/>
      </w:pPr>
      <w:r w:rsidRPr="003810A3">
        <w:rPr>
          <w:rStyle w:val="FootnoteReference"/>
          <w:rFonts w:cs="Times New Roman"/>
          <w:sz w:val="18"/>
          <w:szCs w:val="18"/>
        </w:rPr>
        <w:footnoteRef/>
      </w:r>
      <w:r w:rsidRPr="003810A3">
        <w:rPr>
          <w:rFonts w:cs="Times New Roman"/>
          <w:sz w:val="18"/>
          <w:szCs w:val="18"/>
        </w:rPr>
        <w:t xml:space="preserve"> </w:t>
      </w:r>
      <w:r>
        <w:rPr>
          <w:rFonts w:cs="Times New Roman"/>
          <w:sz w:val="18"/>
          <w:szCs w:val="18"/>
        </w:rPr>
        <w:tab/>
      </w:r>
      <w:r w:rsidRPr="00011DF3">
        <w:t>This value of time uses the Average Weekly Ordinary Times Earnings for full time adults, private sector, seasonally adjusted as at May 2016 (ABS), increased by 50% to account for average incomes of skilled building practitioners, over a 39.7-hour average week.</w:t>
      </w:r>
    </w:p>
  </w:footnote>
  <w:footnote w:id="34">
    <w:p w:rsidR="00011DF3" w:rsidRPr="003810A3" w:rsidRDefault="00011DF3" w:rsidP="003A7FBC">
      <w:pPr>
        <w:pStyle w:val="FootnoteText"/>
        <w:rPr>
          <w:rFonts w:cs="Times New Roman"/>
          <w:sz w:val="18"/>
          <w:szCs w:val="18"/>
          <w:lang w:val="en-US"/>
        </w:rPr>
      </w:pPr>
      <w:r w:rsidRPr="003810A3">
        <w:rPr>
          <w:rStyle w:val="FootnoteReference"/>
          <w:rFonts w:cs="Times New Roman"/>
          <w:sz w:val="18"/>
          <w:szCs w:val="18"/>
        </w:rPr>
        <w:footnoteRef/>
      </w:r>
      <w:r w:rsidRPr="003810A3">
        <w:rPr>
          <w:rFonts w:cs="Times New Roman"/>
          <w:sz w:val="18"/>
          <w:szCs w:val="18"/>
        </w:rPr>
        <w:t xml:space="preserve"> </w:t>
      </w:r>
      <w:r>
        <w:rPr>
          <w:rFonts w:cs="Times New Roman"/>
          <w:sz w:val="18"/>
          <w:szCs w:val="18"/>
        </w:rPr>
        <w:tab/>
      </w:r>
      <w:r w:rsidRPr="00011DF3">
        <w:t>The net figure includes new applications less an allowance for practitioners who may not renew (e.g., retirement, cancellation) as well as existing practitioners who apply to be registered in a different category.</w:t>
      </w:r>
    </w:p>
  </w:footnote>
  <w:footnote w:id="35">
    <w:p w:rsidR="00011DF3" w:rsidRPr="00BF1379" w:rsidRDefault="00011DF3" w:rsidP="003A7FBC">
      <w:pPr>
        <w:pStyle w:val="FootnoteText"/>
        <w:rPr>
          <w:sz w:val="18"/>
          <w:lang w:val="en-US"/>
        </w:rPr>
      </w:pPr>
      <w:r w:rsidRPr="00BF1379">
        <w:rPr>
          <w:rStyle w:val="FootnoteReference"/>
          <w:sz w:val="18"/>
        </w:rPr>
        <w:footnoteRef/>
      </w:r>
      <w:r w:rsidRPr="00BF1379">
        <w:rPr>
          <w:sz w:val="18"/>
        </w:rPr>
        <w:t xml:space="preserve"> </w:t>
      </w:r>
      <w:r>
        <w:rPr>
          <w:sz w:val="18"/>
        </w:rPr>
        <w:tab/>
      </w:r>
      <w:r w:rsidRPr="00011DF3">
        <w:t>These benefits are average over the life of the Regulations.</w:t>
      </w:r>
    </w:p>
  </w:footnote>
  <w:footnote w:id="36">
    <w:p w:rsidR="00011DF3" w:rsidRPr="003810A3" w:rsidRDefault="00011DF3" w:rsidP="003A7FBC">
      <w:pPr>
        <w:pStyle w:val="FootnoteText"/>
        <w:rPr>
          <w:sz w:val="18"/>
          <w:szCs w:val="18"/>
          <w:lang w:val="en-US"/>
        </w:rPr>
      </w:pPr>
      <w:r w:rsidRPr="003810A3">
        <w:rPr>
          <w:rStyle w:val="FootnoteReference"/>
          <w:sz w:val="18"/>
          <w:szCs w:val="18"/>
        </w:rPr>
        <w:footnoteRef/>
      </w:r>
      <w:r w:rsidRPr="003810A3">
        <w:rPr>
          <w:sz w:val="18"/>
          <w:szCs w:val="18"/>
        </w:rPr>
        <w:t xml:space="preserve"> </w:t>
      </w:r>
      <w:r>
        <w:rPr>
          <w:sz w:val="18"/>
          <w:szCs w:val="18"/>
        </w:rPr>
        <w:tab/>
      </w:r>
      <w:r w:rsidRPr="00011DF3">
        <w:t xml:space="preserve">See cases </w:t>
      </w:r>
      <w:r w:rsidRPr="00011DF3">
        <w:rPr>
          <w:i/>
        </w:rPr>
        <w:t>In re R: A practitioner of the Supreme Court; and Campbell v Dental Board of Victoria</w:t>
      </w:r>
      <w:r w:rsidRPr="00011DF3">
        <w:t>.</w:t>
      </w:r>
    </w:p>
  </w:footnote>
  <w:footnote w:id="37">
    <w:p w:rsidR="00011DF3" w:rsidRPr="003810A3" w:rsidRDefault="00011DF3" w:rsidP="003A7FBC">
      <w:pPr>
        <w:pStyle w:val="FootnoteText"/>
        <w:rPr>
          <w:rFonts w:cs="Times New Roman"/>
          <w:sz w:val="18"/>
          <w:szCs w:val="18"/>
          <w:lang w:val="en-US"/>
        </w:rPr>
      </w:pPr>
      <w:r w:rsidRPr="003810A3">
        <w:rPr>
          <w:rStyle w:val="FootnoteReference"/>
          <w:rFonts w:cs="Times New Roman"/>
          <w:sz w:val="18"/>
          <w:szCs w:val="18"/>
        </w:rPr>
        <w:footnoteRef/>
      </w:r>
      <w:r w:rsidRPr="003810A3">
        <w:rPr>
          <w:rFonts w:cs="Times New Roman"/>
          <w:sz w:val="18"/>
          <w:szCs w:val="18"/>
        </w:rPr>
        <w:t xml:space="preserve"> </w:t>
      </w:r>
      <w:r>
        <w:rPr>
          <w:rFonts w:cs="Times New Roman"/>
          <w:sz w:val="18"/>
          <w:szCs w:val="18"/>
        </w:rPr>
        <w:tab/>
      </w:r>
      <w:r w:rsidRPr="00011DF3">
        <w:t>An application for a building permit may be made to a private building surveyor or to a municipal building surveyor.</w:t>
      </w:r>
    </w:p>
  </w:footnote>
  <w:footnote w:id="38">
    <w:p w:rsidR="00011DF3" w:rsidRPr="006C647F" w:rsidRDefault="00011DF3" w:rsidP="003A7FBC">
      <w:pPr>
        <w:pStyle w:val="FootnoteText"/>
        <w:rPr>
          <w:sz w:val="18"/>
          <w:szCs w:val="18"/>
          <w:lang w:val="en-US"/>
        </w:rPr>
      </w:pPr>
      <w:r w:rsidRPr="006C647F">
        <w:rPr>
          <w:rStyle w:val="FootnoteReference"/>
          <w:sz w:val="18"/>
          <w:szCs w:val="18"/>
        </w:rPr>
        <w:footnoteRef/>
      </w:r>
      <w:r w:rsidRPr="006C647F">
        <w:rPr>
          <w:sz w:val="18"/>
          <w:szCs w:val="18"/>
        </w:rPr>
        <w:t xml:space="preserve"> </w:t>
      </w:r>
      <w:r>
        <w:rPr>
          <w:sz w:val="18"/>
          <w:szCs w:val="18"/>
        </w:rPr>
        <w:tab/>
      </w:r>
      <w:r w:rsidRPr="00011DF3">
        <w:t>Based on a sample of prices charged by five pharmacists in Melbourne CBD during August 2016.</w:t>
      </w:r>
    </w:p>
  </w:footnote>
  <w:footnote w:id="39">
    <w:p w:rsidR="00011DF3" w:rsidRPr="00202C55" w:rsidRDefault="00011DF3" w:rsidP="003A7FBC">
      <w:pPr>
        <w:pStyle w:val="FootnoteText"/>
        <w:rPr>
          <w:sz w:val="18"/>
          <w:szCs w:val="18"/>
          <w:lang w:val="en-US"/>
        </w:rPr>
      </w:pPr>
      <w:r w:rsidRPr="00202C55">
        <w:rPr>
          <w:rStyle w:val="FootnoteReference"/>
          <w:sz w:val="18"/>
          <w:szCs w:val="18"/>
        </w:rPr>
        <w:footnoteRef/>
      </w:r>
      <w:r w:rsidRPr="00202C55">
        <w:rPr>
          <w:sz w:val="18"/>
          <w:szCs w:val="18"/>
        </w:rPr>
        <w:t xml:space="preserve"> </w:t>
      </w:r>
      <w:r>
        <w:rPr>
          <w:sz w:val="18"/>
          <w:szCs w:val="18"/>
        </w:rPr>
        <w:tab/>
      </w:r>
      <w:r w:rsidRPr="00011DF3">
        <w:t>This assumes that the requirement only applies to new applications for registration. If a statutory declaration were required also for those renewing registrations every five years, the total cost would be $98,382 a year.</w:t>
      </w:r>
    </w:p>
  </w:footnote>
  <w:footnote w:id="40">
    <w:p w:rsidR="00011DF3" w:rsidRPr="003810A3" w:rsidRDefault="00011DF3" w:rsidP="003A7FBC">
      <w:pPr>
        <w:pStyle w:val="FootnoteText"/>
        <w:rPr>
          <w:rFonts w:cs="Times New Roman"/>
          <w:sz w:val="18"/>
          <w:szCs w:val="18"/>
          <w:lang w:val="en-US"/>
        </w:rPr>
      </w:pPr>
      <w:r w:rsidRPr="003810A3">
        <w:rPr>
          <w:rStyle w:val="FootnoteReference"/>
          <w:rFonts w:cs="Times New Roman"/>
          <w:sz w:val="18"/>
          <w:szCs w:val="18"/>
        </w:rPr>
        <w:footnoteRef/>
      </w:r>
      <w:r w:rsidRPr="003810A3">
        <w:rPr>
          <w:rFonts w:cs="Times New Roman"/>
          <w:sz w:val="18"/>
          <w:szCs w:val="18"/>
        </w:rPr>
        <w:t xml:space="preserve"> </w:t>
      </w:r>
      <w:r>
        <w:rPr>
          <w:rFonts w:cs="Times New Roman"/>
          <w:sz w:val="18"/>
          <w:szCs w:val="18"/>
        </w:rPr>
        <w:tab/>
      </w:r>
      <w:r w:rsidRPr="00011DF3">
        <w:rPr>
          <w:i/>
        </w:rPr>
        <w:t>Consumer Detriment in Victoria: a survey of its costs, nature and implications.</w:t>
      </w:r>
      <w:r w:rsidRPr="00011DF3">
        <w:t xml:space="preserve"> (2006)</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1DF3" w:rsidRDefault="00011DF3" w:rsidP="009C64FA">
    <w:pPr>
      <w:pStyle w:val="Header"/>
    </w:pPr>
  </w:p>
  <w:p w:rsidR="00011DF3" w:rsidRPr="00393205" w:rsidRDefault="00011DF3" w:rsidP="0039320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1DF3" w:rsidRDefault="00011DF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1DF3" w:rsidRDefault="00011DF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1DF3" w:rsidRDefault="00011DF3">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1DF3" w:rsidRDefault="00011DF3" w:rsidP="009C64FA">
    <w:pPr>
      <w:pStyle w:val="Header"/>
    </w:pPr>
  </w:p>
  <w:p w:rsidR="00011DF3" w:rsidRPr="00393205" w:rsidRDefault="00011DF3" w:rsidP="00393205">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1DF3" w:rsidRPr="005E1E2B" w:rsidRDefault="00011DF3" w:rsidP="003A7F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529EF"/>
    <w:multiLevelType w:val="hybridMultilevel"/>
    <w:tmpl w:val="9034B422"/>
    <w:lvl w:ilvl="0" w:tplc="E7041A5C">
      <w:numFmt w:val="bullet"/>
      <w:lvlText w:val="-"/>
      <w:lvlJc w:val="left"/>
      <w:pPr>
        <w:ind w:left="360" w:hanging="360"/>
      </w:pPr>
      <w:rPr>
        <w:rFonts w:ascii="Calibri" w:eastAsiaTheme="minorHAnsi" w:hAnsi="Calibri" w:cstheme="minorBid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
    <w:nsid w:val="0433394F"/>
    <w:multiLevelType w:val="hybridMultilevel"/>
    <w:tmpl w:val="AA1A3D0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2">
    <w:nsid w:val="0686668D"/>
    <w:multiLevelType w:val="hybridMultilevel"/>
    <w:tmpl w:val="EBB2968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68B37FE"/>
    <w:multiLevelType w:val="multilevel"/>
    <w:tmpl w:val="A2EE2272"/>
    <w:name w:val="DEPIListBullets"/>
    <w:lvl w:ilvl="0">
      <w:start w:val="1"/>
      <w:numFmt w:val="bullet"/>
      <w:pStyle w:val="ListBullet"/>
      <w:lvlText w:val="•"/>
      <w:lvlJc w:val="left"/>
      <w:pPr>
        <w:tabs>
          <w:tab w:val="num" w:pos="170"/>
        </w:tabs>
        <w:ind w:left="170" w:hanging="170"/>
      </w:pPr>
      <w:rPr>
        <w:rFonts w:ascii="Times New Roman" w:hAnsi="Times New Roman" w:cs="Times New Roman" w:hint="default"/>
        <w:b w:val="0"/>
        <w:i w:val="0"/>
        <w:color w:val="363534" w:themeColor="text1"/>
        <w:position w:val="0"/>
        <w:sz w:val="20"/>
      </w:rPr>
    </w:lvl>
    <w:lvl w:ilvl="1">
      <w:start w:val="1"/>
      <w:numFmt w:val="bullet"/>
      <w:pStyle w:val="ListBullet2"/>
      <w:lvlText w:val="–"/>
      <w:lvlJc w:val="left"/>
      <w:pPr>
        <w:tabs>
          <w:tab w:val="num" w:pos="340"/>
        </w:tabs>
        <w:ind w:left="340" w:hanging="170"/>
      </w:pPr>
      <w:rPr>
        <w:rFonts w:asciiTheme="minorHAnsi" w:hAnsiTheme="minorHAnsi" w:hint="default"/>
        <w:b w:val="0"/>
        <w:i w:val="0"/>
        <w:color w:val="auto"/>
        <w:position w:val="2"/>
        <w:sz w:val="20"/>
      </w:rPr>
    </w:lvl>
    <w:lvl w:ilvl="2">
      <w:start w:val="1"/>
      <w:numFmt w:val="bullet"/>
      <w:pStyle w:val="ListBullet3"/>
      <w:lvlText w:val="&gt;"/>
      <w:lvlJc w:val="left"/>
      <w:pPr>
        <w:tabs>
          <w:tab w:val="num" w:pos="510"/>
        </w:tabs>
        <w:ind w:left="510" w:hanging="170"/>
      </w:pPr>
      <w:rPr>
        <w:rFonts w:ascii="Symbol" w:hAnsi="Symbol" w:hint="default"/>
        <w:b w:val="0"/>
        <w:i w:val="0"/>
        <w:color w:val="363534" w:themeColor="text1"/>
        <w:spacing w:val="0"/>
        <w:w w:val="100"/>
        <w:position w:val="3"/>
        <w:sz w:val="18"/>
        <w:szCs w:val="16"/>
      </w:rPr>
    </w:lvl>
    <w:lvl w:ilvl="3">
      <w:start w:val="1"/>
      <w:numFmt w:val="none"/>
      <w:lvlText w:val=""/>
      <w:lvlJc w:val="left"/>
      <w:pPr>
        <w:tabs>
          <w:tab w:val="num" w:pos="-31680"/>
        </w:tabs>
        <w:ind w:left="-32767" w:firstLine="0"/>
      </w:pPr>
      <w:rPr>
        <w:rFonts w:hint="default"/>
      </w:rPr>
    </w:lvl>
    <w:lvl w:ilvl="4">
      <w:start w:val="1"/>
      <w:numFmt w:val="none"/>
      <w:lvlText w:val=""/>
      <w:lvlJc w:val="left"/>
      <w:pPr>
        <w:tabs>
          <w:tab w:val="num" w:pos="-31680"/>
        </w:tabs>
        <w:ind w:left="-32767" w:firstLine="0"/>
      </w:pPr>
      <w:rPr>
        <w:rFonts w:hint="default"/>
      </w:rPr>
    </w:lvl>
    <w:lvl w:ilvl="5">
      <w:start w:val="1"/>
      <w:numFmt w:val="none"/>
      <w:lvlText w:val=""/>
      <w:lvlJc w:val="lef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4">
    <w:nsid w:val="0731221B"/>
    <w:multiLevelType w:val="multilevel"/>
    <w:tmpl w:val="54B62ED8"/>
    <w:styleLink w:val="BulletList"/>
    <w:lvl w:ilvl="0">
      <w:start w:val="1"/>
      <w:numFmt w:val="bullet"/>
      <w:lvlRestart w:val="0"/>
      <w:lvlText w:val=""/>
      <w:lvlJc w:val="left"/>
      <w:pPr>
        <w:tabs>
          <w:tab w:val="num" w:pos="567"/>
        </w:tabs>
        <w:ind w:left="567" w:hanging="567"/>
      </w:pPr>
      <w:rPr>
        <w:rFonts w:ascii="Symbol" w:hAnsi="Symbol" w:hint="default"/>
        <w:b w:val="0"/>
        <w:i w:val="0"/>
        <w:color w:val="auto"/>
      </w:rPr>
    </w:lvl>
    <w:lvl w:ilvl="1">
      <w:start w:val="1"/>
      <w:numFmt w:val="bullet"/>
      <w:lvlText w:val="–"/>
      <w:lvlJc w:val="left"/>
      <w:pPr>
        <w:tabs>
          <w:tab w:val="num" w:pos="1134"/>
        </w:tabs>
        <w:ind w:left="1134" w:hanging="567"/>
      </w:pPr>
      <w:rPr>
        <w:rFonts w:ascii="Arial" w:hAnsi="Arial" w:hint="default"/>
        <w:b w:val="0"/>
        <w:i w:val="0"/>
        <w:color w:val="auto"/>
      </w:rPr>
    </w:lvl>
    <w:lvl w:ilvl="2">
      <w:start w:val="1"/>
      <w:numFmt w:val="bullet"/>
      <w:lvlText w:val="o"/>
      <w:lvlJc w:val="left"/>
      <w:pPr>
        <w:tabs>
          <w:tab w:val="num" w:pos="1701"/>
        </w:tabs>
        <w:ind w:left="1701" w:hanging="567"/>
      </w:pPr>
      <w:rPr>
        <w:rFonts w:ascii="Arial" w:hAnsi="Arial" w:hint="default"/>
        <w:b w:val="0"/>
        <w:i w:val="0"/>
        <w:color w:val="auto"/>
        <w:sz w:val="10"/>
        <w:szCs w:val="10"/>
      </w:rPr>
    </w:lvl>
    <w:lvl w:ilvl="3">
      <w:start w:val="1"/>
      <w:numFmt w:val="bullet"/>
      <w:lvlText w:val=""/>
      <w:lvlJc w:val="left"/>
      <w:pPr>
        <w:tabs>
          <w:tab w:val="num" w:pos="2268"/>
        </w:tabs>
        <w:ind w:left="2268" w:hanging="567"/>
      </w:pPr>
      <w:rPr>
        <w:rFonts w:ascii="Wingdings" w:hAnsi="Wingdings" w:hint="default"/>
        <w:b w:val="0"/>
        <w:i w:val="0"/>
        <w:color w:val="auto"/>
        <w:sz w:val="10"/>
        <w:szCs w:val="10"/>
      </w:rPr>
    </w:lvl>
    <w:lvl w:ilvl="4">
      <w:start w:val="1"/>
      <w:numFmt w:val="none"/>
      <w:lvlText w:val="%5"/>
      <w:lvlJc w:val="left"/>
      <w:pPr>
        <w:tabs>
          <w:tab w:val="num" w:pos="0"/>
        </w:tabs>
        <w:ind w:left="0" w:firstLine="0"/>
      </w:pPr>
      <w:rPr>
        <w:rFonts w:hint="default"/>
      </w:rPr>
    </w:lvl>
    <w:lvl w:ilvl="5">
      <w:start w:val="1"/>
      <w:numFmt w:val="lowerRoman"/>
      <w:lvlText w:val=""/>
      <w:lvlJc w:val="left"/>
      <w:pPr>
        <w:tabs>
          <w:tab w:val="num" w:pos="2160"/>
        </w:tabs>
        <w:ind w:left="2160" w:hanging="360"/>
      </w:pPr>
      <w:rPr>
        <w:rFonts w:hint="default"/>
      </w:rPr>
    </w:lvl>
    <w:lvl w:ilvl="6">
      <w:start w:val="1"/>
      <w:numFmt w:val="decimal"/>
      <w:lvlText w:val=""/>
      <w:lvlJc w:val="left"/>
      <w:pPr>
        <w:tabs>
          <w:tab w:val="num" w:pos="2520"/>
        </w:tabs>
        <w:ind w:left="2520" w:hanging="360"/>
      </w:pPr>
      <w:rPr>
        <w:rFonts w:hint="default"/>
      </w:rPr>
    </w:lvl>
    <w:lvl w:ilvl="7">
      <w:start w:val="1"/>
      <w:numFmt w:val="lowerLetter"/>
      <w:lvlText w:val=""/>
      <w:lvlJc w:val="left"/>
      <w:pPr>
        <w:tabs>
          <w:tab w:val="num" w:pos="2880"/>
        </w:tabs>
        <w:ind w:left="2880" w:hanging="360"/>
      </w:pPr>
      <w:rPr>
        <w:rFonts w:hint="default"/>
      </w:rPr>
    </w:lvl>
    <w:lvl w:ilvl="8">
      <w:start w:val="1"/>
      <w:numFmt w:val="lowerRoman"/>
      <w:lvlText w:val=""/>
      <w:lvlJc w:val="left"/>
      <w:pPr>
        <w:tabs>
          <w:tab w:val="num" w:pos="3240"/>
        </w:tabs>
        <w:ind w:left="3240" w:hanging="360"/>
      </w:pPr>
      <w:rPr>
        <w:rFonts w:hint="default"/>
      </w:rPr>
    </w:lvl>
  </w:abstractNum>
  <w:abstractNum w:abstractNumId="5">
    <w:nsid w:val="08112352"/>
    <w:multiLevelType w:val="multilevel"/>
    <w:tmpl w:val="8CEA6DAA"/>
    <w:name w:val="Bullets"/>
    <w:styleLink w:val="Bullets"/>
    <w:lvl w:ilvl="0">
      <w:start w:val="1"/>
      <w:numFmt w:val="bullet"/>
      <w:pStyle w:val="Bullet1"/>
      <w:lvlText w:val=""/>
      <w:lvlJc w:val="left"/>
      <w:pPr>
        <w:tabs>
          <w:tab w:val="num" w:pos="284"/>
        </w:tabs>
        <w:ind w:left="284" w:hanging="284"/>
      </w:pPr>
      <w:rPr>
        <w:rFonts w:ascii="Symbol" w:hAnsi="Symbol" w:hint="default"/>
        <w:color w:val="auto"/>
      </w:rPr>
    </w:lvl>
    <w:lvl w:ilvl="1">
      <w:start w:val="1"/>
      <w:numFmt w:val="bullet"/>
      <w:pStyle w:val="Bullet2"/>
      <w:lvlText w:val="–"/>
      <w:lvlJc w:val="left"/>
      <w:pPr>
        <w:tabs>
          <w:tab w:val="num" w:pos="567"/>
        </w:tabs>
        <w:ind w:left="568" w:hanging="284"/>
      </w:pPr>
      <w:rPr>
        <w:rFonts w:ascii="Arial" w:hAnsi="Arial" w:hint="default"/>
        <w:color w:val="auto"/>
      </w:rPr>
    </w:lvl>
    <w:lvl w:ilvl="2">
      <w:start w:val="1"/>
      <w:numFmt w:val="bullet"/>
      <w:pStyle w:val="Bullet3"/>
      <w:lvlText w:val="◦"/>
      <w:lvlJc w:val="left"/>
      <w:pPr>
        <w:tabs>
          <w:tab w:val="num" w:pos="851"/>
        </w:tabs>
        <w:ind w:left="852" w:hanging="284"/>
      </w:pPr>
      <w:rPr>
        <w:rFonts w:ascii="Georgia" w:hAnsi="Georgia" w:hint="default"/>
        <w:color w:val="auto"/>
      </w:rPr>
    </w:lvl>
    <w:lvl w:ilvl="3">
      <w:start w:val="1"/>
      <w:numFmt w:val="bullet"/>
      <w:pStyle w:val="Bullet4"/>
      <w:lvlText w:val=""/>
      <w:lvlJc w:val="left"/>
      <w:pPr>
        <w:tabs>
          <w:tab w:val="num" w:pos="1134"/>
        </w:tabs>
        <w:ind w:left="1136" w:hanging="284"/>
      </w:pPr>
      <w:rPr>
        <w:rFonts w:ascii="Symbol" w:hAnsi="Symbol" w:hint="default"/>
        <w:color w:val="auto"/>
      </w:rPr>
    </w:lvl>
    <w:lvl w:ilvl="4">
      <w:start w:val="1"/>
      <w:numFmt w:val="lowerLetter"/>
      <w:lvlText w:val="(%5)"/>
      <w:lvlJc w:val="left"/>
      <w:pPr>
        <w:tabs>
          <w:tab w:val="num" w:pos="1418"/>
        </w:tabs>
        <w:ind w:left="1420" w:hanging="284"/>
      </w:pPr>
      <w:rPr>
        <w:rFonts w:hint="default"/>
      </w:rPr>
    </w:lvl>
    <w:lvl w:ilvl="5">
      <w:start w:val="1"/>
      <w:numFmt w:val="lowerRoman"/>
      <w:lvlText w:val="(%6)"/>
      <w:lvlJc w:val="left"/>
      <w:pPr>
        <w:tabs>
          <w:tab w:val="num" w:pos="1701"/>
        </w:tabs>
        <w:ind w:left="1701" w:hanging="281"/>
      </w:pPr>
      <w:rPr>
        <w:rFonts w:hint="default"/>
      </w:rPr>
    </w:lvl>
    <w:lvl w:ilvl="6">
      <w:start w:val="1"/>
      <w:numFmt w:val="decimal"/>
      <w:lvlText w:val="%7."/>
      <w:lvlJc w:val="left"/>
      <w:pPr>
        <w:tabs>
          <w:tab w:val="num" w:pos="1985"/>
        </w:tabs>
        <w:ind w:left="1985" w:hanging="284"/>
      </w:pPr>
      <w:rPr>
        <w:rFonts w:hint="default"/>
      </w:rPr>
    </w:lvl>
    <w:lvl w:ilvl="7">
      <w:start w:val="1"/>
      <w:numFmt w:val="lowerLetter"/>
      <w:lvlText w:val="%8."/>
      <w:lvlJc w:val="left"/>
      <w:pPr>
        <w:tabs>
          <w:tab w:val="num" w:pos="2268"/>
        </w:tabs>
        <w:ind w:left="2268" w:hanging="283"/>
      </w:pPr>
      <w:rPr>
        <w:rFonts w:hint="default"/>
      </w:rPr>
    </w:lvl>
    <w:lvl w:ilvl="8">
      <w:start w:val="1"/>
      <w:numFmt w:val="lowerRoman"/>
      <w:lvlText w:val="%9."/>
      <w:lvlJc w:val="left"/>
      <w:pPr>
        <w:tabs>
          <w:tab w:val="num" w:pos="2552"/>
        </w:tabs>
        <w:ind w:left="2552" w:hanging="284"/>
      </w:pPr>
      <w:rPr>
        <w:rFonts w:hint="default"/>
      </w:rPr>
    </w:lvl>
  </w:abstractNum>
  <w:abstractNum w:abstractNumId="6">
    <w:nsid w:val="08D86985"/>
    <w:multiLevelType w:val="hybridMultilevel"/>
    <w:tmpl w:val="A9DE42A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09257FF5"/>
    <w:multiLevelType w:val="multilevel"/>
    <w:tmpl w:val="585065D6"/>
    <w:lvl w:ilvl="0">
      <w:start w:val="1"/>
      <w:numFmt w:val="bullet"/>
      <w:pStyle w:val="CVBullet1"/>
      <w:lvlText w:val=""/>
      <w:lvlJc w:val="left"/>
      <w:pPr>
        <w:ind w:left="227" w:hanging="227"/>
      </w:pPr>
      <w:rPr>
        <w:rFonts w:ascii="Symbol" w:hAnsi="Symbol" w:hint="default"/>
        <w:color w:val="auto"/>
      </w:rPr>
    </w:lvl>
    <w:lvl w:ilvl="1">
      <w:start w:val="1"/>
      <w:numFmt w:val="bullet"/>
      <w:pStyle w:val="CVBullet2"/>
      <w:lvlText w:val="–"/>
      <w:lvlJc w:val="left"/>
      <w:pPr>
        <w:ind w:left="454" w:hanging="227"/>
      </w:pPr>
      <w:rPr>
        <w:rFonts w:ascii="Arial" w:hAnsi="Aria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0984408E"/>
    <w:multiLevelType w:val="multilevel"/>
    <w:tmpl w:val="EE3860A0"/>
    <w:name w:val="PwCListNumbers1"/>
    <w:styleLink w:val="PwCListNumbers1"/>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left"/>
      <w:pPr>
        <w:tabs>
          <w:tab w:val="num" w:pos="5103"/>
        </w:tabs>
        <w:ind w:left="5103" w:hanging="567"/>
      </w:pPr>
      <w:rPr>
        <w:rFonts w:hint="default"/>
      </w:rPr>
    </w:lvl>
  </w:abstractNum>
  <w:abstractNum w:abstractNumId="9">
    <w:nsid w:val="09F47AB3"/>
    <w:multiLevelType w:val="hybridMultilevel"/>
    <w:tmpl w:val="1256D8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0C351215"/>
    <w:multiLevelType w:val="multilevel"/>
    <w:tmpl w:val="F7701110"/>
    <w:name w:val="DELWPHeadings"/>
    <w:lvl w:ilvl="0">
      <w:start w:val="1"/>
      <w:numFmt w:val="none"/>
      <w:lvlRestart w:val="0"/>
      <w:pStyle w:val="Heading1"/>
      <w:suff w:val="nothing"/>
      <w:lvlText w:val=""/>
      <w:lvlJc w:val="left"/>
      <w:pPr>
        <w:ind w:left="0" w:firstLine="0"/>
      </w:pPr>
      <w:rPr>
        <w:rFonts w:hint="default"/>
        <w:color w:val="00B2A9" w:themeColor="text2"/>
        <w:sz w:val="40"/>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decimal"/>
      <w:lvlText w:val="%1.%2.%3.%4"/>
      <w:lvlJc w:val="left"/>
      <w:pPr>
        <w:ind w:left="765" w:hanging="765"/>
      </w:pPr>
      <w:rPr>
        <w:rFonts w:hint="default"/>
      </w:rPr>
    </w:lvl>
    <w:lvl w:ilvl="4">
      <w:start w:val="1"/>
      <w:numFmt w:val="decimal"/>
      <w:lvlText w:val="%1.%2.%3.%4.%5"/>
      <w:lvlJc w:val="left"/>
      <w:pPr>
        <w:ind w:left="765" w:hanging="765"/>
      </w:pPr>
      <w:rPr>
        <w:rFonts w:hint="default"/>
      </w:rPr>
    </w:lvl>
    <w:lvl w:ilvl="5">
      <w:start w:val="1"/>
      <w:numFmt w:val="decimal"/>
      <w:lvlText w:val="%1.%2.%3.%4.%5.%6"/>
      <w:lvlJc w:val="left"/>
      <w:pPr>
        <w:ind w:left="765" w:hanging="765"/>
      </w:pPr>
      <w:rPr>
        <w:rFonts w:hint="default"/>
      </w:rPr>
    </w:lvl>
    <w:lvl w:ilvl="6">
      <w:start w:val="1"/>
      <w:numFmt w:val="decimal"/>
      <w:lvlText w:val="%1.%2.%3.%4.%5.%6.%7."/>
      <w:lvlJc w:val="left"/>
      <w:pPr>
        <w:ind w:left="765" w:hanging="765"/>
      </w:pPr>
      <w:rPr>
        <w:rFonts w:hint="default"/>
      </w:rPr>
    </w:lvl>
    <w:lvl w:ilvl="7">
      <w:start w:val="1"/>
      <w:numFmt w:val="decimal"/>
      <w:lvlText w:val="%1.%2.%3.%4.%5.%6.%7.%8."/>
      <w:lvlJc w:val="left"/>
      <w:pPr>
        <w:ind w:left="765" w:hanging="765"/>
      </w:pPr>
      <w:rPr>
        <w:rFonts w:hint="default"/>
      </w:rPr>
    </w:lvl>
    <w:lvl w:ilvl="8">
      <w:start w:val="1"/>
      <w:numFmt w:val="decimal"/>
      <w:lvlText w:val="%1.%2.%3.%4.%5.%6.%7.%8.%9."/>
      <w:lvlJc w:val="left"/>
      <w:pPr>
        <w:ind w:left="765" w:hanging="765"/>
      </w:pPr>
      <w:rPr>
        <w:rFonts w:hint="default"/>
      </w:rPr>
    </w:lvl>
  </w:abstractNum>
  <w:abstractNum w:abstractNumId="11">
    <w:nsid w:val="0CD90539"/>
    <w:multiLevelType w:val="multilevel"/>
    <w:tmpl w:val="FD9044F2"/>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0E602EA9"/>
    <w:multiLevelType w:val="hybridMultilevel"/>
    <w:tmpl w:val="AD2CFEEA"/>
    <w:lvl w:ilvl="0" w:tplc="0C090001">
      <w:start w:val="1"/>
      <w:numFmt w:val="bullet"/>
      <w:lvlText w:val=""/>
      <w:lvlJc w:val="left"/>
      <w:pPr>
        <w:ind w:left="770" w:hanging="360"/>
      </w:pPr>
      <w:rPr>
        <w:rFonts w:ascii="Symbol" w:hAnsi="Symbol" w:hint="default"/>
      </w:rPr>
    </w:lvl>
    <w:lvl w:ilvl="1" w:tplc="0C090003">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3">
    <w:nsid w:val="0FB2573F"/>
    <w:multiLevelType w:val="multilevel"/>
    <w:tmpl w:val="D18EE714"/>
    <w:name w:val="TableFootnotes"/>
    <w:lvl w:ilvl="0">
      <w:start w:val="1"/>
      <w:numFmt w:val="lowerLetter"/>
      <w:pStyle w:val="Footnotes"/>
      <w:lvlText w:val="%1."/>
      <w:lvlJc w:val="left"/>
      <w:pPr>
        <w:ind w:left="284" w:hanging="284"/>
      </w:pPr>
      <w:rPr>
        <w:rFonts w:hint="default"/>
        <w:spacing w:val="-10"/>
      </w:rPr>
    </w:lvl>
    <w:lvl w:ilvl="1">
      <w:start w:val="1"/>
      <w:numFmt w:val="lowerRoman"/>
      <w:pStyle w:val="Footnotes2"/>
      <w:lvlText w:val="%2."/>
      <w:lvlJc w:val="left"/>
      <w:pPr>
        <w:tabs>
          <w:tab w:val="num" w:pos="567"/>
        </w:tabs>
        <w:ind w:left="567" w:hanging="283"/>
      </w:pPr>
      <w:rPr>
        <w:rFonts w:hint="default"/>
        <w:spacing w:val="0"/>
        <w:w w:val="100"/>
        <w:kern w:val="0"/>
        <w:position w:val="0"/>
      </w:rPr>
    </w:lvl>
    <w:lvl w:ilvl="2">
      <w:start w:val="1"/>
      <w:numFmt w:val="none"/>
      <w:lvlRestart w:val="1"/>
      <w:lvlText w:val=""/>
      <w:lvlJc w:val="left"/>
      <w:pPr>
        <w:tabs>
          <w:tab w:val="num" w:pos="0"/>
        </w:tabs>
        <w:ind w:left="0" w:firstLine="0"/>
      </w:pPr>
      <w:rPr>
        <w:rFonts w:hint="default"/>
        <w:color w:val="auto"/>
        <w:spacing w:val="-4"/>
      </w:rPr>
    </w:lvl>
    <w:lvl w:ilvl="3">
      <w:start w:val="1"/>
      <w:numFmt w:val="none"/>
      <w:lvlText w:val=""/>
      <w:lvlJc w:val="left"/>
      <w:pPr>
        <w:tabs>
          <w:tab w:val="num" w:pos="0"/>
        </w:tabs>
        <w:ind w:left="0" w:hanging="5670"/>
      </w:pPr>
      <w:rPr>
        <w:rFonts w:hint="default"/>
        <w:spacing w:val="-10"/>
        <w:w w:val="100"/>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Restart w:val="1"/>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position w:val="0"/>
      </w:rPr>
    </w:lvl>
    <w:lvl w:ilvl="8">
      <w:start w:val="1"/>
      <w:numFmt w:val="none"/>
      <w:lvlText w:val=""/>
      <w:lvlJc w:val="left"/>
      <w:pPr>
        <w:tabs>
          <w:tab w:val="num" w:pos="0"/>
        </w:tabs>
        <w:ind w:left="0" w:firstLine="0"/>
      </w:pPr>
      <w:rPr>
        <w:rFonts w:hint="default"/>
        <w:position w:val="2"/>
        <w:sz w:val="20"/>
        <w:szCs w:val="20"/>
      </w:rPr>
    </w:lvl>
  </w:abstractNum>
  <w:abstractNum w:abstractNumId="14">
    <w:nsid w:val="113C4B44"/>
    <w:multiLevelType w:val="multilevel"/>
    <w:tmpl w:val="4E5C847A"/>
    <w:styleLink w:val="Indents"/>
    <w:lvl w:ilvl="0">
      <w:start w:val="1"/>
      <w:numFmt w:val="none"/>
      <w:suff w:val="nothing"/>
      <w:lvlText w:val=""/>
      <w:lvlJc w:val="left"/>
      <w:pPr>
        <w:ind w:left="0" w:firstLine="0"/>
      </w:pPr>
      <w:rPr>
        <w:rFonts w:hint="default"/>
        <w:color w:val="auto"/>
      </w:rPr>
    </w:lvl>
    <w:lvl w:ilvl="1">
      <w:start w:val="1"/>
      <w:numFmt w:val="none"/>
      <w:suff w:val="nothing"/>
      <w:lvlText w:val=""/>
      <w:lvlJc w:val="left"/>
      <w:pPr>
        <w:ind w:left="567" w:firstLine="0"/>
      </w:pPr>
      <w:rPr>
        <w:rFonts w:hint="default"/>
      </w:rPr>
    </w:lvl>
    <w:lvl w:ilvl="2">
      <w:start w:val="1"/>
      <w:numFmt w:val="none"/>
      <w:suff w:val="nothing"/>
      <w:lvlText w:val=""/>
      <w:lvlJc w:val="left"/>
      <w:pPr>
        <w:ind w:left="1134" w:firstLine="0"/>
      </w:pPr>
      <w:rPr>
        <w:rFonts w:hint="default"/>
      </w:rPr>
    </w:lvl>
    <w:lvl w:ilvl="3">
      <w:start w:val="1"/>
      <w:numFmt w:val="none"/>
      <w:suff w:val="nothing"/>
      <w:lvlText w:val=""/>
      <w:lvlJc w:val="left"/>
      <w:pPr>
        <w:ind w:left="1701" w:firstLine="0"/>
      </w:pPr>
      <w:rPr>
        <w:rFonts w:hint="default"/>
      </w:rPr>
    </w:lvl>
    <w:lvl w:ilvl="4">
      <w:start w:val="1"/>
      <w:numFmt w:val="none"/>
      <w:suff w:val="nothing"/>
      <w:lvlText w:val=""/>
      <w:lvlJc w:val="left"/>
      <w:pPr>
        <w:ind w:left="2268" w:firstLine="0"/>
      </w:pPr>
      <w:rPr>
        <w:rFonts w:hint="default"/>
      </w:rPr>
    </w:lvl>
    <w:lvl w:ilvl="5">
      <w:start w:val="1"/>
      <w:numFmt w:val="none"/>
      <w:suff w:val="nothing"/>
      <w:lvlText w:val=""/>
      <w:lvlJc w:val="left"/>
      <w:pPr>
        <w:ind w:left="2835" w:firstLine="0"/>
      </w:pPr>
      <w:rPr>
        <w:rFonts w:hint="default"/>
      </w:rPr>
    </w:lvl>
    <w:lvl w:ilvl="6">
      <w:start w:val="1"/>
      <w:numFmt w:val="none"/>
      <w:suff w:val="nothing"/>
      <w:lvlText w:val=""/>
      <w:lvlJc w:val="left"/>
      <w:pPr>
        <w:ind w:left="3402" w:firstLine="0"/>
      </w:pPr>
      <w:rPr>
        <w:rFonts w:hint="default"/>
      </w:rPr>
    </w:lvl>
    <w:lvl w:ilvl="7">
      <w:start w:val="1"/>
      <w:numFmt w:val="none"/>
      <w:suff w:val="nothing"/>
      <w:lvlText w:val=""/>
      <w:lvlJc w:val="left"/>
      <w:pPr>
        <w:ind w:left="3969" w:firstLine="0"/>
      </w:pPr>
      <w:rPr>
        <w:rFonts w:hint="default"/>
      </w:rPr>
    </w:lvl>
    <w:lvl w:ilvl="8">
      <w:start w:val="1"/>
      <w:numFmt w:val="none"/>
      <w:suff w:val="nothing"/>
      <w:lvlText w:val=""/>
      <w:lvlJc w:val="left"/>
      <w:pPr>
        <w:ind w:left="4536" w:firstLine="0"/>
      </w:pPr>
      <w:rPr>
        <w:rFonts w:hint="default"/>
      </w:rPr>
    </w:lvl>
  </w:abstractNum>
  <w:abstractNum w:abstractNumId="15">
    <w:nsid w:val="16417FC4"/>
    <w:multiLevelType w:val="multilevel"/>
    <w:tmpl w:val="50B20D3A"/>
    <w:styleLink w:val="TableNumberedListSmall"/>
    <w:lvl w:ilvl="0">
      <w:start w:val="1"/>
      <w:numFmt w:val="decimal"/>
      <w:lvlRestart w:val="0"/>
      <w:pStyle w:val="TableNumberedListSmall1"/>
      <w:lvlText w:val="%1"/>
      <w:lvlJc w:val="left"/>
      <w:pPr>
        <w:tabs>
          <w:tab w:val="num" w:pos="283"/>
        </w:tabs>
        <w:ind w:left="284" w:hanging="284"/>
      </w:pPr>
      <w:rPr>
        <w:rFonts w:asciiTheme="minorHAnsi" w:hAnsiTheme="minorHAnsi" w:hint="default"/>
        <w:b w:val="0"/>
        <w:i w:val="0"/>
        <w:color w:val="auto"/>
        <w:sz w:val="20"/>
      </w:rPr>
    </w:lvl>
    <w:lvl w:ilvl="1">
      <w:start w:val="1"/>
      <w:numFmt w:val="lowerLetter"/>
      <w:lvlRestart w:val="0"/>
      <w:pStyle w:val="TableNumberedListSmall2"/>
      <w:lvlText w:val="%2"/>
      <w:lvlJc w:val="left"/>
      <w:pPr>
        <w:tabs>
          <w:tab w:val="num" w:pos="567"/>
        </w:tabs>
        <w:ind w:left="567" w:hanging="283"/>
      </w:pPr>
      <w:rPr>
        <w:rFonts w:hint="default"/>
        <w:b w:val="0"/>
        <w:i w:val="0"/>
        <w:color w:val="auto"/>
        <w:szCs w:val="10"/>
      </w:rPr>
    </w:lvl>
    <w:lvl w:ilvl="2">
      <w:start w:val="1"/>
      <w:numFmt w:val="lowerRoman"/>
      <w:lvlRestart w:val="0"/>
      <w:pStyle w:val="TableNumberedListSmall3"/>
      <w:lvlText w:val="%3"/>
      <w:lvlJc w:val="left"/>
      <w:pPr>
        <w:tabs>
          <w:tab w:val="num" w:pos="851"/>
        </w:tabs>
        <w:ind w:left="851" w:hanging="284"/>
      </w:pPr>
      <w:rPr>
        <w:rFonts w:asciiTheme="minorHAnsi" w:hAnsiTheme="minorHAnsi" w:hint="default"/>
        <w:b w:val="0"/>
        <w:i w:val="0"/>
        <w:color w:val="auto"/>
        <w:sz w:val="20"/>
        <w:szCs w:val="10"/>
      </w:rPr>
    </w:lvl>
    <w:lvl w:ilvl="3">
      <w:start w:val="1"/>
      <w:numFmt w:val="none"/>
      <w:lvlRestart w:val="0"/>
      <w:lvlText w:val=""/>
      <w:lvlJc w:val="left"/>
      <w:pPr>
        <w:tabs>
          <w:tab w:val="num" w:pos="0"/>
        </w:tabs>
        <w:ind w:left="0" w:firstLine="0"/>
      </w:pPr>
      <w:rPr>
        <w:rFonts w:hint="default"/>
        <w:color w:val="auto"/>
        <w:sz w:val="10"/>
        <w:szCs w:val="10"/>
      </w:rPr>
    </w:lvl>
    <w:lvl w:ilvl="4">
      <w:start w:val="1"/>
      <w:numFmt w:val="none"/>
      <w:lvlText w:val="%5"/>
      <w:lvlJc w:val="left"/>
      <w:pPr>
        <w:tabs>
          <w:tab w:val="num" w:pos="1800"/>
        </w:tabs>
        <w:ind w:left="1800" w:hanging="360"/>
      </w:pPr>
      <w:rPr>
        <w:rFonts w:hint="default"/>
      </w:rPr>
    </w:lvl>
    <w:lvl w:ilvl="5">
      <w:start w:val="1"/>
      <w:numFmt w:val="lowerRoman"/>
      <w:lvlText w:val=""/>
      <w:lvlJc w:val="left"/>
      <w:pPr>
        <w:tabs>
          <w:tab w:val="num" w:pos="2160"/>
        </w:tabs>
        <w:ind w:left="2160" w:hanging="360"/>
      </w:pPr>
      <w:rPr>
        <w:rFonts w:hint="default"/>
      </w:rPr>
    </w:lvl>
    <w:lvl w:ilvl="6">
      <w:start w:val="1"/>
      <w:numFmt w:val="decimal"/>
      <w:lvlText w:val=""/>
      <w:lvlJc w:val="left"/>
      <w:pPr>
        <w:tabs>
          <w:tab w:val="num" w:pos="2520"/>
        </w:tabs>
        <w:ind w:left="2520" w:hanging="360"/>
      </w:pPr>
      <w:rPr>
        <w:rFonts w:hint="default"/>
      </w:rPr>
    </w:lvl>
    <w:lvl w:ilvl="7">
      <w:start w:val="1"/>
      <w:numFmt w:val="lowerLetter"/>
      <w:lvlText w:val=""/>
      <w:lvlJc w:val="left"/>
      <w:pPr>
        <w:tabs>
          <w:tab w:val="num" w:pos="2880"/>
        </w:tabs>
        <w:ind w:left="2880" w:hanging="360"/>
      </w:pPr>
      <w:rPr>
        <w:rFonts w:hint="default"/>
      </w:rPr>
    </w:lvl>
    <w:lvl w:ilvl="8">
      <w:start w:val="1"/>
      <w:numFmt w:val="lowerRoman"/>
      <w:lvlText w:val=""/>
      <w:lvlJc w:val="left"/>
      <w:pPr>
        <w:tabs>
          <w:tab w:val="num" w:pos="3240"/>
        </w:tabs>
        <w:ind w:left="3240" w:hanging="360"/>
      </w:pPr>
      <w:rPr>
        <w:rFonts w:hint="default"/>
      </w:rPr>
    </w:lvl>
  </w:abstractNum>
  <w:abstractNum w:abstractNumId="16">
    <w:nsid w:val="184F5379"/>
    <w:multiLevelType w:val="multilevel"/>
    <w:tmpl w:val="1546630C"/>
    <w:styleLink w:val="ListNumberList"/>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righ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nsid w:val="187E60D1"/>
    <w:multiLevelType w:val="multilevel"/>
    <w:tmpl w:val="0C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194A695C"/>
    <w:multiLevelType w:val="multilevel"/>
    <w:tmpl w:val="75CA4D72"/>
    <w:name w:val="DEPITableBullets"/>
    <w:lvl w:ilvl="0">
      <w:start w:val="1"/>
      <w:numFmt w:val="bullet"/>
      <w:pStyle w:val="TableTextBullet"/>
      <w:lvlText w:val="•"/>
      <w:lvlJc w:val="left"/>
      <w:pPr>
        <w:tabs>
          <w:tab w:val="num" w:pos="284"/>
        </w:tabs>
        <w:ind w:left="284" w:hanging="171"/>
      </w:pPr>
      <w:rPr>
        <w:rFonts w:ascii="Calibri" w:hAnsi="Calibri" w:hint="default"/>
        <w:b w:val="0"/>
        <w:i w:val="0"/>
        <w:color w:val="363534" w:themeColor="text1"/>
        <w:position w:val="0"/>
        <w:sz w:val="20"/>
        <w:szCs w:val="12"/>
      </w:rPr>
    </w:lvl>
    <w:lvl w:ilvl="1">
      <w:start w:val="1"/>
      <w:numFmt w:val="bullet"/>
      <w:pStyle w:val="TableTextBullet2"/>
      <w:lvlText w:val="–"/>
      <w:lvlJc w:val="left"/>
      <w:pPr>
        <w:tabs>
          <w:tab w:val="num" w:pos="454"/>
        </w:tabs>
        <w:ind w:left="454" w:hanging="170"/>
      </w:pPr>
      <w:rPr>
        <w:rFonts w:ascii="Calibri" w:hAnsi="Calibri" w:hint="default"/>
        <w:b w:val="0"/>
        <w:i w:val="0"/>
        <w:color w:val="auto"/>
        <w:position w:val="2"/>
        <w:sz w:val="20"/>
        <w:szCs w:val="18"/>
      </w:rPr>
    </w:lvl>
    <w:lvl w:ilvl="2">
      <w:start w:val="1"/>
      <w:numFmt w:val="bullet"/>
      <w:pStyle w:val="TableTextBullet3"/>
      <w:lvlText w:val=""/>
      <w:lvlJc w:val="left"/>
      <w:pPr>
        <w:tabs>
          <w:tab w:val="num" w:pos="624"/>
        </w:tabs>
        <w:ind w:left="624" w:hanging="170"/>
      </w:pPr>
      <w:rPr>
        <w:rFonts w:ascii="Symbol" w:hAnsi="Symbol" w:hint="default"/>
        <w:position w:val="3"/>
        <w:sz w:val="18"/>
      </w:rPr>
    </w:lvl>
    <w:lvl w:ilvl="3">
      <w:start w:val="1"/>
      <w:numFmt w:val="none"/>
      <w:lvlText w:val=""/>
      <w:lvlJc w:val="left"/>
      <w:pPr>
        <w:ind w:left="2767" w:hanging="360"/>
      </w:pPr>
      <w:rPr>
        <w:rFonts w:hint="default"/>
      </w:rPr>
    </w:lvl>
    <w:lvl w:ilvl="4">
      <w:start w:val="1"/>
      <w:numFmt w:val="none"/>
      <w:lvlText w:val=""/>
      <w:lvlJc w:val="left"/>
      <w:pPr>
        <w:ind w:left="3487" w:hanging="360"/>
      </w:pPr>
      <w:rPr>
        <w:rFonts w:hint="default"/>
      </w:rPr>
    </w:lvl>
    <w:lvl w:ilvl="5">
      <w:start w:val="1"/>
      <w:numFmt w:val="none"/>
      <w:lvlText w:val=""/>
      <w:lvlJc w:val="left"/>
      <w:pPr>
        <w:ind w:left="4207" w:hanging="360"/>
      </w:pPr>
      <w:rPr>
        <w:rFonts w:hint="default"/>
      </w:rPr>
    </w:lvl>
    <w:lvl w:ilvl="6">
      <w:start w:val="1"/>
      <w:numFmt w:val="none"/>
      <w:lvlText w:val=""/>
      <w:lvlJc w:val="left"/>
      <w:pPr>
        <w:ind w:left="4927" w:hanging="360"/>
      </w:pPr>
      <w:rPr>
        <w:rFonts w:hint="default"/>
      </w:rPr>
    </w:lvl>
    <w:lvl w:ilvl="7">
      <w:start w:val="1"/>
      <w:numFmt w:val="none"/>
      <w:lvlText w:val=""/>
      <w:lvlJc w:val="left"/>
      <w:pPr>
        <w:ind w:left="5647" w:hanging="360"/>
      </w:pPr>
      <w:rPr>
        <w:rFonts w:hint="default"/>
      </w:rPr>
    </w:lvl>
    <w:lvl w:ilvl="8">
      <w:start w:val="1"/>
      <w:numFmt w:val="none"/>
      <w:lvlText w:val=""/>
      <w:lvlJc w:val="left"/>
      <w:pPr>
        <w:ind w:left="6367" w:hanging="360"/>
      </w:pPr>
      <w:rPr>
        <w:rFonts w:hint="default"/>
      </w:rPr>
    </w:lvl>
  </w:abstractNum>
  <w:abstractNum w:abstractNumId="19">
    <w:nsid w:val="1D230827"/>
    <w:multiLevelType w:val="multilevel"/>
    <w:tmpl w:val="AF18B140"/>
    <w:styleLink w:val="TableNumberdListNormal"/>
    <w:lvl w:ilvl="0">
      <w:start w:val="1"/>
      <w:numFmt w:val="decimal"/>
      <w:lvlRestart w:val="0"/>
      <w:lvlText w:val="%1"/>
      <w:lvlJc w:val="left"/>
      <w:pPr>
        <w:tabs>
          <w:tab w:val="num" w:pos="283"/>
        </w:tabs>
        <w:ind w:left="284" w:hanging="284"/>
      </w:pPr>
      <w:rPr>
        <w:rFonts w:ascii="Times New Roman" w:hAnsi="Times New Roman" w:hint="default"/>
        <w:b w:val="0"/>
        <w:i w:val="0"/>
        <w:color w:val="auto"/>
      </w:rPr>
    </w:lvl>
    <w:lvl w:ilvl="1">
      <w:start w:val="1"/>
      <w:numFmt w:val="lowerLetter"/>
      <w:lvlRestart w:val="0"/>
      <w:lvlText w:val="%2"/>
      <w:lvlJc w:val="left"/>
      <w:pPr>
        <w:tabs>
          <w:tab w:val="num" w:pos="567"/>
        </w:tabs>
        <w:ind w:left="567" w:hanging="283"/>
      </w:pPr>
      <w:rPr>
        <w:rFonts w:hint="default"/>
        <w:b w:val="0"/>
        <w:i w:val="0"/>
        <w:color w:val="auto"/>
        <w:szCs w:val="10"/>
      </w:rPr>
    </w:lvl>
    <w:lvl w:ilvl="2">
      <w:start w:val="1"/>
      <w:numFmt w:val="lowerRoman"/>
      <w:lvlRestart w:val="0"/>
      <w:lvlText w:val="%3"/>
      <w:lvlJc w:val="left"/>
      <w:pPr>
        <w:tabs>
          <w:tab w:val="num" w:pos="851"/>
        </w:tabs>
        <w:ind w:left="851" w:hanging="284"/>
      </w:pPr>
      <w:rPr>
        <w:rFonts w:hint="default"/>
        <w:b w:val="0"/>
        <w:i w:val="0"/>
        <w:color w:val="auto"/>
        <w:sz w:val="10"/>
        <w:szCs w:val="10"/>
      </w:rPr>
    </w:lvl>
    <w:lvl w:ilvl="3">
      <w:start w:val="1"/>
      <w:numFmt w:val="none"/>
      <w:lvlRestart w:val="0"/>
      <w:lvlText w:val=""/>
      <w:lvlJc w:val="left"/>
      <w:pPr>
        <w:tabs>
          <w:tab w:val="num" w:pos="0"/>
        </w:tabs>
        <w:ind w:left="0" w:firstLine="0"/>
      </w:pPr>
      <w:rPr>
        <w:rFonts w:hint="default"/>
        <w:color w:val="auto"/>
        <w:sz w:val="10"/>
        <w:szCs w:val="10"/>
      </w:rPr>
    </w:lvl>
    <w:lvl w:ilvl="4">
      <w:start w:val="1"/>
      <w:numFmt w:val="none"/>
      <w:lvlText w:val="%5"/>
      <w:lvlJc w:val="left"/>
      <w:pPr>
        <w:tabs>
          <w:tab w:val="num" w:pos="1800"/>
        </w:tabs>
        <w:ind w:left="1800" w:hanging="360"/>
      </w:pPr>
      <w:rPr>
        <w:rFonts w:hint="default"/>
      </w:rPr>
    </w:lvl>
    <w:lvl w:ilvl="5">
      <w:start w:val="1"/>
      <w:numFmt w:val="lowerRoman"/>
      <w:lvlText w:val=""/>
      <w:lvlJc w:val="left"/>
      <w:pPr>
        <w:tabs>
          <w:tab w:val="num" w:pos="2160"/>
        </w:tabs>
        <w:ind w:left="2160" w:hanging="360"/>
      </w:pPr>
      <w:rPr>
        <w:rFonts w:hint="default"/>
      </w:rPr>
    </w:lvl>
    <w:lvl w:ilvl="6">
      <w:start w:val="1"/>
      <w:numFmt w:val="decimal"/>
      <w:lvlText w:val=""/>
      <w:lvlJc w:val="left"/>
      <w:pPr>
        <w:tabs>
          <w:tab w:val="num" w:pos="2520"/>
        </w:tabs>
        <w:ind w:left="2520" w:hanging="360"/>
      </w:pPr>
      <w:rPr>
        <w:rFonts w:hint="default"/>
      </w:rPr>
    </w:lvl>
    <w:lvl w:ilvl="7">
      <w:start w:val="1"/>
      <w:numFmt w:val="lowerLetter"/>
      <w:lvlText w:val=""/>
      <w:lvlJc w:val="left"/>
      <w:pPr>
        <w:tabs>
          <w:tab w:val="num" w:pos="2880"/>
        </w:tabs>
        <w:ind w:left="2880" w:hanging="360"/>
      </w:pPr>
      <w:rPr>
        <w:rFonts w:hint="default"/>
      </w:rPr>
    </w:lvl>
    <w:lvl w:ilvl="8">
      <w:start w:val="1"/>
      <w:numFmt w:val="lowerRoman"/>
      <w:lvlText w:val=""/>
      <w:lvlJc w:val="left"/>
      <w:pPr>
        <w:tabs>
          <w:tab w:val="num" w:pos="3240"/>
        </w:tabs>
        <w:ind w:left="3240" w:hanging="360"/>
      </w:pPr>
      <w:rPr>
        <w:rFonts w:hint="default"/>
      </w:rPr>
    </w:lvl>
  </w:abstractNum>
  <w:abstractNum w:abstractNumId="20">
    <w:nsid w:val="1F275C51"/>
    <w:multiLevelType w:val="multilevel"/>
    <w:tmpl w:val="14E88F38"/>
    <w:name w:val="DEPIListAlpha"/>
    <w:lvl w:ilvl="0">
      <w:start w:val="1"/>
      <w:numFmt w:val="lowerLetter"/>
      <w:pStyle w:val="ListAlpha"/>
      <w:lvlText w:val="%1."/>
      <w:lvlJc w:val="left"/>
      <w:pPr>
        <w:ind w:left="340" w:hanging="340"/>
      </w:pPr>
      <w:rPr>
        <w:rFonts w:hint="default"/>
      </w:rPr>
    </w:lvl>
    <w:lvl w:ilvl="1">
      <w:start w:val="1"/>
      <w:numFmt w:val="lowerRoman"/>
      <w:pStyle w:val="ListAlpha2"/>
      <w:lvlText w:val="%2."/>
      <w:lvlJc w:val="left"/>
      <w:pPr>
        <w:ind w:left="709" w:hanging="369"/>
      </w:pPr>
      <w:rPr>
        <w:rFonts w:hint="default"/>
      </w:rPr>
    </w:lvl>
    <w:lvl w:ilvl="2">
      <w:start w:val="1"/>
      <w:numFmt w:val="bullet"/>
      <w:pStyle w:val="ListAlpha3"/>
      <w:lvlText w:val="–"/>
      <w:lvlJc w:val="left"/>
      <w:pPr>
        <w:ind w:left="1049" w:hanging="340"/>
      </w:pPr>
      <w:rPr>
        <w:rFonts w:ascii="Arial" w:hAnsi="Arial" w:hint="default"/>
        <w:color w:val="auto"/>
      </w:rPr>
    </w:lvl>
    <w:lvl w:ilvl="3">
      <w:start w:val="1"/>
      <w:numFmt w:val="decimal"/>
      <w:lvlText w:val="%4."/>
      <w:lvlJc w:val="left"/>
      <w:pPr>
        <w:ind w:left="1816" w:hanging="454"/>
      </w:pPr>
      <w:rPr>
        <w:rFonts w:hint="default"/>
      </w:rPr>
    </w:lvl>
    <w:lvl w:ilvl="4">
      <w:start w:val="1"/>
      <w:numFmt w:val="lowerLetter"/>
      <w:lvlText w:val="%5."/>
      <w:lvlJc w:val="left"/>
      <w:pPr>
        <w:ind w:left="2270" w:hanging="454"/>
      </w:pPr>
      <w:rPr>
        <w:rFonts w:hint="default"/>
      </w:rPr>
    </w:lvl>
    <w:lvl w:ilvl="5">
      <w:start w:val="1"/>
      <w:numFmt w:val="lowerRoman"/>
      <w:lvlText w:val="%6."/>
      <w:lvlJc w:val="right"/>
      <w:pPr>
        <w:ind w:left="2724" w:hanging="454"/>
      </w:pPr>
      <w:rPr>
        <w:rFonts w:hint="default"/>
      </w:rPr>
    </w:lvl>
    <w:lvl w:ilvl="6">
      <w:start w:val="1"/>
      <w:numFmt w:val="decimal"/>
      <w:lvlText w:val="%7."/>
      <w:lvlJc w:val="left"/>
      <w:pPr>
        <w:ind w:left="3178" w:hanging="454"/>
      </w:pPr>
      <w:rPr>
        <w:rFonts w:hint="default"/>
      </w:rPr>
    </w:lvl>
    <w:lvl w:ilvl="7">
      <w:start w:val="1"/>
      <w:numFmt w:val="lowerLetter"/>
      <w:lvlText w:val="%8."/>
      <w:lvlJc w:val="left"/>
      <w:pPr>
        <w:ind w:left="3632" w:hanging="454"/>
      </w:pPr>
      <w:rPr>
        <w:rFonts w:hint="default"/>
      </w:rPr>
    </w:lvl>
    <w:lvl w:ilvl="8">
      <w:start w:val="1"/>
      <w:numFmt w:val="lowerRoman"/>
      <w:lvlText w:val="%9."/>
      <w:lvlJc w:val="right"/>
      <w:pPr>
        <w:ind w:left="4086" w:hanging="454"/>
      </w:pPr>
      <w:rPr>
        <w:rFonts w:hint="default"/>
      </w:rPr>
    </w:lvl>
  </w:abstractNum>
  <w:abstractNum w:abstractNumId="21">
    <w:nsid w:val="206049CB"/>
    <w:multiLevelType w:val="hybridMultilevel"/>
    <w:tmpl w:val="79F40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283947C2"/>
    <w:multiLevelType w:val="multilevel"/>
    <w:tmpl w:val="50B20D3A"/>
    <w:numStyleLink w:val="TableNumberedListSmall"/>
  </w:abstractNum>
  <w:abstractNum w:abstractNumId="23">
    <w:nsid w:val="29722702"/>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29F60073"/>
    <w:multiLevelType w:val="multilevel"/>
    <w:tmpl w:val="28909FD8"/>
    <w:lvl w:ilvl="0">
      <w:start w:val="1"/>
      <w:numFmt w:val="decimal"/>
      <w:lvlRestart w:val="0"/>
      <w:pStyle w:val="TableNumberedList1"/>
      <w:lvlText w:val="%1"/>
      <w:lvlJc w:val="left"/>
      <w:pPr>
        <w:tabs>
          <w:tab w:val="num" w:pos="283"/>
        </w:tabs>
        <w:ind w:left="284" w:hanging="284"/>
      </w:pPr>
      <w:rPr>
        <w:rFonts w:ascii="Times New Roman" w:hAnsi="Times New Roman" w:hint="default"/>
        <w:b w:val="0"/>
        <w:i w:val="0"/>
        <w:color w:val="auto"/>
        <w:sz w:val="20"/>
      </w:rPr>
    </w:lvl>
    <w:lvl w:ilvl="1">
      <w:start w:val="1"/>
      <w:numFmt w:val="lowerLetter"/>
      <w:lvlRestart w:val="0"/>
      <w:pStyle w:val="TableNumberedList2"/>
      <w:lvlText w:val="%2"/>
      <w:lvlJc w:val="left"/>
      <w:pPr>
        <w:tabs>
          <w:tab w:val="num" w:pos="567"/>
        </w:tabs>
        <w:ind w:left="567" w:hanging="283"/>
      </w:pPr>
      <w:rPr>
        <w:rFonts w:hint="default"/>
        <w:b w:val="0"/>
        <w:i w:val="0"/>
        <w:color w:val="auto"/>
        <w:szCs w:val="10"/>
      </w:rPr>
    </w:lvl>
    <w:lvl w:ilvl="2">
      <w:start w:val="1"/>
      <w:numFmt w:val="lowerRoman"/>
      <w:lvlRestart w:val="0"/>
      <w:pStyle w:val="TableNumberedList3"/>
      <w:lvlText w:val="%3"/>
      <w:lvlJc w:val="left"/>
      <w:pPr>
        <w:tabs>
          <w:tab w:val="num" w:pos="851"/>
        </w:tabs>
        <w:ind w:left="851" w:hanging="284"/>
      </w:pPr>
      <w:rPr>
        <w:rFonts w:asciiTheme="minorHAnsi" w:hAnsiTheme="minorHAnsi" w:hint="default"/>
        <w:b w:val="0"/>
        <w:i w:val="0"/>
        <w:color w:val="auto"/>
        <w:sz w:val="20"/>
        <w:szCs w:val="10"/>
      </w:rPr>
    </w:lvl>
    <w:lvl w:ilvl="3">
      <w:start w:val="1"/>
      <w:numFmt w:val="none"/>
      <w:lvlRestart w:val="0"/>
      <w:lvlText w:val=""/>
      <w:lvlJc w:val="left"/>
      <w:pPr>
        <w:tabs>
          <w:tab w:val="num" w:pos="0"/>
        </w:tabs>
        <w:ind w:left="0" w:firstLine="0"/>
      </w:pPr>
      <w:rPr>
        <w:rFonts w:hint="default"/>
        <w:color w:val="auto"/>
        <w:sz w:val="10"/>
        <w:szCs w:val="10"/>
      </w:rPr>
    </w:lvl>
    <w:lvl w:ilvl="4">
      <w:start w:val="1"/>
      <w:numFmt w:val="none"/>
      <w:lvlText w:val="%5"/>
      <w:lvlJc w:val="left"/>
      <w:pPr>
        <w:tabs>
          <w:tab w:val="num" w:pos="1800"/>
        </w:tabs>
        <w:ind w:left="1800" w:hanging="360"/>
      </w:pPr>
      <w:rPr>
        <w:rFonts w:hint="default"/>
      </w:rPr>
    </w:lvl>
    <w:lvl w:ilvl="5">
      <w:start w:val="1"/>
      <w:numFmt w:val="lowerRoman"/>
      <w:lvlText w:val=""/>
      <w:lvlJc w:val="left"/>
      <w:pPr>
        <w:tabs>
          <w:tab w:val="num" w:pos="2160"/>
        </w:tabs>
        <w:ind w:left="2160" w:hanging="360"/>
      </w:pPr>
      <w:rPr>
        <w:rFonts w:hint="default"/>
      </w:rPr>
    </w:lvl>
    <w:lvl w:ilvl="6">
      <w:start w:val="1"/>
      <w:numFmt w:val="decimal"/>
      <w:lvlText w:val=""/>
      <w:lvlJc w:val="left"/>
      <w:pPr>
        <w:tabs>
          <w:tab w:val="num" w:pos="2520"/>
        </w:tabs>
        <w:ind w:left="2520" w:hanging="360"/>
      </w:pPr>
      <w:rPr>
        <w:rFonts w:hint="default"/>
      </w:rPr>
    </w:lvl>
    <w:lvl w:ilvl="7">
      <w:start w:val="1"/>
      <w:numFmt w:val="lowerLetter"/>
      <w:lvlText w:val=""/>
      <w:lvlJc w:val="left"/>
      <w:pPr>
        <w:tabs>
          <w:tab w:val="num" w:pos="2880"/>
        </w:tabs>
        <w:ind w:left="2880" w:hanging="360"/>
      </w:pPr>
      <w:rPr>
        <w:rFonts w:hint="default"/>
      </w:rPr>
    </w:lvl>
    <w:lvl w:ilvl="8">
      <w:start w:val="1"/>
      <w:numFmt w:val="lowerRoman"/>
      <w:lvlText w:val=""/>
      <w:lvlJc w:val="left"/>
      <w:pPr>
        <w:tabs>
          <w:tab w:val="num" w:pos="3240"/>
        </w:tabs>
        <w:ind w:left="3240" w:hanging="360"/>
      </w:pPr>
      <w:rPr>
        <w:rFonts w:hint="default"/>
      </w:rPr>
    </w:lvl>
  </w:abstractNum>
  <w:abstractNum w:abstractNumId="25">
    <w:nsid w:val="2BF876DE"/>
    <w:multiLevelType w:val="multilevel"/>
    <w:tmpl w:val="B7F496D4"/>
    <w:lvl w:ilvl="0">
      <w:start w:val="1"/>
      <w:numFmt w:val="bullet"/>
      <w:lvlRestart w:val="0"/>
      <w:pStyle w:val="TableBullet1Small"/>
      <w:lvlText w:val=""/>
      <w:lvlJc w:val="left"/>
      <w:pPr>
        <w:tabs>
          <w:tab w:val="num" w:pos="284"/>
        </w:tabs>
        <w:ind w:left="170" w:hanging="170"/>
      </w:pPr>
      <w:rPr>
        <w:rFonts w:ascii="Symbol" w:hAnsi="Symbol" w:hint="default"/>
        <w:b w:val="0"/>
        <w:i w:val="0"/>
        <w:color w:val="auto"/>
      </w:rPr>
    </w:lvl>
    <w:lvl w:ilvl="1">
      <w:start w:val="1"/>
      <w:numFmt w:val="bullet"/>
      <w:lvlRestart w:val="0"/>
      <w:pStyle w:val="TableBullet2Small"/>
      <w:lvlText w:val="–"/>
      <w:lvlJc w:val="left"/>
      <w:pPr>
        <w:tabs>
          <w:tab w:val="num" w:pos="567"/>
        </w:tabs>
        <w:ind w:left="340" w:hanging="170"/>
      </w:pPr>
      <w:rPr>
        <w:rFonts w:ascii="Arial" w:hAnsi="Arial" w:hint="default"/>
        <w:b w:val="0"/>
        <w:i w:val="0"/>
        <w:color w:val="auto"/>
      </w:rPr>
    </w:lvl>
    <w:lvl w:ilvl="2">
      <w:start w:val="1"/>
      <w:numFmt w:val="bullet"/>
      <w:lvlRestart w:val="0"/>
      <w:pStyle w:val="TableBullet3Small"/>
      <w:lvlText w:val="o"/>
      <w:lvlJc w:val="left"/>
      <w:pPr>
        <w:tabs>
          <w:tab w:val="num" w:pos="851"/>
        </w:tabs>
        <w:ind w:left="510" w:hanging="170"/>
      </w:pPr>
      <w:rPr>
        <w:rFonts w:ascii="Arial" w:hAnsi="Arial" w:hint="default"/>
        <w:b w:val="0"/>
        <w:i w:val="0"/>
        <w:color w:val="auto"/>
        <w:sz w:val="10"/>
        <w:szCs w:val="10"/>
      </w:rPr>
    </w:lvl>
    <w:lvl w:ilvl="3">
      <w:start w:val="1"/>
      <w:numFmt w:val="none"/>
      <w:lvlRestart w:val="0"/>
      <w:lvlText w:val=""/>
      <w:lvlJc w:val="left"/>
      <w:pPr>
        <w:tabs>
          <w:tab w:val="num" w:pos="2880"/>
        </w:tabs>
        <w:ind w:left="2880" w:hanging="720"/>
      </w:pPr>
      <w:rPr>
        <w:rFonts w:hint="default"/>
        <w:b w:val="0"/>
        <w:i w:val="0"/>
        <w:color w:val="auto"/>
        <w:sz w:val="10"/>
        <w:szCs w:val="10"/>
      </w:rPr>
    </w:lvl>
    <w:lvl w:ilvl="4">
      <w:start w:val="1"/>
      <w:numFmt w:val="lowerLetter"/>
      <w:lvlText w:val=""/>
      <w:lvlJc w:val="left"/>
      <w:pPr>
        <w:tabs>
          <w:tab w:val="num" w:pos="1800"/>
        </w:tabs>
        <w:ind w:left="1800" w:hanging="360"/>
      </w:pPr>
      <w:rPr>
        <w:rFonts w:hint="default"/>
      </w:rPr>
    </w:lvl>
    <w:lvl w:ilvl="5">
      <w:start w:val="1"/>
      <w:numFmt w:val="lowerRoman"/>
      <w:lvlText w:val=""/>
      <w:lvlJc w:val="left"/>
      <w:pPr>
        <w:tabs>
          <w:tab w:val="num" w:pos="2160"/>
        </w:tabs>
        <w:ind w:left="2160" w:hanging="360"/>
      </w:pPr>
      <w:rPr>
        <w:rFonts w:hint="default"/>
      </w:rPr>
    </w:lvl>
    <w:lvl w:ilvl="6">
      <w:start w:val="1"/>
      <w:numFmt w:val="decimal"/>
      <w:lvlText w:val=""/>
      <w:lvlJc w:val="left"/>
      <w:pPr>
        <w:tabs>
          <w:tab w:val="num" w:pos="2520"/>
        </w:tabs>
        <w:ind w:left="2520" w:hanging="360"/>
      </w:pPr>
      <w:rPr>
        <w:rFonts w:hint="default"/>
      </w:rPr>
    </w:lvl>
    <w:lvl w:ilvl="7">
      <w:start w:val="1"/>
      <w:numFmt w:val="lowerLetter"/>
      <w:lvlText w:val=""/>
      <w:lvlJc w:val="left"/>
      <w:pPr>
        <w:tabs>
          <w:tab w:val="num" w:pos="2880"/>
        </w:tabs>
        <w:ind w:left="2880" w:hanging="360"/>
      </w:pPr>
      <w:rPr>
        <w:rFonts w:hint="default"/>
      </w:rPr>
    </w:lvl>
    <w:lvl w:ilvl="8">
      <w:start w:val="1"/>
      <w:numFmt w:val="lowerRoman"/>
      <w:lvlText w:val=""/>
      <w:lvlJc w:val="left"/>
      <w:pPr>
        <w:tabs>
          <w:tab w:val="num" w:pos="3240"/>
        </w:tabs>
        <w:ind w:left="3240" w:hanging="360"/>
      </w:pPr>
      <w:rPr>
        <w:rFonts w:hint="default"/>
      </w:rPr>
    </w:lvl>
  </w:abstractNum>
  <w:abstractNum w:abstractNumId="26">
    <w:nsid w:val="2C72580B"/>
    <w:multiLevelType w:val="multilevel"/>
    <w:tmpl w:val="151AC338"/>
    <w:name w:val="PullOutBoxNumbering"/>
    <w:lvl w:ilvl="0">
      <w:start w:val="1"/>
      <w:numFmt w:val="decimal"/>
      <w:pStyle w:val="PullOutBoxNumbered"/>
      <w:lvlText w:val="%1."/>
      <w:lvlJc w:val="left"/>
      <w:pPr>
        <w:tabs>
          <w:tab w:val="num" w:pos="482"/>
        </w:tabs>
        <w:ind w:left="482" w:hanging="340"/>
      </w:pPr>
      <w:rPr>
        <w:rFonts w:hint="default"/>
      </w:rPr>
    </w:lvl>
    <w:lvl w:ilvl="1">
      <w:start w:val="1"/>
      <w:numFmt w:val="lowerLetter"/>
      <w:pStyle w:val="PullOutBoxNumbered2"/>
      <w:lvlText w:val="%2."/>
      <w:lvlJc w:val="left"/>
      <w:pPr>
        <w:tabs>
          <w:tab w:val="num" w:pos="822"/>
        </w:tabs>
        <w:ind w:left="822" w:hanging="340"/>
      </w:pPr>
      <w:rPr>
        <w:rFonts w:hint="default"/>
        <w:color w:val="363534" w:themeColor="text1"/>
      </w:rPr>
    </w:lvl>
    <w:lvl w:ilvl="2">
      <w:start w:val="1"/>
      <w:numFmt w:val="lowerRoman"/>
      <w:pStyle w:val="PullOutBoxNumbered3"/>
      <w:lvlText w:val="%3."/>
      <w:lvlJc w:val="left"/>
      <w:pPr>
        <w:tabs>
          <w:tab w:val="num" w:pos="1219"/>
        </w:tabs>
        <w:ind w:left="1219" w:hanging="397"/>
      </w:pPr>
      <w:rPr>
        <w:rFonts w:hint="default"/>
        <w:color w:val="363534" w:themeColor="text1"/>
        <w:position w:val="2"/>
        <w:sz w:val="22"/>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7">
    <w:nsid w:val="307E06FA"/>
    <w:multiLevelType w:val="multilevel"/>
    <w:tmpl w:val="0C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nsid w:val="31B52E81"/>
    <w:multiLevelType w:val="multilevel"/>
    <w:tmpl w:val="173A89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32D7125E"/>
    <w:multiLevelType w:val="multilevel"/>
    <w:tmpl w:val="8E0CCD38"/>
    <w:styleLink w:val="CVBullets"/>
    <w:lvl w:ilvl="0">
      <w:start w:val="1"/>
      <w:numFmt w:val="bullet"/>
      <w:lvlText w:val=""/>
      <w:lvlJc w:val="left"/>
      <w:pPr>
        <w:ind w:left="284" w:hanging="284"/>
      </w:pPr>
      <w:rPr>
        <w:rFonts w:ascii="Symbol" w:hAnsi="Symbol" w:hint="default"/>
        <w:color w:val="auto"/>
      </w:rPr>
    </w:lvl>
    <w:lvl w:ilvl="1">
      <w:start w:val="1"/>
      <w:numFmt w:val="bullet"/>
      <w:lvlText w:val="–"/>
      <w:lvlJc w:val="left"/>
      <w:pPr>
        <w:ind w:left="567" w:hanging="283"/>
      </w:pPr>
      <w:rPr>
        <w:rFonts w:ascii="Arial" w:hAnsi="Aria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nsid w:val="35292FF5"/>
    <w:multiLevelType w:val="hybridMultilevel"/>
    <w:tmpl w:val="53F419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35960C1C"/>
    <w:multiLevelType w:val="hybridMultilevel"/>
    <w:tmpl w:val="77E6314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38723AD4"/>
    <w:multiLevelType w:val="multilevel"/>
    <w:tmpl w:val="C3FC21F4"/>
    <w:name w:val="DEPIPullOutBoxBullets"/>
    <w:lvl w:ilvl="0">
      <w:start w:val="1"/>
      <w:numFmt w:val="bullet"/>
      <w:pStyle w:val="PullOutBoxBullet"/>
      <w:lvlText w:val="•"/>
      <w:lvlJc w:val="left"/>
      <w:pPr>
        <w:tabs>
          <w:tab w:val="num" w:pos="567"/>
        </w:tabs>
        <w:ind w:left="312" w:hanging="170"/>
      </w:pPr>
      <w:rPr>
        <w:rFonts w:ascii="Calibri" w:hAnsi="Calibri" w:hint="default"/>
        <w:color w:val="363534" w:themeColor="text1"/>
        <w:sz w:val="20"/>
      </w:rPr>
    </w:lvl>
    <w:lvl w:ilvl="1">
      <w:start w:val="1"/>
      <w:numFmt w:val="bullet"/>
      <w:pStyle w:val="PullOutBoxBullet2"/>
      <w:lvlText w:val="–"/>
      <w:lvlJc w:val="left"/>
      <w:pPr>
        <w:tabs>
          <w:tab w:val="num" w:pos="851"/>
        </w:tabs>
        <w:ind w:left="482" w:hanging="170"/>
      </w:pPr>
      <w:rPr>
        <w:rFonts w:ascii="Calibri" w:hAnsi="Calibri" w:hint="default"/>
        <w:b w:val="0"/>
        <w:i w:val="0"/>
        <w:color w:val="363534" w:themeColor="text1"/>
        <w:position w:val="2"/>
        <w:sz w:val="20"/>
      </w:rPr>
    </w:lvl>
    <w:lvl w:ilvl="2">
      <w:start w:val="1"/>
      <w:numFmt w:val="bullet"/>
      <w:pStyle w:val="PullOutBoxBullet3"/>
      <w:lvlText w:val="&gt;"/>
      <w:lvlJc w:val="left"/>
      <w:pPr>
        <w:tabs>
          <w:tab w:val="num" w:pos="1134"/>
        </w:tabs>
        <w:ind w:left="652" w:hanging="170"/>
      </w:pPr>
      <w:rPr>
        <w:rFonts w:ascii="Calibri" w:hAnsi="Calibri" w:hint="default"/>
        <w:b w:val="0"/>
        <w:i w:val="0"/>
        <w:color w:val="363534" w:themeColor="text1"/>
        <w:position w:val="1"/>
        <w:sz w:val="18"/>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3">
    <w:nsid w:val="388A350A"/>
    <w:multiLevelType w:val="hybridMultilevel"/>
    <w:tmpl w:val="D7BE2BF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3A505378"/>
    <w:multiLevelType w:val="multilevel"/>
    <w:tmpl w:val="40F457D2"/>
    <w:name w:val="JemenaBullets"/>
    <w:lvl w:ilvl="0">
      <w:start w:val="1"/>
      <w:numFmt w:val="bullet"/>
      <w:lvlText w:val=""/>
      <w:lvlJc w:val="left"/>
      <w:pPr>
        <w:tabs>
          <w:tab w:val="num" w:pos="340"/>
        </w:tabs>
        <w:ind w:left="340" w:hanging="340"/>
      </w:pPr>
      <w:rPr>
        <w:rFonts w:ascii="Symbol" w:hAnsi="Symbol" w:hint="default"/>
        <w:color w:val="auto"/>
        <w:position w:val="0"/>
        <w:sz w:val="16"/>
      </w:rPr>
    </w:lvl>
    <w:lvl w:ilvl="1">
      <w:start w:val="1"/>
      <w:numFmt w:val="bullet"/>
      <w:lvlRestart w:val="0"/>
      <w:lvlText w:val=""/>
      <w:lvlJc w:val="left"/>
      <w:pPr>
        <w:tabs>
          <w:tab w:val="num" w:pos="851"/>
        </w:tabs>
        <w:ind w:left="851" w:hanging="426"/>
      </w:pPr>
      <w:rPr>
        <w:rFonts w:ascii="Webdings" w:hAnsi="Webdings" w:hint="default"/>
        <w:color w:val="auto"/>
      </w:rPr>
    </w:lvl>
    <w:lvl w:ilvl="2">
      <w:start w:val="1"/>
      <w:numFmt w:val="bullet"/>
      <w:lvlRestart w:val="0"/>
      <w:lvlText w:val="–"/>
      <w:lvlJc w:val="left"/>
      <w:pPr>
        <w:tabs>
          <w:tab w:val="num" w:pos="1276"/>
        </w:tabs>
        <w:ind w:left="1276" w:hanging="425"/>
      </w:pPr>
      <w:rPr>
        <w:rFonts w:ascii="Arial" w:hAnsi="Arial" w:hint="default"/>
        <w:color w:val="auto"/>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nsid w:val="3AEC2681"/>
    <w:multiLevelType w:val="hybridMultilevel"/>
    <w:tmpl w:val="95D6D1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3CFD75B0"/>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nsid w:val="3E4F29E4"/>
    <w:multiLevelType w:val="multilevel"/>
    <w:tmpl w:val="0BD8A4F4"/>
    <w:styleLink w:val="ChapterNumberingList"/>
    <w:lvl w:ilvl="0">
      <w:start w:val="1"/>
      <w:numFmt w:val="decimal"/>
      <w:lvlRestart w:val="0"/>
      <w:suff w:val="nothing"/>
      <w:lvlText w:val="%1"/>
      <w:lvlJc w:val="left"/>
      <w:pPr>
        <w:ind w:left="0" w:firstLine="0"/>
      </w:pPr>
      <w:rPr>
        <w:rFonts w:hint="default"/>
      </w:rPr>
    </w:lvl>
    <w:lvl w:ilvl="1">
      <w:start w:val="1"/>
      <w:numFmt w:val="decimal"/>
      <w:lvlRestart w:val="0"/>
      <w:lvlText w:val="%2"/>
      <w:lvlJc w:val="left"/>
      <w:pPr>
        <w:tabs>
          <w:tab w:val="num" w:pos="850"/>
        </w:tabs>
        <w:ind w:left="850" w:hanging="850"/>
      </w:pPr>
      <w:rPr>
        <w:rFonts w:hint="default"/>
      </w:rPr>
    </w:lvl>
    <w:lvl w:ilvl="2">
      <w:start w:val="1"/>
      <w:numFmt w:val="decimal"/>
      <w:lvlText w:val="%2.%3"/>
      <w:lvlJc w:val="left"/>
      <w:pPr>
        <w:tabs>
          <w:tab w:val="num" w:pos="850"/>
        </w:tabs>
        <w:ind w:left="850" w:hanging="850"/>
      </w:pPr>
      <w:rPr>
        <w:rFonts w:hint="default"/>
      </w:rPr>
    </w:lvl>
    <w:lvl w:ilvl="3">
      <w:start w:val="1"/>
      <w:numFmt w:val="decimal"/>
      <w:lvlText w:val="%2.%3.%4"/>
      <w:lvlJc w:val="left"/>
      <w:pPr>
        <w:tabs>
          <w:tab w:val="num" w:pos="850"/>
        </w:tabs>
        <w:ind w:left="850" w:hanging="850"/>
      </w:pPr>
      <w:rPr>
        <w:rFonts w:hint="default"/>
      </w:rPr>
    </w:lvl>
    <w:lvl w:ilvl="4">
      <w:start w:val="1"/>
      <w:numFmt w:val="upperLetter"/>
      <w:lvlRestart w:val="0"/>
      <w:lvlText w:val="Appendix %5"/>
      <w:lvlJc w:val="left"/>
      <w:pPr>
        <w:tabs>
          <w:tab w:val="num" w:pos="3685"/>
        </w:tabs>
        <w:ind w:left="0" w:firstLine="0"/>
      </w:pPr>
      <w:rPr>
        <w:rFonts w:hint="default"/>
      </w:rPr>
    </w:lvl>
    <w:lvl w:ilvl="5">
      <w:start w:val="1"/>
      <w:numFmt w:val="upperLetter"/>
      <w:lvlRestart w:val="0"/>
      <w:suff w:val="nothing"/>
      <w:lvlText w:val="Appendix %6"/>
      <w:lvlJc w:val="left"/>
      <w:pPr>
        <w:ind w:left="0" w:firstLine="0"/>
      </w:pPr>
      <w:rPr>
        <w:rFonts w:hint="default"/>
      </w:rPr>
    </w:lvl>
    <w:lvl w:ilvl="6">
      <w:start w:val="1"/>
      <w:numFmt w:val="decimal"/>
      <w:lvlText w:val="%7"/>
      <w:lvlJc w:val="left"/>
      <w:pPr>
        <w:tabs>
          <w:tab w:val="num" w:pos="567"/>
        </w:tabs>
        <w:ind w:left="567" w:hanging="567"/>
      </w:pPr>
      <w:rPr>
        <w:rFonts w:hint="default"/>
        <w:b/>
        <w:i/>
      </w:rPr>
    </w:lvl>
    <w:lvl w:ilvl="7">
      <w:start w:val="1"/>
      <w:numFmt w:val="decimal"/>
      <w:lvlText w:val="%8"/>
      <w:lvlJc w:val="left"/>
      <w:pPr>
        <w:tabs>
          <w:tab w:val="num" w:pos="284"/>
        </w:tabs>
        <w:ind w:left="284" w:hanging="284"/>
      </w:pPr>
      <w:rPr>
        <w:rFonts w:hint="default"/>
        <w:b w:val="0"/>
        <w:i w:val="0"/>
        <w:color w:val="auto"/>
      </w:rPr>
    </w:lvl>
    <w:lvl w:ilvl="8">
      <w:start w:val="1"/>
      <w:numFmt w:val="lowerLetter"/>
      <w:lvlText w:val="%9"/>
      <w:lvlJc w:val="left"/>
      <w:pPr>
        <w:tabs>
          <w:tab w:val="num" w:pos="567"/>
        </w:tabs>
        <w:ind w:left="567" w:hanging="283"/>
      </w:pPr>
      <w:rPr>
        <w:rFonts w:hint="default"/>
        <w:b w:val="0"/>
        <w:i w:val="0"/>
        <w:color w:val="auto"/>
      </w:rPr>
    </w:lvl>
  </w:abstractNum>
  <w:abstractNum w:abstractNumId="38">
    <w:nsid w:val="3EE52A50"/>
    <w:multiLevelType w:val="multilevel"/>
    <w:tmpl w:val="EE12AE72"/>
    <w:name w:val="PwCListNumbers13"/>
    <w:styleLink w:val="PwCAppendixList1"/>
    <w:lvl w:ilvl="0">
      <w:start w:val="1"/>
      <w:numFmt w:val="upperLetter"/>
      <w:pStyle w:val="Appendix"/>
      <w:lvlText w:val="Appendix %1 "/>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nsid w:val="41F21788"/>
    <w:multiLevelType w:val="multilevel"/>
    <w:tmpl w:val="AEEC30DE"/>
    <w:lvl w:ilvl="0">
      <w:start w:val="1"/>
      <w:numFmt w:val="bullet"/>
      <w:pStyle w:val="SmallBullet"/>
      <w:lvlText w:val="•"/>
      <w:lvlJc w:val="left"/>
      <w:pPr>
        <w:ind w:left="170" w:hanging="170"/>
      </w:pPr>
      <w:rPr>
        <w:rFonts w:ascii="Arial" w:hAnsi="Arial" w:hint="default"/>
        <w:color w:val="363534" w:themeColor="tex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0">
    <w:nsid w:val="460B564E"/>
    <w:multiLevelType w:val="multilevel"/>
    <w:tmpl w:val="D5EA105E"/>
    <w:styleLink w:val="TableBulletSmallList"/>
    <w:lvl w:ilvl="0">
      <w:start w:val="1"/>
      <w:numFmt w:val="bullet"/>
      <w:lvlRestart w:val="0"/>
      <w:lvlText w:val=""/>
      <w:lvlJc w:val="left"/>
      <w:pPr>
        <w:tabs>
          <w:tab w:val="num" w:pos="284"/>
        </w:tabs>
        <w:ind w:left="284" w:hanging="284"/>
      </w:pPr>
      <w:rPr>
        <w:rFonts w:ascii="Symbol" w:hAnsi="Symbol" w:hint="default"/>
        <w:b w:val="0"/>
        <w:i w:val="0"/>
        <w:color w:val="auto"/>
      </w:rPr>
    </w:lvl>
    <w:lvl w:ilvl="1">
      <w:start w:val="1"/>
      <w:numFmt w:val="bullet"/>
      <w:lvlRestart w:val="0"/>
      <w:lvlText w:val="–"/>
      <w:lvlJc w:val="left"/>
      <w:pPr>
        <w:tabs>
          <w:tab w:val="num" w:pos="567"/>
        </w:tabs>
        <w:ind w:left="567" w:hanging="283"/>
      </w:pPr>
      <w:rPr>
        <w:rFonts w:ascii="Arial" w:hAnsi="Arial" w:hint="default"/>
        <w:b w:val="0"/>
        <w:i w:val="0"/>
        <w:color w:val="auto"/>
      </w:rPr>
    </w:lvl>
    <w:lvl w:ilvl="2">
      <w:start w:val="1"/>
      <w:numFmt w:val="bullet"/>
      <w:lvlRestart w:val="0"/>
      <w:lvlText w:val="o"/>
      <w:lvlJc w:val="left"/>
      <w:pPr>
        <w:tabs>
          <w:tab w:val="num" w:pos="851"/>
        </w:tabs>
        <w:ind w:left="851" w:hanging="284"/>
      </w:pPr>
      <w:rPr>
        <w:rFonts w:ascii="Arial" w:hAnsi="Arial" w:hint="default"/>
        <w:b w:val="0"/>
        <w:i w:val="0"/>
        <w:color w:val="auto"/>
        <w:sz w:val="10"/>
        <w:szCs w:val="10"/>
      </w:rPr>
    </w:lvl>
    <w:lvl w:ilvl="3">
      <w:start w:val="1"/>
      <w:numFmt w:val="none"/>
      <w:lvlRestart w:val="0"/>
      <w:lvlText w:val=""/>
      <w:lvlJc w:val="left"/>
      <w:pPr>
        <w:tabs>
          <w:tab w:val="num" w:pos="2880"/>
        </w:tabs>
        <w:ind w:left="2880" w:hanging="720"/>
      </w:pPr>
      <w:rPr>
        <w:rFonts w:hint="default"/>
        <w:b w:val="0"/>
        <w:i w:val="0"/>
        <w:color w:val="auto"/>
        <w:sz w:val="10"/>
        <w:szCs w:val="10"/>
      </w:rPr>
    </w:lvl>
    <w:lvl w:ilvl="4">
      <w:start w:val="1"/>
      <w:numFmt w:val="lowerLetter"/>
      <w:lvlText w:val=""/>
      <w:lvlJc w:val="left"/>
      <w:pPr>
        <w:tabs>
          <w:tab w:val="num" w:pos="1800"/>
        </w:tabs>
        <w:ind w:left="1800" w:hanging="360"/>
      </w:pPr>
      <w:rPr>
        <w:rFonts w:hint="default"/>
      </w:rPr>
    </w:lvl>
    <w:lvl w:ilvl="5">
      <w:start w:val="1"/>
      <w:numFmt w:val="lowerRoman"/>
      <w:lvlText w:val=""/>
      <w:lvlJc w:val="left"/>
      <w:pPr>
        <w:tabs>
          <w:tab w:val="num" w:pos="2160"/>
        </w:tabs>
        <w:ind w:left="2160" w:hanging="360"/>
      </w:pPr>
      <w:rPr>
        <w:rFonts w:hint="default"/>
      </w:rPr>
    </w:lvl>
    <w:lvl w:ilvl="6">
      <w:start w:val="1"/>
      <w:numFmt w:val="decimal"/>
      <w:lvlText w:val=""/>
      <w:lvlJc w:val="left"/>
      <w:pPr>
        <w:tabs>
          <w:tab w:val="num" w:pos="2520"/>
        </w:tabs>
        <w:ind w:left="2520" w:hanging="360"/>
      </w:pPr>
      <w:rPr>
        <w:rFonts w:hint="default"/>
      </w:rPr>
    </w:lvl>
    <w:lvl w:ilvl="7">
      <w:start w:val="1"/>
      <w:numFmt w:val="lowerLetter"/>
      <w:lvlText w:val=""/>
      <w:lvlJc w:val="left"/>
      <w:pPr>
        <w:tabs>
          <w:tab w:val="num" w:pos="2880"/>
        </w:tabs>
        <w:ind w:left="2880" w:hanging="360"/>
      </w:pPr>
      <w:rPr>
        <w:rFonts w:hint="default"/>
      </w:rPr>
    </w:lvl>
    <w:lvl w:ilvl="8">
      <w:start w:val="1"/>
      <w:numFmt w:val="lowerRoman"/>
      <w:lvlText w:val=""/>
      <w:lvlJc w:val="left"/>
      <w:pPr>
        <w:tabs>
          <w:tab w:val="num" w:pos="3240"/>
        </w:tabs>
        <w:ind w:left="3240" w:hanging="360"/>
      </w:pPr>
      <w:rPr>
        <w:rFonts w:hint="default"/>
      </w:rPr>
    </w:lvl>
  </w:abstractNum>
  <w:abstractNum w:abstractNumId="41">
    <w:nsid w:val="4AAB5470"/>
    <w:multiLevelType w:val="multilevel"/>
    <w:tmpl w:val="D4F45398"/>
    <w:lvl w:ilvl="0">
      <w:start w:val="1"/>
      <w:numFmt w:val="bullet"/>
      <w:lvlRestart w:val="0"/>
      <w:pStyle w:val="Dotpoint"/>
      <w:lvlText w:val=""/>
      <w:lvlJc w:val="left"/>
      <w:pPr>
        <w:tabs>
          <w:tab w:val="num" w:pos="284"/>
        </w:tabs>
        <w:ind w:left="284" w:hanging="284"/>
      </w:pPr>
      <w:rPr>
        <w:rFonts w:ascii="Symbol" w:hAnsi="Symbol" w:hint="default"/>
        <w:b w:val="0"/>
        <w:i w:val="0"/>
        <w:color w:val="auto"/>
        <w:sz w:val="20"/>
        <w:szCs w:val="20"/>
      </w:rPr>
    </w:lvl>
    <w:lvl w:ilvl="1">
      <w:start w:val="1"/>
      <w:numFmt w:val="bullet"/>
      <w:lvlText w:val="–"/>
      <w:lvlJc w:val="left"/>
      <w:pPr>
        <w:tabs>
          <w:tab w:val="num" w:pos="567"/>
        </w:tabs>
        <w:ind w:left="568" w:hanging="284"/>
      </w:pPr>
      <w:rPr>
        <w:rFonts w:ascii="Arial" w:hAnsi="Arial" w:hint="default"/>
        <w:b w:val="0"/>
        <w:i w:val="0"/>
        <w:color w:val="auto"/>
      </w:rPr>
    </w:lvl>
    <w:lvl w:ilvl="2">
      <w:start w:val="1"/>
      <w:numFmt w:val="bullet"/>
      <w:lvlText w:val="◦"/>
      <w:lvlJc w:val="left"/>
      <w:pPr>
        <w:tabs>
          <w:tab w:val="num" w:pos="851"/>
        </w:tabs>
        <w:ind w:left="852" w:hanging="284"/>
      </w:pPr>
      <w:rPr>
        <w:rFonts w:ascii="Georgia" w:hAnsi="Georgia" w:hint="default"/>
        <w:b w:val="0"/>
        <w:i w:val="0"/>
        <w:color w:val="auto"/>
        <w:sz w:val="18"/>
        <w:szCs w:val="10"/>
      </w:rPr>
    </w:lvl>
    <w:lvl w:ilvl="3">
      <w:start w:val="1"/>
      <w:numFmt w:val="bullet"/>
      <w:lvlText w:val=""/>
      <w:lvlJc w:val="left"/>
      <w:pPr>
        <w:tabs>
          <w:tab w:val="num" w:pos="1134"/>
        </w:tabs>
        <w:ind w:left="1136" w:hanging="284"/>
      </w:pPr>
      <w:rPr>
        <w:rFonts w:ascii="Symbol" w:hAnsi="Symbol" w:hint="default"/>
        <w:b w:val="0"/>
        <w:i w:val="0"/>
        <w:color w:val="auto"/>
        <w:sz w:val="20"/>
        <w:szCs w:val="10"/>
      </w:rPr>
    </w:lvl>
    <w:lvl w:ilvl="4">
      <w:start w:val="1"/>
      <w:numFmt w:val="bullet"/>
      <w:lvlText w:val="~"/>
      <w:lvlJc w:val="left"/>
      <w:pPr>
        <w:tabs>
          <w:tab w:val="num" w:pos="1418"/>
        </w:tabs>
        <w:ind w:left="1420" w:hanging="284"/>
      </w:pPr>
      <w:rPr>
        <w:rFonts w:ascii="Georgia" w:hAnsi="Georgia" w:hint="default"/>
        <w:color w:val="auto"/>
      </w:rPr>
    </w:lvl>
    <w:lvl w:ilvl="5">
      <w:start w:val="1"/>
      <w:numFmt w:val="lowerRoman"/>
      <w:lvlText w:val="%6"/>
      <w:lvlJc w:val="left"/>
      <w:pPr>
        <w:tabs>
          <w:tab w:val="num" w:pos="1701"/>
        </w:tabs>
        <w:ind w:left="1361" w:firstLine="59"/>
      </w:pPr>
      <w:rPr>
        <w:rFonts w:hint="default"/>
      </w:rPr>
    </w:lvl>
    <w:lvl w:ilvl="6">
      <w:start w:val="1"/>
      <w:numFmt w:val="decimal"/>
      <w:lvlText w:val="%7"/>
      <w:lvlJc w:val="left"/>
      <w:pPr>
        <w:tabs>
          <w:tab w:val="num" w:pos="1985"/>
        </w:tabs>
        <w:ind w:left="1985" w:hanging="964"/>
      </w:pPr>
      <w:rPr>
        <w:rFonts w:hint="default"/>
      </w:rPr>
    </w:lvl>
    <w:lvl w:ilvl="7">
      <w:start w:val="1"/>
      <w:numFmt w:val="lowerLetter"/>
      <w:lvlText w:val="%8"/>
      <w:lvlJc w:val="left"/>
      <w:pPr>
        <w:tabs>
          <w:tab w:val="num" w:pos="2268"/>
        </w:tabs>
        <w:ind w:left="2211" w:hanging="226"/>
      </w:pPr>
      <w:rPr>
        <w:rFonts w:hint="default"/>
      </w:rPr>
    </w:lvl>
    <w:lvl w:ilvl="8">
      <w:start w:val="1"/>
      <w:numFmt w:val="lowerRoman"/>
      <w:lvlText w:val="%9"/>
      <w:lvlJc w:val="left"/>
      <w:pPr>
        <w:tabs>
          <w:tab w:val="num" w:pos="2552"/>
        </w:tabs>
        <w:ind w:left="2552" w:hanging="284"/>
      </w:pPr>
      <w:rPr>
        <w:rFonts w:hint="default"/>
      </w:rPr>
    </w:lvl>
  </w:abstractNum>
  <w:abstractNum w:abstractNumId="42">
    <w:nsid w:val="4D545EC4"/>
    <w:multiLevelType w:val="multilevel"/>
    <w:tmpl w:val="874A8224"/>
    <w:name w:val="HighlightBoxBullet"/>
    <w:lvl w:ilvl="0">
      <w:start w:val="1"/>
      <w:numFmt w:val="bullet"/>
      <w:lvlRestart w:val="0"/>
      <w:pStyle w:val="HighlightBoxBullet"/>
      <w:lvlText w:val="•"/>
      <w:lvlJc w:val="left"/>
      <w:pPr>
        <w:ind w:left="454" w:hanging="227"/>
      </w:pPr>
      <w:rPr>
        <w:rFonts w:ascii="Arial" w:hAnsi="Arial" w:cs="Arial" w:hint="default"/>
        <w:color w:val="FFFFFF"/>
        <w:sz w:val="24"/>
      </w:rPr>
    </w:lvl>
    <w:lvl w:ilvl="1">
      <w:start w:val="1"/>
      <w:numFmt w:val="bullet"/>
      <w:lvlText w:val="o"/>
      <w:lvlJc w:val="left"/>
      <w:pPr>
        <w:ind w:left="1667" w:hanging="360"/>
      </w:pPr>
      <w:rPr>
        <w:rFonts w:ascii="Courier New" w:hAnsi="Courier New" w:cs="Courier New" w:hint="default"/>
      </w:rPr>
    </w:lvl>
    <w:lvl w:ilvl="2">
      <w:start w:val="1"/>
      <w:numFmt w:val="bullet"/>
      <w:lvlText w:val=""/>
      <w:lvlJc w:val="left"/>
      <w:pPr>
        <w:ind w:left="2387" w:hanging="360"/>
      </w:pPr>
      <w:rPr>
        <w:rFonts w:ascii="Wingdings" w:hAnsi="Wingdings" w:hint="default"/>
      </w:rPr>
    </w:lvl>
    <w:lvl w:ilvl="3">
      <w:start w:val="1"/>
      <w:numFmt w:val="bullet"/>
      <w:lvlText w:val=""/>
      <w:lvlJc w:val="left"/>
      <w:pPr>
        <w:ind w:left="3107" w:hanging="360"/>
      </w:pPr>
      <w:rPr>
        <w:rFonts w:ascii="Symbol" w:hAnsi="Symbol" w:hint="default"/>
      </w:rPr>
    </w:lvl>
    <w:lvl w:ilvl="4">
      <w:start w:val="1"/>
      <w:numFmt w:val="bullet"/>
      <w:lvlText w:val="o"/>
      <w:lvlJc w:val="left"/>
      <w:pPr>
        <w:ind w:left="3827" w:hanging="360"/>
      </w:pPr>
      <w:rPr>
        <w:rFonts w:ascii="Courier New" w:hAnsi="Courier New" w:cs="Courier New" w:hint="default"/>
      </w:rPr>
    </w:lvl>
    <w:lvl w:ilvl="5">
      <w:start w:val="1"/>
      <w:numFmt w:val="bullet"/>
      <w:lvlText w:val=""/>
      <w:lvlJc w:val="left"/>
      <w:pPr>
        <w:ind w:left="4547" w:hanging="360"/>
      </w:pPr>
      <w:rPr>
        <w:rFonts w:ascii="Wingdings" w:hAnsi="Wingdings" w:hint="default"/>
      </w:rPr>
    </w:lvl>
    <w:lvl w:ilvl="6">
      <w:start w:val="1"/>
      <w:numFmt w:val="bullet"/>
      <w:lvlText w:val=""/>
      <w:lvlJc w:val="left"/>
      <w:pPr>
        <w:ind w:left="5267" w:hanging="360"/>
      </w:pPr>
      <w:rPr>
        <w:rFonts w:ascii="Symbol" w:hAnsi="Symbol" w:hint="default"/>
      </w:rPr>
    </w:lvl>
    <w:lvl w:ilvl="7">
      <w:start w:val="1"/>
      <w:numFmt w:val="bullet"/>
      <w:lvlText w:val="o"/>
      <w:lvlJc w:val="left"/>
      <w:pPr>
        <w:ind w:left="5987" w:hanging="360"/>
      </w:pPr>
      <w:rPr>
        <w:rFonts w:ascii="Courier New" w:hAnsi="Courier New" w:cs="Courier New" w:hint="default"/>
      </w:rPr>
    </w:lvl>
    <w:lvl w:ilvl="8">
      <w:start w:val="1"/>
      <w:numFmt w:val="bullet"/>
      <w:lvlText w:val=""/>
      <w:lvlJc w:val="left"/>
      <w:pPr>
        <w:ind w:left="6707" w:hanging="360"/>
      </w:pPr>
      <w:rPr>
        <w:rFonts w:ascii="Wingdings" w:hAnsi="Wingdings" w:hint="default"/>
      </w:rPr>
    </w:lvl>
  </w:abstractNum>
  <w:abstractNum w:abstractNumId="43">
    <w:nsid w:val="4D8C2F25"/>
    <w:multiLevelType w:val="multilevel"/>
    <w:tmpl w:val="6E008996"/>
    <w:lvl w:ilvl="0">
      <w:start w:val="1"/>
      <w:numFmt w:val="bullet"/>
      <w:lvlRestart w:val="0"/>
      <w:pStyle w:val="TableBullet1Normal"/>
      <w:lvlText w:val=""/>
      <w:lvlJc w:val="left"/>
      <w:pPr>
        <w:tabs>
          <w:tab w:val="num" w:pos="283"/>
        </w:tabs>
        <w:ind w:left="284" w:hanging="284"/>
      </w:pPr>
      <w:rPr>
        <w:rFonts w:ascii="Symbol" w:hAnsi="Symbol" w:hint="default"/>
        <w:b w:val="0"/>
        <w:i w:val="0"/>
        <w:color w:val="auto"/>
      </w:rPr>
    </w:lvl>
    <w:lvl w:ilvl="1">
      <w:start w:val="1"/>
      <w:numFmt w:val="bullet"/>
      <w:lvlRestart w:val="0"/>
      <w:pStyle w:val="TableBullet2Normal"/>
      <w:lvlText w:val="–"/>
      <w:lvlJc w:val="left"/>
      <w:pPr>
        <w:tabs>
          <w:tab w:val="num" w:pos="567"/>
        </w:tabs>
        <w:ind w:left="567" w:hanging="283"/>
      </w:pPr>
      <w:rPr>
        <w:rFonts w:ascii="Arial" w:hAnsi="Arial" w:hint="default"/>
        <w:b w:val="0"/>
        <w:i w:val="0"/>
        <w:color w:val="auto"/>
        <w:szCs w:val="10"/>
      </w:rPr>
    </w:lvl>
    <w:lvl w:ilvl="2">
      <w:start w:val="1"/>
      <w:numFmt w:val="bullet"/>
      <w:lvlRestart w:val="0"/>
      <w:pStyle w:val="TableBullet3Normal"/>
      <w:lvlText w:val="o"/>
      <w:lvlJc w:val="left"/>
      <w:pPr>
        <w:tabs>
          <w:tab w:val="num" w:pos="851"/>
        </w:tabs>
        <w:ind w:left="851" w:hanging="284"/>
      </w:pPr>
      <w:rPr>
        <w:rFonts w:ascii="Arial" w:hAnsi="Arial" w:hint="default"/>
        <w:b w:val="0"/>
        <w:i w:val="0"/>
        <w:color w:val="auto"/>
        <w:sz w:val="10"/>
        <w:szCs w:val="10"/>
      </w:rPr>
    </w:lvl>
    <w:lvl w:ilvl="3">
      <w:start w:val="1"/>
      <w:numFmt w:val="none"/>
      <w:lvlRestart w:val="0"/>
      <w:lvlText w:val=""/>
      <w:lvlJc w:val="left"/>
      <w:pPr>
        <w:tabs>
          <w:tab w:val="num" w:pos="0"/>
        </w:tabs>
        <w:ind w:left="0" w:firstLine="0"/>
      </w:pPr>
      <w:rPr>
        <w:rFonts w:hint="default"/>
        <w:color w:val="auto"/>
        <w:sz w:val="10"/>
        <w:szCs w:val="10"/>
      </w:rPr>
    </w:lvl>
    <w:lvl w:ilvl="4">
      <w:start w:val="1"/>
      <w:numFmt w:val="none"/>
      <w:lvlText w:val="%5"/>
      <w:lvlJc w:val="left"/>
      <w:pPr>
        <w:tabs>
          <w:tab w:val="num" w:pos="1800"/>
        </w:tabs>
        <w:ind w:left="1800" w:hanging="360"/>
      </w:pPr>
      <w:rPr>
        <w:rFonts w:hint="default"/>
      </w:rPr>
    </w:lvl>
    <w:lvl w:ilvl="5">
      <w:start w:val="1"/>
      <w:numFmt w:val="lowerRoman"/>
      <w:lvlText w:val=""/>
      <w:lvlJc w:val="left"/>
      <w:pPr>
        <w:tabs>
          <w:tab w:val="num" w:pos="2160"/>
        </w:tabs>
        <w:ind w:left="2160" w:hanging="360"/>
      </w:pPr>
      <w:rPr>
        <w:rFonts w:hint="default"/>
      </w:rPr>
    </w:lvl>
    <w:lvl w:ilvl="6">
      <w:start w:val="1"/>
      <w:numFmt w:val="decimal"/>
      <w:lvlText w:val=""/>
      <w:lvlJc w:val="left"/>
      <w:pPr>
        <w:tabs>
          <w:tab w:val="num" w:pos="2520"/>
        </w:tabs>
        <w:ind w:left="2520" w:hanging="360"/>
      </w:pPr>
      <w:rPr>
        <w:rFonts w:hint="default"/>
      </w:rPr>
    </w:lvl>
    <w:lvl w:ilvl="7">
      <w:start w:val="1"/>
      <w:numFmt w:val="lowerLetter"/>
      <w:lvlText w:val=""/>
      <w:lvlJc w:val="left"/>
      <w:pPr>
        <w:tabs>
          <w:tab w:val="num" w:pos="2880"/>
        </w:tabs>
        <w:ind w:left="2880" w:hanging="360"/>
      </w:pPr>
      <w:rPr>
        <w:rFonts w:hint="default"/>
      </w:rPr>
    </w:lvl>
    <w:lvl w:ilvl="8">
      <w:start w:val="1"/>
      <w:numFmt w:val="lowerRoman"/>
      <w:lvlText w:val=""/>
      <w:lvlJc w:val="left"/>
      <w:pPr>
        <w:tabs>
          <w:tab w:val="num" w:pos="3240"/>
        </w:tabs>
        <w:ind w:left="3240" w:hanging="360"/>
      </w:pPr>
      <w:rPr>
        <w:rFonts w:hint="default"/>
      </w:rPr>
    </w:lvl>
  </w:abstractNum>
  <w:abstractNum w:abstractNumId="44">
    <w:nsid w:val="512536C5"/>
    <w:multiLevelType w:val="multilevel"/>
    <w:tmpl w:val="D97E5BB2"/>
    <w:name w:val="PBNumbering"/>
    <w:lvl w:ilvl="0">
      <w:start w:val="1"/>
      <w:numFmt w:val="decimal"/>
      <w:lvlText w:val="%1."/>
      <w:lvlJc w:val="left"/>
      <w:pPr>
        <w:tabs>
          <w:tab w:val="num" w:pos="425"/>
        </w:tabs>
        <w:ind w:left="425" w:hanging="425"/>
      </w:pPr>
      <w:rPr>
        <w:rFonts w:hint="default"/>
      </w:rPr>
    </w:lvl>
    <w:lvl w:ilvl="1">
      <w:start w:val="1"/>
      <w:numFmt w:val="lowerLetter"/>
      <w:lvlText w:val="%2)"/>
      <w:lvlJc w:val="left"/>
      <w:pPr>
        <w:tabs>
          <w:tab w:val="num" w:pos="851"/>
        </w:tabs>
        <w:ind w:left="851" w:hanging="426"/>
      </w:pPr>
      <w:rPr>
        <w:rFonts w:hint="default"/>
      </w:rPr>
    </w:lvl>
    <w:lvl w:ilvl="2">
      <w:start w:val="1"/>
      <w:numFmt w:val="lowerRoman"/>
      <w:lvlText w:val="%3)"/>
      <w:lvlJc w:val="left"/>
      <w:pPr>
        <w:tabs>
          <w:tab w:val="num" w:pos="1276"/>
        </w:tabs>
        <w:ind w:left="1276" w:hanging="425"/>
      </w:pPr>
      <w:rPr>
        <w:rFonts w:hint="default"/>
      </w:rPr>
    </w:lvl>
    <w:lvl w:ilvl="3">
      <w:start w:val="1"/>
      <w:numFmt w:val="bullet"/>
      <w:lvlText w:val="–"/>
      <w:lvlJc w:val="left"/>
      <w:pPr>
        <w:tabs>
          <w:tab w:val="num" w:pos="1559"/>
        </w:tabs>
        <w:ind w:left="1559" w:hanging="283"/>
      </w:pPr>
      <w:rPr>
        <w:rFonts w:ascii="Arial" w:hAnsi="Arial" w:hint="default"/>
      </w:rPr>
    </w:lvl>
    <w:lvl w:ilvl="4">
      <w:start w:val="1"/>
      <w:numFmt w:val="none"/>
      <w:lvlText w:val=""/>
      <w:lvlJc w:val="left"/>
      <w:pPr>
        <w:tabs>
          <w:tab w:val="num" w:pos="1800"/>
        </w:tabs>
        <w:ind w:left="-32767" w:firstLine="0"/>
      </w:pPr>
      <w:rPr>
        <w:rFonts w:hint="default"/>
      </w:rPr>
    </w:lvl>
    <w:lvl w:ilvl="5">
      <w:start w:val="1"/>
      <w:numFmt w:val="none"/>
      <w:lvlText w:val="(%6)"/>
      <w:lvlJc w:val="left"/>
      <w:pPr>
        <w:tabs>
          <w:tab w:val="num" w:pos="2160"/>
        </w:tabs>
        <w:ind w:left="-32767" w:firstLine="0"/>
      </w:pPr>
      <w:rPr>
        <w:rFonts w:hint="default"/>
      </w:rPr>
    </w:lvl>
    <w:lvl w:ilvl="6">
      <w:start w:val="1"/>
      <w:numFmt w:val="none"/>
      <w:lvlText w:val="%7"/>
      <w:lvlJc w:val="left"/>
      <w:pPr>
        <w:tabs>
          <w:tab w:val="num" w:pos="2520"/>
        </w:tabs>
        <w:ind w:left="-32767" w:firstLine="0"/>
      </w:pPr>
      <w:rPr>
        <w:rFonts w:hint="default"/>
      </w:rPr>
    </w:lvl>
    <w:lvl w:ilvl="7">
      <w:start w:val="1"/>
      <w:numFmt w:val="none"/>
      <w:lvlText w:val=""/>
      <w:lvlJc w:val="left"/>
      <w:pPr>
        <w:tabs>
          <w:tab w:val="num" w:pos="2880"/>
        </w:tabs>
        <w:ind w:left="-32767" w:firstLine="0"/>
      </w:pPr>
      <w:rPr>
        <w:rFonts w:hint="default"/>
      </w:rPr>
    </w:lvl>
    <w:lvl w:ilvl="8">
      <w:start w:val="1"/>
      <w:numFmt w:val="none"/>
      <w:lvlText w:val="%9."/>
      <w:lvlJc w:val="left"/>
      <w:pPr>
        <w:tabs>
          <w:tab w:val="num" w:pos="3240"/>
        </w:tabs>
        <w:ind w:left="-32767" w:firstLine="0"/>
      </w:pPr>
      <w:rPr>
        <w:rFonts w:hint="default"/>
      </w:rPr>
    </w:lvl>
  </w:abstractNum>
  <w:abstractNum w:abstractNumId="45">
    <w:nsid w:val="515E53D8"/>
    <w:multiLevelType w:val="multilevel"/>
    <w:tmpl w:val="71A64D76"/>
    <w:name w:val="ACHM Main Numbering"/>
    <w:lvl w:ilvl="0">
      <w:start w:val="1"/>
      <w:numFmt w:val="none"/>
      <w:suff w:val="nothing"/>
      <w:lvlText w:val=""/>
      <w:lvlJc w:val="left"/>
      <w:pPr>
        <w:ind w:left="0" w:firstLine="0"/>
      </w:pPr>
      <w:rPr>
        <w:rFonts w:hint="default"/>
      </w:rPr>
    </w:lvl>
    <w:lvl w:ilvl="1">
      <w:start w:val="1"/>
      <w:numFmt w:val="decimal"/>
      <w:lvlText w:val="%1%2."/>
      <w:lvlJc w:val="left"/>
      <w:pPr>
        <w:tabs>
          <w:tab w:val="num" w:pos="397"/>
        </w:tabs>
        <w:ind w:left="397" w:hanging="397"/>
      </w:pPr>
      <w:rPr>
        <w:rFonts w:hint="default"/>
        <w:b w:val="0"/>
        <w:i w:val="0"/>
      </w:rPr>
    </w:lvl>
    <w:lvl w:ilvl="2">
      <w:start w:val="1"/>
      <w:numFmt w:val="lowerLetter"/>
      <w:lvlText w:val="%3."/>
      <w:lvlJc w:val="left"/>
      <w:pPr>
        <w:tabs>
          <w:tab w:val="num" w:pos="794"/>
        </w:tabs>
        <w:ind w:left="794" w:hanging="397"/>
      </w:pPr>
      <w:rPr>
        <w:rFonts w:hint="default"/>
        <w:b w:val="0"/>
        <w:i w:val="0"/>
        <w:spacing w:val="-6"/>
      </w:rPr>
    </w:lvl>
    <w:lvl w:ilvl="3">
      <w:start w:val="1"/>
      <w:numFmt w:val="bullet"/>
      <w:lvlText w:val=""/>
      <w:lvlJc w:val="left"/>
      <w:pPr>
        <w:tabs>
          <w:tab w:val="num" w:pos="1191"/>
        </w:tabs>
        <w:ind w:left="1191" w:hanging="397"/>
      </w:pPr>
      <w:rPr>
        <w:rFonts w:ascii="Symbol" w:hAnsi="Symbol" w:hint="default"/>
        <w:b w:val="0"/>
        <w:i w:val="0"/>
      </w:rPr>
    </w:lvl>
    <w:lvl w:ilvl="4">
      <w:start w:val="1"/>
      <w:numFmt w:val="none"/>
      <w:lvlText w:val=""/>
      <w:lvlJc w:val="left"/>
      <w:pPr>
        <w:tabs>
          <w:tab w:val="num" w:pos="936"/>
        </w:tabs>
        <w:ind w:left="936" w:hanging="454"/>
      </w:pPr>
      <w:rPr>
        <w:rFonts w:hint="default"/>
      </w:rPr>
    </w:lvl>
    <w:lvl w:ilvl="5">
      <w:start w:val="1"/>
      <w:numFmt w:val="none"/>
      <w:lvlText w:val=""/>
      <w:lvlJc w:val="left"/>
      <w:pPr>
        <w:tabs>
          <w:tab w:val="num" w:pos="1418"/>
        </w:tabs>
        <w:ind w:left="1418" w:hanging="482"/>
      </w:pPr>
      <w:rPr>
        <w:rFonts w:hint="default"/>
      </w:rPr>
    </w:lvl>
    <w:lvl w:ilvl="6">
      <w:start w:val="1"/>
      <w:numFmt w:val="none"/>
      <w:lvlText w:val=""/>
      <w:lvlJc w:val="left"/>
      <w:pPr>
        <w:tabs>
          <w:tab w:val="num" w:pos="482"/>
        </w:tabs>
        <w:ind w:left="482" w:hanging="482"/>
      </w:pPr>
      <w:rPr>
        <w:rFonts w:hint="default"/>
      </w:rPr>
    </w:lvl>
    <w:lvl w:ilvl="7">
      <w:start w:val="1"/>
      <w:numFmt w:val="decimal"/>
      <w:lvlText w:val="%1"/>
      <w:lvlJc w:val="left"/>
      <w:pPr>
        <w:tabs>
          <w:tab w:val="num" w:pos="1440"/>
        </w:tabs>
        <w:ind w:left="1440" w:hanging="1440"/>
      </w:pPr>
      <w:rPr>
        <w:rFonts w:hint="default"/>
      </w:rPr>
    </w:lvl>
    <w:lvl w:ilvl="8">
      <w:start w:val="1"/>
      <w:numFmt w:val="decimal"/>
      <w:lvlText w:val="%1"/>
      <w:lvlJc w:val="left"/>
      <w:pPr>
        <w:tabs>
          <w:tab w:val="num" w:pos="1584"/>
        </w:tabs>
        <w:ind w:left="1584" w:hanging="1584"/>
      </w:pPr>
      <w:rPr>
        <w:rFonts w:hint="default"/>
      </w:rPr>
    </w:lvl>
  </w:abstractNum>
  <w:abstractNum w:abstractNumId="46">
    <w:nsid w:val="518C39C9"/>
    <w:multiLevelType w:val="multilevel"/>
    <w:tmpl w:val="D93463A2"/>
    <w:styleLink w:val="Style1"/>
    <w:lvl w:ilvl="0">
      <w:start w:val="1"/>
      <w:numFmt w:val="decimal"/>
      <w:lvlText w:val="%1"/>
      <w:lvlJc w:val="left"/>
      <w:pPr>
        <w:tabs>
          <w:tab w:val="num" w:pos="567"/>
        </w:tabs>
        <w:ind w:left="567" w:hanging="567"/>
      </w:pPr>
      <w:rPr>
        <w:rFonts w:hint="default"/>
      </w:rPr>
    </w:lvl>
    <w:lvl w:ilvl="1">
      <w:start w:val="1"/>
      <w:numFmt w:val="none"/>
      <w:suff w:val="nothing"/>
      <w:lvlText w:val=""/>
      <w:lvlJc w:val="left"/>
      <w:pPr>
        <w:ind w:left="0" w:firstLine="0"/>
      </w:pPr>
      <w:rPr>
        <w:rFonts w:hint="default"/>
      </w:rPr>
    </w:lvl>
    <w:lvl w:ilvl="2">
      <w:start w:val="1"/>
      <w:numFmt w:val="upperLetter"/>
      <w:lvlText w:val="Appendix %3"/>
      <w:lvlJc w:val="left"/>
      <w:pPr>
        <w:tabs>
          <w:tab w:val="num" w:pos="1985"/>
        </w:tabs>
        <w:ind w:left="1985" w:hanging="198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7">
    <w:nsid w:val="5D0540A9"/>
    <w:multiLevelType w:val="multilevel"/>
    <w:tmpl w:val="8AEA9E2A"/>
    <w:name w:val="DEPIAppendices"/>
    <w:lvl w:ilvl="0">
      <w:start w:val="1"/>
      <w:numFmt w:val="upperLetter"/>
      <w:pStyle w:val="Heading8"/>
      <w:lvlText w:val="Appendix %1"/>
      <w:lvlJc w:val="left"/>
      <w:pPr>
        <w:tabs>
          <w:tab w:val="num" w:pos="3686"/>
        </w:tabs>
        <w:ind w:left="3686" w:hanging="2552"/>
      </w:pPr>
      <w:rPr>
        <w:rFonts w:hint="default"/>
        <w:b/>
        <w:i w:val="0"/>
        <w:sz w:val="40"/>
      </w:rPr>
    </w:lvl>
    <w:lvl w:ilvl="1">
      <w:start w:val="1"/>
      <w:numFmt w:val="none"/>
      <w:lvlText w:val=""/>
      <w:lvlJc w:val="left"/>
      <w:pPr>
        <w:tabs>
          <w:tab w:val="num" w:pos="765"/>
        </w:tabs>
        <w:ind w:left="765" w:hanging="765"/>
      </w:pPr>
      <w:rPr>
        <w:rFonts w:hint="default"/>
        <w:sz w:val="26"/>
      </w:rPr>
    </w:lvl>
    <w:lvl w:ilvl="2">
      <w:start w:val="1"/>
      <w:numFmt w:val="decimal"/>
      <w:lvlText w:val="%1%2.%3"/>
      <w:lvlJc w:val="left"/>
      <w:pPr>
        <w:tabs>
          <w:tab w:val="num" w:pos="765"/>
        </w:tabs>
        <w:ind w:left="765" w:hanging="765"/>
      </w:pPr>
      <w:rPr>
        <w:rFonts w:hint="default"/>
      </w:rPr>
    </w:lvl>
    <w:lvl w:ilvl="3">
      <w:start w:val="1"/>
      <w:numFmt w:val="decimal"/>
      <w:lvlText w:val="%1%2.%3.%4"/>
      <w:lvlJc w:val="left"/>
      <w:pPr>
        <w:tabs>
          <w:tab w:val="num" w:pos="765"/>
        </w:tabs>
        <w:ind w:left="765" w:hanging="765"/>
      </w:pPr>
      <w:rPr>
        <w:rFonts w:hint="default"/>
      </w:rPr>
    </w:lvl>
    <w:lvl w:ilvl="4">
      <w:start w:val="1"/>
      <w:numFmt w:val="decimal"/>
      <w:lvlText w:val="%1%2.%3.%4.%5"/>
      <w:lvlJc w:val="left"/>
      <w:pPr>
        <w:tabs>
          <w:tab w:val="num" w:pos="1134"/>
        </w:tabs>
        <w:ind w:left="1134" w:hanging="1134"/>
      </w:pPr>
      <w:rPr>
        <w:rFonts w:hint="default"/>
      </w:rPr>
    </w:lvl>
    <w:lvl w:ilvl="5">
      <w:start w:val="1"/>
      <w:numFmt w:val="none"/>
      <w:lvlText w:val=""/>
      <w:lvlJc w:val="righ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5760" w:hanging="5760"/>
      </w:pPr>
      <w:rPr>
        <w:rFonts w:hint="default"/>
      </w:rPr>
    </w:lvl>
    <w:lvl w:ilvl="8">
      <w:start w:val="1"/>
      <w:numFmt w:val="none"/>
      <w:lvlText w:val=""/>
      <w:lvlJc w:val="right"/>
      <w:pPr>
        <w:ind w:left="6480" w:hanging="6480"/>
      </w:pPr>
      <w:rPr>
        <w:rFonts w:hint="default"/>
      </w:rPr>
    </w:lvl>
  </w:abstractNum>
  <w:abstractNum w:abstractNumId="48">
    <w:nsid w:val="5DC76B7F"/>
    <w:multiLevelType w:val="multilevel"/>
    <w:tmpl w:val="5C688014"/>
    <w:lvl w:ilvl="0">
      <w:start w:val="1"/>
      <w:numFmt w:val="decimal"/>
      <w:lvlRestart w:val="0"/>
      <w:suff w:val="nothing"/>
      <w:lvlText w:val="%1"/>
      <w:lvlJc w:val="left"/>
      <w:pPr>
        <w:tabs>
          <w:tab w:val="num" w:pos="0"/>
        </w:tabs>
        <w:ind w:left="0" w:firstLine="0"/>
      </w:pPr>
      <w:rPr>
        <w:rFonts w:hint="default"/>
      </w:rPr>
    </w:lvl>
    <w:lvl w:ilvl="1">
      <w:start w:val="1"/>
      <w:numFmt w:val="decimal"/>
      <w:lvlRestart w:val="0"/>
      <w:lvlText w:val="%2"/>
      <w:lvlJc w:val="left"/>
      <w:pPr>
        <w:tabs>
          <w:tab w:val="num" w:pos="850"/>
        </w:tabs>
        <w:ind w:left="850" w:hanging="850"/>
      </w:pPr>
      <w:rPr>
        <w:rFonts w:hint="default"/>
      </w:rPr>
    </w:lvl>
    <w:lvl w:ilvl="2">
      <w:start w:val="1"/>
      <w:numFmt w:val="decimal"/>
      <w:lvlText w:val="%2.%3"/>
      <w:lvlJc w:val="left"/>
      <w:pPr>
        <w:tabs>
          <w:tab w:val="num" w:pos="850"/>
        </w:tabs>
        <w:ind w:left="850" w:hanging="850"/>
      </w:pPr>
      <w:rPr>
        <w:rFonts w:hint="default"/>
        <w:color w:val="00B2A9" w:themeColor="accent1"/>
        <w:sz w:val="32"/>
        <w:szCs w:val="32"/>
      </w:rPr>
    </w:lvl>
    <w:lvl w:ilvl="3">
      <w:start w:val="1"/>
      <w:numFmt w:val="decimal"/>
      <w:lvlText w:val="%2.%3.%4"/>
      <w:lvlJc w:val="left"/>
      <w:pPr>
        <w:tabs>
          <w:tab w:val="num" w:pos="850"/>
        </w:tabs>
        <w:ind w:left="850" w:hanging="850"/>
      </w:pPr>
      <w:rPr>
        <w:rFonts w:hint="default"/>
        <w:b w:val="0"/>
        <w:i/>
        <w:color w:val="00B2A9" w:themeColor="accent1"/>
        <w:sz w:val="28"/>
        <w:szCs w:val="28"/>
      </w:rPr>
    </w:lvl>
    <w:lvl w:ilvl="4">
      <w:start w:val="1"/>
      <w:numFmt w:val="upperLetter"/>
      <w:lvlRestart w:val="0"/>
      <w:lvlText w:val="Appendix %5"/>
      <w:lvlJc w:val="left"/>
      <w:pPr>
        <w:tabs>
          <w:tab w:val="num" w:pos="6946"/>
        </w:tabs>
        <w:ind w:left="3261" w:firstLine="0"/>
      </w:pPr>
      <w:rPr>
        <w:rFonts w:hint="default"/>
      </w:rPr>
    </w:lvl>
    <w:lvl w:ilvl="5">
      <w:start w:val="1"/>
      <w:numFmt w:val="upperLetter"/>
      <w:lvlRestart w:val="0"/>
      <w:suff w:val="nothing"/>
      <w:lvlText w:val="Appendix %6"/>
      <w:lvlJc w:val="left"/>
      <w:pPr>
        <w:tabs>
          <w:tab w:val="num" w:pos="0"/>
        </w:tabs>
        <w:ind w:left="0" w:firstLine="0"/>
      </w:pPr>
      <w:rPr>
        <w:rFonts w:hint="default"/>
      </w:rPr>
    </w:lvl>
    <w:lvl w:ilvl="6">
      <w:start w:val="1"/>
      <w:numFmt w:val="decimal"/>
      <w:lvlText w:val="%7"/>
      <w:lvlJc w:val="left"/>
      <w:pPr>
        <w:tabs>
          <w:tab w:val="num" w:pos="567"/>
        </w:tabs>
        <w:ind w:left="567" w:hanging="567"/>
      </w:pPr>
      <w:rPr>
        <w:rFonts w:hint="default"/>
        <w:b/>
        <w:i/>
      </w:rPr>
    </w:lvl>
    <w:lvl w:ilvl="7">
      <w:start w:val="1"/>
      <w:numFmt w:val="decimal"/>
      <w:lvlText w:val="%8"/>
      <w:lvlJc w:val="left"/>
      <w:pPr>
        <w:tabs>
          <w:tab w:val="num" w:pos="567"/>
        </w:tabs>
        <w:ind w:left="567" w:hanging="567"/>
      </w:pPr>
      <w:rPr>
        <w:rFonts w:hint="default"/>
        <w:b w:val="0"/>
        <w:i w:val="0"/>
        <w:color w:val="auto"/>
      </w:rPr>
    </w:lvl>
    <w:lvl w:ilvl="8">
      <w:start w:val="1"/>
      <w:numFmt w:val="lowerLetter"/>
      <w:lvlText w:val="%9"/>
      <w:lvlJc w:val="left"/>
      <w:pPr>
        <w:tabs>
          <w:tab w:val="num" w:pos="1134"/>
        </w:tabs>
        <w:ind w:left="1134" w:hanging="567"/>
      </w:pPr>
      <w:rPr>
        <w:rFonts w:hint="default"/>
        <w:b w:val="0"/>
        <w:i w:val="0"/>
        <w:color w:val="auto"/>
      </w:rPr>
    </w:lvl>
  </w:abstractNum>
  <w:abstractNum w:abstractNumId="49">
    <w:nsid w:val="5E401664"/>
    <w:multiLevelType w:val="multilevel"/>
    <w:tmpl w:val="EE12AE72"/>
    <w:name w:val="LongTOC"/>
    <w:numStyleLink w:val="PwCAppendixList1"/>
  </w:abstractNum>
  <w:abstractNum w:abstractNumId="50">
    <w:nsid w:val="5F174C6A"/>
    <w:multiLevelType w:val="hybridMultilevel"/>
    <w:tmpl w:val="93CA34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nsid w:val="63917BB9"/>
    <w:multiLevelType w:val="multilevel"/>
    <w:tmpl w:val="C3DE98D4"/>
    <w:lvl w:ilvl="0">
      <w:start w:val="1"/>
      <w:numFmt w:val="none"/>
      <w:pStyle w:val="PwCNormal"/>
      <w:suff w:val="nothing"/>
      <w:lvlText w:val=""/>
      <w:lvlJc w:val="left"/>
      <w:pPr>
        <w:ind w:left="0" w:firstLine="0"/>
      </w:pPr>
      <w:rPr>
        <w:rFonts w:hint="default"/>
        <w:color w:val="auto"/>
      </w:rPr>
    </w:lvl>
    <w:lvl w:ilvl="1">
      <w:start w:val="1"/>
      <w:numFmt w:val="none"/>
      <w:pStyle w:val="Indent1"/>
      <w:suff w:val="nothing"/>
      <w:lvlText w:val=""/>
      <w:lvlJc w:val="left"/>
      <w:pPr>
        <w:ind w:left="284" w:firstLine="0"/>
      </w:pPr>
      <w:rPr>
        <w:rFonts w:hint="default"/>
      </w:rPr>
    </w:lvl>
    <w:lvl w:ilvl="2">
      <w:start w:val="1"/>
      <w:numFmt w:val="none"/>
      <w:pStyle w:val="Indent2"/>
      <w:suff w:val="nothing"/>
      <w:lvlText w:val=""/>
      <w:lvlJc w:val="left"/>
      <w:pPr>
        <w:ind w:left="568" w:firstLine="0"/>
      </w:pPr>
      <w:rPr>
        <w:rFonts w:hint="default"/>
      </w:rPr>
    </w:lvl>
    <w:lvl w:ilvl="3">
      <w:start w:val="1"/>
      <w:numFmt w:val="none"/>
      <w:pStyle w:val="Indent3"/>
      <w:suff w:val="nothing"/>
      <w:lvlText w:val=""/>
      <w:lvlJc w:val="left"/>
      <w:pPr>
        <w:ind w:left="852" w:firstLine="0"/>
      </w:pPr>
      <w:rPr>
        <w:rFonts w:hint="default"/>
      </w:rPr>
    </w:lvl>
    <w:lvl w:ilvl="4">
      <w:start w:val="1"/>
      <w:numFmt w:val="none"/>
      <w:pStyle w:val="Indent4"/>
      <w:suff w:val="nothing"/>
      <w:lvlText w:val=""/>
      <w:lvlJc w:val="left"/>
      <w:pPr>
        <w:ind w:left="1136" w:firstLine="0"/>
      </w:pPr>
      <w:rPr>
        <w:rFonts w:hint="default"/>
      </w:rPr>
    </w:lvl>
    <w:lvl w:ilvl="5">
      <w:start w:val="1"/>
      <w:numFmt w:val="none"/>
      <w:pStyle w:val="Indent5"/>
      <w:suff w:val="nothing"/>
      <w:lvlText w:val=""/>
      <w:lvlJc w:val="left"/>
      <w:pPr>
        <w:ind w:left="1420" w:firstLine="0"/>
      </w:pPr>
      <w:rPr>
        <w:rFonts w:hint="default"/>
      </w:rPr>
    </w:lvl>
    <w:lvl w:ilvl="6">
      <w:start w:val="1"/>
      <w:numFmt w:val="none"/>
      <w:pStyle w:val="Indent6"/>
      <w:suff w:val="nothing"/>
      <w:lvlText w:val=""/>
      <w:lvlJc w:val="left"/>
      <w:pPr>
        <w:ind w:left="1704" w:firstLine="0"/>
      </w:pPr>
      <w:rPr>
        <w:rFonts w:hint="default"/>
      </w:rPr>
    </w:lvl>
    <w:lvl w:ilvl="7">
      <w:start w:val="1"/>
      <w:numFmt w:val="none"/>
      <w:pStyle w:val="Indent7"/>
      <w:suff w:val="nothing"/>
      <w:lvlText w:val=""/>
      <w:lvlJc w:val="left"/>
      <w:pPr>
        <w:ind w:left="1988" w:firstLine="0"/>
      </w:pPr>
      <w:rPr>
        <w:rFonts w:hint="default"/>
      </w:rPr>
    </w:lvl>
    <w:lvl w:ilvl="8">
      <w:start w:val="1"/>
      <w:numFmt w:val="none"/>
      <w:pStyle w:val="Indent8"/>
      <w:suff w:val="nothing"/>
      <w:lvlText w:val=""/>
      <w:lvlJc w:val="left"/>
      <w:pPr>
        <w:ind w:left="2272" w:firstLine="0"/>
      </w:pPr>
      <w:rPr>
        <w:rFonts w:hint="default"/>
      </w:rPr>
    </w:lvl>
  </w:abstractNum>
  <w:abstractNum w:abstractNumId="52">
    <w:nsid w:val="63A869DF"/>
    <w:multiLevelType w:val="multilevel"/>
    <w:tmpl w:val="A4327F04"/>
    <w:name w:val="JemenaHeadings"/>
    <w:lvl w:ilvl="0">
      <w:start w:val="1"/>
      <w:numFmt w:val="decimal"/>
      <w:lvlRestart w:val="0"/>
      <w:lvlText w:val="%1."/>
      <w:lvlJc w:val="left"/>
      <w:pPr>
        <w:tabs>
          <w:tab w:val="num" w:pos="822"/>
        </w:tabs>
        <w:ind w:left="822" w:hanging="822"/>
      </w:pPr>
      <w:rPr>
        <w:rFonts w:hint="default"/>
      </w:rPr>
    </w:lvl>
    <w:lvl w:ilvl="1">
      <w:start w:val="1"/>
      <w:numFmt w:val="decimal"/>
      <w:lvlText w:val="%1.%2"/>
      <w:lvlJc w:val="left"/>
      <w:pPr>
        <w:tabs>
          <w:tab w:val="num" w:pos="822"/>
        </w:tabs>
        <w:ind w:left="822" w:hanging="822"/>
      </w:pPr>
      <w:rPr>
        <w:rFonts w:hint="default"/>
      </w:rPr>
    </w:lvl>
    <w:lvl w:ilvl="2">
      <w:start w:val="1"/>
      <w:numFmt w:val="decimal"/>
      <w:lvlText w:val="%1.%2.%3"/>
      <w:lvlJc w:val="left"/>
      <w:pPr>
        <w:tabs>
          <w:tab w:val="num" w:pos="822"/>
        </w:tabs>
        <w:ind w:left="822" w:hanging="822"/>
      </w:pPr>
      <w:rPr>
        <w:rFonts w:hint="default"/>
      </w:rPr>
    </w:lvl>
    <w:lvl w:ilvl="3">
      <w:start w:val="1"/>
      <w:numFmt w:val="decimal"/>
      <w:suff w:val="space"/>
      <w:lvlText w:val="%1.%2.%3.%4 "/>
      <w:lvlJc w:val="left"/>
      <w:pPr>
        <w:ind w:left="0" w:firstLine="0"/>
      </w:pPr>
      <w:rPr>
        <w:rFonts w:hint="default"/>
      </w:rPr>
    </w:lvl>
    <w:lvl w:ilvl="4">
      <w:start w:val="1"/>
      <w:numFmt w:val="none"/>
      <w:lvlText w:val=""/>
      <w:lvlJc w:val="left"/>
      <w:pPr>
        <w:tabs>
          <w:tab w:val="num" w:pos="1134"/>
        </w:tabs>
        <w:ind w:left="1134" w:hanging="1134"/>
      </w:pPr>
      <w:rPr>
        <w:rFonts w:hint="default"/>
      </w:rPr>
    </w:lvl>
    <w:lvl w:ilvl="5">
      <w:start w:val="1"/>
      <w:numFmt w:val="none"/>
      <w:lvlText w:val="%6"/>
      <w:lvlJc w:val="left"/>
      <w:pPr>
        <w:tabs>
          <w:tab w:val="num" w:pos="1134"/>
        </w:tabs>
        <w:ind w:left="1134" w:hanging="1134"/>
      </w:pPr>
      <w:rPr>
        <w:rFonts w:hint="default"/>
      </w:rPr>
    </w:lvl>
    <w:lvl w:ilvl="6">
      <w:start w:val="1"/>
      <w:numFmt w:val="none"/>
      <w:lvlText w:val=""/>
      <w:lvlJc w:val="left"/>
      <w:pPr>
        <w:tabs>
          <w:tab w:val="num" w:pos="1134"/>
        </w:tabs>
        <w:ind w:left="1134" w:hanging="1134"/>
      </w:pPr>
      <w:rPr>
        <w:rFonts w:hint="default"/>
      </w:rPr>
    </w:lvl>
    <w:lvl w:ilvl="7">
      <w:start w:val="1"/>
      <w:numFmt w:val="none"/>
      <w:lvlText w:val=""/>
      <w:lvlJc w:val="left"/>
      <w:pPr>
        <w:tabs>
          <w:tab w:val="num" w:pos="1134"/>
        </w:tabs>
        <w:ind w:left="1134" w:hanging="1134"/>
      </w:pPr>
      <w:rPr>
        <w:rFonts w:hint="default"/>
      </w:rPr>
    </w:lvl>
    <w:lvl w:ilvl="8">
      <w:start w:val="1"/>
      <w:numFmt w:val="none"/>
      <w:lvlText w:val=""/>
      <w:lvlJc w:val="left"/>
      <w:pPr>
        <w:tabs>
          <w:tab w:val="num" w:pos="1134"/>
        </w:tabs>
        <w:ind w:left="1134" w:hanging="1134"/>
      </w:pPr>
      <w:rPr>
        <w:rFonts w:hint="default"/>
      </w:rPr>
    </w:lvl>
  </w:abstractNum>
  <w:abstractNum w:abstractNumId="53">
    <w:nsid w:val="69FD4FE0"/>
    <w:multiLevelType w:val="hybridMultilevel"/>
    <w:tmpl w:val="06400B04"/>
    <w:lvl w:ilvl="0" w:tplc="6754641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nsid w:val="6C8A32D2"/>
    <w:multiLevelType w:val="multilevel"/>
    <w:tmpl w:val="25800BE4"/>
    <w:styleLink w:val="TableBulletNormalList"/>
    <w:lvl w:ilvl="0">
      <w:start w:val="1"/>
      <w:numFmt w:val="bullet"/>
      <w:lvlRestart w:val="0"/>
      <w:lvlText w:val=""/>
      <w:lvlJc w:val="left"/>
      <w:pPr>
        <w:tabs>
          <w:tab w:val="num" w:pos="283"/>
        </w:tabs>
        <w:ind w:left="283" w:hanging="283"/>
      </w:pPr>
      <w:rPr>
        <w:rFonts w:ascii="Symbol" w:hAnsi="Symbol" w:hint="default"/>
        <w:b w:val="0"/>
        <w:i w:val="0"/>
        <w:color w:val="auto"/>
      </w:rPr>
    </w:lvl>
    <w:lvl w:ilvl="1">
      <w:start w:val="1"/>
      <w:numFmt w:val="bullet"/>
      <w:lvlRestart w:val="0"/>
      <w:lvlText w:val="–"/>
      <w:lvlJc w:val="left"/>
      <w:pPr>
        <w:tabs>
          <w:tab w:val="num" w:pos="567"/>
        </w:tabs>
        <w:ind w:left="567" w:hanging="283"/>
      </w:pPr>
      <w:rPr>
        <w:rFonts w:ascii="Arial" w:hAnsi="Arial" w:hint="default"/>
        <w:b w:val="0"/>
        <w:i w:val="0"/>
        <w:color w:val="auto"/>
        <w:szCs w:val="10"/>
      </w:rPr>
    </w:lvl>
    <w:lvl w:ilvl="2">
      <w:start w:val="1"/>
      <w:numFmt w:val="bullet"/>
      <w:lvlRestart w:val="0"/>
      <w:lvlText w:val="o"/>
      <w:lvlJc w:val="left"/>
      <w:pPr>
        <w:tabs>
          <w:tab w:val="num" w:pos="851"/>
        </w:tabs>
        <w:ind w:left="851" w:hanging="284"/>
      </w:pPr>
      <w:rPr>
        <w:rFonts w:ascii="Arial" w:hAnsi="Arial" w:hint="default"/>
        <w:b w:val="0"/>
        <w:i w:val="0"/>
        <w:color w:val="auto"/>
        <w:sz w:val="10"/>
        <w:szCs w:val="10"/>
      </w:rPr>
    </w:lvl>
    <w:lvl w:ilvl="3">
      <w:start w:val="1"/>
      <w:numFmt w:val="none"/>
      <w:lvlRestart w:val="0"/>
      <w:lvlText w:val=""/>
      <w:lvlJc w:val="left"/>
      <w:pPr>
        <w:tabs>
          <w:tab w:val="num" w:pos="0"/>
        </w:tabs>
        <w:ind w:left="0" w:firstLine="0"/>
      </w:pPr>
      <w:rPr>
        <w:rFonts w:hint="default"/>
        <w:color w:val="auto"/>
        <w:sz w:val="10"/>
        <w:szCs w:val="10"/>
      </w:rPr>
    </w:lvl>
    <w:lvl w:ilvl="4">
      <w:start w:val="1"/>
      <w:numFmt w:val="none"/>
      <w:lvlText w:val="%5"/>
      <w:lvlJc w:val="left"/>
      <w:pPr>
        <w:tabs>
          <w:tab w:val="num" w:pos="1800"/>
        </w:tabs>
        <w:ind w:left="1800" w:hanging="360"/>
      </w:pPr>
      <w:rPr>
        <w:rFonts w:hint="default"/>
      </w:rPr>
    </w:lvl>
    <w:lvl w:ilvl="5">
      <w:start w:val="1"/>
      <w:numFmt w:val="lowerRoman"/>
      <w:lvlText w:val=""/>
      <w:lvlJc w:val="left"/>
      <w:pPr>
        <w:tabs>
          <w:tab w:val="num" w:pos="2160"/>
        </w:tabs>
        <w:ind w:left="2160" w:hanging="360"/>
      </w:pPr>
      <w:rPr>
        <w:rFonts w:hint="default"/>
      </w:rPr>
    </w:lvl>
    <w:lvl w:ilvl="6">
      <w:start w:val="1"/>
      <w:numFmt w:val="decimal"/>
      <w:lvlText w:val=""/>
      <w:lvlJc w:val="left"/>
      <w:pPr>
        <w:tabs>
          <w:tab w:val="num" w:pos="2520"/>
        </w:tabs>
        <w:ind w:left="2520" w:hanging="360"/>
      </w:pPr>
      <w:rPr>
        <w:rFonts w:hint="default"/>
      </w:rPr>
    </w:lvl>
    <w:lvl w:ilvl="7">
      <w:start w:val="1"/>
      <w:numFmt w:val="lowerLetter"/>
      <w:lvlText w:val=""/>
      <w:lvlJc w:val="left"/>
      <w:pPr>
        <w:tabs>
          <w:tab w:val="num" w:pos="2880"/>
        </w:tabs>
        <w:ind w:left="2880" w:hanging="360"/>
      </w:pPr>
      <w:rPr>
        <w:rFonts w:hint="default"/>
      </w:rPr>
    </w:lvl>
    <w:lvl w:ilvl="8">
      <w:start w:val="1"/>
      <w:numFmt w:val="lowerRoman"/>
      <w:lvlText w:val=""/>
      <w:lvlJc w:val="left"/>
      <w:pPr>
        <w:tabs>
          <w:tab w:val="num" w:pos="3240"/>
        </w:tabs>
        <w:ind w:left="3240" w:hanging="360"/>
      </w:pPr>
      <w:rPr>
        <w:rFonts w:hint="default"/>
      </w:rPr>
    </w:lvl>
  </w:abstractNum>
  <w:abstractNum w:abstractNumId="55">
    <w:nsid w:val="6CC23054"/>
    <w:multiLevelType w:val="hybridMultilevel"/>
    <w:tmpl w:val="781670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6">
    <w:nsid w:val="6D145DD5"/>
    <w:multiLevelType w:val="hybridMultilevel"/>
    <w:tmpl w:val="12E67C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7">
    <w:nsid w:val="6D1D40AC"/>
    <w:multiLevelType w:val="multilevel"/>
    <w:tmpl w:val="4A4219B0"/>
    <w:name w:val="TableNumbering"/>
    <w:lvl w:ilvl="0">
      <w:start w:val="1"/>
      <w:numFmt w:val="decimal"/>
      <w:pStyle w:val="TableTextNumbered"/>
      <w:lvlText w:val="%1."/>
      <w:lvlJc w:val="left"/>
      <w:pPr>
        <w:tabs>
          <w:tab w:val="num" w:pos="482"/>
        </w:tabs>
        <w:ind w:left="482" w:hanging="369"/>
      </w:pPr>
      <w:rPr>
        <w:rFonts w:hint="default"/>
      </w:rPr>
    </w:lvl>
    <w:lvl w:ilvl="1">
      <w:start w:val="1"/>
      <w:numFmt w:val="lowerLetter"/>
      <w:pStyle w:val="TableTextNumbered2"/>
      <w:lvlText w:val="%2."/>
      <w:lvlJc w:val="left"/>
      <w:pPr>
        <w:tabs>
          <w:tab w:val="num" w:pos="822"/>
        </w:tabs>
        <w:ind w:left="822" w:hanging="340"/>
      </w:pPr>
      <w:rPr>
        <w:rFonts w:hint="default"/>
      </w:rPr>
    </w:lvl>
    <w:lvl w:ilvl="2">
      <w:start w:val="1"/>
      <w:numFmt w:val="lowerRoman"/>
      <w:pStyle w:val="TableTextNumbered3"/>
      <w:lvlText w:val="%3."/>
      <w:lvlJc w:val="left"/>
      <w:pPr>
        <w:tabs>
          <w:tab w:val="num" w:pos="1219"/>
        </w:tabs>
        <w:ind w:left="1219" w:hanging="397"/>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8">
    <w:nsid w:val="70250B03"/>
    <w:multiLevelType w:val="multilevel"/>
    <w:tmpl w:val="F3EA2326"/>
    <w:name w:val="DEPIQuoteBullets"/>
    <w:lvl w:ilvl="0">
      <w:start w:val="1"/>
      <w:numFmt w:val="bullet"/>
      <w:pStyle w:val="QuoteBullet"/>
      <w:lvlText w:val=""/>
      <w:lvlJc w:val="left"/>
      <w:pPr>
        <w:tabs>
          <w:tab w:val="num" w:pos="454"/>
        </w:tabs>
        <w:ind w:left="454" w:hanging="170"/>
      </w:pPr>
      <w:rPr>
        <w:rFonts w:ascii="Symbol" w:hAnsi="Symbol" w:hint="default"/>
        <w:b w:val="0"/>
        <w:i w:val="0"/>
        <w:color w:val="363534" w:themeColor="text1"/>
        <w:position w:val="2"/>
        <w:sz w:val="18"/>
      </w:rPr>
    </w:lvl>
    <w:lvl w:ilvl="1">
      <w:start w:val="1"/>
      <w:numFmt w:val="bullet"/>
      <w:pStyle w:val="QuoteBullet2"/>
      <w:lvlText w:val="–"/>
      <w:lvlJc w:val="left"/>
      <w:pPr>
        <w:tabs>
          <w:tab w:val="num" w:pos="624"/>
        </w:tabs>
        <w:ind w:left="624" w:hanging="170"/>
      </w:pPr>
      <w:rPr>
        <w:rFonts w:asciiTheme="minorHAnsi" w:hAnsiTheme="minorHAnsi" w:hint="default"/>
        <w:b w:val="0"/>
        <w:i w:val="0"/>
        <w:color w:val="auto"/>
        <w:position w:val="2"/>
        <w:sz w:val="18"/>
      </w:rPr>
    </w:lvl>
    <w:lvl w:ilvl="2">
      <w:start w:val="1"/>
      <w:numFmt w:val="bullet"/>
      <w:lvlText w:val="‒"/>
      <w:lvlJc w:val="left"/>
      <w:pPr>
        <w:tabs>
          <w:tab w:val="num" w:pos="1418"/>
        </w:tabs>
        <w:ind w:left="1418" w:hanging="283"/>
      </w:pPr>
      <w:rPr>
        <w:rFonts w:ascii="Calibri" w:hAnsi="Calibri" w:hint="default"/>
        <w:color w:val="00B2A9" w:themeColor="text2"/>
      </w:rPr>
    </w:lvl>
    <w:lvl w:ilvl="3">
      <w:start w:val="1"/>
      <w:numFmt w:val="bullet"/>
      <w:lvlText w:val=""/>
      <w:lvlJc w:val="left"/>
      <w:pPr>
        <w:ind w:left="1136" w:firstLine="283"/>
      </w:pPr>
      <w:rPr>
        <w:rFonts w:ascii="Symbol" w:hAnsi="Symbol" w:hint="default"/>
      </w:rPr>
    </w:lvl>
    <w:lvl w:ilvl="4">
      <w:start w:val="1"/>
      <w:numFmt w:val="bullet"/>
      <w:lvlText w:val=""/>
      <w:lvlJc w:val="left"/>
      <w:pPr>
        <w:ind w:left="1420" w:firstLine="283"/>
      </w:pPr>
      <w:rPr>
        <w:rFonts w:ascii="Symbol" w:hAnsi="Symbol" w:hint="default"/>
      </w:rPr>
    </w:lvl>
    <w:lvl w:ilvl="5">
      <w:start w:val="1"/>
      <w:numFmt w:val="bullet"/>
      <w:lvlText w:val=""/>
      <w:lvlJc w:val="left"/>
      <w:pPr>
        <w:ind w:left="1704" w:firstLine="283"/>
      </w:pPr>
      <w:rPr>
        <w:rFonts w:ascii="Wingdings" w:hAnsi="Wingdings" w:hint="default"/>
      </w:rPr>
    </w:lvl>
    <w:lvl w:ilvl="6">
      <w:start w:val="1"/>
      <w:numFmt w:val="bullet"/>
      <w:lvlText w:val=""/>
      <w:lvlJc w:val="left"/>
      <w:pPr>
        <w:ind w:left="1988" w:firstLine="283"/>
      </w:pPr>
      <w:rPr>
        <w:rFonts w:ascii="Wingdings" w:hAnsi="Wingdings" w:hint="default"/>
      </w:rPr>
    </w:lvl>
    <w:lvl w:ilvl="7">
      <w:start w:val="1"/>
      <w:numFmt w:val="bullet"/>
      <w:lvlText w:val=""/>
      <w:lvlJc w:val="left"/>
      <w:pPr>
        <w:ind w:left="2272" w:firstLine="283"/>
      </w:pPr>
      <w:rPr>
        <w:rFonts w:ascii="Symbol" w:hAnsi="Symbol" w:hint="default"/>
      </w:rPr>
    </w:lvl>
    <w:lvl w:ilvl="8">
      <w:start w:val="1"/>
      <w:numFmt w:val="bullet"/>
      <w:lvlText w:val=""/>
      <w:lvlJc w:val="left"/>
      <w:pPr>
        <w:ind w:left="2556" w:firstLine="283"/>
      </w:pPr>
      <w:rPr>
        <w:rFonts w:ascii="Symbol" w:hAnsi="Symbol" w:hint="default"/>
      </w:rPr>
    </w:lvl>
  </w:abstractNum>
  <w:abstractNum w:abstractNumId="59">
    <w:nsid w:val="707518CF"/>
    <w:multiLevelType w:val="multilevel"/>
    <w:tmpl w:val="8CEA6DAA"/>
    <w:name w:val="Bullets2"/>
    <w:numStyleLink w:val="Bullets"/>
  </w:abstractNum>
  <w:abstractNum w:abstractNumId="60">
    <w:nsid w:val="71D36B0C"/>
    <w:multiLevelType w:val="hybridMultilevel"/>
    <w:tmpl w:val="176832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1">
    <w:nsid w:val="7839021E"/>
    <w:multiLevelType w:val="multilevel"/>
    <w:tmpl w:val="E0E09B5E"/>
    <w:name w:val="DEPIListNumbering"/>
    <w:lvl w:ilvl="0">
      <w:start w:val="1"/>
      <w:numFmt w:val="decimal"/>
      <w:pStyle w:val="ListNumber"/>
      <w:lvlText w:val="%1."/>
      <w:lvlJc w:val="left"/>
      <w:pPr>
        <w:tabs>
          <w:tab w:val="num" w:pos="340"/>
        </w:tabs>
        <w:ind w:left="340" w:hanging="340"/>
      </w:pPr>
      <w:rPr>
        <w:rFonts w:hint="default"/>
        <w:color w:val="363534" w:themeColor="text1"/>
        <w:spacing w:val="0"/>
        <w:sz w:val="20"/>
      </w:rPr>
    </w:lvl>
    <w:lvl w:ilvl="1">
      <w:start w:val="1"/>
      <w:numFmt w:val="lowerLetter"/>
      <w:pStyle w:val="ListNumber2"/>
      <w:lvlText w:val="%2."/>
      <w:lvlJc w:val="left"/>
      <w:pPr>
        <w:tabs>
          <w:tab w:val="num" w:pos="680"/>
        </w:tabs>
        <w:ind w:left="680" w:hanging="340"/>
      </w:pPr>
      <w:rPr>
        <w:rFonts w:hint="default"/>
        <w:color w:val="363534" w:themeColor="text1"/>
        <w:spacing w:val="0"/>
        <w:sz w:val="20"/>
      </w:rPr>
    </w:lvl>
    <w:lvl w:ilvl="2">
      <w:start w:val="1"/>
      <w:numFmt w:val="lowerRoman"/>
      <w:pStyle w:val="ListNumber3"/>
      <w:lvlText w:val="%3."/>
      <w:lvlJc w:val="left"/>
      <w:pPr>
        <w:tabs>
          <w:tab w:val="num" w:pos="1049"/>
        </w:tabs>
        <w:ind w:left="1049" w:hanging="369"/>
      </w:pPr>
      <w:rPr>
        <w:rFonts w:hint="default"/>
        <w:color w:val="363534" w:themeColor="text1"/>
        <w:spacing w:val="0"/>
        <w:position w:val="0"/>
        <w:sz w:val="20"/>
        <w:szCs w:val="16"/>
      </w:rPr>
    </w:lvl>
    <w:lvl w:ilvl="3">
      <w:start w:val="1"/>
      <w:numFmt w:val="none"/>
      <w:lvlText w:val=""/>
      <w:lvlJc w:val="left"/>
      <w:pPr>
        <w:tabs>
          <w:tab w:val="num" w:pos="-31680"/>
        </w:tabs>
        <w:ind w:left="-32767" w:firstLine="0"/>
      </w:pPr>
      <w:rPr>
        <w:rFonts w:hint="default"/>
      </w:rPr>
    </w:lvl>
    <w:lvl w:ilvl="4">
      <w:start w:val="1"/>
      <w:numFmt w:val="none"/>
      <w:lvlText w:val=""/>
      <w:lvlJc w:val="left"/>
      <w:pPr>
        <w:tabs>
          <w:tab w:val="num" w:pos="-31680"/>
        </w:tabs>
        <w:ind w:left="-32767" w:firstLine="0"/>
      </w:pPr>
      <w:rPr>
        <w:rFonts w:hint="default"/>
      </w:rPr>
    </w:lvl>
    <w:lvl w:ilvl="5">
      <w:start w:val="1"/>
      <w:numFmt w:val="none"/>
      <w:lvlText w:val=""/>
      <w:lvlJc w:val="lef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62">
    <w:nsid w:val="7EA8460C"/>
    <w:multiLevelType w:val="multilevel"/>
    <w:tmpl w:val="6728E3A2"/>
    <w:styleLink w:val="IndentList"/>
    <w:lvl w:ilvl="0">
      <w:start w:val="1"/>
      <w:numFmt w:val="none"/>
      <w:suff w:val="nothing"/>
      <w:lvlText w:val=""/>
      <w:lvlJc w:val="left"/>
      <w:pPr>
        <w:ind w:left="0" w:firstLine="0"/>
      </w:pPr>
      <w:rPr>
        <w:rFonts w:hint="default"/>
        <w:color w:val="auto"/>
      </w:rPr>
    </w:lvl>
    <w:lvl w:ilvl="1">
      <w:start w:val="1"/>
      <w:numFmt w:val="none"/>
      <w:lvlRestart w:val="0"/>
      <w:suff w:val="nothing"/>
      <w:lvlText w:val=""/>
      <w:lvlJc w:val="left"/>
      <w:pPr>
        <w:ind w:left="567" w:firstLine="0"/>
      </w:pPr>
      <w:rPr>
        <w:rFonts w:hint="default"/>
      </w:rPr>
    </w:lvl>
    <w:lvl w:ilvl="2">
      <w:start w:val="1"/>
      <w:numFmt w:val="none"/>
      <w:lvlRestart w:val="0"/>
      <w:suff w:val="nothing"/>
      <w:lvlText w:val=""/>
      <w:lvlJc w:val="left"/>
      <w:pPr>
        <w:ind w:left="1134" w:firstLine="0"/>
      </w:pPr>
      <w:rPr>
        <w:rFonts w:hint="default"/>
      </w:rPr>
    </w:lvl>
    <w:lvl w:ilvl="3">
      <w:start w:val="1"/>
      <w:numFmt w:val="none"/>
      <w:lvlRestart w:val="0"/>
      <w:suff w:val="nothing"/>
      <w:lvlText w:val=""/>
      <w:lvlJc w:val="left"/>
      <w:pPr>
        <w:ind w:left="1701" w:firstLine="0"/>
      </w:pPr>
      <w:rPr>
        <w:rFonts w:hint="default"/>
      </w:rPr>
    </w:lvl>
    <w:lvl w:ilvl="4">
      <w:start w:val="1"/>
      <w:numFmt w:val="none"/>
      <w:lvlRestart w:val="0"/>
      <w:suff w:val="nothing"/>
      <w:lvlText w:val=""/>
      <w:lvlJc w:val="left"/>
      <w:pPr>
        <w:ind w:left="2268" w:firstLine="0"/>
      </w:pPr>
      <w:rPr>
        <w:rFonts w:hint="default"/>
      </w:rPr>
    </w:lvl>
    <w:lvl w:ilvl="5">
      <w:start w:val="1"/>
      <w:numFmt w:val="none"/>
      <w:lvlRestart w:val="0"/>
      <w:suff w:val="nothing"/>
      <w:lvlText w:val=""/>
      <w:lvlJc w:val="left"/>
      <w:pPr>
        <w:ind w:left="2835" w:firstLine="0"/>
      </w:pPr>
      <w:rPr>
        <w:rFonts w:hint="default"/>
      </w:rPr>
    </w:lvl>
    <w:lvl w:ilvl="6">
      <w:start w:val="1"/>
      <w:numFmt w:val="none"/>
      <w:lvlRestart w:val="0"/>
      <w:suff w:val="nothing"/>
      <w:lvlText w:val=""/>
      <w:lvlJc w:val="left"/>
      <w:pPr>
        <w:ind w:left="3402" w:firstLine="0"/>
      </w:pPr>
      <w:rPr>
        <w:rFonts w:hint="default"/>
      </w:rPr>
    </w:lvl>
    <w:lvl w:ilvl="7">
      <w:start w:val="1"/>
      <w:numFmt w:val="none"/>
      <w:lvlRestart w:val="0"/>
      <w:suff w:val="nothing"/>
      <w:lvlText w:val=""/>
      <w:lvlJc w:val="left"/>
      <w:pPr>
        <w:ind w:left="3969" w:firstLine="0"/>
      </w:pPr>
      <w:rPr>
        <w:rFonts w:hint="default"/>
      </w:rPr>
    </w:lvl>
    <w:lvl w:ilvl="8">
      <w:start w:val="1"/>
      <w:numFmt w:val="none"/>
      <w:lvlRestart w:val="0"/>
      <w:suff w:val="nothing"/>
      <w:lvlText w:val=""/>
      <w:lvlJc w:val="left"/>
      <w:pPr>
        <w:ind w:left="4536" w:firstLine="0"/>
      </w:pPr>
      <w:rPr>
        <w:rFonts w:hint="default"/>
      </w:rPr>
    </w:lvl>
  </w:abstractNum>
  <w:num w:numId="1">
    <w:abstractNumId w:val="36"/>
  </w:num>
  <w:num w:numId="2">
    <w:abstractNumId w:val="57"/>
  </w:num>
  <w:num w:numId="3">
    <w:abstractNumId w:val="47"/>
  </w:num>
  <w:num w:numId="4">
    <w:abstractNumId w:val="61"/>
  </w:num>
  <w:num w:numId="5">
    <w:abstractNumId w:val="26"/>
  </w:num>
  <w:num w:numId="6">
    <w:abstractNumId w:val="13"/>
  </w:num>
  <w:num w:numId="7">
    <w:abstractNumId w:val="10"/>
  </w:num>
  <w:num w:numId="8">
    <w:abstractNumId w:val="3"/>
  </w:num>
  <w:num w:numId="9">
    <w:abstractNumId w:val="58"/>
  </w:num>
  <w:num w:numId="10">
    <w:abstractNumId w:val="18"/>
  </w:num>
  <w:num w:numId="11">
    <w:abstractNumId w:val="32"/>
  </w:num>
  <w:num w:numId="12">
    <w:abstractNumId w:val="20"/>
  </w:num>
  <w:num w:numId="13">
    <w:abstractNumId w:val="39"/>
  </w:num>
  <w:num w:numId="14">
    <w:abstractNumId w:val="42"/>
  </w:num>
  <w:num w:numId="15">
    <w:abstractNumId w:val="4"/>
  </w:num>
  <w:num w:numId="16">
    <w:abstractNumId w:val="14"/>
  </w:num>
  <w:num w:numId="17">
    <w:abstractNumId w:val="40"/>
  </w:num>
  <w:num w:numId="18">
    <w:abstractNumId w:val="54"/>
  </w:num>
  <w:num w:numId="19">
    <w:abstractNumId w:val="43"/>
  </w:num>
  <w:num w:numId="20">
    <w:abstractNumId w:val="25"/>
  </w:num>
  <w:num w:numId="21">
    <w:abstractNumId w:val="29"/>
  </w:num>
  <w:num w:numId="22">
    <w:abstractNumId w:val="7"/>
  </w:num>
  <w:num w:numId="23">
    <w:abstractNumId w:val="38"/>
  </w:num>
  <w:num w:numId="24">
    <w:abstractNumId w:val="49"/>
    <w:lvlOverride w:ilvl="0">
      <w:lvl w:ilvl="0">
        <w:start w:val="1"/>
        <w:numFmt w:val="upperLetter"/>
        <w:pStyle w:val="Appendix"/>
        <w:lvlText w:val="Appendix %1 "/>
        <w:lvlJc w:val="left"/>
        <w:pPr>
          <w:ind w:left="360" w:hanging="360"/>
        </w:pPr>
        <w:rPr>
          <w:rFonts w:hint="default"/>
        </w:rPr>
      </w:lvl>
    </w:lvlOverride>
  </w:num>
  <w:num w:numId="25">
    <w:abstractNumId w:val="8"/>
  </w:num>
  <w:num w:numId="26">
    <w:abstractNumId w:val="19"/>
  </w:num>
  <w:num w:numId="27">
    <w:abstractNumId w:val="24"/>
  </w:num>
  <w:num w:numId="28">
    <w:abstractNumId w:val="15"/>
  </w:num>
  <w:num w:numId="29">
    <w:abstractNumId w:val="22"/>
  </w:num>
  <w:num w:numId="30">
    <w:abstractNumId w:val="16"/>
  </w:num>
  <w:num w:numId="31">
    <w:abstractNumId w:val="17"/>
  </w:num>
  <w:num w:numId="32">
    <w:abstractNumId w:val="27"/>
  </w:num>
  <w:num w:numId="33">
    <w:abstractNumId w:val="5"/>
  </w:num>
  <w:num w:numId="34">
    <w:abstractNumId w:val="46"/>
  </w:num>
  <w:num w:numId="35">
    <w:abstractNumId w:val="37"/>
  </w:num>
  <w:num w:numId="36">
    <w:abstractNumId w:val="59"/>
  </w:num>
  <w:num w:numId="37">
    <w:abstractNumId w:val="51"/>
  </w:num>
  <w:num w:numId="38">
    <w:abstractNumId w:val="48"/>
  </w:num>
  <w:num w:numId="39">
    <w:abstractNumId w:val="62"/>
  </w:num>
  <w:num w:numId="40">
    <w:abstractNumId w:val="53"/>
  </w:num>
  <w:num w:numId="41">
    <w:abstractNumId w:val="50"/>
  </w:num>
  <w:num w:numId="42">
    <w:abstractNumId w:val="1"/>
  </w:num>
  <w:num w:numId="43">
    <w:abstractNumId w:val="12"/>
  </w:num>
  <w:num w:numId="44">
    <w:abstractNumId w:val="60"/>
  </w:num>
  <w:num w:numId="45">
    <w:abstractNumId w:val="35"/>
  </w:num>
  <w:num w:numId="46">
    <w:abstractNumId w:val="30"/>
  </w:num>
  <w:num w:numId="47">
    <w:abstractNumId w:val="31"/>
  </w:num>
  <w:num w:numId="48">
    <w:abstractNumId w:val="9"/>
  </w:num>
  <w:num w:numId="49">
    <w:abstractNumId w:val="6"/>
  </w:num>
  <w:num w:numId="50">
    <w:abstractNumId w:val="33"/>
  </w:num>
  <w:num w:numId="51">
    <w:abstractNumId w:val="55"/>
  </w:num>
  <w:num w:numId="52">
    <w:abstractNumId w:val="23"/>
  </w:num>
  <w:num w:numId="53">
    <w:abstractNumId w:val="2"/>
  </w:num>
  <w:num w:numId="54">
    <w:abstractNumId w:val="28"/>
  </w:num>
  <w:num w:numId="55">
    <w:abstractNumId w:val="11"/>
  </w:num>
  <w:num w:numId="56">
    <w:abstractNumId w:val="56"/>
  </w:num>
  <w:num w:numId="57">
    <w:abstractNumId w:val="21"/>
  </w:num>
  <w:num w:numId="58">
    <w:abstractNumId w:val="41"/>
  </w:num>
  <w:num w:numId="59">
    <w:abstractNumId w:val="0"/>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activeWritingStyle w:appName="MSWord" w:lang="en-US" w:vendorID="64" w:dllVersion="131078" w:nlCheck="1" w:checkStyle="1"/>
  <w:activeWritingStyle w:appName="MSWord" w:lang="en-AU" w:vendorID="64" w:dllVersion="131078" w:nlCheck="1" w:checkStyle="1"/>
  <w:activeWritingStyle w:appName="MSWord" w:lang="en-GB" w:vendorID="64" w:dllVersion="131078" w:nlCheck="1" w:checkStyle="1"/>
  <w:proofState w:spelling="clean"/>
  <w:attachedTemplate r:id="rId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567"/>
  <w:drawingGridHorizontalSpacing w:val="100"/>
  <w:drawingGridVerticalSpacing w:val="136"/>
  <w:displayHorizontalDrawingGridEvery w:val="0"/>
  <w:displayVerticalDrawingGridEvery w:val="2"/>
  <w:noPunctuationKerning/>
  <w:characterSpacingControl w:val="doNotCompress"/>
  <w:hdrShapeDefaults>
    <o:shapedefaults v:ext="edit" spidmax="6145" style="mso-position-horizontal-relative:page;mso-position-vertical-relative:page" stroke="f">
      <v:stroke on="f"/>
      <o:colormru v:ext="edit" colors="white"/>
    </o:shapedefaults>
  </w:hdrShapeDefaults>
  <w:footnotePr>
    <w:footnote w:id="-1"/>
    <w:footnote w:id="0"/>
    <w:footnote w:id="1"/>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4Landscape" w:val="False"/>
    <w:docVar w:name="A4Portrait" w:val="True"/>
    <w:docVar w:name="AppendixName" w:val="Appendix"/>
    <w:docVar w:name="CoBrandNumber" w:val="0"/>
    <w:docVar w:name="CoverCoBranded" w:val="False"/>
    <w:docVar w:name="CoverLayout" w:val="Single"/>
    <w:docVar w:name="CoverProjectBar" w:val="False"/>
    <w:docVar w:name="CoverWebAddress" w:val="False"/>
    <w:docVar w:name="dgnword-docGUID" w:val="{75D2DE50-203C-416B-9BD3-A21628DDDDBF}"/>
    <w:docVar w:name="dgnword-eventsink" w:val="727584776"/>
    <w:docVar w:name="FooterTextAuto" w:val="True"/>
    <w:docVar w:name="Heading1Numbered" w:val="False"/>
    <w:docVar w:name="Heading2Numbered" w:val="False"/>
    <w:docVar w:name="Heading3Numbered" w:val="False"/>
    <w:docVar w:name="PageSetup" w:val="Double"/>
    <w:docVar w:name="Theme Color" w:val="CorporateServices"/>
    <w:docVar w:name="TOC" w:val="True"/>
    <w:docVar w:name="TOCNew" w:val="True"/>
    <w:docVar w:name="Version" w:val="1"/>
  </w:docVars>
  <w:rsids>
    <w:rsidRoot w:val="00F3751A"/>
    <w:rsid w:val="0000017F"/>
    <w:rsid w:val="00000279"/>
    <w:rsid w:val="000004BD"/>
    <w:rsid w:val="00000B7A"/>
    <w:rsid w:val="00000C89"/>
    <w:rsid w:val="00000FEB"/>
    <w:rsid w:val="000012BE"/>
    <w:rsid w:val="00001F76"/>
    <w:rsid w:val="000024EB"/>
    <w:rsid w:val="0000279C"/>
    <w:rsid w:val="000028B4"/>
    <w:rsid w:val="00002DE1"/>
    <w:rsid w:val="00003960"/>
    <w:rsid w:val="00004237"/>
    <w:rsid w:val="0000456E"/>
    <w:rsid w:val="00004641"/>
    <w:rsid w:val="0000491E"/>
    <w:rsid w:val="00004CA4"/>
    <w:rsid w:val="00005261"/>
    <w:rsid w:val="00005647"/>
    <w:rsid w:val="0000591C"/>
    <w:rsid w:val="00006000"/>
    <w:rsid w:val="00006769"/>
    <w:rsid w:val="000068D4"/>
    <w:rsid w:val="00006A2C"/>
    <w:rsid w:val="00006F08"/>
    <w:rsid w:val="000079BC"/>
    <w:rsid w:val="00010A57"/>
    <w:rsid w:val="00010AAD"/>
    <w:rsid w:val="00010CE1"/>
    <w:rsid w:val="00010E3F"/>
    <w:rsid w:val="00010FAD"/>
    <w:rsid w:val="0001107C"/>
    <w:rsid w:val="000114BD"/>
    <w:rsid w:val="000118FD"/>
    <w:rsid w:val="00011DF3"/>
    <w:rsid w:val="00011F39"/>
    <w:rsid w:val="0001226A"/>
    <w:rsid w:val="00012B94"/>
    <w:rsid w:val="00012E66"/>
    <w:rsid w:val="00012EC2"/>
    <w:rsid w:val="00013360"/>
    <w:rsid w:val="0001362A"/>
    <w:rsid w:val="0001389C"/>
    <w:rsid w:val="0001393A"/>
    <w:rsid w:val="00013BAE"/>
    <w:rsid w:val="00013DC6"/>
    <w:rsid w:val="0001466C"/>
    <w:rsid w:val="00014E15"/>
    <w:rsid w:val="00015BB6"/>
    <w:rsid w:val="00016478"/>
    <w:rsid w:val="000171F8"/>
    <w:rsid w:val="000171FD"/>
    <w:rsid w:val="00017669"/>
    <w:rsid w:val="00017D91"/>
    <w:rsid w:val="00020DB2"/>
    <w:rsid w:val="00021A33"/>
    <w:rsid w:val="00021CF5"/>
    <w:rsid w:val="0002261E"/>
    <w:rsid w:val="000227DA"/>
    <w:rsid w:val="00022F51"/>
    <w:rsid w:val="000230FD"/>
    <w:rsid w:val="0002325E"/>
    <w:rsid w:val="00023536"/>
    <w:rsid w:val="000236AE"/>
    <w:rsid w:val="00023AFB"/>
    <w:rsid w:val="0002404B"/>
    <w:rsid w:val="00024572"/>
    <w:rsid w:val="00024574"/>
    <w:rsid w:val="00024896"/>
    <w:rsid w:val="00024990"/>
    <w:rsid w:val="00024D99"/>
    <w:rsid w:val="000251A3"/>
    <w:rsid w:val="00025217"/>
    <w:rsid w:val="0002541C"/>
    <w:rsid w:val="000254D8"/>
    <w:rsid w:val="00025A62"/>
    <w:rsid w:val="00025ADB"/>
    <w:rsid w:val="00025F6C"/>
    <w:rsid w:val="00026290"/>
    <w:rsid w:val="000263AA"/>
    <w:rsid w:val="00026700"/>
    <w:rsid w:val="00026706"/>
    <w:rsid w:val="0002674C"/>
    <w:rsid w:val="00026AC5"/>
    <w:rsid w:val="0002719A"/>
    <w:rsid w:val="0002752C"/>
    <w:rsid w:val="00027779"/>
    <w:rsid w:val="00027D1E"/>
    <w:rsid w:val="00027E13"/>
    <w:rsid w:val="00027EED"/>
    <w:rsid w:val="00027F13"/>
    <w:rsid w:val="000303AC"/>
    <w:rsid w:val="00030692"/>
    <w:rsid w:val="0003108C"/>
    <w:rsid w:val="00031190"/>
    <w:rsid w:val="000312CC"/>
    <w:rsid w:val="000312E9"/>
    <w:rsid w:val="0003176C"/>
    <w:rsid w:val="00031DCC"/>
    <w:rsid w:val="00031F2C"/>
    <w:rsid w:val="000321BA"/>
    <w:rsid w:val="000323E0"/>
    <w:rsid w:val="000323EF"/>
    <w:rsid w:val="0003294B"/>
    <w:rsid w:val="00032D71"/>
    <w:rsid w:val="00033137"/>
    <w:rsid w:val="00033178"/>
    <w:rsid w:val="00033331"/>
    <w:rsid w:val="00033A8A"/>
    <w:rsid w:val="0003451C"/>
    <w:rsid w:val="00034E46"/>
    <w:rsid w:val="00035139"/>
    <w:rsid w:val="00035163"/>
    <w:rsid w:val="000351EF"/>
    <w:rsid w:val="00035B4E"/>
    <w:rsid w:val="00035F72"/>
    <w:rsid w:val="000362D6"/>
    <w:rsid w:val="00036908"/>
    <w:rsid w:val="00036A70"/>
    <w:rsid w:val="00036FBD"/>
    <w:rsid w:val="00037072"/>
    <w:rsid w:val="00037CE2"/>
    <w:rsid w:val="00037F49"/>
    <w:rsid w:val="00037F81"/>
    <w:rsid w:val="00040BDB"/>
    <w:rsid w:val="0004176C"/>
    <w:rsid w:val="00041797"/>
    <w:rsid w:val="00041903"/>
    <w:rsid w:val="000419B2"/>
    <w:rsid w:val="00041C5B"/>
    <w:rsid w:val="00041D37"/>
    <w:rsid w:val="00041FBF"/>
    <w:rsid w:val="00042132"/>
    <w:rsid w:val="0004263E"/>
    <w:rsid w:val="000430CC"/>
    <w:rsid w:val="000430E6"/>
    <w:rsid w:val="00043650"/>
    <w:rsid w:val="00043BC5"/>
    <w:rsid w:val="00043E65"/>
    <w:rsid w:val="000441FC"/>
    <w:rsid w:val="00044882"/>
    <w:rsid w:val="00044BDC"/>
    <w:rsid w:val="000455E1"/>
    <w:rsid w:val="00045AA1"/>
    <w:rsid w:val="0004622F"/>
    <w:rsid w:val="00046864"/>
    <w:rsid w:val="00046EE3"/>
    <w:rsid w:val="000473A1"/>
    <w:rsid w:val="0004761D"/>
    <w:rsid w:val="00047C72"/>
    <w:rsid w:val="00047CE9"/>
    <w:rsid w:val="000501F1"/>
    <w:rsid w:val="00050257"/>
    <w:rsid w:val="00050487"/>
    <w:rsid w:val="000504A5"/>
    <w:rsid w:val="000507C3"/>
    <w:rsid w:val="00052234"/>
    <w:rsid w:val="00052630"/>
    <w:rsid w:val="00052825"/>
    <w:rsid w:val="00052C61"/>
    <w:rsid w:val="00053244"/>
    <w:rsid w:val="00053C43"/>
    <w:rsid w:val="0005472E"/>
    <w:rsid w:val="000547C6"/>
    <w:rsid w:val="00054AD4"/>
    <w:rsid w:val="00055546"/>
    <w:rsid w:val="0005568C"/>
    <w:rsid w:val="000557B4"/>
    <w:rsid w:val="00055860"/>
    <w:rsid w:val="00055D0B"/>
    <w:rsid w:val="000560BA"/>
    <w:rsid w:val="000570E5"/>
    <w:rsid w:val="00057EB2"/>
    <w:rsid w:val="0006013C"/>
    <w:rsid w:val="00060538"/>
    <w:rsid w:val="00060EE0"/>
    <w:rsid w:val="00060FD9"/>
    <w:rsid w:val="00061573"/>
    <w:rsid w:val="000617D7"/>
    <w:rsid w:val="000620DA"/>
    <w:rsid w:val="000626EE"/>
    <w:rsid w:val="00062985"/>
    <w:rsid w:val="00063E71"/>
    <w:rsid w:val="000640A9"/>
    <w:rsid w:val="0006422E"/>
    <w:rsid w:val="00064489"/>
    <w:rsid w:val="00065584"/>
    <w:rsid w:val="000655FD"/>
    <w:rsid w:val="00065A52"/>
    <w:rsid w:val="000660C5"/>
    <w:rsid w:val="00066ABF"/>
    <w:rsid w:val="00066F02"/>
    <w:rsid w:val="00067098"/>
    <w:rsid w:val="0006742D"/>
    <w:rsid w:val="000676F8"/>
    <w:rsid w:val="00067769"/>
    <w:rsid w:val="000700D8"/>
    <w:rsid w:val="000704F3"/>
    <w:rsid w:val="00070C97"/>
    <w:rsid w:val="0007112E"/>
    <w:rsid w:val="00071B67"/>
    <w:rsid w:val="00071CA4"/>
    <w:rsid w:val="00071DE2"/>
    <w:rsid w:val="00072074"/>
    <w:rsid w:val="00072288"/>
    <w:rsid w:val="00072733"/>
    <w:rsid w:val="00072783"/>
    <w:rsid w:val="00072E02"/>
    <w:rsid w:val="00073536"/>
    <w:rsid w:val="00073956"/>
    <w:rsid w:val="00073963"/>
    <w:rsid w:val="000739CC"/>
    <w:rsid w:val="00073A9B"/>
    <w:rsid w:val="00073BBA"/>
    <w:rsid w:val="00073F07"/>
    <w:rsid w:val="00073F9C"/>
    <w:rsid w:val="000742AF"/>
    <w:rsid w:val="00074430"/>
    <w:rsid w:val="00074A1F"/>
    <w:rsid w:val="00074C2B"/>
    <w:rsid w:val="000752FC"/>
    <w:rsid w:val="000758E3"/>
    <w:rsid w:val="00076B41"/>
    <w:rsid w:val="0008006E"/>
    <w:rsid w:val="000802A9"/>
    <w:rsid w:val="0008061A"/>
    <w:rsid w:val="0008129B"/>
    <w:rsid w:val="000816AD"/>
    <w:rsid w:val="0008221A"/>
    <w:rsid w:val="00082224"/>
    <w:rsid w:val="0008252E"/>
    <w:rsid w:val="00082889"/>
    <w:rsid w:val="00082914"/>
    <w:rsid w:val="0008309F"/>
    <w:rsid w:val="000838A2"/>
    <w:rsid w:val="00083917"/>
    <w:rsid w:val="00083CD6"/>
    <w:rsid w:val="00084187"/>
    <w:rsid w:val="00084CB1"/>
    <w:rsid w:val="00085689"/>
    <w:rsid w:val="0008568F"/>
    <w:rsid w:val="00085E80"/>
    <w:rsid w:val="0008745F"/>
    <w:rsid w:val="000908D6"/>
    <w:rsid w:val="0009125C"/>
    <w:rsid w:val="000913AD"/>
    <w:rsid w:val="000918D7"/>
    <w:rsid w:val="00091F49"/>
    <w:rsid w:val="0009214D"/>
    <w:rsid w:val="00093051"/>
    <w:rsid w:val="000935F8"/>
    <w:rsid w:val="000938C5"/>
    <w:rsid w:val="00093B56"/>
    <w:rsid w:val="00093F02"/>
    <w:rsid w:val="000948CF"/>
    <w:rsid w:val="00094A84"/>
    <w:rsid w:val="00094F27"/>
    <w:rsid w:val="0009521E"/>
    <w:rsid w:val="00095E8A"/>
    <w:rsid w:val="00096627"/>
    <w:rsid w:val="00096B2D"/>
    <w:rsid w:val="00096B35"/>
    <w:rsid w:val="00097170"/>
    <w:rsid w:val="00097538"/>
    <w:rsid w:val="00097763"/>
    <w:rsid w:val="000979B3"/>
    <w:rsid w:val="00097BCF"/>
    <w:rsid w:val="00097C1B"/>
    <w:rsid w:val="000A0179"/>
    <w:rsid w:val="000A04B4"/>
    <w:rsid w:val="000A055B"/>
    <w:rsid w:val="000A059B"/>
    <w:rsid w:val="000A05D6"/>
    <w:rsid w:val="000A09AD"/>
    <w:rsid w:val="000A0D74"/>
    <w:rsid w:val="000A1512"/>
    <w:rsid w:val="000A15E4"/>
    <w:rsid w:val="000A16B0"/>
    <w:rsid w:val="000A2315"/>
    <w:rsid w:val="000A28BD"/>
    <w:rsid w:val="000A2A90"/>
    <w:rsid w:val="000A2C62"/>
    <w:rsid w:val="000A2E96"/>
    <w:rsid w:val="000A30F9"/>
    <w:rsid w:val="000A3721"/>
    <w:rsid w:val="000A3841"/>
    <w:rsid w:val="000A3B01"/>
    <w:rsid w:val="000A4744"/>
    <w:rsid w:val="000A51F3"/>
    <w:rsid w:val="000A5E67"/>
    <w:rsid w:val="000A5EBD"/>
    <w:rsid w:val="000A6267"/>
    <w:rsid w:val="000A6592"/>
    <w:rsid w:val="000A6C89"/>
    <w:rsid w:val="000A719A"/>
    <w:rsid w:val="000A73D0"/>
    <w:rsid w:val="000A73DC"/>
    <w:rsid w:val="000A7418"/>
    <w:rsid w:val="000A75EE"/>
    <w:rsid w:val="000A7E08"/>
    <w:rsid w:val="000B00B4"/>
    <w:rsid w:val="000B012B"/>
    <w:rsid w:val="000B0536"/>
    <w:rsid w:val="000B06A6"/>
    <w:rsid w:val="000B0959"/>
    <w:rsid w:val="000B0A6B"/>
    <w:rsid w:val="000B11F1"/>
    <w:rsid w:val="000B167B"/>
    <w:rsid w:val="000B1B52"/>
    <w:rsid w:val="000B20BF"/>
    <w:rsid w:val="000B22C0"/>
    <w:rsid w:val="000B2568"/>
    <w:rsid w:val="000B271B"/>
    <w:rsid w:val="000B2D62"/>
    <w:rsid w:val="000B2DE7"/>
    <w:rsid w:val="000B3831"/>
    <w:rsid w:val="000B3DC1"/>
    <w:rsid w:val="000B3EA4"/>
    <w:rsid w:val="000B3FB6"/>
    <w:rsid w:val="000B402E"/>
    <w:rsid w:val="000B40D6"/>
    <w:rsid w:val="000B44D9"/>
    <w:rsid w:val="000B46C3"/>
    <w:rsid w:val="000B4CFC"/>
    <w:rsid w:val="000B5144"/>
    <w:rsid w:val="000B5240"/>
    <w:rsid w:val="000B547C"/>
    <w:rsid w:val="000B5504"/>
    <w:rsid w:val="000B561E"/>
    <w:rsid w:val="000B5EA3"/>
    <w:rsid w:val="000B669C"/>
    <w:rsid w:val="000B6BF6"/>
    <w:rsid w:val="000B7CAB"/>
    <w:rsid w:val="000B7CC2"/>
    <w:rsid w:val="000C005D"/>
    <w:rsid w:val="000C015B"/>
    <w:rsid w:val="000C0411"/>
    <w:rsid w:val="000C0A3E"/>
    <w:rsid w:val="000C27FF"/>
    <w:rsid w:val="000C2888"/>
    <w:rsid w:val="000C2CCC"/>
    <w:rsid w:val="000C2CD8"/>
    <w:rsid w:val="000C33EB"/>
    <w:rsid w:val="000C3B79"/>
    <w:rsid w:val="000C3C38"/>
    <w:rsid w:val="000C41E0"/>
    <w:rsid w:val="000C41F9"/>
    <w:rsid w:val="000C4231"/>
    <w:rsid w:val="000C436A"/>
    <w:rsid w:val="000C4E6D"/>
    <w:rsid w:val="000C55BE"/>
    <w:rsid w:val="000C57F2"/>
    <w:rsid w:val="000C6231"/>
    <w:rsid w:val="000C707C"/>
    <w:rsid w:val="000C7611"/>
    <w:rsid w:val="000D050A"/>
    <w:rsid w:val="000D0526"/>
    <w:rsid w:val="000D06EA"/>
    <w:rsid w:val="000D0CA4"/>
    <w:rsid w:val="000D1A7B"/>
    <w:rsid w:val="000D1E7B"/>
    <w:rsid w:val="000D2475"/>
    <w:rsid w:val="000D2526"/>
    <w:rsid w:val="000D2813"/>
    <w:rsid w:val="000D3282"/>
    <w:rsid w:val="000D3AE8"/>
    <w:rsid w:val="000D3B59"/>
    <w:rsid w:val="000D3D33"/>
    <w:rsid w:val="000D3E39"/>
    <w:rsid w:val="000D3F7B"/>
    <w:rsid w:val="000D42D6"/>
    <w:rsid w:val="000D464F"/>
    <w:rsid w:val="000D4EC1"/>
    <w:rsid w:val="000D6115"/>
    <w:rsid w:val="000D6DC7"/>
    <w:rsid w:val="000D703A"/>
    <w:rsid w:val="000D7202"/>
    <w:rsid w:val="000D7482"/>
    <w:rsid w:val="000D76D9"/>
    <w:rsid w:val="000D7891"/>
    <w:rsid w:val="000D7E1F"/>
    <w:rsid w:val="000E01C1"/>
    <w:rsid w:val="000E01D0"/>
    <w:rsid w:val="000E1779"/>
    <w:rsid w:val="000E1BEC"/>
    <w:rsid w:val="000E1F1D"/>
    <w:rsid w:val="000E21E5"/>
    <w:rsid w:val="000E2207"/>
    <w:rsid w:val="000E24E1"/>
    <w:rsid w:val="000E25A9"/>
    <w:rsid w:val="000E27B6"/>
    <w:rsid w:val="000E2924"/>
    <w:rsid w:val="000E2CE7"/>
    <w:rsid w:val="000E33C8"/>
    <w:rsid w:val="000E35C7"/>
    <w:rsid w:val="000E3AF5"/>
    <w:rsid w:val="000E3B96"/>
    <w:rsid w:val="000E4B54"/>
    <w:rsid w:val="000E53BD"/>
    <w:rsid w:val="000E55A2"/>
    <w:rsid w:val="000E5F4E"/>
    <w:rsid w:val="000E6684"/>
    <w:rsid w:val="000E6777"/>
    <w:rsid w:val="000E7410"/>
    <w:rsid w:val="000E7936"/>
    <w:rsid w:val="000F03BC"/>
    <w:rsid w:val="000F0A47"/>
    <w:rsid w:val="000F0CB5"/>
    <w:rsid w:val="000F0D60"/>
    <w:rsid w:val="000F147D"/>
    <w:rsid w:val="000F1A3A"/>
    <w:rsid w:val="000F1A53"/>
    <w:rsid w:val="000F1A5A"/>
    <w:rsid w:val="000F1D45"/>
    <w:rsid w:val="000F1FA4"/>
    <w:rsid w:val="000F2014"/>
    <w:rsid w:val="000F2194"/>
    <w:rsid w:val="000F24B2"/>
    <w:rsid w:val="000F306B"/>
    <w:rsid w:val="000F31D9"/>
    <w:rsid w:val="000F376E"/>
    <w:rsid w:val="000F3FC7"/>
    <w:rsid w:val="000F4A13"/>
    <w:rsid w:val="000F4CD5"/>
    <w:rsid w:val="000F5080"/>
    <w:rsid w:val="000F5216"/>
    <w:rsid w:val="000F567F"/>
    <w:rsid w:val="000F5A78"/>
    <w:rsid w:val="000F5E34"/>
    <w:rsid w:val="000F5E5F"/>
    <w:rsid w:val="000F5E8C"/>
    <w:rsid w:val="000F6801"/>
    <w:rsid w:val="000F6803"/>
    <w:rsid w:val="000F6D60"/>
    <w:rsid w:val="000F6D6B"/>
    <w:rsid w:val="000F7657"/>
    <w:rsid w:val="000F7A4B"/>
    <w:rsid w:val="000F7F8C"/>
    <w:rsid w:val="001000DA"/>
    <w:rsid w:val="00100611"/>
    <w:rsid w:val="001006AD"/>
    <w:rsid w:val="0010072A"/>
    <w:rsid w:val="001009C3"/>
    <w:rsid w:val="00100B5E"/>
    <w:rsid w:val="00101435"/>
    <w:rsid w:val="00101451"/>
    <w:rsid w:val="0010306F"/>
    <w:rsid w:val="001031FC"/>
    <w:rsid w:val="0010384A"/>
    <w:rsid w:val="00103D73"/>
    <w:rsid w:val="00103F0F"/>
    <w:rsid w:val="00104371"/>
    <w:rsid w:val="00104F66"/>
    <w:rsid w:val="001054A3"/>
    <w:rsid w:val="0010559C"/>
    <w:rsid w:val="00105C32"/>
    <w:rsid w:val="0010606F"/>
    <w:rsid w:val="0010632A"/>
    <w:rsid w:val="0010632E"/>
    <w:rsid w:val="00106A7E"/>
    <w:rsid w:val="00106A81"/>
    <w:rsid w:val="00106B89"/>
    <w:rsid w:val="00106CA2"/>
    <w:rsid w:val="001108B2"/>
    <w:rsid w:val="00110A24"/>
    <w:rsid w:val="00110A62"/>
    <w:rsid w:val="00110B1B"/>
    <w:rsid w:val="00110B5D"/>
    <w:rsid w:val="0011105B"/>
    <w:rsid w:val="0011111B"/>
    <w:rsid w:val="00111483"/>
    <w:rsid w:val="00111886"/>
    <w:rsid w:val="00111CE1"/>
    <w:rsid w:val="00112614"/>
    <w:rsid w:val="0011267E"/>
    <w:rsid w:val="0011271A"/>
    <w:rsid w:val="00112E38"/>
    <w:rsid w:val="001131AA"/>
    <w:rsid w:val="001137CE"/>
    <w:rsid w:val="00113C4C"/>
    <w:rsid w:val="00113CDC"/>
    <w:rsid w:val="00113DD9"/>
    <w:rsid w:val="0011467A"/>
    <w:rsid w:val="00114751"/>
    <w:rsid w:val="0011484F"/>
    <w:rsid w:val="001148DA"/>
    <w:rsid w:val="00114F21"/>
    <w:rsid w:val="00114F4E"/>
    <w:rsid w:val="00115310"/>
    <w:rsid w:val="00115E3D"/>
    <w:rsid w:val="00116D5E"/>
    <w:rsid w:val="001177A2"/>
    <w:rsid w:val="00117819"/>
    <w:rsid w:val="001179D3"/>
    <w:rsid w:val="00117CFE"/>
    <w:rsid w:val="00117DD6"/>
    <w:rsid w:val="00117F77"/>
    <w:rsid w:val="001202B1"/>
    <w:rsid w:val="001203C0"/>
    <w:rsid w:val="001204D7"/>
    <w:rsid w:val="0012093F"/>
    <w:rsid w:val="001210F1"/>
    <w:rsid w:val="00121248"/>
    <w:rsid w:val="00121266"/>
    <w:rsid w:val="00121268"/>
    <w:rsid w:val="001217C3"/>
    <w:rsid w:val="001219CD"/>
    <w:rsid w:val="00121E66"/>
    <w:rsid w:val="00122355"/>
    <w:rsid w:val="00122358"/>
    <w:rsid w:val="001226AD"/>
    <w:rsid w:val="00122A3C"/>
    <w:rsid w:val="00122AE8"/>
    <w:rsid w:val="00122C72"/>
    <w:rsid w:val="001230A5"/>
    <w:rsid w:val="00123733"/>
    <w:rsid w:val="00123ACC"/>
    <w:rsid w:val="00123FDE"/>
    <w:rsid w:val="00124482"/>
    <w:rsid w:val="00124611"/>
    <w:rsid w:val="00124797"/>
    <w:rsid w:val="00124C3D"/>
    <w:rsid w:val="00124D82"/>
    <w:rsid w:val="00124E8F"/>
    <w:rsid w:val="001250AF"/>
    <w:rsid w:val="001253D5"/>
    <w:rsid w:val="00125A6C"/>
    <w:rsid w:val="00125C50"/>
    <w:rsid w:val="00125F99"/>
    <w:rsid w:val="001262FB"/>
    <w:rsid w:val="001266B1"/>
    <w:rsid w:val="001269E0"/>
    <w:rsid w:val="001270B7"/>
    <w:rsid w:val="00127385"/>
    <w:rsid w:val="00127410"/>
    <w:rsid w:val="0012741A"/>
    <w:rsid w:val="00127532"/>
    <w:rsid w:val="00127D30"/>
    <w:rsid w:val="00127F2F"/>
    <w:rsid w:val="001300CB"/>
    <w:rsid w:val="00131311"/>
    <w:rsid w:val="001314EF"/>
    <w:rsid w:val="001315CE"/>
    <w:rsid w:val="0013248A"/>
    <w:rsid w:val="001325D7"/>
    <w:rsid w:val="00132744"/>
    <w:rsid w:val="00132777"/>
    <w:rsid w:val="00133770"/>
    <w:rsid w:val="00133A4B"/>
    <w:rsid w:val="00133A9C"/>
    <w:rsid w:val="00133E3D"/>
    <w:rsid w:val="0013436B"/>
    <w:rsid w:val="0013448B"/>
    <w:rsid w:val="001346B4"/>
    <w:rsid w:val="00134898"/>
    <w:rsid w:val="00134E87"/>
    <w:rsid w:val="00135A18"/>
    <w:rsid w:val="00136666"/>
    <w:rsid w:val="00136CE3"/>
    <w:rsid w:val="00136D91"/>
    <w:rsid w:val="00136EBF"/>
    <w:rsid w:val="001374EB"/>
    <w:rsid w:val="0013757A"/>
    <w:rsid w:val="001376E5"/>
    <w:rsid w:val="00137829"/>
    <w:rsid w:val="0013799D"/>
    <w:rsid w:val="0014019B"/>
    <w:rsid w:val="00140262"/>
    <w:rsid w:val="001408BD"/>
    <w:rsid w:val="001409C8"/>
    <w:rsid w:val="00140AE9"/>
    <w:rsid w:val="00140B0D"/>
    <w:rsid w:val="001418BB"/>
    <w:rsid w:val="00141F9F"/>
    <w:rsid w:val="001422E5"/>
    <w:rsid w:val="00142AFE"/>
    <w:rsid w:val="00142C15"/>
    <w:rsid w:val="00142C6C"/>
    <w:rsid w:val="00142DFF"/>
    <w:rsid w:val="00142E13"/>
    <w:rsid w:val="0014351C"/>
    <w:rsid w:val="0014395E"/>
    <w:rsid w:val="001439C8"/>
    <w:rsid w:val="00143B42"/>
    <w:rsid w:val="00143CD8"/>
    <w:rsid w:val="00144226"/>
    <w:rsid w:val="001443D1"/>
    <w:rsid w:val="00144714"/>
    <w:rsid w:val="00144766"/>
    <w:rsid w:val="001447E1"/>
    <w:rsid w:val="00145711"/>
    <w:rsid w:val="0014576E"/>
    <w:rsid w:val="001457F6"/>
    <w:rsid w:val="001459D7"/>
    <w:rsid w:val="00145BB5"/>
    <w:rsid w:val="00146CDE"/>
    <w:rsid w:val="0014701F"/>
    <w:rsid w:val="001470F1"/>
    <w:rsid w:val="001474AE"/>
    <w:rsid w:val="001474D5"/>
    <w:rsid w:val="00147B75"/>
    <w:rsid w:val="00147B9C"/>
    <w:rsid w:val="00147EC2"/>
    <w:rsid w:val="00150172"/>
    <w:rsid w:val="001501A0"/>
    <w:rsid w:val="00150BC2"/>
    <w:rsid w:val="00151043"/>
    <w:rsid w:val="00151C40"/>
    <w:rsid w:val="00151DB1"/>
    <w:rsid w:val="001522A3"/>
    <w:rsid w:val="00152DA7"/>
    <w:rsid w:val="00152F06"/>
    <w:rsid w:val="00153334"/>
    <w:rsid w:val="0015375B"/>
    <w:rsid w:val="0015388E"/>
    <w:rsid w:val="00153FD1"/>
    <w:rsid w:val="00153FDB"/>
    <w:rsid w:val="001541A8"/>
    <w:rsid w:val="001544A7"/>
    <w:rsid w:val="00154503"/>
    <w:rsid w:val="0015452B"/>
    <w:rsid w:val="00154C0E"/>
    <w:rsid w:val="00154F44"/>
    <w:rsid w:val="00155B6F"/>
    <w:rsid w:val="001562D9"/>
    <w:rsid w:val="0015661D"/>
    <w:rsid w:val="001568CE"/>
    <w:rsid w:val="00156A81"/>
    <w:rsid w:val="00156F4A"/>
    <w:rsid w:val="00157E61"/>
    <w:rsid w:val="00157E78"/>
    <w:rsid w:val="001601C2"/>
    <w:rsid w:val="00160290"/>
    <w:rsid w:val="00160ED7"/>
    <w:rsid w:val="001619E0"/>
    <w:rsid w:val="00161E60"/>
    <w:rsid w:val="001623C3"/>
    <w:rsid w:val="00162B86"/>
    <w:rsid w:val="00162E29"/>
    <w:rsid w:val="0016301C"/>
    <w:rsid w:val="0016310E"/>
    <w:rsid w:val="0016334C"/>
    <w:rsid w:val="00163536"/>
    <w:rsid w:val="00163E14"/>
    <w:rsid w:val="00164055"/>
    <w:rsid w:val="00164B4C"/>
    <w:rsid w:val="00164D40"/>
    <w:rsid w:val="0016502A"/>
    <w:rsid w:val="0016509E"/>
    <w:rsid w:val="00165678"/>
    <w:rsid w:val="00165754"/>
    <w:rsid w:val="0016579F"/>
    <w:rsid w:val="001658FA"/>
    <w:rsid w:val="00165D74"/>
    <w:rsid w:val="001664DC"/>
    <w:rsid w:val="00166B17"/>
    <w:rsid w:val="00166FEF"/>
    <w:rsid w:val="00167413"/>
    <w:rsid w:val="001676F4"/>
    <w:rsid w:val="00167865"/>
    <w:rsid w:val="00167957"/>
    <w:rsid w:val="00170713"/>
    <w:rsid w:val="00170F85"/>
    <w:rsid w:val="001715D8"/>
    <w:rsid w:val="00171FD1"/>
    <w:rsid w:val="00172031"/>
    <w:rsid w:val="00172DA4"/>
    <w:rsid w:val="00173F6E"/>
    <w:rsid w:val="001748A0"/>
    <w:rsid w:val="001756B6"/>
    <w:rsid w:val="0017570D"/>
    <w:rsid w:val="00175826"/>
    <w:rsid w:val="0017593D"/>
    <w:rsid w:val="00175B81"/>
    <w:rsid w:val="00175C26"/>
    <w:rsid w:val="00175E2D"/>
    <w:rsid w:val="00176238"/>
    <w:rsid w:val="00176368"/>
    <w:rsid w:val="00176A24"/>
    <w:rsid w:val="00176DBD"/>
    <w:rsid w:val="00176DF9"/>
    <w:rsid w:val="0017720A"/>
    <w:rsid w:val="00177415"/>
    <w:rsid w:val="00177AC3"/>
    <w:rsid w:val="00177B82"/>
    <w:rsid w:val="00180234"/>
    <w:rsid w:val="001811ED"/>
    <w:rsid w:val="0018138B"/>
    <w:rsid w:val="0018157F"/>
    <w:rsid w:val="00182759"/>
    <w:rsid w:val="0018296A"/>
    <w:rsid w:val="00182986"/>
    <w:rsid w:val="00183265"/>
    <w:rsid w:val="00183DC3"/>
    <w:rsid w:val="00183F0D"/>
    <w:rsid w:val="0018400C"/>
    <w:rsid w:val="00184D8A"/>
    <w:rsid w:val="00184FE9"/>
    <w:rsid w:val="00185004"/>
    <w:rsid w:val="001856A2"/>
    <w:rsid w:val="0018593D"/>
    <w:rsid w:val="00185D75"/>
    <w:rsid w:val="00185F4B"/>
    <w:rsid w:val="0018600C"/>
    <w:rsid w:val="0018616D"/>
    <w:rsid w:val="00186ECA"/>
    <w:rsid w:val="00187485"/>
    <w:rsid w:val="00187860"/>
    <w:rsid w:val="00187A24"/>
    <w:rsid w:val="00190073"/>
    <w:rsid w:val="00190242"/>
    <w:rsid w:val="0019095F"/>
    <w:rsid w:val="001911C7"/>
    <w:rsid w:val="001911F6"/>
    <w:rsid w:val="0019138F"/>
    <w:rsid w:val="00191688"/>
    <w:rsid w:val="0019194F"/>
    <w:rsid w:val="00191D9C"/>
    <w:rsid w:val="00192396"/>
    <w:rsid w:val="001924D8"/>
    <w:rsid w:val="00192793"/>
    <w:rsid w:val="001929A8"/>
    <w:rsid w:val="001932CF"/>
    <w:rsid w:val="00193BEE"/>
    <w:rsid w:val="001942B8"/>
    <w:rsid w:val="00194471"/>
    <w:rsid w:val="00194C55"/>
    <w:rsid w:val="00194CF5"/>
    <w:rsid w:val="0019502C"/>
    <w:rsid w:val="001952E8"/>
    <w:rsid w:val="00195EAE"/>
    <w:rsid w:val="00196016"/>
    <w:rsid w:val="00196165"/>
    <w:rsid w:val="00196393"/>
    <w:rsid w:val="00196667"/>
    <w:rsid w:val="001966C9"/>
    <w:rsid w:val="00197033"/>
    <w:rsid w:val="0019725F"/>
    <w:rsid w:val="00197717"/>
    <w:rsid w:val="001977C0"/>
    <w:rsid w:val="00197F7F"/>
    <w:rsid w:val="001A0827"/>
    <w:rsid w:val="001A08C1"/>
    <w:rsid w:val="001A0EF8"/>
    <w:rsid w:val="001A13E9"/>
    <w:rsid w:val="001A150E"/>
    <w:rsid w:val="001A18D2"/>
    <w:rsid w:val="001A245B"/>
    <w:rsid w:val="001A25AC"/>
    <w:rsid w:val="001A37A6"/>
    <w:rsid w:val="001A4197"/>
    <w:rsid w:val="001A45A0"/>
    <w:rsid w:val="001A4BB8"/>
    <w:rsid w:val="001A50A5"/>
    <w:rsid w:val="001A548E"/>
    <w:rsid w:val="001A5625"/>
    <w:rsid w:val="001A6162"/>
    <w:rsid w:val="001A7616"/>
    <w:rsid w:val="001A788D"/>
    <w:rsid w:val="001A7B61"/>
    <w:rsid w:val="001A7F0C"/>
    <w:rsid w:val="001B025E"/>
    <w:rsid w:val="001B0693"/>
    <w:rsid w:val="001B0706"/>
    <w:rsid w:val="001B0807"/>
    <w:rsid w:val="001B0F9E"/>
    <w:rsid w:val="001B101F"/>
    <w:rsid w:val="001B136D"/>
    <w:rsid w:val="001B1442"/>
    <w:rsid w:val="001B1470"/>
    <w:rsid w:val="001B1C97"/>
    <w:rsid w:val="001B1F30"/>
    <w:rsid w:val="001B2BCC"/>
    <w:rsid w:val="001B36B4"/>
    <w:rsid w:val="001B38B7"/>
    <w:rsid w:val="001B39AE"/>
    <w:rsid w:val="001B3F7F"/>
    <w:rsid w:val="001B411F"/>
    <w:rsid w:val="001B4653"/>
    <w:rsid w:val="001B4A22"/>
    <w:rsid w:val="001B4A40"/>
    <w:rsid w:val="001B58BC"/>
    <w:rsid w:val="001B5E7A"/>
    <w:rsid w:val="001B6912"/>
    <w:rsid w:val="001B7723"/>
    <w:rsid w:val="001B7979"/>
    <w:rsid w:val="001B7FBD"/>
    <w:rsid w:val="001C03D1"/>
    <w:rsid w:val="001C0AC9"/>
    <w:rsid w:val="001C0ECA"/>
    <w:rsid w:val="001C1735"/>
    <w:rsid w:val="001C1769"/>
    <w:rsid w:val="001C1C28"/>
    <w:rsid w:val="001C2125"/>
    <w:rsid w:val="001C21A0"/>
    <w:rsid w:val="001C2301"/>
    <w:rsid w:val="001C24BB"/>
    <w:rsid w:val="001C2A75"/>
    <w:rsid w:val="001C3683"/>
    <w:rsid w:val="001C37E7"/>
    <w:rsid w:val="001C4284"/>
    <w:rsid w:val="001C4299"/>
    <w:rsid w:val="001C43F5"/>
    <w:rsid w:val="001C44D3"/>
    <w:rsid w:val="001C5239"/>
    <w:rsid w:val="001C5501"/>
    <w:rsid w:val="001C58FF"/>
    <w:rsid w:val="001C591F"/>
    <w:rsid w:val="001C63D2"/>
    <w:rsid w:val="001C6526"/>
    <w:rsid w:val="001C6A87"/>
    <w:rsid w:val="001C6E3A"/>
    <w:rsid w:val="001C7078"/>
    <w:rsid w:val="001C709B"/>
    <w:rsid w:val="001C7813"/>
    <w:rsid w:val="001D1792"/>
    <w:rsid w:val="001D2509"/>
    <w:rsid w:val="001D2DA8"/>
    <w:rsid w:val="001D3116"/>
    <w:rsid w:val="001D347F"/>
    <w:rsid w:val="001D3B9E"/>
    <w:rsid w:val="001D3E83"/>
    <w:rsid w:val="001D3F6F"/>
    <w:rsid w:val="001D4A29"/>
    <w:rsid w:val="001D4F9A"/>
    <w:rsid w:val="001D5114"/>
    <w:rsid w:val="001D55F2"/>
    <w:rsid w:val="001D5C0F"/>
    <w:rsid w:val="001D5F7D"/>
    <w:rsid w:val="001D6553"/>
    <w:rsid w:val="001D65FF"/>
    <w:rsid w:val="001D686B"/>
    <w:rsid w:val="001D68CD"/>
    <w:rsid w:val="001D69FE"/>
    <w:rsid w:val="001D70F5"/>
    <w:rsid w:val="001D729D"/>
    <w:rsid w:val="001D74DB"/>
    <w:rsid w:val="001E0190"/>
    <w:rsid w:val="001E0734"/>
    <w:rsid w:val="001E0ACF"/>
    <w:rsid w:val="001E0ADE"/>
    <w:rsid w:val="001E1098"/>
    <w:rsid w:val="001E1E96"/>
    <w:rsid w:val="001E24D4"/>
    <w:rsid w:val="001E25C4"/>
    <w:rsid w:val="001E2E6F"/>
    <w:rsid w:val="001E3511"/>
    <w:rsid w:val="001E3642"/>
    <w:rsid w:val="001E3DBD"/>
    <w:rsid w:val="001E4751"/>
    <w:rsid w:val="001E4938"/>
    <w:rsid w:val="001E4CD8"/>
    <w:rsid w:val="001E4FB6"/>
    <w:rsid w:val="001E53A9"/>
    <w:rsid w:val="001E55D5"/>
    <w:rsid w:val="001E589C"/>
    <w:rsid w:val="001E6920"/>
    <w:rsid w:val="001E693A"/>
    <w:rsid w:val="001E6EC8"/>
    <w:rsid w:val="001E7905"/>
    <w:rsid w:val="001F0190"/>
    <w:rsid w:val="001F0858"/>
    <w:rsid w:val="001F0883"/>
    <w:rsid w:val="001F08A4"/>
    <w:rsid w:val="001F0A0A"/>
    <w:rsid w:val="001F0B61"/>
    <w:rsid w:val="001F0DCF"/>
    <w:rsid w:val="001F11E2"/>
    <w:rsid w:val="001F141F"/>
    <w:rsid w:val="001F14F2"/>
    <w:rsid w:val="001F1BAB"/>
    <w:rsid w:val="001F1EEE"/>
    <w:rsid w:val="001F203C"/>
    <w:rsid w:val="001F2108"/>
    <w:rsid w:val="001F2A4D"/>
    <w:rsid w:val="001F2BD3"/>
    <w:rsid w:val="001F2EA1"/>
    <w:rsid w:val="001F337E"/>
    <w:rsid w:val="001F353A"/>
    <w:rsid w:val="001F3603"/>
    <w:rsid w:val="001F386B"/>
    <w:rsid w:val="001F3D89"/>
    <w:rsid w:val="001F4052"/>
    <w:rsid w:val="001F4435"/>
    <w:rsid w:val="001F4FA9"/>
    <w:rsid w:val="001F548A"/>
    <w:rsid w:val="001F579C"/>
    <w:rsid w:val="001F58E7"/>
    <w:rsid w:val="001F5C40"/>
    <w:rsid w:val="001F5D92"/>
    <w:rsid w:val="001F5F13"/>
    <w:rsid w:val="001F668A"/>
    <w:rsid w:val="001F6AB6"/>
    <w:rsid w:val="001F6D64"/>
    <w:rsid w:val="001F765B"/>
    <w:rsid w:val="001F770A"/>
    <w:rsid w:val="00200A9D"/>
    <w:rsid w:val="00200AF5"/>
    <w:rsid w:val="00200B2E"/>
    <w:rsid w:val="00201324"/>
    <w:rsid w:val="00201841"/>
    <w:rsid w:val="0020194C"/>
    <w:rsid w:val="0020205B"/>
    <w:rsid w:val="00202C45"/>
    <w:rsid w:val="00202E4A"/>
    <w:rsid w:val="00203011"/>
    <w:rsid w:val="002031FC"/>
    <w:rsid w:val="0020332E"/>
    <w:rsid w:val="00203733"/>
    <w:rsid w:val="0020390A"/>
    <w:rsid w:val="002041DB"/>
    <w:rsid w:val="0020460C"/>
    <w:rsid w:val="00204BEB"/>
    <w:rsid w:val="00205553"/>
    <w:rsid w:val="0020587F"/>
    <w:rsid w:val="002059C8"/>
    <w:rsid w:val="00206005"/>
    <w:rsid w:val="00206928"/>
    <w:rsid w:val="00206C16"/>
    <w:rsid w:val="00206E82"/>
    <w:rsid w:val="0020726F"/>
    <w:rsid w:val="002073CA"/>
    <w:rsid w:val="002076FD"/>
    <w:rsid w:val="0020775A"/>
    <w:rsid w:val="0020777E"/>
    <w:rsid w:val="0020778C"/>
    <w:rsid w:val="00207D4E"/>
    <w:rsid w:val="00207ED2"/>
    <w:rsid w:val="00210464"/>
    <w:rsid w:val="002104A5"/>
    <w:rsid w:val="002104FF"/>
    <w:rsid w:val="00210D74"/>
    <w:rsid w:val="00211046"/>
    <w:rsid w:val="002112B2"/>
    <w:rsid w:val="00211AE6"/>
    <w:rsid w:val="00211FE8"/>
    <w:rsid w:val="002129C8"/>
    <w:rsid w:val="00212DA6"/>
    <w:rsid w:val="00213289"/>
    <w:rsid w:val="002139D9"/>
    <w:rsid w:val="00213B45"/>
    <w:rsid w:val="002147CA"/>
    <w:rsid w:val="002154DF"/>
    <w:rsid w:val="002158A2"/>
    <w:rsid w:val="00215AEB"/>
    <w:rsid w:val="00215CE4"/>
    <w:rsid w:val="00215E20"/>
    <w:rsid w:val="0021610D"/>
    <w:rsid w:val="002165C1"/>
    <w:rsid w:val="00216A8E"/>
    <w:rsid w:val="00217538"/>
    <w:rsid w:val="00217563"/>
    <w:rsid w:val="00217998"/>
    <w:rsid w:val="00217DA5"/>
    <w:rsid w:val="00217EC2"/>
    <w:rsid w:val="00220268"/>
    <w:rsid w:val="00220B8F"/>
    <w:rsid w:val="00220ED6"/>
    <w:rsid w:val="00221747"/>
    <w:rsid w:val="00221FB0"/>
    <w:rsid w:val="0022236B"/>
    <w:rsid w:val="00222411"/>
    <w:rsid w:val="0022253A"/>
    <w:rsid w:val="00222ACC"/>
    <w:rsid w:val="00222D23"/>
    <w:rsid w:val="00223B9B"/>
    <w:rsid w:val="00223E41"/>
    <w:rsid w:val="00223EC7"/>
    <w:rsid w:val="002240AD"/>
    <w:rsid w:val="002241F7"/>
    <w:rsid w:val="00224234"/>
    <w:rsid w:val="002242F0"/>
    <w:rsid w:val="0022452B"/>
    <w:rsid w:val="00224707"/>
    <w:rsid w:val="0022498F"/>
    <w:rsid w:val="00224EDC"/>
    <w:rsid w:val="00224F1D"/>
    <w:rsid w:val="00225CB2"/>
    <w:rsid w:val="002262A7"/>
    <w:rsid w:val="00227B32"/>
    <w:rsid w:val="0023007D"/>
    <w:rsid w:val="002302F5"/>
    <w:rsid w:val="00230478"/>
    <w:rsid w:val="0023084B"/>
    <w:rsid w:val="00231311"/>
    <w:rsid w:val="0023151E"/>
    <w:rsid w:val="0023219B"/>
    <w:rsid w:val="0023282F"/>
    <w:rsid w:val="00232E2E"/>
    <w:rsid w:val="00232E42"/>
    <w:rsid w:val="00233827"/>
    <w:rsid w:val="00233EB7"/>
    <w:rsid w:val="00233F42"/>
    <w:rsid w:val="00234272"/>
    <w:rsid w:val="002347C3"/>
    <w:rsid w:val="00234809"/>
    <w:rsid w:val="00234856"/>
    <w:rsid w:val="00234C2B"/>
    <w:rsid w:val="00235450"/>
    <w:rsid w:val="002359C3"/>
    <w:rsid w:val="00235ABC"/>
    <w:rsid w:val="00235C2D"/>
    <w:rsid w:val="00235CBD"/>
    <w:rsid w:val="00236737"/>
    <w:rsid w:val="00236778"/>
    <w:rsid w:val="00236E1C"/>
    <w:rsid w:val="00236F25"/>
    <w:rsid w:val="0023749F"/>
    <w:rsid w:val="002374F6"/>
    <w:rsid w:val="002375F5"/>
    <w:rsid w:val="0023766E"/>
    <w:rsid w:val="00237BD5"/>
    <w:rsid w:val="00237D72"/>
    <w:rsid w:val="00237EDD"/>
    <w:rsid w:val="00240237"/>
    <w:rsid w:val="002408BA"/>
    <w:rsid w:val="00240AE1"/>
    <w:rsid w:val="00240ED3"/>
    <w:rsid w:val="002412A2"/>
    <w:rsid w:val="00241740"/>
    <w:rsid w:val="00241810"/>
    <w:rsid w:val="002424BD"/>
    <w:rsid w:val="00242AB5"/>
    <w:rsid w:val="00242CFC"/>
    <w:rsid w:val="00242E04"/>
    <w:rsid w:val="002430F9"/>
    <w:rsid w:val="002432E0"/>
    <w:rsid w:val="00243622"/>
    <w:rsid w:val="002436B2"/>
    <w:rsid w:val="00243D2B"/>
    <w:rsid w:val="00243E8D"/>
    <w:rsid w:val="00244224"/>
    <w:rsid w:val="00244B6B"/>
    <w:rsid w:val="002454C8"/>
    <w:rsid w:val="00245790"/>
    <w:rsid w:val="00245971"/>
    <w:rsid w:val="00245CE9"/>
    <w:rsid w:val="00245E00"/>
    <w:rsid w:val="00246012"/>
    <w:rsid w:val="00247B52"/>
    <w:rsid w:val="00247E49"/>
    <w:rsid w:val="00247EB2"/>
    <w:rsid w:val="00250568"/>
    <w:rsid w:val="002507C7"/>
    <w:rsid w:val="002511AF"/>
    <w:rsid w:val="00251AF9"/>
    <w:rsid w:val="00251BF4"/>
    <w:rsid w:val="00252146"/>
    <w:rsid w:val="002525B9"/>
    <w:rsid w:val="00252B3D"/>
    <w:rsid w:val="00252BA5"/>
    <w:rsid w:val="00253077"/>
    <w:rsid w:val="00253368"/>
    <w:rsid w:val="00253DF7"/>
    <w:rsid w:val="002544FC"/>
    <w:rsid w:val="00254AB4"/>
    <w:rsid w:val="00254CA1"/>
    <w:rsid w:val="00254D73"/>
    <w:rsid w:val="00254DE3"/>
    <w:rsid w:val="0025505F"/>
    <w:rsid w:val="002550FF"/>
    <w:rsid w:val="0025523C"/>
    <w:rsid w:val="00255D7F"/>
    <w:rsid w:val="00255DD3"/>
    <w:rsid w:val="00256057"/>
    <w:rsid w:val="002560F7"/>
    <w:rsid w:val="002568FE"/>
    <w:rsid w:val="0025775A"/>
    <w:rsid w:val="002578D4"/>
    <w:rsid w:val="002579C1"/>
    <w:rsid w:val="002604DA"/>
    <w:rsid w:val="00260781"/>
    <w:rsid w:val="00260992"/>
    <w:rsid w:val="00260A76"/>
    <w:rsid w:val="00260FC1"/>
    <w:rsid w:val="002611D2"/>
    <w:rsid w:val="002614DA"/>
    <w:rsid w:val="00261BDD"/>
    <w:rsid w:val="00261C51"/>
    <w:rsid w:val="00261DCD"/>
    <w:rsid w:val="0026285F"/>
    <w:rsid w:val="00262E05"/>
    <w:rsid w:val="00262E69"/>
    <w:rsid w:val="0026369F"/>
    <w:rsid w:val="002636AB"/>
    <w:rsid w:val="0026373B"/>
    <w:rsid w:val="00263BE7"/>
    <w:rsid w:val="00264677"/>
    <w:rsid w:val="00264A62"/>
    <w:rsid w:val="00265045"/>
    <w:rsid w:val="00265096"/>
    <w:rsid w:val="0026589E"/>
    <w:rsid w:val="002659C1"/>
    <w:rsid w:val="002662BA"/>
    <w:rsid w:val="00266EB3"/>
    <w:rsid w:val="00267693"/>
    <w:rsid w:val="00267694"/>
    <w:rsid w:val="00267CB6"/>
    <w:rsid w:val="00267EF8"/>
    <w:rsid w:val="00270AC9"/>
    <w:rsid w:val="00271B90"/>
    <w:rsid w:val="00271BC9"/>
    <w:rsid w:val="00272039"/>
    <w:rsid w:val="00272184"/>
    <w:rsid w:val="00272283"/>
    <w:rsid w:val="0027244F"/>
    <w:rsid w:val="0027300A"/>
    <w:rsid w:val="00273651"/>
    <w:rsid w:val="0027369B"/>
    <w:rsid w:val="0027393A"/>
    <w:rsid w:val="00273DB4"/>
    <w:rsid w:val="00273FD5"/>
    <w:rsid w:val="00273FDB"/>
    <w:rsid w:val="0027492F"/>
    <w:rsid w:val="00274F3B"/>
    <w:rsid w:val="002753C1"/>
    <w:rsid w:val="00275624"/>
    <w:rsid w:val="0027562D"/>
    <w:rsid w:val="0027598E"/>
    <w:rsid w:val="00275B33"/>
    <w:rsid w:val="00275BCE"/>
    <w:rsid w:val="002760B0"/>
    <w:rsid w:val="0027632F"/>
    <w:rsid w:val="002766CD"/>
    <w:rsid w:val="0027678A"/>
    <w:rsid w:val="002770AD"/>
    <w:rsid w:val="00277171"/>
    <w:rsid w:val="002779C6"/>
    <w:rsid w:val="00277B3D"/>
    <w:rsid w:val="00277BAB"/>
    <w:rsid w:val="0028044C"/>
    <w:rsid w:val="0028048B"/>
    <w:rsid w:val="0028111A"/>
    <w:rsid w:val="002815F0"/>
    <w:rsid w:val="0028165D"/>
    <w:rsid w:val="002817EC"/>
    <w:rsid w:val="00281F5E"/>
    <w:rsid w:val="00282301"/>
    <w:rsid w:val="00283592"/>
    <w:rsid w:val="0028363C"/>
    <w:rsid w:val="00283E4F"/>
    <w:rsid w:val="00283FA3"/>
    <w:rsid w:val="002845AC"/>
    <w:rsid w:val="00284B07"/>
    <w:rsid w:val="00285A5B"/>
    <w:rsid w:val="00285C44"/>
    <w:rsid w:val="00285E6C"/>
    <w:rsid w:val="00285F04"/>
    <w:rsid w:val="00286C19"/>
    <w:rsid w:val="00287075"/>
    <w:rsid w:val="00287146"/>
    <w:rsid w:val="00287609"/>
    <w:rsid w:val="002878A6"/>
    <w:rsid w:val="00287D08"/>
    <w:rsid w:val="00290136"/>
    <w:rsid w:val="0029046B"/>
    <w:rsid w:val="002905D9"/>
    <w:rsid w:val="00290935"/>
    <w:rsid w:val="002913D6"/>
    <w:rsid w:val="00291BB4"/>
    <w:rsid w:val="002925DE"/>
    <w:rsid w:val="00292C66"/>
    <w:rsid w:val="0029318B"/>
    <w:rsid w:val="00293190"/>
    <w:rsid w:val="00293463"/>
    <w:rsid w:val="00293680"/>
    <w:rsid w:val="002936BD"/>
    <w:rsid w:val="002940DF"/>
    <w:rsid w:val="002942A8"/>
    <w:rsid w:val="0029457A"/>
    <w:rsid w:val="00294BC0"/>
    <w:rsid w:val="00294C41"/>
    <w:rsid w:val="0029505A"/>
    <w:rsid w:val="002958B8"/>
    <w:rsid w:val="00295F12"/>
    <w:rsid w:val="00296613"/>
    <w:rsid w:val="002972FC"/>
    <w:rsid w:val="00297462"/>
    <w:rsid w:val="00297CA9"/>
    <w:rsid w:val="00297EC6"/>
    <w:rsid w:val="002A0AED"/>
    <w:rsid w:val="002A13AD"/>
    <w:rsid w:val="002A2754"/>
    <w:rsid w:val="002A289B"/>
    <w:rsid w:val="002A307B"/>
    <w:rsid w:val="002A314B"/>
    <w:rsid w:val="002A36DE"/>
    <w:rsid w:val="002A38F1"/>
    <w:rsid w:val="002A3DA4"/>
    <w:rsid w:val="002A4235"/>
    <w:rsid w:val="002A4489"/>
    <w:rsid w:val="002A4B40"/>
    <w:rsid w:val="002A4CF9"/>
    <w:rsid w:val="002A4DF9"/>
    <w:rsid w:val="002A5358"/>
    <w:rsid w:val="002A5D8B"/>
    <w:rsid w:val="002A67CE"/>
    <w:rsid w:val="002A6829"/>
    <w:rsid w:val="002A6C11"/>
    <w:rsid w:val="002A6C41"/>
    <w:rsid w:val="002A6CDD"/>
    <w:rsid w:val="002A6FC7"/>
    <w:rsid w:val="002A7217"/>
    <w:rsid w:val="002A783B"/>
    <w:rsid w:val="002A7AC5"/>
    <w:rsid w:val="002A7DF3"/>
    <w:rsid w:val="002B00B5"/>
    <w:rsid w:val="002B0CFA"/>
    <w:rsid w:val="002B171F"/>
    <w:rsid w:val="002B1C2D"/>
    <w:rsid w:val="002B1DB7"/>
    <w:rsid w:val="002B1DE7"/>
    <w:rsid w:val="002B1F25"/>
    <w:rsid w:val="002B2336"/>
    <w:rsid w:val="002B234F"/>
    <w:rsid w:val="002B2563"/>
    <w:rsid w:val="002B25C0"/>
    <w:rsid w:val="002B2FCD"/>
    <w:rsid w:val="002B2FF1"/>
    <w:rsid w:val="002B32A8"/>
    <w:rsid w:val="002B3396"/>
    <w:rsid w:val="002B3565"/>
    <w:rsid w:val="002B407B"/>
    <w:rsid w:val="002B407C"/>
    <w:rsid w:val="002B4CAF"/>
    <w:rsid w:val="002B509A"/>
    <w:rsid w:val="002B553B"/>
    <w:rsid w:val="002B587D"/>
    <w:rsid w:val="002B58C3"/>
    <w:rsid w:val="002B5B0B"/>
    <w:rsid w:val="002B6A07"/>
    <w:rsid w:val="002B6AE7"/>
    <w:rsid w:val="002B6C6B"/>
    <w:rsid w:val="002B7092"/>
    <w:rsid w:val="002B72F5"/>
    <w:rsid w:val="002B737D"/>
    <w:rsid w:val="002B76BC"/>
    <w:rsid w:val="002B780E"/>
    <w:rsid w:val="002B78F7"/>
    <w:rsid w:val="002B7AF2"/>
    <w:rsid w:val="002B7D49"/>
    <w:rsid w:val="002B7D71"/>
    <w:rsid w:val="002C043E"/>
    <w:rsid w:val="002C04C2"/>
    <w:rsid w:val="002C09A2"/>
    <w:rsid w:val="002C13EA"/>
    <w:rsid w:val="002C1547"/>
    <w:rsid w:val="002C223F"/>
    <w:rsid w:val="002C25A0"/>
    <w:rsid w:val="002C2715"/>
    <w:rsid w:val="002C282D"/>
    <w:rsid w:val="002C296E"/>
    <w:rsid w:val="002C2E8E"/>
    <w:rsid w:val="002C321C"/>
    <w:rsid w:val="002C3384"/>
    <w:rsid w:val="002C3560"/>
    <w:rsid w:val="002C35FF"/>
    <w:rsid w:val="002C3EFD"/>
    <w:rsid w:val="002C4FEB"/>
    <w:rsid w:val="002C5235"/>
    <w:rsid w:val="002C536C"/>
    <w:rsid w:val="002C555C"/>
    <w:rsid w:val="002C5995"/>
    <w:rsid w:val="002C5DB1"/>
    <w:rsid w:val="002C5F6C"/>
    <w:rsid w:val="002C6693"/>
    <w:rsid w:val="002C729B"/>
    <w:rsid w:val="002C73EA"/>
    <w:rsid w:val="002C7FEF"/>
    <w:rsid w:val="002D04B2"/>
    <w:rsid w:val="002D06AC"/>
    <w:rsid w:val="002D0A8B"/>
    <w:rsid w:val="002D1038"/>
    <w:rsid w:val="002D10F3"/>
    <w:rsid w:val="002D1D09"/>
    <w:rsid w:val="002D1E0C"/>
    <w:rsid w:val="002D1EEC"/>
    <w:rsid w:val="002D1F56"/>
    <w:rsid w:val="002D212B"/>
    <w:rsid w:val="002D23E1"/>
    <w:rsid w:val="002D23FC"/>
    <w:rsid w:val="002D27CA"/>
    <w:rsid w:val="002D2D99"/>
    <w:rsid w:val="002D3B57"/>
    <w:rsid w:val="002D3F88"/>
    <w:rsid w:val="002D4193"/>
    <w:rsid w:val="002D4531"/>
    <w:rsid w:val="002D47E6"/>
    <w:rsid w:val="002D4B67"/>
    <w:rsid w:val="002D5353"/>
    <w:rsid w:val="002D5398"/>
    <w:rsid w:val="002D5584"/>
    <w:rsid w:val="002D5767"/>
    <w:rsid w:val="002D65F7"/>
    <w:rsid w:val="002D66F5"/>
    <w:rsid w:val="002D6A84"/>
    <w:rsid w:val="002D6B9C"/>
    <w:rsid w:val="002D6C05"/>
    <w:rsid w:val="002D70B7"/>
    <w:rsid w:val="002D7C5A"/>
    <w:rsid w:val="002E0210"/>
    <w:rsid w:val="002E0666"/>
    <w:rsid w:val="002E0CE5"/>
    <w:rsid w:val="002E18B5"/>
    <w:rsid w:val="002E18FF"/>
    <w:rsid w:val="002E2335"/>
    <w:rsid w:val="002E23C3"/>
    <w:rsid w:val="002E2FCE"/>
    <w:rsid w:val="002E3600"/>
    <w:rsid w:val="002E37F7"/>
    <w:rsid w:val="002E3891"/>
    <w:rsid w:val="002E3909"/>
    <w:rsid w:val="002E3E90"/>
    <w:rsid w:val="002E3F9E"/>
    <w:rsid w:val="002E429F"/>
    <w:rsid w:val="002E479B"/>
    <w:rsid w:val="002E4943"/>
    <w:rsid w:val="002E49CB"/>
    <w:rsid w:val="002E4E56"/>
    <w:rsid w:val="002E52CC"/>
    <w:rsid w:val="002E5808"/>
    <w:rsid w:val="002E584F"/>
    <w:rsid w:val="002E58C5"/>
    <w:rsid w:val="002E5B9E"/>
    <w:rsid w:val="002E6B7A"/>
    <w:rsid w:val="002E6DC0"/>
    <w:rsid w:val="002E7001"/>
    <w:rsid w:val="002E7991"/>
    <w:rsid w:val="002E7A32"/>
    <w:rsid w:val="002E7EE9"/>
    <w:rsid w:val="002F0A6E"/>
    <w:rsid w:val="002F0BF5"/>
    <w:rsid w:val="002F1ECC"/>
    <w:rsid w:val="002F25E9"/>
    <w:rsid w:val="002F3E23"/>
    <w:rsid w:val="002F4165"/>
    <w:rsid w:val="002F44C2"/>
    <w:rsid w:val="002F4916"/>
    <w:rsid w:val="002F4B98"/>
    <w:rsid w:val="002F4FB6"/>
    <w:rsid w:val="002F57C5"/>
    <w:rsid w:val="002F57C9"/>
    <w:rsid w:val="002F5CA3"/>
    <w:rsid w:val="002F5DE3"/>
    <w:rsid w:val="002F6632"/>
    <w:rsid w:val="002F673A"/>
    <w:rsid w:val="002F6A05"/>
    <w:rsid w:val="002F6C77"/>
    <w:rsid w:val="002F71D3"/>
    <w:rsid w:val="002F7537"/>
    <w:rsid w:val="002F76E9"/>
    <w:rsid w:val="002F7E42"/>
    <w:rsid w:val="002F7F6A"/>
    <w:rsid w:val="00300224"/>
    <w:rsid w:val="003002D2"/>
    <w:rsid w:val="003003E2"/>
    <w:rsid w:val="00300482"/>
    <w:rsid w:val="00300640"/>
    <w:rsid w:val="00300778"/>
    <w:rsid w:val="00300B22"/>
    <w:rsid w:val="0030152A"/>
    <w:rsid w:val="0030153A"/>
    <w:rsid w:val="003015B7"/>
    <w:rsid w:val="003017BE"/>
    <w:rsid w:val="00301B40"/>
    <w:rsid w:val="00301C03"/>
    <w:rsid w:val="00301EAE"/>
    <w:rsid w:val="00302572"/>
    <w:rsid w:val="003027A8"/>
    <w:rsid w:val="0030299E"/>
    <w:rsid w:val="00302A79"/>
    <w:rsid w:val="00302C18"/>
    <w:rsid w:val="00302C1B"/>
    <w:rsid w:val="00303661"/>
    <w:rsid w:val="00303961"/>
    <w:rsid w:val="00303BD5"/>
    <w:rsid w:val="00303CCE"/>
    <w:rsid w:val="00303E3A"/>
    <w:rsid w:val="00303E4B"/>
    <w:rsid w:val="003043D2"/>
    <w:rsid w:val="003044A7"/>
    <w:rsid w:val="00305AF5"/>
    <w:rsid w:val="00306030"/>
    <w:rsid w:val="00306780"/>
    <w:rsid w:val="00306796"/>
    <w:rsid w:val="00306B0C"/>
    <w:rsid w:val="00307282"/>
    <w:rsid w:val="00307581"/>
    <w:rsid w:val="00307DE3"/>
    <w:rsid w:val="00307EE7"/>
    <w:rsid w:val="00310A6E"/>
    <w:rsid w:val="00310F51"/>
    <w:rsid w:val="003114B3"/>
    <w:rsid w:val="00311AEC"/>
    <w:rsid w:val="00312073"/>
    <w:rsid w:val="00312320"/>
    <w:rsid w:val="00312916"/>
    <w:rsid w:val="00313432"/>
    <w:rsid w:val="00313587"/>
    <w:rsid w:val="00313AA4"/>
    <w:rsid w:val="003140E6"/>
    <w:rsid w:val="003142A7"/>
    <w:rsid w:val="00314485"/>
    <w:rsid w:val="003145C4"/>
    <w:rsid w:val="00314EA8"/>
    <w:rsid w:val="00315133"/>
    <w:rsid w:val="0031528F"/>
    <w:rsid w:val="0031535C"/>
    <w:rsid w:val="00315585"/>
    <w:rsid w:val="00315622"/>
    <w:rsid w:val="00315855"/>
    <w:rsid w:val="00315CFC"/>
    <w:rsid w:val="00315F65"/>
    <w:rsid w:val="00316EE5"/>
    <w:rsid w:val="003177C7"/>
    <w:rsid w:val="00317B03"/>
    <w:rsid w:val="00317B60"/>
    <w:rsid w:val="00320D1D"/>
    <w:rsid w:val="00320E0A"/>
    <w:rsid w:val="00321131"/>
    <w:rsid w:val="00321137"/>
    <w:rsid w:val="003217EF"/>
    <w:rsid w:val="00321955"/>
    <w:rsid w:val="0032260B"/>
    <w:rsid w:val="003229CA"/>
    <w:rsid w:val="00323063"/>
    <w:rsid w:val="003234E6"/>
    <w:rsid w:val="0032380A"/>
    <w:rsid w:val="00323975"/>
    <w:rsid w:val="0032407D"/>
    <w:rsid w:val="00324330"/>
    <w:rsid w:val="00324361"/>
    <w:rsid w:val="003243D5"/>
    <w:rsid w:val="0032492D"/>
    <w:rsid w:val="00324C65"/>
    <w:rsid w:val="00324E02"/>
    <w:rsid w:val="003251E1"/>
    <w:rsid w:val="00325B4F"/>
    <w:rsid w:val="00325C0C"/>
    <w:rsid w:val="003260D0"/>
    <w:rsid w:val="0032673B"/>
    <w:rsid w:val="00327052"/>
    <w:rsid w:val="00327485"/>
    <w:rsid w:val="003274B6"/>
    <w:rsid w:val="00327FD3"/>
    <w:rsid w:val="0033013A"/>
    <w:rsid w:val="00330302"/>
    <w:rsid w:val="00330504"/>
    <w:rsid w:val="00330A9E"/>
    <w:rsid w:val="00330F50"/>
    <w:rsid w:val="0033149C"/>
    <w:rsid w:val="00331509"/>
    <w:rsid w:val="0033153B"/>
    <w:rsid w:val="003316FD"/>
    <w:rsid w:val="00331705"/>
    <w:rsid w:val="003319CC"/>
    <w:rsid w:val="00332131"/>
    <w:rsid w:val="0033220C"/>
    <w:rsid w:val="00332539"/>
    <w:rsid w:val="00332796"/>
    <w:rsid w:val="003327A3"/>
    <w:rsid w:val="00332B70"/>
    <w:rsid w:val="00332CA3"/>
    <w:rsid w:val="00332CF8"/>
    <w:rsid w:val="003331F6"/>
    <w:rsid w:val="003334C7"/>
    <w:rsid w:val="003335F7"/>
    <w:rsid w:val="0033364B"/>
    <w:rsid w:val="003336C5"/>
    <w:rsid w:val="00334389"/>
    <w:rsid w:val="00334614"/>
    <w:rsid w:val="00334747"/>
    <w:rsid w:val="00334955"/>
    <w:rsid w:val="00334ED7"/>
    <w:rsid w:val="0033590D"/>
    <w:rsid w:val="00335A0C"/>
    <w:rsid w:val="00335E10"/>
    <w:rsid w:val="003363DA"/>
    <w:rsid w:val="003365F6"/>
    <w:rsid w:val="00336657"/>
    <w:rsid w:val="003368F1"/>
    <w:rsid w:val="00336A3D"/>
    <w:rsid w:val="00336F65"/>
    <w:rsid w:val="003370FB"/>
    <w:rsid w:val="00337219"/>
    <w:rsid w:val="00337980"/>
    <w:rsid w:val="00337989"/>
    <w:rsid w:val="00340C4D"/>
    <w:rsid w:val="00341DE0"/>
    <w:rsid w:val="003420E0"/>
    <w:rsid w:val="00342173"/>
    <w:rsid w:val="00342444"/>
    <w:rsid w:val="003428F3"/>
    <w:rsid w:val="00342C49"/>
    <w:rsid w:val="00342D06"/>
    <w:rsid w:val="00343B7B"/>
    <w:rsid w:val="003440FE"/>
    <w:rsid w:val="003446A9"/>
    <w:rsid w:val="003448FA"/>
    <w:rsid w:val="00344C80"/>
    <w:rsid w:val="00344D5B"/>
    <w:rsid w:val="00344FFD"/>
    <w:rsid w:val="0034574D"/>
    <w:rsid w:val="00345B5F"/>
    <w:rsid w:val="003468F1"/>
    <w:rsid w:val="00346B3F"/>
    <w:rsid w:val="00346F16"/>
    <w:rsid w:val="00346F99"/>
    <w:rsid w:val="0034750A"/>
    <w:rsid w:val="00347BA8"/>
    <w:rsid w:val="00350C48"/>
    <w:rsid w:val="00350E09"/>
    <w:rsid w:val="003511D3"/>
    <w:rsid w:val="00351B24"/>
    <w:rsid w:val="00352130"/>
    <w:rsid w:val="00352289"/>
    <w:rsid w:val="00352C21"/>
    <w:rsid w:val="00353573"/>
    <w:rsid w:val="00353707"/>
    <w:rsid w:val="0035414A"/>
    <w:rsid w:val="00354841"/>
    <w:rsid w:val="00354EFD"/>
    <w:rsid w:val="00355370"/>
    <w:rsid w:val="003555CC"/>
    <w:rsid w:val="003561B4"/>
    <w:rsid w:val="003574ED"/>
    <w:rsid w:val="003576A7"/>
    <w:rsid w:val="003576FA"/>
    <w:rsid w:val="00357F56"/>
    <w:rsid w:val="0036096A"/>
    <w:rsid w:val="00360B61"/>
    <w:rsid w:val="00360F3F"/>
    <w:rsid w:val="00361287"/>
    <w:rsid w:val="0036145D"/>
    <w:rsid w:val="00361F2F"/>
    <w:rsid w:val="00361FBC"/>
    <w:rsid w:val="003622D4"/>
    <w:rsid w:val="003628F9"/>
    <w:rsid w:val="00362D3F"/>
    <w:rsid w:val="00362E3A"/>
    <w:rsid w:val="003630B0"/>
    <w:rsid w:val="00363120"/>
    <w:rsid w:val="00363532"/>
    <w:rsid w:val="00363763"/>
    <w:rsid w:val="00363BBC"/>
    <w:rsid w:val="00364154"/>
    <w:rsid w:val="003649FB"/>
    <w:rsid w:val="00364CA5"/>
    <w:rsid w:val="00366470"/>
    <w:rsid w:val="003664CB"/>
    <w:rsid w:val="003669E5"/>
    <w:rsid w:val="00366BFC"/>
    <w:rsid w:val="00367673"/>
    <w:rsid w:val="00370617"/>
    <w:rsid w:val="00370901"/>
    <w:rsid w:val="003709D8"/>
    <w:rsid w:val="00370D02"/>
    <w:rsid w:val="00371C1B"/>
    <w:rsid w:val="00371D63"/>
    <w:rsid w:val="003728DE"/>
    <w:rsid w:val="00373317"/>
    <w:rsid w:val="0037344B"/>
    <w:rsid w:val="0037377A"/>
    <w:rsid w:val="00373994"/>
    <w:rsid w:val="00373A4D"/>
    <w:rsid w:val="00373D12"/>
    <w:rsid w:val="00374140"/>
    <w:rsid w:val="00374298"/>
    <w:rsid w:val="0037511C"/>
    <w:rsid w:val="003751ED"/>
    <w:rsid w:val="003752C3"/>
    <w:rsid w:val="003752DA"/>
    <w:rsid w:val="003752E2"/>
    <w:rsid w:val="0037615F"/>
    <w:rsid w:val="003765AD"/>
    <w:rsid w:val="00377171"/>
    <w:rsid w:val="0037763B"/>
    <w:rsid w:val="00377690"/>
    <w:rsid w:val="00377A51"/>
    <w:rsid w:val="00377E6C"/>
    <w:rsid w:val="00377F1B"/>
    <w:rsid w:val="003807EF"/>
    <w:rsid w:val="00380901"/>
    <w:rsid w:val="00380984"/>
    <w:rsid w:val="00380A99"/>
    <w:rsid w:val="00380BA7"/>
    <w:rsid w:val="003810BB"/>
    <w:rsid w:val="0038125D"/>
    <w:rsid w:val="00381327"/>
    <w:rsid w:val="00381337"/>
    <w:rsid w:val="00381D36"/>
    <w:rsid w:val="00381EF5"/>
    <w:rsid w:val="00382150"/>
    <w:rsid w:val="00382225"/>
    <w:rsid w:val="003823DC"/>
    <w:rsid w:val="0038300B"/>
    <w:rsid w:val="003832A8"/>
    <w:rsid w:val="003833EC"/>
    <w:rsid w:val="00383499"/>
    <w:rsid w:val="00383D60"/>
    <w:rsid w:val="00383FA3"/>
    <w:rsid w:val="0038434D"/>
    <w:rsid w:val="003845A7"/>
    <w:rsid w:val="003846E5"/>
    <w:rsid w:val="003857BF"/>
    <w:rsid w:val="00385DC0"/>
    <w:rsid w:val="003866A9"/>
    <w:rsid w:val="003868F9"/>
    <w:rsid w:val="00386C52"/>
    <w:rsid w:val="00386CB8"/>
    <w:rsid w:val="00386DE5"/>
    <w:rsid w:val="003870F1"/>
    <w:rsid w:val="00387788"/>
    <w:rsid w:val="00387B23"/>
    <w:rsid w:val="00387F59"/>
    <w:rsid w:val="003901B7"/>
    <w:rsid w:val="00390F45"/>
    <w:rsid w:val="00391137"/>
    <w:rsid w:val="00391E78"/>
    <w:rsid w:val="00391F27"/>
    <w:rsid w:val="003920B2"/>
    <w:rsid w:val="00392E40"/>
    <w:rsid w:val="0039318E"/>
    <w:rsid w:val="00393205"/>
    <w:rsid w:val="003936CD"/>
    <w:rsid w:val="003938BA"/>
    <w:rsid w:val="0039396D"/>
    <w:rsid w:val="00393EA9"/>
    <w:rsid w:val="00394109"/>
    <w:rsid w:val="003947B8"/>
    <w:rsid w:val="00395181"/>
    <w:rsid w:val="003960AD"/>
    <w:rsid w:val="003963F7"/>
    <w:rsid w:val="003964CC"/>
    <w:rsid w:val="00396652"/>
    <w:rsid w:val="0039686E"/>
    <w:rsid w:val="003973A1"/>
    <w:rsid w:val="00397703"/>
    <w:rsid w:val="0039796C"/>
    <w:rsid w:val="00397E67"/>
    <w:rsid w:val="00397F27"/>
    <w:rsid w:val="003A0227"/>
    <w:rsid w:val="003A024F"/>
    <w:rsid w:val="003A036C"/>
    <w:rsid w:val="003A038B"/>
    <w:rsid w:val="003A054A"/>
    <w:rsid w:val="003A058B"/>
    <w:rsid w:val="003A07AC"/>
    <w:rsid w:val="003A0F29"/>
    <w:rsid w:val="003A13C5"/>
    <w:rsid w:val="003A1988"/>
    <w:rsid w:val="003A1F80"/>
    <w:rsid w:val="003A2A8A"/>
    <w:rsid w:val="003A2A8F"/>
    <w:rsid w:val="003A2B1C"/>
    <w:rsid w:val="003A2BFD"/>
    <w:rsid w:val="003A2D2C"/>
    <w:rsid w:val="003A34C6"/>
    <w:rsid w:val="003A37BF"/>
    <w:rsid w:val="003A3AE7"/>
    <w:rsid w:val="003A3B9B"/>
    <w:rsid w:val="003A444D"/>
    <w:rsid w:val="003A4505"/>
    <w:rsid w:val="003A5365"/>
    <w:rsid w:val="003A546D"/>
    <w:rsid w:val="003A634F"/>
    <w:rsid w:val="003A64FA"/>
    <w:rsid w:val="003A6CE9"/>
    <w:rsid w:val="003A6D48"/>
    <w:rsid w:val="003A7910"/>
    <w:rsid w:val="003A79F1"/>
    <w:rsid w:val="003A7D28"/>
    <w:rsid w:val="003A7D9F"/>
    <w:rsid w:val="003A7FBC"/>
    <w:rsid w:val="003B0339"/>
    <w:rsid w:val="003B0406"/>
    <w:rsid w:val="003B061E"/>
    <w:rsid w:val="003B06BF"/>
    <w:rsid w:val="003B0724"/>
    <w:rsid w:val="003B12B7"/>
    <w:rsid w:val="003B148C"/>
    <w:rsid w:val="003B1774"/>
    <w:rsid w:val="003B2E3A"/>
    <w:rsid w:val="003B32F7"/>
    <w:rsid w:val="003B3E59"/>
    <w:rsid w:val="003B430A"/>
    <w:rsid w:val="003B4465"/>
    <w:rsid w:val="003B47B2"/>
    <w:rsid w:val="003B482F"/>
    <w:rsid w:val="003B4987"/>
    <w:rsid w:val="003B4BE8"/>
    <w:rsid w:val="003B4E07"/>
    <w:rsid w:val="003B5119"/>
    <w:rsid w:val="003B53AB"/>
    <w:rsid w:val="003B53CC"/>
    <w:rsid w:val="003B5AD3"/>
    <w:rsid w:val="003B5DE9"/>
    <w:rsid w:val="003B5FA4"/>
    <w:rsid w:val="003B61E9"/>
    <w:rsid w:val="003B6345"/>
    <w:rsid w:val="003B6539"/>
    <w:rsid w:val="003B6F54"/>
    <w:rsid w:val="003B712E"/>
    <w:rsid w:val="003B735C"/>
    <w:rsid w:val="003B7430"/>
    <w:rsid w:val="003B7EC7"/>
    <w:rsid w:val="003C0482"/>
    <w:rsid w:val="003C05CC"/>
    <w:rsid w:val="003C091E"/>
    <w:rsid w:val="003C09E7"/>
    <w:rsid w:val="003C0A7D"/>
    <w:rsid w:val="003C0BED"/>
    <w:rsid w:val="003C16C4"/>
    <w:rsid w:val="003C18AD"/>
    <w:rsid w:val="003C20D3"/>
    <w:rsid w:val="003C217F"/>
    <w:rsid w:val="003C2217"/>
    <w:rsid w:val="003C2AA7"/>
    <w:rsid w:val="003C2E9B"/>
    <w:rsid w:val="003C3368"/>
    <w:rsid w:val="003C38BD"/>
    <w:rsid w:val="003C3A14"/>
    <w:rsid w:val="003C3BC2"/>
    <w:rsid w:val="003C3C33"/>
    <w:rsid w:val="003C3F27"/>
    <w:rsid w:val="003C4209"/>
    <w:rsid w:val="003C474B"/>
    <w:rsid w:val="003C5099"/>
    <w:rsid w:val="003C50AA"/>
    <w:rsid w:val="003C51C7"/>
    <w:rsid w:val="003C5AF6"/>
    <w:rsid w:val="003C5C56"/>
    <w:rsid w:val="003C62D6"/>
    <w:rsid w:val="003C673F"/>
    <w:rsid w:val="003C6B7E"/>
    <w:rsid w:val="003C71FE"/>
    <w:rsid w:val="003C7B87"/>
    <w:rsid w:val="003D0360"/>
    <w:rsid w:val="003D0CA7"/>
    <w:rsid w:val="003D1288"/>
    <w:rsid w:val="003D12AE"/>
    <w:rsid w:val="003D142B"/>
    <w:rsid w:val="003D1E04"/>
    <w:rsid w:val="003D25C4"/>
    <w:rsid w:val="003D2C4D"/>
    <w:rsid w:val="003D3447"/>
    <w:rsid w:val="003D3468"/>
    <w:rsid w:val="003D357E"/>
    <w:rsid w:val="003D3695"/>
    <w:rsid w:val="003D3F0D"/>
    <w:rsid w:val="003D4055"/>
    <w:rsid w:val="003D4483"/>
    <w:rsid w:val="003D4C15"/>
    <w:rsid w:val="003D4DC8"/>
    <w:rsid w:val="003D545B"/>
    <w:rsid w:val="003D5476"/>
    <w:rsid w:val="003D5A45"/>
    <w:rsid w:val="003D5EA3"/>
    <w:rsid w:val="003D6113"/>
    <w:rsid w:val="003D6245"/>
    <w:rsid w:val="003D6A16"/>
    <w:rsid w:val="003D6AA6"/>
    <w:rsid w:val="003D75A3"/>
    <w:rsid w:val="003D7644"/>
    <w:rsid w:val="003D76D7"/>
    <w:rsid w:val="003D7ECF"/>
    <w:rsid w:val="003D7EE9"/>
    <w:rsid w:val="003E0B36"/>
    <w:rsid w:val="003E0E29"/>
    <w:rsid w:val="003E106A"/>
    <w:rsid w:val="003E13A8"/>
    <w:rsid w:val="003E1E9A"/>
    <w:rsid w:val="003E22D4"/>
    <w:rsid w:val="003E24BD"/>
    <w:rsid w:val="003E2C4B"/>
    <w:rsid w:val="003E313F"/>
    <w:rsid w:val="003E3643"/>
    <w:rsid w:val="003E39F6"/>
    <w:rsid w:val="003E3E59"/>
    <w:rsid w:val="003E4332"/>
    <w:rsid w:val="003E514F"/>
    <w:rsid w:val="003E5442"/>
    <w:rsid w:val="003E5AAB"/>
    <w:rsid w:val="003E6066"/>
    <w:rsid w:val="003E60CA"/>
    <w:rsid w:val="003E6458"/>
    <w:rsid w:val="003E690B"/>
    <w:rsid w:val="003E6917"/>
    <w:rsid w:val="003E6A4C"/>
    <w:rsid w:val="003E6C92"/>
    <w:rsid w:val="003E6CA0"/>
    <w:rsid w:val="003E724B"/>
    <w:rsid w:val="003E7618"/>
    <w:rsid w:val="003E7784"/>
    <w:rsid w:val="003F0989"/>
    <w:rsid w:val="003F0C86"/>
    <w:rsid w:val="003F1131"/>
    <w:rsid w:val="003F13AC"/>
    <w:rsid w:val="003F1523"/>
    <w:rsid w:val="003F168A"/>
    <w:rsid w:val="003F183B"/>
    <w:rsid w:val="003F1886"/>
    <w:rsid w:val="003F19DB"/>
    <w:rsid w:val="003F1A89"/>
    <w:rsid w:val="003F2934"/>
    <w:rsid w:val="003F2D3A"/>
    <w:rsid w:val="003F2ECC"/>
    <w:rsid w:val="003F2EDD"/>
    <w:rsid w:val="003F36B9"/>
    <w:rsid w:val="003F385A"/>
    <w:rsid w:val="003F3912"/>
    <w:rsid w:val="003F44F5"/>
    <w:rsid w:val="003F4A93"/>
    <w:rsid w:val="003F4DE2"/>
    <w:rsid w:val="003F4E79"/>
    <w:rsid w:val="003F524E"/>
    <w:rsid w:val="003F5644"/>
    <w:rsid w:val="003F5720"/>
    <w:rsid w:val="003F5AAB"/>
    <w:rsid w:val="003F5C95"/>
    <w:rsid w:val="003F6017"/>
    <w:rsid w:val="003F635B"/>
    <w:rsid w:val="003F6842"/>
    <w:rsid w:val="003F6B4D"/>
    <w:rsid w:val="003F6E4F"/>
    <w:rsid w:val="003F7913"/>
    <w:rsid w:val="003F7B68"/>
    <w:rsid w:val="003F7E66"/>
    <w:rsid w:val="004002A8"/>
    <w:rsid w:val="00400760"/>
    <w:rsid w:val="00400A90"/>
    <w:rsid w:val="0040102D"/>
    <w:rsid w:val="004010B3"/>
    <w:rsid w:val="00401465"/>
    <w:rsid w:val="00401E9C"/>
    <w:rsid w:val="00402188"/>
    <w:rsid w:val="0040281F"/>
    <w:rsid w:val="004028EE"/>
    <w:rsid w:val="00402AAA"/>
    <w:rsid w:val="00402F90"/>
    <w:rsid w:val="00403185"/>
    <w:rsid w:val="00404F28"/>
    <w:rsid w:val="00405163"/>
    <w:rsid w:val="004053B7"/>
    <w:rsid w:val="00405498"/>
    <w:rsid w:val="0040572F"/>
    <w:rsid w:val="00405BA7"/>
    <w:rsid w:val="00405BAA"/>
    <w:rsid w:val="004062FF"/>
    <w:rsid w:val="0040631B"/>
    <w:rsid w:val="00406554"/>
    <w:rsid w:val="00406619"/>
    <w:rsid w:val="004066D2"/>
    <w:rsid w:val="004068A4"/>
    <w:rsid w:val="00406C2B"/>
    <w:rsid w:val="00406E30"/>
    <w:rsid w:val="004070DD"/>
    <w:rsid w:val="004072DB"/>
    <w:rsid w:val="0040753A"/>
    <w:rsid w:val="0040757B"/>
    <w:rsid w:val="004077EE"/>
    <w:rsid w:val="00407A8B"/>
    <w:rsid w:val="00407C9B"/>
    <w:rsid w:val="0041001A"/>
    <w:rsid w:val="00410504"/>
    <w:rsid w:val="00410A0F"/>
    <w:rsid w:val="00410BB0"/>
    <w:rsid w:val="00410E71"/>
    <w:rsid w:val="004113E2"/>
    <w:rsid w:val="00411F52"/>
    <w:rsid w:val="00412245"/>
    <w:rsid w:val="004122D4"/>
    <w:rsid w:val="0041287F"/>
    <w:rsid w:val="00412DE8"/>
    <w:rsid w:val="00413316"/>
    <w:rsid w:val="004133CE"/>
    <w:rsid w:val="004134DF"/>
    <w:rsid w:val="0041360B"/>
    <w:rsid w:val="004143E5"/>
    <w:rsid w:val="0041469A"/>
    <w:rsid w:val="0041497A"/>
    <w:rsid w:val="00414B82"/>
    <w:rsid w:val="00415C01"/>
    <w:rsid w:val="00415FBA"/>
    <w:rsid w:val="004162D7"/>
    <w:rsid w:val="004166A0"/>
    <w:rsid w:val="0041692C"/>
    <w:rsid w:val="00416A93"/>
    <w:rsid w:val="00416BD8"/>
    <w:rsid w:val="004179D0"/>
    <w:rsid w:val="00417A6D"/>
    <w:rsid w:val="004200B0"/>
    <w:rsid w:val="00420664"/>
    <w:rsid w:val="00420A87"/>
    <w:rsid w:val="00420B15"/>
    <w:rsid w:val="00420C24"/>
    <w:rsid w:val="00420DCE"/>
    <w:rsid w:val="00420E5E"/>
    <w:rsid w:val="004212F0"/>
    <w:rsid w:val="00421799"/>
    <w:rsid w:val="0042191F"/>
    <w:rsid w:val="00421F78"/>
    <w:rsid w:val="00422267"/>
    <w:rsid w:val="0042227F"/>
    <w:rsid w:val="00422E51"/>
    <w:rsid w:val="0042317C"/>
    <w:rsid w:val="00423925"/>
    <w:rsid w:val="00423F52"/>
    <w:rsid w:val="00423FEB"/>
    <w:rsid w:val="00424A25"/>
    <w:rsid w:val="004250A5"/>
    <w:rsid w:val="00425CF9"/>
    <w:rsid w:val="00425FF4"/>
    <w:rsid w:val="0042629F"/>
    <w:rsid w:val="00426930"/>
    <w:rsid w:val="004269D5"/>
    <w:rsid w:val="0042706D"/>
    <w:rsid w:val="004270FD"/>
    <w:rsid w:val="004271D5"/>
    <w:rsid w:val="00427261"/>
    <w:rsid w:val="004272B9"/>
    <w:rsid w:val="004273F5"/>
    <w:rsid w:val="004277BC"/>
    <w:rsid w:val="00427915"/>
    <w:rsid w:val="004308E9"/>
    <w:rsid w:val="00430AF9"/>
    <w:rsid w:val="00431066"/>
    <w:rsid w:val="004311F9"/>
    <w:rsid w:val="004313EF"/>
    <w:rsid w:val="00431441"/>
    <w:rsid w:val="00431F16"/>
    <w:rsid w:val="00432296"/>
    <w:rsid w:val="0043383B"/>
    <w:rsid w:val="0043384A"/>
    <w:rsid w:val="004339B7"/>
    <w:rsid w:val="00433C3F"/>
    <w:rsid w:val="00433CB8"/>
    <w:rsid w:val="00433EF9"/>
    <w:rsid w:val="00433F44"/>
    <w:rsid w:val="00433F6B"/>
    <w:rsid w:val="0043497B"/>
    <w:rsid w:val="00434B0F"/>
    <w:rsid w:val="00434B87"/>
    <w:rsid w:val="004352F3"/>
    <w:rsid w:val="0043533B"/>
    <w:rsid w:val="00435661"/>
    <w:rsid w:val="004356E2"/>
    <w:rsid w:val="00435D9E"/>
    <w:rsid w:val="00436000"/>
    <w:rsid w:val="004361BB"/>
    <w:rsid w:val="00436277"/>
    <w:rsid w:val="00436A6D"/>
    <w:rsid w:val="00436BD5"/>
    <w:rsid w:val="00436FF9"/>
    <w:rsid w:val="004373A7"/>
    <w:rsid w:val="004374CC"/>
    <w:rsid w:val="0043764E"/>
    <w:rsid w:val="00437960"/>
    <w:rsid w:val="00437972"/>
    <w:rsid w:val="004379D8"/>
    <w:rsid w:val="00437A5E"/>
    <w:rsid w:val="004400F1"/>
    <w:rsid w:val="0044019A"/>
    <w:rsid w:val="004403B8"/>
    <w:rsid w:val="00440734"/>
    <w:rsid w:val="00440870"/>
    <w:rsid w:val="0044135D"/>
    <w:rsid w:val="00441569"/>
    <w:rsid w:val="00441A0D"/>
    <w:rsid w:val="00441B87"/>
    <w:rsid w:val="004422DF"/>
    <w:rsid w:val="00442BAA"/>
    <w:rsid w:val="00442D95"/>
    <w:rsid w:val="00442FB4"/>
    <w:rsid w:val="004430B1"/>
    <w:rsid w:val="00443176"/>
    <w:rsid w:val="00443310"/>
    <w:rsid w:val="004454C2"/>
    <w:rsid w:val="00445CA0"/>
    <w:rsid w:val="00446176"/>
    <w:rsid w:val="0044618B"/>
    <w:rsid w:val="00446390"/>
    <w:rsid w:val="004464A2"/>
    <w:rsid w:val="00446920"/>
    <w:rsid w:val="00447351"/>
    <w:rsid w:val="00447B50"/>
    <w:rsid w:val="00447BD5"/>
    <w:rsid w:val="00447C55"/>
    <w:rsid w:val="0045004D"/>
    <w:rsid w:val="00450BFC"/>
    <w:rsid w:val="00450C2B"/>
    <w:rsid w:val="00450E1B"/>
    <w:rsid w:val="004512D8"/>
    <w:rsid w:val="0045153F"/>
    <w:rsid w:val="00451B45"/>
    <w:rsid w:val="00451D03"/>
    <w:rsid w:val="00451DF6"/>
    <w:rsid w:val="00451DFE"/>
    <w:rsid w:val="00452268"/>
    <w:rsid w:val="0045230A"/>
    <w:rsid w:val="00452AEA"/>
    <w:rsid w:val="00452D17"/>
    <w:rsid w:val="00452E0B"/>
    <w:rsid w:val="00453663"/>
    <w:rsid w:val="004538BB"/>
    <w:rsid w:val="00453F26"/>
    <w:rsid w:val="0045400B"/>
    <w:rsid w:val="0045406B"/>
    <w:rsid w:val="0045426D"/>
    <w:rsid w:val="0045510B"/>
    <w:rsid w:val="00455385"/>
    <w:rsid w:val="004556CC"/>
    <w:rsid w:val="0045598B"/>
    <w:rsid w:val="00455BCE"/>
    <w:rsid w:val="004561E6"/>
    <w:rsid w:val="0045626E"/>
    <w:rsid w:val="0045701C"/>
    <w:rsid w:val="0045714E"/>
    <w:rsid w:val="0045724E"/>
    <w:rsid w:val="004575A6"/>
    <w:rsid w:val="004576B7"/>
    <w:rsid w:val="004578A8"/>
    <w:rsid w:val="00457E4C"/>
    <w:rsid w:val="004606CB"/>
    <w:rsid w:val="0046109E"/>
    <w:rsid w:val="00461293"/>
    <w:rsid w:val="004613ED"/>
    <w:rsid w:val="004614C6"/>
    <w:rsid w:val="004615D2"/>
    <w:rsid w:val="004621F0"/>
    <w:rsid w:val="004623BF"/>
    <w:rsid w:val="004627AB"/>
    <w:rsid w:val="0046283F"/>
    <w:rsid w:val="00462F2F"/>
    <w:rsid w:val="004631BC"/>
    <w:rsid w:val="004634CE"/>
    <w:rsid w:val="004635A7"/>
    <w:rsid w:val="00463645"/>
    <w:rsid w:val="00463BC7"/>
    <w:rsid w:val="00463E97"/>
    <w:rsid w:val="004649D9"/>
    <w:rsid w:val="00464D36"/>
    <w:rsid w:val="00464F86"/>
    <w:rsid w:val="0046503A"/>
    <w:rsid w:val="004652D7"/>
    <w:rsid w:val="00465713"/>
    <w:rsid w:val="004659BD"/>
    <w:rsid w:val="00465F2A"/>
    <w:rsid w:val="0046684C"/>
    <w:rsid w:val="004668C7"/>
    <w:rsid w:val="00466A37"/>
    <w:rsid w:val="00466E27"/>
    <w:rsid w:val="004674B9"/>
    <w:rsid w:val="00467962"/>
    <w:rsid w:val="00467FA5"/>
    <w:rsid w:val="00471473"/>
    <w:rsid w:val="00471496"/>
    <w:rsid w:val="0047188C"/>
    <w:rsid w:val="00471D90"/>
    <w:rsid w:val="00472154"/>
    <w:rsid w:val="0047291F"/>
    <w:rsid w:val="00472D29"/>
    <w:rsid w:val="00473915"/>
    <w:rsid w:val="004741FF"/>
    <w:rsid w:val="0047431D"/>
    <w:rsid w:val="00474492"/>
    <w:rsid w:val="00474924"/>
    <w:rsid w:val="004749BC"/>
    <w:rsid w:val="00474AB4"/>
    <w:rsid w:val="00474C65"/>
    <w:rsid w:val="0047533C"/>
    <w:rsid w:val="00475575"/>
    <w:rsid w:val="00475DC7"/>
    <w:rsid w:val="00475E92"/>
    <w:rsid w:val="00476187"/>
    <w:rsid w:val="00476D9E"/>
    <w:rsid w:val="00477146"/>
    <w:rsid w:val="004772B4"/>
    <w:rsid w:val="004778C7"/>
    <w:rsid w:val="00477A42"/>
    <w:rsid w:val="0048018C"/>
    <w:rsid w:val="0048066C"/>
    <w:rsid w:val="0048087A"/>
    <w:rsid w:val="00480DA7"/>
    <w:rsid w:val="0048154D"/>
    <w:rsid w:val="0048157D"/>
    <w:rsid w:val="0048179C"/>
    <w:rsid w:val="00481A57"/>
    <w:rsid w:val="00482560"/>
    <w:rsid w:val="004825B9"/>
    <w:rsid w:val="00482A70"/>
    <w:rsid w:val="004831D6"/>
    <w:rsid w:val="0048328C"/>
    <w:rsid w:val="00483326"/>
    <w:rsid w:val="004834A7"/>
    <w:rsid w:val="00483A51"/>
    <w:rsid w:val="00483B71"/>
    <w:rsid w:val="00483D92"/>
    <w:rsid w:val="00483FCE"/>
    <w:rsid w:val="0048408A"/>
    <w:rsid w:val="004842EB"/>
    <w:rsid w:val="00484746"/>
    <w:rsid w:val="00485533"/>
    <w:rsid w:val="0048558F"/>
    <w:rsid w:val="00485759"/>
    <w:rsid w:val="00485BCA"/>
    <w:rsid w:val="00485D2C"/>
    <w:rsid w:val="00485DBF"/>
    <w:rsid w:val="0048677F"/>
    <w:rsid w:val="00486AF4"/>
    <w:rsid w:val="00486B9D"/>
    <w:rsid w:val="00486F4D"/>
    <w:rsid w:val="00487851"/>
    <w:rsid w:val="004879B6"/>
    <w:rsid w:val="00487EC0"/>
    <w:rsid w:val="00487EC7"/>
    <w:rsid w:val="00490F9B"/>
    <w:rsid w:val="00491465"/>
    <w:rsid w:val="0049165E"/>
    <w:rsid w:val="00491A11"/>
    <w:rsid w:val="004922A5"/>
    <w:rsid w:val="004925EC"/>
    <w:rsid w:val="00492C0D"/>
    <w:rsid w:val="00492CD9"/>
    <w:rsid w:val="0049412F"/>
    <w:rsid w:val="00494637"/>
    <w:rsid w:val="0049473E"/>
    <w:rsid w:val="0049493E"/>
    <w:rsid w:val="0049524F"/>
    <w:rsid w:val="004956B2"/>
    <w:rsid w:val="0049587E"/>
    <w:rsid w:val="00495986"/>
    <w:rsid w:val="00496446"/>
    <w:rsid w:val="00496465"/>
    <w:rsid w:val="00496982"/>
    <w:rsid w:val="00496A2C"/>
    <w:rsid w:val="00496C3E"/>
    <w:rsid w:val="0049713E"/>
    <w:rsid w:val="00497A05"/>
    <w:rsid w:val="004A0535"/>
    <w:rsid w:val="004A0717"/>
    <w:rsid w:val="004A07E7"/>
    <w:rsid w:val="004A0D32"/>
    <w:rsid w:val="004A0E8E"/>
    <w:rsid w:val="004A142F"/>
    <w:rsid w:val="004A200E"/>
    <w:rsid w:val="004A2164"/>
    <w:rsid w:val="004A2515"/>
    <w:rsid w:val="004A284B"/>
    <w:rsid w:val="004A2B54"/>
    <w:rsid w:val="004A2E41"/>
    <w:rsid w:val="004A30FA"/>
    <w:rsid w:val="004A324F"/>
    <w:rsid w:val="004A35BE"/>
    <w:rsid w:val="004A39FD"/>
    <w:rsid w:val="004A45E4"/>
    <w:rsid w:val="004A4A85"/>
    <w:rsid w:val="004A5164"/>
    <w:rsid w:val="004A5391"/>
    <w:rsid w:val="004A5619"/>
    <w:rsid w:val="004A5897"/>
    <w:rsid w:val="004A593E"/>
    <w:rsid w:val="004A5D61"/>
    <w:rsid w:val="004A650C"/>
    <w:rsid w:val="004A69C8"/>
    <w:rsid w:val="004A6C97"/>
    <w:rsid w:val="004A7AA8"/>
    <w:rsid w:val="004A7F29"/>
    <w:rsid w:val="004B0796"/>
    <w:rsid w:val="004B09F7"/>
    <w:rsid w:val="004B0E07"/>
    <w:rsid w:val="004B0E1F"/>
    <w:rsid w:val="004B10EC"/>
    <w:rsid w:val="004B141F"/>
    <w:rsid w:val="004B1491"/>
    <w:rsid w:val="004B16BA"/>
    <w:rsid w:val="004B1E8C"/>
    <w:rsid w:val="004B3987"/>
    <w:rsid w:val="004B3A9B"/>
    <w:rsid w:val="004B3C6B"/>
    <w:rsid w:val="004B441C"/>
    <w:rsid w:val="004B44C5"/>
    <w:rsid w:val="004B4B80"/>
    <w:rsid w:val="004B55DC"/>
    <w:rsid w:val="004B7FA5"/>
    <w:rsid w:val="004C0479"/>
    <w:rsid w:val="004C0A38"/>
    <w:rsid w:val="004C1076"/>
    <w:rsid w:val="004C112B"/>
    <w:rsid w:val="004C12BA"/>
    <w:rsid w:val="004C1649"/>
    <w:rsid w:val="004C1A1C"/>
    <w:rsid w:val="004C1AD1"/>
    <w:rsid w:val="004C1DBC"/>
    <w:rsid w:val="004C2710"/>
    <w:rsid w:val="004C37B2"/>
    <w:rsid w:val="004C398D"/>
    <w:rsid w:val="004C3ACD"/>
    <w:rsid w:val="004C3C46"/>
    <w:rsid w:val="004C402B"/>
    <w:rsid w:val="004C417C"/>
    <w:rsid w:val="004C4781"/>
    <w:rsid w:val="004C49D5"/>
    <w:rsid w:val="004C4C8A"/>
    <w:rsid w:val="004C4EE4"/>
    <w:rsid w:val="004C5315"/>
    <w:rsid w:val="004C577C"/>
    <w:rsid w:val="004C581E"/>
    <w:rsid w:val="004C5CEB"/>
    <w:rsid w:val="004C7235"/>
    <w:rsid w:val="004C72EE"/>
    <w:rsid w:val="004C7366"/>
    <w:rsid w:val="004C77E1"/>
    <w:rsid w:val="004C7F52"/>
    <w:rsid w:val="004D0374"/>
    <w:rsid w:val="004D03AF"/>
    <w:rsid w:val="004D078E"/>
    <w:rsid w:val="004D082D"/>
    <w:rsid w:val="004D09B3"/>
    <w:rsid w:val="004D0BB5"/>
    <w:rsid w:val="004D0ED6"/>
    <w:rsid w:val="004D1061"/>
    <w:rsid w:val="004D2591"/>
    <w:rsid w:val="004D2824"/>
    <w:rsid w:val="004D2B7A"/>
    <w:rsid w:val="004D2F0B"/>
    <w:rsid w:val="004D36AE"/>
    <w:rsid w:val="004D4063"/>
    <w:rsid w:val="004D4140"/>
    <w:rsid w:val="004D514B"/>
    <w:rsid w:val="004D528E"/>
    <w:rsid w:val="004D55FF"/>
    <w:rsid w:val="004D5A45"/>
    <w:rsid w:val="004D5B4D"/>
    <w:rsid w:val="004D5BFF"/>
    <w:rsid w:val="004D6506"/>
    <w:rsid w:val="004D6C28"/>
    <w:rsid w:val="004D6FAF"/>
    <w:rsid w:val="004D70A6"/>
    <w:rsid w:val="004D7FA5"/>
    <w:rsid w:val="004E0044"/>
    <w:rsid w:val="004E033D"/>
    <w:rsid w:val="004E0F6C"/>
    <w:rsid w:val="004E12DF"/>
    <w:rsid w:val="004E1600"/>
    <w:rsid w:val="004E1964"/>
    <w:rsid w:val="004E1BB8"/>
    <w:rsid w:val="004E1C8E"/>
    <w:rsid w:val="004E1D08"/>
    <w:rsid w:val="004E1D14"/>
    <w:rsid w:val="004E1F2E"/>
    <w:rsid w:val="004E2125"/>
    <w:rsid w:val="004E2475"/>
    <w:rsid w:val="004E2566"/>
    <w:rsid w:val="004E2AB6"/>
    <w:rsid w:val="004E313A"/>
    <w:rsid w:val="004E3C09"/>
    <w:rsid w:val="004E3CC5"/>
    <w:rsid w:val="004E3F91"/>
    <w:rsid w:val="004E479B"/>
    <w:rsid w:val="004E4B5E"/>
    <w:rsid w:val="004E52B6"/>
    <w:rsid w:val="004E53E9"/>
    <w:rsid w:val="004E565A"/>
    <w:rsid w:val="004E6424"/>
    <w:rsid w:val="004E6426"/>
    <w:rsid w:val="004E657B"/>
    <w:rsid w:val="004E6F7C"/>
    <w:rsid w:val="004E7C88"/>
    <w:rsid w:val="004E7CCE"/>
    <w:rsid w:val="004E7F3B"/>
    <w:rsid w:val="004F049C"/>
    <w:rsid w:val="004F07F4"/>
    <w:rsid w:val="004F091D"/>
    <w:rsid w:val="004F0A66"/>
    <w:rsid w:val="004F0C25"/>
    <w:rsid w:val="004F0D15"/>
    <w:rsid w:val="004F0DD8"/>
    <w:rsid w:val="004F1002"/>
    <w:rsid w:val="004F11A9"/>
    <w:rsid w:val="004F1382"/>
    <w:rsid w:val="004F1B1E"/>
    <w:rsid w:val="004F240B"/>
    <w:rsid w:val="004F35E0"/>
    <w:rsid w:val="004F3A12"/>
    <w:rsid w:val="004F3D42"/>
    <w:rsid w:val="004F43A1"/>
    <w:rsid w:val="004F471C"/>
    <w:rsid w:val="004F4995"/>
    <w:rsid w:val="004F5160"/>
    <w:rsid w:val="004F5D45"/>
    <w:rsid w:val="004F6035"/>
    <w:rsid w:val="004F6690"/>
    <w:rsid w:val="004F698A"/>
    <w:rsid w:val="004F6BF1"/>
    <w:rsid w:val="004F6F43"/>
    <w:rsid w:val="004F6F5E"/>
    <w:rsid w:val="004F739E"/>
    <w:rsid w:val="004F74CA"/>
    <w:rsid w:val="004F7787"/>
    <w:rsid w:val="004F79B1"/>
    <w:rsid w:val="004F7CC3"/>
    <w:rsid w:val="004F7D83"/>
    <w:rsid w:val="004F7EDF"/>
    <w:rsid w:val="00500110"/>
    <w:rsid w:val="00500799"/>
    <w:rsid w:val="00500DE8"/>
    <w:rsid w:val="00501064"/>
    <w:rsid w:val="005014FC"/>
    <w:rsid w:val="005019B5"/>
    <w:rsid w:val="005019C0"/>
    <w:rsid w:val="0050225A"/>
    <w:rsid w:val="00502D81"/>
    <w:rsid w:val="00502D90"/>
    <w:rsid w:val="00502E1D"/>
    <w:rsid w:val="00502F97"/>
    <w:rsid w:val="00503352"/>
    <w:rsid w:val="005033D8"/>
    <w:rsid w:val="00503662"/>
    <w:rsid w:val="00503CF7"/>
    <w:rsid w:val="00503F00"/>
    <w:rsid w:val="005042D3"/>
    <w:rsid w:val="00505460"/>
    <w:rsid w:val="00505CE1"/>
    <w:rsid w:val="00506058"/>
    <w:rsid w:val="00506259"/>
    <w:rsid w:val="005062DD"/>
    <w:rsid w:val="00506A1F"/>
    <w:rsid w:val="005071A3"/>
    <w:rsid w:val="005077C6"/>
    <w:rsid w:val="00507CFB"/>
    <w:rsid w:val="00510245"/>
    <w:rsid w:val="0051067C"/>
    <w:rsid w:val="00510833"/>
    <w:rsid w:val="0051089A"/>
    <w:rsid w:val="005108EF"/>
    <w:rsid w:val="00510A01"/>
    <w:rsid w:val="00511120"/>
    <w:rsid w:val="00511156"/>
    <w:rsid w:val="0051118C"/>
    <w:rsid w:val="0051138B"/>
    <w:rsid w:val="00511A66"/>
    <w:rsid w:val="00511A91"/>
    <w:rsid w:val="00512229"/>
    <w:rsid w:val="00512DFB"/>
    <w:rsid w:val="00512E08"/>
    <w:rsid w:val="005135E4"/>
    <w:rsid w:val="00513EDA"/>
    <w:rsid w:val="00513F6B"/>
    <w:rsid w:val="005142A8"/>
    <w:rsid w:val="00514425"/>
    <w:rsid w:val="00514E2D"/>
    <w:rsid w:val="00514ECF"/>
    <w:rsid w:val="00515B23"/>
    <w:rsid w:val="00515C39"/>
    <w:rsid w:val="00516381"/>
    <w:rsid w:val="00516487"/>
    <w:rsid w:val="00516C58"/>
    <w:rsid w:val="005173C0"/>
    <w:rsid w:val="00517471"/>
    <w:rsid w:val="00520415"/>
    <w:rsid w:val="005204AE"/>
    <w:rsid w:val="00520A59"/>
    <w:rsid w:val="00521232"/>
    <w:rsid w:val="00521244"/>
    <w:rsid w:val="005212C4"/>
    <w:rsid w:val="005212DC"/>
    <w:rsid w:val="0052196C"/>
    <w:rsid w:val="005219CA"/>
    <w:rsid w:val="00521BFD"/>
    <w:rsid w:val="00521DB5"/>
    <w:rsid w:val="0052239B"/>
    <w:rsid w:val="00522B13"/>
    <w:rsid w:val="00522B30"/>
    <w:rsid w:val="00522C03"/>
    <w:rsid w:val="005232B3"/>
    <w:rsid w:val="005233A5"/>
    <w:rsid w:val="00523C38"/>
    <w:rsid w:val="0052438E"/>
    <w:rsid w:val="005258FC"/>
    <w:rsid w:val="00525B0A"/>
    <w:rsid w:val="0052624A"/>
    <w:rsid w:val="00526266"/>
    <w:rsid w:val="00526493"/>
    <w:rsid w:val="00526A07"/>
    <w:rsid w:val="00526A2E"/>
    <w:rsid w:val="00526EBE"/>
    <w:rsid w:val="00527269"/>
    <w:rsid w:val="00527730"/>
    <w:rsid w:val="005302CE"/>
    <w:rsid w:val="00530BC0"/>
    <w:rsid w:val="005310F3"/>
    <w:rsid w:val="0053160A"/>
    <w:rsid w:val="00531614"/>
    <w:rsid w:val="005319CA"/>
    <w:rsid w:val="00531A3D"/>
    <w:rsid w:val="00531DE9"/>
    <w:rsid w:val="00531F4B"/>
    <w:rsid w:val="0053272A"/>
    <w:rsid w:val="0053349A"/>
    <w:rsid w:val="005334AF"/>
    <w:rsid w:val="005336D9"/>
    <w:rsid w:val="00533DD7"/>
    <w:rsid w:val="00534175"/>
    <w:rsid w:val="0053426F"/>
    <w:rsid w:val="00534527"/>
    <w:rsid w:val="0053497F"/>
    <w:rsid w:val="00534DA3"/>
    <w:rsid w:val="00534DD6"/>
    <w:rsid w:val="00535E1F"/>
    <w:rsid w:val="0053665B"/>
    <w:rsid w:val="00536848"/>
    <w:rsid w:val="00536B82"/>
    <w:rsid w:val="00536BED"/>
    <w:rsid w:val="00536DA1"/>
    <w:rsid w:val="00537024"/>
    <w:rsid w:val="0053708A"/>
    <w:rsid w:val="00537261"/>
    <w:rsid w:val="0053770A"/>
    <w:rsid w:val="005379C2"/>
    <w:rsid w:val="00537E54"/>
    <w:rsid w:val="00537E60"/>
    <w:rsid w:val="0054010B"/>
    <w:rsid w:val="005402B2"/>
    <w:rsid w:val="00540758"/>
    <w:rsid w:val="00540776"/>
    <w:rsid w:val="005407D4"/>
    <w:rsid w:val="005414E2"/>
    <w:rsid w:val="0054160D"/>
    <w:rsid w:val="005416A2"/>
    <w:rsid w:val="00541EB7"/>
    <w:rsid w:val="00542945"/>
    <w:rsid w:val="00542AD5"/>
    <w:rsid w:val="00542EDE"/>
    <w:rsid w:val="0054341E"/>
    <w:rsid w:val="00543FC2"/>
    <w:rsid w:val="00544088"/>
    <w:rsid w:val="0054433B"/>
    <w:rsid w:val="00544AD7"/>
    <w:rsid w:val="005452DF"/>
    <w:rsid w:val="0054585E"/>
    <w:rsid w:val="00545B76"/>
    <w:rsid w:val="00546073"/>
    <w:rsid w:val="0054736B"/>
    <w:rsid w:val="005478BB"/>
    <w:rsid w:val="00547BC4"/>
    <w:rsid w:val="00550BE8"/>
    <w:rsid w:val="00550C69"/>
    <w:rsid w:val="00551607"/>
    <w:rsid w:val="00552423"/>
    <w:rsid w:val="0055341D"/>
    <w:rsid w:val="005534BB"/>
    <w:rsid w:val="00553651"/>
    <w:rsid w:val="0055365C"/>
    <w:rsid w:val="00553668"/>
    <w:rsid w:val="00553ADF"/>
    <w:rsid w:val="005541D4"/>
    <w:rsid w:val="00554A10"/>
    <w:rsid w:val="005550AC"/>
    <w:rsid w:val="005565AB"/>
    <w:rsid w:val="00556A21"/>
    <w:rsid w:val="00556E29"/>
    <w:rsid w:val="00556EE7"/>
    <w:rsid w:val="0056060F"/>
    <w:rsid w:val="005613E8"/>
    <w:rsid w:val="00561486"/>
    <w:rsid w:val="0056158C"/>
    <w:rsid w:val="00561816"/>
    <w:rsid w:val="005619B2"/>
    <w:rsid w:val="00561C27"/>
    <w:rsid w:val="0056225F"/>
    <w:rsid w:val="0056255F"/>
    <w:rsid w:val="0056269B"/>
    <w:rsid w:val="0056298E"/>
    <w:rsid w:val="00562C8B"/>
    <w:rsid w:val="00563627"/>
    <w:rsid w:val="0056396A"/>
    <w:rsid w:val="005641CA"/>
    <w:rsid w:val="00564478"/>
    <w:rsid w:val="005647F9"/>
    <w:rsid w:val="00564CE1"/>
    <w:rsid w:val="00564F4B"/>
    <w:rsid w:val="00565127"/>
    <w:rsid w:val="00566671"/>
    <w:rsid w:val="00566DAC"/>
    <w:rsid w:val="00566FEA"/>
    <w:rsid w:val="005676F5"/>
    <w:rsid w:val="00567948"/>
    <w:rsid w:val="00567C79"/>
    <w:rsid w:val="00570012"/>
    <w:rsid w:val="00570018"/>
    <w:rsid w:val="005704B3"/>
    <w:rsid w:val="005705A3"/>
    <w:rsid w:val="005715BD"/>
    <w:rsid w:val="00572C10"/>
    <w:rsid w:val="00572FD2"/>
    <w:rsid w:val="005735B8"/>
    <w:rsid w:val="005735BB"/>
    <w:rsid w:val="00573ABC"/>
    <w:rsid w:val="00573EC6"/>
    <w:rsid w:val="005746CB"/>
    <w:rsid w:val="00574A48"/>
    <w:rsid w:val="00574A5F"/>
    <w:rsid w:val="00574C1C"/>
    <w:rsid w:val="00574E66"/>
    <w:rsid w:val="00575769"/>
    <w:rsid w:val="005759A1"/>
    <w:rsid w:val="00575CFA"/>
    <w:rsid w:val="00575FB3"/>
    <w:rsid w:val="005760F7"/>
    <w:rsid w:val="00576192"/>
    <w:rsid w:val="005761FD"/>
    <w:rsid w:val="00576A48"/>
    <w:rsid w:val="00576A9C"/>
    <w:rsid w:val="00576EC9"/>
    <w:rsid w:val="0057744C"/>
    <w:rsid w:val="00577475"/>
    <w:rsid w:val="005775D9"/>
    <w:rsid w:val="00577878"/>
    <w:rsid w:val="00577F44"/>
    <w:rsid w:val="00577F58"/>
    <w:rsid w:val="0058016F"/>
    <w:rsid w:val="00580227"/>
    <w:rsid w:val="00580A0D"/>
    <w:rsid w:val="00580A8D"/>
    <w:rsid w:val="00580AF4"/>
    <w:rsid w:val="00580EA8"/>
    <w:rsid w:val="00580ED7"/>
    <w:rsid w:val="00581415"/>
    <w:rsid w:val="0058158E"/>
    <w:rsid w:val="0058168F"/>
    <w:rsid w:val="00581885"/>
    <w:rsid w:val="00581978"/>
    <w:rsid w:val="00581FFE"/>
    <w:rsid w:val="0058204D"/>
    <w:rsid w:val="0058252A"/>
    <w:rsid w:val="00582C5B"/>
    <w:rsid w:val="00582EE0"/>
    <w:rsid w:val="00582FAD"/>
    <w:rsid w:val="00583129"/>
    <w:rsid w:val="005835F6"/>
    <w:rsid w:val="00583D40"/>
    <w:rsid w:val="00583E2B"/>
    <w:rsid w:val="00583E96"/>
    <w:rsid w:val="005840D6"/>
    <w:rsid w:val="00584B8F"/>
    <w:rsid w:val="00584E40"/>
    <w:rsid w:val="0058551B"/>
    <w:rsid w:val="00585C73"/>
    <w:rsid w:val="005867AE"/>
    <w:rsid w:val="00587A9A"/>
    <w:rsid w:val="00587F6A"/>
    <w:rsid w:val="00587FAB"/>
    <w:rsid w:val="0059071B"/>
    <w:rsid w:val="00590903"/>
    <w:rsid w:val="00590B1F"/>
    <w:rsid w:val="00590B89"/>
    <w:rsid w:val="00591309"/>
    <w:rsid w:val="00591420"/>
    <w:rsid w:val="005915B2"/>
    <w:rsid w:val="005915F9"/>
    <w:rsid w:val="00591CE2"/>
    <w:rsid w:val="005922AA"/>
    <w:rsid w:val="00592D66"/>
    <w:rsid w:val="00592E64"/>
    <w:rsid w:val="00593021"/>
    <w:rsid w:val="005930BC"/>
    <w:rsid w:val="005938B8"/>
    <w:rsid w:val="00594595"/>
    <w:rsid w:val="00594764"/>
    <w:rsid w:val="0059485F"/>
    <w:rsid w:val="005949B0"/>
    <w:rsid w:val="00595627"/>
    <w:rsid w:val="0059590E"/>
    <w:rsid w:val="0059613A"/>
    <w:rsid w:val="0059627F"/>
    <w:rsid w:val="0059717E"/>
    <w:rsid w:val="00597359"/>
    <w:rsid w:val="00597C8C"/>
    <w:rsid w:val="00597D3A"/>
    <w:rsid w:val="005A02B2"/>
    <w:rsid w:val="005A0352"/>
    <w:rsid w:val="005A1360"/>
    <w:rsid w:val="005A1526"/>
    <w:rsid w:val="005A15BB"/>
    <w:rsid w:val="005A15E6"/>
    <w:rsid w:val="005A1C96"/>
    <w:rsid w:val="005A21FA"/>
    <w:rsid w:val="005A24B9"/>
    <w:rsid w:val="005A274F"/>
    <w:rsid w:val="005A2951"/>
    <w:rsid w:val="005A2A5D"/>
    <w:rsid w:val="005A2CB7"/>
    <w:rsid w:val="005A3174"/>
    <w:rsid w:val="005A4144"/>
    <w:rsid w:val="005A42D6"/>
    <w:rsid w:val="005A44BF"/>
    <w:rsid w:val="005A44DD"/>
    <w:rsid w:val="005A4E7B"/>
    <w:rsid w:val="005A4E82"/>
    <w:rsid w:val="005A5248"/>
    <w:rsid w:val="005A7264"/>
    <w:rsid w:val="005A74DB"/>
    <w:rsid w:val="005A74EC"/>
    <w:rsid w:val="005A78C7"/>
    <w:rsid w:val="005A7E99"/>
    <w:rsid w:val="005B07F8"/>
    <w:rsid w:val="005B0981"/>
    <w:rsid w:val="005B1133"/>
    <w:rsid w:val="005B1263"/>
    <w:rsid w:val="005B18AD"/>
    <w:rsid w:val="005B1C39"/>
    <w:rsid w:val="005B1DA4"/>
    <w:rsid w:val="005B2177"/>
    <w:rsid w:val="005B3497"/>
    <w:rsid w:val="005B3C1F"/>
    <w:rsid w:val="005B3CA8"/>
    <w:rsid w:val="005B3D17"/>
    <w:rsid w:val="005B3DA2"/>
    <w:rsid w:val="005B4201"/>
    <w:rsid w:val="005B45D0"/>
    <w:rsid w:val="005B4997"/>
    <w:rsid w:val="005B4CFC"/>
    <w:rsid w:val="005B515B"/>
    <w:rsid w:val="005B5324"/>
    <w:rsid w:val="005B544F"/>
    <w:rsid w:val="005B57B5"/>
    <w:rsid w:val="005B587D"/>
    <w:rsid w:val="005B6242"/>
    <w:rsid w:val="005B6BDB"/>
    <w:rsid w:val="005B6CE4"/>
    <w:rsid w:val="005B6E2E"/>
    <w:rsid w:val="005B6F7A"/>
    <w:rsid w:val="005B7044"/>
    <w:rsid w:val="005B7246"/>
    <w:rsid w:val="005B72B3"/>
    <w:rsid w:val="005B7339"/>
    <w:rsid w:val="005B79F9"/>
    <w:rsid w:val="005C0642"/>
    <w:rsid w:val="005C07A1"/>
    <w:rsid w:val="005C0FC8"/>
    <w:rsid w:val="005C104B"/>
    <w:rsid w:val="005C23E4"/>
    <w:rsid w:val="005C246E"/>
    <w:rsid w:val="005C2571"/>
    <w:rsid w:val="005C2763"/>
    <w:rsid w:val="005C28E9"/>
    <w:rsid w:val="005C2AAF"/>
    <w:rsid w:val="005C2C1D"/>
    <w:rsid w:val="005C34FA"/>
    <w:rsid w:val="005C382F"/>
    <w:rsid w:val="005C3D75"/>
    <w:rsid w:val="005C4461"/>
    <w:rsid w:val="005C5186"/>
    <w:rsid w:val="005C5402"/>
    <w:rsid w:val="005C5DEF"/>
    <w:rsid w:val="005C5ECE"/>
    <w:rsid w:val="005C5ED9"/>
    <w:rsid w:val="005C6825"/>
    <w:rsid w:val="005C6B73"/>
    <w:rsid w:val="005C6BE2"/>
    <w:rsid w:val="005C7A7A"/>
    <w:rsid w:val="005D0397"/>
    <w:rsid w:val="005D0565"/>
    <w:rsid w:val="005D071D"/>
    <w:rsid w:val="005D09B8"/>
    <w:rsid w:val="005D1075"/>
    <w:rsid w:val="005D1248"/>
    <w:rsid w:val="005D1255"/>
    <w:rsid w:val="005D12C4"/>
    <w:rsid w:val="005D141F"/>
    <w:rsid w:val="005D1494"/>
    <w:rsid w:val="005D2102"/>
    <w:rsid w:val="005D2885"/>
    <w:rsid w:val="005D395A"/>
    <w:rsid w:val="005D40CF"/>
    <w:rsid w:val="005D48A2"/>
    <w:rsid w:val="005D497A"/>
    <w:rsid w:val="005D4AA8"/>
    <w:rsid w:val="005D62B3"/>
    <w:rsid w:val="005D6CC9"/>
    <w:rsid w:val="005D764B"/>
    <w:rsid w:val="005D773B"/>
    <w:rsid w:val="005E0160"/>
    <w:rsid w:val="005E03CB"/>
    <w:rsid w:val="005E0821"/>
    <w:rsid w:val="005E0A98"/>
    <w:rsid w:val="005E109D"/>
    <w:rsid w:val="005E16C9"/>
    <w:rsid w:val="005E1961"/>
    <w:rsid w:val="005E2204"/>
    <w:rsid w:val="005E25C1"/>
    <w:rsid w:val="005E2661"/>
    <w:rsid w:val="005E3167"/>
    <w:rsid w:val="005E36CC"/>
    <w:rsid w:val="005E3CB4"/>
    <w:rsid w:val="005E3E05"/>
    <w:rsid w:val="005E43AE"/>
    <w:rsid w:val="005E462C"/>
    <w:rsid w:val="005E4816"/>
    <w:rsid w:val="005E52F3"/>
    <w:rsid w:val="005E5351"/>
    <w:rsid w:val="005E542C"/>
    <w:rsid w:val="005E59CF"/>
    <w:rsid w:val="005E651B"/>
    <w:rsid w:val="005E6A00"/>
    <w:rsid w:val="005E6DD2"/>
    <w:rsid w:val="005E74A0"/>
    <w:rsid w:val="005E7D9F"/>
    <w:rsid w:val="005E7E2C"/>
    <w:rsid w:val="005E7E38"/>
    <w:rsid w:val="005E7ECE"/>
    <w:rsid w:val="005E7FAB"/>
    <w:rsid w:val="005F0BB2"/>
    <w:rsid w:val="005F0C5A"/>
    <w:rsid w:val="005F0D01"/>
    <w:rsid w:val="005F106A"/>
    <w:rsid w:val="005F1B40"/>
    <w:rsid w:val="005F1F06"/>
    <w:rsid w:val="005F2030"/>
    <w:rsid w:val="005F2104"/>
    <w:rsid w:val="005F2738"/>
    <w:rsid w:val="005F2CD9"/>
    <w:rsid w:val="005F2DD4"/>
    <w:rsid w:val="005F40BB"/>
    <w:rsid w:val="005F4CC2"/>
    <w:rsid w:val="005F4FED"/>
    <w:rsid w:val="005F551C"/>
    <w:rsid w:val="005F5CE7"/>
    <w:rsid w:val="005F5F36"/>
    <w:rsid w:val="005F618D"/>
    <w:rsid w:val="005F6B8C"/>
    <w:rsid w:val="005F6F53"/>
    <w:rsid w:val="005F73D0"/>
    <w:rsid w:val="005F7770"/>
    <w:rsid w:val="005F7C8F"/>
    <w:rsid w:val="0060043D"/>
    <w:rsid w:val="0060058E"/>
    <w:rsid w:val="006008D1"/>
    <w:rsid w:val="006009A8"/>
    <w:rsid w:val="00600A7A"/>
    <w:rsid w:val="0060128F"/>
    <w:rsid w:val="00601ECC"/>
    <w:rsid w:val="006023D9"/>
    <w:rsid w:val="0060269A"/>
    <w:rsid w:val="00602739"/>
    <w:rsid w:val="00602916"/>
    <w:rsid w:val="00602979"/>
    <w:rsid w:val="00603085"/>
    <w:rsid w:val="00603830"/>
    <w:rsid w:val="006040D0"/>
    <w:rsid w:val="00604691"/>
    <w:rsid w:val="00604976"/>
    <w:rsid w:val="00604A64"/>
    <w:rsid w:val="00604F9B"/>
    <w:rsid w:val="00605B53"/>
    <w:rsid w:val="00605F62"/>
    <w:rsid w:val="00606402"/>
    <w:rsid w:val="00606440"/>
    <w:rsid w:val="00606505"/>
    <w:rsid w:val="0060655A"/>
    <w:rsid w:val="006065E1"/>
    <w:rsid w:val="00606818"/>
    <w:rsid w:val="00606CC0"/>
    <w:rsid w:val="006071AD"/>
    <w:rsid w:val="006072AD"/>
    <w:rsid w:val="00607702"/>
    <w:rsid w:val="0060793A"/>
    <w:rsid w:val="00610620"/>
    <w:rsid w:val="0061110A"/>
    <w:rsid w:val="006112CD"/>
    <w:rsid w:val="00611A84"/>
    <w:rsid w:val="00611AEA"/>
    <w:rsid w:val="00611B10"/>
    <w:rsid w:val="00611D72"/>
    <w:rsid w:val="00611ED0"/>
    <w:rsid w:val="0061201A"/>
    <w:rsid w:val="006120DB"/>
    <w:rsid w:val="00612230"/>
    <w:rsid w:val="00612DE6"/>
    <w:rsid w:val="00612EAE"/>
    <w:rsid w:val="00613A36"/>
    <w:rsid w:val="00614254"/>
    <w:rsid w:val="00614317"/>
    <w:rsid w:val="0061433C"/>
    <w:rsid w:val="006143BD"/>
    <w:rsid w:val="0061445B"/>
    <w:rsid w:val="00614C53"/>
    <w:rsid w:val="00615263"/>
    <w:rsid w:val="0061599C"/>
    <w:rsid w:val="00615AD4"/>
    <w:rsid w:val="0061619C"/>
    <w:rsid w:val="00616282"/>
    <w:rsid w:val="00616BFE"/>
    <w:rsid w:val="00617567"/>
    <w:rsid w:val="00617C5A"/>
    <w:rsid w:val="00617D36"/>
    <w:rsid w:val="00617FA5"/>
    <w:rsid w:val="00620A75"/>
    <w:rsid w:val="00621089"/>
    <w:rsid w:val="00621407"/>
    <w:rsid w:val="00621757"/>
    <w:rsid w:val="00621D27"/>
    <w:rsid w:val="00622B92"/>
    <w:rsid w:val="00622CC0"/>
    <w:rsid w:val="00622E33"/>
    <w:rsid w:val="00622FC5"/>
    <w:rsid w:val="00623C20"/>
    <w:rsid w:val="006243D6"/>
    <w:rsid w:val="00624A25"/>
    <w:rsid w:val="00624E28"/>
    <w:rsid w:val="00624FB0"/>
    <w:rsid w:val="006254B4"/>
    <w:rsid w:val="006254FD"/>
    <w:rsid w:val="006262CF"/>
    <w:rsid w:val="006266D4"/>
    <w:rsid w:val="006266E1"/>
    <w:rsid w:val="006266FA"/>
    <w:rsid w:val="00627067"/>
    <w:rsid w:val="0062727D"/>
    <w:rsid w:val="006302E0"/>
    <w:rsid w:val="00630767"/>
    <w:rsid w:val="006307CD"/>
    <w:rsid w:val="00630E39"/>
    <w:rsid w:val="0063103F"/>
    <w:rsid w:val="0063133D"/>
    <w:rsid w:val="00631925"/>
    <w:rsid w:val="00631D9A"/>
    <w:rsid w:val="006326EA"/>
    <w:rsid w:val="006330C8"/>
    <w:rsid w:val="006331BD"/>
    <w:rsid w:val="00633361"/>
    <w:rsid w:val="0063360C"/>
    <w:rsid w:val="00633D4A"/>
    <w:rsid w:val="00634481"/>
    <w:rsid w:val="00634813"/>
    <w:rsid w:val="00634E22"/>
    <w:rsid w:val="006357F6"/>
    <w:rsid w:val="00635893"/>
    <w:rsid w:val="00635A9E"/>
    <w:rsid w:val="00635C17"/>
    <w:rsid w:val="00635FEF"/>
    <w:rsid w:val="00636354"/>
    <w:rsid w:val="00636447"/>
    <w:rsid w:val="00636A17"/>
    <w:rsid w:val="0063703B"/>
    <w:rsid w:val="006378C4"/>
    <w:rsid w:val="00640E50"/>
    <w:rsid w:val="00640EC7"/>
    <w:rsid w:val="00641975"/>
    <w:rsid w:val="00641FE4"/>
    <w:rsid w:val="006421A8"/>
    <w:rsid w:val="00642290"/>
    <w:rsid w:val="006423EC"/>
    <w:rsid w:val="00642B49"/>
    <w:rsid w:val="00642E73"/>
    <w:rsid w:val="006430E4"/>
    <w:rsid w:val="006434FB"/>
    <w:rsid w:val="00644027"/>
    <w:rsid w:val="0064428A"/>
    <w:rsid w:val="00644375"/>
    <w:rsid w:val="006444A0"/>
    <w:rsid w:val="006445F9"/>
    <w:rsid w:val="0064481A"/>
    <w:rsid w:val="00644C3A"/>
    <w:rsid w:val="00644D13"/>
    <w:rsid w:val="00645089"/>
    <w:rsid w:val="00645553"/>
    <w:rsid w:val="00645637"/>
    <w:rsid w:val="0064591A"/>
    <w:rsid w:val="00645A8E"/>
    <w:rsid w:val="00645D07"/>
    <w:rsid w:val="00645E86"/>
    <w:rsid w:val="006461A8"/>
    <w:rsid w:val="0064759D"/>
    <w:rsid w:val="00647777"/>
    <w:rsid w:val="00647AB3"/>
    <w:rsid w:val="00647AD8"/>
    <w:rsid w:val="00647D86"/>
    <w:rsid w:val="00647F59"/>
    <w:rsid w:val="00650342"/>
    <w:rsid w:val="00650640"/>
    <w:rsid w:val="00650913"/>
    <w:rsid w:val="00650D59"/>
    <w:rsid w:val="00650DF0"/>
    <w:rsid w:val="00650F92"/>
    <w:rsid w:val="00651335"/>
    <w:rsid w:val="00651BA3"/>
    <w:rsid w:val="00651DC3"/>
    <w:rsid w:val="006520DD"/>
    <w:rsid w:val="00652183"/>
    <w:rsid w:val="0065246D"/>
    <w:rsid w:val="00652794"/>
    <w:rsid w:val="0065282E"/>
    <w:rsid w:val="00652840"/>
    <w:rsid w:val="00652C32"/>
    <w:rsid w:val="00652EC9"/>
    <w:rsid w:val="00652F80"/>
    <w:rsid w:val="00653313"/>
    <w:rsid w:val="00653638"/>
    <w:rsid w:val="0065399C"/>
    <w:rsid w:val="00653DCF"/>
    <w:rsid w:val="00653F71"/>
    <w:rsid w:val="006545A2"/>
    <w:rsid w:val="0065474D"/>
    <w:rsid w:val="00654C98"/>
    <w:rsid w:val="00654F06"/>
    <w:rsid w:val="006551E1"/>
    <w:rsid w:val="00655501"/>
    <w:rsid w:val="006556BA"/>
    <w:rsid w:val="00655BFD"/>
    <w:rsid w:val="00655E3E"/>
    <w:rsid w:val="00655F1F"/>
    <w:rsid w:val="00655F4D"/>
    <w:rsid w:val="00656718"/>
    <w:rsid w:val="00656BAC"/>
    <w:rsid w:val="00657A05"/>
    <w:rsid w:val="006603A8"/>
    <w:rsid w:val="006603BD"/>
    <w:rsid w:val="00660830"/>
    <w:rsid w:val="00660AE9"/>
    <w:rsid w:val="00661178"/>
    <w:rsid w:val="006614FF"/>
    <w:rsid w:val="0066180C"/>
    <w:rsid w:val="00661C62"/>
    <w:rsid w:val="00661D3E"/>
    <w:rsid w:val="0066220E"/>
    <w:rsid w:val="00662307"/>
    <w:rsid w:val="006623B5"/>
    <w:rsid w:val="0066247E"/>
    <w:rsid w:val="0066283C"/>
    <w:rsid w:val="00662BED"/>
    <w:rsid w:val="006637E3"/>
    <w:rsid w:val="006638C7"/>
    <w:rsid w:val="00664914"/>
    <w:rsid w:val="00664BF0"/>
    <w:rsid w:val="00664C0B"/>
    <w:rsid w:val="00665A3C"/>
    <w:rsid w:val="00665D0D"/>
    <w:rsid w:val="00665E16"/>
    <w:rsid w:val="006662EB"/>
    <w:rsid w:val="006669FB"/>
    <w:rsid w:val="00666DFB"/>
    <w:rsid w:val="0066740E"/>
    <w:rsid w:val="006679B3"/>
    <w:rsid w:val="0067011C"/>
    <w:rsid w:val="00670BAB"/>
    <w:rsid w:val="00670C77"/>
    <w:rsid w:val="00670F64"/>
    <w:rsid w:val="00671260"/>
    <w:rsid w:val="006712C2"/>
    <w:rsid w:val="006712DE"/>
    <w:rsid w:val="00671492"/>
    <w:rsid w:val="006717E1"/>
    <w:rsid w:val="00671D89"/>
    <w:rsid w:val="00671FFF"/>
    <w:rsid w:val="00672399"/>
    <w:rsid w:val="0067295F"/>
    <w:rsid w:val="00672BB1"/>
    <w:rsid w:val="00672D08"/>
    <w:rsid w:val="00673B0F"/>
    <w:rsid w:val="00673B43"/>
    <w:rsid w:val="00673F70"/>
    <w:rsid w:val="00674720"/>
    <w:rsid w:val="00674C30"/>
    <w:rsid w:val="00675203"/>
    <w:rsid w:val="00675E8D"/>
    <w:rsid w:val="006760A1"/>
    <w:rsid w:val="00676B02"/>
    <w:rsid w:val="006770D4"/>
    <w:rsid w:val="006773B8"/>
    <w:rsid w:val="006773E8"/>
    <w:rsid w:val="00677CFC"/>
    <w:rsid w:val="00677D3D"/>
    <w:rsid w:val="00677DE9"/>
    <w:rsid w:val="00680CBA"/>
    <w:rsid w:val="006813EB"/>
    <w:rsid w:val="00681603"/>
    <w:rsid w:val="006817C4"/>
    <w:rsid w:val="006819A9"/>
    <w:rsid w:val="00681E17"/>
    <w:rsid w:val="00682292"/>
    <w:rsid w:val="00682478"/>
    <w:rsid w:val="006829E9"/>
    <w:rsid w:val="00682A59"/>
    <w:rsid w:val="00682BD8"/>
    <w:rsid w:val="0068306F"/>
    <w:rsid w:val="0068323C"/>
    <w:rsid w:val="0068345F"/>
    <w:rsid w:val="00683AD9"/>
    <w:rsid w:val="0068458E"/>
    <w:rsid w:val="006848E7"/>
    <w:rsid w:val="006850FB"/>
    <w:rsid w:val="006852CE"/>
    <w:rsid w:val="00685B39"/>
    <w:rsid w:val="0068664E"/>
    <w:rsid w:val="00686997"/>
    <w:rsid w:val="00686BAD"/>
    <w:rsid w:val="00686C6D"/>
    <w:rsid w:val="00687233"/>
    <w:rsid w:val="006873BE"/>
    <w:rsid w:val="006876AA"/>
    <w:rsid w:val="006903C0"/>
    <w:rsid w:val="0069052A"/>
    <w:rsid w:val="006909B7"/>
    <w:rsid w:val="00690BA0"/>
    <w:rsid w:val="00691664"/>
    <w:rsid w:val="0069186E"/>
    <w:rsid w:val="00691BD2"/>
    <w:rsid w:val="0069210E"/>
    <w:rsid w:val="00692877"/>
    <w:rsid w:val="00692E00"/>
    <w:rsid w:val="006930DF"/>
    <w:rsid w:val="00693285"/>
    <w:rsid w:val="006934CF"/>
    <w:rsid w:val="00693963"/>
    <w:rsid w:val="00693ACB"/>
    <w:rsid w:val="00693C50"/>
    <w:rsid w:val="006945EA"/>
    <w:rsid w:val="006947BD"/>
    <w:rsid w:val="006947C5"/>
    <w:rsid w:val="006947E2"/>
    <w:rsid w:val="00694A77"/>
    <w:rsid w:val="00694D4F"/>
    <w:rsid w:val="00694EFB"/>
    <w:rsid w:val="0069540B"/>
    <w:rsid w:val="006955CD"/>
    <w:rsid w:val="00696530"/>
    <w:rsid w:val="006967A1"/>
    <w:rsid w:val="0069749C"/>
    <w:rsid w:val="006979E4"/>
    <w:rsid w:val="00697AB9"/>
    <w:rsid w:val="00697EA6"/>
    <w:rsid w:val="006A0425"/>
    <w:rsid w:val="006A0FAB"/>
    <w:rsid w:val="006A14B6"/>
    <w:rsid w:val="006A1A20"/>
    <w:rsid w:val="006A2763"/>
    <w:rsid w:val="006A2DEE"/>
    <w:rsid w:val="006A3398"/>
    <w:rsid w:val="006A396B"/>
    <w:rsid w:val="006A3A4C"/>
    <w:rsid w:val="006A3A96"/>
    <w:rsid w:val="006A4025"/>
    <w:rsid w:val="006A40D7"/>
    <w:rsid w:val="006A4700"/>
    <w:rsid w:val="006A4C45"/>
    <w:rsid w:val="006A4D08"/>
    <w:rsid w:val="006A4D41"/>
    <w:rsid w:val="006A62A4"/>
    <w:rsid w:val="006A66B0"/>
    <w:rsid w:val="006A6A19"/>
    <w:rsid w:val="006A73C4"/>
    <w:rsid w:val="006A7BC9"/>
    <w:rsid w:val="006B00A9"/>
    <w:rsid w:val="006B0264"/>
    <w:rsid w:val="006B04EB"/>
    <w:rsid w:val="006B05D3"/>
    <w:rsid w:val="006B0F4B"/>
    <w:rsid w:val="006B13BB"/>
    <w:rsid w:val="006B14EB"/>
    <w:rsid w:val="006B16AB"/>
    <w:rsid w:val="006B1B43"/>
    <w:rsid w:val="006B1C34"/>
    <w:rsid w:val="006B2783"/>
    <w:rsid w:val="006B2C90"/>
    <w:rsid w:val="006B3157"/>
    <w:rsid w:val="006B36E4"/>
    <w:rsid w:val="006B38DF"/>
    <w:rsid w:val="006B41FB"/>
    <w:rsid w:val="006B4566"/>
    <w:rsid w:val="006B460D"/>
    <w:rsid w:val="006B460E"/>
    <w:rsid w:val="006B46AE"/>
    <w:rsid w:val="006B47DA"/>
    <w:rsid w:val="006B48D4"/>
    <w:rsid w:val="006B550D"/>
    <w:rsid w:val="006B5CB2"/>
    <w:rsid w:val="006B62DD"/>
    <w:rsid w:val="006B62E9"/>
    <w:rsid w:val="006B65FF"/>
    <w:rsid w:val="006B6D7C"/>
    <w:rsid w:val="006B70FB"/>
    <w:rsid w:val="006B7163"/>
    <w:rsid w:val="006B7260"/>
    <w:rsid w:val="006B77B4"/>
    <w:rsid w:val="006C04FB"/>
    <w:rsid w:val="006C08AE"/>
    <w:rsid w:val="006C0BAF"/>
    <w:rsid w:val="006C0C3D"/>
    <w:rsid w:val="006C108D"/>
    <w:rsid w:val="006C1465"/>
    <w:rsid w:val="006C15C1"/>
    <w:rsid w:val="006C162F"/>
    <w:rsid w:val="006C16EE"/>
    <w:rsid w:val="006C1C93"/>
    <w:rsid w:val="006C2524"/>
    <w:rsid w:val="006C2583"/>
    <w:rsid w:val="006C26A7"/>
    <w:rsid w:val="006C2AA5"/>
    <w:rsid w:val="006C2CEA"/>
    <w:rsid w:val="006C30E6"/>
    <w:rsid w:val="006C3273"/>
    <w:rsid w:val="006C3B7C"/>
    <w:rsid w:val="006C3D2F"/>
    <w:rsid w:val="006C457A"/>
    <w:rsid w:val="006C45E9"/>
    <w:rsid w:val="006C4C76"/>
    <w:rsid w:val="006C52DE"/>
    <w:rsid w:val="006C55AB"/>
    <w:rsid w:val="006C577B"/>
    <w:rsid w:val="006C5DF4"/>
    <w:rsid w:val="006C660C"/>
    <w:rsid w:val="006C66D5"/>
    <w:rsid w:val="006C68CD"/>
    <w:rsid w:val="006C71AB"/>
    <w:rsid w:val="006D0A00"/>
    <w:rsid w:val="006D0A6F"/>
    <w:rsid w:val="006D0E5A"/>
    <w:rsid w:val="006D0EC4"/>
    <w:rsid w:val="006D10E8"/>
    <w:rsid w:val="006D119C"/>
    <w:rsid w:val="006D2216"/>
    <w:rsid w:val="006D27E6"/>
    <w:rsid w:val="006D2A33"/>
    <w:rsid w:val="006D2EB2"/>
    <w:rsid w:val="006D3267"/>
    <w:rsid w:val="006D3855"/>
    <w:rsid w:val="006D3E6B"/>
    <w:rsid w:val="006D4804"/>
    <w:rsid w:val="006D576A"/>
    <w:rsid w:val="006D58B9"/>
    <w:rsid w:val="006D5B8A"/>
    <w:rsid w:val="006D6720"/>
    <w:rsid w:val="006D6905"/>
    <w:rsid w:val="006D6C20"/>
    <w:rsid w:val="006D6D63"/>
    <w:rsid w:val="006D71A0"/>
    <w:rsid w:val="006D756A"/>
    <w:rsid w:val="006D7C46"/>
    <w:rsid w:val="006E0006"/>
    <w:rsid w:val="006E01B1"/>
    <w:rsid w:val="006E035D"/>
    <w:rsid w:val="006E083A"/>
    <w:rsid w:val="006E0857"/>
    <w:rsid w:val="006E0861"/>
    <w:rsid w:val="006E0970"/>
    <w:rsid w:val="006E0F43"/>
    <w:rsid w:val="006E10BA"/>
    <w:rsid w:val="006E1305"/>
    <w:rsid w:val="006E2242"/>
    <w:rsid w:val="006E227F"/>
    <w:rsid w:val="006E262F"/>
    <w:rsid w:val="006E29C7"/>
    <w:rsid w:val="006E2A46"/>
    <w:rsid w:val="006E2A62"/>
    <w:rsid w:val="006E3ACC"/>
    <w:rsid w:val="006E3DCD"/>
    <w:rsid w:val="006E3F7A"/>
    <w:rsid w:val="006E4056"/>
    <w:rsid w:val="006E4181"/>
    <w:rsid w:val="006E443A"/>
    <w:rsid w:val="006E4474"/>
    <w:rsid w:val="006E4856"/>
    <w:rsid w:val="006E4D73"/>
    <w:rsid w:val="006E50C6"/>
    <w:rsid w:val="006E5453"/>
    <w:rsid w:val="006E5475"/>
    <w:rsid w:val="006E5932"/>
    <w:rsid w:val="006E5FC9"/>
    <w:rsid w:val="006E6C8C"/>
    <w:rsid w:val="006E7019"/>
    <w:rsid w:val="006E711E"/>
    <w:rsid w:val="006E71FE"/>
    <w:rsid w:val="006E77E2"/>
    <w:rsid w:val="006E7867"/>
    <w:rsid w:val="006E7900"/>
    <w:rsid w:val="006E7D6C"/>
    <w:rsid w:val="006F06E8"/>
    <w:rsid w:val="006F08C0"/>
    <w:rsid w:val="006F08EF"/>
    <w:rsid w:val="006F0AA8"/>
    <w:rsid w:val="006F0D9F"/>
    <w:rsid w:val="006F0ED7"/>
    <w:rsid w:val="006F0FD3"/>
    <w:rsid w:val="006F17CE"/>
    <w:rsid w:val="006F1955"/>
    <w:rsid w:val="006F1C41"/>
    <w:rsid w:val="006F1E76"/>
    <w:rsid w:val="006F231D"/>
    <w:rsid w:val="006F277E"/>
    <w:rsid w:val="006F2852"/>
    <w:rsid w:val="006F2F98"/>
    <w:rsid w:val="006F31D9"/>
    <w:rsid w:val="006F345F"/>
    <w:rsid w:val="006F34A5"/>
    <w:rsid w:val="006F34BB"/>
    <w:rsid w:val="006F3881"/>
    <w:rsid w:val="006F3B0E"/>
    <w:rsid w:val="006F3D39"/>
    <w:rsid w:val="006F404A"/>
    <w:rsid w:val="006F4752"/>
    <w:rsid w:val="006F48F9"/>
    <w:rsid w:val="006F4DE0"/>
    <w:rsid w:val="006F4FC1"/>
    <w:rsid w:val="006F536D"/>
    <w:rsid w:val="006F55BB"/>
    <w:rsid w:val="006F56E3"/>
    <w:rsid w:val="006F58AF"/>
    <w:rsid w:val="006F5EBE"/>
    <w:rsid w:val="006F64D1"/>
    <w:rsid w:val="006F650B"/>
    <w:rsid w:val="006F650C"/>
    <w:rsid w:val="006F65F8"/>
    <w:rsid w:val="006F6977"/>
    <w:rsid w:val="006F747F"/>
    <w:rsid w:val="0070005F"/>
    <w:rsid w:val="00700C18"/>
    <w:rsid w:val="007010C5"/>
    <w:rsid w:val="007011AB"/>
    <w:rsid w:val="00701595"/>
    <w:rsid w:val="00701BC0"/>
    <w:rsid w:val="00701F5E"/>
    <w:rsid w:val="007023F5"/>
    <w:rsid w:val="00702B73"/>
    <w:rsid w:val="00702D28"/>
    <w:rsid w:val="00703986"/>
    <w:rsid w:val="00703AF1"/>
    <w:rsid w:val="00703BC5"/>
    <w:rsid w:val="00703FD9"/>
    <w:rsid w:val="00704255"/>
    <w:rsid w:val="00704C93"/>
    <w:rsid w:val="00704D0F"/>
    <w:rsid w:val="00705752"/>
    <w:rsid w:val="00706347"/>
    <w:rsid w:val="0070663E"/>
    <w:rsid w:val="00706747"/>
    <w:rsid w:val="00706F9F"/>
    <w:rsid w:val="007070EE"/>
    <w:rsid w:val="00707264"/>
    <w:rsid w:val="00707373"/>
    <w:rsid w:val="00707B50"/>
    <w:rsid w:val="0071108E"/>
    <w:rsid w:val="007112FA"/>
    <w:rsid w:val="007114A6"/>
    <w:rsid w:val="0071172A"/>
    <w:rsid w:val="0071198A"/>
    <w:rsid w:val="00711F73"/>
    <w:rsid w:val="007120C9"/>
    <w:rsid w:val="0071253A"/>
    <w:rsid w:val="0071329F"/>
    <w:rsid w:val="00713B45"/>
    <w:rsid w:val="00714FD3"/>
    <w:rsid w:val="0071530E"/>
    <w:rsid w:val="00715952"/>
    <w:rsid w:val="00715EE8"/>
    <w:rsid w:val="00716795"/>
    <w:rsid w:val="007169A1"/>
    <w:rsid w:val="00716CA0"/>
    <w:rsid w:val="00716E0C"/>
    <w:rsid w:val="007172B7"/>
    <w:rsid w:val="007178CC"/>
    <w:rsid w:val="00717B97"/>
    <w:rsid w:val="00720154"/>
    <w:rsid w:val="007202E0"/>
    <w:rsid w:val="007209C2"/>
    <w:rsid w:val="00720CF3"/>
    <w:rsid w:val="00720D32"/>
    <w:rsid w:val="00720D3D"/>
    <w:rsid w:val="007219AA"/>
    <w:rsid w:val="007219FD"/>
    <w:rsid w:val="00721A9C"/>
    <w:rsid w:val="0072212E"/>
    <w:rsid w:val="007221FA"/>
    <w:rsid w:val="0072239F"/>
    <w:rsid w:val="0072260B"/>
    <w:rsid w:val="00722A0A"/>
    <w:rsid w:val="007230EC"/>
    <w:rsid w:val="00723379"/>
    <w:rsid w:val="00723878"/>
    <w:rsid w:val="007239D7"/>
    <w:rsid w:val="00723CAA"/>
    <w:rsid w:val="007244C5"/>
    <w:rsid w:val="00724536"/>
    <w:rsid w:val="007253F3"/>
    <w:rsid w:val="00725BC7"/>
    <w:rsid w:val="007261D2"/>
    <w:rsid w:val="00726A4B"/>
    <w:rsid w:val="00726B50"/>
    <w:rsid w:val="00726E5A"/>
    <w:rsid w:val="00727294"/>
    <w:rsid w:val="00727346"/>
    <w:rsid w:val="0072771D"/>
    <w:rsid w:val="00727BF4"/>
    <w:rsid w:val="00727D59"/>
    <w:rsid w:val="007312FD"/>
    <w:rsid w:val="00731798"/>
    <w:rsid w:val="007322F9"/>
    <w:rsid w:val="00732B3E"/>
    <w:rsid w:val="00732B4D"/>
    <w:rsid w:val="0073302E"/>
    <w:rsid w:val="007334AC"/>
    <w:rsid w:val="00733881"/>
    <w:rsid w:val="00733AA2"/>
    <w:rsid w:val="00733BAD"/>
    <w:rsid w:val="00733CAD"/>
    <w:rsid w:val="00733DB9"/>
    <w:rsid w:val="00733DE8"/>
    <w:rsid w:val="00733FAF"/>
    <w:rsid w:val="00734617"/>
    <w:rsid w:val="007346AC"/>
    <w:rsid w:val="007347E0"/>
    <w:rsid w:val="00734B53"/>
    <w:rsid w:val="007354D4"/>
    <w:rsid w:val="00735711"/>
    <w:rsid w:val="007359DA"/>
    <w:rsid w:val="00735B6D"/>
    <w:rsid w:val="00735C7A"/>
    <w:rsid w:val="00735CBD"/>
    <w:rsid w:val="00736637"/>
    <w:rsid w:val="00737041"/>
    <w:rsid w:val="00737046"/>
    <w:rsid w:val="007370B4"/>
    <w:rsid w:val="0073737D"/>
    <w:rsid w:val="00737D06"/>
    <w:rsid w:val="007402EF"/>
    <w:rsid w:val="007403D3"/>
    <w:rsid w:val="007408FA"/>
    <w:rsid w:val="007408FC"/>
    <w:rsid w:val="00740F1E"/>
    <w:rsid w:val="0074145A"/>
    <w:rsid w:val="00741475"/>
    <w:rsid w:val="007418C9"/>
    <w:rsid w:val="00741B02"/>
    <w:rsid w:val="00741FE3"/>
    <w:rsid w:val="007420BB"/>
    <w:rsid w:val="0074211D"/>
    <w:rsid w:val="007423AB"/>
    <w:rsid w:val="00742476"/>
    <w:rsid w:val="0074286B"/>
    <w:rsid w:val="00742974"/>
    <w:rsid w:val="00742E83"/>
    <w:rsid w:val="00743668"/>
    <w:rsid w:val="00743779"/>
    <w:rsid w:val="00743C5A"/>
    <w:rsid w:val="00743E88"/>
    <w:rsid w:val="007444C1"/>
    <w:rsid w:val="0074479B"/>
    <w:rsid w:val="00745229"/>
    <w:rsid w:val="0074545B"/>
    <w:rsid w:val="00745643"/>
    <w:rsid w:val="007458C6"/>
    <w:rsid w:val="007459A9"/>
    <w:rsid w:val="00745DFB"/>
    <w:rsid w:val="00746166"/>
    <w:rsid w:val="00746362"/>
    <w:rsid w:val="00746592"/>
    <w:rsid w:val="00746629"/>
    <w:rsid w:val="007474E3"/>
    <w:rsid w:val="007477CB"/>
    <w:rsid w:val="0075075D"/>
    <w:rsid w:val="00750760"/>
    <w:rsid w:val="00750D2B"/>
    <w:rsid w:val="00750DDB"/>
    <w:rsid w:val="00750FCA"/>
    <w:rsid w:val="00752085"/>
    <w:rsid w:val="007525FC"/>
    <w:rsid w:val="00752726"/>
    <w:rsid w:val="0075295B"/>
    <w:rsid w:val="00753414"/>
    <w:rsid w:val="0075357D"/>
    <w:rsid w:val="007535AA"/>
    <w:rsid w:val="007535DA"/>
    <w:rsid w:val="0075373B"/>
    <w:rsid w:val="00753FA3"/>
    <w:rsid w:val="00754BEB"/>
    <w:rsid w:val="00754D6D"/>
    <w:rsid w:val="00754F62"/>
    <w:rsid w:val="007554D1"/>
    <w:rsid w:val="00755955"/>
    <w:rsid w:val="00755B35"/>
    <w:rsid w:val="00755CC8"/>
    <w:rsid w:val="00755F55"/>
    <w:rsid w:val="00756497"/>
    <w:rsid w:val="00756552"/>
    <w:rsid w:val="00756FFA"/>
    <w:rsid w:val="0075733B"/>
    <w:rsid w:val="007579AE"/>
    <w:rsid w:val="007579E2"/>
    <w:rsid w:val="00757E56"/>
    <w:rsid w:val="00760543"/>
    <w:rsid w:val="00760556"/>
    <w:rsid w:val="007608FB"/>
    <w:rsid w:val="007611B8"/>
    <w:rsid w:val="00761233"/>
    <w:rsid w:val="0076126B"/>
    <w:rsid w:val="007616A6"/>
    <w:rsid w:val="00761940"/>
    <w:rsid w:val="00761AFD"/>
    <w:rsid w:val="00762267"/>
    <w:rsid w:val="0076264F"/>
    <w:rsid w:val="00762D06"/>
    <w:rsid w:val="00762D0E"/>
    <w:rsid w:val="0076407E"/>
    <w:rsid w:val="00764110"/>
    <w:rsid w:val="00764456"/>
    <w:rsid w:val="00764E15"/>
    <w:rsid w:val="00765855"/>
    <w:rsid w:val="00765E11"/>
    <w:rsid w:val="00765F41"/>
    <w:rsid w:val="00765F49"/>
    <w:rsid w:val="007660F9"/>
    <w:rsid w:val="007667D9"/>
    <w:rsid w:val="00766982"/>
    <w:rsid w:val="00767205"/>
    <w:rsid w:val="007673BD"/>
    <w:rsid w:val="007673EA"/>
    <w:rsid w:val="0076773C"/>
    <w:rsid w:val="00767852"/>
    <w:rsid w:val="00767D34"/>
    <w:rsid w:val="0077067E"/>
    <w:rsid w:val="00770D11"/>
    <w:rsid w:val="007712BF"/>
    <w:rsid w:val="0077170E"/>
    <w:rsid w:val="0077186C"/>
    <w:rsid w:val="00771F80"/>
    <w:rsid w:val="0077215A"/>
    <w:rsid w:val="0077220B"/>
    <w:rsid w:val="00772910"/>
    <w:rsid w:val="00772A08"/>
    <w:rsid w:val="00772BA3"/>
    <w:rsid w:val="00772C6B"/>
    <w:rsid w:val="00773376"/>
    <w:rsid w:val="0077392D"/>
    <w:rsid w:val="00773C98"/>
    <w:rsid w:val="00773E3E"/>
    <w:rsid w:val="00774EEB"/>
    <w:rsid w:val="007753D6"/>
    <w:rsid w:val="007755A5"/>
    <w:rsid w:val="0077571D"/>
    <w:rsid w:val="007759C3"/>
    <w:rsid w:val="007763B8"/>
    <w:rsid w:val="0077641A"/>
    <w:rsid w:val="00776A64"/>
    <w:rsid w:val="00776ADF"/>
    <w:rsid w:val="00776C58"/>
    <w:rsid w:val="00777036"/>
    <w:rsid w:val="00777103"/>
    <w:rsid w:val="0077710D"/>
    <w:rsid w:val="007778FA"/>
    <w:rsid w:val="00777DA8"/>
    <w:rsid w:val="00777FE0"/>
    <w:rsid w:val="00780241"/>
    <w:rsid w:val="00780E0F"/>
    <w:rsid w:val="007812DE"/>
    <w:rsid w:val="00781566"/>
    <w:rsid w:val="007815D1"/>
    <w:rsid w:val="00781795"/>
    <w:rsid w:val="00781A63"/>
    <w:rsid w:val="00781D40"/>
    <w:rsid w:val="007820C9"/>
    <w:rsid w:val="0078243F"/>
    <w:rsid w:val="0078248E"/>
    <w:rsid w:val="0078329D"/>
    <w:rsid w:val="007832C4"/>
    <w:rsid w:val="00783690"/>
    <w:rsid w:val="00783801"/>
    <w:rsid w:val="007838B7"/>
    <w:rsid w:val="007838D6"/>
    <w:rsid w:val="00783C09"/>
    <w:rsid w:val="00783F49"/>
    <w:rsid w:val="007843F4"/>
    <w:rsid w:val="0078449D"/>
    <w:rsid w:val="00784B91"/>
    <w:rsid w:val="00785089"/>
    <w:rsid w:val="007851E1"/>
    <w:rsid w:val="00785300"/>
    <w:rsid w:val="0078568D"/>
    <w:rsid w:val="00785938"/>
    <w:rsid w:val="00785A12"/>
    <w:rsid w:val="00785AA2"/>
    <w:rsid w:val="00785AEE"/>
    <w:rsid w:val="00785FCA"/>
    <w:rsid w:val="00786086"/>
    <w:rsid w:val="007860F7"/>
    <w:rsid w:val="007861EC"/>
    <w:rsid w:val="00786379"/>
    <w:rsid w:val="007864F2"/>
    <w:rsid w:val="00786862"/>
    <w:rsid w:val="00786B21"/>
    <w:rsid w:val="007875DF"/>
    <w:rsid w:val="00787867"/>
    <w:rsid w:val="007879D1"/>
    <w:rsid w:val="00787AC4"/>
    <w:rsid w:val="00787C50"/>
    <w:rsid w:val="0079025C"/>
    <w:rsid w:val="00790660"/>
    <w:rsid w:val="00790B01"/>
    <w:rsid w:val="00790C4F"/>
    <w:rsid w:val="00790E9E"/>
    <w:rsid w:val="00790FAA"/>
    <w:rsid w:val="00791401"/>
    <w:rsid w:val="00791FC1"/>
    <w:rsid w:val="00792161"/>
    <w:rsid w:val="0079245C"/>
    <w:rsid w:val="00792757"/>
    <w:rsid w:val="0079279B"/>
    <w:rsid w:val="00792A52"/>
    <w:rsid w:val="00792BEF"/>
    <w:rsid w:val="00792E00"/>
    <w:rsid w:val="00793018"/>
    <w:rsid w:val="00793107"/>
    <w:rsid w:val="007933F8"/>
    <w:rsid w:val="00793602"/>
    <w:rsid w:val="007939F0"/>
    <w:rsid w:val="007943AF"/>
    <w:rsid w:val="007947CB"/>
    <w:rsid w:val="00794808"/>
    <w:rsid w:val="0079521E"/>
    <w:rsid w:val="00795366"/>
    <w:rsid w:val="00795609"/>
    <w:rsid w:val="0079581E"/>
    <w:rsid w:val="00795C30"/>
    <w:rsid w:val="00795EC4"/>
    <w:rsid w:val="0079687A"/>
    <w:rsid w:val="00796C23"/>
    <w:rsid w:val="00796C84"/>
    <w:rsid w:val="00796EA4"/>
    <w:rsid w:val="00797148"/>
    <w:rsid w:val="00797272"/>
    <w:rsid w:val="00797BC5"/>
    <w:rsid w:val="00797D2E"/>
    <w:rsid w:val="007A01A6"/>
    <w:rsid w:val="007A05FD"/>
    <w:rsid w:val="007A09E6"/>
    <w:rsid w:val="007A1097"/>
    <w:rsid w:val="007A146A"/>
    <w:rsid w:val="007A1A56"/>
    <w:rsid w:val="007A22B8"/>
    <w:rsid w:val="007A2603"/>
    <w:rsid w:val="007A2C47"/>
    <w:rsid w:val="007A3485"/>
    <w:rsid w:val="007A38DD"/>
    <w:rsid w:val="007A3903"/>
    <w:rsid w:val="007A3B3F"/>
    <w:rsid w:val="007A402E"/>
    <w:rsid w:val="007A47C6"/>
    <w:rsid w:val="007A4B65"/>
    <w:rsid w:val="007A4BA3"/>
    <w:rsid w:val="007A4C6F"/>
    <w:rsid w:val="007A4DE7"/>
    <w:rsid w:val="007A4E1C"/>
    <w:rsid w:val="007A63BF"/>
    <w:rsid w:val="007A6488"/>
    <w:rsid w:val="007A71E7"/>
    <w:rsid w:val="007A766B"/>
    <w:rsid w:val="007A7A5E"/>
    <w:rsid w:val="007A7DED"/>
    <w:rsid w:val="007A7DF2"/>
    <w:rsid w:val="007B00D1"/>
    <w:rsid w:val="007B0B6E"/>
    <w:rsid w:val="007B0F02"/>
    <w:rsid w:val="007B1164"/>
    <w:rsid w:val="007B140D"/>
    <w:rsid w:val="007B197C"/>
    <w:rsid w:val="007B1F76"/>
    <w:rsid w:val="007B27B4"/>
    <w:rsid w:val="007B2802"/>
    <w:rsid w:val="007B3314"/>
    <w:rsid w:val="007B384D"/>
    <w:rsid w:val="007B3BA0"/>
    <w:rsid w:val="007B4113"/>
    <w:rsid w:val="007B431B"/>
    <w:rsid w:val="007B4412"/>
    <w:rsid w:val="007B47D4"/>
    <w:rsid w:val="007B4823"/>
    <w:rsid w:val="007B4EC0"/>
    <w:rsid w:val="007B5135"/>
    <w:rsid w:val="007B5174"/>
    <w:rsid w:val="007B51F1"/>
    <w:rsid w:val="007B5837"/>
    <w:rsid w:val="007B5BC4"/>
    <w:rsid w:val="007B608C"/>
    <w:rsid w:val="007B6535"/>
    <w:rsid w:val="007B6996"/>
    <w:rsid w:val="007B6D2E"/>
    <w:rsid w:val="007B6D7A"/>
    <w:rsid w:val="007B6D8F"/>
    <w:rsid w:val="007B74C4"/>
    <w:rsid w:val="007B7559"/>
    <w:rsid w:val="007B76C3"/>
    <w:rsid w:val="007B76F2"/>
    <w:rsid w:val="007B7A2B"/>
    <w:rsid w:val="007C11ED"/>
    <w:rsid w:val="007C177D"/>
    <w:rsid w:val="007C1A65"/>
    <w:rsid w:val="007C1EF0"/>
    <w:rsid w:val="007C2272"/>
    <w:rsid w:val="007C22CA"/>
    <w:rsid w:val="007C263F"/>
    <w:rsid w:val="007C2698"/>
    <w:rsid w:val="007C27BC"/>
    <w:rsid w:val="007C2A32"/>
    <w:rsid w:val="007C2A69"/>
    <w:rsid w:val="007C2CCA"/>
    <w:rsid w:val="007C30CE"/>
    <w:rsid w:val="007C3122"/>
    <w:rsid w:val="007C33A4"/>
    <w:rsid w:val="007C348B"/>
    <w:rsid w:val="007C364B"/>
    <w:rsid w:val="007C36CA"/>
    <w:rsid w:val="007C4181"/>
    <w:rsid w:val="007C472A"/>
    <w:rsid w:val="007C477E"/>
    <w:rsid w:val="007C4BCE"/>
    <w:rsid w:val="007C4EA8"/>
    <w:rsid w:val="007C518E"/>
    <w:rsid w:val="007C5400"/>
    <w:rsid w:val="007C5554"/>
    <w:rsid w:val="007C57D5"/>
    <w:rsid w:val="007C6706"/>
    <w:rsid w:val="007C6777"/>
    <w:rsid w:val="007C6AA2"/>
    <w:rsid w:val="007C6EB3"/>
    <w:rsid w:val="007C6ECA"/>
    <w:rsid w:val="007C7737"/>
    <w:rsid w:val="007C7BDE"/>
    <w:rsid w:val="007C7E1E"/>
    <w:rsid w:val="007D00DF"/>
    <w:rsid w:val="007D02A3"/>
    <w:rsid w:val="007D0435"/>
    <w:rsid w:val="007D0603"/>
    <w:rsid w:val="007D082B"/>
    <w:rsid w:val="007D0967"/>
    <w:rsid w:val="007D0C23"/>
    <w:rsid w:val="007D1854"/>
    <w:rsid w:val="007D1C4B"/>
    <w:rsid w:val="007D1D3B"/>
    <w:rsid w:val="007D2187"/>
    <w:rsid w:val="007D229D"/>
    <w:rsid w:val="007D25BC"/>
    <w:rsid w:val="007D29CE"/>
    <w:rsid w:val="007D2F8D"/>
    <w:rsid w:val="007D45FF"/>
    <w:rsid w:val="007D4AB6"/>
    <w:rsid w:val="007D4B22"/>
    <w:rsid w:val="007D4E91"/>
    <w:rsid w:val="007D50FD"/>
    <w:rsid w:val="007D5363"/>
    <w:rsid w:val="007D5449"/>
    <w:rsid w:val="007D5534"/>
    <w:rsid w:val="007D5758"/>
    <w:rsid w:val="007D5923"/>
    <w:rsid w:val="007D5C33"/>
    <w:rsid w:val="007D605B"/>
    <w:rsid w:val="007D7DE0"/>
    <w:rsid w:val="007D7FEE"/>
    <w:rsid w:val="007E0104"/>
    <w:rsid w:val="007E08CF"/>
    <w:rsid w:val="007E0B6F"/>
    <w:rsid w:val="007E0DC6"/>
    <w:rsid w:val="007E16CC"/>
    <w:rsid w:val="007E1820"/>
    <w:rsid w:val="007E1919"/>
    <w:rsid w:val="007E1C6B"/>
    <w:rsid w:val="007E22DB"/>
    <w:rsid w:val="007E2398"/>
    <w:rsid w:val="007E24AF"/>
    <w:rsid w:val="007E2959"/>
    <w:rsid w:val="007E2CB4"/>
    <w:rsid w:val="007E35F2"/>
    <w:rsid w:val="007E3890"/>
    <w:rsid w:val="007E3D2B"/>
    <w:rsid w:val="007E3F5A"/>
    <w:rsid w:val="007E5278"/>
    <w:rsid w:val="007E536E"/>
    <w:rsid w:val="007E5C43"/>
    <w:rsid w:val="007E5F8D"/>
    <w:rsid w:val="007E679C"/>
    <w:rsid w:val="007E6818"/>
    <w:rsid w:val="007E6819"/>
    <w:rsid w:val="007E6F77"/>
    <w:rsid w:val="007E7B22"/>
    <w:rsid w:val="007E7E4B"/>
    <w:rsid w:val="007E7F34"/>
    <w:rsid w:val="007F1A6B"/>
    <w:rsid w:val="007F1D7C"/>
    <w:rsid w:val="007F2545"/>
    <w:rsid w:val="007F26D5"/>
    <w:rsid w:val="007F297D"/>
    <w:rsid w:val="007F2BA6"/>
    <w:rsid w:val="007F3088"/>
    <w:rsid w:val="007F32C9"/>
    <w:rsid w:val="007F35A0"/>
    <w:rsid w:val="007F4249"/>
    <w:rsid w:val="007F4643"/>
    <w:rsid w:val="007F51C3"/>
    <w:rsid w:val="007F52F1"/>
    <w:rsid w:val="007F5B9D"/>
    <w:rsid w:val="007F5E2A"/>
    <w:rsid w:val="007F66D7"/>
    <w:rsid w:val="007F68B8"/>
    <w:rsid w:val="007F6F7A"/>
    <w:rsid w:val="007F7420"/>
    <w:rsid w:val="007F75BE"/>
    <w:rsid w:val="007F7FB2"/>
    <w:rsid w:val="008000C5"/>
    <w:rsid w:val="00800745"/>
    <w:rsid w:val="0080079F"/>
    <w:rsid w:val="00801416"/>
    <w:rsid w:val="00801F39"/>
    <w:rsid w:val="00802595"/>
    <w:rsid w:val="00802698"/>
    <w:rsid w:val="00802711"/>
    <w:rsid w:val="00802A6A"/>
    <w:rsid w:val="00803081"/>
    <w:rsid w:val="008037C4"/>
    <w:rsid w:val="0080394D"/>
    <w:rsid w:val="00803E7F"/>
    <w:rsid w:val="00804202"/>
    <w:rsid w:val="0080475D"/>
    <w:rsid w:val="008049A7"/>
    <w:rsid w:val="00804B47"/>
    <w:rsid w:val="00805563"/>
    <w:rsid w:val="00805D15"/>
    <w:rsid w:val="00805E38"/>
    <w:rsid w:val="0080638B"/>
    <w:rsid w:val="00807076"/>
    <w:rsid w:val="0080709E"/>
    <w:rsid w:val="0080764C"/>
    <w:rsid w:val="00807662"/>
    <w:rsid w:val="00807809"/>
    <w:rsid w:val="008078C4"/>
    <w:rsid w:val="00807AA5"/>
    <w:rsid w:val="00807EA8"/>
    <w:rsid w:val="00807FD2"/>
    <w:rsid w:val="008102DA"/>
    <w:rsid w:val="00810394"/>
    <w:rsid w:val="0081053C"/>
    <w:rsid w:val="00810583"/>
    <w:rsid w:val="00810594"/>
    <w:rsid w:val="00810B9B"/>
    <w:rsid w:val="00810C97"/>
    <w:rsid w:val="00810DB7"/>
    <w:rsid w:val="0081130A"/>
    <w:rsid w:val="008113A3"/>
    <w:rsid w:val="008114B8"/>
    <w:rsid w:val="00811BE4"/>
    <w:rsid w:val="00811CB4"/>
    <w:rsid w:val="00812471"/>
    <w:rsid w:val="008125FD"/>
    <w:rsid w:val="00812815"/>
    <w:rsid w:val="00812942"/>
    <w:rsid w:val="00812A2A"/>
    <w:rsid w:val="008130E7"/>
    <w:rsid w:val="008134CB"/>
    <w:rsid w:val="0081365B"/>
    <w:rsid w:val="00813897"/>
    <w:rsid w:val="00813B7A"/>
    <w:rsid w:val="008141F0"/>
    <w:rsid w:val="008144C5"/>
    <w:rsid w:val="0081521B"/>
    <w:rsid w:val="00815479"/>
    <w:rsid w:val="00815A5C"/>
    <w:rsid w:val="00815BDC"/>
    <w:rsid w:val="00816E7C"/>
    <w:rsid w:val="00817873"/>
    <w:rsid w:val="00820451"/>
    <w:rsid w:val="008207F6"/>
    <w:rsid w:val="00820CF6"/>
    <w:rsid w:val="00820F1C"/>
    <w:rsid w:val="00821262"/>
    <w:rsid w:val="008212DD"/>
    <w:rsid w:val="00821EEC"/>
    <w:rsid w:val="008226F0"/>
    <w:rsid w:val="008227BC"/>
    <w:rsid w:val="00822AEC"/>
    <w:rsid w:val="00822EB8"/>
    <w:rsid w:val="008230D6"/>
    <w:rsid w:val="00823238"/>
    <w:rsid w:val="00823550"/>
    <w:rsid w:val="008236C5"/>
    <w:rsid w:val="00823F98"/>
    <w:rsid w:val="00824171"/>
    <w:rsid w:val="0082438E"/>
    <w:rsid w:val="00824EDE"/>
    <w:rsid w:val="0082545D"/>
    <w:rsid w:val="00825489"/>
    <w:rsid w:val="00825C51"/>
    <w:rsid w:val="00825D71"/>
    <w:rsid w:val="00825DF1"/>
    <w:rsid w:val="0082647E"/>
    <w:rsid w:val="0082677C"/>
    <w:rsid w:val="00826FF7"/>
    <w:rsid w:val="008273E7"/>
    <w:rsid w:val="00827625"/>
    <w:rsid w:val="008276EA"/>
    <w:rsid w:val="00827CEB"/>
    <w:rsid w:val="00827DC6"/>
    <w:rsid w:val="00830017"/>
    <w:rsid w:val="008300F0"/>
    <w:rsid w:val="00830404"/>
    <w:rsid w:val="008307A6"/>
    <w:rsid w:val="00830B7E"/>
    <w:rsid w:val="0083118D"/>
    <w:rsid w:val="008313B0"/>
    <w:rsid w:val="00831538"/>
    <w:rsid w:val="00831A6B"/>
    <w:rsid w:val="00831F08"/>
    <w:rsid w:val="00831F50"/>
    <w:rsid w:val="0083212F"/>
    <w:rsid w:val="008321FA"/>
    <w:rsid w:val="008329DB"/>
    <w:rsid w:val="008332B4"/>
    <w:rsid w:val="008334B7"/>
    <w:rsid w:val="008336FF"/>
    <w:rsid w:val="008338ED"/>
    <w:rsid w:val="00833DD1"/>
    <w:rsid w:val="00834526"/>
    <w:rsid w:val="00834719"/>
    <w:rsid w:val="008352BE"/>
    <w:rsid w:val="0083594F"/>
    <w:rsid w:val="0083644E"/>
    <w:rsid w:val="00836702"/>
    <w:rsid w:val="00836A4F"/>
    <w:rsid w:val="00836DDA"/>
    <w:rsid w:val="00836EF0"/>
    <w:rsid w:val="0083775B"/>
    <w:rsid w:val="00840D81"/>
    <w:rsid w:val="00840DFB"/>
    <w:rsid w:val="00840EEC"/>
    <w:rsid w:val="008411FB"/>
    <w:rsid w:val="00841202"/>
    <w:rsid w:val="00841303"/>
    <w:rsid w:val="00841F95"/>
    <w:rsid w:val="00842269"/>
    <w:rsid w:val="008423CE"/>
    <w:rsid w:val="0084291E"/>
    <w:rsid w:val="00842D21"/>
    <w:rsid w:val="00843072"/>
    <w:rsid w:val="008432D3"/>
    <w:rsid w:val="008436A2"/>
    <w:rsid w:val="008445F6"/>
    <w:rsid w:val="008448E9"/>
    <w:rsid w:val="00844B28"/>
    <w:rsid w:val="00844B85"/>
    <w:rsid w:val="00844EDD"/>
    <w:rsid w:val="00845010"/>
    <w:rsid w:val="0084503F"/>
    <w:rsid w:val="0084589F"/>
    <w:rsid w:val="0084645D"/>
    <w:rsid w:val="0084654E"/>
    <w:rsid w:val="00846560"/>
    <w:rsid w:val="00846CDC"/>
    <w:rsid w:val="00846F12"/>
    <w:rsid w:val="00846F26"/>
    <w:rsid w:val="00847067"/>
    <w:rsid w:val="00847A28"/>
    <w:rsid w:val="00850090"/>
    <w:rsid w:val="008500A9"/>
    <w:rsid w:val="00850A6C"/>
    <w:rsid w:val="00850DE6"/>
    <w:rsid w:val="0085205A"/>
    <w:rsid w:val="0085232C"/>
    <w:rsid w:val="00852345"/>
    <w:rsid w:val="00852C4A"/>
    <w:rsid w:val="00852C8B"/>
    <w:rsid w:val="00853053"/>
    <w:rsid w:val="0085362D"/>
    <w:rsid w:val="008536DA"/>
    <w:rsid w:val="008538DB"/>
    <w:rsid w:val="00853987"/>
    <w:rsid w:val="00853B92"/>
    <w:rsid w:val="00854775"/>
    <w:rsid w:val="00854A92"/>
    <w:rsid w:val="00854AFC"/>
    <w:rsid w:val="00854E25"/>
    <w:rsid w:val="00855D27"/>
    <w:rsid w:val="00856840"/>
    <w:rsid w:val="00856B69"/>
    <w:rsid w:val="008577AF"/>
    <w:rsid w:val="008579A6"/>
    <w:rsid w:val="0086000C"/>
    <w:rsid w:val="008601F2"/>
    <w:rsid w:val="008602BB"/>
    <w:rsid w:val="00860EA0"/>
    <w:rsid w:val="00860FAB"/>
    <w:rsid w:val="00861101"/>
    <w:rsid w:val="00861311"/>
    <w:rsid w:val="00861AF5"/>
    <w:rsid w:val="0086233C"/>
    <w:rsid w:val="008637EB"/>
    <w:rsid w:val="00863896"/>
    <w:rsid w:val="008638D3"/>
    <w:rsid w:val="00863AA4"/>
    <w:rsid w:val="00863B8B"/>
    <w:rsid w:val="008641E8"/>
    <w:rsid w:val="0086429F"/>
    <w:rsid w:val="00864302"/>
    <w:rsid w:val="00864309"/>
    <w:rsid w:val="0086451D"/>
    <w:rsid w:val="0086483B"/>
    <w:rsid w:val="00864DAF"/>
    <w:rsid w:val="00864E4E"/>
    <w:rsid w:val="00865097"/>
    <w:rsid w:val="008652B7"/>
    <w:rsid w:val="00865535"/>
    <w:rsid w:val="00865EE9"/>
    <w:rsid w:val="0086636C"/>
    <w:rsid w:val="00866511"/>
    <w:rsid w:val="008666A0"/>
    <w:rsid w:val="00866B22"/>
    <w:rsid w:val="00867115"/>
    <w:rsid w:val="008671AA"/>
    <w:rsid w:val="00867573"/>
    <w:rsid w:val="00867831"/>
    <w:rsid w:val="00867877"/>
    <w:rsid w:val="008678D0"/>
    <w:rsid w:val="00867C64"/>
    <w:rsid w:val="008704DF"/>
    <w:rsid w:val="00870765"/>
    <w:rsid w:val="00870F09"/>
    <w:rsid w:val="00870F1D"/>
    <w:rsid w:val="008715CB"/>
    <w:rsid w:val="008721A0"/>
    <w:rsid w:val="008727CD"/>
    <w:rsid w:val="008727D8"/>
    <w:rsid w:val="00872ABD"/>
    <w:rsid w:val="00872B1F"/>
    <w:rsid w:val="008730AA"/>
    <w:rsid w:val="008732E8"/>
    <w:rsid w:val="008732FF"/>
    <w:rsid w:val="00873328"/>
    <w:rsid w:val="0087348D"/>
    <w:rsid w:val="00873EB9"/>
    <w:rsid w:val="00874B42"/>
    <w:rsid w:val="00874D8C"/>
    <w:rsid w:val="008759AC"/>
    <w:rsid w:val="00875CD3"/>
    <w:rsid w:val="00876BC7"/>
    <w:rsid w:val="00876EAC"/>
    <w:rsid w:val="00877975"/>
    <w:rsid w:val="00880672"/>
    <w:rsid w:val="00880758"/>
    <w:rsid w:val="008811B0"/>
    <w:rsid w:val="0088132F"/>
    <w:rsid w:val="008814CC"/>
    <w:rsid w:val="00881C82"/>
    <w:rsid w:val="00881F0A"/>
    <w:rsid w:val="00882A32"/>
    <w:rsid w:val="00883406"/>
    <w:rsid w:val="00883F73"/>
    <w:rsid w:val="0088426E"/>
    <w:rsid w:val="00884348"/>
    <w:rsid w:val="00884D2F"/>
    <w:rsid w:val="00884DA4"/>
    <w:rsid w:val="00885159"/>
    <w:rsid w:val="00885267"/>
    <w:rsid w:val="008854C4"/>
    <w:rsid w:val="008858A3"/>
    <w:rsid w:val="00885968"/>
    <w:rsid w:val="00885BBF"/>
    <w:rsid w:val="008861D3"/>
    <w:rsid w:val="00886BDE"/>
    <w:rsid w:val="00886E96"/>
    <w:rsid w:val="00887CC1"/>
    <w:rsid w:val="00887D0A"/>
    <w:rsid w:val="0089049E"/>
    <w:rsid w:val="00890838"/>
    <w:rsid w:val="0089091A"/>
    <w:rsid w:val="00891463"/>
    <w:rsid w:val="00891CB9"/>
    <w:rsid w:val="00891CBC"/>
    <w:rsid w:val="00891FAB"/>
    <w:rsid w:val="00891FB0"/>
    <w:rsid w:val="0089215E"/>
    <w:rsid w:val="008924C4"/>
    <w:rsid w:val="0089267F"/>
    <w:rsid w:val="0089285A"/>
    <w:rsid w:val="00892864"/>
    <w:rsid w:val="00892A95"/>
    <w:rsid w:val="00893106"/>
    <w:rsid w:val="00893307"/>
    <w:rsid w:val="008933FC"/>
    <w:rsid w:val="0089343A"/>
    <w:rsid w:val="008934CA"/>
    <w:rsid w:val="00893540"/>
    <w:rsid w:val="00893E62"/>
    <w:rsid w:val="008948B8"/>
    <w:rsid w:val="00894C0C"/>
    <w:rsid w:val="00895015"/>
    <w:rsid w:val="0089550A"/>
    <w:rsid w:val="00895DD3"/>
    <w:rsid w:val="00896414"/>
    <w:rsid w:val="008978A8"/>
    <w:rsid w:val="00897A8F"/>
    <w:rsid w:val="00897E3F"/>
    <w:rsid w:val="00897EE1"/>
    <w:rsid w:val="008A01EF"/>
    <w:rsid w:val="008A0394"/>
    <w:rsid w:val="008A0964"/>
    <w:rsid w:val="008A0AED"/>
    <w:rsid w:val="008A0C32"/>
    <w:rsid w:val="008A0D6A"/>
    <w:rsid w:val="008A0EF7"/>
    <w:rsid w:val="008A1066"/>
    <w:rsid w:val="008A125A"/>
    <w:rsid w:val="008A125C"/>
    <w:rsid w:val="008A12C6"/>
    <w:rsid w:val="008A19D3"/>
    <w:rsid w:val="008A2952"/>
    <w:rsid w:val="008A300B"/>
    <w:rsid w:val="008A3042"/>
    <w:rsid w:val="008A31E8"/>
    <w:rsid w:val="008A31F7"/>
    <w:rsid w:val="008A3450"/>
    <w:rsid w:val="008A38F2"/>
    <w:rsid w:val="008A39F6"/>
    <w:rsid w:val="008A3B88"/>
    <w:rsid w:val="008A4229"/>
    <w:rsid w:val="008A431B"/>
    <w:rsid w:val="008A43D8"/>
    <w:rsid w:val="008A44B6"/>
    <w:rsid w:val="008A4612"/>
    <w:rsid w:val="008A4977"/>
    <w:rsid w:val="008A5077"/>
    <w:rsid w:val="008A53E6"/>
    <w:rsid w:val="008A5BEF"/>
    <w:rsid w:val="008A5C16"/>
    <w:rsid w:val="008A5E35"/>
    <w:rsid w:val="008A615E"/>
    <w:rsid w:val="008A6926"/>
    <w:rsid w:val="008A69DF"/>
    <w:rsid w:val="008A6A68"/>
    <w:rsid w:val="008A6A80"/>
    <w:rsid w:val="008A759D"/>
    <w:rsid w:val="008A79F0"/>
    <w:rsid w:val="008A7C31"/>
    <w:rsid w:val="008B0618"/>
    <w:rsid w:val="008B0C16"/>
    <w:rsid w:val="008B12AF"/>
    <w:rsid w:val="008B140D"/>
    <w:rsid w:val="008B1836"/>
    <w:rsid w:val="008B1A1D"/>
    <w:rsid w:val="008B1B28"/>
    <w:rsid w:val="008B1F69"/>
    <w:rsid w:val="008B1FC0"/>
    <w:rsid w:val="008B1FE2"/>
    <w:rsid w:val="008B2035"/>
    <w:rsid w:val="008B2488"/>
    <w:rsid w:val="008B368E"/>
    <w:rsid w:val="008B3EB8"/>
    <w:rsid w:val="008B43D4"/>
    <w:rsid w:val="008B4600"/>
    <w:rsid w:val="008B4D0A"/>
    <w:rsid w:val="008B4D8B"/>
    <w:rsid w:val="008B4FF4"/>
    <w:rsid w:val="008B5BFA"/>
    <w:rsid w:val="008B61AB"/>
    <w:rsid w:val="008B6359"/>
    <w:rsid w:val="008B64BF"/>
    <w:rsid w:val="008B65D8"/>
    <w:rsid w:val="008B6F4B"/>
    <w:rsid w:val="008B7302"/>
    <w:rsid w:val="008B7EEF"/>
    <w:rsid w:val="008C01E9"/>
    <w:rsid w:val="008C06D4"/>
    <w:rsid w:val="008C07EB"/>
    <w:rsid w:val="008C0821"/>
    <w:rsid w:val="008C0A56"/>
    <w:rsid w:val="008C0DDC"/>
    <w:rsid w:val="008C0E2F"/>
    <w:rsid w:val="008C17E1"/>
    <w:rsid w:val="008C18B2"/>
    <w:rsid w:val="008C20C8"/>
    <w:rsid w:val="008C27BC"/>
    <w:rsid w:val="008C2B05"/>
    <w:rsid w:val="008C2B8E"/>
    <w:rsid w:val="008C2D6D"/>
    <w:rsid w:val="008C2E6A"/>
    <w:rsid w:val="008C39C5"/>
    <w:rsid w:val="008C3C77"/>
    <w:rsid w:val="008C4536"/>
    <w:rsid w:val="008C4692"/>
    <w:rsid w:val="008C4FA6"/>
    <w:rsid w:val="008C4FB4"/>
    <w:rsid w:val="008C513F"/>
    <w:rsid w:val="008C51E3"/>
    <w:rsid w:val="008C5778"/>
    <w:rsid w:val="008C5947"/>
    <w:rsid w:val="008C5E9A"/>
    <w:rsid w:val="008C6168"/>
    <w:rsid w:val="008C650B"/>
    <w:rsid w:val="008C66C7"/>
    <w:rsid w:val="008C7B4F"/>
    <w:rsid w:val="008C7EC0"/>
    <w:rsid w:val="008D0359"/>
    <w:rsid w:val="008D0497"/>
    <w:rsid w:val="008D0562"/>
    <w:rsid w:val="008D07B8"/>
    <w:rsid w:val="008D0A50"/>
    <w:rsid w:val="008D1098"/>
    <w:rsid w:val="008D165F"/>
    <w:rsid w:val="008D19A7"/>
    <w:rsid w:val="008D1C99"/>
    <w:rsid w:val="008D1FCB"/>
    <w:rsid w:val="008D2349"/>
    <w:rsid w:val="008D26CC"/>
    <w:rsid w:val="008D30FD"/>
    <w:rsid w:val="008D3196"/>
    <w:rsid w:val="008D3250"/>
    <w:rsid w:val="008D3406"/>
    <w:rsid w:val="008D3726"/>
    <w:rsid w:val="008D3D69"/>
    <w:rsid w:val="008D4368"/>
    <w:rsid w:val="008D4A26"/>
    <w:rsid w:val="008D53EE"/>
    <w:rsid w:val="008D5511"/>
    <w:rsid w:val="008D5930"/>
    <w:rsid w:val="008D6084"/>
    <w:rsid w:val="008D6611"/>
    <w:rsid w:val="008D6740"/>
    <w:rsid w:val="008D6D9B"/>
    <w:rsid w:val="008D6E00"/>
    <w:rsid w:val="008D72E6"/>
    <w:rsid w:val="008D72F7"/>
    <w:rsid w:val="008D7C5A"/>
    <w:rsid w:val="008D7E6D"/>
    <w:rsid w:val="008D7F16"/>
    <w:rsid w:val="008E00D0"/>
    <w:rsid w:val="008E023F"/>
    <w:rsid w:val="008E051A"/>
    <w:rsid w:val="008E155C"/>
    <w:rsid w:val="008E1A1F"/>
    <w:rsid w:val="008E1A29"/>
    <w:rsid w:val="008E1A64"/>
    <w:rsid w:val="008E1ED6"/>
    <w:rsid w:val="008E1FE4"/>
    <w:rsid w:val="008E2797"/>
    <w:rsid w:val="008E2910"/>
    <w:rsid w:val="008E2C0F"/>
    <w:rsid w:val="008E2CCE"/>
    <w:rsid w:val="008E3389"/>
    <w:rsid w:val="008E3558"/>
    <w:rsid w:val="008E35BF"/>
    <w:rsid w:val="008E3730"/>
    <w:rsid w:val="008E3756"/>
    <w:rsid w:val="008E46FA"/>
    <w:rsid w:val="008E55E1"/>
    <w:rsid w:val="008E6A3D"/>
    <w:rsid w:val="008E6D8A"/>
    <w:rsid w:val="008E77A1"/>
    <w:rsid w:val="008E78E9"/>
    <w:rsid w:val="008E7C9D"/>
    <w:rsid w:val="008F0554"/>
    <w:rsid w:val="008F06A2"/>
    <w:rsid w:val="008F0B33"/>
    <w:rsid w:val="008F0CD7"/>
    <w:rsid w:val="008F0D5D"/>
    <w:rsid w:val="008F10CE"/>
    <w:rsid w:val="008F15EA"/>
    <w:rsid w:val="008F16D5"/>
    <w:rsid w:val="008F27C7"/>
    <w:rsid w:val="008F286B"/>
    <w:rsid w:val="008F3DCC"/>
    <w:rsid w:val="008F4787"/>
    <w:rsid w:val="008F4C6F"/>
    <w:rsid w:val="008F4D3D"/>
    <w:rsid w:val="008F4E79"/>
    <w:rsid w:val="008F4E88"/>
    <w:rsid w:val="008F50A6"/>
    <w:rsid w:val="008F51FC"/>
    <w:rsid w:val="008F5280"/>
    <w:rsid w:val="008F5A1D"/>
    <w:rsid w:val="008F5CA9"/>
    <w:rsid w:val="008F64A9"/>
    <w:rsid w:val="008F677C"/>
    <w:rsid w:val="008F68C6"/>
    <w:rsid w:val="008F6979"/>
    <w:rsid w:val="008F6E57"/>
    <w:rsid w:val="008F71DC"/>
    <w:rsid w:val="008F7250"/>
    <w:rsid w:val="008F7297"/>
    <w:rsid w:val="008F759F"/>
    <w:rsid w:val="008F7FF9"/>
    <w:rsid w:val="009001F7"/>
    <w:rsid w:val="0090044F"/>
    <w:rsid w:val="00900D1F"/>
    <w:rsid w:val="00901348"/>
    <w:rsid w:val="0090177D"/>
    <w:rsid w:val="00901A42"/>
    <w:rsid w:val="00901CD1"/>
    <w:rsid w:val="00901D90"/>
    <w:rsid w:val="009026C9"/>
    <w:rsid w:val="00902DB3"/>
    <w:rsid w:val="009030BC"/>
    <w:rsid w:val="009031E8"/>
    <w:rsid w:val="00903B1A"/>
    <w:rsid w:val="009040AA"/>
    <w:rsid w:val="00904F14"/>
    <w:rsid w:val="00905031"/>
    <w:rsid w:val="009052C0"/>
    <w:rsid w:val="0090567B"/>
    <w:rsid w:val="00905730"/>
    <w:rsid w:val="00905BEE"/>
    <w:rsid w:val="0090692F"/>
    <w:rsid w:val="00906C3D"/>
    <w:rsid w:val="00907749"/>
    <w:rsid w:val="00907A52"/>
    <w:rsid w:val="00910716"/>
    <w:rsid w:val="00910751"/>
    <w:rsid w:val="00910990"/>
    <w:rsid w:val="009116AD"/>
    <w:rsid w:val="009116DB"/>
    <w:rsid w:val="00911A16"/>
    <w:rsid w:val="00911B2D"/>
    <w:rsid w:val="00911D99"/>
    <w:rsid w:val="00912881"/>
    <w:rsid w:val="00912AD2"/>
    <w:rsid w:val="00912B89"/>
    <w:rsid w:val="00912D89"/>
    <w:rsid w:val="009131EE"/>
    <w:rsid w:val="009133EF"/>
    <w:rsid w:val="00913AD8"/>
    <w:rsid w:val="009152CB"/>
    <w:rsid w:val="009158DF"/>
    <w:rsid w:val="00916382"/>
    <w:rsid w:val="00916905"/>
    <w:rsid w:val="00916BCF"/>
    <w:rsid w:val="0091707E"/>
    <w:rsid w:val="009170D3"/>
    <w:rsid w:val="00917241"/>
    <w:rsid w:val="0091727B"/>
    <w:rsid w:val="0091745D"/>
    <w:rsid w:val="00917B5E"/>
    <w:rsid w:val="00920F57"/>
    <w:rsid w:val="00921411"/>
    <w:rsid w:val="00921449"/>
    <w:rsid w:val="00921B1C"/>
    <w:rsid w:val="00921E43"/>
    <w:rsid w:val="00921F13"/>
    <w:rsid w:val="00922379"/>
    <w:rsid w:val="00922550"/>
    <w:rsid w:val="00922660"/>
    <w:rsid w:val="00922B08"/>
    <w:rsid w:val="00923921"/>
    <w:rsid w:val="00923981"/>
    <w:rsid w:val="009241E5"/>
    <w:rsid w:val="009247D8"/>
    <w:rsid w:val="00924BB6"/>
    <w:rsid w:val="00924D79"/>
    <w:rsid w:val="00924DFE"/>
    <w:rsid w:val="009255EB"/>
    <w:rsid w:val="00925652"/>
    <w:rsid w:val="00925EA0"/>
    <w:rsid w:val="009260F5"/>
    <w:rsid w:val="00926150"/>
    <w:rsid w:val="00926221"/>
    <w:rsid w:val="00926B1B"/>
    <w:rsid w:val="00927A7F"/>
    <w:rsid w:val="00927C36"/>
    <w:rsid w:val="00930297"/>
    <w:rsid w:val="009304ED"/>
    <w:rsid w:val="0093064D"/>
    <w:rsid w:val="00930CD3"/>
    <w:rsid w:val="0093183F"/>
    <w:rsid w:val="00931850"/>
    <w:rsid w:val="0093220A"/>
    <w:rsid w:val="00932326"/>
    <w:rsid w:val="0093234A"/>
    <w:rsid w:val="009329EE"/>
    <w:rsid w:val="00932B0C"/>
    <w:rsid w:val="00932DED"/>
    <w:rsid w:val="009331EA"/>
    <w:rsid w:val="009336CF"/>
    <w:rsid w:val="00933732"/>
    <w:rsid w:val="009337C6"/>
    <w:rsid w:val="00933BEE"/>
    <w:rsid w:val="00934640"/>
    <w:rsid w:val="009347B4"/>
    <w:rsid w:val="00934E7D"/>
    <w:rsid w:val="00934EB8"/>
    <w:rsid w:val="00935830"/>
    <w:rsid w:val="00935A91"/>
    <w:rsid w:val="009363B5"/>
    <w:rsid w:val="00936592"/>
    <w:rsid w:val="009368A6"/>
    <w:rsid w:val="00936A6C"/>
    <w:rsid w:val="00936BF1"/>
    <w:rsid w:val="009372FC"/>
    <w:rsid w:val="0093741E"/>
    <w:rsid w:val="009376D1"/>
    <w:rsid w:val="009401D3"/>
    <w:rsid w:val="009404AB"/>
    <w:rsid w:val="00940702"/>
    <w:rsid w:val="009407C5"/>
    <w:rsid w:val="00940A91"/>
    <w:rsid w:val="00940AF7"/>
    <w:rsid w:val="0094155E"/>
    <w:rsid w:val="00941868"/>
    <w:rsid w:val="00941B9F"/>
    <w:rsid w:val="00942003"/>
    <w:rsid w:val="0094228A"/>
    <w:rsid w:val="0094266F"/>
    <w:rsid w:val="0094287B"/>
    <w:rsid w:val="00942F07"/>
    <w:rsid w:val="00943105"/>
    <w:rsid w:val="00944072"/>
    <w:rsid w:val="009445E0"/>
    <w:rsid w:val="00944F33"/>
    <w:rsid w:val="00944FA0"/>
    <w:rsid w:val="0094513E"/>
    <w:rsid w:val="0094554E"/>
    <w:rsid w:val="00945E56"/>
    <w:rsid w:val="0094707D"/>
    <w:rsid w:val="009472D7"/>
    <w:rsid w:val="00947B3D"/>
    <w:rsid w:val="0095055C"/>
    <w:rsid w:val="009506F2"/>
    <w:rsid w:val="00950766"/>
    <w:rsid w:val="00950923"/>
    <w:rsid w:val="009510E7"/>
    <w:rsid w:val="0095142B"/>
    <w:rsid w:val="00951434"/>
    <w:rsid w:val="00951494"/>
    <w:rsid w:val="00951782"/>
    <w:rsid w:val="009517F4"/>
    <w:rsid w:val="00951CE6"/>
    <w:rsid w:val="00951D98"/>
    <w:rsid w:val="009522DF"/>
    <w:rsid w:val="009523EA"/>
    <w:rsid w:val="0095266F"/>
    <w:rsid w:val="00952BAF"/>
    <w:rsid w:val="009536CB"/>
    <w:rsid w:val="00953E72"/>
    <w:rsid w:val="00953F59"/>
    <w:rsid w:val="00954751"/>
    <w:rsid w:val="00954AD6"/>
    <w:rsid w:val="00954CD6"/>
    <w:rsid w:val="00954D1C"/>
    <w:rsid w:val="00954E80"/>
    <w:rsid w:val="00954ED4"/>
    <w:rsid w:val="009557CE"/>
    <w:rsid w:val="0095591B"/>
    <w:rsid w:val="00955B2B"/>
    <w:rsid w:val="00955DFD"/>
    <w:rsid w:val="0095655D"/>
    <w:rsid w:val="00956D8F"/>
    <w:rsid w:val="009570F3"/>
    <w:rsid w:val="00957483"/>
    <w:rsid w:val="0095767B"/>
    <w:rsid w:val="00957C63"/>
    <w:rsid w:val="00957C98"/>
    <w:rsid w:val="00957D10"/>
    <w:rsid w:val="00957E7F"/>
    <w:rsid w:val="0096015E"/>
    <w:rsid w:val="009602AB"/>
    <w:rsid w:val="00960449"/>
    <w:rsid w:val="009607FD"/>
    <w:rsid w:val="00960900"/>
    <w:rsid w:val="00960947"/>
    <w:rsid w:val="00960E04"/>
    <w:rsid w:val="00961169"/>
    <w:rsid w:val="00961250"/>
    <w:rsid w:val="009616C2"/>
    <w:rsid w:val="00961A1A"/>
    <w:rsid w:val="00961A4C"/>
    <w:rsid w:val="00961F8C"/>
    <w:rsid w:val="009621A5"/>
    <w:rsid w:val="009623CA"/>
    <w:rsid w:val="0096287B"/>
    <w:rsid w:val="009628F7"/>
    <w:rsid w:val="009637FD"/>
    <w:rsid w:val="00963DD1"/>
    <w:rsid w:val="0096411E"/>
    <w:rsid w:val="0096416C"/>
    <w:rsid w:val="0096535C"/>
    <w:rsid w:val="009658AB"/>
    <w:rsid w:val="00965BD5"/>
    <w:rsid w:val="00965C39"/>
    <w:rsid w:val="00965CE0"/>
    <w:rsid w:val="00965E31"/>
    <w:rsid w:val="00966A50"/>
    <w:rsid w:val="00966CA6"/>
    <w:rsid w:val="00966ED7"/>
    <w:rsid w:val="00967ADB"/>
    <w:rsid w:val="0097010A"/>
    <w:rsid w:val="009706D4"/>
    <w:rsid w:val="00970B6A"/>
    <w:rsid w:val="00970CC4"/>
    <w:rsid w:val="00970D7B"/>
    <w:rsid w:val="00972956"/>
    <w:rsid w:val="00972B1E"/>
    <w:rsid w:val="00972B93"/>
    <w:rsid w:val="00972C5B"/>
    <w:rsid w:val="00972F49"/>
    <w:rsid w:val="00973700"/>
    <w:rsid w:val="00973960"/>
    <w:rsid w:val="00973C50"/>
    <w:rsid w:val="0097539B"/>
    <w:rsid w:val="00975C91"/>
    <w:rsid w:val="00975D72"/>
    <w:rsid w:val="00976B89"/>
    <w:rsid w:val="00977318"/>
    <w:rsid w:val="0097757C"/>
    <w:rsid w:val="0098053B"/>
    <w:rsid w:val="009807C6"/>
    <w:rsid w:val="00980ACA"/>
    <w:rsid w:val="00980F14"/>
    <w:rsid w:val="0098125C"/>
    <w:rsid w:val="0098146B"/>
    <w:rsid w:val="00981877"/>
    <w:rsid w:val="009828BD"/>
    <w:rsid w:val="009829FD"/>
    <w:rsid w:val="00982A6F"/>
    <w:rsid w:val="00982F90"/>
    <w:rsid w:val="00983984"/>
    <w:rsid w:val="00983BA8"/>
    <w:rsid w:val="00983C3B"/>
    <w:rsid w:val="00984DFF"/>
    <w:rsid w:val="0098555E"/>
    <w:rsid w:val="009856E1"/>
    <w:rsid w:val="009857FB"/>
    <w:rsid w:val="00986423"/>
    <w:rsid w:val="009866B2"/>
    <w:rsid w:val="00986D0E"/>
    <w:rsid w:val="00986E15"/>
    <w:rsid w:val="009871C5"/>
    <w:rsid w:val="0098742C"/>
    <w:rsid w:val="0098765F"/>
    <w:rsid w:val="00987688"/>
    <w:rsid w:val="00987A47"/>
    <w:rsid w:val="00987DFA"/>
    <w:rsid w:val="009900E6"/>
    <w:rsid w:val="00990B6D"/>
    <w:rsid w:val="00990DDE"/>
    <w:rsid w:val="00991123"/>
    <w:rsid w:val="0099117B"/>
    <w:rsid w:val="00991550"/>
    <w:rsid w:val="0099181B"/>
    <w:rsid w:val="00992969"/>
    <w:rsid w:val="00993756"/>
    <w:rsid w:val="00993ACA"/>
    <w:rsid w:val="00993DAE"/>
    <w:rsid w:val="009942BA"/>
    <w:rsid w:val="0099462D"/>
    <w:rsid w:val="00994EAF"/>
    <w:rsid w:val="00995139"/>
    <w:rsid w:val="009953FE"/>
    <w:rsid w:val="009959E3"/>
    <w:rsid w:val="0099603B"/>
    <w:rsid w:val="00996446"/>
    <w:rsid w:val="00997040"/>
    <w:rsid w:val="0099721E"/>
    <w:rsid w:val="00997271"/>
    <w:rsid w:val="00997461"/>
    <w:rsid w:val="00997A4A"/>
    <w:rsid w:val="009A0B18"/>
    <w:rsid w:val="009A0B30"/>
    <w:rsid w:val="009A0B77"/>
    <w:rsid w:val="009A0FBA"/>
    <w:rsid w:val="009A1781"/>
    <w:rsid w:val="009A1DFB"/>
    <w:rsid w:val="009A1E37"/>
    <w:rsid w:val="009A2131"/>
    <w:rsid w:val="009A2189"/>
    <w:rsid w:val="009A228A"/>
    <w:rsid w:val="009A253C"/>
    <w:rsid w:val="009A2627"/>
    <w:rsid w:val="009A28F9"/>
    <w:rsid w:val="009A2E7A"/>
    <w:rsid w:val="009A2F7F"/>
    <w:rsid w:val="009A347B"/>
    <w:rsid w:val="009A39B3"/>
    <w:rsid w:val="009A3A46"/>
    <w:rsid w:val="009A4F81"/>
    <w:rsid w:val="009A5178"/>
    <w:rsid w:val="009A5D79"/>
    <w:rsid w:val="009A608A"/>
    <w:rsid w:val="009A62E0"/>
    <w:rsid w:val="009A6354"/>
    <w:rsid w:val="009A64BF"/>
    <w:rsid w:val="009A69D0"/>
    <w:rsid w:val="009A6A1B"/>
    <w:rsid w:val="009A6BD5"/>
    <w:rsid w:val="009A6DE2"/>
    <w:rsid w:val="009A6E4C"/>
    <w:rsid w:val="009A74C3"/>
    <w:rsid w:val="009A7D1C"/>
    <w:rsid w:val="009B0580"/>
    <w:rsid w:val="009B0714"/>
    <w:rsid w:val="009B0ED2"/>
    <w:rsid w:val="009B0F6A"/>
    <w:rsid w:val="009B129D"/>
    <w:rsid w:val="009B1335"/>
    <w:rsid w:val="009B14D7"/>
    <w:rsid w:val="009B1665"/>
    <w:rsid w:val="009B241F"/>
    <w:rsid w:val="009B27B5"/>
    <w:rsid w:val="009B31D6"/>
    <w:rsid w:val="009B385E"/>
    <w:rsid w:val="009B3AE9"/>
    <w:rsid w:val="009B4456"/>
    <w:rsid w:val="009B4E07"/>
    <w:rsid w:val="009B5C61"/>
    <w:rsid w:val="009B5CA5"/>
    <w:rsid w:val="009B5EB0"/>
    <w:rsid w:val="009B5F86"/>
    <w:rsid w:val="009B649A"/>
    <w:rsid w:val="009B68A3"/>
    <w:rsid w:val="009B69D6"/>
    <w:rsid w:val="009B6AAC"/>
    <w:rsid w:val="009B6F45"/>
    <w:rsid w:val="009B6F5B"/>
    <w:rsid w:val="009B702A"/>
    <w:rsid w:val="009C01F0"/>
    <w:rsid w:val="009C0292"/>
    <w:rsid w:val="009C0303"/>
    <w:rsid w:val="009C0693"/>
    <w:rsid w:val="009C0E41"/>
    <w:rsid w:val="009C18BB"/>
    <w:rsid w:val="009C1904"/>
    <w:rsid w:val="009C1AD8"/>
    <w:rsid w:val="009C1DA9"/>
    <w:rsid w:val="009C1E7C"/>
    <w:rsid w:val="009C1FBF"/>
    <w:rsid w:val="009C1FD9"/>
    <w:rsid w:val="009C21E0"/>
    <w:rsid w:val="009C256D"/>
    <w:rsid w:val="009C3555"/>
    <w:rsid w:val="009C3562"/>
    <w:rsid w:val="009C379A"/>
    <w:rsid w:val="009C37C7"/>
    <w:rsid w:val="009C38A5"/>
    <w:rsid w:val="009C3936"/>
    <w:rsid w:val="009C473C"/>
    <w:rsid w:val="009C4F42"/>
    <w:rsid w:val="009C51DE"/>
    <w:rsid w:val="009C5224"/>
    <w:rsid w:val="009C5419"/>
    <w:rsid w:val="009C5BEB"/>
    <w:rsid w:val="009C5E27"/>
    <w:rsid w:val="009C64FA"/>
    <w:rsid w:val="009C6C1D"/>
    <w:rsid w:val="009C6EDB"/>
    <w:rsid w:val="009C76E4"/>
    <w:rsid w:val="009C7BA4"/>
    <w:rsid w:val="009C7CE6"/>
    <w:rsid w:val="009D046D"/>
    <w:rsid w:val="009D0AFD"/>
    <w:rsid w:val="009D0E38"/>
    <w:rsid w:val="009D0E99"/>
    <w:rsid w:val="009D0F7A"/>
    <w:rsid w:val="009D1640"/>
    <w:rsid w:val="009D1A2B"/>
    <w:rsid w:val="009D244A"/>
    <w:rsid w:val="009D27D6"/>
    <w:rsid w:val="009D2A17"/>
    <w:rsid w:val="009D3554"/>
    <w:rsid w:val="009D4157"/>
    <w:rsid w:val="009D434D"/>
    <w:rsid w:val="009D4394"/>
    <w:rsid w:val="009D45AE"/>
    <w:rsid w:val="009D4EBA"/>
    <w:rsid w:val="009D50B3"/>
    <w:rsid w:val="009D53C5"/>
    <w:rsid w:val="009D5AA8"/>
    <w:rsid w:val="009D691C"/>
    <w:rsid w:val="009D6B60"/>
    <w:rsid w:val="009D6F6C"/>
    <w:rsid w:val="009D756C"/>
    <w:rsid w:val="009D7C0D"/>
    <w:rsid w:val="009D7D08"/>
    <w:rsid w:val="009E0728"/>
    <w:rsid w:val="009E0B37"/>
    <w:rsid w:val="009E0BF0"/>
    <w:rsid w:val="009E0C93"/>
    <w:rsid w:val="009E0F8F"/>
    <w:rsid w:val="009E1066"/>
    <w:rsid w:val="009E13E5"/>
    <w:rsid w:val="009E1853"/>
    <w:rsid w:val="009E1CCF"/>
    <w:rsid w:val="009E1EAC"/>
    <w:rsid w:val="009E2F3B"/>
    <w:rsid w:val="009E3169"/>
    <w:rsid w:val="009E3528"/>
    <w:rsid w:val="009E37A3"/>
    <w:rsid w:val="009E3B07"/>
    <w:rsid w:val="009E3BBC"/>
    <w:rsid w:val="009E3C3B"/>
    <w:rsid w:val="009E4848"/>
    <w:rsid w:val="009E4D3F"/>
    <w:rsid w:val="009E4F96"/>
    <w:rsid w:val="009E520E"/>
    <w:rsid w:val="009E54A0"/>
    <w:rsid w:val="009E5513"/>
    <w:rsid w:val="009E5540"/>
    <w:rsid w:val="009E5A1A"/>
    <w:rsid w:val="009E5D41"/>
    <w:rsid w:val="009E6606"/>
    <w:rsid w:val="009E681A"/>
    <w:rsid w:val="009E6F7C"/>
    <w:rsid w:val="009E765C"/>
    <w:rsid w:val="009E76AC"/>
    <w:rsid w:val="009E775C"/>
    <w:rsid w:val="009E77D2"/>
    <w:rsid w:val="009F08E5"/>
    <w:rsid w:val="009F0F39"/>
    <w:rsid w:val="009F12E1"/>
    <w:rsid w:val="009F1401"/>
    <w:rsid w:val="009F1416"/>
    <w:rsid w:val="009F1986"/>
    <w:rsid w:val="009F20AA"/>
    <w:rsid w:val="009F24FC"/>
    <w:rsid w:val="009F26D5"/>
    <w:rsid w:val="009F26F4"/>
    <w:rsid w:val="009F28C7"/>
    <w:rsid w:val="009F2912"/>
    <w:rsid w:val="009F30F1"/>
    <w:rsid w:val="009F3538"/>
    <w:rsid w:val="009F3701"/>
    <w:rsid w:val="009F3846"/>
    <w:rsid w:val="009F3EBC"/>
    <w:rsid w:val="009F40DE"/>
    <w:rsid w:val="009F4174"/>
    <w:rsid w:val="009F4633"/>
    <w:rsid w:val="009F4EA8"/>
    <w:rsid w:val="009F55B5"/>
    <w:rsid w:val="009F5AD9"/>
    <w:rsid w:val="009F5CF0"/>
    <w:rsid w:val="009F5E97"/>
    <w:rsid w:val="009F61A9"/>
    <w:rsid w:val="009F68BB"/>
    <w:rsid w:val="009F6F55"/>
    <w:rsid w:val="009F71DE"/>
    <w:rsid w:val="009F7316"/>
    <w:rsid w:val="009F7423"/>
    <w:rsid w:val="009F7B97"/>
    <w:rsid w:val="00A00531"/>
    <w:rsid w:val="00A014C6"/>
    <w:rsid w:val="00A025B3"/>
    <w:rsid w:val="00A0276E"/>
    <w:rsid w:val="00A028C3"/>
    <w:rsid w:val="00A0310E"/>
    <w:rsid w:val="00A0424C"/>
    <w:rsid w:val="00A049CA"/>
    <w:rsid w:val="00A04A55"/>
    <w:rsid w:val="00A05269"/>
    <w:rsid w:val="00A053CC"/>
    <w:rsid w:val="00A0540D"/>
    <w:rsid w:val="00A05F57"/>
    <w:rsid w:val="00A06A21"/>
    <w:rsid w:val="00A06AB1"/>
    <w:rsid w:val="00A07034"/>
    <w:rsid w:val="00A07207"/>
    <w:rsid w:val="00A07F76"/>
    <w:rsid w:val="00A10084"/>
    <w:rsid w:val="00A10656"/>
    <w:rsid w:val="00A10897"/>
    <w:rsid w:val="00A10C8A"/>
    <w:rsid w:val="00A11C70"/>
    <w:rsid w:val="00A11F87"/>
    <w:rsid w:val="00A124A0"/>
    <w:rsid w:val="00A128AF"/>
    <w:rsid w:val="00A12996"/>
    <w:rsid w:val="00A12A98"/>
    <w:rsid w:val="00A13352"/>
    <w:rsid w:val="00A139AC"/>
    <w:rsid w:val="00A13CE0"/>
    <w:rsid w:val="00A1416B"/>
    <w:rsid w:val="00A1431F"/>
    <w:rsid w:val="00A14B4E"/>
    <w:rsid w:val="00A14C73"/>
    <w:rsid w:val="00A15676"/>
    <w:rsid w:val="00A159CE"/>
    <w:rsid w:val="00A16110"/>
    <w:rsid w:val="00A16714"/>
    <w:rsid w:val="00A16AB7"/>
    <w:rsid w:val="00A16B92"/>
    <w:rsid w:val="00A16FCE"/>
    <w:rsid w:val="00A1747D"/>
    <w:rsid w:val="00A17AB7"/>
    <w:rsid w:val="00A17CDF"/>
    <w:rsid w:val="00A17DD5"/>
    <w:rsid w:val="00A208AA"/>
    <w:rsid w:val="00A20FFB"/>
    <w:rsid w:val="00A2103D"/>
    <w:rsid w:val="00A21346"/>
    <w:rsid w:val="00A2167F"/>
    <w:rsid w:val="00A219F9"/>
    <w:rsid w:val="00A21F9F"/>
    <w:rsid w:val="00A229D0"/>
    <w:rsid w:val="00A22B57"/>
    <w:rsid w:val="00A232F4"/>
    <w:rsid w:val="00A23383"/>
    <w:rsid w:val="00A2342A"/>
    <w:rsid w:val="00A2376F"/>
    <w:rsid w:val="00A2431B"/>
    <w:rsid w:val="00A246E5"/>
    <w:rsid w:val="00A2472D"/>
    <w:rsid w:val="00A247FD"/>
    <w:rsid w:val="00A24DD7"/>
    <w:rsid w:val="00A24E69"/>
    <w:rsid w:val="00A24F5C"/>
    <w:rsid w:val="00A2512F"/>
    <w:rsid w:val="00A2520C"/>
    <w:rsid w:val="00A253D5"/>
    <w:rsid w:val="00A25844"/>
    <w:rsid w:val="00A25A01"/>
    <w:rsid w:val="00A25B4B"/>
    <w:rsid w:val="00A25FF6"/>
    <w:rsid w:val="00A260D7"/>
    <w:rsid w:val="00A26164"/>
    <w:rsid w:val="00A262BB"/>
    <w:rsid w:val="00A26603"/>
    <w:rsid w:val="00A269D4"/>
    <w:rsid w:val="00A26AF5"/>
    <w:rsid w:val="00A26BCA"/>
    <w:rsid w:val="00A26E4A"/>
    <w:rsid w:val="00A275DF"/>
    <w:rsid w:val="00A278A4"/>
    <w:rsid w:val="00A27A41"/>
    <w:rsid w:val="00A3009A"/>
    <w:rsid w:val="00A3084E"/>
    <w:rsid w:val="00A30995"/>
    <w:rsid w:val="00A30ABB"/>
    <w:rsid w:val="00A311E7"/>
    <w:rsid w:val="00A3137B"/>
    <w:rsid w:val="00A31534"/>
    <w:rsid w:val="00A31BA7"/>
    <w:rsid w:val="00A31FF7"/>
    <w:rsid w:val="00A32357"/>
    <w:rsid w:val="00A324D5"/>
    <w:rsid w:val="00A3254C"/>
    <w:rsid w:val="00A3277A"/>
    <w:rsid w:val="00A33AF9"/>
    <w:rsid w:val="00A33B2D"/>
    <w:rsid w:val="00A33BC4"/>
    <w:rsid w:val="00A33F26"/>
    <w:rsid w:val="00A3438C"/>
    <w:rsid w:val="00A34864"/>
    <w:rsid w:val="00A348E4"/>
    <w:rsid w:val="00A357B2"/>
    <w:rsid w:val="00A357C3"/>
    <w:rsid w:val="00A359E3"/>
    <w:rsid w:val="00A35B40"/>
    <w:rsid w:val="00A35B83"/>
    <w:rsid w:val="00A35CF8"/>
    <w:rsid w:val="00A35EDB"/>
    <w:rsid w:val="00A36B36"/>
    <w:rsid w:val="00A36EC4"/>
    <w:rsid w:val="00A36FD3"/>
    <w:rsid w:val="00A373E0"/>
    <w:rsid w:val="00A40257"/>
    <w:rsid w:val="00A4067F"/>
    <w:rsid w:val="00A40952"/>
    <w:rsid w:val="00A4098A"/>
    <w:rsid w:val="00A40ADC"/>
    <w:rsid w:val="00A40BE2"/>
    <w:rsid w:val="00A40CF6"/>
    <w:rsid w:val="00A40E37"/>
    <w:rsid w:val="00A41907"/>
    <w:rsid w:val="00A41996"/>
    <w:rsid w:val="00A41AE6"/>
    <w:rsid w:val="00A41C3C"/>
    <w:rsid w:val="00A42B8E"/>
    <w:rsid w:val="00A42DF0"/>
    <w:rsid w:val="00A43557"/>
    <w:rsid w:val="00A4361D"/>
    <w:rsid w:val="00A436C4"/>
    <w:rsid w:val="00A4399E"/>
    <w:rsid w:val="00A43AC9"/>
    <w:rsid w:val="00A44135"/>
    <w:rsid w:val="00A4454A"/>
    <w:rsid w:val="00A44B1D"/>
    <w:rsid w:val="00A44E9B"/>
    <w:rsid w:val="00A45099"/>
    <w:rsid w:val="00A45858"/>
    <w:rsid w:val="00A45D29"/>
    <w:rsid w:val="00A45EA1"/>
    <w:rsid w:val="00A45FF5"/>
    <w:rsid w:val="00A4684E"/>
    <w:rsid w:val="00A46D28"/>
    <w:rsid w:val="00A46D59"/>
    <w:rsid w:val="00A472EE"/>
    <w:rsid w:val="00A4778B"/>
    <w:rsid w:val="00A477B0"/>
    <w:rsid w:val="00A479BA"/>
    <w:rsid w:val="00A5011A"/>
    <w:rsid w:val="00A503C6"/>
    <w:rsid w:val="00A504F2"/>
    <w:rsid w:val="00A505EE"/>
    <w:rsid w:val="00A50BC8"/>
    <w:rsid w:val="00A51361"/>
    <w:rsid w:val="00A51872"/>
    <w:rsid w:val="00A51A9F"/>
    <w:rsid w:val="00A52470"/>
    <w:rsid w:val="00A5290F"/>
    <w:rsid w:val="00A52A06"/>
    <w:rsid w:val="00A52E7D"/>
    <w:rsid w:val="00A53095"/>
    <w:rsid w:val="00A5321D"/>
    <w:rsid w:val="00A53CEB"/>
    <w:rsid w:val="00A53E52"/>
    <w:rsid w:val="00A53EAB"/>
    <w:rsid w:val="00A54248"/>
    <w:rsid w:val="00A54895"/>
    <w:rsid w:val="00A54972"/>
    <w:rsid w:val="00A54C4A"/>
    <w:rsid w:val="00A55099"/>
    <w:rsid w:val="00A551BD"/>
    <w:rsid w:val="00A552CD"/>
    <w:rsid w:val="00A553C8"/>
    <w:rsid w:val="00A5581C"/>
    <w:rsid w:val="00A55F09"/>
    <w:rsid w:val="00A562C4"/>
    <w:rsid w:val="00A56793"/>
    <w:rsid w:val="00A56B1E"/>
    <w:rsid w:val="00A56E27"/>
    <w:rsid w:val="00A56E85"/>
    <w:rsid w:val="00A57420"/>
    <w:rsid w:val="00A577F3"/>
    <w:rsid w:val="00A57929"/>
    <w:rsid w:val="00A57B08"/>
    <w:rsid w:val="00A6046E"/>
    <w:rsid w:val="00A60ADB"/>
    <w:rsid w:val="00A60CB7"/>
    <w:rsid w:val="00A613D9"/>
    <w:rsid w:val="00A61413"/>
    <w:rsid w:val="00A61530"/>
    <w:rsid w:val="00A61580"/>
    <w:rsid w:val="00A61B2C"/>
    <w:rsid w:val="00A61B81"/>
    <w:rsid w:val="00A61DDD"/>
    <w:rsid w:val="00A62811"/>
    <w:rsid w:val="00A631C8"/>
    <w:rsid w:val="00A63E8C"/>
    <w:rsid w:val="00A63EEE"/>
    <w:rsid w:val="00A64417"/>
    <w:rsid w:val="00A64C9F"/>
    <w:rsid w:val="00A653F3"/>
    <w:rsid w:val="00A665C7"/>
    <w:rsid w:val="00A66C93"/>
    <w:rsid w:val="00A66F00"/>
    <w:rsid w:val="00A67702"/>
    <w:rsid w:val="00A67E3F"/>
    <w:rsid w:val="00A70ECB"/>
    <w:rsid w:val="00A70F74"/>
    <w:rsid w:val="00A712F7"/>
    <w:rsid w:val="00A71437"/>
    <w:rsid w:val="00A7235A"/>
    <w:rsid w:val="00A72531"/>
    <w:rsid w:val="00A7303D"/>
    <w:rsid w:val="00A73291"/>
    <w:rsid w:val="00A7334C"/>
    <w:rsid w:val="00A73467"/>
    <w:rsid w:val="00A73809"/>
    <w:rsid w:val="00A73A43"/>
    <w:rsid w:val="00A73CFF"/>
    <w:rsid w:val="00A73D3B"/>
    <w:rsid w:val="00A73E27"/>
    <w:rsid w:val="00A7415E"/>
    <w:rsid w:val="00A75345"/>
    <w:rsid w:val="00A7545C"/>
    <w:rsid w:val="00A754ED"/>
    <w:rsid w:val="00A756AD"/>
    <w:rsid w:val="00A75C7D"/>
    <w:rsid w:val="00A7645D"/>
    <w:rsid w:val="00A7655A"/>
    <w:rsid w:val="00A76EC8"/>
    <w:rsid w:val="00A774B8"/>
    <w:rsid w:val="00A775A3"/>
    <w:rsid w:val="00A77C0D"/>
    <w:rsid w:val="00A77FED"/>
    <w:rsid w:val="00A8050C"/>
    <w:rsid w:val="00A80817"/>
    <w:rsid w:val="00A809BE"/>
    <w:rsid w:val="00A80B1C"/>
    <w:rsid w:val="00A80E34"/>
    <w:rsid w:val="00A818C4"/>
    <w:rsid w:val="00A81BF1"/>
    <w:rsid w:val="00A822B2"/>
    <w:rsid w:val="00A8262B"/>
    <w:rsid w:val="00A82E32"/>
    <w:rsid w:val="00A82E84"/>
    <w:rsid w:val="00A83517"/>
    <w:rsid w:val="00A8379A"/>
    <w:rsid w:val="00A842B9"/>
    <w:rsid w:val="00A84AB7"/>
    <w:rsid w:val="00A84FBB"/>
    <w:rsid w:val="00A85143"/>
    <w:rsid w:val="00A85F86"/>
    <w:rsid w:val="00A86220"/>
    <w:rsid w:val="00A86289"/>
    <w:rsid w:val="00A8674C"/>
    <w:rsid w:val="00A86B00"/>
    <w:rsid w:val="00A87080"/>
    <w:rsid w:val="00A8747A"/>
    <w:rsid w:val="00A876D0"/>
    <w:rsid w:val="00A87B67"/>
    <w:rsid w:val="00A9000D"/>
    <w:rsid w:val="00A90052"/>
    <w:rsid w:val="00A901DF"/>
    <w:rsid w:val="00A907F7"/>
    <w:rsid w:val="00A909B6"/>
    <w:rsid w:val="00A90B68"/>
    <w:rsid w:val="00A90D4E"/>
    <w:rsid w:val="00A90F91"/>
    <w:rsid w:val="00A910DA"/>
    <w:rsid w:val="00A91384"/>
    <w:rsid w:val="00A915DE"/>
    <w:rsid w:val="00A919D6"/>
    <w:rsid w:val="00A91DA2"/>
    <w:rsid w:val="00A92200"/>
    <w:rsid w:val="00A93932"/>
    <w:rsid w:val="00A93E28"/>
    <w:rsid w:val="00A93F4B"/>
    <w:rsid w:val="00A93FC2"/>
    <w:rsid w:val="00A942BA"/>
    <w:rsid w:val="00A949D2"/>
    <w:rsid w:val="00A9559C"/>
    <w:rsid w:val="00A955CE"/>
    <w:rsid w:val="00A95B1D"/>
    <w:rsid w:val="00A95DD5"/>
    <w:rsid w:val="00A961F8"/>
    <w:rsid w:val="00A964D5"/>
    <w:rsid w:val="00A96A4E"/>
    <w:rsid w:val="00A96FF0"/>
    <w:rsid w:val="00A97593"/>
    <w:rsid w:val="00A977A0"/>
    <w:rsid w:val="00A97C74"/>
    <w:rsid w:val="00A97CA5"/>
    <w:rsid w:val="00A97D4C"/>
    <w:rsid w:val="00AA06C5"/>
    <w:rsid w:val="00AA094A"/>
    <w:rsid w:val="00AA0B93"/>
    <w:rsid w:val="00AA12CB"/>
    <w:rsid w:val="00AA1768"/>
    <w:rsid w:val="00AA17E6"/>
    <w:rsid w:val="00AA1AA6"/>
    <w:rsid w:val="00AA1AAC"/>
    <w:rsid w:val="00AA1E7C"/>
    <w:rsid w:val="00AA1F09"/>
    <w:rsid w:val="00AA21C0"/>
    <w:rsid w:val="00AA23E2"/>
    <w:rsid w:val="00AA24BA"/>
    <w:rsid w:val="00AA2B8F"/>
    <w:rsid w:val="00AA2C74"/>
    <w:rsid w:val="00AA2D08"/>
    <w:rsid w:val="00AA34E3"/>
    <w:rsid w:val="00AA3625"/>
    <w:rsid w:val="00AA3C21"/>
    <w:rsid w:val="00AA3DD9"/>
    <w:rsid w:val="00AA4173"/>
    <w:rsid w:val="00AA4186"/>
    <w:rsid w:val="00AA4306"/>
    <w:rsid w:val="00AA432B"/>
    <w:rsid w:val="00AA43E8"/>
    <w:rsid w:val="00AA44B1"/>
    <w:rsid w:val="00AA4A49"/>
    <w:rsid w:val="00AA4BE4"/>
    <w:rsid w:val="00AA58B9"/>
    <w:rsid w:val="00AA63C9"/>
    <w:rsid w:val="00AA68B3"/>
    <w:rsid w:val="00AA6991"/>
    <w:rsid w:val="00AA6C49"/>
    <w:rsid w:val="00AA6C65"/>
    <w:rsid w:val="00AA741E"/>
    <w:rsid w:val="00AA7C65"/>
    <w:rsid w:val="00AB14B9"/>
    <w:rsid w:val="00AB225D"/>
    <w:rsid w:val="00AB2526"/>
    <w:rsid w:val="00AB2532"/>
    <w:rsid w:val="00AB275F"/>
    <w:rsid w:val="00AB27EA"/>
    <w:rsid w:val="00AB2EB2"/>
    <w:rsid w:val="00AB325D"/>
    <w:rsid w:val="00AB3846"/>
    <w:rsid w:val="00AB3877"/>
    <w:rsid w:val="00AB3BD5"/>
    <w:rsid w:val="00AB3C26"/>
    <w:rsid w:val="00AB4154"/>
    <w:rsid w:val="00AB4171"/>
    <w:rsid w:val="00AB48D3"/>
    <w:rsid w:val="00AB4979"/>
    <w:rsid w:val="00AB4A5C"/>
    <w:rsid w:val="00AB4BFA"/>
    <w:rsid w:val="00AB52DB"/>
    <w:rsid w:val="00AB5365"/>
    <w:rsid w:val="00AB5AAB"/>
    <w:rsid w:val="00AB5C7E"/>
    <w:rsid w:val="00AB62DB"/>
    <w:rsid w:val="00AB644B"/>
    <w:rsid w:val="00AB6775"/>
    <w:rsid w:val="00AB75FC"/>
    <w:rsid w:val="00AB780B"/>
    <w:rsid w:val="00AB7F96"/>
    <w:rsid w:val="00AC0148"/>
    <w:rsid w:val="00AC0287"/>
    <w:rsid w:val="00AC0A16"/>
    <w:rsid w:val="00AC138D"/>
    <w:rsid w:val="00AC17A3"/>
    <w:rsid w:val="00AC1FFA"/>
    <w:rsid w:val="00AC22F9"/>
    <w:rsid w:val="00AC28FE"/>
    <w:rsid w:val="00AC297B"/>
    <w:rsid w:val="00AC2C94"/>
    <w:rsid w:val="00AC3862"/>
    <w:rsid w:val="00AC4123"/>
    <w:rsid w:val="00AC451A"/>
    <w:rsid w:val="00AC478F"/>
    <w:rsid w:val="00AC4C2C"/>
    <w:rsid w:val="00AC4DE1"/>
    <w:rsid w:val="00AC537D"/>
    <w:rsid w:val="00AC552C"/>
    <w:rsid w:val="00AC5B6A"/>
    <w:rsid w:val="00AC652C"/>
    <w:rsid w:val="00AC6554"/>
    <w:rsid w:val="00AC68D7"/>
    <w:rsid w:val="00AC6B78"/>
    <w:rsid w:val="00AC6D0B"/>
    <w:rsid w:val="00AC6D19"/>
    <w:rsid w:val="00AC70C0"/>
    <w:rsid w:val="00AD02B7"/>
    <w:rsid w:val="00AD03D6"/>
    <w:rsid w:val="00AD0593"/>
    <w:rsid w:val="00AD05B0"/>
    <w:rsid w:val="00AD0A0E"/>
    <w:rsid w:val="00AD0B66"/>
    <w:rsid w:val="00AD135F"/>
    <w:rsid w:val="00AD1831"/>
    <w:rsid w:val="00AD18EE"/>
    <w:rsid w:val="00AD2747"/>
    <w:rsid w:val="00AD3037"/>
    <w:rsid w:val="00AD3296"/>
    <w:rsid w:val="00AD33BC"/>
    <w:rsid w:val="00AD391C"/>
    <w:rsid w:val="00AD49FA"/>
    <w:rsid w:val="00AD4C26"/>
    <w:rsid w:val="00AD52BD"/>
    <w:rsid w:val="00AD5DB5"/>
    <w:rsid w:val="00AD67D6"/>
    <w:rsid w:val="00AD6B3E"/>
    <w:rsid w:val="00AD70E2"/>
    <w:rsid w:val="00AD7588"/>
    <w:rsid w:val="00AD7C28"/>
    <w:rsid w:val="00AD7C88"/>
    <w:rsid w:val="00AE0962"/>
    <w:rsid w:val="00AE0A91"/>
    <w:rsid w:val="00AE0FCB"/>
    <w:rsid w:val="00AE1B7D"/>
    <w:rsid w:val="00AE1C38"/>
    <w:rsid w:val="00AE2C29"/>
    <w:rsid w:val="00AE2FBA"/>
    <w:rsid w:val="00AE3242"/>
    <w:rsid w:val="00AE3298"/>
    <w:rsid w:val="00AE36B4"/>
    <w:rsid w:val="00AE382A"/>
    <w:rsid w:val="00AE38F7"/>
    <w:rsid w:val="00AE3CF0"/>
    <w:rsid w:val="00AE4098"/>
    <w:rsid w:val="00AE4226"/>
    <w:rsid w:val="00AE4CD3"/>
    <w:rsid w:val="00AE4F2B"/>
    <w:rsid w:val="00AE53B1"/>
    <w:rsid w:val="00AE5A7C"/>
    <w:rsid w:val="00AE6090"/>
    <w:rsid w:val="00AE6236"/>
    <w:rsid w:val="00AE6583"/>
    <w:rsid w:val="00AE6630"/>
    <w:rsid w:val="00AE6724"/>
    <w:rsid w:val="00AE6BCD"/>
    <w:rsid w:val="00AE710C"/>
    <w:rsid w:val="00AE7375"/>
    <w:rsid w:val="00AE76F3"/>
    <w:rsid w:val="00AE77D6"/>
    <w:rsid w:val="00AF0002"/>
    <w:rsid w:val="00AF0481"/>
    <w:rsid w:val="00AF0AEB"/>
    <w:rsid w:val="00AF0C58"/>
    <w:rsid w:val="00AF1079"/>
    <w:rsid w:val="00AF1D5E"/>
    <w:rsid w:val="00AF203B"/>
    <w:rsid w:val="00AF2484"/>
    <w:rsid w:val="00AF2BC0"/>
    <w:rsid w:val="00AF49EA"/>
    <w:rsid w:val="00AF4F20"/>
    <w:rsid w:val="00AF4F66"/>
    <w:rsid w:val="00AF5647"/>
    <w:rsid w:val="00AF56B7"/>
    <w:rsid w:val="00AF5AFE"/>
    <w:rsid w:val="00AF666D"/>
    <w:rsid w:val="00AF6804"/>
    <w:rsid w:val="00AF6AA5"/>
    <w:rsid w:val="00AF6AB0"/>
    <w:rsid w:val="00AF6DE2"/>
    <w:rsid w:val="00AF7210"/>
    <w:rsid w:val="00AF7582"/>
    <w:rsid w:val="00B00433"/>
    <w:rsid w:val="00B00AFA"/>
    <w:rsid w:val="00B017D8"/>
    <w:rsid w:val="00B01A56"/>
    <w:rsid w:val="00B01E99"/>
    <w:rsid w:val="00B025A5"/>
    <w:rsid w:val="00B0383E"/>
    <w:rsid w:val="00B03852"/>
    <w:rsid w:val="00B03B76"/>
    <w:rsid w:val="00B03C53"/>
    <w:rsid w:val="00B03D71"/>
    <w:rsid w:val="00B04FF3"/>
    <w:rsid w:val="00B05AD9"/>
    <w:rsid w:val="00B06117"/>
    <w:rsid w:val="00B06278"/>
    <w:rsid w:val="00B069A8"/>
    <w:rsid w:val="00B06ADB"/>
    <w:rsid w:val="00B06CC6"/>
    <w:rsid w:val="00B06E1B"/>
    <w:rsid w:val="00B070B9"/>
    <w:rsid w:val="00B075AD"/>
    <w:rsid w:val="00B0787B"/>
    <w:rsid w:val="00B07891"/>
    <w:rsid w:val="00B07980"/>
    <w:rsid w:val="00B07B63"/>
    <w:rsid w:val="00B07DA6"/>
    <w:rsid w:val="00B10795"/>
    <w:rsid w:val="00B10956"/>
    <w:rsid w:val="00B10E0B"/>
    <w:rsid w:val="00B11876"/>
    <w:rsid w:val="00B120C0"/>
    <w:rsid w:val="00B124BB"/>
    <w:rsid w:val="00B12647"/>
    <w:rsid w:val="00B1287F"/>
    <w:rsid w:val="00B12922"/>
    <w:rsid w:val="00B12BBF"/>
    <w:rsid w:val="00B12F5A"/>
    <w:rsid w:val="00B13302"/>
    <w:rsid w:val="00B1392B"/>
    <w:rsid w:val="00B13AF4"/>
    <w:rsid w:val="00B13F63"/>
    <w:rsid w:val="00B14196"/>
    <w:rsid w:val="00B1487F"/>
    <w:rsid w:val="00B14921"/>
    <w:rsid w:val="00B14E80"/>
    <w:rsid w:val="00B1501A"/>
    <w:rsid w:val="00B15683"/>
    <w:rsid w:val="00B158D7"/>
    <w:rsid w:val="00B15B7C"/>
    <w:rsid w:val="00B15C7C"/>
    <w:rsid w:val="00B15EDE"/>
    <w:rsid w:val="00B160BA"/>
    <w:rsid w:val="00B1651F"/>
    <w:rsid w:val="00B166D4"/>
    <w:rsid w:val="00B16745"/>
    <w:rsid w:val="00B175E1"/>
    <w:rsid w:val="00B175E2"/>
    <w:rsid w:val="00B17922"/>
    <w:rsid w:val="00B179BB"/>
    <w:rsid w:val="00B206CE"/>
    <w:rsid w:val="00B20DA0"/>
    <w:rsid w:val="00B20DB6"/>
    <w:rsid w:val="00B21420"/>
    <w:rsid w:val="00B2149A"/>
    <w:rsid w:val="00B2158E"/>
    <w:rsid w:val="00B21FAC"/>
    <w:rsid w:val="00B2231F"/>
    <w:rsid w:val="00B223DF"/>
    <w:rsid w:val="00B22493"/>
    <w:rsid w:val="00B224A8"/>
    <w:rsid w:val="00B229BB"/>
    <w:rsid w:val="00B22C57"/>
    <w:rsid w:val="00B23142"/>
    <w:rsid w:val="00B2360C"/>
    <w:rsid w:val="00B23832"/>
    <w:rsid w:val="00B23EFF"/>
    <w:rsid w:val="00B245CF"/>
    <w:rsid w:val="00B24765"/>
    <w:rsid w:val="00B24FBC"/>
    <w:rsid w:val="00B257D3"/>
    <w:rsid w:val="00B25AB2"/>
    <w:rsid w:val="00B26305"/>
    <w:rsid w:val="00B26A62"/>
    <w:rsid w:val="00B26AD4"/>
    <w:rsid w:val="00B26E98"/>
    <w:rsid w:val="00B26F77"/>
    <w:rsid w:val="00B27011"/>
    <w:rsid w:val="00B270F6"/>
    <w:rsid w:val="00B27582"/>
    <w:rsid w:val="00B2767E"/>
    <w:rsid w:val="00B27922"/>
    <w:rsid w:val="00B27ACE"/>
    <w:rsid w:val="00B30238"/>
    <w:rsid w:val="00B3044D"/>
    <w:rsid w:val="00B3050B"/>
    <w:rsid w:val="00B307F2"/>
    <w:rsid w:val="00B3082A"/>
    <w:rsid w:val="00B30A60"/>
    <w:rsid w:val="00B30B20"/>
    <w:rsid w:val="00B30EA5"/>
    <w:rsid w:val="00B314D1"/>
    <w:rsid w:val="00B31748"/>
    <w:rsid w:val="00B31C36"/>
    <w:rsid w:val="00B31D68"/>
    <w:rsid w:val="00B31F3C"/>
    <w:rsid w:val="00B31FD2"/>
    <w:rsid w:val="00B33139"/>
    <w:rsid w:val="00B336C5"/>
    <w:rsid w:val="00B33B3A"/>
    <w:rsid w:val="00B33D84"/>
    <w:rsid w:val="00B340FA"/>
    <w:rsid w:val="00B34227"/>
    <w:rsid w:val="00B3429A"/>
    <w:rsid w:val="00B3450B"/>
    <w:rsid w:val="00B353BF"/>
    <w:rsid w:val="00B35C30"/>
    <w:rsid w:val="00B36423"/>
    <w:rsid w:val="00B3655F"/>
    <w:rsid w:val="00B36FC7"/>
    <w:rsid w:val="00B37033"/>
    <w:rsid w:val="00B370F3"/>
    <w:rsid w:val="00B37B74"/>
    <w:rsid w:val="00B37BA4"/>
    <w:rsid w:val="00B4072C"/>
    <w:rsid w:val="00B4095A"/>
    <w:rsid w:val="00B40BBE"/>
    <w:rsid w:val="00B40CAF"/>
    <w:rsid w:val="00B40D2F"/>
    <w:rsid w:val="00B4139F"/>
    <w:rsid w:val="00B429BA"/>
    <w:rsid w:val="00B42D85"/>
    <w:rsid w:val="00B42E79"/>
    <w:rsid w:val="00B433DE"/>
    <w:rsid w:val="00B4369C"/>
    <w:rsid w:val="00B437BB"/>
    <w:rsid w:val="00B440F1"/>
    <w:rsid w:val="00B44444"/>
    <w:rsid w:val="00B444C7"/>
    <w:rsid w:val="00B44A2B"/>
    <w:rsid w:val="00B4516E"/>
    <w:rsid w:val="00B45389"/>
    <w:rsid w:val="00B457E2"/>
    <w:rsid w:val="00B458C2"/>
    <w:rsid w:val="00B4690A"/>
    <w:rsid w:val="00B4717F"/>
    <w:rsid w:val="00B4780B"/>
    <w:rsid w:val="00B47AF6"/>
    <w:rsid w:val="00B50F32"/>
    <w:rsid w:val="00B512C9"/>
    <w:rsid w:val="00B52051"/>
    <w:rsid w:val="00B5221E"/>
    <w:rsid w:val="00B5248C"/>
    <w:rsid w:val="00B526A3"/>
    <w:rsid w:val="00B52D73"/>
    <w:rsid w:val="00B53063"/>
    <w:rsid w:val="00B533C7"/>
    <w:rsid w:val="00B5361C"/>
    <w:rsid w:val="00B53682"/>
    <w:rsid w:val="00B538B9"/>
    <w:rsid w:val="00B53D4A"/>
    <w:rsid w:val="00B53EE2"/>
    <w:rsid w:val="00B54457"/>
    <w:rsid w:val="00B54531"/>
    <w:rsid w:val="00B547F6"/>
    <w:rsid w:val="00B54FAF"/>
    <w:rsid w:val="00B55189"/>
    <w:rsid w:val="00B55347"/>
    <w:rsid w:val="00B55530"/>
    <w:rsid w:val="00B55A37"/>
    <w:rsid w:val="00B55E1C"/>
    <w:rsid w:val="00B56271"/>
    <w:rsid w:val="00B56CB8"/>
    <w:rsid w:val="00B56D3B"/>
    <w:rsid w:val="00B56E85"/>
    <w:rsid w:val="00B56FB8"/>
    <w:rsid w:val="00B57901"/>
    <w:rsid w:val="00B57B00"/>
    <w:rsid w:val="00B57BDF"/>
    <w:rsid w:val="00B57E69"/>
    <w:rsid w:val="00B601AA"/>
    <w:rsid w:val="00B60C53"/>
    <w:rsid w:val="00B60DC1"/>
    <w:rsid w:val="00B60F9D"/>
    <w:rsid w:val="00B61B16"/>
    <w:rsid w:val="00B62003"/>
    <w:rsid w:val="00B62110"/>
    <w:rsid w:val="00B62425"/>
    <w:rsid w:val="00B62BAF"/>
    <w:rsid w:val="00B63B96"/>
    <w:rsid w:val="00B63F44"/>
    <w:rsid w:val="00B6404F"/>
    <w:rsid w:val="00B649A3"/>
    <w:rsid w:val="00B64CD9"/>
    <w:rsid w:val="00B65160"/>
    <w:rsid w:val="00B6549C"/>
    <w:rsid w:val="00B6553F"/>
    <w:rsid w:val="00B6561B"/>
    <w:rsid w:val="00B6566B"/>
    <w:rsid w:val="00B65C8D"/>
    <w:rsid w:val="00B65DA8"/>
    <w:rsid w:val="00B65EFE"/>
    <w:rsid w:val="00B66344"/>
    <w:rsid w:val="00B669AA"/>
    <w:rsid w:val="00B66B90"/>
    <w:rsid w:val="00B670BF"/>
    <w:rsid w:val="00B670E1"/>
    <w:rsid w:val="00B674B6"/>
    <w:rsid w:val="00B67A58"/>
    <w:rsid w:val="00B7023B"/>
    <w:rsid w:val="00B702FF"/>
    <w:rsid w:val="00B70436"/>
    <w:rsid w:val="00B70562"/>
    <w:rsid w:val="00B70D3B"/>
    <w:rsid w:val="00B71320"/>
    <w:rsid w:val="00B71A99"/>
    <w:rsid w:val="00B71B3E"/>
    <w:rsid w:val="00B71BB3"/>
    <w:rsid w:val="00B7210F"/>
    <w:rsid w:val="00B72791"/>
    <w:rsid w:val="00B72C60"/>
    <w:rsid w:val="00B73397"/>
    <w:rsid w:val="00B7377D"/>
    <w:rsid w:val="00B739CC"/>
    <w:rsid w:val="00B74098"/>
    <w:rsid w:val="00B740EF"/>
    <w:rsid w:val="00B74861"/>
    <w:rsid w:val="00B74B2A"/>
    <w:rsid w:val="00B74B7C"/>
    <w:rsid w:val="00B75123"/>
    <w:rsid w:val="00B7574E"/>
    <w:rsid w:val="00B75A06"/>
    <w:rsid w:val="00B75B80"/>
    <w:rsid w:val="00B75C14"/>
    <w:rsid w:val="00B75D1F"/>
    <w:rsid w:val="00B76499"/>
    <w:rsid w:val="00B765CC"/>
    <w:rsid w:val="00B76A62"/>
    <w:rsid w:val="00B76FAE"/>
    <w:rsid w:val="00B77603"/>
    <w:rsid w:val="00B77C75"/>
    <w:rsid w:val="00B77F09"/>
    <w:rsid w:val="00B8027E"/>
    <w:rsid w:val="00B80545"/>
    <w:rsid w:val="00B80BE4"/>
    <w:rsid w:val="00B80CD3"/>
    <w:rsid w:val="00B81AA9"/>
    <w:rsid w:val="00B81EC8"/>
    <w:rsid w:val="00B82061"/>
    <w:rsid w:val="00B8248A"/>
    <w:rsid w:val="00B82664"/>
    <w:rsid w:val="00B82A0A"/>
    <w:rsid w:val="00B82EA0"/>
    <w:rsid w:val="00B83024"/>
    <w:rsid w:val="00B836F9"/>
    <w:rsid w:val="00B83743"/>
    <w:rsid w:val="00B8374F"/>
    <w:rsid w:val="00B83BCF"/>
    <w:rsid w:val="00B83E0A"/>
    <w:rsid w:val="00B84996"/>
    <w:rsid w:val="00B8504C"/>
    <w:rsid w:val="00B862EF"/>
    <w:rsid w:val="00B86500"/>
    <w:rsid w:val="00B8656E"/>
    <w:rsid w:val="00B8691D"/>
    <w:rsid w:val="00B870F1"/>
    <w:rsid w:val="00B8751C"/>
    <w:rsid w:val="00B876CB"/>
    <w:rsid w:val="00B8775E"/>
    <w:rsid w:val="00B902C1"/>
    <w:rsid w:val="00B90768"/>
    <w:rsid w:val="00B90893"/>
    <w:rsid w:val="00B9168D"/>
    <w:rsid w:val="00B9172A"/>
    <w:rsid w:val="00B91993"/>
    <w:rsid w:val="00B927B5"/>
    <w:rsid w:val="00B92A23"/>
    <w:rsid w:val="00B92BF0"/>
    <w:rsid w:val="00B9359C"/>
    <w:rsid w:val="00B93856"/>
    <w:rsid w:val="00B93B79"/>
    <w:rsid w:val="00B93FEB"/>
    <w:rsid w:val="00B942BD"/>
    <w:rsid w:val="00B94515"/>
    <w:rsid w:val="00B94A33"/>
    <w:rsid w:val="00B94F63"/>
    <w:rsid w:val="00B95327"/>
    <w:rsid w:val="00B95B7D"/>
    <w:rsid w:val="00B95D29"/>
    <w:rsid w:val="00B95D37"/>
    <w:rsid w:val="00B9611C"/>
    <w:rsid w:val="00B966A1"/>
    <w:rsid w:val="00B968D3"/>
    <w:rsid w:val="00B97493"/>
    <w:rsid w:val="00B9762E"/>
    <w:rsid w:val="00B97A26"/>
    <w:rsid w:val="00B97BAB"/>
    <w:rsid w:val="00B97C5F"/>
    <w:rsid w:val="00BA0307"/>
    <w:rsid w:val="00BA0612"/>
    <w:rsid w:val="00BA0760"/>
    <w:rsid w:val="00BA0E6D"/>
    <w:rsid w:val="00BA1061"/>
    <w:rsid w:val="00BA12BF"/>
    <w:rsid w:val="00BA1490"/>
    <w:rsid w:val="00BA156B"/>
    <w:rsid w:val="00BA1605"/>
    <w:rsid w:val="00BA287A"/>
    <w:rsid w:val="00BA2A44"/>
    <w:rsid w:val="00BA2DDF"/>
    <w:rsid w:val="00BA3616"/>
    <w:rsid w:val="00BA3AA5"/>
    <w:rsid w:val="00BA3B7E"/>
    <w:rsid w:val="00BA40AE"/>
    <w:rsid w:val="00BA4241"/>
    <w:rsid w:val="00BA4391"/>
    <w:rsid w:val="00BA43C5"/>
    <w:rsid w:val="00BA4BF1"/>
    <w:rsid w:val="00BA4E19"/>
    <w:rsid w:val="00BA4EBC"/>
    <w:rsid w:val="00BA4FB0"/>
    <w:rsid w:val="00BA51E6"/>
    <w:rsid w:val="00BA54D2"/>
    <w:rsid w:val="00BA581B"/>
    <w:rsid w:val="00BA58A1"/>
    <w:rsid w:val="00BA655E"/>
    <w:rsid w:val="00BA7507"/>
    <w:rsid w:val="00BA7B4C"/>
    <w:rsid w:val="00BB03B6"/>
    <w:rsid w:val="00BB06D7"/>
    <w:rsid w:val="00BB09F9"/>
    <w:rsid w:val="00BB122A"/>
    <w:rsid w:val="00BB1304"/>
    <w:rsid w:val="00BB15B8"/>
    <w:rsid w:val="00BB1B50"/>
    <w:rsid w:val="00BB1C51"/>
    <w:rsid w:val="00BB1C6C"/>
    <w:rsid w:val="00BB1CF5"/>
    <w:rsid w:val="00BB1F66"/>
    <w:rsid w:val="00BB225C"/>
    <w:rsid w:val="00BB2277"/>
    <w:rsid w:val="00BB2767"/>
    <w:rsid w:val="00BB2992"/>
    <w:rsid w:val="00BB2DB2"/>
    <w:rsid w:val="00BB318E"/>
    <w:rsid w:val="00BB3408"/>
    <w:rsid w:val="00BB35F3"/>
    <w:rsid w:val="00BB369F"/>
    <w:rsid w:val="00BB3C7B"/>
    <w:rsid w:val="00BB4405"/>
    <w:rsid w:val="00BB450E"/>
    <w:rsid w:val="00BB4B4F"/>
    <w:rsid w:val="00BB5913"/>
    <w:rsid w:val="00BB5B40"/>
    <w:rsid w:val="00BB5B68"/>
    <w:rsid w:val="00BB5B8A"/>
    <w:rsid w:val="00BB6023"/>
    <w:rsid w:val="00BB6DCE"/>
    <w:rsid w:val="00BB766C"/>
    <w:rsid w:val="00BB7EEF"/>
    <w:rsid w:val="00BC0244"/>
    <w:rsid w:val="00BC0602"/>
    <w:rsid w:val="00BC0DC9"/>
    <w:rsid w:val="00BC0ED7"/>
    <w:rsid w:val="00BC0FB0"/>
    <w:rsid w:val="00BC15FC"/>
    <w:rsid w:val="00BC1922"/>
    <w:rsid w:val="00BC1BF9"/>
    <w:rsid w:val="00BC1F14"/>
    <w:rsid w:val="00BC2134"/>
    <w:rsid w:val="00BC2C8D"/>
    <w:rsid w:val="00BC3F46"/>
    <w:rsid w:val="00BC4020"/>
    <w:rsid w:val="00BC49CD"/>
    <w:rsid w:val="00BC5478"/>
    <w:rsid w:val="00BC54EF"/>
    <w:rsid w:val="00BC5557"/>
    <w:rsid w:val="00BC559A"/>
    <w:rsid w:val="00BC5780"/>
    <w:rsid w:val="00BC5D9E"/>
    <w:rsid w:val="00BC5DFA"/>
    <w:rsid w:val="00BC5EC4"/>
    <w:rsid w:val="00BC62FE"/>
    <w:rsid w:val="00BC6D72"/>
    <w:rsid w:val="00BC7173"/>
    <w:rsid w:val="00BC71BC"/>
    <w:rsid w:val="00BC7202"/>
    <w:rsid w:val="00BC7888"/>
    <w:rsid w:val="00BC79F4"/>
    <w:rsid w:val="00BC7C79"/>
    <w:rsid w:val="00BC7E9C"/>
    <w:rsid w:val="00BD027C"/>
    <w:rsid w:val="00BD02C5"/>
    <w:rsid w:val="00BD0318"/>
    <w:rsid w:val="00BD052E"/>
    <w:rsid w:val="00BD0578"/>
    <w:rsid w:val="00BD087D"/>
    <w:rsid w:val="00BD0B35"/>
    <w:rsid w:val="00BD0D53"/>
    <w:rsid w:val="00BD150E"/>
    <w:rsid w:val="00BD154F"/>
    <w:rsid w:val="00BD1691"/>
    <w:rsid w:val="00BD16A2"/>
    <w:rsid w:val="00BD19B4"/>
    <w:rsid w:val="00BD1B1A"/>
    <w:rsid w:val="00BD1ED5"/>
    <w:rsid w:val="00BD1F97"/>
    <w:rsid w:val="00BD225E"/>
    <w:rsid w:val="00BD22E1"/>
    <w:rsid w:val="00BD23E9"/>
    <w:rsid w:val="00BD2AF3"/>
    <w:rsid w:val="00BD34BB"/>
    <w:rsid w:val="00BD356A"/>
    <w:rsid w:val="00BD36AC"/>
    <w:rsid w:val="00BD41E1"/>
    <w:rsid w:val="00BD476F"/>
    <w:rsid w:val="00BD484E"/>
    <w:rsid w:val="00BD4BC3"/>
    <w:rsid w:val="00BD4C55"/>
    <w:rsid w:val="00BD4CC0"/>
    <w:rsid w:val="00BD4F6D"/>
    <w:rsid w:val="00BD4FE9"/>
    <w:rsid w:val="00BD5111"/>
    <w:rsid w:val="00BD59B9"/>
    <w:rsid w:val="00BD59EE"/>
    <w:rsid w:val="00BD5AD4"/>
    <w:rsid w:val="00BD5F8E"/>
    <w:rsid w:val="00BD5FCA"/>
    <w:rsid w:val="00BD64F1"/>
    <w:rsid w:val="00BD6855"/>
    <w:rsid w:val="00BD6D85"/>
    <w:rsid w:val="00BD6DEA"/>
    <w:rsid w:val="00BD7C73"/>
    <w:rsid w:val="00BE01AD"/>
    <w:rsid w:val="00BE04A5"/>
    <w:rsid w:val="00BE0A86"/>
    <w:rsid w:val="00BE0BE3"/>
    <w:rsid w:val="00BE0BEA"/>
    <w:rsid w:val="00BE1950"/>
    <w:rsid w:val="00BE2571"/>
    <w:rsid w:val="00BE2751"/>
    <w:rsid w:val="00BE2793"/>
    <w:rsid w:val="00BE27D3"/>
    <w:rsid w:val="00BE28E7"/>
    <w:rsid w:val="00BE2E5C"/>
    <w:rsid w:val="00BE36CC"/>
    <w:rsid w:val="00BE3813"/>
    <w:rsid w:val="00BE393E"/>
    <w:rsid w:val="00BE3C93"/>
    <w:rsid w:val="00BE3CD3"/>
    <w:rsid w:val="00BE426A"/>
    <w:rsid w:val="00BE4301"/>
    <w:rsid w:val="00BE520A"/>
    <w:rsid w:val="00BE5406"/>
    <w:rsid w:val="00BE5BF2"/>
    <w:rsid w:val="00BE64AA"/>
    <w:rsid w:val="00BE6801"/>
    <w:rsid w:val="00BE69BB"/>
    <w:rsid w:val="00BE6DEA"/>
    <w:rsid w:val="00BE6DFC"/>
    <w:rsid w:val="00BE7094"/>
    <w:rsid w:val="00BE7160"/>
    <w:rsid w:val="00BE7455"/>
    <w:rsid w:val="00BE780B"/>
    <w:rsid w:val="00BF01F9"/>
    <w:rsid w:val="00BF0A04"/>
    <w:rsid w:val="00BF0A20"/>
    <w:rsid w:val="00BF0C82"/>
    <w:rsid w:val="00BF0D9D"/>
    <w:rsid w:val="00BF162E"/>
    <w:rsid w:val="00BF191E"/>
    <w:rsid w:val="00BF1E7D"/>
    <w:rsid w:val="00BF1F2E"/>
    <w:rsid w:val="00BF203C"/>
    <w:rsid w:val="00BF22B6"/>
    <w:rsid w:val="00BF23DD"/>
    <w:rsid w:val="00BF264D"/>
    <w:rsid w:val="00BF28C3"/>
    <w:rsid w:val="00BF2B62"/>
    <w:rsid w:val="00BF2BAA"/>
    <w:rsid w:val="00BF2CCE"/>
    <w:rsid w:val="00BF2E18"/>
    <w:rsid w:val="00BF2F5D"/>
    <w:rsid w:val="00BF35B1"/>
    <w:rsid w:val="00BF3903"/>
    <w:rsid w:val="00BF3A0B"/>
    <w:rsid w:val="00BF3BC0"/>
    <w:rsid w:val="00BF3D4B"/>
    <w:rsid w:val="00BF44D4"/>
    <w:rsid w:val="00BF4D9D"/>
    <w:rsid w:val="00BF4DA4"/>
    <w:rsid w:val="00BF5778"/>
    <w:rsid w:val="00BF57DE"/>
    <w:rsid w:val="00BF5D87"/>
    <w:rsid w:val="00BF5E1E"/>
    <w:rsid w:val="00BF5ECF"/>
    <w:rsid w:val="00BF65CD"/>
    <w:rsid w:val="00BF730C"/>
    <w:rsid w:val="00BF759E"/>
    <w:rsid w:val="00BF7E75"/>
    <w:rsid w:val="00BF7F62"/>
    <w:rsid w:val="00C00A4F"/>
    <w:rsid w:val="00C01033"/>
    <w:rsid w:val="00C012F5"/>
    <w:rsid w:val="00C014C4"/>
    <w:rsid w:val="00C0287D"/>
    <w:rsid w:val="00C03D86"/>
    <w:rsid w:val="00C04246"/>
    <w:rsid w:val="00C047B0"/>
    <w:rsid w:val="00C0483E"/>
    <w:rsid w:val="00C04C50"/>
    <w:rsid w:val="00C04D98"/>
    <w:rsid w:val="00C04DEA"/>
    <w:rsid w:val="00C0597C"/>
    <w:rsid w:val="00C05B57"/>
    <w:rsid w:val="00C05B94"/>
    <w:rsid w:val="00C05C59"/>
    <w:rsid w:val="00C06105"/>
    <w:rsid w:val="00C0649A"/>
    <w:rsid w:val="00C06879"/>
    <w:rsid w:val="00C06B28"/>
    <w:rsid w:val="00C06BC8"/>
    <w:rsid w:val="00C070BF"/>
    <w:rsid w:val="00C07364"/>
    <w:rsid w:val="00C07BA7"/>
    <w:rsid w:val="00C07EB0"/>
    <w:rsid w:val="00C07EFB"/>
    <w:rsid w:val="00C101EC"/>
    <w:rsid w:val="00C1090A"/>
    <w:rsid w:val="00C109A6"/>
    <w:rsid w:val="00C10DDF"/>
    <w:rsid w:val="00C11023"/>
    <w:rsid w:val="00C11036"/>
    <w:rsid w:val="00C111ED"/>
    <w:rsid w:val="00C11813"/>
    <w:rsid w:val="00C12492"/>
    <w:rsid w:val="00C12DE9"/>
    <w:rsid w:val="00C1322C"/>
    <w:rsid w:val="00C132C8"/>
    <w:rsid w:val="00C1346B"/>
    <w:rsid w:val="00C134BA"/>
    <w:rsid w:val="00C140F7"/>
    <w:rsid w:val="00C14361"/>
    <w:rsid w:val="00C14669"/>
    <w:rsid w:val="00C146B2"/>
    <w:rsid w:val="00C14DD9"/>
    <w:rsid w:val="00C150EB"/>
    <w:rsid w:val="00C15A13"/>
    <w:rsid w:val="00C15D91"/>
    <w:rsid w:val="00C15DF5"/>
    <w:rsid w:val="00C162AA"/>
    <w:rsid w:val="00C162BC"/>
    <w:rsid w:val="00C16533"/>
    <w:rsid w:val="00C165B7"/>
    <w:rsid w:val="00C1677A"/>
    <w:rsid w:val="00C167F8"/>
    <w:rsid w:val="00C170C0"/>
    <w:rsid w:val="00C17BE6"/>
    <w:rsid w:val="00C17E34"/>
    <w:rsid w:val="00C20550"/>
    <w:rsid w:val="00C206A4"/>
    <w:rsid w:val="00C20842"/>
    <w:rsid w:val="00C20A13"/>
    <w:rsid w:val="00C20C40"/>
    <w:rsid w:val="00C2103F"/>
    <w:rsid w:val="00C210A6"/>
    <w:rsid w:val="00C21545"/>
    <w:rsid w:val="00C21870"/>
    <w:rsid w:val="00C21915"/>
    <w:rsid w:val="00C219F9"/>
    <w:rsid w:val="00C21D84"/>
    <w:rsid w:val="00C21D9C"/>
    <w:rsid w:val="00C221D5"/>
    <w:rsid w:val="00C22490"/>
    <w:rsid w:val="00C226E8"/>
    <w:rsid w:val="00C2413D"/>
    <w:rsid w:val="00C2419D"/>
    <w:rsid w:val="00C2477D"/>
    <w:rsid w:val="00C24E74"/>
    <w:rsid w:val="00C2505C"/>
    <w:rsid w:val="00C251D9"/>
    <w:rsid w:val="00C25432"/>
    <w:rsid w:val="00C25749"/>
    <w:rsid w:val="00C25915"/>
    <w:rsid w:val="00C25B9A"/>
    <w:rsid w:val="00C25C9E"/>
    <w:rsid w:val="00C25FC0"/>
    <w:rsid w:val="00C26C8E"/>
    <w:rsid w:val="00C270CC"/>
    <w:rsid w:val="00C2728B"/>
    <w:rsid w:val="00C272C4"/>
    <w:rsid w:val="00C27473"/>
    <w:rsid w:val="00C30987"/>
    <w:rsid w:val="00C30AFA"/>
    <w:rsid w:val="00C30B58"/>
    <w:rsid w:val="00C30D8E"/>
    <w:rsid w:val="00C30DEB"/>
    <w:rsid w:val="00C30E89"/>
    <w:rsid w:val="00C31358"/>
    <w:rsid w:val="00C31439"/>
    <w:rsid w:val="00C31C12"/>
    <w:rsid w:val="00C31E6E"/>
    <w:rsid w:val="00C324FF"/>
    <w:rsid w:val="00C32704"/>
    <w:rsid w:val="00C32A12"/>
    <w:rsid w:val="00C32AF1"/>
    <w:rsid w:val="00C3322C"/>
    <w:rsid w:val="00C3344C"/>
    <w:rsid w:val="00C34A5D"/>
    <w:rsid w:val="00C34D97"/>
    <w:rsid w:val="00C34EAD"/>
    <w:rsid w:val="00C3507E"/>
    <w:rsid w:val="00C35370"/>
    <w:rsid w:val="00C359E1"/>
    <w:rsid w:val="00C35AC0"/>
    <w:rsid w:val="00C35BCB"/>
    <w:rsid w:val="00C35FAE"/>
    <w:rsid w:val="00C362EF"/>
    <w:rsid w:val="00C36605"/>
    <w:rsid w:val="00C36B01"/>
    <w:rsid w:val="00C36BCF"/>
    <w:rsid w:val="00C36C82"/>
    <w:rsid w:val="00C37BB6"/>
    <w:rsid w:val="00C37D0B"/>
    <w:rsid w:val="00C37DBE"/>
    <w:rsid w:val="00C4027A"/>
    <w:rsid w:val="00C4097C"/>
    <w:rsid w:val="00C40BD7"/>
    <w:rsid w:val="00C40EFB"/>
    <w:rsid w:val="00C40FD6"/>
    <w:rsid w:val="00C41864"/>
    <w:rsid w:val="00C41CD3"/>
    <w:rsid w:val="00C4238C"/>
    <w:rsid w:val="00C42B7C"/>
    <w:rsid w:val="00C42CCE"/>
    <w:rsid w:val="00C42D07"/>
    <w:rsid w:val="00C434B3"/>
    <w:rsid w:val="00C4364B"/>
    <w:rsid w:val="00C43C5C"/>
    <w:rsid w:val="00C43E12"/>
    <w:rsid w:val="00C442C8"/>
    <w:rsid w:val="00C443F2"/>
    <w:rsid w:val="00C448BB"/>
    <w:rsid w:val="00C44E9F"/>
    <w:rsid w:val="00C450A2"/>
    <w:rsid w:val="00C4516D"/>
    <w:rsid w:val="00C455E7"/>
    <w:rsid w:val="00C4577D"/>
    <w:rsid w:val="00C45EDF"/>
    <w:rsid w:val="00C46590"/>
    <w:rsid w:val="00C46DE1"/>
    <w:rsid w:val="00C46F79"/>
    <w:rsid w:val="00C46FC9"/>
    <w:rsid w:val="00C474A3"/>
    <w:rsid w:val="00C509E0"/>
    <w:rsid w:val="00C51011"/>
    <w:rsid w:val="00C51174"/>
    <w:rsid w:val="00C515D3"/>
    <w:rsid w:val="00C51B84"/>
    <w:rsid w:val="00C52067"/>
    <w:rsid w:val="00C52634"/>
    <w:rsid w:val="00C52B31"/>
    <w:rsid w:val="00C5304D"/>
    <w:rsid w:val="00C532A1"/>
    <w:rsid w:val="00C537ED"/>
    <w:rsid w:val="00C53AA8"/>
    <w:rsid w:val="00C5431F"/>
    <w:rsid w:val="00C5456C"/>
    <w:rsid w:val="00C54994"/>
    <w:rsid w:val="00C54DE2"/>
    <w:rsid w:val="00C5546B"/>
    <w:rsid w:val="00C557C0"/>
    <w:rsid w:val="00C56020"/>
    <w:rsid w:val="00C565FD"/>
    <w:rsid w:val="00C575DC"/>
    <w:rsid w:val="00C579C8"/>
    <w:rsid w:val="00C57C36"/>
    <w:rsid w:val="00C6039F"/>
    <w:rsid w:val="00C60451"/>
    <w:rsid w:val="00C60670"/>
    <w:rsid w:val="00C60737"/>
    <w:rsid w:val="00C61257"/>
    <w:rsid w:val="00C6136E"/>
    <w:rsid w:val="00C617D8"/>
    <w:rsid w:val="00C61968"/>
    <w:rsid w:val="00C61B60"/>
    <w:rsid w:val="00C6361D"/>
    <w:rsid w:val="00C63817"/>
    <w:rsid w:val="00C63B82"/>
    <w:rsid w:val="00C63B87"/>
    <w:rsid w:val="00C63BB3"/>
    <w:rsid w:val="00C63C0B"/>
    <w:rsid w:val="00C6414E"/>
    <w:rsid w:val="00C642B6"/>
    <w:rsid w:val="00C6479D"/>
    <w:rsid w:val="00C64EA9"/>
    <w:rsid w:val="00C65140"/>
    <w:rsid w:val="00C652F1"/>
    <w:rsid w:val="00C65D22"/>
    <w:rsid w:val="00C65E23"/>
    <w:rsid w:val="00C6660B"/>
    <w:rsid w:val="00C666DD"/>
    <w:rsid w:val="00C66CF0"/>
    <w:rsid w:val="00C67029"/>
    <w:rsid w:val="00C6714B"/>
    <w:rsid w:val="00C678DC"/>
    <w:rsid w:val="00C67C2A"/>
    <w:rsid w:val="00C67C61"/>
    <w:rsid w:val="00C701F5"/>
    <w:rsid w:val="00C70382"/>
    <w:rsid w:val="00C705E4"/>
    <w:rsid w:val="00C70786"/>
    <w:rsid w:val="00C7081B"/>
    <w:rsid w:val="00C70FF3"/>
    <w:rsid w:val="00C715E0"/>
    <w:rsid w:val="00C72E75"/>
    <w:rsid w:val="00C734A5"/>
    <w:rsid w:val="00C7353B"/>
    <w:rsid w:val="00C7376F"/>
    <w:rsid w:val="00C73B96"/>
    <w:rsid w:val="00C73C80"/>
    <w:rsid w:val="00C73FD8"/>
    <w:rsid w:val="00C74A5B"/>
    <w:rsid w:val="00C74D6F"/>
    <w:rsid w:val="00C74F1F"/>
    <w:rsid w:val="00C75A98"/>
    <w:rsid w:val="00C75E0F"/>
    <w:rsid w:val="00C76228"/>
    <w:rsid w:val="00C762BE"/>
    <w:rsid w:val="00C763B6"/>
    <w:rsid w:val="00C7658F"/>
    <w:rsid w:val="00C765D7"/>
    <w:rsid w:val="00C766E2"/>
    <w:rsid w:val="00C77B9A"/>
    <w:rsid w:val="00C80C33"/>
    <w:rsid w:val="00C80F2F"/>
    <w:rsid w:val="00C83B22"/>
    <w:rsid w:val="00C845B7"/>
    <w:rsid w:val="00C858A1"/>
    <w:rsid w:val="00C8600E"/>
    <w:rsid w:val="00C86505"/>
    <w:rsid w:val="00C86F92"/>
    <w:rsid w:val="00C8742E"/>
    <w:rsid w:val="00C87484"/>
    <w:rsid w:val="00C874D1"/>
    <w:rsid w:val="00C876B5"/>
    <w:rsid w:val="00C902AA"/>
    <w:rsid w:val="00C904DF"/>
    <w:rsid w:val="00C9058E"/>
    <w:rsid w:val="00C909AB"/>
    <w:rsid w:val="00C91540"/>
    <w:rsid w:val="00C9158B"/>
    <w:rsid w:val="00C91615"/>
    <w:rsid w:val="00C91703"/>
    <w:rsid w:val="00C91B1E"/>
    <w:rsid w:val="00C91C4E"/>
    <w:rsid w:val="00C91CF5"/>
    <w:rsid w:val="00C920F6"/>
    <w:rsid w:val="00C923FF"/>
    <w:rsid w:val="00C92C19"/>
    <w:rsid w:val="00C9345A"/>
    <w:rsid w:val="00C93AA0"/>
    <w:rsid w:val="00C94090"/>
    <w:rsid w:val="00C949F5"/>
    <w:rsid w:val="00C94FBE"/>
    <w:rsid w:val="00C95433"/>
    <w:rsid w:val="00C955D1"/>
    <w:rsid w:val="00C95AB8"/>
    <w:rsid w:val="00C95F0C"/>
    <w:rsid w:val="00C96891"/>
    <w:rsid w:val="00C96993"/>
    <w:rsid w:val="00C96D6C"/>
    <w:rsid w:val="00C96EE5"/>
    <w:rsid w:val="00C97601"/>
    <w:rsid w:val="00C97657"/>
    <w:rsid w:val="00CA1166"/>
    <w:rsid w:val="00CA1566"/>
    <w:rsid w:val="00CA1759"/>
    <w:rsid w:val="00CA18A7"/>
    <w:rsid w:val="00CA1A2F"/>
    <w:rsid w:val="00CA1C75"/>
    <w:rsid w:val="00CA1D01"/>
    <w:rsid w:val="00CA1DB7"/>
    <w:rsid w:val="00CA1F0E"/>
    <w:rsid w:val="00CA2A66"/>
    <w:rsid w:val="00CA2AD6"/>
    <w:rsid w:val="00CA2FBC"/>
    <w:rsid w:val="00CA3229"/>
    <w:rsid w:val="00CA34F9"/>
    <w:rsid w:val="00CA4545"/>
    <w:rsid w:val="00CA4884"/>
    <w:rsid w:val="00CA59B8"/>
    <w:rsid w:val="00CA6653"/>
    <w:rsid w:val="00CA6EE9"/>
    <w:rsid w:val="00CA77E7"/>
    <w:rsid w:val="00CA7FBB"/>
    <w:rsid w:val="00CB0597"/>
    <w:rsid w:val="00CB0687"/>
    <w:rsid w:val="00CB08DC"/>
    <w:rsid w:val="00CB1C0C"/>
    <w:rsid w:val="00CB1C2D"/>
    <w:rsid w:val="00CB1CA5"/>
    <w:rsid w:val="00CB1CC6"/>
    <w:rsid w:val="00CB1FB7"/>
    <w:rsid w:val="00CB2443"/>
    <w:rsid w:val="00CB2579"/>
    <w:rsid w:val="00CB2D0D"/>
    <w:rsid w:val="00CB3019"/>
    <w:rsid w:val="00CB33B9"/>
    <w:rsid w:val="00CB395E"/>
    <w:rsid w:val="00CB3A8F"/>
    <w:rsid w:val="00CB4229"/>
    <w:rsid w:val="00CB43FE"/>
    <w:rsid w:val="00CB45F8"/>
    <w:rsid w:val="00CB4A05"/>
    <w:rsid w:val="00CB5131"/>
    <w:rsid w:val="00CB5179"/>
    <w:rsid w:val="00CB568D"/>
    <w:rsid w:val="00CB5968"/>
    <w:rsid w:val="00CB6AFC"/>
    <w:rsid w:val="00CB77DC"/>
    <w:rsid w:val="00CB7E6A"/>
    <w:rsid w:val="00CB7ECA"/>
    <w:rsid w:val="00CB7F5E"/>
    <w:rsid w:val="00CC0119"/>
    <w:rsid w:val="00CC091C"/>
    <w:rsid w:val="00CC0B00"/>
    <w:rsid w:val="00CC10BA"/>
    <w:rsid w:val="00CC11E1"/>
    <w:rsid w:val="00CC1266"/>
    <w:rsid w:val="00CC18C6"/>
    <w:rsid w:val="00CC1AFD"/>
    <w:rsid w:val="00CC29B3"/>
    <w:rsid w:val="00CC2BDE"/>
    <w:rsid w:val="00CC2F9B"/>
    <w:rsid w:val="00CC31EC"/>
    <w:rsid w:val="00CC43B2"/>
    <w:rsid w:val="00CC54F6"/>
    <w:rsid w:val="00CC5A45"/>
    <w:rsid w:val="00CC5BE8"/>
    <w:rsid w:val="00CC65DB"/>
    <w:rsid w:val="00CC673D"/>
    <w:rsid w:val="00CC67D4"/>
    <w:rsid w:val="00CC67EB"/>
    <w:rsid w:val="00CC6E76"/>
    <w:rsid w:val="00CC731B"/>
    <w:rsid w:val="00CC7676"/>
    <w:rsid w:val="00CC7832"/>
    <w:rsid w:val="00CC7B75"/>
    <w:rsid w:val="00CC7BC7"/>
    <w:rsid w:val="00CC7E21"/>
    <w:rsid w:val="00CC7FEC"/>
    <w:rsid w:val="00CD02E6"/>
    <w:rsid w:val="00CD102F"/>
    <w:rsid w:val="00CD1112"/>
    <w:rsid w:val="00CD1A91"/>
    <w:rsid w:val="00CD1F29"/>
    <w:rsid w:val="00CD23F9"/>
    <w:rsid w:val="00CD2779"/>
    <w:rsid w:val="00CD2E4B"/>
    <w:rsid w:val="00CD3CE5"/>
    <w:rsid w:val="00CD3CEB"/>
    <w:rsid w:val="00CD420A"/>
    <w:rsid w:val="00CD42BB"/>
    <w:rsid w:val="00CD42D7"/>
    <w:rsid w:val="00CD490E"/>
    <w:rsid w:val="00CD5284"/>
    <w:rsid w:val="00CD5946"/>
    <w:rsid w:val="00CD5BD2"/>
    <w:rsid w:val="00CD6279"/>
    <w:rsid w:val="00CD63DA"/>
    <w:rsid w:val="00CD6A39"/>
    <w:rsid w:val="00CD6B96"/>
    <w:rsid w:val="00CD6CA0"/>
    <w:rsid w:val="00CD7156"/>
    <w:rsid w:val="00CD71C6"/>
    <w:rsid w:val="00CE035E"/>
    <w:rsid w:val="00CE0C01"/>
    <w:rsid w:val="00CE0F1A"/>
    <w:rsid w:val="00CE1328"/>
    <w:rsid w:val="00CE1BBC"/>
    <w:rsid w:val="00CE1CBE"/>
    <w:rsid w:val="00CE1D3C"/>
    <w:rsid w:val="00CE1F5A"/>
    <w:rsid w:val="00CE209D"/>
    <w:rsid w:val="00CE272F"/>
    <w:rsid w:val="00CE277A"/>
    <w:rsid w:val="00CE2D7F"/>
    <w:rsid w:val="00CE3400"/>
    <w:rsid w:val="00CE3C63"/>
    <w:rsid w:val="00CE4184"/>
    <w:rsid w:val="00CE44DC"/>
    <w:rsid w:val="00CE453E"/>
    <w:rsid w:val="00CE4A76"/>
    <w:rsid w:val="00CE4A97"/>
    <w:rsid w:val="00CE5F7A"/>
    <w:rsid w:val="00CE61A8"/>
    <w:rsid w:val="00CE6E54"/>
    <w:rsid w:val="00CE6F2A"/>
    <w:rsid w:val="00CE713D"/>
    <w:rsid w:val="00CE7BD0"/>
    <w:rsid w:val="00CE7E48"/>
    <w:rsid w:val="00CF0247"/>
    <w:rsid w:val="00CF036F"/>
    <w:rsid w:val="00CF063E"/>
    <w:rsid w:val="00CF065E"/>
    <w:rsid w:val="00CF12E0"/>
    <w:rsid w:val="00CF157F"/>
    <w:rsid w:val="00CF1F26"/>
    <w:rsid w:val="00CF1F40"/>
    <w:rsid w:val="00CF26A1"/>
    <w:rsid w:val="00CF2886"/>
    <w:rsid w:val="00CF2ABF"/>
    <w:rsid w:val="00CF2EBB"/>
    <w:rsid w:val="00CF3444"/>
    <w:rsid w:val="00CF3659"/>
    <w:rsid w:val="00CF3B74"/>
    <w:rsid w:val="00CF3F6E"/>
    <w:rsid w:val="00CF4173"/>
    <w:rsid w:val="00CF4C20"/>
    <w:rsid w:val="00CF5159"/>
    <w:rsid w:val="00CF57B2"/>
    <w:rsid w:val="00CF5C7A"/>
    <w:rsid w:val="00CF603F"/>
    <w:rsid w:val="00CF67DF"/>
    <w:rsid w:val="00CF68B1"/>
    <w:rsid w:val="00CF6922"/>
    <w:rsid w:val="00CF6C84"/>
    <w:rsid w:val="00CF6D76"/>
    <w:rsid w:val="00CF73A4"/>
    <w:rsid w:val="00CF7747"/>
    <w:rsid w:val="00CF7A36"/>
    <w:rsid w:val="00D00689"/>
    <w:rsid w:val="00D00C59"/>
    <w:rsid w:val="00D0103D"/>
    <w:rsid w:val="00D0138C"/>
    <w:rsid w:val="00D01545"/>
    <w:rsid w:val="00D01806"/>
    <w:rsid w:val="00D018FD"/>
    <w:rsid w:val="00D01B4F"/>
    <w:rsid w:val="00D02183"/>
    <w:rsid w:val="00D02410"/>
    <w:rsid w:val="00D026E7"/>
    <w:rsid w:val="00D0293F"/>
    <w:rsid w:val="00D02A71"/>
    <w:rsid w:val="00D02F06"/>
    <w:rsid w:val="00D030D5"/>
    <w:rsid w:val="00D033CA"/>
    <w:rsid w:val="00D039FC"/>
    <w:rsid w:val="00D03D23"/>
    <w:rsid w:val="00D0452E"/>
    <w:rsid w:val="00D05416"/>
    <w:rsid w:val="00D05502"/>
    <w:rsid w:val="00D056C0"/>
    <w:rsid w:val="00D05892"/>
    <w:rsid w:val="00D058A3"/>
    <w:rsid w:val="00D05C75"/>
    <w:rsid w:val="00D05F26"/>
    <w:rsid w:val="00D06063"/>
    <w:rsid w:val="00D06084"/>
    <w:rsid w:val="00D06131"/>
    <w:rsid w:val="00D07346"/>
    <w:rsid w:val="00D07793"/>
    <w:rsid w:val="00D078B3"/>
    <w:rsid w:val="00D079ED"/>
    <w:rsid w:val="00D07F22"/>
    <w:rsid w:val="00D101A8"/>
    <w:rsid w:val="00D10310"/>
    <w:rsid w:val="00D10397"/>
    <w:rsid w:val="00D10855"/>
    <w:rsid w:val="00D10A3A"/>
    <w:rsid w:val="00D10BA1"/>
    <w:rsid w:val="00D10CAE"/>
    <w:rsid w:val="00D1112F"/>
    <w:rsid w:val="00D11669"/>
    <w:rsid w:val="00D1184C"/>
    <w:rsid w:val="00D11856"/>
    <w:rsid w:val="00D11A2C"/>
    <w:rsid w:val="00D11B5D"/>
    <w:rsid w:val="00D11BDF"/>
    <w:rsid w:val="00D124E5"/>
    <w:rsid w:val="00D12ACC"/>
    <w:rsid w:val="00D13044"/>
    <w:rsid w:val="00D13526"/>
    <w:rsid w:val="00D13655"/>
    <w:rsid w:val="00D13749"/>
    <w:rsid w:val="00D14121"/>
    <w:rsid w:val="00D14D48"/>
    <w:rsid w:val="00D14E24"/>
    <w:rsid w:val="00D14EE7"/>
    <w:rsid w:val="00D14F29"/>
    <w:rsid w:val="00D14F40"/>
    <w:rsid w:val="00D15210"/>
    <w:rsid w:val="00D15362"/>
    <w:rsid w:val="00D16623"/>
    <w:rsid w:val="00D16A40"/>
    <w:rsid w:val="00D16DEC"/>
    <w:rsid w:val="00D16E03"/>
    <w:rsid w:val="00D1715D"/>
    <w:rsid w:val="00D175A9"/>
    <w:rsid w:val="00D17F9A"/>
    <w:rsid w:val="00D2011A"/>
    <w:rsid w:val="00D20BB8"/>
    <w:rsid w:val="00D20CBF"/>
    <w:rsid w:val="00D214E7"/>
    <w:rsid w:val="00D21CA0"/>
    <w:rsid w:val="00D21CD3"/>
    <w:rsid w:val="00D21E8A"/>
    <w:rsid w:val="00D2267C"/>
    <w:rsid w:val="00D22895"/>
    <w:rsid w:val="00D23005"/>
    <w:rsid w:val="00D2333E"/>
    <w:rsid w:val="00D23D0E"/>
    <w:rsid w:val="00D24D9F"/>
    <w:rsid w:val="00D25604"/>
    <w:rsid w:val="00D25B8C"/>
    <w:rsid w:val="00D26FC2"/>
    <w:rsid w:val="00D270B3"/>
    <w:rsid w:val="00D27135"/>
    <w:rsid w:val="00D2725B"/>
    <w:rsid w:val="00D30DFC"/>
    <w:rsid w:val="00D3125B"/>
    <w:rsid w:val="00D3152F"/>
    <w:rsid w:val="00D31D2C"/>
    <w:rsid w:val="00D3264A"/>
    <w:rsid w:val="00D32A6E"/>
    <w:rsid w:val="00D32E8E"/>
    <w:rsid w:val="00D33354"/>
    <w:rsid w:val="00D33742"/>
    <w:rsid w:val="00D33F14"/>
    <w:rsid w:val="00D34079"/>
    <w:rsid w:val="00D34502"/>
    <w:rsid w:val="00D34734"/>
    <w:rsid w:val="00D34820"/>
    <w:rsid w:val="00D3542A"/>
    <w:rsid w:val="00D35677"/>
    <w:rsid w:val="00D35F5A"/>
    <w:rsid w:val="00D3614C"/>
    <w:rsid w:val="00D3659C"/>
    <w:rsid w:val="00D3697A"/>
    <w:rsid w:val="00D370A3"/>
    <w:rsid w:val="00D370E5"/>
    <w:rsid w:val="00D37164"/>
    <w:rsid w:val="00D37659"/>
    <w:rsid w:val="00D37D9C"/>
    <w:rsid w:val="00D40641"/>
    <w:rsid w:val="00D40820"/>
    <w:rsid w:val="00D40DF5"/>
    <w:rsid w:val="00D41403"/>
    <w:rsid w:val="00D41678"/>
    <w:rsid w:val="00D41FB8"/>
    <w:rsid w:val="00D42003"/>
    <w:rsid w:val="00D42E52"/>
    <w:rsid w:val="00D42ECF"/>
    <w:rsid w:val="00D43AC8"/>
    <w:rsid w:val="00D43C10"/>
    <w:rsid w:val="00D43D05"/>
    <w:rsid w:val="00D44334"/>
    <w:rsid w:val="00D4447C"/>
    <w:rsid w:val="00D44859"/>
    <w:rsid w:val="00D44C91"/>
    <w:rsid w:val="00D456E2"/>
    <w:rsid w:val="00D45A41"/>
    <w:rsid w:val="00D45ADC"/>
    <w:rsid w:val="00D460F1"/>
    <w:rsid w:val="00D46251"/>
    <w:rsid w:val="00D468F2"/>
    <w:rsid w:val="00D472AF"/>
    <w:rsid w:val="00D4761C"/>
    <w:rsid w:val="00D47C8E"/>
    <w:rsid w:val="00D47FF7"/>
    <w:rsid w:val="00D500BD"/>
    <w:rsid w:val="00D503C0"/>
    <w:rsid w:val="00D50917"/>
    <w:rsid w:val="00D51001"/>
    <w:rsid w:val="00D519BB"/>
    <w:rsid w:val="00D51DD0"/>
    <w:rsid w:val="00D5273C"/>
    <w:rsid w:val="00D53636"/>
    <w:rsid w:val="00D536EF"/>
    <w:rsid w:val="00D538D4"/>
    <w:rsid w:val="00D538D8"/>
    <w:rsid w:val="00D54DBF"/>
    <w:rsid w:val="00D5556B"/>
    <w:rsid w:val="00D55628"/>
    <w:rsid w:val="00D55663"/>
    <w:rsid w:val="00D5594A"/>
    <w:rsid w:val="00D56808"/>
    <w:rsid w:val="00D57193"/>
    <w:rsid w:val="00D573B4"/>
    <w:rsid w:val="00D5745E"/>
    <w:rsid w:val="00D57B31"/>
    <w:rsid w:val="00D6050F"/>
    <w:rsid w:val="00D60692"/>
    <w:rsid w:val="00D6071B"/>
    <w:rsid w:val="00D607FB"/>
    <w:rsid w:val="00D60FA5"/>
    <w:rsid w:val="00D610F3"/>
    <w:rsid w:val="00D6110B"/>
    <w:rsid w:val="00D61148"/>
    <w:rsid w:val="00D6135D"/>
    <w:rsid w:val="00D6183E"/>
    <w:rsid w:val="00D619CF"/>
    <w:rsid w:val="00D61ABC"/>
    <w:rsid w:val="00D61BDD"/>
    <w:rsid w:val="00D61CA4"/>
    <w:rsid w:val="00D6249A"/>
    <w:rsid w:val="00D62C04"/>
    <w:rsid w:val="00D6301D"/>
    <w:rsid w:val="00D632E4"/>
    <w:rsid w:val="00D63416"/>
    <w:rsid w:val="00D63796"/>
    <w:rsid w:val="00D639B5"/>
    <w:rsid w:val="00D63A6C"/>
    <w:rsid w:val="00D63D48"/>
    <w:rsid w:val="00D63F84"/>
    <w:rsid w:val="00D6449A"/>
    <w:rsid w:val="00D647A4"/>
    <w:rsid w:val="00D64FD1"/>
    <w:rsid w:val="00D65004"/>
    <w:rsid w:val="00D65096"/>
    <w:rsid w:val="00D6546E"/>
    <w:rsid w:val="00D6569D"/>
    <w:rsid w:val="00D6586A"/>
    <w:rsid w:val="00D65B43"/>
    <w:rsid w:val="00D65C51"/>
    <w:rsid w:val="00D66196"/>
    <w:rsid w:val="00D66B22"/>
    <w:rsid w:val="00D66BCB"/>
    <w:rsid w:val="00D67569"/>
    <w:rsid w:val="00D67BAA"/>
    <w:rsid w:val="00D67EC9"/>
    <w:rsid w:val="00D70537"/>
    <w:rsid w:val="00D7066E"/>
    <w:rsid w:val="00D70792"/>
    <w:rsid w:val="00D70C58"/>
    <w:rsid w:val="00D710A9"/>
    <w:rsid w:val="00D71424"/>
    <w:rsid w:val="00D7153E"/>
    <w:rsid w:val="00D72A3E"/>
    <w:rsid w:val="00D72BC8"/>
    <w:rsid w:val="00D72D57"/>
    <w:rsid w:val="00D7356A"/>
    <w:rsid w:val="00D7373E"/>
    <w:rsid w:val="00D73B6C"/>
    <w:rsid w:val="00D73C62"/>
    <w:rsid w:val="00D73E90"/>
    <w:rsid w:val="00D747A7"/>
    <w:rsid w:val="00D7587C"/>
    <w:rsid w:val="00D7591E"/>
    <w:rsid w:val="00D759A3"/>
    <w:rsid w:val="00D75FF5"/>
    <w:rsid w:val="00D765B1"/>
    <w:rsid w:val="00D76EF0"/>
    <w:rsid w:val="00D779E9"/>
    <w:rsid w:val="00D77C22"/>
    <w:rsid w:val="00D77C87"/>
    <w:rsid w:val="00D77DA6"/>
    <w:rsid w:val="00D80648"/>
    <w:rsid w:val="00D809C1"/>
    <w:rsid w:val="00D80B5C"/>
    <w:rsid w:val="00D80D2C"/>
    <w:rsid w:val="00D80DD3"/>
    <w:rsid w:val="00D81477"/>
    <w:rsid w:val="00D81894"/>
    <w:rsid w:val="00D82181"/>
    <w:rsid w:val="00D824DF"/>
    <w:rsid w:val="00D82A76"/>
    <w:rsid w:val="00D82C6F"/>
    <w:rsid w:val="00D83191"/>
    <w:rsid w:val="00D831F1"/>
    <w:rsid w:val="00D8336B"/>
    <w:rsid w:val="00D835C6"/>
    <w:rsid w:val="00D835CD"/>
    <w:rsid w:val="00D83BD4"/>
    <w:rsid w:val="00D83BFB"/>
    <w:rsid w:val="00D841D6"/>
    <w:rsid w:val="00D84DD7"/>
    <w:rsid w:val="00D854F7"/>
    <w:rsid w:val="00D86022"/>
    <w:rsid w:val="00D8613A"/>
    <w:rsid w:val="00D862B0"/>
    <w:rsid w:val="00D86B2E"/>
    <w:rsid w:val="00D86BBA"/>
    <w:rsid w:val="00D86DB1"/>
    <w:rsid w:val="00D872C1"/>
    <w:rsid w:val="00D874AE"/>
    <w:rsid w:val="00D87830"/>
    <w:rsid w:val="00D87866"/>
    <w:rsid w:val="00D87A96"/>
    <w:rsid w:val="00D87E3C"/>
    <w:rsid w:val="00D9006A"/>
    <w:rsid w:val="00D901A5"/>
    <w:rsid w:val="00D901FD"/>
    <w:rsid w:val="00D902A0"/>
    <w:rsid w:val="00D902DD"/>
    <w:rsid w:val="00D9044A"/>
    <w:rsid w:val="00D904EC"/>
    <w:rsid w:val="00D907D7"/>
    <w:rsid w:val="00D90BFB"/>
    <w:rsid w:val="00D910FE"/>
    <w:rsid w:val="00D9150D"/>
    <w:rsid w:val="00D91CEB"/>
    <w:rsid w:val="00D91F7E"/>
    <w:rsid w:val="00D9209C"/>
    <w:rsid w:val="00D92719"/>
    <w:rsid w:val="00D92B1C"/>
    <w:rsid w:val="00D931C3"/>
    <w:rsid w:val="00D93E1C"/>
    <w:rsid w:val="00D943AD"/>
    <w:rsid w:val="00D94F7E"/>
    <w:rsid w:val="00D9517F"/>
    <w:rsid w:val="00D95B90"/>
    <w:rsid w:val="00D972DF"/>
    <w:rsid w:val="00D9746A"/>
    <w:rsid w:val="00D97B01"/>
    <w:rsid w:val="00D97C41"/>
    <w:rsid w:val="00DA0680"/>
    <w:rsid w:val="00DA09FE"/>
    <w:rsid w:val="00DA0D82"/>
    <w:rsid w:val="00DA1542"/>
    <w:rsid w:val="00DA172A"/>
    <w:rsid w:val="00DA1753"/>
    <w:rsid w:val="00DA1F6B"/>
    <w:rsid w:val="00DA1F8E"/>
    <w:rsid w:val="00DA2779"/>
    <w:rsid w:val="00DA2A2F"/>
    <w:rsid w:val="00DA2BA1"/>
    <w:rsid w:val="00DA41DF"/>
    <w:rsid w:val="00DA42A8"/>
    <w:rsid w:val="00DA49C5"/>
    <w:rsid w:val="00DA4A20"/>
    <w:rsid w:val="00DA4F0F"/>
    <w:rsid w:val="00DA5902"/>
    <w:rsid w:val="00DA6459"/>
    <w:rsid w:val="00DA64FC"/>
    <w:rsid w:val="00DA6961"/>
    <w:rsid w:val="00DA6A1D"/>
    <w:rsid w:val="00DA6D45"/>
    <w:rsid w:val="00DA6F2A"/>
    <w:rsid w:val="00DA70A2"/>
    <w:rsid w:val="00DA75D8"/>
    <w:rsid w:val="00DA7A4B"/>
    <w:rsid w:val="00DA7ACC"/>
    <w:rsid w:val="00DB0F93"/>
    <w:rsid w:val="00DB17F5"/>
    <w:rsid w:val="00DB19B1"/>
    <w:rsid w:val="00DB230F"/>
    <w:rsid w:val="00DB278D"/>
    <w:rsid w:val="00DB2A8D"/>
    <w:rsid w:val="00DB2AD1"/>
    <w:rsid w:val="00DB2F5C"/>
    <w:rsid w:val="00DB38A0"/>
    <w:rsid w:val="00DB3C59"/>
    <w:rsid w:val="00DB3CBC"/>
    <w:rsid w:val="00DB4162"/>
    <w:rsid w:val="00DB49DE"/>
    <w:rsid w:val="00DB4BD2"/>
    <w:rsid w:val="00DB4EA5"/>
    <w:rsid w:val="00DB571D"/>
    <w:rsid w:val="00DB59FD"/>
    <w:rsid w:val="00DB5A9B"/>
    <w:rsid w:val="00DB60EF"/>
    <w:rsid w:val="00DB62AD"/>
    <w:rsid w:val="00DB6631"/>
    <w:rsid w:val="00DB67A2"/>
    <w:rsid w:val="00DB690A"/>
    <w:rsid w:val="00DB6E34"/>
    <w:rsid w:val="00DB768E"/>
    <w:rsid w:val="00DB79E5"/>
    <w:rsid w:val="00DB7B81"/>
    <w:rsid w:val="00DB7BC4"/>
    <w:rsid w:val="00DC02B2"/>
    <w:rsid w:val="00DC04E1"/>
    <w:rsid w:val="00DC1A8B"/>
    <w:rsid w:val="00DC1D59"/>
    <w:rsid w:val="00DC206C"/>
    <w:rsid w:val="00DC228D"/>
    <w:rsid w:val="00DC2D5C"/>
    <w:rsid w:val="00DC2F5F"/>
    <w:rsid w:val="00DC2F74"/>
    <w:rsid w:val="00DC3078"/>
    <w:rsid w:val="00DC3086"/>
    <w:rsid w:val="00DC34EA"/>
    <w:rsid w:val="00DC37BD"/>
    <w:rsid w:val="00DC3889"/>
    <w:rsid w:val="00DC3AEA"/>
    <w:rsid w:val="00DC3C99"/>
    <w:rsid w:val="00DC4118"/>
    <w:rsid w:val="00DC42AF"/>
    <w:rsid w:val="00DC4361"/>
    <w:rsid w:val="00DC455B"/>
    <w:rsid w:val="00DC4B81"/>
    <w:rsid w:val="00DC4B93"/>
    <w:rsid w:val="00DC5F11"/>
    <w:rsid w:val="00DC5FAE"/>
    <w:rsid w:val="00DC62BC"/>
    <w:rsid w:val="00DC6901"/>
    <w:rsid w:val="00DC6BD0"/>
    <w:rsid w:val="00DC6C10"/>
    <w:rsid w:val="00DC71F7"/>
    <w:rsid w:val="00DC7231"/>
    <w:rsid w:val="00DC787B"/>
    <w:rsid w:val="00DC78B2"/>
    <w:rsid w:val="00DD09DC"/>
    <w:rsid w:val="00DD0B80"/>
    <w:rsid w:val="00DD12E2"/>
    <w:rsid w:val="00DD16E7"/>
    <w:rsid w:val="00DD177B"/>
    <w:rsid w:val="00DD1CBF"/>
    <w:rsid w:val="00DD2D60"/>
    <w:rsid w:val="00DD3022"/>
    <w:rsid w:val="00DD319B"/>
    <w:rsid w:val="00DD3361"/>
    <w:rsid w:val="00DD37D5"/>
    <w:rsid w:val="00DD38FB"/>
    <w:rsid w:val="00DD397F"/>
    <w:rsid w:val="00DD3D5C"/>
    <w:rsid w:val="00DD4200"/>
    <w:rsid w:val="00DD47D8"/>
    <w:rsid w:val="00DD482D"/>
    <w:rsid w:val="00DD54FD"/>
    <w:rsid w:val="00DD5A6E"/>
    <w:rsid w:val="00DD5C06"/>
    <w:rsid w:val="00DD5D1D"/>
    <w:rsid w:val="00DD5DD0"/>
    <w:rsid w:val="00DD63FD"/>
    <w:rsid w:val="00DD6ACB"/>
    <w:rsid w:val="00DD6E3B"/>
    <w:rsid w:val="00DD70A7"/>
    <w:rsid w:val="00DD7238"/>
    <w:rsid w:val="00DD735B"/>
    <w:rsid w:val="00DD75DF"/>
    <w:rsid w:val="00DD7833"/>
    <w:rsid w:val="00DE03C3"/>
    <w:rsid w:val="00DE07DE"/>
    <w:rsid w:val="00DE0987"/>
    <w:rsid w:val="00DE09EA"/>
    <w:rsid w:val="00DE0E1F"/>
    <w:rsid w:val="00DE14DB"/>
    <w:rsid w:val="00DE1BB0"/>
    <w:rsid w:val="00DE20CE"/>
    <w:rsid w:val="00DE27B9"/>
    <w:rsid w:val="00DE291C"/>
    <w:rsid w:val="00DE3281"/>
    <w:rsid w:val="00DE32BD"/>
    <w:rsid w:val="00DE4C6A"/>
    <w:rsid w:val="00DE4F04"/>
    <w:rsid w:val="00DE522B"/>
    <w:rsid w:val="00DE5C5D"/>
    <w:rsid w:val="00DE710A"/>
    <w:rsid w:val="00DE79CA"/>
    <w:rsid w:val="00DE7F6D"/>
    <w:rsid w:val="00DF04F9"/>
    <w:rsid w:val="00DF0B12"/>
    <w:rsid w:val="00DF0C0A"/>
    <w:rsid w:val="00DF11CA"/>
    <w:rsid w:val="00DF1784"/>
    <w:rsid w:val="00DF2132"/>
    <w:rsid w:val="00DF2161"/>
    <w:rsid w:val="00DF21D2"/>
    <w:rsid w:val="00DF2488"/>
    <w:rsid w:val="00DF254F"/>
    <w:rsid w:val="00DF26F1"/>
    <w:rsid w:val="00DF27D5"/>
    <w:rsid w:val="00DF2D87"/>
    <w:rsid w:val="00DF2EF3"/>
    <w:rsid w:val="00DF413F"/>
    <w:rsid w:val="00DF41F4"/>
    <w:rsid w:val="00DF439C"/>
    <w:rsid w:val="00DF44B4"/>
    <w:rsid w:val="00DF4642"/>
    <w:rsid w:val="00DF4993"/>
    <w:rsid w:val="00DF4B20"/>
    <w:rsid w:val="00DF4E4F"/>
    <w:rsid w:val="00DF52EB"/>
    <w:rsid w:val="00DF5489"/>
    <w:rsid w:val="00DF54C2"/>
    <w:rsid w:val="00DF5538"/>
    <w:rsid w:val="00DF58D4"/>
    <w:rsid w:val="00DF5DCE"/>
    <w:rsid w:val="00DF5FCB"/>
    <w:rsid w:val="00DF67BA"/>
    <w:rsid w:val="00DF68B6"/>
    <w:rsid w:val="00DF7419"/>
    <w:rsid w:val="00DF7628"/>
    <w:rsid w:val="00E00725"/>
    <w:rsid w:val="00E008B2"/>
    <w:rsid w:val="00E00B08"/>
    <w:rsid w:val="00E00D33"/>
    <w:rsid w:val="00E011D4"/>
    <w:rsid w:val="00E02965"/>
    <w:rsid w:val="00E03055"/>
    <w:rsid w:val="00E03063"/>
    <w:rsid w:val="00E03599"/>
    <w:rsid w:val="00E03B69"/>
    <w:rsid w:val="00E0438E"/>
    <w:rsid w:val="00E04631"/>
    <w:rsid w:val="00E04FDF"/>
    <w:rsid w:val="00E05618"/>
    <w:rsid w:val="00E05786"/>
    <w:rsid w:val="00E05EB7"/>
    <w:rsid w:val="00E0650D"/>
    <w:rsid w:val="00E06704"/>
    <w:rsid w:val="00E06B90"/>
    <w:rsid w:val="00E06C46"/>
    <w:rsid w:val="00E06E11"/>
    <w:rsid w:val="00E0707C"/>
    <w:rsid w:val="00E07792"/>
    <w:rsid w:val="00E0783E"/>
    <w:rsid w:val="00E07915"/>
    <w:rsid w:val="00E10B17"/>
    <w:rsid w:val="00E10B2C"/>
    <w:rsid w:val="00E10F3E"/>
    <w:rsid w:val="00E11351"/>
    <w:rsid w:val="00E11BCD"/>
    <w:rsid w:val="00E11F35"/>
    <w:rsid w:val="00E12115"/>
    <w:rsid w:val="00E122D6"/>
    <w:rsid w:val="00E12340"/>
    <w:rsid w:val="00E1279C"/>
    <w:rsid w:val="00E12E8A"/>
    <w:rsid w:val="00E132A2"/>
    <w:rsid w:val="00E135E3"/>
    <w:rsid w:val="00E140DB"/>
    <w:rsid w:val="00E14410"/>
    <w:rsid w:val="00E1547E"/>
    <w:rsid w:val="00E15996"/>
    <w:rsid w:val="00E15B7C"/>
    <w:rsid w:val="00E15CE9"/>
    <w:rsid w:val="00E16144"/>
    <w:rsid w:val="00E162F9"/>
    <w:rsid w:val="00E16B94"/>
    <w:rsid w:val="00E16D5B"/>
    <w:rsid w:val="00E175F1"/>
    <w:rsid w:val="00E1798C"/>
    <w:rsid w:val="00E17C6D"/>
    <w:rsid w:val="00E17F95"/>
    <w:rsid w:val="00E202D0"/>
    <w:rsid w:val="00E2047C"/>
    <w:rsid w:val="00E20680"/>
    <w:rsid w:val="00E20C81"/>
    <w:rsid w:val="00E21688"/>
    <w:rsid w:val="00E22111"/>
    <w:rsid w:val="00E222FC"/>
    <w:rsid w:val="00E223D9"/>
    <w:rsid w:val="00E22CB9"/>
    <w:rsid w:val="00E22F11"/>
    <w:rsid w:val="00E22FBD"/>
    <w:rsid w:val="00E23BEA"/>
    <w:rsid w:val="00E24147"/>
    <w:rsid w:val="00E247B4"/>
    <w:rsid w:val="00E2492F"/>
    <w:rsid w:val="00E24F33"/>
    <w:rsid w:val="00E251A2"/>
    <w:rsid w:val="00E25286"/>
    <w:rsid w:val="00E254E5"/>
    <w:rsid w:val="00E254F5"/>
    <w:rsid w:val="00E25896"/>
    <w:rsid w:val="00E25BCE"/>
    <w:rsid w:val="00E269D3"/>
    <w:rsid w:val="00E26A34"/>
    <w:rsid w:val="00E26E66"/>
    <w:rsid w:val="00E27A00"/>
    <w:rsid w:val="00E27A19"/>
    <w:rsid w:val="00E27CF0"/>
    <w:rsid w:val="00E27F2C"/>
    <w:rsid w:val="00E301D1"/>
    <w:rsid w:val="00E30EAD"/>
    <w:rsid w:val="00E30EE0"/>
    <w:rsid w:val="00E30F72"/>
    <w:rsid w:val="00E31B8A"/>
    <w:rsid w:val="00E3206C"/>
    <w:rsid w:val="00E3215F"/>
    <w:rsid w:val="00E32A05"/>
    <w:rsid w:val="00E32BE3"/>
    <w:rsid w:val="00E32E70"/>
    <w:rsid w:val="00E3371C"/>
    <w:rsid w:val="00E34147"/>
    <w:rsid w:val="00E34CB6"/>
    <w:rsid w:val="00E34D35"/>
    <w:rsid w:val="00E3515A"/>
    <w:rsid w:val="00E3585C"/>
    <w:rsid w:val="00E35F9D"/>
    <w:rsid w:val="00E3606E"/>
    <w:rsid w:val="00E368B6"/>
    <w:rsid w:val="00E36E2C"/>
    <w:rsid w:val="00E36ECB"/>
    <w:rsid w:val="00E3707E"/>
    <w:rsid w:val="00E37291"/>
    <w:rsid w:val="00E37602"/>
    <w:rsid w:val="00E37C0C"/>
    <w:rsid w:val="00E4061B"/>
    <w:rsid w:val="00E40C05"/>
    <w:rsid w:val="00E40C6C"/>
    <w:rsid w:val="00E410D6"/>
    <w:rsid w:val="00E417BC"/>
    <w:rsid w:val="00E41A79"/>
    <w:rsid w:val="00E41E0A"/>
    <w:rsid w:val="00E426DA"/>
    <w:rsid w:val="00E4281C"/>
    <w:rsid w:val="00E42B3B"/>
    <w:rsid w:val="00E42C94"/>
    <w:rsid w:val="00E43398"/>
    <w:rsid w:val="00E433BE"/>
    <w:rsid w:val="00E436CF"/>
    <w:rsid w:val="00E437BC"/>
    <w:rsid w:val="00E43977"/>
    <w:rsid w:val="00E43CD5"/>
    <w:rsid w:val="00E4522B"/>
    <w:rsid w:val="00E4591C"/>
    <w:rsid w:val="00E4630A"/>
    <w:rsid w:val="00E46901"/>
    <w:rsid w:val="00E469DD"/>
    <w:rsid w:val="00E46C23"/>
    <w:rsid w:val="00E473E7"/>
    <w:rsid w:val="00E47A98"/>
    <w:rsid w:val="00E47D1E"/>
    <w:rsid w:val="00E50111"/>
    <w:rsid w:val="00E50CB1"/>
    <w:rsid w:val="00E50E1E"/>
    <w:rsid w:val="00E513DD"/>
    <w:rsid w:val="00E5145C"/>
    <w:rsid w:val="00E514AA"/>
    <w:rsid w:val="00E5164B"/>
    <w:rsid w:val="00E516F2"/>
    <w:rsid w:val="00E51954"/>
    <w:rsid w:val="00E52159"/>
    <w:rsid w:val="00E52360"/>
    <w:rsid w:val="00E52857"/>
    <w:rsid w:val="00E53117"/>
    <w:rsid w:val="00E5396F"/>
    <w:rsid w:val="00E53C6F"/>
    <w:rsid w:val="00E542B6"/>
    <w:rsid w:val="00E54971"/>
    <w:rsid w:val="00E549B0"/>
    <w:rsid w:val="00E54CA9"/>
    <w:rsid w:val="00E550C7"/>
    <w:rsid w:val="00E55516"/>
    <w:rsid w:val="00E55F48"/>
    <w:rsid w:val="00E562E6"/>
    <w:rsid w:val="00E56586"/>
    <w:rsid w:val="00E5662B"/>
    <w:rsid w:val="00E5721E"/>
    <w:rsid w:val="00E5734B"/>
    <w:rsid w:val="00E57739"/>
    <w:rsid w:val="00E57BBE"/>
    <w:rsid w:val="00E57DCD"/>
    <w:rsid w:val="00E605ED"/>
    <w:rsid w:val="00E60BE7"/>
    <w:rsid w:val="00E60DE1"/>
    <w:rsid w:val="00E60DF1"/>
    <w:rsid w:val="00E61262"/>
    <w:rsid w:val="00E6130D"/>
    <w:rsid w:val="00E614CE"/>
    <w:rsid w:val="00E61832"/>
    <w:rsid w:val="00E620C5"/>
    <w:rsid w:val="00E62139"/>
    <w:rsid w:val="00E6239D"/>
    <w:rsid w:val="00E626BE"/>
    <w:rsid w:val="00E62825"/>
    <w:rsid w:val="00E62D73"/>
    <w:rsid w:val="00E62E78"/>
    <w:rsid w:val="00E63879"/>
    <w:rsid w:val="00E63EF1"/>
    <w:rsid w:val="00E63F97"/>
    <w:rsid w:val="00E6422A"/>
    <w:rsid w:val="00E644BF"/>
    <w:rsid w:val="00E6468D"/>
    <w:rsid w:val="00E64788"/>
    <w:rsid w:val="00E64B70"/>
    <w:rsid w:val="00E6537D"/>
    <w:rsid w:val="00E65528"/>
    <w:rsid w:val="00E6553D"/>
    <w:rsid w:val="00E65E5B"/>
    <w:rsid w:val="00E65FE0"/>
    <w:rsid w:val="00E66042"/>
    <w:rsid w:val="00E66F17"/>
    <w:rsid w:val="00E672F0"/>
    <w:rsid w:val="00E67381"/>
    <w:rsid w:val="00E67BA4"/>
    <w:rsid w:val="00E70A71"/>
    <w:rsid w:val="00E70F61"/>
    <w:rsid w:val="00E712F5"/>
    <w:rsid w:val="00E71D0B"/>
    <w:rsid w:val="00E72054"/>
    <w:rsid w:val="00E7246B"/>
    <w:rsid w:val="00E72FBA"/>
    <w:rsid w:val="00E73199"/>
    <w:rsid w:val="00E73266"/>
    <w:rsid w:val="00E7362F"/>
    <w:rsid w:val="00E739B0"/>
    <w:rsid w:val="00E74013"/>
    <w:rsid w:val="00E741AB"/>
    <w:rsid w:val="00E743A9"/>
    <w:rsid w:val="00E74A3E"/>
    <w:rsid w:val="00E74CBF"/>
    <w:rsid w:val="00E74FC7"/>
    <w:rsid w:val="00E75FFA"/>
    <w:rsid w:val="00E76018"/>
    <w:rsid w:val="00E764C6"/>
    <w:rsid w:val="00E776DD"/>
    <w:rsid w:val="00E77CAE"/>
    <w:rsid w:val="00E77DDD"/>
    <w:rsid w:val="00E8018B"/>
    <w:rsid w:val="00E80430"/>
    <w:rsid w:val="00E807E2"/>
    <w:rsid w:val="00E816AF"/>
    <w:rsid w:val="00E81C5F"/>
    <w:rsid w:val="00E81D89"/>
    <w:rsid w:val="00E81E6A"/>
    <w:rsid w:val="00E825EC"/>
    <w:rsid w:val="00E829ED"/>
    <w:rsid w:val="00E82B4E"/>
    <w:rsid w:val="00E83286"/>
    <w:rsid w:val="00E8372C"/>
    <w:rsid w:val="00E83A82"/>
    <w:rsid w:val="00E83CF0"/>
    <w:rsid w:val="00E84126"/>
    <w:rsid w:val="00E84532"/>
    <w:rsid w:val="00E84542"/>
    <w:rsid w:val="00E84621"/>
    <w:rsid w:val="00E846AF"/>
    <w:rsid w:val="00E856DD"/>
    <w:rsid w:val="00E85A14"/>
    <w:rsid w:val="00E85D3D"/>
    <w:rsid w:val="00E864BC"/>
    <w:rsid w:val="00E86D91"/>
    <w:rsid w:val="00E86F02"/>
    <w:rsid w:val="00E87202"/>
    <w:rsid w:val="00E87347"/>
    <w:rsid w:val="00E87B3F"/>
    <w:rsid w:val="00E904D3"/>
    <w:rsid w:val="00E90569"/>
    <w:rsid w:val="00E9072E"/>
    <w:rsid w:val="00E908B6"/>
    <w:rsid w:val="00E910FD"/>
    <w:rsid w:val="00E915BF"/>
    <w:rsid w:val="00E9176C"/>
    <w:rsid w:val="00E92761"/>
    <w:rsid w:val="00E92BD6"/>
    <w:rsid w:val="00E92DEA"/>
    <w:rsid w:val="00E93029"/>
    <w:rsid w:val="00E9381A"/>
    <w:rsid w:val="00E93D98"/>
    <w:rsid w:val="00E9404C"/>
    <w:rsid w:val="00E95021"/>
    <w:rsid w:val="00E95025"/>
    <w:rsid w:val="00E95227"/>
    <w:rsid w:val="00E95576"/>
    <w:rsid w:val="00E9636B"/>
    <w:rsid w:val="00E96576"/>
    <w:rsid w:val="00E96D09"/>
    <w:rsid w:val="00E96FED"/>
    <w:rsid w:val="00E97776"/>
    <w:rsid w:val="00E979FE"/>
    <w:rsid w:val="00EA08B3"/>
    <w:rsid w:val="00EA09C8"/>
    <w:rsid w:val="00EA0AC5"/>
    <w:rsid w:val="00EA0F13"/>
    <w:rsid w:val="00EA114B"/>
    <w:rsid w:val="00EA1178"/>
    <w:rsid w:val="00EA1449"/>
    <w:rsid w:val="00EA1822"/>
    <w:rsid w:val="00EA182F"/>
    <w:rsid w:val="00EA19E3"/>
    <w:rsid w:val="00EA1BEA"/>
    <w:rsid w:val="00EA1D08"/>
    <w:rsid w:val="00EA2415"/>
    <w:rsid w:val="00EA28ED"/>
    <w:rsid w:val="00EA29DF"/>
    <w:rsid w:val="00EA3073"/>
    <w:rsid w:val="00EA3163"/>
    <w:rsid w:val="00EA3433"/>
    <w:rsid w:val="00EA3498"/>
    <w:rsid w:val="00EA397A"/>
    <w:rsid w:val="00EA3F5A"/>
    <w:rsid w:val="00EA4C44"/>
    <w:rsid w:val="00EA4D19"/>
    <w:rsid w:val="00EA4F8A"/>
    <w:rsid w:val="00EA57A3"/>
    <w:rsid w:val="00EA5881"/>
    <w:rsid w:val="00EA5A7F"/>
    <w:rsid w:val="00EA5C9A"/>
    <w:rsid w:val="00EA660E"/>
    <w:rsid w:val="00EA6C70"/>
    <w:rsid w:val="00EA7513"/>
    <w:rsid w:val="00EA7530"/>
    <w:rsid w:val="00EA7BF6"/>
    <w:rsid w:val="00EA7C61"/>
    <w:rsid w:val="00EB0092"/>
    <w:rsid w:val="00EB042B"/>
    <w:rsid w:val="00EB1712"/>
    <w:rsid w:val="00EB1E86"/>
    <w:rsid w:val="00EB2307"/>
    <w:rsid w:val="00EB3226"/>
    <w:rsid w:val="00EB3564"/>
    <w:rsid w:val="00EB38F4"/>
    <w:rsid w:val="00EB3C9C"/>
    <w:rsid w:val="00EB3DBF"/>
    <w:rsid w:val="00EB3EB1"/>
    <w:rsid w:val="00EB3F8C"/>
    <w:rsid w:val="00EB4036"/>
    <w:rsid w:val="00EB4B1A"/>
    <w:rsid w:val="00EB52AF"/>
    <w:rsid w:val="00EB5537"/>
    <w:rsid w:val="00EB5940"/>
    <w:rsid w:val="00EB5F11"/>
    <w:rsid w:val="00EB5F25"/>
    <w:rsid w:val="00EB61ED"/>
    <w:rsid w:val="00EB65AC"/>
    <w:rsid w:val="00EB6BC8"/>
    <w:rsid w:val="00EB74D6"/>
    <w:rsid w:val="00EB7608"/>
    <w:rsid w:val="00EB760C"/>
    <w:rsid w:val="00EC07D1"/>
    <w:rsid w:val="00EC08F4"/>
    <w:rsid w:val="00EC0A69"/>
    <w:rsid w:val="00EC0D4A"/>
    <w:rsid w:val="00EC1A00"/>
    <w:rsid w:val="00EC1C96"/>
    <w:rsid w:val="00EC3971"/>
    <w:rsid w:val="00EC39A2"/>
    <w:rsid w:val="00EC4250"/>
    <w:rsid w:val="00EC446D"/>
    <w:rsid w:val="00EC483B"/>
    <w:rsid w:val="00EC4911"/>
    <w:rsid w:val="00EC50C9"/>
    <w:rsid w:val="00EC51B4"/>
    <w:rsid w:val="00EC5523"/>
    <w:rsid w:val="00EC563C"/>
    <w:rsid w:val="00EC5C13"/>
    <w:rsid w:val="00EC5C28"/>
    <w:rsid w:val="00EC5EE0"/>
    <w:rsid w:val="00EC621C"/>
    <w:rsid w:val="00EC6270"/>
    <w:rsid w:val="00EC6615"/>
    <w:rsid w:val="00EC686D"/>
    <w:rsid w:val="00EC6AA7"/>
    <w:rsid w:val="00EC6B9F"/>
    <w:rsid w:val="00EC77BC"/>
    <w:rsid w:val="00EC7833"/>
    <w:rsid w:val="00EC7A43"/>
    <w:rsid w:val="00EC7AAB"/>
    <w:rsid w:val="00ED00CE"/>
    <w:rsid w:val="00ED09D9"/>
    <w:rsid w:val="00ED0C6B"/>
    <w:rsid w:val="00ED0EAE"/>
    <w:rsid w:val="00ED0F86"/>
    <w:rsid w:val="00ED1197"/>
    <w:rsid w:val="00ED12C1"/>
    <w:rsid w:val="00ED1FE7"/>
    <w:rsid w:val="00ED23BA"/>
    <w:rsid w:val="00ED2657"/>
    <w:rsid w:val="00ED2A41"/>
    <w:rsid w:val="00ED2EB8"/>
    <w:rsid w:val="00ED31F0"/>
    <w:rsid w:val="00ED34F6"/>
    <w:rsid w:val="00ED35C0"/>
    <w:rsid w:val="00ED3911"/>
    <w:rsid w:val="00ED3DA0"/>
    <w:rsid w:val="00ED42F0"/>
    <w:rsid w:val="00ED477D"/>
    <w:rsid w:val="00ED47B6"/>
    <w:rsid w:val="00ED4E4B"/>
    <w:rsid w:val="00ED5115"/>
    <w:rsid w:val="00ED5179"/>
    <w:rsid w:val="00ED5589"/>
    <w:rsid w:val="00ED57CE"/>
    <w:rsid w:val="00ED5887"/>
    <w:rsid w:val="00ED5C19"/>
    <w:rsid w:val="00ED5F50"/>
    <w:rsid w:val="00ED607E"/>
    <w:rsid w:val="00ED6202"/>
    <w:rsid w:val="00ED635F"/>
    <w:rsid w:val="00ED644A"/>
    <w:rsid w:val="00ED657F"/>
    <w:rsid w:val="00ED6A0C"/>
    <w:rsid w:val="00ED6D45"/>
    <w:rsid w:val="00ED744E"/>
    <w:rsid w:val="00ED750B"/>
    <w:rsid w:val="00ED7CF4"/>
    <w:rsid w:val="00ED7D94"/>
    <w:rsid w:val="00EE081C"/>
    <w:rsid w:val="00EE0BDC"/>
    <w:rsid w:val="00EE0CC9"/>
    <w:rsid w:val="00EE10E5"/>
    <w:rsid w:val="00EE1603"/>
    <w:rsid w:val="00EE1A55"/>
    <w:rsid w:val="00EE2153"/>
    <w:rsid w:val="00EE36B2"/>
    <w:rsid w:val="00EE3A69"/>
    <w:rsid w:val="00EE3D13"/>
    <w:rsid w:val="00EE3D35"/>
    <w:rsid w:val="00EE3EBB"/>
    <w:rsid w:val="00EE4997"/>
    <w:rsid w:val="00EE4AFC"/>
    <w:rsid w:val="00EE61AD"/>
    <w:rsid w:val="00EE6A67"/>
    <w:rsid w:val="00EE6E5F"/>
    <w:rsid w:val="00EE6EF4"/>
    <w:rsid w:val="00EE782E"/>
    <w:rsid w:val="00EE78DF"/>
    <w:rsid w:val="00EE7946"/>
    <w:rsid w:val="00EE7CAB"/>
    <w:rsid w:val="00EF00BE"/>
    <w:rsid w:val="00EF0B33"/>
    <w:rsid w:val="00EF0C8E"/>
    <w:rsid w:val="00EF0D1B"/>
    <w:rsid w:val="00EF0D5E"/>
    <w:rsid w:val="00EF0F35"/>
    <w:rsid w:val="00EF110A"/>
    <w:rsid w:val="00EF123C"/>
    <w:rsid w:val="00EF14F8"/>
    <w:rsid w:val="00EF1BF6"/>
    <w:rsid w:val="00EF202A"/>
    <w:rsid w:val="00EF3458"/>
    <w:rsid w:val="00EF373E"/>
    <w:rsid w:val="00EF3D3F"/>
    <w:rsid w:val="00EF3F56"/>
    <w:rsid w:val="00EF4010"/>
    <w:rsid w:val="00EF430B"/>
    <w:rsid w:val="00EF460B"/>
    <w:rsid w:val="00EF563F"/>
    <w:rsid w:val="00EF5823"/>
    <w:rsid w:val="00EF6341"/>
    <w:rsid w:val="00EF6562"/>
    <w:rsid w:val="00EF682B"/>
    <w:rsid w:val="00EF692B"/>
    <w:rsid w:val="00EF7A5F"/>
    <w:rsid w:val="00F004EB"/>
    <w:rsid w:val="00F00518"/>
    <w:rsid w:val="00F0072E"/>
    <w:rsid w:val="00F009B0"/>
    <w:rsid w:val="00F01211"/>
    <w:rsid w:val="00F018EC"/>
    <w:rsid w:val="00F01E57"/>
    <w:rsid w:val="00F01F96"/>
    <w:rsid w:val="00F028E1"/>
    <w:rsid w:val="00F02C33"/>
    <w:rsid w:val="00F02D86"/>
    <w:rsid w:val="00F03856"/>
    <w:rsid w:val="00F038E2"/>
    <w:rsid w:val="00F038F7"/>
    <w:rsid w:val="00F04172"/>
    <w:rsid w:val="00F041AE"/>
    <w:rsid w:val="00F041BD"/>
    <w:rsid w:val="00F04535"/>
    <w:rsid w:val="00F048BD"/>
    <w:rsid w:val="00F04D17"/>
    <w:rsid w:val="00F056C8"/>
    <w:rsid w:val="00F05A31"/>
    <w:rsid w:val="00F05C62"/>
    <w:rsid w:val="00F05EE8"/>
    <w:rsid w:val="00F06508"/>
    <w:rsid w:val="00F0669A"/>
    <w:rsid w:val="00F068E6"/>
    <w:rsid w:val="00F07639"/>
    <w:rsid w:val="00F076EE"/>
    <w:rsid w:val="00F078A2"/>
    <w:rsid w:val="00F078CD"/>
    <w:rsid w:val="00F07A4A"/>
    <w:rsid w:val="00F07ADB"/>
    <w:rsid w:val="00F10954"/>
    <w:rsid w:val="00F11097"/>
    <w:rsid w:val="00F11189"/>
    <w:rsid w:val="00F11349"/>
    <w:rsid w:val="00F11738"/>
    <w:rsid w:val="00F11892"/>
    <w:rsid w:val="00F11CCD"/>
    <w:rsid w:val="00F124C4"/>
    <w:rsid w:val="00F128E3"/>
    <w:rsid w:val="00F12FE6"/>
    <w:rsid w:val="00F1306F"/>
    <w:rsid w:val="00F13416"/>
    <w:rsid w:val="00F13590"/>
    <w:rsid w:val="00F13B6C"/>
    <w:rsid w:val="00F13EF6"/>
    <w:rsid w:val="00F13F1F"/>
    <w:rsid w:val="00F14412"/>
    <w:rsid w:val="00F14445"/>
    <w:rsid w:val="00F1473E"/>
    <w:rsid w:val="00F15553"/>
    <w:rsid w:val="00F15559"/>
    <w:rsid w:val="00F159B8"/>
    <w:rsid w:val="00F16146"/>
    <w:rsid w:val="00F16698"/>
    <w:rsid w:val="00F169D7"/>
    <w:rsid w:val="00F1756F"/>
    <w:rsid w:val="00F204AA"/>
    <w:rsid w:val="00F20DF0"/>
    <w:rsid w:val="00F210A1"/>
    <w:rsid w:val="00F21378"/>
    <w:rsid w:val="00F21940"/>
    <w:rsid w:val="00F21A36"/>
    <w:rsid w:val="00F21E4C"/>
    <w:rsid w:val="00F21F1B"/>
    <w:rsid w:val="00F2284B"/>
    <w:rsid w:val="00F22851"/>
    <w:rsid w:val="00F229EB"/>
    <w:rsid w:val="00F233FC"/>
    <w:rsid w:val="00F23E78"/>
    <w:rsid w:val="00F23EA0"/>
    <w:rsid w:val="00F24333"/>
    <w:rsid w:val="00F247C5"/>
    <w:rsid w:val="00F248B9"/>
    <w:rsid w:val="00F24944"/>
    <w:rsid w:val="00F24C06"/>
    <w:rsid w:val="00F24DDE"/>
    <w:rsid w:val="00F25298"/>
    <w:rsid w:val="00F25616"/>
    <w:rsid w:val="00F25B71"/>
    <w:rsid w:val="00F26603"/>
    <w:rsid w:val="00F267DB"/>
    <w:rsid w:val="00F269A3"/>
    <w:rsid w:val="00F271BB"/>
    <w:rsid w:val="00F272C0"/>
    <w:rsid w:val="00F27780"/>
    <w:rsid w:val="00F277A6"/>
    <w:rsid w:val="00F27A37"/>
    <w:rsid w:val="00F27A3F"/>
    <w:rsid w:val="00F27AB5"/>
    <w:rsid w:val="00F301CC"/>
    <w:rsid w:val="00F303A1"/>
    <w:rsid w:val="00F304DF"/>
    <w:rsid w:val="00F30F65"/>
    <w:rsid w:val="00F31A5B"/>
    <w:rsid w:val="00F31C91"/>
    <w:rsid w:val="00F31D19"/>
    <w:rsid w:val="00F3204F"/>
    <w:rsid w:val="00F327AA"/>
    <w:rsid w:val="00F3304D"/>
    <w:rsid w:val="00F331B8"/>
    <w:rsid w:val="00F331DA"/>
    <w:rsid w:val="00F33227"/>
    <w:rsid w:val="00F33D77"/>
    <w:rsid w:val="00F33DEA"/>
    <w:rsid w:val="00F33E93"/>
    <w:rsid w:val="00F3465B"/>
    <w:rsid w:val="00F34A54"/>
    <w:rsid w:val="00F34EAC"/>
    <w:rsid w:val="00F3523F"/>
    <w:rsid w:val="00F35840"/>
    <w:rsid w:val="00F3585E"/>
    <w:rsid w:val="00F35D9B"/>
    <w:rsid w:val="00F35FDF"/>
    <w:rsid w:val="00F368D7"/>
    <w:rsid w:val="00F36C78"/>
    <w:rsid w:val="00F3751A"/>
    <w:rsid w:val="00F375AE"/>
    <w:rsid w:val="00F40403"/>
    <w:rsid w:val="00F40AB4"/>
    <w:rsid w:val="00F41112"/>
    <w:rsid w:val="00F411B4"/>
    <w:rsid w:val="00F41594"/>
    <w:rsid w:val="00F4185B"/>
    <w:rsid w:val="00F418D3"/>
    <w:rsid w:val="00F42107"/>
    <w:rsid w:val="00F42A49"/>
    <w:rsid w:val="00F42A7A"/>
    <w:rsid w:val="00F42EFD"/>
    <w:rsid w:val="00F43039"/>
    <w:rsid w:val="00F43619"/>
    <w:rsid w:val="00F440C9"/>
    <w:rsid w:val="00F440EE"/>
    <w:rsid w:val="00F44818"/>
    <w:rsid w:val="00F451F3"/>
    <w:rsid w:val="00F4541A"/>
    <w:rsid w:val="00F45C9E"/>
    <w:rsid w:val="00F45CA1"/>
    <w:rsid w:val="00F46526"/>
    <w:rsid w:val="00F47012"/>
    <w:rsid w:val="00F47307"/>
    <w:rsid w:val="00F4763B"/>
    <w:rsid w:val="00F47BB9"/>
    <w:rsid w:val="00F47E7E"/>
    <w:rsid w:val="00F501F3"/>
    <w:rsid w:val="00F5023D"/>
    <w:rsid w:val="00F50C6C"/>
    <w:rsid w:val="00F50F92"/>
    <w:rsid w:val="00F51056"/>
    <w:rsid w:val="00F51676"/>
    <w:rsid w:val="00F52A74"/>
    <w:rsid w:val="00F52E42"/>
    <w:rsid w:val="00F531E0"/>
    <w:rsid w:val="00F534CD"/>
    <w:rsid w:val="00F534E4"/>
    <w:rsid w:val="00F536DF"/>
    <w:rsid w:val="00F53818"/>
    <w:rsid w:val="00F538E5"/>
    <w:rsid w:val="00F53D55"/>
    <w:rsid w:val="00F53F43"/>
    <w:rsid w:val="00F54144"/>
    <w:rsid w:val="00F54320"/>
    <w:rsid w:val="00F546D3"/>
    <w:rsid w:val="00F54ACF"/>
    <w:rsid w:val="00F54D7B"/>
    <w:rsid w:val="00F55384"/>
    <w:rsid w:val="00F5592B"/>
    <w:rsid w:val="00F55E20"/>
    <w:rsid w:val="00F560C2"/>
    <w:rsid w:val="00F560F9"/>
    <w:rsid w:val="00F56360"/>
    <w:rsid w:val="00F568C1"/>
    <w:rsid w:val="00F569C8"/>
    <w:rsid w:val="00F56C33"/>
    <w:rsid w:val="00F56DE0"/>
    <w:rsid w:val="00F56FD2"/>
    <w:rsid w:val="00F57133"/>
    <w:rsid w:val="00F5713F"/>
    <w:rsid w:val="00F57931"/>
    <w:rsid w:val="00F57EAA"/>
    <w:rsid w:val="00F60202"/>
    <w:rsid w:val="00F60818"/>
    <w:rsid w:val="00F6092F"/>
    <w:rsid w:val="00F60AB8"/>
    <w:rsid w:val="00F60BCE"/>
    <w:rsid w:val="00F6141B"/>
    <w:rsid w:val="00F6158A"/>
    <w:rsid w:val="00F619F6"/>
    <w:rsid w:val="00F61ADE"/>
    <w:rsid w:val="00F62154"/>
    <w:rsid w:val="00F629F7"/>
    <w:rsid w:val="00F62FAC"/>
    <w:rsid w:val="00F630AA"/>
    <w:rsid w:val="00F63E68"/>
    <w:rsid w:val="00F63EC8"/>
    <w:rsid w:val="00F6402F"/>
    <w:rsid w:val="00F6440A"/>
    <w:rsid w:val="00F64D45"/>
    <w:rsid w:val="00F64D52"/>
    <w:rsid w:val="00F64F51"/>
    <w:rsid w:val="00F652DA"/>
    <w:rsid w:val="00F65345"/>
    <w:rsid w:val="00F655CD"/>
    <w:rsid w:val="00F658E4"/>
    <w:rsid w:val="00F65936"/>
    <w:rsid w:val="00F65C86"/>
    <w:rsid w:val="00F66384"/>
    <w:rsid w:val="00F663C4"/>
    <w:rsid w:val="00F6666A"/>
    <w:rsid w:val="00F667EF"/>
    <w:rsid w:val="00F67155"/>
    <w:rsid w:val="00F672D7"/>
    <w:rsid w:val="00F674E3"/>
    <w:rsid w:val="00F67C84"/>
    <w:rsid w:val="00F700B6"/>
    <w:rsid w:val="00F7012D"/>
    <w:rsid w:val="00F7061C"/>
    <w:rsid w:val="00F70890"/>
    <w:rsid w:val="00F7154D"/>
    <w:rsid w:val="00F71F1A"/>
    <w:rsid w:val="00F7215C"/>
    <w:rsid w:val="00F72873"/>
    <w:rsid w:val="00F72A89"/>
    <w:rsid w:val="00F72CD7"/>
    <w:rsid w:val="00F72DC1"/>
    <w:rsid w:val="00F731FF"/>
    <w:rsid w:val="00F733F4"/>
    <w:rsid w:val="00F73B13"/>
    <w:rsid w:val="00F73E79"/>
    <w:rsid w:val="00F73F66"/>
    <w:rsid w:val="00F74CA7"/>
    <w:rsid w:val="00F74D16"/>
    <w:rsid w:val="00F74E3B"/>
    <w:rsid w:val="00F751BE"/>
    <w:rsid w:val="00F75223"/>
    <w:rsid w:val="00F75E2C"/>
    <w:rsid w:val="00F760EE"/>
    <w:rsid w:val="00F76223"/>
    <w:rsid w:val="00F76B07"/>
    <w:rsid w:val="00F77161"/>
    <w:rsid w:val="00F77596"/>
    <w:rsid w:val="00F77896"/>
    <w:rsid w:val="00F77BB3"/>
    <w:rsid w:val="00F800B0"/>
    <w:rsid w:val="00F80204"/>
    <w:rsid w:val="00F80770"/>
    <w:rsid w:val="00F8097E"/>
    <w:rsid w:val="00F8149A"/>
    <w:rsid w:val="00F816B7"/>
    <w:rsid w:val="00F8178C"/>
    <w:rsid w:val="00F81C1E"/>
    <w:rsid w:val="00F81E14"/>
    <w:rsid w:val="00F8291D"/>
    <w:rsid w:val="00F83203"/>
    <w:rsid w:val="00F836D5"/>
    <w:rsid w:val="00F83F67"/>
    <w:rsid w:val="00F84461"/>
    <w:rsid w:val="00F85101"/>
    <w:rsid w:val="00F851C4"/>
    <w:rsid w:val="00F85475"/>
    <w:rsid w:val="00F858E0"/>
    <w:rsid w:val="00F864E7"/>
    <w:rsid w:val="00F8670F"/>
    <w:rsid w:val="00F86963"/>
    <w:rsid w:val="00F87086"/>
    <w:rsid w:val="00F90134"/>
    <w:rsid w:val="00F907C7"/>
    <w:rsid w:val="00F9198D"/>
    <w:rsid w:val="00F91B15"/>
    <w:rsid w:val="00F91B7E"/>
    <w:rsid w:val="00F91BD8"/>
    <w:rsid w:val="00F92016"/>
    <w:rsid w:val="00F925B4"/>
    <w:rsid w:val="00F925F6"/>
    <w:rsid w:val="00F93AA3"/>
    <w:rsid w:val="00F94191"/>
    <w:rsid w:val="00F9443B"/>
    <w:rsid w:val="00F94CA5"/>
    <w:rsid w:val="00F952C5"/>
    <w:rsid w:val="00F953FE"/>
    <w:rsid w:val="00F96DAA"/>
    <w:rsid w:val="00F97540"/>
    <w:rsid w:val="00F9777B"/>
    <w:rsid w:val="00F979B0"/>
    <w:rsid w:val="00F97FB0"/>
    <w:rsid w:val="00FA0BCC"/>
    <w:rsid w:val="00FA1070"/>
    <w:rsid w:val="00FA164F"/>
    <w:rsid w:val="00FA165E"/>
    <w:rsid w:val="00FA1ACB"/>
    <w:rsid w:val="00FA1BB5"/>
    <w:rsid w:val="00FA1FDF"/>
    <w:rsid w:val="00FA21F4"/>
    <w:rsid w:val="00FA2F3A"/>
    <w:rsid w:val="00FA2F8A"/>
    <w:rsid w:val="00FA304B"/>
    <w:rsid w:val="00FA3214"/>
    <w:rsid w:val="00FA397C"/>
    <w:rsid w:val="00FA3D5B"/>
    <w:rsid w:val="00FA4C7D"/>
    <w:rsid w:val="00FA4E97"/>
    <w:rsid w:val="00FA4ED6"/>
    <w:rsid w:val="00FA4FD7"/>
    <w:rsid w:val="00FA5750"/>
    <w:rsid w:val="00FA5874"/>
    <w:rsid w:val="00FA6476"/>
    <w:rsid w:val="00FA6A95"/>
    <w:rsid w:val="00FA6E13"/>
    <w:rsid w:val="00FA70CC"/>
    <w:rsid w:val="00FA7316"/>
    <w:rsid w:val="00FA77D4"/>
    <w:rsid w:val="00FA798A"/>
    <w:rsid w:val="00FA7E20"/>
    <w:rsid w:val="00FB0FF2"/>
    <w:rsid w:val="00FB18B5"/>
    <w:rsid w:val="00FB197F"/>
    <w:rsid w:val="00FB23DD"/>
    <w:rsid w:val="00FB2830"/>
    <w:rsid w:val="00FB312F"/>
    <w:rsid w:val="00FB35C3"/>
    <w:rsid w:val="00FB409D"/>
    <w:rsid w:val="00FB4272"/>
    <w:rsid w:val="00FB546C"/>
    <w:rsid w:val="00FB580C"/>
    <w:rsid w:val="00FB584F"/>
    <w:rsid w:val="00FB5D61"/>
    <w:rsid w:val="00FB6343"/>
    <w:rsid w:val="00FB6A75"/>
    <w:rsid w:val="00FB6BF7"/>
    <w:rsid w:val="00FB7090"/>
    <w:rsid w:val="00FB746B"/>
    <w:rsid w:val="00FB74A0"/>
    <w:rsid w:val="00FB7D96"/>
    <w:rsid w:val="00FC0142"/>
    <w:rsid w:val="00FC03A1"/>
    <w:rsid w:val="00FC0623"/>
    <w:rsid w:val="00FC1D06"/>
    <w:rsid w:val="00FC1F16"/>
    <w:rsid w:val="00FC1FB3"/>
    <w:rsid w:val="00FC2654"/>
    <w:rsid w:val="00FC2855"/>
    <w:rsid w:val="00FC2977"/>
    <w:rsid w:val="00FC317B"/>
    <w:rsid w:val="00FC3AF0"/>
    <w:rsid w:val="00FC3C61"/>
    <w:rsid w:val="00FC3C67"/>
    <w:rsid w:val="00FC3CCA"/>
    <w:rsid w:val="00FC42C3"/>
    <w:rsid w:val="00FC47DE"/>
    <w:rsid w:val="00FC48B4"/>
    <w:rsid w:val="00FC4A9E"/>
    <w:rsid w:val="00FC4DDB"/>
    <w:rsid w:val="00FC51A3"/>
    <w:rsid w:val="00FC5353"/>
    <w:rsid w:val="00FC539A"/>
    <w:rsid w:val="00FC5DF3"/>
    <w:rsid w:val="00FC5F6D"/>
    <w:rsid w:val="00FC6221"/>
    <w:rsid w:val="00FC6457"/>
    <w:rsid w:val="00FC66C1"/>
    <w:rsid w:val="00FC6703"/>
    <w:rsid w:val="00FC6BA8"/>
    <w:rsid w:val="00FC7248"/>
    <w:rsid w:val="00FD0F80"/>
    <w:rsid w:val="00FD1149"/>
    <w:rsid w:val="00FD19A1"/>
    <w:rsid w:val="00FD2043"/>
    <w:rsid w:val="00FD20F4"/>
    <w:rsid w:val="00FD245D"/>
    <w:rsid w:val="00FD296C"/>
    <w:rsid w:val="00FD315A"/>
    <w:rsid w:val="00FD31A5"/>
    <w:rsid w:val="00FD3406"/>
    <w:rsid w:val="00FD3499"/>
    <w:rsid w:val="00FD370A"/>
    <w:rsid w:val="00FD376D"/>
    <w:rsid w:val="00FD3BEE"/>
    <w:rsid w:val="00FD3D3D"/>
    <w:rsid w:val="00FD4795"/>
    <w:rsid w:val="00FD49B4"/>
    <w:rsid w:val="00FD4B84"/>
    <w:rsid w:val="00FD5F8B"/>
    <w:rsid w:val="00FD61E3"/>
    <w:rsid w:val="00FD6751"/>
    <w:rsid w:val="00FD6D64"/>
    <w:rsid w:val="00FD701C"/>
    <w:rsid w:val="00FD76D9"/>
    <w:rsid w:val="00FD78CB"/>
    <w:rsid w:val="00FD7DCF"/>
    <w:rsid w:val="00FD7F1A"/>
    <w:rsid w:val="00FE00DF"/>
    <w:rsid w:val="00FE01E9"/>
    <w:rsid w:val="00FE0888"/>
    <w:rsid w:val="00FE0AF7"/>
    <w:rsid w:val="00FE1448"/>
    <w:rsid w:val="00FE1B15"/>
    <w:rsid w:val="00FE22B4"/>
    <w:rsid w:val="00FE22B8"/>
    <w:rsid w:val="00FE31A3"/>
    <w:rsid w:val="00FE31B9"/>
    <w:rsid w:val="00FE3716"/>
    <w:rsid w:val="00FE37FF"/>
    <w:rsid w:val="00FE389E"/>
    <w:rsid w:val="00FE449C"/>
    <w:rsid w:val="00FE4949"/>
    <w:rsid w:val="00FE4B78"/>
    <w:rsid w:val="00FE4B9D"/>
    <w:rsid w:val="00FE55DF"/>
    <w:rsid w:val="00FE5641"/>
    <w:rsid w:val="00FE5A58"/>
    <w:rsid w:val="00FE5CAA"/>
    <w:rsid w:val="00FE6915"/>
    <w:rsid w:val="00FE6E29"/>
    <w:rsid w:val="00FE72AE"/>
    <w:rsid w:val="00FE7BC4"/>
    <w:rsid w:val="00FF0A09"/>
    <w:rsid w:val="00FF0BE3"/>
    <w:rsid w:val="00FF0BF3"/>
    <w:rsid w:val="00FF11C6"/>
    <w:rsid w:val="00FF1384"/>
    <w:rsid w:val="00FF1B34"/>
    <w:rsid w:val="00FF2495"/>
    <w:rsid w:val="00FF2AC3"/>
    <w:rsid w:val="00FF2EC4"/>
    <w:rsid w:val="00FF3625"/>
    <w:rsid w:val="00FF36AA"/>
    <w:rsid w:val="00FF3D9F"/>
    <w:rsid w:val="00FF4055"/>
    <w:rsid w:val="00FF4786"/>
    <w:rsid w:val="00FF4BA5"/>
    <w:rsid w:val="00FF4D59"/>
    <w:rsid w:val="00FF5169"/>
    <w:rsid w:val="00FF5328"/>
    <w:rsid w:val="00FF5399"/>
    <w:rsid w:val="00FF58A7"/>
    <w:rsid w:val="00FF6A50"/>
    <w:rsid w:val="00FF6D0F"/>
    <w:rsid w:val="00FF74EF"/>
    <w:rsid w:val="00FF75FD"/>
    <w:rsid w:val="00FF77F8"/>
    <w:rsid w:val="00FF786F"/>
    <w:rsid w:val="00FF7CA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style="mso-position-horizontal-relative:page;mso-position-vertical-relative:page" stroke="f">
      <v:stroke on="f"/>
      <o:colormru v:ext="edit" colors="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Arial"/>
        <w:color w:val="363534" w:themeColor="text1"/>
        <w:lang w:val="en-AU" w:eastAsia="en-AU" w:bidi="ar-SA"/>
      </w:rPr>
    </w:rPrDefault>
    <w:pPrDefault>
      <w:pPr>
        <w:spacing w:line="240" w:lineRule="atLeast"/>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qFormat="1"/>
    <w:lsdException w:name="heading 6" w:qFormat="1"/>
    <w:lsdException w:name="heading 7" w:uiPriority="99" w:qFormat="1"/>
    <w:lsdException w:name="heading 8" w:uiPriority="99"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header" w:uiPriority="99"/>
    <w:lsdException w:name="footer" w:uiPriority="99"/>
    <w:lsdException w:name="caption" w:qFormat="1"/>
    <w:lsdException w:name="footnote reference" w:uiPriority="99"/>
    <w:lsdException w:name="annotation reference" w:uiPriority="99"/>
    <w:lsdException w:name="page number" w:uiPriority="99"/>
    <w:lsdException w:name="List Bullet" w:qFormat="1"/>
    <w:lsdException w:name="List Number" w:semiHidden="0" w:uiPriority="13" w:unhideWhenUsed="0" w:qFormat="1"/>
    <w:lsdException w:name="List 4" w:semiHidden="0" w:unhideWhenUsed="0"/>
    <w:lsdException w:name="List 5" w:semiHidden="0" w:unhideWhenUsed="0"/>
    <w:lsdException w:name="List Bullet 2" w:qFormat="1"/>
    <w:lsdException w:name="List Bullet 3" w:qFormat="1"/>
    <w:lsdException w:name="List Number 2" w:uiPriority="13" w:qFormat="1"/>
    <w:lsdException w:name="List Number 3" w:uiPriority="13" w:qFormat="1"/>
    <w:lsdException w:name="List Number 4" w:uiPriority="13"/>
    <w:lsdException w:name="List Number 5" w:uiPriority="13"/>
    <w:lsdException w:name="Title" w:semiHidden="0" w:unhideWhenUsed="0" w:qFormat="1"/>
    <w:lsdException w:name="Default Paragraph Font" w:uiPriority="1"/>
    <w:lsdException w:name="Body Text" w:uiPriority="1" w:qFormat="1"/>
    <w:lsdException w:name="List Continue" w:qFormat="1"/>
    <w:lsdException w:name="List Continue 2"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Block Text" w:uiPriority="99" w:qFormat="1"/>
    <w:lsdException w:name="Hyperlink" w:uiPriority="99"/>
    <w:lsdException w:name="FollowedHyperlink" w:uiPriority="99"/>
    <w:lsdException w:name="Strong" w:semiHidden="0" w:unhideWhenUsed="0"/>
    <w:lsdException w:name="Emphasis" w:semiHidden="0" w:uiPriority="20" w:unhideWhenUsed="0" w:qFormat="1"/>
    <w:lsdException w:name="Normal (Web)" w:uiPriority="99"/>
    <w:lsdException w:name="annotation subject" w:uiPriority="99"/>
    <w:lsdException w:name="No List" w:uiPriority="99"/>
    <w:lsdException w:name="Table Professional"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4BEB"/>
    <w:pPr>
      <w:spacing w:after="200"/>
    </w:pPr>
    <w:rPr>
      <w:color w:val="auto"/>
    </w:rPr>
  </w:style>
  <w:style w:type="paragraph" w:styleId="Heading1">
    <w:name w:val="heading 1"/>
    <w:basedOn w:val="Normal"/>
    <w:next w:val="BodyText"/>
    <w:link w:val="Heading1Char"/>
    <w:uiPriority w:val="9"/>
    <w:qFormat/>
    <w:rsid w:val="008A39F6"/>
    <w:pPr>
      <w:keepNext/>
      <w:keepLines/>
      <w:numPr>
        <w:numId w:val="7"/>
      </w:numPr>
      <w:spacing w:after="360" w:line="240" w:lineRule="auto"/>
      <w:ind w:left="1134" w:hanging="1134"/>
      <w:outlineLvl w:val="0"/>
    </w:pPr>
    <w:rPr>
      <w:b/>
      <w:bCs/>
      <w:color w:val="201547" w:themeColor="accent2"/>
      <w:kern w:val="32"/>
      <w:sz w:val="40"/>
      <w:szCs w:val="32"/>
    </w:rPr>
  </w:style>
  <w:style w:type="paragraph" w:styleId="Heading2">
    <w:name w:val="heading 2"/>
    <w:basedOn w:val="Normal"/>
    <w:next w:val="BodyText"/>
    <w:link w:val="Heading2Char"/>
    <w:uiPriority w:val="9"/>
    <w:qFormat/>
    <w:rsid w:val="00357F56"/>
    <w:pPr>
      <w:keepNext/>
      <w:keepLines/>
      <w:numPr>
        <w:ilvl w:val="1"/>
        <w:numId w:val="7"/>
      </w:numPr>
      <w:tabs>
        <w:tab w:val="left" w:pos="1134"/>
      </w:tabs>
      <w:spacing w:after="220" w:line="240" w:lineRule="auto"/>
      <w:ind w:left="1134" w:hanging="1134"/>
      <w:outlineLvl w:val="1"/>
    </w:pPr>
    <w:rPr>
      <w:b/>
      <w:bCs/>
      <w:i/>
      <w:iCs/>
      <w:color w:val="00B2A9" w:themeColor="text2"/>
      <w:kern w:val="20"/>
      <w:sz w:val="32"/>
      <w:szCs w:val="28"/>
    </w:rPr>
  </w:style>
  <w:style w:type="paragraph" w:styleId="Heading3">
    <w:name w:val="heading 3"/>
    <w:basedOn w:val="Normal"/>
    <w:next w:val="BodyText"/>
    <w:link w:val="Heading3Char"/>
    <w:uiPriority w:val="9"/>
    <w:qFormat/>
    <w:rsid w:val="00357F56"/>
    <w:pPr>
      <w:keepNext/>
      <w:keepLines/>
      <w:numPr>
        <w:ilvl w:val="2"/>
        <w:numId w:val="7"/>
      </w:numPr>
      <w:tabs>
        <w:tab w:val="left" w:pos="1134"/>
        <w:tab w:val="left" w:pos="1701"/>
        <w:tab w:val="left" w:pos="1985"/>
      </w:tabs>
      <w:spacing w:before="200" w:after="220" w:line="240" w:lineRule="auto"/>
      <w:ind w:left="1134" w:hanging="1134"/>
      <w:outlineLvl w:val="2"/>
    </w:pPr>
    <w:rPr>
      <w:rFonts w:asciiTheme="majorHAnsi" w:hAnsiTheme="majorHAnsi"/>
      <w:i/>
      <w:color w:val="00B2A9" w:themeColor="accent1"/>
      <w:sz w:val="28"/>
    </w:rPr>
  </w:style>
  <w:style w:type="paragraph" w:styleId="Heading4">
    <w:name w:val="heading 4"/>
    <w:basedOn w:val="Normal"/>
    <w:next w:val="BodyText"/>
    <w:link w:val="Heading4Char"/>
    <w:qFormat/>
    <w:rsid w:val="00FA2F8A"/>
    <w:pPr>
      <w:keepNext/>
      <w:keepLines/>
      <w:tabs>
        <w:tab w:val="left" w:pos="1418"/>
        <w:tab w:val="left" w:pos="1701"/>
        <w:tab w:val="left" w:pos="1985"/>
      </w:tabs>
      <w:spacing w:line="200" w:lineRule="atLeast"/>
      <w:outlineLvl w:val="3"/>
    </w:pPr>
    <w:rPr>
      <w:rFonts w:asciiTheme="majorHAnsi" w:eastAsiaTheme="majorEastAsia" w:hAnsiTheme="majorHAnsi" w:cstheme="majorBidi"/>
      <w:b/>
      <w:bCs/>
      <w:i/>
      <w:iCs/>
    </w:rPr>
  </w:style>
  <w:style w:type="paragraph" w:styleId="Heading5">
    <w:name w:val="heading 5"/>
    <w:basedOn w:val="Normal"/>
    <w:next w:val="BodyText"/>
    <w:link w:val="Heading5Char"/>
    <w:qFormat/>
    <w:rsid w:val="00FA2F8A"/>
    <w:pPr>
      <w:keepNext/>
      <w:keepLines/>
      <w:spacing w:line="240" w:lineRule="auto"/>
      <w:outlineLvl w:val="4"/>
    </w:pPr>
    <w:rPr>
      <w:rFonts w:asciiTheme="majorHAnsi" w:eastAsiaTheme="majorEastAsia" w:hAnsiTheme="majorHAnsi" w:cstheme="majorBidi"/>
      <w:i/>
      <w:u w:val="single"/>
    </w:rPr>
  </w:style>
  <w:style w:type="paragraph" w:styleId="Heading6">
    <w:name w:val="heading 6"/>
    <w:basedOn w:val="Normal"/>
    <w:next w:val="BodyText"/>
    <w:link w:val="Heading6Char"/>
    <w:qFormat/>
    <w:rsid w:val="008D3250"/>
    <w:pPr>
      <w:keepNext/>
      <w:keepLines/>
      <w:spacing w:line="240" w:lineRule="auto"/>
      <w:outlineLvl w:val="5"/>
    </w:pPr>
    <w:rPr>
      <w:rFonts w:asciiTheme="majorHAnsi" w:eastAsiaTheme="majorEastAsia" w:hAnsiTheme="majorHAnsi" w:cstheme="majorBidi"/>
      <w:b/>
      <w:i/>
      <w:iCs/>
      <w:color w:val="00B2A9" w:themeColor="text2"/>
    </w:rPr>
  </w:style>
  <w:style w:type="paragraph" w:styleId="Heading7">
    <w:name w:val="heading 7"/>
    <w:basedOn w:val="Normal"/>
    <w:next w:val="Normal"/>
    <w:link w:val="Heading7Char"/>
    <w:uiPriority w:val="99"/>
    <w:qFormat/>
    <w:rsid w:val="007E536E"/>
    <w:pPr>
      <w:keepNext/>
      <w:keepLines/>
      <w:spacing w:before="2820" w:after="180"/>
      <w:outlineLvl w:val="6"/>
    </w:pPr>
    <w:rPr>
      <w:rFonts w:asciiTheme="majorHAnsi" w:eastAsiaTheme="majorEastAsia" w:hAnsiTheme="majorHAnsi" w:cstheme="majorBidi"/>
      <w:b/>
      <w:iCs/>
      <w:color w:val="FFFFFF"/>
    </w:rPr>
  </w:style>
  <w:style w:type="paragraph" w:styleId="Heading8">
    <w:name w:val="heading 8"/>
    <w:aliases w:val="Appendix Title"/>
    <w:basedOn w:val="Normal"/>
    <w:next w:val="BodyText"/>
    <w:link w:val="Heading8Char"/>
    <w:uiPriority w:val="99"/>
    <w:qFormat/>
    <w:rsid w:val="000758E3"/>
    <w:pPr>
      <w:keepNext/>
      <w:keepLines/>
      <w:pageBreakBefore/>
      <w:framePr w:w="11907" w:h="1985" w:hRule="exact" w:hSpace="11340" w:vSpace="284" w:wrap="around" w:vAnchor="page" w:hAnchor="page" w:yAlign="top"/>
      <w:numPr>
        <w:numId w:val="3"/>
      </w:numPr>
      <w:spacing w:before="1300" w:after="440" w:line="440" w:lineRule="exact"/>
      <w:ind w:right="1134"/>
      <w:outlineLvl w:val="7"/>
    </w:pPr>
    <w:rPr>
      <w:rFonts w:asciiTheme="majorHAnsi" w:eastAsiaTheme="majorEastAsia" w:hAnsiTheme="majorHAnsi" w:cstheme="majorBidi"/>
      <w:b/>
      <w:color w:val="00B2A9" w:themeColor="text2"/>
      <w:sz w:val="40"/>
    </w:rPr>
  </w:style>
  <w:style w:type="paragraph" w:styleId="Heading9">
    <w:name w:val="heading 9"/>
    <w:aliases w:val="Appendix Heading 1"/>
    <w:basedOn w:val="Normal"/>
    <w:next w:val="BodyText"/>
    <w:link w:val="Heading9Char"/>
    <w:qFormat/>
    <w:rsid w:val="000758E3"/>
    <w:pPr>
      <w:keepNext/>
      <w:keepLines/>
      <w:tabs>
        <w:tab w:val="left" w:pos="1559"/>
        <w:tab w:val="left" w:pos="1843"/>
        <w:tab w:val="left" w:pos="2126"/>
        <w:tab w:val="left" w:pos="2410"/>
      </w:tabs>
      <w:spacing w:before="100" w:after="100" w:line="280" w:lineRule="exact"/>
      <w:outlineLvl w:val="8"/>
    </w:pPr>
    <w:rPr>
      <w:b/>
      <w:color w:val="00B2A9" w:themeColor="text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561E6"/>
    <w:pPr>
      <w:spacing w:line="240" w:lineRule="auto"/>
    </w:pPr>
  </w:style>
  <w:style w:type="paragraph" w:styleId="Footer">
    <w:name w:val="footer"/>
    <w:basedOn w:val="Normal"/>
    <w:link w:val="FooterChar"/>
    <w:uiPriority w:val="99"/>
    <w:rsid w:val="00F83203"/>
    <w:pPr>
      <w:spacing w:line="200" w:lineRule="atLeast"/>
    </w:pPr>
    <w:rPr>
      <w:sz w:val="16"/>
    </w:rPr>
  </w:style>
  <w:style w:type="paragraph" w:customStyle="1" w:styleId="xDisclaimertext3">
    <w:name w:val="xDisclaimer text 3"/>
    <w:basedOn w:val="xDisclaimerText"/>
    <w:rsid w:val="009363B5"/>
    <w:pPr>
      <w:spacing w:before="60" w:after="60"/>
    </w:pPr>
  </w:style>
  <w:style w:type="character" w:styleId="PageNumber">
    <w:name w:val="page number"/>
    <w:basedOn w:val="DefaultParagraphFont"/>
    <w:uiPriority w:val="99"/>
    <w:semiHidden/>
    <w:rsid w:val="003C3BC2"/>
    <w:rPr>
      <w:rFonts w:ascii="Arial" w:hAnsi="Arial"/>
      <w:b/>
      <w:color w:val="auto"/>
      <w:sz w:val="16"/>
    </w:rPr>
  </w:style>
  <w:style w:type="paragraph" w:customStyle="1" w:styleId="FooterOdd">
    <w:name w:val="Footer Odd"/>
    <w:next w:val="Footer"/>
    <w:rsid w:val="00F83203"/>
    <w:pPr>
      <w:spacing w:line="200" w:lineRule="atLeast"/>
      <w:jc w:val="right"/>
    </w:pPr>
    <w:rPr>
      <w:spacing w:val="2"/>
      <w:sz w:val="16"/>
    </w:rPr>
  </w:style>
  <w:style w:type="table" w:styleId="TableGrid">
    <w:name w:val="Table Grid"/>
    <w:basedOn w:val="TableNormal"/>
    <w:uiPriority w:val="59"/>
    <w:rsid w:val="00BB1F66"/>
    <w:pPr>
      <w:spacing w:before="60" w:after="60" w:line="220" w:lineRule="atLeast"/>
      <w:ind w:left="113" w:right="113"/>
    </w:pPr>
    <w:rPr>
      <w:rFonts w:cs="Times New Roman"/>
      <w:sz w:val="18"/>
    </w:rPr>
    <w:tblPr>
      <w:tblStyleColBandSize w:val="1"/>
      <w:tblBorders>
        <w:top w:val="single" w:sz="8" w:space="0" w:color="00B2A9" w:themeColor="text2"/>
        <w:bottom w:val="single" w:sz="8" w:space="0" w:color="00B2A9" w:themeColor="text2"/>
        <w:insideH w:val="single" w:sz="8" w:space="0" w:color="00B2A9" w:themeColor="text2"/>
      </w:tblBorders>
      <w:tblCellMar>
        <w:left w:w="0" w:type="dxa"/>
        <w:right w:w="0" w:type="dxa"/>
      </w:tblCellMar>
    </w:tblPr>
    <w:tblStylePr w:type="firstRow">
      <w:pPr>
        <w:wordWrap/>
        <w:spacing w:beforeLines="0" w:beforeAutospacing="0" w:afterLines="0" w:afterAutospacing="0" w:line="220" w:lineRule="atLeast"/>
        <w:jc w:val="left"/>
      </w:pPr>
      <w:rPr>
        <w:rFonts w:asciiTheme="minorHAnsi" w:hAnsiTheme="minorHAnsi"/>
        <w:b w:val="0"/>
        <w:color w:val="363534" w:themeColor="text1"/>
        <w:sz w:val="18"/>
      </w:rPr>
      <w:tblPr/>
      <w:tcPr>
        <w:shd w:val="clear" w:color="auto" w:fill="00B2A9" w:themeFill="text2"/>
      </w:tcPr>
    </w:tblStylePr>
    <w:tblStylePr w:type="lastRow">
      <w:rPr>
        <w:b w:val="0"/>
      </w:rPr>
    </w:tblStylePr>
    <w:tblStylePr w:type="lastCol">
      <w:pPr>
        <w:jc w:val="left"/>
      </w:pPr>
    </w:tblStylePr>
    <w:tblStylePr w:type="band1Vert">
      <w:tblPr/>
      <w:tcPr>
        <w:shd w:val="clear" w:color="auto" w:fill="E5F7F6" w:themeFill="background2"/>
      </w:tcPr>
    </w:tblStylePr>
    <w:tblStylePr w:type="nwCell">
      <w:pPr>
        <w:jc w:val="left"/>
      </w:pPr>
      <w:tblPr/>
      <w:tcPr>
        <w:vAlign w:val="center"/>
      </w:tcPr>
    </w:tblStylePr>
  </w:style>
  <w:style w:type="paragraph" w:customStyle="1" w:styleId="FooterEven">
    <w:name w:val="Footer Even"/>
    <w:next w:val="Footer"/>
    <w:rsid w:val="00F83203"/>
    <w:pPr>
      <w:spacing w:line="200" w:lineRule="atLeast"/>
    </w:pPr>
    <w:rPr>
      <w:sz w:val="16"/>
    </w:rPr>
  </w:style>
  <w:style w:type="character" w:customStyle="1" w:styleId="FooterChar">
    <w:name w:val="Footer Char"/>
    <w:basedOn w:val="DefaultParagraphFont"/>
    <w:link w:val="Footer"/>
    <w:uiPriority w:val="99"/>
    <w:rsid w:val="00F83203"/>
    <w:rPr>
      <w:sz w:val="16"/>
    </w:rPr>
  </w:style>
  <w:style w:type="paragraph" w:customStyle="1" w:styleId="FooterOddPageNumber">
    <w:name w:val="Footer Odd Page Number"/>
    <w:basedOn w:val="FooterOdd"/>
    <w:rsid w:val="001748A0"/>
    <w:pPr>
      <w:ind w:right="28"/>
    </w:pPr>
    <w:rPr>
      <w:b/>
      <w:color w:val="00B2A9" w:themeColor="accent1"/>
    </w:rPr>
  </w:style>
  <w:style w:type="paragraph" w:customStyle="1" w:styleId="FootnoteSeparator">
    <w:name w:val="Footnote Separator"/>
    <w:basedOn w:val="Normal"/>
    <w:unhideWhenUsed/>
    <w:rsid w:val="0086233C"/>
    <w:pPr>
      <w:pBdr>
        <w:top w:val="dotted" w:sz="8" w:space="0" w:color="363534" w:themeColor="text1"/>
      </w:pBdr>
      <w:spacing w:before="120" w:line="120" w:lineRule="exact"/>
    </w:pPr>
    <w:rPr>
      <w:sz w:val="16"/>
      <w:szCs w:val="16"/>
    </w:rPr>
  </w:style>
  <w:style w:type="paragraph" w:customStyle="1" w:styleId="Emailaddress">
    <w:name w:val="Email address"/>
    <w:basedOn w:val="Normal"/>
    <w:semiHidden/>
    <w:rsid w:val="00606818"/>
    <w:rPr>
      <w:sz w:val="16"/>
      <w:szCs w:val="16"/>
    </w:rPr>
  </w:style>
  <w:style w:type="character" w:customStyle="1" w:styleId="Italics">
    <w:name w:val="Italics"/>
    <w:rsid w:val="00901CD1"/>
    <w:rPr>
      <w:i/>
    </w:rPr>
  </w:style>
  <w:style w:type="paragraph" w:styleId="ListContinue">
    <w:name w:val="List Continue"/>
    <w:basedOn w:val="Normal"/>
    <w:semiHidden/>
    <w:qFormat/>
    <w:rsid w:val="00606818"/>
    <w:pPr>
      <w:spacing w:before="220" w:after="220"/>
      <w:ind w:left="340"/>
    </w:pPr>
  </w:style>
  <w:style w:type="paragraph" w:styleId="ListContinue2">
    <w:name w:val="List Continue 2"/>
    <w:basedOn w:val="Normal"/>
    <w:semiHidden/>
    <w:qFormat/>
    <w:rsid w:val="00606818"/>
    <w:pPr>
      <w:spacing w:before="220" w:after="220"/>
      <w:ind w:left="680"/>
    </w:pPr>
  </w:style>
  <w:style w:type="paragraph" w:styleId="ListNumber">
    <w:name w:val="List Number"/>
    <w:basedOn w:val="Normal"/>
    <w:uiPriority w:val="13"/>
    <w:qFormat/>
    <w:rsid w:val="00B876CB"/>
    <w:pPr>
      <w:numPr>
        <w:numId w:val="4"/>
      </w:numPr>
      <w:spacing w:before="120" w:after="120"/>
    </w:pPr>
  </w:style>
  <w:style w:type="paragraph" w:styleId="ListNumber2">
    <w:name w:val="List Number 2"/>
    <w:basedOn w:val="Normal"/>
    <w:uiPriority w:val="13"/>
    <w:qFormat/>
    <w:rsid w:val="00781566"/>
    <w:pPr>
      <w:numPr>
        <w:ilvl w:val="1"/>
        <w:numId w:val="4"/>
      </w:numPr>
      <w:spacing w:before="120" w:after="120"/>
    </w:pPr>
  </w:style>
  <w:style w:type="paragraph" w:styleId="ListNumber3">
    <w:name w:val="List Number 3"/>
    <w:basedOn w:val="Normal"/>
    <w:uiPriority w:val="13"/>
    <w:qFormat/>
    <w:rsid w:val="00781566"/>
    <w:pPr>
      <w:numPr>
        <w:ilvl w:val="2"/>
        <w:numId w:val="4"/>
      </w:numPr>
      <w:spacing w:before="120" w:after="120"/>
    </w:pPr>
  </w:style>
  <w:style w:type="numbering" w:styleId="1ai">
    <w:name w:val="Outline List 1"/>
    <w:basedOn w:val="NoList"/>
    <w:rsid w:val="00606818"/>
    <w:pPr>
      <w:numPr>
        <w:numId w:val="1"/>
      </w:numPr>
    </w:pPr>
  </w:style>
  <w:style w:type="paragraph" w:styleId="BalloonText">
    <w:name w:val="Balloon Text"/>
    <w:basedOn w:val="Normal"/>
    <w:link w:val="BalloonTextChar"/>
    <w:uiPriority w:val="99"/>
    <w:semiHidden/>
    <w:unhideWhenUsed/>
    <w:rsid w:val="00606818"/>
    <w:rPr>
      <w:rFonts w:ascii="Tahoma" w:hAnsi="Tahoma" w:cs="Tahoma"/>
      <w:sz w:val="16"/>
      <w:szCs w:val="16"/>
    </w:rPr>
  </w:style>
  <w:style w:type="character" w:customStyle="1" w:styleId="HeaderChar">
    <w:name w:val="Header Char"/>
    <w:basedOn w:val="DefaultParagraphFont"/>
    <w:link w:val="Header"/>
    <w:uiPriority w:val="99"/>
    <w:rsid w:val="004561E6"/>
    <w:rPr>
      <w:color w:val="auto"/>
    </w:rPr>
  </w:style>
  <w:style w:type="paragraph" w:customStyle="1" w:styleId="TableTextBullet2">
    <w:name w:val="Table Text Bullet 2"/>
    <w:basedOn w:val="TableTextBullet"/>
    <w:qFormat/>
    <w:rsid w:val="004D4063"/>
    <w:pPr>
      <w:numPr>
        <w:ilvl w:val="1"/>
      </w:numPr>
    </w:pPr>
    <w:rPr>
      <w:bCs/>
    </w:rPr>
  </w:style>
  <w:style w:type="paragraph" w:customStyle="1" w:styleId="TableTextBullet3">
    <w:name w:val="Table Text Bullet 3"/>
    <w:basedOn w:val="TableTextBullet2"/>
    <w:qFormat/>
    <w:rsid w:val="004D4063"/>
    <w:pPr>
      <w:numPr>
        <w:ilvl w:val="2"/>
      </w:numPr>
    </w:pPr>
    <w:rPr>
      <w:bCs w:val="0"/>
    </w:rPr>
  </w:style>
  <w:style w:type="paragraph" w:customStyle="1" w:styleId="xDoublePic">
    <w:name w:val="xDoublePic"/>
    <w:basedOn w:val="xInlineShape"/>
    <w:semiHidden/>
    <w:rsid w:val="001E4751"/>
    <w:pPr>
      <w:spacing w:before="0" w:after="0"/>
    </w:pPr>
  </w:style>
  <w:style w:type="paragraph" w:styleId="BodyText">
    <w:name w:val="Body Text"/>
    <w:basedOn w:val="Normal"/>
    <w:link w:val="BodyTextChar"/>
    <w:uiPriority w:val="1"/>
    <w:qFormat/>
    <w:rsid w:val="0086233C"/>
    <w:pPr>
      <w:spacing w:before="60" w:after="120"/>
    </w:pPr>
    <w:rPr>
      <w:rFonts w:cs="Times New Roman"/>
      <w:lang w:eastAsia="en-US"/>
    </w:rPr>
  </w:style>
  <w:style w:type="character" w:customStyle="1" w:styleId="BodyTextChar">
    <w:name w:val="Body Text Char"/>
    <w:basedOn w:val="DefaultParagraphFont"/>
    <w:link w:val="BodyText"/>
    <w:rsid w:val="0086233C"/>
    <w:rPr>
      <w:rFonts w:cs="Times New Roman"/>
      <w:lang w:eastAsia="en-US"/>
    </w:rPr>
  </w:style>
  <w:style w:type="paragraph" w:customStyle="1" w:styleId="Footnotes">
    <w:name w:val="Footnotes"/>
    <w:basedOn w:val="Normal"/>
    <w:rsid w:val="0016301C"/>
    <w:pPr>
      <w:keepLines/>
      <w:numPr>
        <w:numId w:val="6"/>
      </w:numPr>
      <w:spacing w:before="60" w:after="100" w:afterAutospacing="1" w:line="180" w:lineRule="exact"/>
    </w:pPr>
    <w:rPr>
      <w:sz w:val="14"/>
    </w:rPr>
  </w:style>
  <w:style w:type="paragraph" w:customStyle="1" w:styleId="TableHeadingLeft">
    <w:name w:val="Table Heading Left"/>
    <w:basedOn w:val="TableTextLeft"/>
    <w:qFormat/>
    <w:rsid w:val="008C0821"/>
    <w:pPr>
      <w:keepNext/>
      <w:keepLines/>
    </w:pPr>
    <w:rPr>
      <w:b/>
      <w:color w:val="FFFFFF"/>
    </w:rPr>
  </w:style>
  <w:style w:type="character" w:customStyle="1" w:styleId="Superscript">
    <w:name w:val="Superscript"/>
    <w:semiHidden/>
    <w:rsid w:val="0045714E"/>
    <w:rPr>
      <w:vertAlign w:val="superscript"/>
    </w:rPr>
  </w:style>
  <w:style w:type="character" w:styleId="Hyperlink">
    <w:name w:val="Hyperlink"/>
    <w:basedOn w:val="DefaultParagraphFont"/>
    <w:uiPriority w:val="99"/>
    <w:unhideWhenUsed/>
    <w:rsid w:val="00502E1D"/>
    <w:rPr>
      <w:color w:val="auto"/>
      <w:u w:val="single"/>
    </w:rPr>
  </w:style>
  <w:style w:type="paragraph" w:styleId="ListParagraph">
    <w:name w:val="List Paragraph"/>
    <w:basedOn w:val="Normal"/>
    <w:uiPriority w:val="34"/>
    <w:qFormat/>
    <w:rsid w:val="00F0072E"/>
    <w:pPr>
      <w:ind w:left="720"/>
      <w:contextualSpacing/>
    </w:pPr>
  </w:style>
  <w:style w:type="paragraph" w:styleId="Caption">
    <w:name w:val="caption"/>
    <w:basedOn w:val="Normal"/>
    <w:next w:val="BodyText"/>
    <w:qFormat/>
    <w:rsid w:val="00167957"/>
    <w:pPr>
      <w:keepNext/>
      <w:spacing w:line="240" w:lineRule="auto"/>
    </w:pPr>
    <w:rPr>
      <w:b/>
      <w:bCs/>
      <w:color w:val="2E1E66" w:themeColor="accent2" w:themeTint="E6"/>
    </w:rPr>
  </w:style>
  <w:style w:type="character" w:styleId="FootnoteReference">
    <w:name w:val="footnote reference"/>
    <w:basedOn w:val="DefaultParagraphFont"/>
    <w:uiPriority w:val="99"/>
    <w:rsid w:val="00810B9B"/>
    <w:rPr>
      <w:color w:val="363534" w:themeColor="text1"/>
      <w:vertAlign w:val="superscript"/>
    </w:rPr>
  </w:style>
  <w:style w:type="paragraph" w:styleId="FootnoteText">
    <w:name w:val="footnote text"/>
    <w:basedOn w:val="Normal"/>
    <w:link w:val="FootnoteTextChar"/>
    <w:uiPriority w:val="99"/>
    <w:rsid w:val="00F83203"/>
    <w:pPr>
      <w:tabs>
        <w:tab w:val="left" w:pos="284"/>
      </w:tabs>
      <w:spacing w:after="60" w:line="180" w:lineRule="atLeast"/>
      <w:ind w:left="284" w:hanging="284"/>
    </w:pPr>
    <w:rPr>
      <w:kern w:val="16"/>
      <w:sz w:val="14"/>
    </w:rPr>
  </w:style>
  <w:style w:type="character" w:customStyle="1" w:styleId="FootnoteTextChar">
    <w:name w:val="Footnote Text Char"/>
    <w:basedOn w:val="DefaultParagraphFont"/>
    <w:link w:val="FootnoteText"/>
    <w:uiPriority w:val="99"/>
    <w:rsid w:val="00F83203"/>
    <w:rPr>
      <w:kern w:val="16"/>
      <w:sz w:val="14"/>
    </w:rPr>
  </w:style>
  <w:style w:type="paragraph" w:styleId="ListBullet">
    <w:name w:val="List Bullet"/>
    <w:basedOn w:val="Normal"/>
    <w:unhideWhenUsed/>
    <w:qFormat/>
    <w:rsid w:val="004D4063"/>
    <w:pPr>
      <w:numPr>
        <w:numId w:val="8"/>
      </w:numPr>
      <w:spacing w:before="120" w:after="120"/>
    </w:pPr>
  </w:style>
  <w:style w:type="paragraph" w:styleId="ListBullet2">
    <w:name w:val="List Bullet 2"/>
    <w:basedOn w:val="ListBullet"/>
    <w:unhideWhenUsed/>
    <w:qFormat/>
    <w:rsid w:val="004D4063"/>
    <w:pPr>
      <w:numPr>
        <w:ilvl w:val="1"/>
      </w:numPr>
    </w:pPr>
  </w:style>
  <w:style w:type="paragraph" w:styleId="ListBullet3">
    <w:name w:val="List Bullet 3"/>
    <w:basedOn w:val="Normal"/>
    <w:unhideWhenUsed/>
    <w:qFormat/>
    <w:rsid w:val="004D4063"/>
    <w:pPr>
      <w:numPr>
        <w:ilvl w:val="2"/>
        <w:numId w:val="8"/>
      </w:numPr>
      <w:spacing w:before="120" w:after="120"/>
    </w:pPr>
  </w:style>
  <w:style w:type="paragraph" w:styleId="Subtitle">
    <w:name w:val="Subtitle"/>
    <w:basedOn w:val="Normal"/>
    <w:next w:val="Normal"/>
    <w:link w:val="SubtitleChar"/>
    <w:uiPriority w:val="11"/>
    <w:qFormat/>
    <w:rsid w:val="001748A0"/>
    <w:pPr>
      <w:numPr>
        <w:ilvl w:val="1"/>
      </w:numPr>
      <w:spacing w:line="360" w:lineRule="exact"/>
      <w:jc w:val="right"/>
    </w:pPr>
    <w:rPr>
      <w:rFonts w:asciiTheme="majorHAnsi" w:eastAsiaTheme="majorEastAsia" w:hAnsiTheme="majorHAnsi" w:cstheme="majorBidi"/>
      <w:iCs/>
      <w:color w:val="FFFFFF"/>
      <w:sz w:val="32"/>
      <w:szCs w:val="24"/>
    </w:rPr>
  </w:style>
  <w:style w:type="character" w:customStyle="1" w:styleId="SubtitleChar">
    <w:name w:val="Subtitle Char"/>
    <w:basedOn w:val="DefaultParagraphFont"/>
    <w:link w:val="Subtitle"/>
    <w:uiPriority w:val="11"/>
    <w:rsid w:val="001748A0"/>
    <w:rPr>
      <w:rFonts w:asciiTheme="majorHAnsi" w:eastAsiaTheme="majorEastAsia" w:hAnsiTheme="majorHAnsi" w:cstheme="majorBidi"/>
      <w:iCs/>
      <w:color w:val="FFFFFF"/>
      <w:sz w:val="32"/>
      <w:szCs w:val="24"/>
    </w:rPr>
  </w:style>
  <w:style w:type="paragraph" w:customStyle="1" w:styleId="TableTextLeft">
    <w:name w:val="Table Text Left"/>
    <w:basedOn w:val="Normal"/>
    <w:qFormat/>
    <w:rsid w:val="006669FB"/>
    <w:pPr>
      <w:spacing w:before="60" w:after="60" w:line="220" w:lineRule="atLeast"/>
      <w:ind w:left="113" w:right="113"/>
    </w:pPr>
    <w:rPr>
      <w:sz w:val="18"/>
    </w:rPr>
  </w:style>
  <w:style w:type="table" w:styleId="TableColumns3">
    <w:name w:val="Table Columns 3"/>
    <w:basedOn w:val="TableNormal"/>
    <w:rsid w:val="00606818"/>
    <w:rPr>
      <w:rFonts w:ascii="Times New Roman" w:hAnsi="Times New Roman" w:cs="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paragraph" w:customStyle="1" w:styleId="TableTextBullet">
    <w:name w:val="Table Text Bullet"/>
    <w:basedOn w:val="TableTextLeft"/>
    <w:rsid w:val="004D4063"/>
    <w:pPr>
      <w:numPr>
        <w:numId w:val="10"/>
      </w:numPr>
    </w:pPr>
  </w:style>
  <w:style w:type="paragraph" w:customStyle="1" w:styleId="TableTextNumbered">
    <w:name w:val="Table Text Numbered"/>
    <w:basedOn w:val="TableTextLeft"/>
    <w:qFormat/>
    <w:rsid w:val="00041903"/>
    <w:pPr>
      <w:numPr>
        <w:numId w:val="2"/>
      </w:numPr>
    </w:pPr>
  </w:style>
  <w:style w:type="paragraph" w:customStyle="1" w:styleId="TableTextNumbered2">
    <w:name w:val="Table Text Numbered 2"/>
    <w:basedOn w:val="TableTextNumbered"/>
    <w:qFormat/>
    <w:rsid w:val="003043D2"/>
    <w:pPr>
      <w:numPr>
        <w:ilvl w:val="1"/>
      </w:numPr>
    </w:pPr>
  </w:style>
  <w:style w:type="paragraph" w:customStyle="1" w:styleId="TableTextNumbered3">
    <w:name w:val="Table Text Numbered 3"/>
    <w:basedOn w:val="TableTextNumbered2"/>
    <w:qFormat/>
    <w:rsid w:val="00606818"/>
    <w:pPr>
      <w:numPr>
        <w:ilvl w:val="2"/>
      </w:numPr>
    </w:pPr>
  </w:style>
  <w:style w:type="character" w:styleId="PlaceholderText">
    <w:name w:val="Placeholder Text"/>
    <w:basedOn w:val="DefaultParagraphFont"/>
    <w:uiPriority w:val="99"/>
    <w:rsid w:val="0040102D"/>
    <w:rPr>
      <w:color w:val="808080"/>
    </w:rPr>
  </w:style>
  <w:style w:type="paragraph" w:customStyle="1" w:styleId="TableTextLeftBold">
    <w:name w:val="Table Text Left Bold"/>
    <w:basedOn w:val="TableTextLeft"/>
    <w:qFormat/>
    <w:rsid w:val="001F668A"/>
    <w:rPr>
      <w:b/>
    </w:rPr>
  </w:style>
  <w:style w:type="paragraph" w:customStyle="1" w:styleId="BoldHeading">
    <w:name w:val="Bold Heading"/>
    <w:basedOn w:val="Normal"/>
    <w:next w:val="BodyText"/>
    <w:qFormat/>
    <w:rsid w:val="00E825EC"/>
    <w:pPr>
      <w:spacing w:before="280" w:after="240"/>
    </w:pPr>
    <w:rPr>
      <w:b/>
    </w:rPr>
  </w:style>
  <w:style w:type="paragraph" w:customStyle="1" w:styleId="xInlineShape">
    <w:name w:val="xInlineShape"/>
    <w:basedOn w:val="Normal"/>
    <w:next w:val="BodyText"/>
    <w:uiPriority w:val="3"/>
    <w:semiHidden/>
    <w:rsid w:val="00236737"/>
    <w:pPr>
      <w:keepNext/>
      <w:spacing w:before="120" w:after="20" w:line="240" w:lineRule="auto"/>
    </w:pPr>
  </w:style>
  <w:style w:type="character" w:customStyle="1" w:styleId="Heading4Char">
    <w:name w:val="Heading 4 Char"/>
    <w:basedOn w:val="DefaultParagraphFont"/>
    <w:link w:val="Heading4"/>
    <w:rsid w:val="00FA2F8A"/>
    <w:rPr>
      <w:rFonts w:asciiTheme="majorHAnsi" w:eastAsiaTheme="majorEastAsia" w:hAnsiTheme="majorHAnsi" w:cstheme="majorBidi"/>
      <w:b/>
      <w:bCs/>
      <w:i/>
      <w:iCs/>
      <w:color w:val="auto"/>
    </w:rPr>
  </w:style>
  <w:style w:type="paragraph" w:customStyle="1" w:styleId="xDisclaimerHeading">
    <w:name w:val="xDisclaimer Heading"/>
    <w:basedOn w:val="Normal"/>
    <w:rsid w:val="0086233C"/>
    <w:pPr>
      <w:spacing w:before="170" w:after="20" w:line="170" w:lineRule="atLeast"/>
    </w:pPr>
    <w:rPr>
      <w:b/>
      <w:sz w:val="16"/>
    </w:rPr>
  </w:style>
  <w:style w:type="paragraph" w:styleId="Title">
    <w:name w:val="Title"/>
    <w:basedOn w:val="Normal"/>
    <w:next w:val="Normal"/>
    <w:link w:val="TitleChar"/>
    <w:qFormat/>
    <w:rsid w:val="002C2E8E"/>
    <w:pPr>
      <w:spacing w:after="360" w:line="600" w:lineRule="exact"/>
      <w:jc w:val="right"/>
    </w:pPr>
    <w:rPr>
      <w:rFonts w:asciiTheme="majorHAnsi" w:eastAsiaTheme="majorEastAsia" w:hAnsiTheme="majorHAnsi" w:cstheme="majorBidi"/>
      <w:b/>
      <w:color w:val="FFFFFF"/>
      <w:spacing w:val="-2"/>
      <w:sz w:val="54"/>
      <w:szCs w:val="52"/>
    </w:rPr>
  </w:style>
  <w:style w:type="character" w:customStyle="1" w:styleId="TitleChar">
    <w:name w:val="Title Char"/>
    <w:basedOn w:val="DefaultParagraphFont"/>
    <w:link w:val="Title"/>
    <w:uiPriority w:val="99"/>
    <w:rsid w:val="000758E3"/>
    <w:rPr>
      <w:rFonts w:asciiTheme="majorHAnsi" w:eastAsiaTheme="majorEastAsia" w:hAnsiTheme="majorHAnsi" w:cstheme="majorBidi"/>
      <w:b/>
      <w:color w:val="FFFFFF"/>
      <w:spacing w:val="-2"/>
      <w:sz w:val="54"/>
      <w:szCs w:val="52"/>
    </w:rPr>
  </w:style>
  <w:style w:type="table" w:customStyle="1" w:styleId="TableAsPlaceholder">
    <w:name w:val="Table As Placeholder"/>
    <w:basedOn w:val="TableNormal"/>
    <w:uiPriority w:val="99"/>
    <w:qFormat/>
    <w:rsid w:val="001F4435"/>
    <w:tblPr>
      <w:tblCellMar>
        <w:left w:w="0" w:type="dxa"/>
        <w:right w:w="0" w:type="dxa"/>
      </w:tblCellMar>
    </w:tblPr>
  </w:style>
  <w:style w:type="paragraph" w:styleId="TOC1">
    <w:name w:val="toc 1"/>
    <w:basedOn w:val="Normal"/>
    <w:next w:val="Normal"/>
    <w:autoRedefine/>
    <w:uiPriority w:val="39"/>
    <w:rsid w:val="00357F56"/>
    <w:pPr>
      <w:tabs>
        <w:tab w:val="left" w:pos="567"/>
        <w:tab w:val="right" w:leader="dot" w:pos="8505"/>
      </w:tabs>
      <w:spacing w:before="40" w:after="40" w:line="240" w:lineRule="auto"/>
      <w:ind w:right="851"/>
    </w:pPr>
    <w:rPr>
      <w:b/>
      <w:noProof/>
      <w:color w:val="642667"/>
      <w:sz w:val="22"/>
      <w:szCs w:val="22"/>
    </w:rPr>
  </w:style>
  <w:style w:type="paragraph" w:styleId="TOCHeading">
    <w:name w:val="TOC Heading"/>
    <w:basedOn w:val="Normal"/>
    <w:uiPriority w:val="39"/>
    <w:qFormat/>
    <w:rsid w:val="00096B2D"/>
    <w:pPr>
      <w:framePr w:w="11907" w:h="1985" w:hSpace="11340" w:vSpace="284" w:wrap="around" w:vAnchor="page" w:hAnchor="page" w:yAlign="top"/>
      <w:tabs>
        <w:tab w:val="left" w:pos="1134"/>
        <w:tab w:val="left" w:pos="2268"/>
        <w:tab w:val="left" w:pos="3402"/>
        <w:tab w:val="left" w:pos="4536"/>
        <w:tab w:val="left" w:pos="5103"/>
      </w:tabs>
      <w:spacing w:before="1300" w:after="440" w:line="240" w:lineRule="auto"/>
      <w:ind w:left="1134" w:right="1134"/>
    </w:pPr>
    <w:rPr>
      <w:b/>
      <w:color w:val="00B2A9" w:themeColor="text2"/>
      <w:sz w:val="40"/>
      <w:szCs w:val="40"/>
    </w:rPr>
  </w:style>
  <w:style w:type="paragraph" w:styleId="TOC2">
    <w:name w:val="toc 2"/>
    <w:basedOn w:val="Normal"/>
    <w:next w:val="Normal"/>
    <w:autoRedefine/>
    <w:uiPriority w:val="39"/>
    <w:rsid w:val="00B53D4A"/>
    <w:pPr>
      <w:tabs>
        <w:tab w:val="left" w:pos="1000"/>
        <w:tab w:val="right" w:leader="dot" w:pos="8505"/>
      </w:tabs>
      <w:spacing w:before="40" w:after="40" w:line="240" w:lineRule="auto"/>
      <w:ind w:left="284"/>
    </w:pPr>
    <w:rPr>
      <w:b/>
      <w:noProof/>
      <w:szCs w:val="28"/>
    </w:rPr>
  </w:style>
  <w:style w:type="paragraph" w:styleId="TOC3">
    <w:name w:val="toc 3"/>
    <w:basedOn w:val="Normal"/>
    <w:next w:val="Normal"/>
    <w:autoRedefine/>
    <w:uiPriority w:val="39"/>
    <w:rsid w:val="00B53D4A"/>
    <w:pPr>
      <w:tabs>
        <w:tab w:val="left" w:pos="1560"/>
        <w:tab w:val="right" w:leader="dot" w:pos="8505"/>
      </w:tabs>
      <w:spacing w:before="40" w:after="40" w:line="240" w:lineRule="auto"/>
      <w:ind w:left="567"/>
    </w:pPr>
    <w:rPr>
      <w:rFonts w:eastAsiaTheme="minorEastAsia" w:cstheme="minorBidi"/>
      <w:noProof/>
    </w:rPr>
  </w:style>
  <w:style w:type="paragraph" w:styleId="TOC4">
    <w:name w:val="toc 4"/>
    <w:basedOn w:val="Normal"/>
    <w:autoRedefine/>
    <w:uiPriority w:val="39"/>
    <w:rsid w:val="00FB7090"/>
    <w:pPr>
      <w:tabs>
        <w:tab w:val="right" w:leader="dot" w:pos="8505"/>
      </w:tabs>
      <w:spacing w:before="40" w:after="40" w:line="240" w:lineRule="auto"/>
      <w:ind w:left="851"/>
    </w:pPr>
    <w:rPr>
      <w:noProof/>
      <w:sz w:val="16"/>
      <w:szCs w:val="16"/>
    </w:rPr>
  </w:style>
  <w:style w:type="paragraph" w:styleId="TableofFigures">
    <w:name w:val="table of figures"/>
    <w:basedOn w:val="Normal"/>
    <w:next w:val="Normal"/>
    <w:rsid w:val="0016301C"/>
    <w:pPr>
      <w:tabs>
        <w:tab w:val="right" w:leader="dot" w:pos="9582"/>
      </w:tabs>
      <w:spacing w:before="60" w:after="60"/>
      <w:ind w:right="851"/>
    </w:pPr>
  </w:style>
  <w:style w:type="paragraph" w:customStyle="1" w:styleId="TOFHeading">
    <w:name w:val="TOF Heading"/>
    <w:basedOn w:val="Normal"/>
    <w:uiPriority w:val="99"/>
    <w:rsid w:val="00096B2D"/>
    <w:pPr>
      <w:keepNext/>
      <w:tabs>
        <w:tab w:val="left" w:pos="2268"/>
      </w:tabs>
      <w:spacing w:before="240" w:after="60"/>
    </w:pPr>
    <w:rPr>
      <w:b/>
      <w:color w:val="00B2A9" w:themeColor="text2"/>
      <w:szCs w:val="32"/>
    </w:rPr>
  </w:style>
  <w:style w:type="paragraph" w:customStyle="1" w:styleId="BodyText12ptBefore">
    <w:name w:val="Body Text 12pt Before"/>
    <w:basedOn w:val="BodyText"/>
    <w:next w:val="BodyText"/>
    <w:qFormat/>
    <w:rsid w:val="00097538"/>
    <w:pPr>
      <w:spacing w:before="240"/>
    </w:pPr>
  </w:style>
  <w:style w:type="character" w:customStyle="1" w:styleId="Heading7Char">
    <w:name w:val="Heading 7 Char"/>
    <w:basedOn w:val="DefaultParagraphFont"/>
    <w:link w:val="Heading7"/>
    <w:uiPriority w:val="99"/>
    <w:rsid w:val="007E536E"/>
    <w:rPr>
      <w:rFonts w:asciiTheme="majorHAnsi" w:eastAsiaTheme="majorEastAsia" w:hAnsiTheme="majorHAnsi" w:cstheme="majorBidi"/>
      <w:b/>
      <w:iCs/>
      <w:color w:val="FFFFFF"/>
      <w:sz w:val="22"/>
    </w:rPr>
  </w:style>
  <w:style w:type="character" w:customStyle="1" w:styleId="Heading9Char">
    <w:name w:val="Heading 9 Char"/>
    <w:aliases w:val="Appendix Heading 1 Char"/>
    <w:basedOn w:val="DefaultParagraphFont"/>
    <w:link w:val="Heading9"/>
    <w:rsid w:val="000758E3"/>
    <w:rPr>
      <w:b/>
      <w:color w:val="00B2A9" w:themeColor="text2"/>
      <w:sz w:val="24"/>
    </w:rPr>
  </w:style>
  <w:style w:type="paragraph" w:customStyle="1" w:styleId="AppendixHeading3">
    <w:name w:val="Appendix Heading 3"/>
    <w:basedOn w:val="Normal"/>
    <w:next w:val="BodyText"/>
    <w:uiPriority w:val="2"/>
    <w:rsid w:val="000758E3"/>
    <w:pPr>
      <w:keepNext/>
      <w:keepLines/>
      <w:tabs>
        <w:tab w:val="left" w:pos="1559"/>
        <w:tab w:val="left" w:pos="1843"/>
        <w:tab w:val="left" w:pos="2126"/>
        <w:tab w:val="left" w:pos="2410"/>
        <w:tab w:val="left" w:pos="6804"/>
      </w:tabs>
      <w:spacing w:before="100" w:after="100" w:line="240" w:lineRule="exact"/>
    </w:pPr>
    <w:rPr>
      <w:rFonts w:asciiTheme="majorHAnsi" w:hAnsiTheme="majorHAnsi"/>
      <w:b/>
      <w:i/>
      <w:color w:val="494847"/>
    </w:rPr>
  </w:style>
  <w:style w:type="paragraph" w:customStyle="1" w:styleId="TableofContents2">
    <w:name w:val="TableofContents2"/>
    <w:basedOn w:val="Normal"/>
    <w:semiHidden/>
    <w:rsid w:val="000E4B54"/>
    <w:pPr>
      <w:keepNext/>
      <w:spacing w:after="120" w:line="230" w:lineRule="auto"/>
    </w:pPr>
    <w:rPr>
      <w:spacing w:val="-6"/>
      <w:sz w:val="40"/>
      <w:szCs w:val="28"/>
    </w:rPr>
  </w:style>
  <w:style w:type="paragraph" w:styleId="TOC5">
    <w:name w:val="toc 5"/>
    <w:basedOn w:val="Normal"/>
    <w:next w:val="Normal"/>
    <w:autoRedefine/>
    <w:uiPriority w:val="39"/>
    <w:rsid w:val="00FB7090"/>
    <w:pPr>
      <w:tabs>
        <w:tab w:val="right" w:pos="8505"/>
      </w:tabs>
      <w:spacing w:before="40" w:after="40" w:line="240" w:lineRule="auto"/>
      <w:ind w:left="1134"/>
    </w:pPr>
    <w:rPr>
      <w:noProof/>
      <w:sz w:val="16"/>
      <w:szCs w:val="16"/>
    </w:rPr>
  </w:style>
  <w:style w:type="paragraph" w:styleId="TOC6">
    <w:name w:val="toc 6"/>
    <w:basedOn w:val="Normal"/>
    <w:next w:val="Normal"/>
    <w:autoRedefine/>
    <w:uiPriority w:val="39"/>
    <w:rsid w:val="00DE27B9"/>
    <w:pPr>
      <w:spacing w:after="100"/>
      <w:ind w:left="1000"/>
    </w:pPr>
  </w:style>
  <w:style w:type="paragraph" w:styleId="TOC7">
    <w:name w:val="toc 7"/>
    <w:basedOn w:val="Normal"/>
    <w:next w:val="Normal"/>
    <w:autoRedefine/>
    <w:uiPriority w:val="39"/>
    <w:rsid w:val="00DE27B9"/>
    <w:pPr>
      <w:spacing w:after="100"/>
      <w:ind w:left="1200"/>
    </w:pPr>
  </w:style>
  <w:style w:type="paragraph" w:styleId="TOC8">
    <w:name w:val="toc 8"/>
    <w:basedOn w:val="Normal"/>
    <w:next w:val="Normal"/>
    <w:autoRedefine/>
    <w:uiPriority w:val="39"/>
    <w:rsid w:val="00173F6E"/>
    <w:pPr>
      <w:tabs>
        <w:tab w:val="right" w:leader="dot" w:pos="9582"/>
      </w:tabs>
      <w:spacing w:before="120" w:after="60"/>
      <w:ind w:right="851"/>
    </w:pPr>
    <w:rPr>
      <w:b/>
      <w:color w:val="00B2A9" w:themeColor="text2"/>
    </w:rPr>
  </w:style>
  <w:style w:type="character" w:customStyle="1" w:styleId="Bold">
    <w:name w:val="Bold"/>
    <w:semiHidden/>
    <w:rsid w:val="00EE3D13"/>
    <w:rPr>
      <w:b/>
    </w:rPr>
  </w:style>
  <w:style w:type="paragraph" w:customStyle="1" w:styleId="xContactDetails">
    <w:name w:val="xContact Details"/>
    <w:basedOn w:val="TableTextLeft"/>
    <w:uiPriority w:val="3"/>
    <w:semiHidden/>
    <w:rsid w:val="009363B5"/>
    <w:pPr>
      <w:spacing w:before="40"/>
      <w:contextualSpacing/>
    </w:pPr>
    <w:rPr>
      <w:sz w:val="16"/>
    </w:rPr>
  </w:style>
  <w:style w:type="paragraph" w:customStyle="1" w:styleId="xEntityDetails">
    <w:name w:val="xEntity Details"/>
    <w:basedOn w:val="xContactDetails"/>
    <w:uiPriority w:val="3"/>
    <w:semiHidden/>
    <w:rsid w:val="00537024"/>
    <w:pPr>
      <w:framePr w:wrap="around" w:hAnchor="text"/>
    </w:pPr>
  </w:style>
  <w:style w:type="paragraph" w:customStyle="1" w:styleId="xStatus">
    <w:name w:val="xStatus"/>
    <w:basedOn w:val="Normal"/>
    <w:uiPriority w:val="3"/>
    <w:semiHidden/>
    <w:rsid w:val="006072AD"/>
    <w:pPr>
      <w:tabs>
        <w:tab w:val="left" w:pos="1134"/>
        <w:tab w:val="left" w:pos="2268"/>
        <w:tab w:val="left" w:pos="3402"/>
        <w:tab w:val="left" w:pos="4536"/>
        <w:tab w:val="left" w:pos="5103"/>
      </w:tabs>
      <w:spacing w:line="240" w:lineRule="auto"/>
      <w:jc w:val="center"/>
    </w:pPr>
    <w:rPr>
      <w:caps/>
      <w:color w:val="EAEAEA"/>
      <w:spacing w:val="40"/>
      <w:sz w:val="120"/>
      <w:szCs w:val="24"/>
    </w:rPr>
  </w:style>
  <w:style w:type="paragraph" w:customStyle="1" w:styleId="AppendixHeading2">
    <w:name w:val="Appendix Heading 2"/>
    <w:basedOn w:val="Normal"/>
    <w:next w:val="BodyText"/>
    <w:uiPriority w:val="2"/>
    <w:rsid w:val="000758E3"/>
    <w:pPr>
      <w:keepNext/>
      <w:keepLines/>
      <w:tabs>
        <w:tab w:val="left" w:pos="1559"/>
        <w:tab w:val="left" w:pos="1843"/>
        <w:tab w:val="left" w:pos="2126"/>
        <w:tab w:val="left" w:pos="2410"/>
      </w:tabs>
      <w:spacing w:before="100" w:after="100" w:line="240" w:lineRule="exact"/>
    </w:pPr>
    <w:rPr>
      <w:b/>
      <w:color w:val="494847"/>
    </w:rPr>
  </w:style>
  <w:style w:type="character" w:customStyle="1" w:styleId="Heading8Char">
    <w:name w:val="Heading 8 Char"/>
    <w:aliases w:val="Appendix Title Char"/>
    <w:basedOn w:val="DefaultParagraphFont"/>
    <w:link w:val="Heading8"/>
    <w:uiPriority w:val="99"/>
    <w:rsid w:val="000758E3"/>
    <w:rPr>
      <w:rFonts w:asciiTheme="majorHAnsi" w:eastAsiaTheme="majorEastAsia" w:hAnsiTheme="majorHAnsi" w:cstheme="majorBidi"/>
      <w:b/>
      <w:color w:val="00B2A9" w:themeColor="text2"/>
      <w:sz w:val="40"/>
    </w:rPr>
  </w:style>
  <w:style w:type="paragraph" w:styleId="Quote">
    <w:name w:val="Quote"/>
    <w:basedOn w:val="Normal"/>
    <w:link w:val="QuoteChar"/>
    <w:uiPriority w:val="29"/>
    <w:qFormat/>
    <w:rsid w:val="004D4063"/>
    <w:pPr>
      <w:tabs>
        <w:tab w:val="left" w:pos="1134"/>
      </w:tabs>
      <w:spacing w:before="120" w:after="120"/>
      <w:ind w:left="284"/>
    </w:pPr>
    <w:rPr>
      <w:i/>
      <w:iCs/>
    </w:rPr>
  </w:style>
  <w:style w:type="character" w:customStyle="1" w:styleId="QuoteChar">
    <w:name w:val="Quote Char"/>
    <w:basedOn w:val="DefaultParagraphFont"/>
    <w:link w:val="Quote"/>
    <w:uiPriority w:val="29"/>
    <w:rsid w:val="004D4063"/>
    <w:rPr>
      <w:i/>
      <w:iCs/>
    </w:rPr>
  </w:style>
  <w:style w:type="character" w:styleId="IntenseEmphasis">
    <w:name w:val="Intense Emphasis"/>
    <w:semiHidden/>
    <w:rsid w:val="00644027"/>
    <w:rPr>
      <w:b/>
      <w:bCs/>
      <w:i/>
      <w:iCs/>
      <w:color w:val="auto"/>
    </w:rPr>
  </w:style>
  <w:style w:type="character" w:customStyle="1" w:styleId="Heading6Char">
    <w:name w:val="Heading 6 Char"/>
    <w:basedOn w:val="DefaultParagraphFont"/>
    <w:link w:val="Heading6"/>
    <w:rsid w:val="008D3250"/>
    <w:rPr>
      <w:rFonts w:asciiTheme="majorHAnsi" w:eastAsiaTheme="majorEastAsia" w:hAnsiTheme="majorHAnsi" w:cstheme="majorBidi"/>
      <w:b/>
      <w:i/>
      <w:iCs/>
      <w:color w:val="00B2A9" w:themeColor="text2"/>
    </w:rPr>
  </w:style>
  <w:style w:type="character" w:customStyle="1" w:styleId="Heading5Char">
    <w:name w:val="Heading 5 Char"/>
    <w:basedOn w:val="DefaultParagraphFont"/>
    <w:link w:val="Heading5"/>
    <w:rsid w:val="00FA2F8A"/>
    <w:rPr>
      <w:rFonts w:asciiTheme="majorHAnsi" w:eastAsiaTheme="majorEastAsia" w:hAnsiTheme="majorHAnsi" w:cstheme="majorBidi"/>
      <w:i/>
      <w:color w:val="auto"/>
      <w:u w:val="single"/>
    </w:rPr>
  </w:style>
  <w:style w:type="paragraph" w:styleId="BlockText">
    <w:name w:val="Block Text"/>
    <w:basedOn w:val="Normal"/>
    <w:uiPriority w:val="99"/>
    <w:unhideWhenUsed/>
    <w:qFormat/>
    <w:rsid w:val="0049165E"/>
    <w:pPr>
      <w:pBdr>
        <w:top w:val="single" w:sz="2" w:space="10" w:color="00B2A9" w:themeColor="accent1" w:frame="1"/>
        <w:left w:val="single" w:sz="2" w:space="10" w:color="00B2A9" w:themeColor="accent1" w:frame="1"/>
        <w:bottom w:val="single" w:sz="2" w:space="10" w:color="00B2A9" w:themeColor="accent1" w:frame="1"/>
        <w:right w:val="single" w:sz="2" w:space="10" w:color="00B2A9" w:themeColor="accent1" w:frame="1"/>
      </w:pBdr>
      <w:ind w:left="1152" w:right="1152"/>
    </w:pPr>
    <w:rPr>
      <w:rFonts w:eastAsiaTheme="minorEastAsia" w:cstheme="minorBidi"/>
      <w:i/>
      <w:iCs/>
      <w:color w:val="00B2A9" w:themeColor="text2"/>
    </w:rPr>
  </w:style>
  <w:style w:type="paragraph" w:styleId="IntenseQuote">
    <w:name w:val="Intense Quote"/>
    <w:basedOn w:val="Normal"/>
    <w:next w:val="Normal"/>
    <w:link w:val="IntenseQuoteChar"/>
    <w:semiHidden/>
    <w:rsid w:val="00315585"/>
    <w:pPr>
      <w:pBdr>
        <w:bottom w:val="single" w:sz="4" w:space="4" w:color="00B2A9" w:themeColor="accent1"/>
      </w:pBdr>
      <w:spacing w:before="200" w:after="280"/>
      <w:ind w:left="936" w:right="936"/>
    </w:pPr>
    <w:rPr>
      <w:b/>
      <w:bCs/>
      <w:i/>
      <w:iCs/>
      <w:color w:val="E5F7F6" w:themeColor="background2"/>
    </w:rPr>
  </w:style>
  <w:style w:type="character" w:customStyle="1" w:styleId="IntenseQuoteChar">
    <w:name w:val="Intense Quote Char"/>
    <w:basedOn w:val="DefaultParagraphFont"/>
    <w:link w:val="IntenseQuote"/>
    <w:semiHidden/>
    <w:rsid w:val="00F31C91"/>
    <w:rPr>
      <w:rFonts w:ascii="Arial" w:hAnsi="Arial" w:cs="Times New Roman"/>
      <w:b/>
      <w:bCs/>
      <w:i/>
      <w:iCs/>
      <w:color w:val="E5F7F6" w:themeColor="background2"/>
      <w:sz w:val="20"/>
      <w:szCs w:val="20"/>
      <w:lang w:eastAsia="en-US"/>
    </w:rPr>
  </w:style>
  <w:style w:type="paragraph" w:customStyle="1" w:styleId="PullOutBoxBodyText">
    <w:name w:val="Pull Out Box Body Text"/>
    <w:basedOn w:val="Normal"/>
    <w:qFormat/>
    <w:rsid w:val="00C91CF5"/>
    <w:pPr>
      <w:spacing w:before="120" w:after="120"/>
      <w:ind w:left="142" w:right="142"/>
    </w:pPr>
  </w:style>
  <w:style w:type="paragraph" w:customStyle="1" w:styleId="PullOutBoxHeading">
    <w:name w:val="Pull Out Box Heading"/>
    <w:basedOn w:val="PullOutBoxBodyText"/>
    <w:next w:val="PullOutBoxBodyText"/>
    <w:qFormat/>
    <w:rsid w:val="007879D1"/>
    <w:pPr>
      <w:keepNext/>
      <w:keepLines/>
    </w:pPr>
    <w:rPr>
      <w:b/>
      <w:szCs w:val="24"/>
    </w:rPr>
  </w:style>
  <w:style w:type="paragraph" w:customStyle="1" w:styleId="PullOutBoxBullet">
    <w:name w:val="Pull Out Box Bullet"/>
    <w:basedOn w:val="PullOutBoxBodyText"/>
    <w:qFormat/>
    <w:rsid w:val="004D4063"/>
    <w:pPr>
      <w:numPr>
        <w:numId w:val="11"/>
      </w:numPr>
    </w:pPr>
  </w:style>
  <w:style w:type="paragraph" w:customStyle="1" w:styleId="PullOutBoxBullet2">
    <w:name w:val="Pull Out Box Bullet 2"/>
    <w:basedOn w:val="PullOutBoxBodyText"/>
    <w:qFormat/>
    <w:rsid w:val="004D4063"/>
    <w:pPr>
      <w:numPr>
        <w:ilvl w:val="1"/>
        <w:numId w:val="11"/>
      </w:numPr>
    </w:pPr>
  </w:style>
  <w:style w:type="paragraph" w:customStyle="1" w:styleId="PullOutBoxBullet3">
    <w:name w:val="Pull Out Box Bullet 3"/>
    <w:basedOn w:val="PullOutBoxBodyText"/>
    <w:qFormat/>
    <w:rsid w:val="004D4063"/>
    <w:pPr>
      <w:numPr>
        <w:ilvl w:val="2"/>
        <w:numId w:val="11"/>
      </w:numPr>
    </w:pPr>
  </w:style>
  <w:style w:type="paragraph" w:customStyle="1" w:styleId="xBackPageWebAddress">
    <w:name w:val="xBack Page Web Address"/>
    <w:basedOn w:val="Normal"/>
    <w:semiHidden/>
    <w:rsid w:val="00A14B4E"/>
    <w:pPr>
      <w:spacing w:before="140"/>
    </w:pPr>
    <w:rPr>
      <w:color w:val="FFFFFF"/>
      <w:spacing w:val="-6"/>
      <w:sz w:val="36"/>
      <w:szCs w:val="36"/>
    </w:rPr>
  </w:style>
  <w:style w:type="paragraph" w:customStyle="1" w:styleId="xBackPage">
    <w:name w:val="xBack Page"/>
    <w:basedOn w:val="Normal"/>
    <w:semiHidden/>
    <w:rsid w:val="00A14B4E"/>
    <w:rPr>
      <w:color w:val="FFFFFF"/>
    </w:rPr>
  </w:style>
  <w:style w:type="paragraph" w:customStyle="1" w:styleId="Source">
    <w:name w:val="Source"/>
    <w:basedOn w:val="Normal"/>
    <w:next w:val="BodyText"/>
    <w:rsid w:val="00F83203"/>
    <w:pPr>
      <w:spacing w:before="60" w:after="60" w:line="180" w:lineRule="atLeast"/>
    </w:pPr>
    <w:rPr>
      <w:b/>
      <w:i/>
      <w:sz w:val="14"/>
    </w:rPr>
  </w:style>
  <w:style w:type="paragraph" w:customStyle="1" w:styleId="xDisclaimerText">
    <w:name w:val="xDisclaimer Text"/>
    <w:basedOn w:val="xContactDetails"/>
    <w:rsid w:val="009363B5"/>
    <w:pPr>
      <w:spacing w:before="0" w:after="0" w:line="175" w:lineRule="atLeast"/>
      <w:ind w:left="0" w:right="0"/>
      <w:contextualSpacing w:val="0"/>
    </w:pPr>
  </w:style>
  <w:style w:type="paragraph" w:customStyle="1" w:styleId="IntroFeatureText">
    <w:name w:val="Intro/Feature Text"/>
    <w:basedOn w:val="Normal"/>
    <w:next w:val="BodyText"/>
    <w:qFormat/>
    <w:rsid w:val="00F124C4"/>
    <w:pPr>
      <w:spacing w:before="60" w:after="180" w:line="360" w:lineRule="exact"/>
    </w:pPr>
    <w:rPr>
      <w:color w:val="00B2A9" w:themeColor="text2"/>
      <w:spacing w:val="-2"/>
      <w:sz w:val="32"/>
    </w:rPr>
  </w:style>
  <w:style w:type="character" w:customStyle="1" w:styleId="BoldAndItalics">
    <w:name w:val="Bold And Italics"/>
    <w:semiHidden/>
    <w:rsid w:val="00901CD1"/>
    <w:rPr>
      <w:b/>
      <w:i/>
    </w:rPr>
  </w:style>
  <w:style w:type="paragraph" w:customStyle="1" w:styleId="TableTextRight">
    <w:name w:val="Table Text Right"/>
    <w:basedOn w:val="TableTextLeft"/>
    <w:qFormat/>
    <w:rsid w:val="0096416C"/>
    <w:pPr>
      <w:jc w:val="right"/>
    </w:pPr>
  </w:style>
  <w:style w:type="paragraph" w:customStyle="1" w:styleId="CaptionDescriptive">
    <w:name w:val="Caption Descriptive"/>
    <w:basedOn w:val="BodyText"/>
    <w:next w:val="BodyText"/>
    <w:rsid w:val="00F83203"/>
    <w:pPr>
      <w:spacing w:after="60" w:line="240" w:lineRule="auto"/>
      <w:ind w:right="227"/>
    </w:pPr>
    <w:rPr>
      <w:i/>
      <w:sz w:val="18"/>
      <w:szCs w:val="14"/>
    </w:rPr>
  </w:style>
  <w:style w:type="table" w:customStyle="1" w:styleId="PullOutBoxTable">
    <w:name w:val="Pull Out Box Table"/>
    <w:basedOn w:val="TableNormal"/>
    <w:uiPriority w:val="99"/>
    <w:rsid w:val="00443176"/>
    <w:pPr>
      <w:spacing w:line="240" w:lineRule="auto"/>
    </w:pPr>
    <w:tblPr>
      <w:tblBorders>
        <w:top w:val="single" w:sz="4" w:space="0" w:color="00B2A9" w:themeColor="text2"/>
        <w:left w:val="single" w:sz="4" w:space="0" w:color="00B2A9" w:themeColor="text2"/>
        <w:bottom w:val="single" w:sz="4" w:space="0" w:color="00B2A9" w:themeColor="text2"/>
        <w:right w:val="single" w:sz="4" w:space="0" w:color="00B2A9" w:themeColor="text2"/>
      </w:tblBorders>
      <w:tblCellMar>
        <w:top w:w="85" w:type="dxa"/>
        <w:left w:w="0" w:type="dxa"/>
        <w:bottom w:w="85" w:type="dxa"/>
        <w:right w:w="0" w:type="dxa"/>
      </w:tblCellMar>
    </w:tblPr>
    <w:tcPr>
      <w:shd w:val="clear" w:color="auto" w:fill="auto"/>
    </w:tcPr>
  </w:style>
  <w:style w:type="paragraph" w:styleId="NoSpacing">
    <w:name w:val="No Spacing"/>
    <w:next w:val="BodyText"/>
    <w:uiPriority w:val="1"/>
    <w:qFormat/>
    <w:rsid w:val="00ED5179"/>
    <w:pPr>
      <w:spacing w:line="240" w:lineRule="auto"/>
    </w:pPr>
  </w:style>
  <w:style w:type="paragraph" w:styleId="Date">
    <w:name w:val="Date"/>
    <w:basedOn w:val="Normal"/>
    <w:next w:val="Normal"/>
    <w:link w:val="DateChar"/>
    <w:semiHidden/>
    <w:rsid w:val="003260D0"/>
    <w:rPr>
      <w:b/>
      <w:color w:val="FFFFFF"/>
      <w:sz w:val="36"/>
    </w:rPr>
  </w:style>
  <w:style w:type="character" w:customStyle="1" w:styleId="DateChar">
    <w:name w:val="Date Char"/>
    <w:basedOn w:val="DefaultParagraphFont"/>
    <w:link w:val="Date"/>
    <w:semiHidden/>
    <w:rsid w:val="00C65140"/>
    <w:rPr>
      <w:color w:val="FFFFFF"/>
      <w:sz w:val="36"/>
    </w:rPr>
  </w:style>
  <w:style w:type="paragraph" w:styleId="NormalWeb">
    <w:name w:val="Normal (Web)"/>
    <w:basedOn w:val="Normal"/>
    <w:uiPriority w:val="99"/>
    <w:unhideWhenUsed/>
    <w:rsid w:val="007C1A65"/>
    <w:rPr>
      <w:rFonts w:eastAsiaTheme="minorEastAsia" w:cs="Times New Roman"/>
      <w:szCs w:val="24"/>
    </w:rPr>
  </w:style>
  <w:style w:type="character" w:customStyle="1" w:styleId="MySuperscript">
    <w:name w:val="MySuperscript"/>
    <w:uiPriority w:val="1"/>
    <w:semiHidden/>
    <w:rsid w:val="007D5534"/>
    <w:rPr>
      <w:vertAlign w:val="superscript"/>
    </w:rPr>
  </w:style>
  <w:style w:type="character" w:customStyle="1" w:styleId="MySubscript">
    <w:name w:val="MySubscript"/>
    <w:uiPriority w:val="1"/>
    <w:semiHidden/>
    <w:rsid w:val="00EB3C9C"/>
    <w:rPr>
      <w:vertAlign w:val="subscript"/>
    </w:rPr>
  </w:style>
  <w:style w:type="character" w:customStyle="1" w:styleId="MySuperscriptItalics">
    <w:name w:val="MySuperscript&amp;Italics"/>
    <w:uiPriority w:val="1"/>
    <w:semiHidden/>
    <w:rsid w:val="00405BA7"/>
    <w:rPr>
      <w:i/>
      <w:vertAlign w:val="superscript"/>
    </w:rPr>
  </w:style>
  <w:style w:type="character" w:customStyle="1" w:styleId="MySubscriptItalics">
    <w:name w:val="MySubscript&amp;Italics"/>
    <w:uiPriority w:val="1"/>
    <w:semiHidden/>
    <w:rsid w:val="00405BA7"/>
    <w:rPr>
      <w:i/>
      <w:vertAlign w:val="subscript"/>
    </w:rPr>
  </w:style>
  <w:style w:type="paragraph" w:customStyle="1" w:styleId="QuoteBullet">
    <w:name w:val="Quote Bullet"/>
    <w:basedOn w:val="Quote"/>
    <w:qFormat/>
    <w:rsid w:val="004D4063"/>
    <w:pPr>
      <w:numPr>
        <w:numId w:val="9"/>
      </w:numPr>
    </w:pPr>
  </w:style>
  <w:style w:type="paragraph" w:customStyle="1" w:styleId="QuoteBullet2">
    <w:name w:val="Quote Bullet 2"/>
    <w:basedOn w:val="Quote"/>
    <w:qFormat/>
    <w:rsid w:val="004D4063"/>
    <w:pPr>
      <w:numPr>
        <w:ilvl w:val="1"/>
        <w:numId w:val="9"/>
      </w:numPr>
      <w:tabs>
        <w:tab w:val="clear" w:pos="1134"/>
      </w:tabs>
    </w:pPr>
  </w:style>
  <w:style w:type="character" w:styleId="CommentReference">
    <w:name w:val="annotation reference"/>
    <w:basedOn w:val="DefaultParagraphFont"/>
    <w:uiPriority w:val="99"/>
    <w:rsid w:val="00732B4D"/>
    <w:rPr>
      <w:sz w:val="16"/>
      <w:szCs w:val="16"/>
    </w:rPr>
  </w:style>
  <w:style w:type="paragraph" w:styleId="CommentText">
    <w:name w:val="annotation text"/>
    <w:basedOn w:val="Normal"/>
    <w:link w:val="CommentTextChar"/>
    <w:uiPriority w:val="99"/>
    <w:rsid w:val="00732B4D"/>
    <w:pPr>
      <w:spacing w:line="240" w:lineRule="auto"/>
    </w:pPr>
  </w:style>
  <w:style w:type="character" w:customStyle="1" w:styleId="CommentTextChar">
    <w:name w:val="Comment Text Char"/>
    <w:basedOn w:val="DefaultParagraphFont"/>
    <w:link w:val="CommentText"/>
    <w:uiPriority w:val="99"/>
    <w:rsid w:val="000758E3"/>
  </w:style>
  <w:style w:type="paragraph" w:styleId="CommentSubject">
    <w:name w:val="annotation subject"/>
    <w:basedOn w:val="CommentText"/>
    <w:next w:val="CommentText"/>
    <w:link w:val="CommentSubjectChar"/>
    <w:uiPriority w:val="99"/>
    <w:semiHidden/>
    <w:rsid w:val="00732B4D"/>
    <w:rPr>
      <w:b/>
      <w:bCs/>
    </w:rPr>
  </w:style>
  <w:style w:type="character" w:customStyle="1" w:styleId="CommentSubjectChar">
    <w:name w:val="Comment Subject Char"/>
    <w:basedOn w:val="CommentTextChar"/>
    <w:link w:val="CommentSubject"/>
    <w:uiPriority w:val="99"/>
    <w:semiHidden/>
    <w:rsid w:val="000758E3"/>
    <w:rPr>
      <w:b/>
      <w:bCs/>
    </w:rPr>
  </w:style>
  <w:style w:type="paragraph" w:customStyle="1" w:styleId="PullOutBoxNumbered">
    <w:name w:val="Pull Out Box Numbered"/>
    <w:basedOn w:val="PullOutBoxBodyText"/>
    <w:qFormat/>
    <w:rsid w:val="007879D1"/>
    <w:pPr>
      <w:numPr>
        <w:numId w:val="5"/>
      </w:numPr>
    </w:pPr>
  </w:style>
  <w:style w:type="paragraph" w:customStyle="1" w:styleId="PullOutBoxNumbered2">
    <w:name w:val="Pull Out Box Numbered 2"/>
    <w:basedOn w:val="PullOutBoxBodyText"/>
    <w:qFormat/>
    <w:rsid w:val="007A4BA3"/>
    <w:pPr>
      <w:numPr>
        <w:ilvl w:val="1"/>
        <w:numId w:val="5"/>
      </w:numPr>
    </w:pPr>
  </w:style>
  <w:style w:type="paragraph" w:customStyle="1" w:styleId="PullOutBoxNumbered3">
    <w:name w:val="Pull Out Box Numbered 3"/>
    <w:basedOn w:val="PullOutBoxBodyText"/>
    <w:qFormat/>
    <w:rsid w:val="007879D1"/>
    <w:pPr>
      <w:numPr>
        <w:ilvl w:val="2"/>
        <w:numId w:val="5"/>
      </w:numPr>
    </w:pPr>
  </w:style>
  <w:style w:type="table" w:styleId="TableGrid1">
    <w:name w:val="Table Grid 1"/>
    <w:basedOn w:val="TableNormal"/>
    <w:rsid w:val="00B9749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Classic1">
    <w:name w:val="Table Classic 1"/>
    <w:basedOn w:val="TableNormal"/>
    <w:rsid w:val="00630767"/>
    <w:rPr>
      <w:sz w:val="16"/>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imple2">
    <w:name w:val="Table Simple 2"/>
    <w:basedOn w:val="TableNormal"/>
    <w:rsid w:val="00630767"/>
    <w:rPr>
      <w:sz w:val="16"/>
    </w:rPr>
    <w:tblPr>
      <w:tblBorders>
        <w:top w:val="single" w:sz="4" w:space="0" w:color="auto"/>
        <w:bottom w:val="single" w:sz="4" w:space="0" w:color="auto"/>
        <w:insideH w:val="single" w:sz="4" w:space="0" w:color="auto"/>
        <w:insideV w:val="single" w:sz="4" w:space="0" w:color="auto"/>
      </w:tblBorders>
    </w:tblPr>
    <w:tblStylePr w:type="firstRow">
      <w:rPr>
        <w:b/>
        <w:bCs/>
      </w:rPr>
      <w:tblPr/>
      <w:tcPr>
        <w:tcBorders>
          <w:top w:val="nil"/>
          <w:left w:val="nil"/>
          <w:bottom w:val="single" w:sz="24" w:space="0" w:color="00B2A9" w:themeColor="text2"/>
          <w:right w:val="nil"/>
          <w:insideV w:val="single" w:sz="4"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ubtle2">
    <w:name w:val="Table Subtle 2"/>
    <w:basedOn w:val="TableNormal"/>
    <w:rsid w:val="0063076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xDisclaimerText2">
    <w:name w:val="xDisclaimer Text 2"/>
    <w:basedOn w:val="xDisclaimerText"/>
    <w:rsid w:val="009363B5"/>
    <w:pPr>
      <w:spacing w:before="180" w:after="170"/>
    </w:pPr>
  </w:style>
  <w:style w:type="paragraph" w:customStyle="1" w:styleId="Heading1TopofPage">
    <w:name w:val="Heading 1 Top of Page"/>
    <w:basedOn w:val="Heading1"/>
    <w:next w:val="BodyText"/>
    <w:qFormat/>
    <w:rsid w:val="004E2566"/>
    <w:pPr>
      <w:pageBreakBefore/>
      <w:framePr w:w="11907" w:h="1701" w:hSpace="11340" w:wrap="around" w:vAnchor="page" w:hAnchor="page" w:yAlign="top"/>
      <w:spacing w:before="1300"/>
      <w:ind w:right="1134"/>
    </w:pPr>
  </w:style>
  <w:style w:type="paragraph" w:customStyle="1" w:styleId="SectionHeading">
    <w:name w:val="Section Heading"/>
    <w:basedOn w:val="Normal"/>
    <w:next w:val="BodyText"/>
    <w:semiHidden/>
    <w:qFormat/>
    <w:rsid w:val="00096B2D"/>
    <w:pPr>
      <w:keepLines/>
      <w:pageBreakBefore/>
      <w:framePr w:w="11907" w:h="2155" w:hSpace="181" w:wrap="around" w:vAnchor="page" w:hAnchor="page" w:xAlign="right" w:yAlign="top"/>
      <w:spacing w:before="1300"/>
      <w:ind w:left="1134" w:right="1134"/>
      <w:suppressOverlap/>
      <w:jc w:val="right"/>
      <w:outlineLvl w:val="4"/>
    </w:pPr>
    <w:rPr>
      <w:b/>
      <w:color w:val="00B2A9" w:themeColor="text2"/>
      <w:sz w:val="40"/>
      <w:szCs w:val="40"/>
    </w:rPr>
  </w:style>
  <w:style w:type="paragraph" w:customStyle="1" w:styleId="HighlightBoxText">
    <w:name w:val="Highlight Box Text"/>
    <w:basedOn w:val="Normal"/>
    <w:qFormat/>
    <w:rsid w:val="00345B5F"/>
    <w:pPr>
      <w:spacing w:before="120" w:after="120" w:line="300" w:lineRule="atLeast"/>
      <w:ind w:left="227" w:right="227"/>
    </w:pPr>
    <w:rPr>
      <w:color w:val="FFFFFF"/>
      <w:spacing w:val="-2"/>
      <w:sz w:val="24"/>
    </w:rPr>
  </w:style>
  <w:style w:type="character" w:styleId="FollowedHyperlink">
    <w:name w:val="FollowedHyperlink"/>
    <w:basedOn w:val="DefaultParagraphFont"/>
    <w:uiPriority w:val="99"/>
    <w:rsid w:val="00502E1D"/>
    <w:rPr>
      <w:color w:val="800080" w:themeColor="followedHyperlink"/>
      <w:u w:val="single"/>
    </w:rPr>
  </w:style>
  <w:style w:type="paragraph" w:customStyle="1" w:styleId="TitleBarText">
    <w:name w:val="Title Bar Text"/>
    <w:basedOn w:val="Normal"/>
    <w:uiPriority w:val="99"/>
    <w:qFormat/>
    <w:rsid w:val="001748A0"/>
    <w:pPr>
      <w:spacing w:line="360" w:lineRule="exact"/>
      <w:jc w:val="right"/>
    </w:pPr>
    <w:rPr>
      <w:rFonts w:ascii="Arial Narrow" w:hAnsi="Arial Narrow"/>
      <w:color w:val="FFFFFF"/>
      <w:spacing w:val="-2"/>
      <w:sz w:val="28"/>
      <w:szCs w:val="28"/>
    </w:rPr>
  </w:style>
  <w:style w:type="table" w:customStyle="1" w:styleId="LogoPlaceholder">
    <w:name w:val="Logo Placeholder"/>
    <w:basedOn w:val="TableNormal"/>
    <w:uiPriority w:val="99"/>
    <w:rsid w:val="00802595"/>
    <w:pPr>
      <w:spacing w:line="240" w:lineRule="auto"/>
    </w:pPr>
    <w:tblPr>
      <w:tblCellSpacing w:w="142" w:type="dxa"/>
      <w:tblCellMar>
        <w:left w:w="0" w:type="dxa"/>
        <w:right w:w="0" w:type="dxa"/>
      </w:tblCellMar>
    </w:tblPr>
    <w:trPr>
      <w:tblCellSpacing w:w="142" w:type="dxa"/>
    </w:trPr>
  </w:style>
  <w:style w:type="paragraph" w:customStyle="1" w:styleId="TableHeadingRight">
    <w:name w:val="Table Heading Right"/>
    <w:basedOn w:val="TableHeadingLeft"/>
    <w:qFormat/>
    <w:rsid w:val="0086233C"/>
    <w:pPr>
      <w:jc w:val="right"/>
    </w:pPr>
    <w:rPr>
      <w:rFonts w:cs="Times New Roman"/>
    </w:rPr>
  </w:style>
  <w:style w:type="paragraph" w:customStyle="1" w:styleId="xCoverStatus">
    <w:name w:val="xCoverStatus"/>
    <w:basedOn w:val="Normal"/>
    <w:semiHidden/>
    <w:rsid w:val="00F77596"/>
    <w:rPr>
      <w:b/>
      <w:caps/>
      <w:color w:val="FF0000"/>
      <w:sz w:val="48"/>
      <w:szCs w:val="52"/>
    </w:rPr>
  </w:style>
  <w:style w:type="paragraph" w:customStyle="1" w:styleId="TableTextCentre">
    <w:name w:val="Table Text Centre"/>
    <w:basedOn w:val="TableTextLeft"/>
    <w:qFormat/>
    <w:rsid w:val="00447351"/>
    <w:pPr>
      <w:jc w:val="center"/>
    </w:pPr>
  </w:style>
  <w:style w:type="paragraph" w:customStyle="1" w:styleId="TableHeadingCentre">
    <w:name w:val="Table Heading Centre"/>
    <w:basedOn w:val="TableHeadingLeft"/>
    <w:qFormat/>
    <w:rsid w:val="004F07F4"/>
    <w:pPr>
      <w:jc w:val="center"/>
    </w:pPr>
  </w:style>
  <w:style w:type="paragraph" w:customStyle="1" w:styleId="Footnotes2">
    <w:name w:val="Footnotes 2"/>
    <w:basedOn w:val="Normal"/>
    <w:rsid w:val="0016301C"/>
    <w:pPr>
      <w:numPr>
        <w:ilvl w:val="1"/>
        <w:numId w:val="6"/>
      </w:numPr>
      <w:spacing w:after="100" w:afterAutospacing="1" w:line="180" w:lineRule="atLeast"/>
      <w:ind w:left="568" w:hanging="284"/>
      <w:contextualSpacing/>
    </w:pPr>
    <w:rPr>
      <w:sz w:val="14"/>
    </w:rPr>
  </w:style>
  <w:style w:type="table" w:customStyle="1" w:styleId="HighlightTable">
    <w:name w:val="Highlight Table"/>
    <w:basedOn w:val="TableNormal"/>
    <w:uiPriority w:val="99"/>
    <w:rsid w:val="00443176"/>
    <w:pPr>
      <w:spacing w:line="240" w:lineRule="auto"/>
    </w:pPr>
    <w:rPr>
      <w:color w:val="FFFFFF"/>
      <w:sz w:val="24"/>
    </w:rPr>
    <w:tblPr>
      <w:tblCellMar>
        <w:top w:w="227" w:type="dxa"/>
        <w:left w:w="0" w:type="dxa"/>
        <w:bottom w:w="227" w:type="dxa"/>
        <w:right w:w="0" w:type="dxa"/>
      </w:tblCellMar>
    </w:tblPr>
    <w:tcPr>
      <w:shd w:val="clear" w:color="auto" w:fill="00B2A9" w:themeFill="text2"/>
    </w:tcPr>
  </w:style>
  <w:style w:type="paragraph" w:customStyle="1" w:styleId="BodyText100ThemeColour">
    <w:name w:val="Body Text 100% Theme Colour"/>
    <w:basedOn w:val="BodyText"/>
    <w:qFormat/>
    <w:rsid w:val="00096B2D"/>
    <w:rPr>
      <w:color w:val="00B2A9" w:themeColor="text2"/>
    </w:rPr>
  </w:style>
  <w:style w:type="paragraph" w:customStyle="1" w:styleId="CaptionImageorFigure">
    <w:name w:val="Caption Image or Figure"/>
    <w:basedOn w:val="Caption"/>
    <w:qFormat/>
    <w:rsid w:val="00F041AE"/>
    <w:pPr>
      <w:spacing w:before="60" w:after="120"/>
    </w:pPr>
  </w:style>
  <w:style w:type="paragraph" w:customStyle="1" w:styleId="PhotoCredit">
    <w:name w:val="Photo Credit"/>
    <w:basedOn w:val="CaptionDescriptive"/>
    <w:next w:val="BodyText"/>
    <w:qFormat/>
    <w:rsid w:val="00BC0FB0"/>
    <w:rPr>
      <w:i w:val="0"/>
      <w:sz w:val="16"/>
    </w:rPr>
  </w:style>
  <w:style w:type="paragraph" w:customStyle="1" w:styleId="ListAlpha">
    <w:name w:val="List Alpha"/>
    <w:basedOn w:val="Normal"/>
    <w:qFormat/>
    <w:rsid w:val="00893106"/>
    <w:pPr>
      <w:numPr>
        <w:numId w:val="12"/>
      </w:numPr>
      <w:spacing w:before="120" w:after="120"/>
    </w:pPr>
  </w:style>
  <w:style w:type="paragraph" w:customStyle="1" w:styleId="ListAlpha2">
    <w:name w:val="List Alpha 2"/>
    <w:basedOn w:val="Normal"/>
    <w:qFormat/>
    <w:rsid w:val="00893106"/>
    <w:pPr>
      <w:numPr>
        <w:ilvl w:val="1"/>
        <w:numId w:val="12"/>
      </w:numPr>
      <w:spacing w:before="120" w:after="120"/>
    </w:pPr>
  </w:style>
  <w:style w:type="paragraph" w:customStyle="1" w:styleId="ListAlpha3">
    <w:name w:val="List Alpha 3"/>
    <w:basedOn w:val="Normal"/>
    <w:qFormat/>
    <w:rsid w:val="00893106"/>
    <w:pPr>
      <w:numPr>
        <w:ilvl w:val="2"/>
        <w:numId w:val="12"/>
      </w:numPr>
      <w:spacing w:before="120" w:after="120"/>
    </w:pPr>
  </w:style>
  <w:style w:type="paragraph" w:customStyle="1" w:styleId="HighlightBoxHeading">
    <w:name w:val="Highlight Box Heading"/>
    <w:basedOn w:val="HighlightBoxText"/>
    <w:qFormat/>
    <w:rsid w:val="0072771D"/>
    <w:rPr>
      <w:b/>
    </w:rPr>
  </w:style>
  <w:style w:type="paragraph" w:customStyle="1" w:styleId="HighlightBoxBullet">
    <w:name w:val="Highlight Box Bullet"/>
    <w:basedOn w:val="HighlightBoxText"/>
    <w:qFormat/>
    <w:rsid w:val="00781566"/>
    <w:pPr>
      <w:numPr>
        <w:numId w:val="14"/>
      </w:numPr>
      <w:tabs>
        <w:tab w:val="left" w:pos="454"/>
      </w:tabs>
    </w:pPr>
  </w:style>
  <w:style w:type="character" w:customStyle="1" w:styleId="MyUnderline">
    <w:name w:val="MyUnderline"/>
    <w:uiPriority w:val="1"/>
    <w:semiHidden/>
    <w:rsid w:val="00F62FAC"/>
    <w:rPr>
      <w:u w:val="single"/>
      <w:lang w:eastAsia="en-AU"/>
    </w:rPr>
  </w:style>
  <w:style w:type="character" w:customStyle="1" w:styleId="MyBoldItalicsUnderline">
    <w:name w:val="MyBoldItalicsUnderline"/>
    <w:uiPriority w:val="1"/>
    <w:semiHidden/>
    <w:rsid w:val="00F62FAC"/>
    <w:rPr>
      <w:b/>
      <w:i/>
      <w:u w:val="single"/>
    </w:rPr>
  </w:style>
  <w:style w:type="character" w:customStyle="1" w:styleId="MyBoldUnderline">
    <w:name w:val="MyBoldUnderline"/>
    <w:uiPriority w:val="1"/>
    <w:semiHidden/>
    <w:rsid w:val="00F62FAC"/>
    <w:rPr>
      <w:b/>
      <w:u w:val="single"/>
    </w:rPr>
  </w:style>
  <w:style w:type="character" w:customStyle="1" w:styleId="MyItalicsUnderline">
    <w:name w:val="MyItalicsUnderline"/>
    <w:uiPriority w:val="1"/>
    <w:semiHidden/>
    <w:rsid w:val="00F62FAC"/>
    <w:rPr>
      <w:i/>
      <w:u w:val="single"/>
    </w:rPr>
  </w:style>
  <w:style w:type="paragraph" w:customStyle="1" w:styleId="SmallBodyText">
    <w:name w:val="Small Body Text"/>
    <w:basedOn w:val="xDisclaimerText"/>
    <w:qFormat/>
    <w:rsid w:val="00D14E24"/>
    <w:pPr>
      <w:spacing w:before="40" w:after="40" w:line="220" w:lineRule="atLeast"/>
      <w:ind w:right="3119"/>
    </w:pPr>
    <w:rPr>
      <w:sz w:val="18"/>
    </w:rPr>
  </w:style>
  <w:style w:type="paragraph" w:customStyle="1" w:styleId="SmallBullet">
    <w:name w:val="Small Bullet"/>
    <w:basedOn w:val="SmallBodyText"/>
    <w:qFormat/>
    <w:rsid w:val="00D14E24"/>
    <w:pPr>
      <w:numPr>
        <w:numId w:val="13"/>
      </w:numPr>
    </w:pPr>
  </w:style>
  <w:style w:type="paragraph" w:customStyle="1" w:styleId="SmallHeading">
    <w:name w:val="Small Heading"/>
    <w:basedOn w:val="xDisclaimerHeading"/>
    <w:next w:val="SmallBodyText"/>
    <w:qFormat/>
    <w:rsid w:val="00D14E24"/>
    <w:pPr>
      <w:spacing w:after="40" w:line="220" w:lineRule="atLeast"/>
      <w:ind w:right="3119"/>
    </w:pPr>
    <w:rPr>
      <w:sz w:val="18"/>
    </w:rPr>
  </w:style>
  <w:style w:type="paragraph" w:customStyle="1" w:styleId="xWeb">
    <w:name w:val="xWeb"/>
    <w:basedOn w:val="Normal"/>
    <w:semiHidden/>
    <w:qFormat/>
    <w:rsid w:val="009363B5"/>
    <w:pPr>
      <w:spacing w:line="240" w:lineRule="auto"/>
    </w:pPr>
    <w:rPr>
      <w:color w:val="636366"/>
      <w:spacing w:val="-4"/>
      <w:sz w:val="36"/>
      <w:szCs w:val="42"/>
    </w:rPr>
  </w:style>
  <w:style w:type="table" w:customStyle="1" w:styleId="DELWPTableNormal">
    <w:name w:val="DELWP Table Normal"/>
    <w:basedOn w:val="TableNormal"/>
    <w:uiPriority w:val="99"/>
    <w:rsid w:val="00C2477D"/>
    <w:pPr>
      <w:spacing w:line="240" w:lineRule="auto"/>
    </w:pPr>
    <w:tblPr/>
  </w:style>
  <w:style w:type="paragraph" w:customStyle="1" w:styleId="xAccessibilityText">
    <w:name w:val="xAccessibility Text"/>
    <w:basedOn w:val="Normal"/>
    <w:semiHidden/>
    <w:qFormat/>
    <w:rsid w:val="0086451D"/>
    <w:pPr>
      <w:spacing w:line="300" w:lineRule="exact"/>
    </w:pPr>
    <w:rPr>
      <w:sz w:val="24"/>
    </w:rPr>
  </w:style>
  <w:style w:type="paragraph" w:customStyle="1" w:styleId="xAccessibilityHeading">
    <w:name w:val="xAccessibility Heading"/>
    <w:basedOn w:val="Normal"/>
    <w:semiHidden/>
    <w:qFormat/>
    <w:rsid w:val="0086451D"/>
    <w:pPr>
      <w:spacing w:before="170" w:after="20" w:line="300" w:lineRule="exact"/>
    </w:pPr>
    <w:rPr>
      <w:b/>
      <w:sz w:val="24"/>
    </w:rPr>
  </w:style>
  <w:style w:type="paragraph" w:customStyle="1" w:styleId="FooterEvenPageNumber">
    <w:name w:val="Footer Even Page Number"/>
    <w:basedOn w:val="FooterEven"/>
    <w:rsid w:val="001748A0"/>
    <w:pPr>
      <w:framePr w:wrap="around" w:vAnchor="page" w:hAnchor="margin" w:yAlign="bottom"/>
    </w:pPr>
    <w:rPr>
      <w:b/>
      <w:color w:val="00B2A9" w:themeColor="accent1"/>
    </w:rPr>
  </w:style>
  <w:style w:type="character" w:customStyle="1" w:styleId="Heading2Char">
    <w:name w:val="Heading 2 Char"/>
    <w:basedOn w:val="DefaultParagraphFont"/>
    <w:link w:val="Heading2"/>
    <w:uiPriority w:val="9"/>
    <w:rsid w:val="00357F56"/>
    <w:rPr>
      <w:b/>
      <w:bCs/>
      <w:i/>
      <w:iCs/>
      <w:color w:val="00B2A9" w:themeColor="text2"/>
      <w:kern w:val="20"/>
      <w:sz w:val="32"/>
      <w:szCs w:val="28"/>
    </w:rPr>
  </w:style>
  <w:style w:type="character" w:customStyle="1" w:styleId="Heading1Char">
    <w:name w:val="Heading 1 Char"/>
    <w:basedOn w:val="DefaultParagraphFont"/>
    <w:link w:val="Heading1"/>
    <w:uiPriority w:val="9"/>
    <w:rsid w:val="008A39F6"/>
    <w:rPr>
      <w:b/>
      <w:bCs/>
      <w:color w:val="201547" w:themeColor="accent2"/>
      <w:kern w:val="32"/>
      <w:sz w:val="40"/>
      <w:szCs w:val="32"/>
    </w:rPr>
  </w:style>
  <w:style w:type="character" w:customStyle="1" w:styleId="Heading3Char">
    <w:name w:val="Heading 3 Char"/>
    <w:basedOn w:val="DefaultParagraphFont"/>
    <w:link w:val="Heading3"/>
    <w:uiPriority w:val="9"/>
    <w:rsid w:val="00357F56"/>
    <w:rPr>
      <w:rFonts w:asciiTheme="majorHAnsi" w:hAnsiTheme="majorHAnsi"/>
      <w:i/>
      <w:color w:val="00B2A9" w:themeColor="accent1"/>
      <w:sz w:val="28"/>
    </w:rPr>
  </w:style>
  <w:style w:type="character" w:customStyle="1" w:styleId="HiddenText">
    <w:name w:val="Hidden Text"/>
    <w:basedOn w:val="DefaultParagraphFont"/>
    <w:uiPriority w:val="1"/>
    <w:qFormat/>
    <w:rsid w:val="00321955"/>
    <w:rPr>
      <w:color w:val="FF0000"/>
      <w:sz w:val="20"/>
      <w:u w:val="dotted"/>
    </w:rPr>
  </w:style>
  <w:style w:type="paragraph" w:customStyle="1" w:styleId="TOCtitle">
    <w:name w:val="TOC title"/>
    <w:basedOn w:val="Heading2"/>
    <w:next w:val="PwCNormal"/>
    <w:unhideWhenUsed/>
    <w:rsid w:val="003A7FBC"/>
    <w:pPr>
      <w:pageBreakBefore/>
      <w:numPr>
        <w:ilvl w:val="0"/>
        <w:numId w:val="0"/>
      </w:numPr>
      <w:kinsoku w:val="0"/>
      <w:overflowPunct w:val="0"/>
      <w:autoSpaceDE w:val="0"/>
      <w:autoSpaceDN w:val="0"/>
      <w:adjustRightInd w:val="0"/>
      <w:snapToGrid w:val="0"/>
      <w:spacing w:after="600" w:line="600" w:lineRule="atLeast"/>
    </w:pPr>
    <w:rPr>
      <w:rFonts w:asciiTheme="majorHAnsi" w:hAnsiTheme="majorHAnsi"/>
      <w:snapToGrid w:val="0"/>
      <w:color w:val="auto"/>
      <w:kern w:val="0"/>
      <w:sz w:val="56"/>
      <w:szCs w:val="36"/>
      <w:lang w:eastAsia="en-US"/>
    </w:rPr>
  </w:style>
  <w:style w:type="paragraph" w:customStyle="1" w:styleId="Covertitle">
    <w:name w:val="Cover title"/>
    <w:basedOn w:val="KeySentenceInside"/>
    <w:next w:val="Coversubtitle"/>
    <w:rsid w:val="003A7FBC"/>
    <w:pPr>
      <w:framePr w:w="2154" w:wrap="notBeside" w:vAnchor="page" w:hAnchor="page" w:x="928" w:y="8427"/>
      <w:spacing w:before="200"/>
      <w:ind w:left="113"/>
    </w:pPr>
    <w:rPr>
      <w:rFonts w:asciiTheme="majorHAnsi" w:hAnsiTheme="majorHAnsi"/>
      <w:color w:val="auto"/>
      <w:sz w:val="19"/>
      <w:lang w:val="en-GB"/>
    </w:rPr>
  </w:style>
  <w:style w:type="paragraph" w:customStyle="1" w:styleId="Coversubtitle">
    <w:name w:val="Cover subtitle"/>
    <w:basedOn w:val="Covertitle"/>
    <w:rsid w:val="003A7FBC"/>
    <w:pPr>
      <w:framePr w:wrap="notBeside"/>
      <w:spacing w:before="180"/>
    </w:pPr>
    <w:rPr>
      <w:bCs/>
      <w:szCs w:val="64"/>
    </w:rPr>
  </w:style>
  <w:style w:type="paragraph" w:customStyle="1" w:styleId="AppendixNumberLong">
    <w:name w:val="Appendix Number (Long)"/>
    <w:basedOn w:val="Heading3"/>
    <w:next w:val="Heading3"/>
    <w:uiPriority w:val="99"/>
    <w:rsid w:val="003A7FBC"/>
    <w:pPr>
      <w:pageBreakBefore/>
      <w:numPr>
        <w:ilvl w:val="0"/>
        <w:numId w:val="0"/>
      </w:numPr>
      <w:tabs>
        <w:tab w:val="clear" w:pos="1701"/>
        <w:tab w:val="clear" w:pos="1985"/>
        <w:tab w:val="num" w:pos="0"/>
      </w:tabs>
      <w:kinsoku w:val="0"/>
      <w:overflowPunct w:val="0"/>
      <w:autoSpaceDE w:val="0"/>
      <w:autoSpaceDN w:val="0"/>
      <w:adjustRightInd w:val="0"/>
      <w:snapToGrid w:val="0"/>
      <w:spacing w:before="0" w:after="0" w:line="720" w:lineRule="atLeast"/>
    </w:pPr>
    <w:rPr>
      <w:snapToGrid w:val="0"/>
      <w:color w:val="363534" w:themeColor="text1"/>
      <w:sz w:val="56"/>
      <w:szCs w:val="72"/>
      <w:lang w:eastAsia="en-US"/>
    </w:rPr>
  </w:style>
  <w:style w:type="paragraph" w:customStyle="1" w:styleId="ChapterNumberLong">
    <w:name w:val="Chapter Number (Long)"/>
    <w:basedOn w:val="Heading1"/>
    <w:next w:val="Heading1"/>
    <w:uiPriority w:val="99"/>
    <w:rsid w:val="003A7FBC"/>
    <w:pPr>
      <w:keepNext w:val="0"/>
      <w:keepLines w:val="0"/>
      <w:pageBreakBefore/>
      <w:numPr>
        <w:numId w:val="0"/>
      </w:numPr>
      <w:tabs>
        <w:tab w:val="num" w:pos="0"/>
      </w:tabs>
      <w:kinsoku w:val="0"/>
      <w:overflowPunct w:val="0"/>
      <w:autoSpaceDE w:val="0"/>
      <w:autoSpaceDN w:val="0"/>
      <w:adjustRightInd w:val="0"/>
      <w:snapToGrid w:val="0"/>
      <w:spacing w:after="0" w:line="720" w:lineRule="atLeast"/>
    </w:pPr>
    <w:rPr>
      <w:rFonts w:asciiTheme="majorHAnsi" w:hAnsiTheme="majorHAnsi"/>
      <w:i/>
      <w:snapToGrid w:val="0"/>
      <w:color w:val="auto"/>
      <w:kern w:val="0"/>
      <w:sz w:val="56"/>
      <w:szCs w:val="72"/>
      <w:lang w:eastAsia="en-US"/>
    </w:rPr>
  </w:style>
  <w:style w:type="paragraph" w:customStyle="1" w:styleId="Footer-Even">
    <w:name w:val="Footer - Even"/>
    <w:basedOn w:val="Footer"/>
    <w:rsid w:val="003A7FBC"/>
    <w:pPr>
      <w:tabs>
        <w:tab w:val="right" w:pos="8220"/>
      </w:tabs>
      <w:kinsoku w:val="0"/>
      <w:overflowPunct w:val="0"/>
      <w:autoSpaceDE w:val="0"/>
      <w:autoSpaceDN w:val="0"/>
      <w:adjustRightInd w:val="0"/>
      <w:snapToGrid w:val="0"/>
      <w:spacing w:line="0" w:lineRule="atLeast"/>
    </w:pPr>
    <w:rPr>
      <w:rFonts w:ascii="Arial" w:hAnsi="Arial"/>
      <w:snapToGrid w:val="0"/>
      <w:sz w:val="19"/>
      <w:szCs w:val="18"/>
      <w:lang w:eastAsia="en-US"/>
    </w:rPr>
  </w:style>
  <w:style w:type="paragraph" w:customStyle="1" w:styleId="URL">
    <w:name w:val="URL"/>
    <w:basedOn w:val="PwCNormal"/>
    <w:next w:val="PwCNormal"/>
    <w:rsid w:val="003A7FBC"/>
    <w:pPr>
      <w:framePr w:wrap="around" w:vAnchor="page" w:hAnchor="page" w:x="1022" w:y="568"/>
      <w:spacing w:after="0"/>
    </w:pPr>
    <w:rPr>
      <w:rFonts w:eastAsia="+mn-ea"/>
      <w:snapToGrid/>
      <w:color w:val="FFFFFF"/>
      <w:sz w:val="36"/>
    </w:rPr>
  </w:style>
  <w:style w:type="paragraph" w:customStyle="1" w:styleId="Indent1">
    <w:name w:val="Indent 1"/>
    <w:basedOn w:val="Normal"/>
    <w:rsid w:val="003A7FBC"/>
    <w:pPr>
      <w:numPr>
        <w:ilvl w:val="1"/>
        <w:numId w:val="37"/>
      </w:numPr>
      <w:kinsoku w:val="0"/>
      <w:overflowPunct w:val="0"/>
      <w:autoSpaceDE w:val="0"/>
      <w:autoSpaceDN w:val="0"/>
      <w:adjustRightInd w:val="0"/>
      <w:snapToGrid w:val="0"/>
      <w:spacing w:before="100" w:after="100" w:line="240" w:lineRule="auto"/>
    </w:pPr>
    <w:rPr>
      <w:rFonts w:ascii="Georgia" w:hAnsi="Georgia" w:cs="Times New Roman"/>
      <w:snapToGrid w:val="0"/>
      <w:lang w:eastAsia="en-US"/>
    </w:rPr>
  </w:style>
  <w:style w:type="paragraph" w:customStyle="1" w:styleId="Indent2">
    <w:name w:val="Indent 2"/>
    <w:basedOn w:val="Indent1"/>
    <w:rsid w:val="003A7FBC"/>
    <w:pPr>
      <w:numPr>
        <w:ilvl w:val="2"/>
      </w:numPr>
    </w:pPr>
  </w:style>
  <w:style w:type="paragraph" w:customStyle="1" w:styleId="Indent3">
    <w:name w:val="Indent 3"/>
    <w:basedOn w:val="Indent2"/>
    <w:rsid w:val="003A7FBC"/>
    <w:pPr>
      <w:numPr>
        <w:ilvl w:val="3"/>
      </w:numPr>
    </w:pPr>
  </w:style>
  <w:style w:type="paragraph" w:customStyle="1" w:styleId="Indent5">
    <w:name w:val="Indent 5"/>
    <w:basedOn w:val="Indent4"/>
    <w:rsid w:val="003A7FBC"/>
    <w:pPr>
      <w:numPr>
        <w:ilvl w:val="5"/>
      </w:numPr>
    </w:pPr>
  </w:style>
  <w:style w:type="paragraph" w:customStyle="1" w:styleId="Indent6">
    <w:name w:val="Indent 6"/>
    <w:basedOn w:val="Indent5"/>
    <w:rsid w:val="003A7FBC"/>
    <w:pPr>
      <w:numPr>
        <w:ilvl w:val="6"/>
      </w:numPr>
    </w:pPr>
  </w:style>
  <w:style w:type="paragraph" w:customStyle="1" w:styleId="Indent7">
    <w:name w:val="Indent 7"/>
    <w:basedOn w:val="Indent6"/>
    <w:rsid w:val="003A7FBC"/>
    <w:pPr>
      <w:numPr>
        <w:ilvl w:val="7"/>
      </w:numPr>
    </w:pPr>
  </w:style>
  <w:style w:type="numbering" w:customStyle="1" w:styleId="Indents">
    <w:name w:val="Indents"/>
    <w:rsid w:val="003A7FBC"/>
    <w:pPr>
      <w:numPr>
        <w:numId w:val="16"/>
      </w:numPr>
    </w:pPr>
  </w:style>
  <w:style w:type="paragraph" w:customStyle="1" w:styleId="Copyright">
    <w:name w:val="Copyright"/>
    <w:basedOn w:val="Normal"/>
    <w:rsid w:val="003A7FBC"/>
    <w:pPr>
      <w:framePr w:w="7938" w:wrap="around" w:vAnchor="page" w:hAnchor="page" w:x="1022" w:y="15196"/>
      <w:kinsoku w:val="0"/>
      <w:overflowPunct w:val="0"/>
      <w:autoSpaceDE w:val="0"/>
      <w:autoSpaceDN w:val="0"/>
      <w:adjustRightInd w:val="0"/>
      <w:snapToGrid w:val="0"/>
      <w:spacing w:before="150" w:after="150" w:line="150" w:lineRule="atLeast"/>
      <w:ind w:right="816"/>
    </w:pPr>
    <w:rPr>
      <w:rFonts w:ascii="Arial" w:hAnsi="Arial"/>
      <w:snapToGrid w:val="0"/>
      <w:color w:val="FFFFFF"/>
      <w:sz w:val="16"/>
      <w:lang w:val="en-US" w:eastAsia="en-US"/>
    </w:rPr>
  </w:style>
  <w:style w:type="paragraph" w:customStyle="1" w:styleId="Header-Even">
    <w:name w:val="Header - Even"/>
    <w:basedOn w:val="Header"/>
    <w:rsid w:val="003A7FBC"/>
    <w:pPr>
      <w:tabs>
        <w:tab w:val="right" w:pos="8220"/>
      </w:tabs>
      <w:kinsoku w:val="0"/>
      <w:overflowPunct w:val="0"/>
      <w:autoSpaceDE w:val="0"/>
      <w:autoSpaceDN w:val="0"/>
      <w:adjustRightInd w:val="0"/>
      <w:snapToGrid w:val="0"/>
    </w:pPr>
    <w:rPr>
      <w:rFonts w:ascii="Arial" w:hAnsi="Arial"/>
      <w:snapToGrid w:val="0"/>
      <w:sz w:val="19"/>
      <w:szCs w:val="18"/>
      <w:lang w:eastAsia="en-US"/>
    </w:rPr>
  </w:style>
  <w:style w:type="paragraph" w:customStyle="1" w:styleId="PleaseNote">
    <w:name w:val="Please Note"/>
    <w:basedOn w:val="PrefaceTitle"/>
    <w:next w:val="PwCNormal"/>
    <w:rsid w:val="003A7FBC"/>
    <w:rPr>
      <w:iCs w:val="0"/>
    </w:rPr>
  </w:style>
  <w:style w:type="paragraph" w:customStyle="1" w:styleId="Indent4">
    <w:name w:val="Indent 4"/>
    <w:basedOn w:val="Indent3"/>
    <w:rsid w:val="003A7FBC"/>
    <w:pPr>
      <w:numPr>
        <w:ilvl w:val="4"/>
      </w:numPr>
    </w:pPr>
  </w:style>
  <w:style w:type="paragraph" w:customStyle="1" w:styleId="KeySentenceInside">
    <w:name w:val="Key Sentence Inside"/>
    <w:basedOn w:val="KeySentence"/>
    <w:rsid w:val="003A7FBC"/>
    <w:pPr>
      <w:framePr w:w="2296" w:wrap="notBeside" w:vAnchor="text" w:hAnchor="margin" w:x="-2521" w:y="1" w:anchorLock="1"/>
    </w:pPr>
  </w:style>
  <w:style w:type="paragraph" w:customStyle="1" w:styleId="ChapterNumberedList1">
    <w:name w:val="Chapter Numbered List 1"/>
    <w:basedOn w:val="PwCNormal"/>
    <w:uiPriority w:val="99"/>
    <w:rsid w:val="003A7FBC"/>
    <w:pPr>
      <w:numPr>
        <w:numId w:val="0"/>
      </w:numPr>
      <w:ind w:left="3632" w:hanging="454"/>
    </w:pPr>
  </w:style>
  <w:style w:type="paragraph" w:customStyle="1" w:styleId="ChapterNumberedList2">
    <w:name w:val="Chapter Numbered List 2"/>
    <w:basedOn w:val="ChapterNumberedList1"/>
    <w:uiPriority w:val="99"/>
    <w:rsid w:val="003A7FBC"/>
    <w:pPr>
      <w:ind w:left="4086"/>
    </w:pPr>
  </w:style>
  <w:style w:type="paragraph" w:customStyle="1" w:styleId="PwCNormal">
    <w:name w:val="PwC Normal"/>
    <w:basedOn w:val="Normal"/>
    <w:link w:val="PwCNormalChar"/>
    <w:rsid w:val="003A7FBC"/>
    <w:pPr>
      <w:numPr>
        <w:numId w:val="37"/>
      </w:numPr>
      <w:kinsoku w:val="0"/>
      <w:overflowPunct w:val="0"/>
      <w:autoSpaceDE w:val="0"/>
      <w:autoSpaceDN w:val="0"/>
      <w:adjustRightInd w:val="0"/>
      <w:snapToGrid w:val="0"/>
      <w:spacing w:before="120" w:after="120" w:line="240" w:lineRule="auto"/>
    </w:pPr>
    <w:rPr>
      <w:rFonts w:ascii="Georgia" w:hAnsi="Georgia"/>
      <w:snapToGrid w:val="0"/>
      <w:lang w:eastAsia="en-US"/>
    </w:rPr>
  </w:style>
  <w:style w:type="paragraph" w:customStyle="1" w:styleId="CoverDate">
    <w:name w:val="Cover Date"/>
    <w:basedOn w:val="Coversubtitle"/>
    <w:rsid w:val="003A7FBC"/>
    <w:pPr>
      <w:framePr w:wrap="notBeside"/>
    </w:pPr>
  </w:style>
  <w:style w:type="paragraph" w:customStyle="1" w:styleId="KeySentenceOutside">
    <w:name w:val="Key Sentence Outside"/>
    <w:basedOn w:val="KeySentence"/>
    <w:rsid w:val="003A7FBC"/>
    <w:pPr>
      <w:framePr w:w="2410" w:wrap="around" w:vAnchor="text" w:hAnchor="margin" w:x="7909" w:y="1" w:anchorLock="1"/>
    </w:pPr>
  </w:style>
  <w:style w:type="character" w:customStyle="1" w:styleId="PwCNormalChar">
    <w:name w:val="PwC Normal Char"/>
    <w:basedOn w:val="DefaultParagraphFont"/>
    <w:link w:val="PwCNormal"/>
    <w:rsid w:val="003A7FBC"/>
    <w:rPr>
      <w:rFonts w:ascii="Georgia" w:hAnsi="Georgia"/>
      <w:snapToGrid w:val="0"/>
      <w:color w:val="auto"/>
      <w:lang w:eastAsia="en-US"/>
    </w:rPr>
  </w:style>
  <w:style w:type="paragraph" w:customStyle="1" w:styleId="CREATISID">
    <w:name w:val="CREATISID"/>
    <w:basedOn w:val="PwCNormal"/>
    <w:unhideWhenUsed/>
    <w:rsid w:val="003A7FBC"/>
    <w:pPr>
      <w:framePr w:w="227" w:h="539" w:wrap="notBeside" w:vAnchor="page" w:hAnchor="page" w:x="511" w:y="15594"/>
      <w:numPr>
        <w:numId w:val="0"/>
      </w:numPr>
      <w:spacing w:after="0"/>
      <w:textDirection w:val="btLr"/>
    </w:pPr>
    <w:rPr>
      <w:rFonts w:eastAsia="MS Mincho"/>
      <w:sz w:val="10"/>
      <w:szCs w:val="12"/>
      <w:lang w:eastAsia="ja-JP"/>
    </w:rPr>
  </w:style>
  <w:style w:type="numbering" w:customStyle="1" w:styleId="BulletList">
    <w:name w:val="Bullet List"/>
    <w:rsid w:val="003A7FBC"/>
    <w:pPr>
      <w:numPr>
        <w:numId w:val="15"/>
      </w:numPr>
    </w:pPr>
  </w:style>
  <w:style w:type="paragraph" w:customStyle="1" w:styleId="Footer-Landscape">
    <w:name w:val="Footer - Landscape"/>
    <w:basedOn w:val="Footer"/>
    <w:rsid w:val="003A7FBC"/>
    <w:pPr>
      <w:tabs>
        <w:tab w:val="right" w:pos="14797"/>
      </w:tabs>
      <w:kinsoku w:val="0"/>
      <w:overflowPunct w:val="0"/>
      <w:autoSpaceDE w:val="0"/>
      <w:autoSpaceDN w:val="0"/>
      <w:adjustRightInd w:val="0"/>
      <w:snapToGrid w:val="0"/>
      <w:spacing w:line="0" w:lineRule="atLeast"/>
    </w:pPr>
    <w:rPr>
      <w:rFonts w:ascii="Arial" w:hAnsi="Arial"/>
      <w:snapToGrid w:val="0"/>
      <w:sz w:val="19"/>
      <w:szCs w:val="18"/>
      <w:lang w:eastAsia="en-US"/>
    </w:rPr>
  </w:style>
  <w:style w:type="paragraph" w:customStyle="1" w:styleId="TableBullet1Normal">
    <w:name w:val="Table Bullet 1 Normal"/>
    <w:basedOn w:val="TableTextNormal"/>
    <w:rsid w:val="003A7FBC"/>
    <w:pPr>
      <w:numPr>
        <w:numId w:val="19"/>
      </w:numPr>
      <w:spacing w:before="40" w:after="40"/>
    </w:pPr>
  </w:style>
  <w:style w:type="paragraph" w:customStyle="1" w:styleId="TableTextNormal">
    <w:name w:val="Table Text Normal"/>
    <w:basedOn w:val="Normal"/>
    <w:rsid w:val="003A7FBC"/>
    <w:pPr>
      <w:kinsoku w:val="0"/>
      <w:overflowPunct w:val="0"/>
      <w:autoSpaceDE w:val="0"/>
      <w:autoSpaceDN w:val="0"/>
      <w:adjustRightInd w:val="0"/>
      <w:snapToGrid w:val="0"/>
      <w:spacing w:before="80" w:after="80" w:line="240" w:lineRule="auto"/>
    </w:pPr>
    <w:rPr>
      <w:rFonts w:ascii="Georgia" w:hAnsi="Georgia"/>
      <w:snapToGrid w:val="0"/>
      <w:lang w:eastAsia="en-US"/>
    </w:rPr>
  </w:style>
  <w:style w:type="paragraph" w:customStyle="1" w:styleId="TableBullet1Small">
    <w:name w:val="Table Bullet 1 Small"/>
    <w:basedOn w:val="TableTextSmall"/>
    <w:rsid w:val="003A7FBC"/>
    <w:pPr>
      <w:numPr>
        <w:numId w:val="20"/>
      </w:numPr>
      <w:spacing w:before="20" w:after="20"/>
    </w:pPr>
  </w:style>
  <w:style w:type="paragraph" w:customStyle="1" w:styleId="TableTextSmall">
    <w:name w:val="Table Text Small"/>
    <w:basedOn w:val="Normal"/>
    <w:rsid w:val="003A7FBC"/>
    <w:pPr>
      <w:kinsoku w:val="0"/>
      <w:overflowPunct w:val="0"/>
      <w:autoSpaceDE w:val="0"/>
      <w:autoSpaceDN w:val="0"/>
      <w:adjustRightInd w:val="0"/>
      <w:snapToGrid w:val="0"/>
      <w:spacing w:before="40" w:after="40" w:line="240" w:lineRule="auto"/>
    </w:pPr>
    <w:rPr>
      <w:rFonts w:ascii="Arial" w:hAnsi="Arial"/>
      <w:snapToGrid w:val="0"/>
      <w:sz w:val="16"/>
      <w:szCs w:val="18"/>
      <w:lang w:eastAsia="en-US"/>
    </w:rPr>
  </w:style>
  <w:style w:type="paragraph" w:customStyle="1" w:styleId="TableBullet3Normal">
    <w:name w:val="Table Bullet 3 Normal"/>
    <w:basedOn w:val="TableBullet2Normal"/>
    <w:rsid w:val="003A7FBC"/>
    <w:pPr>
      <w:numPr>
        <w:ilvl w:val="2"/>
      </w:numPr>
      <w:tabs>
        <w:tab w:val="clear" w:pos="851"/>
        <w:tab w:val="num" w:pos="567"/>
      </w:tabs>
      <w:ind w:left="567" w:hanging="283"/>
    </w:pPr>
  </w:style>
  <w:style w:type="paragraph" w:customStyle="1" w:styleId="TableBullet3Small">
    <w:name w:val="Table Bullet 3 Small"/>
    <w:basedOn w:val="TableBullet2Small"/>
    <w:rsid w:val="003A7FBC"/>
    <w:pPr>
      <w:numPr>
        <w:ilvl w:val="2"/>
      </w:numPr>
    </w:pPr>
    <w:rPr>
      <w:szCs w:val="16"/>
    </w:rPr>
  </w:style>
  <w:style w:type="paragraph" w:customStyle="1" w:styleId="BlockText2">
    <w:name w:val="Block Text 2"/>
    <w:basedOn w:val="Normal"/>
    <w:qFormat/>
    <w:rsid w:val="003A7FBC"/>
    <w:pPr>
      <w:pBdr>
        <w:top w:val="single" w:sz="2" w:space="10" w:color="00B2A9" w:themeColor="text2"/>
        <w:left w:val="single" w:sz="2" w:space="10" w:color="00B2A9" w:themeColor="text2"/>
        <w:bottom w:val="single" w:sz="2" w:space="10" w:color="00B2A9" w:themeColor="text2"/>
        <w:right w:val="single" w:sz="2" w:space="10" w:color="00B2A9" w:themeColor="text2"/>
      </w:pBdr>
      <w:shd w:val="clear" w:color="auto" w:fill="00B2A9" w:themeFill="text2"/>
      <w:spacing w:after="240" w:line="240" w:lineRule="auto"/>
      <w:ind w:left="227" w:right="227"/>
    </w:pPr>
    <w:rPr>
      <w:rFonts w:ascii="Georgia" w:eastAsiaTheme="minorHAnsi" w:hAnsi="Georgia" w:cstheme="minorBidi"/>
      <w:i/>
      <w:color w:val="E5F7F6" w:themeColor="background2"/>
      <w:sz w:val="48"/>
      <w:szCs w:val="48"/>
      <w:lang w:val="en-GB" w:eastAsia="en-US"/>
    </w:rPr>
  </w:style>
  <w:style w:type="paragraph" w:customStyle="1" w:styleId="Appendix">
    <w:name w:val="Appendix"/>
    <w:basedOn w:val="Heading1"/>
    <w:next w:val="Normal"/>
    <w:uiPriority w:val="99"/>
    <w:qFormat/>
    <w:rsid w:val="003A7FBC"/>
    <w:pPr>
      <w:numPr>
        <w:numId w:val="24"/>
      </w:numPr>
      <w:spacing w:after="480" w:line="600" w:lineRule="atLeast"/>
    </w:pPr>
    <w:rPr>
      <w:rFonts w:asciiTheme="majorHAnsi" w:eastAsiaTheme="majorEastAsia" w:hAnsiTheme="majorHAnsi" w:cstheme="majorBidi"/>
      <w:i/>
      <w:color w:val="auto"/>
      <w:kern w:val="0"/>
      <w:sz w:val="56"/>
      <w:szCs w:val="28"/>
      <w:lang w:val="en-GB" w:eastAsia="en-US"/>
    </w:rPr>
  </w:style>
  <w:style w:type="numbering" w:customStyle="1" w:styleId="PwCAppendixList1">
    <w:name w:val="PwC Appendix List 1"/>
    <w:uiPriority w:val="99"/>
    <w:rsid w:val="003A7FBC"/>
    <w:pPr>
      <w:numPr>
        <w:numId w:val="23"/>
      </w:numPr>
    </w:pPr>
  </w:style>
  <w:style w:type="paragraph" w:customStyle="1" w:styleId="Majorheading">
    <w:name w:val="Major heading"/>
    <w:basedOn w:val="Normal"/>
    <w:next w:val="PwCNormal"/>
    <w:rsid w:val="003A7FBC"/>
    <w:pPr>
      <w:keepNext/>
      <w:keepLines/>
      <w:kinsoku w:val="0"/>
      <w:overflowPunct w:val="0"/>
      <w:autoSpaceDE w:val="0"/>
      <w:autoSpaceDN w:val="0"/>
      <w:adjustRightInd w:val="0"/>
      <w:snapToGrid w:val="0"/>
      <w:spacing w:before="240" w:after="40" w:line="240" w:lineRule="auto"/>
    </w:pPr>
    <w:rPr>
      <w:rFonts w:asciiTheme="majorHAnsi" w:hAnsiTheme="majorHAnsi"/>
      <w:b/>
      <w:i/>
      <w:snapToGrid w:val="0"/>
      <w:color w:val="00B2A9" w:themeColor="text2"/>
      <w:sz w:val="28"/>
      <w:szCs w:val="24"/>
      <w:lang w:eastAsia="en-US"/>
    </w:rPr>
  </w:style>
  <w:style w:type="numbering" w:customStyle="1" w:styleId="TableBulletNormalList">
    <w:name w:val="Table Bullet Normal List"/>
    <w:rsid w:val="003A7FBC"/>
    <w:pPr>
      <w:numPr>
        <w:numId w:val="18"/>
      </w:numPr>
    </w:pPr>
  </w:style>
  <w:style w:type="paragraph" w:customStyle="1" w:styleId="Disclaimer">
    <w:name w:val="Disclaimer"/>
    <w:basedOn w:val="Normal"/>
    <w:unhideWhenUsed/>
    <w:rsid w:val="003A7FBC"/>
    <w:pPr>
      <w:kinsoku w:val="0"/>
      <w:overflowPunct w:val="0"/>
      <w:autoSpaceDE w:val="0"/>
      <w:autoSpaceDN w:val="0"/>
      <w:adjustRightInd w:val="0"/>
      <w:snapToGrid w:val="0"/>
      <w:spacing w:after="140" w:line="240" w:lineRule="auto"/>
    </w:pPr>
    <w:rPr>
      <w:rFonts w:ascii="Arial" w:hAnsi="Arial"/>
      <w:snapToGrid w:val="0"/>
      <w:sz w:val="15"/>
      <w:lang w:eastAsia="en-US"/>
    </w:rPr>
  </w:style>
  <w:style w:type="paragraph" w:customStyle="1" w:styleId="Footer-LandscapeEven">
    <w:name w:val="Footer - Landscape Even"/>
    <w:basedOn w:val="Footer-Landscape"/>
    <w:rsid w:val="003A7FBC"/>
  </w:style>
  <w:style w:type="paragraph" w:customStyle="1" w:styleId="PwCNormal-Single">
    <w:name w:val="PwC Normal - Single"/>
    <w:basedOn w:val="PwCNormal"/>
    <w:rsid w:val="003A7FBC"/>
    <w:pPr>
      <w:numPr>
        <w:numId w:val="0"/>
      </w:numPr>
      <w:spacing w:after="0"/>
    </w:pPr>
  </w:style>
  <w:style w:type="numbering" w:customStyle="1" w:styleId="TableNumberdListNormal">
    <w:name w:val="Table Numberd List Normal"/>
    <w:uiPriority w:val="99"/>
    <w:rsid w:val="003A7FBC"/>
    <w:pPr>
      <w:numPr>
        <w:numId w:val="26"/>
      </w:numPr>
    </w:pPr>
  </w:style>
  <w:style w:type="numbering" w:customStyle="1" w:styleId="TableNumberedListSmall">
    <w:name w:val="Table Numbered List Small"/>
    <w:uiPriority w:val="99"/>
    <w:rsid w:val="003A7FBC"/>
    <w:pPr>
      <w:numPr>
        <w:numId w:val="28"/>
      </w:numPr>
    </w:pPr>
  </w:style>
  <w:style w:type="paragraph" w:customStyle="1" w:styleId="TableIndent2Normal">
    <w:name w:val="Table Indent 2 Normal"/>
    <w:basedOn w:val="TableIndent1Normal"/>
    <w:rsid w:val="003A7FBC"/>
    <w:pPr>
      <w:ind w:left="567"/>
    </w:pPr>
  </w:style>
  <w:style w:type="paragraph" w:customStyle="1" w:styleId="TableIndent2Small">
    <w:name w:val="Table Indent 2 Small"/>
    <w:basedOn w:val="TableIndent1Small"/>
    <w:rsid w:val="003A7FBC"/>
    <w:pPr>
      <w:ind w:left="567"/>
    </w:pPr>
    <w:rPr>
      <w:szCs w:val="16"/>
    </w:rPr>
  </w:style>
  <w:style w:type="paragraph" w:customStyle="1" w:styleId="KeySentence">
    <w:name w:val="Key Sentence"/>
    <w:basedOn w:val="Normal"/>
    <w:rsid w:val="003A7FBC"/>
    <w:pPr>
      <w:kinsoku w:val="0"/>
      <w:overflowPunct w:val="0"/>
      <w:autoSpaceDE w:val="0"/>
      <w:autoSpaceDN w:val="0"/>
      <w:adjustRightInd w:val="0"/>
      <w:snapToGrid w:val="0"/>
      <w:spacing w:after="160" w:line="260" w:lineRule="atLeast"/>
    </w:pPr>
    <w:rPr>
      <w:rFonts w:ascii="Georgia" w:hAnsi="Georgia"/>
      <w:i/>
      <w:snapToGrid w:val="0"/>
      <w:color w:val="00B2A9" w:themeColor="text2"/>
      <w:sz w:val="16"/>
      <w:szCs w:val="18"/>
      <w:lang w:eastAsia="en-US"/>
    </w:rPr>
  </w:style>
  <w:style w:type="numbering" w:customStyle="1" w:styleId="TableNumberedListS">
    <w:name w:val="Table Numbered List S"/>
    <w:rsid w:val="003A7FBC"/>
  </w:style>
  <w:style w:type="paragraph" w:customStyle="1" w:styleId="PrefaceTitle">
    <w:name w:val="Preface Title"/>
    <w:basedOn w:val="Heading2"/>
    <w:next w:val="PwCNormal"/>
    <w:rsid w:val="003A7FBC"/>
    <w:pPr>
      <w:pageBreakBefore/>
      <w:numPr>
        <w:ilvl w:val="0"/>
        <w:numId w:val="0"/>
      </w:numPr>
      <w:kinsoku w:val="0"/>
      <w:overflowPunct w:val="0"/>
      <w:autoSpaceDE w:val="0"/>
      <w:autoSpaceDN w:val="0"/>
      <w:adjustRightInd w:val="0"/>
      <w:snapToGrid w:val="0"/>
      <w:spacing w:after="480" w:line="600" w:lineRule="atLeast"/>
    </w:pPr>
    <w:rPr>
      <w:rFonts w:asciiTheme="majorHAnsi" w:hAnsiTheme="majorHAnsi"/>
      <w:snapToGrid w:val="0"/>
      <w:color w:val="363534" w:themeColor="text1"/>
      <w:kern w:val="0"/>
      <w:sz w:val="56"/>
      <w:szCs w:val="36"/>
      <w:lang w:eastAsia="en-US"/>
    </w:rPr>
  </w:style>
  <w:style w:type="paragraph" w:customStyle="1" w:styleId="Sources">
    <w:name w:val="Sources"/>
    <w:basedOn w:val="Normal"/>
    <w:next w:val="PwCNormal"/>
    <w:rsid w:val="003A7FBC"/>
    <w:pPr>
      <w:kinsoku w:val="0"/>
      <w:overflowPunct w:val="0"/>
      <w:autoSpaceDE w:val="0"/>
      <w:autoSpaceDN w:val="0"/>
      <w:adjustRightInd w:val="0"/>
      <w:snapToGrid w:val="0"/>
      <w:spacing w:before="80" w:after="240" w:line="180" w:lineRule="atLeast"/>
    </w:pPr>
    <w:rPr>
      <w:rFonts w:ascii="Georgia" w:hAnsi="Georgia"/>
      <w:snapToGrid w:val="0"/>
      <w:color w:val="00B2A9" w:themeColor="text2"/>
      <w:sz w:val="16"/>
      <w:lang w:eastAsia="en-US"/>
    </w:rPr>
  </w:style>
  <w:style w:type="paragraph" w:customStyle="1" w:styleId="Minorheading">
    <w:name w:val="Minor heading"/>
    <w:basedOn w:val="Majorheading"/>
    <w:next w:val="PwCNormal"/>
    <w:rsid w:val="003A7FBC"/>
    <w:pPr>
      <w:spacing w:line="180" w:lineRule="atLeast"/>
    </w:pPr>
    <w:rPr>
      <w:b w:val="0"/>
      <w:sz w:val="26"/>
    </w:rPr>
  </w:style>
  <w:style w:type="paragraph" w:customStyle="1" w:styleId="Minorheading2">
    <w:name w:val="Minor heading 2"/>
    <w:basedOn w:val="Minorheading"/>
    <w:next w:val="PwCNormal"/>
    <w:rsid w:val="003A7FBC"/>
    <w:pPr>
      <w:spacing w:after="120" w:line="240" w:lineRule="auto"/>
    </w:pPr>
    <w:rPr>
      <w:b/>
      <w:i w:val="0"/>
      <w:sz w:val="20"/>
    </w:rPr>
  </w:style>
  <w:style w:type="numbering" w:customStyle="1" w:styleId="PwCListNumbers1">
    <w:name w:val="PwC List Numbers 1"/>
    <w:uiPriority w:val="99"/>
    <w:rsid w:val="003A7FBC"/>
    <w:pPr>
      <w:numPr>
        <w:numId w:val="25"/>
      </w:numPr>
    </w:pPr>
  </w:style>
  <w:style w:type="paragraph" w:customStyle="1" w:styleId="BlockText3">
    <w:name w:val="Block Text 3"/>
    <w:basedOn w:val="BlockText"/>
    <w:qFormat/>
    <w:rsid w:val="003A7FBC"/>
    <w:pPr>
      <w:pBdr>
        <w:top w:val="single" w:sz="8" w:space="10" w:color="D2F1EF" w:themeColor="background2" w:themeShade="F2"/>
        <w:left w:val="single" w:sz="8" w:space="10" w:color="D2F1EF" w:themeColor="background2" w:themeShade="F2"/>
        <w:bottom w:val="single" w:sz="8" w:space="10" w:color="D2F1EF" w:themeColor="background2" w:themeShade="F2"/>
        <w:right w:val="single" w:sz="8" w:space="10" w:color="D2F1EF" w:themeColor="background2" w:themeShade="F2"/>
      </w:pBdr>
      <w:shd w:val="clear" w:color="auto" w:fill="D2F1EF" w:themeFill="background2" w:themeFillShade="F2"/>
      <w:spacing w:after="240" w:line="240" w:lineRule="auto"/>
      <w:ind w:left="227" w:right="227"/>
    </w:pPr>
    <w:rPr>
      <w:rFonts w:ascii="Georgia" w:hAnsi="Georgia"/>
      <w:b/>
      <w:color w:val="00B2A9" w:themeColor="accent1"/>
      <w:sz w:val="96"/>
      <w:lang w:val="en-GB" w:eastAsia="en-US"/>
    </w:rPr>
  </w:style>
  <w:style w:type="paragraph" w:customStyle="1" w:styleId="TableBullet2Normal">
    <w:name w:val="Table Bullet 2 Normal"/>
    <w:basedOn w:val="TableBullet1Normal"/>
    <w:rsid w:val="003A7FBC"/>
    <w:pPr>
      <w:numPr>
        <w:ilvl w:val="1"/>
      </w:numPr>
    </w:pPr>
  </w:style>
  <w:style w:type="paragraph" w:customStyle="1" w:styleId="TableBullet2Small">
    <w:name w:val="Table Bullet 2 Small"/>
    <w:basedOn w:val="TableBullet1Small"/>
    <w:rsid w:val="003A7FBC"/>
    <w:pPr>
      <w:numPr>
        <w:ilvl w:val="1"/>
      </w:numPr>
    </w:pPr>
  </w:style>
  <w:style w:type="paragraph" w:customStyle="1" w:styleId="TableIndent1Normal">
    <w:name w:val="Table Indent 1 Normal"/>
    <w:basedOn w:val="TableBullet1Normal"/>
    <w:rsid w:val="003A7FBC"/>
    <w:pPr>
      <w:numPr>
        <w:numId w:val="0"/>
      </w:numPr>
      <w:ind w:left="284"/>
    </w:pPr>
  </w:style>
  <w:style w:type="paragraph" w:customStyle="1" w:styleId="TableIndent1Small">
    <w:name w:val="Table Indent 1 Small"/>
    <w:basedOn w:val="TableBullet1Small"/>
    <w:rsid w:val="003A7FBC"/>
    <w:pPr>
      <w:numPr>
        <w:numId w:val="0"/>
      </w:numPr>
      <w:ind w:left="284"/>
    </w:pPr>
  </w:style>
  <w:style w:type="paragraph" w:customStyle="1" w:styleId="SubHeading">
    <w:name w:val="Sub Heading"/>
    <w:basedOn w:val="PwCNormal"/>
    <w:rsid w:val="003A7FBC"/>
    <w:pPr>
      <w:spacing w:after="480" w:line="600" w:lineRule="atLeast"/>
    </w:pPr>
    <w:rPr>
      <w:sz w:val="56"/>
    </w:rPr>
  </w:style>
  <w:style w:type="character" w:styleId="EndnoteReference">
    <w:name w:val="endnote reference"/>
    <w:basedOn w:val="DefaultParagraphFont"/>
    <w:semiHidden/>
    <w:unhideWhenUsed/>
    <w:rsid w:val="003A7FBC"/>
    <w:rPr>
      <w:rFonts w:ascii="Arial" w:hAnsi="Arial" w:cs="Arial"/>
      <w:sz w:val="21"/>
      <w:vertAlign w:val="superscript"/>
    </w:rPr>
  </w:style>
  <w:style w:type="paragraph" w:styleId="EndnoteText">
    <w:name w:val="endnote text"/>
    <w:basedOn w:val="FootnoteText"/>
    <w:link w:val="EndnoteTextChar"/>
    <w:semiHidden/>
    <w:unhideWhenUsed/>
    <w:rsid w:val="003A7FBC"/>
    <w:pPr>
      <w:kinsoku w:val="0"/>
      <w:overflowPunct w:val="0"/>
      <w:autoSpaceDE w:val="0"/>
      <w:autoSpaceDN w:val="0"/>
      <w:adjustRightInd w:val="0"/>
      <w:snapToGrid w:val="0"/>
      <w:spacing w:before="80" w:after="80" w:line="240" w:lineRule="auto"/>
      <w:ind w:left="227" w:hanging="227"/>
    </w:pPr>
    <w:rPr>
      <w:rFonts w:ascii="Georgia" w:hAnsi="Georgia"/>
      <w:snapToGrid w:val="0"/>
      <w:kern w:val="0"/>
      <w:lang w:eastAsia="en-US"/>
    </w:rPr>
  </w:style>
  <w:style w:type="character" w:customStyle="1" w:styleId="EndnoteTextChar">
    <w:name w:val="Endnote Text Char"/>
    <w:basedOn w:val="DefaultParagraphFont"/>
    <w:link w:val="EndnoteText"/>
    <w:semiHidden/>
    <w:rsid w:val="003A7FBC"/>
    <w:rPr>
      <w:rFonts w:ascii="Georgia" w:hAnsi="Georgia"/>
      <w:snapToGrid w:val="0"/>
      <w:color w:val="auto"/>
      <w:sz w:val="14"/>
      <w:lang w:eastAsia="en-US"/>
    </w:rPr>
  </w:style>
  <w:style w:type="paragraph" w:customStyle="1" w:styleId="Address">
    <w:name w:val="Address"/>
    <w:basedOn w:val="Normal"/>
    <w:qFormat/>
    <w:rsid w:val="003A7FBC"/>
    <w:pPr>
      <w:spacing w:line="200" w:lineRule="atLeast"/>
    </w:pPr>
    <w:rPr>
      <w:rFonts w:ascii="Georgia" w:eastAsiaTheme="minorHAnsi" w:hAnsi="Georgia" w:cstheme="minorBidi"/>
      <w:i/>
      <w:noProof/>
      <w:sz w:val="18"/>
      <w:szCs w:val="22"/>
      <w:lang w:val="en-GB" w:eastAsia="en-GB"/>
    </w:rPr>
  </w:style>
  <w:style w:type="paragraph" w:styleId="TOC9">
    <w:name w:val="toc 9"/>
    <w:basedOn w:val="TOC8"/>
    <w:next w:val="PwCNormal"/>
    <w:uiPriority w:val="39"/>
    <w:rsid w:val="003A7FBC"/>
    <w:pPr>
      <w:tabs>
        <w:tab w:val="clear" w:pos="9582"/>
        <w:tab w:val="left" w:pos="4253"/>
        <w:tab w:val="right" w:pos="8220"/>
      </w:tabs>
      <w:kinsoku w:val="0"/>
      <w:overflowPunct w:val="0"/>
      <w:autoSpaceDE w:val="0"/>
      <w:autoSpaceDN w:val="0"/>
      <w:adjustRightInd w:val="0"/>
      <w:snapToGrid w:val="0"/>
      <w:spacing w:before="240" w:after="240"/>
      <w:ind w:left="4253" w:hanging="851"/>
    </w:pPr>
    <w:rPr>
      <w:rFonts w:ascii="Georgia" w:hAnsi="Georgia"/>
      <w:b w:val="0"/>
      <w:snapToGrid w:val="0"/>
      <w:color w:val="auto"/>
      <w:lang w:eastAsia="en-US"/>
    </w:rPr>
  </w:style>
  <w:style w:type="paragraph" w:customStyle="1" w:styleId="Separator">
    <w:name w:val="Separator"/>
    <w:basedOn w:val="Normal"/>
    <w:semiHidden/>
    <w:rsid w:val="003A7FBC"/>
    <w:pPr>
      <w:kinsoku w:val="0"/>
      <w:overflowPunct w:val="0"/>
      <w:autoSpaceDE w:val="0"/>
      <w:autoSpaceDN w:val="0"/>
      <w:adjustRightInd w:val="0"/>
      <w:snapToGrid w:val="0"/>
      <w:spacing w:before="240" w:after="120" w:line="240" w:lineRule="auto"/>
    </w:pPr>
    <w:rPr>
      <w:rFonts w:ascii="Georgia" w:hAnsi="Georgia"/>
      <w:snapToGrid w:val="0"/>
      <w:sz w:val="16"/>
      <w:lang w:eastAsia="en-US"/>
    </w:rPr>
  </w:style>
  <w:style w:type="numbering" w:customStyle="1" w:styleId="TableNumberedListN">
    <w:name w:val="Table Numbered List N"/>
    <w:rsid w:val="003A7FBC"/>
  </w:style>
  <w:style w:type="paragraph" w:customStyle="1" w:styleId="TableColumnHeadingNormal">
    <w:name w:val="Table Column Heading Normal"/>
    <w:basedOn w:val="TableTextNormal"/>
    <w:rsid w:val="003A7FBC"/>
    <w:pPr>
      <w:keepNext/>
      <w:keepLines/>
    </w:pPr>
    <w:rPr>
      <w:b/>
      <w:color w:val="00B2A9" w:themeColor="text2"/>
    </w:rPr>
  </w:style>
  <w:style w:type="paragraph" w:customStyle="1" w:styleId="Tablecolumnhead">
    <w:name w:val="Table column head"/>
    <w:basedOn w:val="TableTextSmall"/>
    <w:next w:val="TableTextSmall"/>
    <w:rsid w:val="00414B82"/>
    <w:pPr>
      <w:keepNext/>
      <w:keepLines/>
    </w:pPr>
    <w:rPr>
      <w:b/>
      <w:color w:val="FFFFFF" w:themeColor="background1"/>
      <w:sz w:val="20"/>
      <w:szCs w:val="16"/>
    </w:rPr>
  </w:style>
  <w:style w:type="numbering" w:customStyle="1" w:styleId="TableBulletSmallList">
    <w:name w:val="Table Bullet Small List"/>
    <w:rsid w:val="003A7FBC"/>
    <w:pPr>
      <w:numPr>
        <w:numId w:val="17"/>
      </w:numPr>
    </w:pPr>
  </w:style>
  <w:style w:type="paragraph" w:customStyle="1" w:styleId="Header-Landscape">
    <w:name w:val="Header - Landscape"/>
    <w:basedOn w:val="Header"/>
    <w:rsid w:val="003A7FBC"/>
    <w:pPr>
      <w:tabs>
        <w:tab w:val="right" w:pos="8220"/>
      </w:tabs>
      <w:kinsoku w:val="0"/>
      <w:overflowPunct w:val="0"/>
      <w:autoSpaceDE w:val="0"/>
      <w:autoSpaceDN w:val="0"/>
      <w:adjustRightInd w:val="0"/>
      <w:snapToGrid w:val="0"/>
    </w:pPr>
    <w:rPr>
      <w:rFonts w:ascii="Arial" w:hAnsi="Arial"/>
      <w:snapToGrid w:val="0"/>
      <w:sz w:val="19"/>
      <w:szCs w:val="18"/>
      <w:lang w:eastAsia="en-US"/>
    </w:rPr>
  </w:style>
  <w:style w:type="paragraph" w:customStyle="1" w:styleId="Indent8">
    <w:name w:val="Indent 8"/>
    <w:basedOn w:val="Indent7"/>
    <w:rsid w:val="003A7FBC"/>
    <w:pPr>
      <w:numPr>
        <w:ilvl w:val="8"/>
      </w:numPr>
    </w:pPr>
  </w:style>
  <w:style w:type="paragraph" w:customStyle="1" w:styleId="Header-LandscapeEven">
    <w:name w:val="Header - Landscape Even"/>
    <w:basedOn w:val="Header-Landscape"/>
    <w:rsid w:val="003A7FBC"/>
    <w:pPr>
      <w:tabs>
        <w:tab w:val="right" w:pos="14661"/>
      </w:tabs>
    </w:pPr>
  </w:style>
  <w:style w:type="paragraph" w:customStyle="1" w:styleId="Footer-ToC">
    <w:name w:val="Footer - ToC"/>
    <w:basedOn w:val="Footer"/>
    <w:rsid w:val="003A7FBC"/>
    <w:pPr>
      <w:tabs>
        <w:tab w:val="right" w:pos="8220"/>
      </w:tabs>
      <w:kinsoku w:val="0"/>
      <w:overflowPunct w:val="0"/>
      <w:autoSpaceDE w:val="0"/>
      <w:autoSpaceDN w:val="0"/>
      <w:adjustRightInd w:val="0"/>
      <w:snapToGrid w:val="0"/>
      <w:spacing w:line="0" w:lineRule="atLeast"/>
    </w:pPr>
    <w:rPr>
      <w:rFonts w:ascii="Arial" w:hAnsi="Arial"/>
      <w:snapToGrid w:val="0"/>
      <w:sz w:val="19"/>
      <w:szCs w:val="18"/>
      <w:lang w:eastAsia="en-US"/>
    </w:rPr>
  </w:style>
  <w:style w:type="paragraph" w:customStyle="1" w:styleId="Footer-ToCEven">
    <w:name w:val="Footer - ToC Even"/>
    <w:basedOn w:val="Footer-ToC"/>
    <w:rsid w:val="003A7FBC"/>
  </w:style>
  <w:style w:type="table" w:customStyle="1" w:styleId="Tables-APBase">
    <w:name w:val="Tables - AP Base"/>
    <w:basedOn w:val="TableNormal"/>
    <w:rsid w:val="003A7FBC"/>
    <w:pPr>
      <w:spacing w:line="240" w:lineRule="auto"/>
    </w:pPr>
    <w:rPr>
      <w:rFonts w:ascii="Georgia" w:hAnsi="Georgia" w:cs="Times New Roman"/>
      <w:color w:val="auto"/>
    </w:rPr>
    <w:tblPr>
      <w:tblStyleRowBandSize w:val="1"/>
      <w:tblStyleColBandSize w:val="1"/>
      <w:tblBorders>
        <w:top w:val="single" w:sz="4" w:space="0" w:color="FFFFFF"/>
        <w:left w:val="single" w:sz="4" w:space="0" w:color="FFFFFF"/>
        <w:bottom w:val="single" w:sz="6" w:space="0" w:color="00B2A9" w:themeColor="text2"/>
        <w:right w:val="single" w:sz="4" w:space="0" w:color="FFFFFF"/>
        <w:insideH w:val="dotted" w:sz="8" w:space="0" w:color="00B2A9" w:themeColor="text2"/>
        <w:insideV w:val="single" w:sz="4" w:space="0" w:color="FFFFFF"/>
      </w:tblBorders>
    </w:tblPr>
    <w:tcPr>
      <w:shd w:val="clear" w:color="auto" w:fill="auto"/>
      <w:tcMar>
        <w:top w:w="0" w:type="dxa"/>
        <w:left w:w="108" w:type="dxa"/>
        <w:bottom w:w="0" w:type="dxa"/>
        <w:right w:w="108" w:type="dxa"/>
      </w:tcMar>
    </w:tcPr>
    <w:tblStylePr w:type="firstRow">
      <w:pPr>
        <w:jc w:val="center"/>
      </w:pPr>
      <w:rPr>
        <w:rFonts w:ascii="Georgia" w:hAnsi="Georgia"/>
        <w:b w:val="0"/>
        <w:color w:val="auto"/>
      </w:rPr>
      <w:tblPr/>
      <w:trPr>
        <w:tblHeader/>
      </w:trPr>
      <w:tcPr>
        <w:tcBorders>
          <w:top w:val="single" w:sz="4" w:space="0" w:color="00B2A9" w:themeColor="text2"/>
          <w:bottom w:val="single" w:sz="4" w:space="0" w:color="00B2A9" w:themeColor="text2"/>
        </w:tcBorders>
      </w:tcPr>
    </w:tblStylePr>
    <w:tblStylePr w:type="lastRow">
      <w:rPr>
        <w:color w:val="auto"/>
      </w:rPr>
      <w:tblPr/>
      <w:tcPr>
        <w:tcBorders>
          <w:top w:val="single" w:sz="4" w:space="0" w:color="00B2A9" w:themeColor="text2"/>
        </w:tcBorders>
        <w:shd w:val="clear" w:color="auto" w:fill="auto"/>
      </w:tcPr>
    </w:tblStylePr>
    <w:tblStylePr w:type="nwCell">
      <w:pPr>
        <w:jc w:val="left"/>
      </w:pPr>
      <w:tblPr/>
      <w:tcPr>
        <w:vAlign w:val="bottom"/>
      </w:tcPr>
    </w:tblStylePr>
  </w:style>
  <w:style w:type="paragraph" w:customStyle="1" w:styleId="CVRoleTitle">
    <w:name w:val="CV Role Title"/>
    <w:basedOn w:val="CVText"/>
    <w:rsid w:val="003A7FBC"/>
  </w:style>
  <w:style w:type="paragraph" w:customStyle="1" w:styleId="ListBullet1">
    <w:name w:val="List Bullet 1"/>
    <w:basedOn w:val="Normal"/>
    <w:semiHidden/>
    <w:locked/>
    <w:rsid w:val="003A7FBC"/>
    <w:pPr>
      <w:tabs>
        <w:tab w:val="num" w:pos="720"/>
      </w:tabs>
      <w:kinsoku w:val="0"/>
      <w:overflowPunct w:val="0"/>
      <w:autoSpaceDE w:val="0"/>
      <w:autoSpaceDN w:val="0"/>
      <w:adjustRightInd w:val="0"/>
      <w:snapToGrid w:val="0"/>
      <w:spacing w:before="100" w:after="100" w:line="240" w:lineRule="auto"/>
      <w:ind w:left="720" w:hanging="720"/>
    </w:pPr>
    <w:rPr>
      <w:rFonts w:ascii="Georgia" w:hAnsi="Georgia"/>
      <w:snapToGrid w:val="0"/>
      <w:lang w:eastAsia="en-US"/>
    </w:rPr>
  </w:style>
  <w:style w:type="paragraph" w:styleId="ListBullet4">
    <w:name w:val="List Bullet 4"/>
    <w:basedOn w:val="ListBullet3"/>
    <w:unhideWhenUsed/>
    <w:rsid w:val="003A7FBC"/>
    <w:pPr>
      <w:numPr>
        <w:ilvl w:val="0"/>
        <w:numId w:val="0"/>
      </w:numPr>
      <w:tabs>
        <w:tab w:val="num" w:pos="1134"/>
      </w:tabs>
      <w:kinsoku w:val="0"/>
      <w:overflowPunct w:val="0"/>
      <w:autoSpaceDE w:val="0"/>
      <w:autoSpaceDN w:val="0"/>
      <w:adjustRightInd w:val="0"/>
      <w:snapToGrid w:val="0"/>
      <w:spacing w:line="240" w:lineRule="auto"/>
      <w:ind w:left="1136" w:hanging="284"/>
    </w:pPr>
    <w:rPr>
      <w:rFonts w:ascii="Georgia" w:hAnsi="Georgia"/>
      <w:snapToGrid w:val="0"/>
      <w:lang w:eastAsia="en-US"/>
    </w:rPr>
  </w:style>
  <w:style w:type="paragraph" w:customStyle="1" w:styleId="CVBullet1">
    <w:name w:val="CV Bullet 1"/>
    <w:basedOn w:val="CVText"/>
    <w:rsid w:val="003A7FBC"/>
    <w:pPr>
      <w:numPr>
        <w:numId w:val="22"/>
      </w:numPr>
      <w:ind w:left="0" w:firstLine="0"/>
    </w:pPr>
  </w:style>
  <w:style w:type="paragraph" w:customStyle="1" w:styleId="CVDetails">
    <w:name w:val="CV Details"/>
    <w:basedOn w:val="CVRoleTitle"/>
    <w:rsid w:val="003A7FBC"/>
    <w:pPr>
      <w:pBdr>
        <w:bottom w:val="none" w:sz="0" w:space="0" w:color="00457C"/>
      </w:pBdr>
      <w:spacing w:before="120" w:after="40"/>
    </w:pPr>
    <w:rPr>
      <w:i/>
      <w:color w:val="00B2A9" w:themeColor="text2"/>
      <w:sz w:val="14"/>
      <w:szCs w:val="24"/>
    </w:rPr>
  </w:style>
  <w:style w:type="paragraph" w:customStyle="1" w:styleId="CVHeading2">
    <w:name w:val="CV Heading 2"/>
    <w:basedOn w:val="CVHeading1"/>
    <w:next w:val="CVText"/>
    <w:rsid w:val="003A7FBC"/>
    <w:pPr>
      <w:keepNext/>
      <w:keepLines/>
      <w:pBdr>
        <w:bottom w:val="none" w:sz="0" w:space="0" w:color="00457C"/>
      </w:pBdr>
      <w:spacing w:before="120"/>
    </w:pPr>
    <w:rPr>
      <w:i/>
      <w:color w:val="00B2A9" w:themeColor="text2"/>
      <w:sz w:val="18"/>
      <w:szCs w:val="24"/>
    </w:rPr>
  </w:style>
  <w:style w:type="paragraph" w:customStyle="1" w:styleId="CVHeading1">
    <w:name w:val="CV Heading 1"/>
    <w:basedOn w:val="CVText"/>
    <w:next w:val="CVText"/>
    <w:rsid w:val="003A7FBC"/>
  </w:style>
  <w:style w:type="paragraph" w:customStyle="1" w:styleId="CVPhoto">
    <w:name w:val="CV Photo"/>
    <w:basedOn w:val="CVHeading2"/>
    <w:rsid w:val="003A7FBC"/>
    <w:rPr>
      <w:sz w:val="21"/>
    </w:rPr>
  </w:style>
  <w:style w:type="paragraph" w:customStyle="1" w:styleId="CVText">
    <w:name w:val="CV Text"/>
    <w:basedOn w:val="PwCNormal"/>
    <w:rsid w:val="003A7FBC"/>
    <w:pPr>
      <w:numPr>
        <w:numId w:val="0"/>
      </w:numPr>
      <w:spacing w:before="80" w:after="80"/>
    </w:pPr>
  </w:style>
  <w:style w:type="paragraph" w:customStyle="1" w:styleId="CVNamelarge">
    <w:name w:val="CV Name large"/>
    <w:basedOn w:val="CVText"/>
    <w:next w:val="CVRoleTitle"/>
    <w:rsid w:val="003A7FBC"/>
  </w:style>
  <w:style w:type="paragraph" w:customStyle="1" w:styleId="CVBullet2">
    <w:name w:val="CV Bullet 2"/>
    <w:basedOn w:val="CVBullet1"/>
    <w:rsid w:val="003A7FBC"/>
    <w:pPr>
      <w:numPr>
        <w:ilvl w:val="1"/>
      </w:numPr>
      <w:tabs>
        <w:tab w:val="num" w:pos="567"/>
      </w:tabs>
      <w:ind w:left="0" w:firstLine="0"/>
    </w:pPr>
  </w:style>
  <w:style w:type="numbering" w:customStyle="1" w:styleId="Style1">
    <w:name w:val="Style1"/>
    <w:uiPriority w:val="99"/>
    <w:rsid w:val="003A7FBC"/>
    <w:pPr>
      <w:numPr>
        <w:numId w:val="34"/>
      </w:numPr>
    </w:pPr>
  </w:style>
  <w:style w:type="numbering" w:customStyle="1" w:styleId="IndentList">
    <w:name w:val="IndentList"/>
    <w:basedOn w:val="NoList"/>
    <w:rsid w:val="003A7FBC"/>
    <w:pPr>
      <w:numPr>
        <w:numId w:val="39"/>
      </w:numPr>
    </w:pPr>
  </w:style>
  <w:style w:type="paragraph" w:customStyle="1" w:styleId="VersionControl">
    <w:name w:val="Version Control"/>
    <w:basedOn w:val="TOCtitle"/>
    <w:unhideWhenUsed/>
    <w:rsid w:val="003A7FBC"/>
    <w:pPr>
      <w:pageBreakBefore w:val="0"/>
      <w:framePr w:w="9923" w:wrap="around" w:vAnchor="text" w:hAnchor="page" w:x="1498" w:y="1"/>
      <w:spacing w:before="360" w:after="240"/>
    </w:pPr>
    <w:rPr>
      <w:sz w:val="28"/>
    </w:rPr>
  </w:style>
  <w:style w:type="paragraph" w:customStyle="1" w:styleId="VersionTableHeading">
    <w:name w:val="Version Table Heading"/>
    <w:basedOn w:val="VersionTableText"/>
    <w:unhideWhenUsed/>
    <w:rsid w:val="003A7FBC"/>
    <w:pPr>
      <w:framePr w:wrap="around"/>
    </w:pPr>
  </w:style>
  <w:style w:type="paragraph" w:customStyle="1" w:styleId="VersionTableText">
    <w:name w:val="Version Table Text"/>
    <w:basedOn w:val="VersionControl"/>
    <w:unhideWhenUsed/>
    <w:rsid w:val="003A7FBC"/>
    <w:pPr>
      <w:framePr w:wrap="around"/>
      <w:spacing w:before="80" w:after="80" w:line="240" w:lineRule="auto"/>
      <w:outlineLvl w:val="9"/>
    </w:pPr>
    <w:rPr>
      <w:rFonts w:ascii="Georgia" w:hAnsi="Georgia"/>
      <w:sz w:val="21"/>
      <w:szCs w:val="20"/>
    </w:rPr>
  </w:style>
  <w:style w:type="table" w:customStyle="1" w:styleId="Tables-APBase2">
    <w:name w:val="Tables - AP Base 2"/>
    <w:basedOn w:val="Tables-APBase"/>
    <w:uiPriority w:val="99"/>
    <w:qFormat/>
    <w:rsid w:val="003A7FBC"/>
    <w:tblPr/>
    <w:tcPr>
      <w:shd w:val="clear" w:color="auto" w:fill="auto"/>
    </w:tcPr>
    <w:tblStylePr w:type="firstRow">
      <w:pPr>
        <w:jc w:val="center"/>
      </w:pPr>
      <w:rPr>
        <w:rFonts w:asciiTheme="minorHAnsi" w:hAnsiTheme="minorHAnsi"/>
        <w:b/>
        <w:color w:val="E5F7F6" w:themeColor="background2"/>
      </w:rPr>
      <w:tblPr/>
      <w:trPr>
        <w:tblHeader/>
      </w:trPr>
      <w:tcPr>
        <w:tcBorders>
          <w:top w:val="single" w:sz="4" w:space="0" w:color="00B2A9" w:themeColor="text2"/>
          <w:bottom w:val="single" w:sz="4" w:space="0" w:color="00B2A9" w:themeColor="text2"/>
        </w:tcBorders>
        <w:shd w:val="clear" w:color="auto" w:fill="00B2A9" w:themeFill="text2"/>
        <w:vAlign w:val="bottom"/>
      </w:tcPr>
    </w:tblStylePr>
    <w:tblStylePr w:type="lastRow">
      <w:rPr>
        <w:color w:val="FFFFFF" w:themeColor="background1"/>
      </w:rPr>
      <w:tblPr/>
      <w:tcPr>
        <w:tcBorders>
          <w:top w:val="single" w:sz="4" w:space="0" w:color="00B2A9" w:themeColor="text2"/>
        </w:tcBorders>
        <w:shd w:val="clear" w:color="auto" w:fill="00B2A9" w:themeFill="text2"/>
      </w:tcPr>
    </w:tblStylePr>
    <w:tblStylePr w:type="firstCol">
      <w:tblPr/>
      <w:tcPr>
        <w:shd w:val="clear" w:color="auto" w:fill="E5F7F6" w:themeFill="background2"/>
      </w:tcPr>
    </w:tblStylePr>
    <w:tblStylePr w:type="lastCol">
      <w:tblPr/>
      <w:tcPr>
        <w:shd w:val="clear" w:color="auto" w:fill="E5F7F6" w:themeFill="background2"/>
      </w:tcPr>
    </w:tblStylePr>
    <w:tblStylePr w:type="band2Vert">
      <w:tblPr/>
      <w:tcPr>
        <w:shd w:val="clear" w:color="auto" w:fill="BCFFFB" w:themeFill="text2" w:themeFillTint="33"/>
      </w:tcPr>
    </w:tblStylePr>
    <w:tblStylePr w:type="band2Horz">
      <w:tblPr/>
      <w:tcPr>
        <w:shd w:val="clear" w:color="auto" w:fill="BCFFFB" w:themeFill="text2" w:themeFillTint="33"/>
      </w:tcPr>
    </w:tblStylePr>
    <w:tblStylePr w:type="nwCell">
      <w:pPr>
        <w:jc w:val="left"/>
      </w:pPr>
      <w:tblPr/>
      <w:tcPr>
        <w:shd w:val="clear" w:color="auto" w:fill="FFFFFF" w:themeFill="background1"/>
        <w:vAlign w:val="bottom"/>
      </w:tcPr>
    </w:tblStylePr>
  </w:style>
  <w:style w:type="paragraph" w:customStyle="1" w:styleId="Header-FirstPage">
    <w:name w:val="Header - First Page"/>
    <w:basedOn w:val="Header"/>
    <w:rsid w:val="003A7FBC"/>
    <w:pPr>
      <w:tabs>
        <w:tab w:val="right" w:pos="8220"/>
      </w:tabs>
      <w:kinsoku w:val="0"/>
      <w:overflowPunct w:val="0"/>
      <w:autoSpaceDE w:val="0"/>
      <w:autoSpaceDN w:val="0"/>
      <w:adjustRightInd w:val="0"/>
      <w:snapToGrid w:val="0"/>
    </w:pPr>
    <w:rPr>
      <w:rFonts w:ascii="Arial" w:hAnsi="Arial"/>
      <w:snapToGrid w:val="0"/>
      <w:sz w:val="19"/>
      <w:szCs w:val="18"/>
      <w:lang w:eastAsia="en-US"/>
    </w:rPr>
  </w:style>
  <w:style w:type="paragraph" w:customStyle="1" w:styleId="Appendicestitle">
    <w:name w:val="Appendices title"/>
    <w:basedOn w:val="TOCtitle"/>
    <w:qFormat/>
    <w:rsid w:val="003A7FBC"/>
    <w:pPr>
      <w:pageBreakBefore w:val="0"/>
    </w:pPr>
  </w:style>
  <w:style w:type="numbering" w:customStyle="1" w:styleId="CVBullets">
    <w:name w:val="CV Bullets"/>
    <w:uiPriority w:val="99"/>
    <w:rsid w:val="003A7FBC"/>
    <w:pPr>
      <w:numPr>
        <w:numId w:val="21"/>
      </w:numPr>
    </w:pPr>
  </w:style>
  <w:style w:type="paragraph" w:styleId="DocumentMap">
    <w:name w:val="Document Map"/>
    <w:basedOn w:val="Normal"/>
    <w:link w:val="DocumentMapChar"/>
    <w:semiHidden/>
    <w:rsid w:val="003A7FBC"/>
    <w:pPr>
      <w:kinsoku w:val="0"/>
      <w:overflowPunct w:val="0"/>
      <w:autoSpaceDE w:val="0"/>
      <w:autoSpaceDN w:val="0"/>
      <w:adjustRightInd w:val="0"/>
      <w:snapToGrid w:val="0"/>
      <w:spacing w:line="240" w:lineRule="auto"/>
    </w:pPr>
    <w:rPr>
      <w:rFonts w:ascii="Tahoma" w:hAnsi="Tahoma" w:cs="Tahoma"/>
      <w:snapToGrid w:val="0"/>
      <w:sz w:val="16"/>
      <w:szCs w:val="16"/>
      <w:lang w:eastAsia="en-US"/>
    </w:rPr>
  </w:style>
  <w:style w:type="character" w:customStyle="1" w:styleId="DocumentMapChar">
    <w:name w:val="Document Map Char"/>
    <w:basedOn w:val="DefaultParagraphFont"/>
    <w:link w:val="DocumentMap"/>
    <w:semiHidden/>
    <w:rsid w:val="003A7FBC"/>
    <w:rPr>
      <w:rFonts w:ascii="Tahoma" w:hAnsi="Tahoma" w:cs="Tahoma"/>
      <w:snapToGrid w:val="0"/>
      <w:color w:val="auto"/>
      <w:sz w:val="16"/>
      <w:szCs w:val="16"/>
      <w:lang w:eastAsia="en-US"/>
    </w:rPr>
  </w:style>
  <w:style w:type="table" w:styleId="TableGrid2">
    <w:name w:val="Table Grid 2"/>
    <w:basedOn w:val="TableNormal"/>
    <w:semiHidden/>
    <w:rsid w:val="003A7FBC"/>
    <w:pPr>
      <w:kinsoku w:val="0"/>
      <w:overflowPunct w:val="0"/>
      <w:autoSpaceDE w:val="0"/>
      <w:autoSpaceDN w:val="0"/>
      <w:adjustRightInd w:val="0"/>
      <w:snapToGrid w:val="0"/>
      <w:spacing w:line="240" w:lineRule="auto"/>
    </w:pPr>
    <w:rPr>
      <w:rFonts w:ascii="Georgia" w:hAnsi="Georgia" w:cs="Times New Roman"/>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3A7FBC"/>
    <w:pPr>
      <w:kinsoku w:val="0"/>
      <w:overflowPunct w:val="0"/>
      <w:autoSpaceDE w:val="0"/>
      <w:autoSpaceDN w:val="0"/>
      <w:adjustRightInd w:val="0"/>
      <w:snapToGrid w:val="0"/>
      <w:spacing w:line="240" w:lineRule="auto"/>
    </w:pPr>
    <w:rPr>
      <w:rFonts w:ascii="Georgia" w:hAnsi="Georgia" w:cs="Times New Roman"/>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3A7FBC"/>
    <w:pPr>
      <w:kinsoku w:val="0"/>
      <w:overflowPunct w:val="0"/>
      <w:autoSpaceDE w:val="0"/>
      <w:autoSpaceDN w:val="0"/>
      <w:adjustRightInd w:val="0"/>
      <w:snapToGrid w:val="0"/>
      <w:spacing w:line="240" w:lineRule="auto"/>
    </w:pPr>
    <w:rPr>
      <w:rFonts w:ascii="Georgia" w:hAnsi="Georgia" w:cs="Times New Roman"/>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3A7FBC"/>
    <w:pPr>
      <w:kinsoku w:val="0"/>
      <w:overflowPunct w:val="0"/>
      <w:autoSpaceDE w:val="0"/>
      <w:autoSpaceDN w:val="0"/>
      <w:adjustRightInd w:val="0"/>
      <w:snapToGrid w:val="0"/>
      <w:spacing w:line="240" w:lineRule="auto"/>
    </w:pPr>
    <w:rPr>
      <w:rFonts w:ascii="Georgia" w:hAnsi="Georgia" w:cs="Times New Roman"/>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3A7FBC"/>
    <w:pPr>
      <w:kinsoku w:val="0"/>
      <w:overflowPunct w:val="0"/>
      <w:autoSpaceDE w:val="0"/>
      <w:autoSpaceDN w:val="0"/>
      <w:adjustRightInd w:val="0"/>
      <w:snapToGrid w:val="0"/>
      <w:spacing w:line="240" w:lineRule="auto"/>
    </w:pPr>
    <w:rPr>
      <w:rFonts w:ascii="Georgia" w:hAnsi="Georgia" w:cs="Times New Roman"/>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3A7FBC"/>
    <w:pPr>
      <w:kinsoku w:val="0"/>
      <w:overflowPunct w:val="0"/>
      <w:autoSpaceDE w:val="0"/>
      <w:autoSpaceDN w:val="0"/>
      <w:adjustRightInd w:val="0"/>
      <w:snapToGrid w:val="0"/>
      <w:spacing w:line="240" w:lineRule="auto"/>
    </w:pPr>
    <w:rPr>
      <w:rFonts w:ascii="Georgia" w:hAnsi="Georgia" w:cs="Times New Roman"/>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3A7FBC"/>
    <w:pPr>
      <w:kinsoku w:val="0"/>
      <w:overflowPunct w:val="0"/>
      <w:autoSpaceDE w:val="0"/>
      <w:autoSpaceDN w:val="0"/>
      <w:adjustRightInd w:val="0"/>
      <w:snapToGrid w:val="0"/>
      <w:spacing w:line="240" w:lineRule="auto"/>
    </w:pPr>
    <w:rPr>
      <w:rFonts w:ascii="Georgia" w:hAnsi="Georgia" w:cs="Times New Roman"/>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3Deffects1">
    <w:name w:val="Table 3D effects 1"/>
    <w:basedOn w:val="TableNormal"/>
    <w:rsid w:val="003A7FBC"/>
    <w:pPr>
      <w:kinsoku w:val="0"/>
      <w:overflowPunct w:val="0"/>
      <w:autoSpaceDE w:val="0"/>
      <w:autoSpaceDN w:val="0"/>
      <w:adjustRightInd w:val="0"/>
      <w:snapToGrid w:val="0"/>
      <w:spacing w:line="240" w:lineRule="auto"/>
    </w:pPr>
    <w:rPr>
      <w:rFonts w:ascii="Georgia" w:hAnsi="Georgia" w:cs="Times New Roman"/>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Theme">
    <w:name w:val="Table Theme"/>
    <w:basedOn w:val="TableNormal"/>
    <w:semiHidden/>
    <w:rsid w:val="003A7FBC"/>
    <w:pPr>
      <w:kinsoku w:val="0"/>
      <w:overflowPunct w:val="0"/>
      <w:autoSpaceDE w:val="0"/>
      <w:autoSpaceDN w:val="0"/>
      <w:adjustRightInd w:val="0"/>
      <w:snapToGrid w:val="0"/>
      <w:spacing w:line="240" w:lineRule="auto"/>
    </w:pPr>
    <w:rPr>
      <w:rFonts w:ascii="Georgia" w:hAnsi="Georgia" w:cs="Times New Roman"/>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croText">
    <w:name w:val="macro"/>
    <w:link w:val="MacroTextChar"/>
    <w:unhideWhenUsed/>
    <w:rsid w:val="003A7FBC"/>
    <w:pPr>
      <w:tabs>
        <w:tab w:val="left" w:pos="567"/>
        <w:tab w:val="left" w:pos="1134"/>
        <w:tab w:val="left" w:pos="1701"/>
        <w:tab w:val="left" w:pos="2268"/>
        <w:tab w:val="left" w:pos="2835"/>
        <w:tab w:val="left" w:pos="3402"/>
        <w:tab w:val="left" w:pos="3969"/>
      </w:tabs>
      <w:kinsoku w:val="0"/>
      <w:overflowPunct w:val="0"/>
      <w:autoSpaceDE w:val="0"/>
      <w:autoSpaceDN w:val="0"/>
      <w:adjustRightInd w:val="0"/>
      <w:snapToGrid w:val="0"/>
      <w:spacing w:line="240" w:lineRule="auto"/>
    </w:pPr>
    <w:rPr>
      <w:rFonts w:ascii="Consolas" w:hAnsi="Consolas"/>
      <w:snapToGrid w:val="0"/>
      <w:color w:val="auto"/>
      <w:lang w:eastAsia="en-US"/>
    </w:rPr>
  </w:style>
  <w:style w:type="character" w:customStyle="1" w:styleId="MacroTextChar">
    <w:name w:val="Macro Text Char"/>
    <w:basedOn w:val="DefaultParagraphFont"/>
    <w:link w:val="MacroText"/>
    <w:rsid w:val="003A7FBC"/>
    <w:rPr>
      <w:rFonts w:ascii="Consolas" w:hAnsi="Consolas"/>
      <w:snapToGrid w:val="0"/>
      <w:color w:val="auto"/>
      <w:lang w:eastAsia="en-US"/>
    </w:rPr>
  </w:style>
  <w:style w:type="paragraph" w:styleId="Bibliography">
    <w:name w:val="Bibliography"/>
    <w:basedOn w:val="Normal"/>
    <w:next w:val="Normal"/>
    <w:uiPriority w:val="37"/>
    <w:semiHidden/>
    <w:rsid w:val="003A7FBC"/>
    <w:pPr>
      <w:kinsoku w:val="0"/>
      <w:overflowPunct w:val="0"/>
      <w:autoSpaceDE w:val="0"/>
      <w:autoSpaceDN w:val="0"/>
      <w:adjustRightInd w:val="0"/>
      <w:snapToGrid w:val="0"/>
      <w:spacing w:line="240" w:lineRule="auto"/>
    </w:pPr>
    <w:rPr>
      <w:rFonts w:ascii="Georgia" w:hAnsi="Georgia"/>
      <w:snapToGrid w:val="0"/>
      <w:lang w:eastAsia="en-US"/>
    </w:rPr>
  </w:style>
  <w:style w:type="paragraph" w:styleId="BodyText2">
    <w:name w:val="Body Text 2"/>
    <w:basedOn w:val="Normal"/>
    <w:link w:val="BodyText2Char"/>
    <w:semiHidden/>
    <w:rsid w:val="003A7FBC"/>
    <w:pPr>
      <w:kinsoku w:val="0"/>
      <w:overflowPunct w:val="0"/>
      <w:autoSpaceDE w:val="0"/>
      <w:autoSpaceDN w:val="0"/>
      <w:adjustRightInd w:val="0"/>
      <w:snapToGrid w:val="0"/>
      <w:spacing w:after="120" w:line="480" w:lineRule="auto"/>
    </w:pPr>
    <w:rPr>
      <w:rFonts w:ascii="Georgia" w:hAnsi="Georgia"/>
      <w:snapToGrid w:val="0"/>
      <w:lang w:eastAsia="en-US"/>
    </w:rPr>
  </w:style>
  <w:style w:type="character" w:customStyle="1" w:styleId="BodyText2Char">
    <w:name w:val="Body Text 2 Char"/>
    <w:basedOn w:val="DefaultParagraphFont"/>
    <w:link w:val="BodyText2"/>
    <w:semiHidden/>
    <w:rsid w:val="003A7FBC"/>
    <w:rPr>
      <w:rFonts w:ascii="Georgia" w:hAnsi="Georgia"/>
      <w:snapToGrid w:val="0"/>
      <w:color w:val="auto"/>
      <w:lang w:eastAsia="en-US"/>
    </w:rPr>
  </w:style>
  <w:style w:type="paragraph" w:styleId="BodyText3">
    <w:name w:val="Body Text 3"/>
    <w:basedOn w:val="Normal"/>
    <w:link w:val="BodyText3Char"/>
    <w:semiHidden/>
    <w:rsid w:val="003A7FBC"/>
    <w:pPr>
      <w:kinsoku w:val="0"/>
      <w:overflowPunct w:val="0"/>
      <w:autoSpaceDE w:val="0"/>
      <w:autoSpaceDN w:val="0"/>
      <w:adjustRightInd w:val="0"/>
      <w:snapToGrid w:val="0"/>
      <w:spacing w:after="120" w:line="240" w:lineRule="auto"/>
    </w:pPr>
    <w:rPr>
      <w:rFonts w:ascii="Georgia" w:hAnsi="Georgia"/>
      <w:snapToGrid w:val="0"/>
      <w:sz w:val="16"/>
      <w:szCs w:val="16"/>
      <w:lang w:eastAsia="en-US"/>
    </w:rPr>
  </w:style>
  <w:style w:type="character" w:customStyle="1" w:styleId="BodyText3Char">
    <w:name w:val="Body Text 3 Char"/>
    <w:basedOn w:val="DefaultParagraphFont"/>
    <w:link w:val="BodyText3"/>
    <w:semiHidden/>
    <w:rsid w:val="003A7FBC"/>
    <w:rPr>
      <w:rFonts w:ascii="Georgia" w:hAnsi="Georgia"/>
      <w:snapToGrid w:val="0"/>
      <w:color w:val="auto"/>
      <w:sz w:val="16"/>
      <w:szCs w:val="16"/>
      <w:lang w:eastAsia="en-US"/>
    </w:rPr>
  </w:style>
  <w:style w:type="paragraph" w:styleId="BodyTextFirstIndent">
    <w:name w:val="Body Text First Indent"/>
    <w:basedOn w:val="BodyText"/>
    <w:link w:val="BodyTextFirstIndentChar"/>
    <w:rsid w:val="003A7FBC"/>
    <w:pPr>
      <w:kinsoku w:val="0"/>
      <w:overflowPunct w:val="0"/>
      <w:autoSpaceDE w:val="0"/>
      <w:autoSpaceDN w:val="0"/>
      <w:adjustRightInd w:val="0"/>
      <w:snapToGrid w:val="0"/>
      <w:spacing w:before="0" w:after="0" w:line="240" w:lineRule="auto"/>
      <w:ind w:firstLine="360"/>
    </w:pPr>
    <w:rPr>
      <w:rFonts w:ascii="Georgia" w:hAnsi="Georgia" w:cs="Arial"/>
      <w:snapToGrid w:val="0"/>
    </w:rPr>
  </w:style>
  <w:style w:type="character" w:customStyle="1" w:styleId="BodyTextFirstIndentChar">
    <w:name w:val="Body Text First Indent Char"/>
    <w:basedOn w:val="BodyTextChar"/>
    <w:link w:val="BodyTextFirstIndent"/>
    <w:rsid w:val="003A7FBC"/>
    <w:rPr>
      <w:rFonts w:ascii="Georgia" w:hAnsi="Georgia" w:cs="Times New Roman"/>
      <w:snapToGrid w:val="0"/>
      <w:color w:val="auto"/>
      <w:lang w:eastAsia="en-US"/>
    </w:rPr>
  </w:style>
  <w:style w:type="paragraph" w:styleId="BodyTextIndent">
    <w:name w:val="Body Text Indent"/>
    <w:basedOn w:val="Normal"/>
    <w:link w:val="BodyTextIndentChar"/>
    <w:semiHidden/>
    <w:rsid w:val="003A7FBC"/>
    <w:pPr>
      <w:kinsoku w:val="0"/>
      <w:overflowPunct w:val="0"/>
      <w:autoSpaceDE w:val="0"/>
      <w:autoSpaceDN w:val="0"/>
      <w:adjustRightInd w:val="0"/>
      <w:snapToGrid w:val="0"/>
      <w:spacing w:after="120" w:line="240" w:lineRule="auto"/>
      <w:ind w:left="283"/>
    </w:pPr>
    <w:rPr>
      <w:rFonts w:ascii="Georgia" w:hAnsi="Georgia"/>
      <w:snapToGrid w:val="0"/>
      <w:lang w:eastAsia="en-US"/>
    </w:rPr>
  </w:style>
  <w:style w:type="character" w:customStyle="1" w:styleId="BodyTextIndentChar">
    <w:name w:val="Body Text Indent Char"/>
    <w:basedOn w:val="DefaultParagraphFont"/>
    <w:link w:val="BodyTextIndent"/>
    <w:semiHidden/>
    <w:rsid w:val="003A7FBC"/>
    <w:rPr>
      <w:rFonts w:ascii="Georgia" w:hAnsi="Georgia"/>
      <w:snapToGrid w:val="0"/>
      <w:color w:val="auto"/>
      <w:lang w:eastAsia="en-US"/>
    </w:rPr>
  </w:style>
  <w:style w:type="paragraph" w:styleId="BodyTextFirstIndent2">
    <w:name w:val="Body Text First Indent 2"/>
    <w:basedOn w:val="BodyTextIndent"/>
    <w:link w:val="BodyTextFirstIndent2Char"/>
    <w:semiHidden/>
    <w:rsid w:val="003A7FBC"/>
    <w:pPr>
      <w:spacing w:after="0"/>
      <w:ind w:left="360" w:firstLine="360"/>
    </w:pPr>
  </w:style>
  <w:style w:type="character" w:customStyle="1" w:styleId="BodyTextFirstIndent2Char">
    <w:name w:val="Body Text First Indent 2 Char"/>
    <w:basedOn w:val="BodyTextIndentChar"/>
    <w:link w:val="BodyTextFirstIndent2"/>
    <w:semiHidden/>
    <w:rsid w:val="003A7FBC"/>
    <w:rPr>
      <w:rFonts w:ascii="Georgia" w:hAnsi="Georgia"/>
      <w:snapToGrid w:val="0"/>
      <w:color w:val="auto"/>
      <w:lang w:eastAsia="en-US"/>
    </w:rPr>
  </w:style>
  <w:style w:type="paragraph" w:styleId="BodyTextIndent2">
    <w:name w:val="Body Text Indent 2"/>
    <w:basedOn w:val="Normal"/>
    <w:link w:val="BodyTextIndent2Char"/>
    <w:semiHidden/>
    <w:rsid w:val="003A7FBC"/>
    <w:pPr>
      <w:kinsoku w:val="0"/>
      <w:overflowPunct w:val="0"/>
      <w:autoSpaceDE w:val="0"/>
      <w:autoSpaceDN w:val="0"/>
      <w:adjustRightInd w:val="0"/>
      <w:snapToGrid w:val="0"/>
      <w:spacing w:after="120" w:line="480" w:lineRule="auto"/>
      <w:ind w:left="283"/>
    </w:pPr>
    <w:rPr>
      <w:rFonts w:ascii="Georgia" w:hAnsi="Georgia"/>
      <w:snapToGrid w:val="0"/>
      <w:lang w:eastAsia="en-US"/>
    </w:rPr>
  </w:style>
  <w:style w:type="character" w:customStyle="1" w:styleId="BodyTextIndent2Char">
    <w:name w:val="Body Text Indent 2 Char"/>
    <w:basedOn w:val="DefaultParagraphFont"/>
    <w:link w:val="BodyTextIndent2"/>
    <w:semiHidden/>
    <w:rsid w:val="003A7FBC"/>
    <w:rPr>
      <w:rFonts w:ascii="Georgia" w:hAnsi="Georgia"/>
      <w:snapToGrid w:val="0"/>
      <w:color w:val="auto"/>
      <w:lang w:eastAsia="en-US"/>
    </w:rPr>
  </w:style>
  <w:style w:type="paragraph" w:styleId="BodyTextIndent3">
    <w:name w:val="Body Text Indent 3"/>
    <w:basedOn w:val="Normal"/>
    <w:link w:val="BodyTextIndent3Char"/>
    <w:semiHidden/>
    <w:rsid w:val="003A7FBC"/>
    <w:pPr>
      <w:kinsoku w:val="0"/>
      <w:overflowPunct w:val="0"/>
      <w:autoSpaceDE w:val="0"/>
      <w:autoSpaceDN w:val="0"/>
      <w:adjustRightInd w:val="0"/>
      <w:snapToGrid w:val="0"/>
      <w:spacing w:after="120" w:line="240" w:lineRule="auto"/>
      <w:ind w:left="283"/>
    </w:pPr>
    <w:rPr>
      <w:rFonts w:ascii="Georgia" w:hAnsi="Georgia"/>
      <w:snapToGrid w:val="0"/>
      <w:sz w:val="16"/>
      <w:szCs w:val="16"/>
      <w:lang w:eastAsia="en-US"/>
    </w:rPr>
  </w:style>
  <w:style w:type="character" w:customStyle="1" w:styleId="BodyTextIndent3Char">
    <w:name w:val="Body Text Indent 3 Char"/>
    <w:basedOn w:val="DefaultParagraphFont"/>
    <w:link w:val="BodyTextIndent3"/>
    <w:semiHidden/>
    <w:rsid w:val="003A7FBC"/>
    <w:rPr>
      <w:rFonts w:ascii="Georgia" w:hAnsi="Georgia"/>
      <w:snapToGrid w:val="0"/>
      <w:color w:val="auto"/>
      <w:sz w:val="16"/>
      <w:szCs w:val="16"/>
      <w:lang w:eastAsia="en-US"/>
    </w:rPr>
  </w:style>
  <w:style w:type="character" w:styleId="BookTitle">
    <w:name w:val="Book Title"/>
    <w:basedOn w:val="DefaultParagraphFont"/>
    <w:uiPriority w:val="33"/>
    <w:qFormat/>
    <w:rsid w:val="003A7FBC"/>
    <w:rPr>
      <w:rFonts w:ascii="Georgia" w:hAnsi="Georgia"/>
      <w:b/>
      <w:bCs/>
      <w:smallCaps/>
      <w:spacing w:val="5"/>
    </w:rPr>
  </w:style>
  <w:style w:type="paragraph" w:styleId="Closing">
    <w:name w:val="Closing"/>
    <w:basedOn w:val="Normal"/>
    <w:link w:val="ClosingChar"/>
    <w:semiHidden/>
    <w:unhideWhenUsed/>
    <w:rsid w:val="003A7FBC"/>
    <w:pPr>
      <w:kinsoku w:val="0"/>
      <w:overflowPunct w:val="0"/>
      <w:autoSpaceDE w:val="0"/>
      <w:autoSpaceDN w:val="0"/>
      <w:adjustRightInd w:val="0"/>
      <w:snapToGrid w:val="0"/>
      <w:spacing w:line="240" w:lineRule="auto"/>
      <w:ind w:left="4252"/>
    </w:pPr>
    <w:rPr>
      <w:rFonts w:ascii="Georgia" w:hAnsi="Georgia"/>
      <w:snapToGrid w:val="0"/>
      <w:lang w:eastAsia="en-US"/>
    </w:rPr>
  </w:style>
  <w:style w:type="character" w:customStyle="1" w:styleId="ClosingChar">
    <w:name w:val="Closing Char"/>
    <w:basedOn w:val="DefaultParagraphFont"/>
    <w:link w:val="Closing"/>
    <w:semiHidden/>
    <w:rsid w:val="003A7FBC"/>
    <w:rPr>
      <w:rFonts w:ascii="Georgia" w:hAnsi="Georgia"/>
      <w:snapToGrid w:val="0"/>
      <w:color w:val="auto"/>
      <w:lang w:eastAsia="en-US"/>
    </w:rPr>
  </w:style>
  <w:style w:type="paragraph" w:styleId="EnvelopeAddress">
    <w:name w:val="envelope address"/>
    <w:basedOn w:val="Normal"/>
    <w:semiHidden/>
    <w:unhideWhenUsed/>
    <w:rsid w:val="003A7FBC"/>
    <w:pPr>
      <w:framePr w:w="7920" w:h="1980" w:hRule="exact" w:hSpace="180" w:wrap="auto" w:hAnchor="page" w:xAlign="center" w:yAlign="bottom"/>
      <w:kinsoku w:val="0"/>
      <w:overflowPunct w:val="0"/>
      <w:autoSpaceDE w:val="0"/>
      <w:autoSpaceDN w:val="0"/>
      <w:adjustRightInd w:val="0"/>
      <w:snapToGrid w:val="0"/>
      <w:spacing w:line="240" w:lineRule="auto"/>
      <w:ind w:left="2880"/>
    </w:pPr>
    <w:rPr>
      <w:rFonts w:asciiTheme="majorHAnsi" w:eastAsiaTheme="majorEastAsia" w:hAnsiTheme="majorHAnsi" w:cstheme="majorBidi"/>
      <w:snapToGrid w:val="0"/>
      <w:sz w:val="24"/>
      <w:szCs w:val="24"/>
      <w:lang w:eastAsia="en-US"/>
    </w:rPr>
  </w:style>
  <w:style w:type="paragraph" w:styleId="EnvelopeReturn">
    <w:name w:val="envelope return"/>
    <w:basedOn w:val="Normal"/>
    <w:semiHidden/>
    <w:rsid w:val="003A7FBC"/>
    <w:pPr>
      <w:kinsoku w:val="0"/>
      <w:overflowPunct w:val="0"/>
      <w:autoSpaceDE w:val="0"/>
      <w:autoSpaceDN w:val="0"/>
      <w:adjustRightInd w:val="0"/>
      <w:snapToGrid w:val="0"/>
      <w:spacing w:line="240" w:lineRule="auto"/>
    </w:pPr>
    <w:rPr>
      <w:rFonts w:asciiTheme="majorHAnsi" w:eastAsiaTheme="majorEastAsia" w:hAnsiTheme="majorHAnsi" w:cstheme="majorBidi"/>
      <w:snapToGrid w:val="0"/>
      <w:lang w:eastAsia="en-US"/>
    </w:rPr>
  </w:style>
  <w:style w:type="paragraph" w:styleId="Index1">
    <w:name w:val="index 1"/>
    <w:basedOn w:val="Normal"/>
    <w:next w:val="Normal"/>
    <w:autoRedefine/>
    <w:semiHidden/>
    <w:unhideWhenUsed/>
    <w:rsid w:val="003A7FBC"/>
    <w:pPr>
      <w:spacing w:line="240" w:lineRule="auto"/>
      <w:ind w:left="200" w:hanging="200"/>
    </w:pPr>
  </w:style>
  <w:style w:type="paragraph" w:styleId="IndexHeading">
    <w:name w:val="index heading"/>
    <w:basedOn w:val="Normal"/>
    <w:next w:val="Normal"/>
    <w:semiHidden/>
    <w:rsid w:val="003A7FBC"/>
    <w:pPr>
      <w:kinsoku w:val="0"/>
      <w:overflowPunct w:val="0"/>
      <w:autoSpaceDE w:val="0"/>
      <w:autoSpaceDN w:val="0"/>
      <w:adjustRightInd w:val="0"/>
      <w:snapToGrid w:val="0"/>
      <w:spacing w:line="240" w:lineRule="auto"/>
    </w:pPr>
    <w:rPr>
      <w:rFonts w:asciiTheme="majorHAnsi" w:eastAsiaTheme="majorEastAsia" w:hAnsiTheme="majorHAnsi" w:cstheme="majorBidi"/>
      <w:b/>
      <w:bCs/>
      <w:snapToGrid w:val="0"/>
      <w:lang w:eastAsia="en-US"/>
    </w:rPr>
  </w:style>
  <w:style w:type="paragraph" w:customStyle="1" w:styleId="BlockTextClient">
    <w:name w:val="Block Text Client"/>
    <w:basedOn w:val="BlockText"/>
    <w:rsid w:val="003A7FBC"/>
    <w:pPr>
      <w:pBdr>
        <w:top w:val="none" w:sz="0" w:space="0" w:color="auto"/>
        <w:left w:val="none" w:sz="0" w:space="0" w:color="auto"/>
        <w:bottom w:val="none" w:sz="0" w:space="0" w:color="auto"/>
        <w:right w:val="none" w:sz="0" w:space="0" w:color="auto"/>
      </w:pBdr>
      <w:kinsoku w:val="0"/>
      <w:overflowPunct w:val="0"/>
      <w:autoSpaceDE w:val="0"/>
      <w:autoSpaceDN w:val="0"/>
      <w:adjustRightInd w:val="0"/>
      <w:snapToGrid w:val="0"/>
      <w:spacing w:line="240" w:lineRule="auto"/>
      <w:ind w:left="0" w:right="0"/>
    </w:pPr>
    <w:rPr>
      <w:rFonts w:ascii="Georgia" w:hAnsi="Georgia"/>
      <w:snapToGrid w:val="0"/>
      <w:color w:val="00B2A9" w:themeColor="accent1"/>
      <w:lang w:eastAsia="en-US"/>
    </w:rPr>
  </w:style>
  <w:style w:type="paragraph" w:customStyle="1" w:styleId="BlockTextPosition">
    <w:name w:val="Block Text Position"/>
    <w:basedOn w:val="BlockText"/>
    <w:rsid w:val="003A7FBC"/>
    <w:pPr>
      <w:pBdr>
        <w:top w:val="none" w:sz="0" w:space="0" w:color="auto"/>
        <w:left w:val="none" w:sz="0" w:space="0" w:color="auto"/>
        <w:bottom w:val="none" w:sz="0" w:space="0" w:color="auto"/>
        <w:right w:val="none" w:sz="0" w:space="0" w:color="auto"/>
      </w:pBdr>
      <w:kinsoku w:val="0"/>
      <w:overflowPunct w:val="0"/>
      <w:autoSpaceDE w:val="0"/>
      <w:autoSpaceDN w:val="0"/>
      <w:adjustRightInd w:val="0"/>
      <w:snapToGrid w:val="0"/>
      <w:spacing w:after="240" w:line="240" w:lineRule="auto"/>
      <w:ind w:left="0" w:right="0"/>
    </w:pPr>
    <w:rPr>
      <w:rFonts w:ascii="Georgia" w:hAnsi="Georgia"/>
      <w:i w:val="0"/>
      <w:snapToGrid w:val="0"/>
      <w:color w:val="00B2A9" w:themeColor="accent1"/>
      <w:lang w:eastAsia="en-US"/>
    </w:rPr>
  </w:style>
  <w:style w:type="paragraph" w:customStyle="1" w:styleId="BlockText2Client">
    <w:name w:val="Block Text 2 Client"/>
    <w:basedOn w:val="BlockText2"/>
    <w:rsid w:val="003A7FBC"/>
    <w:pPr>
      <w:spacing w:after="0"/>
    </w:pPr>
    <w:rPr>
      <w:sz w:val="20"/>
      <w:szCs w:val="20"/>
    </w:rPr>
  </w:style>
  <w:style w:type="paragraph" w:customStyle="1" w:styleId="BlockText2Position">
    <w:name w:val="Block Text 2 Position"/>
    <w:basedOn w:val="BlockText2"/>
    <w:rsid w:val="003A7FBC"/>
    <w:rPr>
      <w:i w:val="0"/>
      <w:sz w:val="20"/>
      <w:szCs w:val="20"/>
    </w:rPr>
  </w:style>
  <w:style w:type="character" w:styleId="LineNumber">
    <w:name w:val="line number"/>
    <w:basedOn w:val="DefaultParagraphFont"/>
    <w:semiHidden/>
    <w:rsid w:val="003A7FBC"/>
  </w:style>
  <w:style w:type="paragraph" w:styleId="ListBullet5">
    <w:name w:val="List Bullet 5"/>
    <w:basedOn w:val="ListBullet4"/>
    <w:unhideWhenUsed/>
    <w:rsid w:val="003A7FBC"/>
    <w:pPr>
      <w:tabs>
        <w:tab w:val="clear" w:pos="1134"/>
        <w:tab w:val="num" w:pos="1418"/>
      </w:tabs>
      <w:ind w:left="1420"/>
      <w:contextualSpacing/>
    </w:pPr>
  </w:style>
  <w:style w:type="paragraph" w:styleId="ListNumber4">
    <w:name w:val="List Number 4"/>
    <w:basedOn w:val="ListNumber3"/>
    <w:uiPriority w:val="13"/>
    <w:unhideWhenUsed/>
    <w:rsid w:val="003A7FBC"/>
    <w:pPr>
      <w:numPr>
        <w:ilvl w:val="0"/>
        <w:numId w:val="0"/>
      </w:numPr>
      <w:tabs>
        <w:tab w:val="num" w:pos="2268"/>
      </w:tabs>
      <w:kinsoku w:val="0"/>
      <w:overflowPunct w:val="0"/>
      <w:autoSpaceDE w:val="0"/>
      <w:autoSpaceDN w:val="0"/>
      <w:adjustRightInd w:val="0"/>
      <w:snapToGrid w:val="0"/>
      <w:spacing w:before="0" w:after="0" w:line="240" w:lineRule="auto"/>
      <w:ind w:left="2268" w:hanging="567"/>
      <w:contextualSpacing/>
    </w:pPr>
    <w:rPr>
      <w:rFonts w:ascii="Georgia" w:hAnsi="Georgia"/>
      <w:snapToGrid w:val="0"/>
      <w:lang w:eastAsia="en-US"/>
    </w:rPr>
  </w:style>
  <w:style w:type="paragraph" w:styleId="ListNumber5">
    <w:name w:val="List Number 5"/>
    <w:basedOn w:val="ListNumber4"/>
    <w:uiPriority w:val="13"/>
    <w:unhideWhenUsed/>
    <w:rsid w:val="003A7FBC"/>
    <w:pPr>
      <w:tabs>
        <w:tab w:val="clear" w:pos="2268"/>
        <w:tab w:val="num" w:pos="2835"/>
      </w:tabs>
      <w:ind w:left="2835"/>
    </w:pPr>
  </w:style>
  <w:style w:type="paragraph" w:styleId="MessageHeader">
    <w:name w:val="Message Header"/>
    <w:basedOn w:val="Normal"/>
    <w:link w:val="MessageHeaderChar"/>
    <w:semiHidden/>
    <w:rsid w:val="003A7FBC"/>
    <w:pPr>
      <w:pBdr>
        <w:top w:val="single" w:sz="6" w:space="1" w:color="auto"/>
        <w:left w:val="single" w:sz="6" w:space="1" w:color="auto"/>
        <w:bottom w:val="single" w:sz="6" w:space="1" w:color="auto"/>
        <w:right w:val="single" w:sz="6" w:space="1" w:color="auto"/>
      </w:pBdr>
      <w:shd w:val="pct20" w:color="auto" w:fill="auto"/>
      <w:kinsoku w:val="0"/>
      <w:overflowPunct w:val="0"/>
      <w:autoSpaceDE w:val="0"/>
      <w:autoSpaceDN w:val="0"/>
      <w:adjustRightInd w:val="0"/>
      <w:snapToGrid w:val="0"/>
      <w:spacing w:line="240" w:lineRule="auto"/>
      <w:ind w:left="1134" w:hanging="1134"/>
    </w:pPr>
    <w:rPr>
      <w:rFonts w:asciiTheme="majorHAnsi" w:eastAsiaTheme="majorEastAsia" w:hAnsiTheme="majorHAnsi" w:cstheme="majorBidi"/>
      <w:snapToGrid w:val="0"/>
      <w:sz w:val="24"/>
      <w:szCs w:val="24"/>
      <w:lang w:eastAsia="en-US"/>
    </w:rPr>
  </w:style>
  <w:style w:type="character" w:customStyle="1" w:styleId="MessageHeaderChar">
    <w:name w:val="Message Header Char"/>
    <w:basedOn w:val="DefaultParagraphFont"/>
    <w:link w:val="MessageHeader"/>
    <w:semiHidden/>
    <w:rsid w:val="003A7FBC"/>
    <w:rPr>
      <w:rFonts w:asciiTheme="majorHAnsi" w:eastAsiaTheme="majorEastAsia" w:hAnsiTheme="majorHAnsi" w:cstheme="majorBidi"/>
      <w:snapToGrid w:val="0"/>
      <w:color w:val="auto"/>
      <w:sz w:val="24"/>
      <w:szCs w:val="24"/>
      <w:shd w:val="pct20" w:color="auto" w:fill="auto"/>
      <w:lang w:eastAsia="en-US"/>
    </w:rPr>
  </w:style>
  <w:style w:type="paragraph" w:styleId="NormalIndent">
    <w:name w:val="Normal Indent"/>
    <w:basedOn w:val="Normal"/>
    <w:semiHidden/>
    <w:rsid w:val="003A7FBC"/>
    <w:pPr>
      <w:kinsoku w:val="0"/>
      <w:overflowPunct w:val="0"/>
      <w:autoSpaceDE w:val="0"/>
      <w:autoSpaceDN w:val="0"/>
      <w:adjustRightInd w:val="0"/>
      <w:snapToGrid w:val="0"/>
      <w:spacing w:line="240" w:lineRule="auto"/>
      <w:ind w:left="720"/>
    </w:pPr>
    <w:rPr>
      <w:rFonts w:ascii="Georgia" w:hAnsi="Georgia"/>
      <w:snapToGrid w:val="0"/>
      <w:lang w:eastAsia="en-US"/>
    </w:rPr>
  </w:style>
  <w:style w:type="paragraph" w:styleId="NoteHeading">
    <w:name w:val="Note Heading"/>
    <w:basedOn w:val="Normal"/>
    <w:next w:val="Normal"/>
    <w:link w:val="NoteHeadingChar"/>
    <w:semiHidden/>
    <w:unhideWhenUsed/>
    <w:rsid w:val="003A7FBC"/>
    <w:pPr>
      <w:kinsoku w:val="0"/>
      <w:overflowPunct w:val="0"/>
      <w:autoSpaceDE w:val="0"/>
      <w:autoSpaceDN w:val="0"/>
      <w:adjustRightInd w:val="0"/>
      <w:snapToGrid w:val="0"/>
      <w:spacing w:line="240" w:lineRule="auto"/>
    </w:pPr>
    <w:rPr>
      <w:rFonts w:ascii="Georgia" w:hAnsi="Georgia"/>
      <w:snapToGrid w:val="0"/>
      <w:lang w:eastAsia="en-US"/>
    </w:rPr>
  </w:style>
  <w:style w:type="character" w:customStyle="1" w:styleId="NoteHeadingChar">
    <w:name w:val="Note Heading Char"/>
    <w:basedOn w:val="DefaultParagraphFont"/>
    <w:link w:val="NoteHeading"/>
    <w:semiHidden/>
    <w:rsid w:val="003A7FBC"/>
    <w:rPr>
      <w:rFonts w:ascii="Georgia" w:hAnsi="Georgia"/>
      <w:snapToGrid w:val="0"/>
      <w:color w:val="auto"/>
      <w:lang w:eastAsia="en-US"/>
    </w:rPr>
  </w:style>
  <w:style w:type="paragraph" w:styleId="PlainText">
    <w:name w:val="Plain Text"/>
    <w:basedOn w:val="Normal"/>
    <w:link w:val="PlainTextChar"/>
    <w:semiHidden/>
    <w:rsid w:val="003A7FBC"/>
    <w:pPr>
      <w:kinsoku w:val="0"/>
      <w:overflowPunct w:val="0"/>
      <w:autoSpaceDE w:val="0"/>
      <w:autoSpaceDN w:val="0"/>
      <w:adjustRightInd w:val="0"/>
      <w:snapToGrid w:val="0"/>
      <w:spacing w:line="240" w:lineRule="auto"/>
    </w:pPr>
    <w:rPr>
      <w:rFonts w:ascii="Consolas" w:hAnsi="Consolas"/>
      <w:snapToGrid w:val="0"/>
      <w:lang w:eastAsia="en-US"/>
    </w:rPr>
  </w:style>
  <w:style w:type="character" w:customStyle="1" w:styleId="PlainTextChar">
    <w:name w:val="Plain Text Char"/>
    <w:basedOn w:val="DefaultParagraphFont"/>
    <w:link w:val="PlainText"/>
    <w:semiHidden/>
    <w:rsid w:val="003A7FBC"/>
    <w:rPr>
      <w:rFonts w:ascii="Consolas" w:hAnsi="Consolas"/>
      <w:snapToGrid w:val="0"/>
      <w:color w:val="auto"/>
      <w:lang w:eastAsia="en-US"/>
    </w:rPr>
  </w:style>
  <w:style w:type="paragraph" w:styleId="Salutation">
    <w:name w:val="Salutation"/>
    <w:basedOn w:val="Normal"/>
    <w:next w:val="Normal"/>
    <w:link w:val="SalutationChar"/>
    <w:unhideWhenUsed/>
    <w:rsid w:val="003A7FBC"/>
    <w:pPr>
      <w:kinsoku w:val="0"/>
      <w:overflowPunct w:val="0"/>
      <w:autoSpaceDE w:val="0"/>
      <w:autoSpaceDN w:val="0"/>
      <w:adjustRightInd w:val="0"/>
      <w:snapToGrid w:val="0"/>
      <w:spacing w:line="240" w:lineRule="auto"/>
    </w:pPr>
    <w:rPr>
      <w:rFonts w:ascii="Georgia" w:hAnsi="Georgia"/>
      <w:snapToGrid w:val="0"/>
      <w:lang w:eastAsia="en-US"/>
    </w:rPr>
  </w:style>
  <w:style w:type="character" w:customStyle="1" w:styleId="SalutationChar">
    <w:name w:val="Salutation Char"/>
    <w:basedOn w:val="DefaultParagraphFont"/>
    <w:link w:val="Salutation"/>
    <w:rsid w:val="003A7FBC"/>
    <w:rPr>
      <w:rFonts w:ascii="Georgia" w:hAnsi="Georgia"/>
      <w:snapToGrid w:val="0"/>
      <w:color w:val="auto"/>
      <w:lang w:eastAsia="en-US"/>
    </w:rPr>
  </w:style>
  <w:style w:type="paragraph" w:styleId="Signature">
    <w:name w:val="Signature"/>
    <w:basedOn w:val="Normal"/>
    <w:link w:val="SignatureChar"/>
    <w:semiHidden/>
    <w:rsid w:val="003A7FBC"/>
    <w:pPr>
      <w:kinsoku w:val="0"/>
      <w:overflowPunct w:val="0"/>
      <w:autoSpaceDE w:val="0"/>
      <w:autoSpaceDN w:val="0"/>
      <w:adjustRightInd w:val="0"/>
      <w:snapToGrid w:val="0"/>
      <w:spacing w:line="240" w:lineRule="auto"/>
      <w:ind w:left="4252"/>
    </w:pPr>
    <w:rPr>
      <w:rFonts w:ascii="Georgia" w:hAnsi="Georgia"/>
      <w:snapToGrid w:val="0"/>
      <w:lang w:eastAsia="en-US"/>
    </w:rPr>
  </w:style>
  <w:style w:type="character" w:customStyle="1" w:styleId="SignatureChar">
    <w:name w:val="Signature Char"/>
    <w:basedOn w:val="DefaultParagraphFont"/>
    <w:link w:val="Signature"/>
    <w:semiHidden/>
    <w:rsid w:val="003A7FBC"/>
    <w:rPr>
      <w:rFonts w:ascii="Georgia" w:hAnsi="Georgia"/>
      <w:snapToGrid w:val="0"/>
      <w:color w:val="auto"/>
      <w:lang w:eastAsia="en-US"/>
    </w:rPr>
  </w:style>
  <w:style w:type="paragraph" w:styleId="TableofAuthorities">
    <w:name w:val="table of authorities"/>
    <w:basedOn w:val="Normal"/>
    <w:next w:val="Normal"/>
    <w:semiHidden/>
    <w:unhideWhenUsed/>
    <w:rsid w:val="003A7FBC"/>
    <w:pPr>
      <w:kinsoku w:val="0"/>
      <w:overflowPunct w:val="0"/>
      <w:autoSpaceDE w:val="0"/>
      <w:autoSpaceDN w:val="0"/>
      <w:adjustRightInd w:val="0"/>
      <w:snapToGrid w:val="0"/>
      <w:spacing w:line="240" w:lineRule="auto"/>
      <w:ind w:left="210" w:hanging="210"/>
    </w:pPr>
    <w:rPr>
      <w:rFonts w:ascii="Georgia" w:hAnsi="Georgia"/>
      <w:snapToGrid w:val="0"/>
      <w:lang w:eastAsia="en-US"/>
    </w:rPr>
  </w:style>
  <w:style w:type="paragraph" w:styleId="TOAHeading">
    <w:name w:val="toa heading"/>
    <w:basedOn w:val="Normal"/>
    <w:next w:val="Normal"/>
    <w:semiHidden/>
    <w:unhideWhenUsed/>
    <w:rsid w:val="003A7FBC"/>
    <w:pPr>
      <w:kinsoku w:val="0"/>
      <w:overflowPunct w:val="0"/>
      <w:autoSpaceDE w:val="0"/>
      <w:autoSpaceDN w:val="0"/>
      <w:adjustRightInd w:val="0"/>
      <w:snapToGrid w:val="0"/>
      <w:spacing w:before="120" w:line="240" w:lineRule="auto"/>
    </w:pPr>
    <w:rPr>
      <w:rFonts w:asciiTheme="majorHAnsi" w:eastAsiaTheme="majorEastAsia" w:hAnsiTheme="majorHAnsi" w:cstheme="majorBidi"/>
      <w:b/>
      <w:bCs/>
      <w:snapToGrid w:val="0"/>
      <w:sz w:val="24"/>
      <w:szCs w:val="24"/>
      <w:lang w:eastAsia="en-US"/>
    </w:rPr>
  </w:style>
  <w:style w:type="paragraph" w:customStyle="1" w:styleId="CoverPanelFrame">
    <w:name w:val="Cover Panel Frame"/>
    <w:basedOn w:val="Coverpulloutframe"/>
    <w:rsid w:val="003A7FBC"/>
    <w:pPr>
      <w:framePr w:w="7441" w:wrap="notBeside" w:vAnchor="margin" w:hAnchor="text" w:x="-112" w:y="1"/>
      <w:pBdr>
        <w:top w:val="single" w:sz="4" w:space="1" w:color="auto"/>
        <w:left w:val="single" w:sz="4" w:space="4" w:color="auto"/>
      </w:pBdr>
    </w:pPr>
    <w:rPr>
      <w:rFonts w:eastAsia="+mn-ea"/>
    </w:rPr>
  </w:style>
  <w:style w:type="paragraph" w:customStyle="1" w:styleId="LogoActivated">
    <w:name w:val="Logo Activated"/>
    <w:basedOn w:val="Normal"/>
    <w:rsid w:val="003A7FBC"/>
    <w:pPr>
      <w:framePr w:w="3119" w:h="1412" w:hRule="exact" w:wrap="around" w:vAnchor="page" w:hAnchor="page" w:x="1543" w:y="15299"/>
      <w:tabs>
        <w:tab w:val="center" w:pos="2551"/>
        <w:tab w:val="right" w:pos="7682"/>
      </w:tabs>
      <w:kinsoku w:val="0"/>
      <w:overflowPunct w:val="0"/>
      <w:autoSpaceDE w:val="0"/>
      <w:autoSpaceDN w:val="0"/>
      <w:adjustRightInd w:val="0"/>
      <w:snapToGrid w:val="0"/>
      <w:spacing w:line="0" w:lineRule="atLeast"/>
    </w:pPr>
    <w:rPr>
      <w:rFonts w:asciiTheme="majorHAnsi" w:hAnsiTheme="majorHAnsi"/>
      <w:noProof/>
      <w:sz w:val="18"/>
      <w:szCs w:val="32"/>
    </w:rPr>
  </w:style>
  <w:style w:type="paragraph" w:customStyle="1" w:styleId="FirstPagePanelFrame">
    <w:name w:val="First Page Panel Frame"/>
    <w:basedOn w:val="CoverPanelFrame"/>
    <w:rsid w:val="003A7FBC"/>
    <w:pPr>
      <w:framePr w:w="8334" w:h="227" w:hRule="exact" w:wrap="notBeside" w:y="-169"/>
      <w:pBdr>
        <w:top w:val="single" w:sz="6" w:space="1" w:color="00B2A9" w:themeColor="text2"/>
        <w:left w:val="single" w:sz="6" w:space="4" w:color="00B2A9" w:themeColor="text2"/>
      </w:pBdr>
    </w:pPr>
  </w:style>
  <w:style w:type="paragraph" w:customStyle="1" w:styleId="URLCover">
    <w:name w:val="URL Cover"/>
    <w:basedOn w:val="Normal"/>
    <w:rsid w:val="003A7FBC"/>
    <w:pPr>
      <w:kinsoku w:val="0"/>
      <w:overflowPunct w:val="0"/>
      <w:autoSpaceDE w:val="0"/>
      <w:autoSpaceDN w:val="0"/>
      <w:adjustRightInd w:val="0"/>
      <w:snapToGrid w:val="0"/>
      <w:spacing w:line="240" w:lineRule="auto"/>
    </w:pPr>
    <w:rPr>
      <w:rFonts w:ascii="Georgia" w:hAnsi="Georgia"/>
      <w:snapToGrid w:val="0"/>
      <w:sz w:val="19"/>
      <w:lang w:eastAsia="en-US"/>
    </w:rPr>
  </w:style>
  <w:style w:type="paragraph" w:customStyle="1" w:styleId="Coverpulloutframe">
    <w:name w:val="Cover pull out frame"/>
    <w:basedOn w:val="KeySentenceInside"/>
    <w:rsid w:val="003A7FBC"/>
    <w:pPr>
      <w:framePr w:w="2189" w:h="227" w:wrap="notBeside" w:vAnchor="page" w:hAnchor="page" w:x="908" w:y="8415"/>
      <w:pBdr>
        <w:top w:val="dotted" w:sz="8" w:space="1" w:color="00B2A9" w:themeColor="text2"/>
        <w:left w:val="dotted" w:sz="8" w:space="4" w:color="00B2A9" w:themeColor="text2"/>
      </w:pBdr>
      <w:spacing w:after="0" w:line="0" w:lineRule="atLeast"/>
    </w:pPr>
    <w:rPr>
      <w:color w:val="auto"/>
      <w:sz w:val="8"/>
      <w:lang w:val="en-GB"/>
    </w:rPr>
  </w:style>
  <w:style w:type="paragraph" w:customStyle="1" w:styleId="CoverOutcomeHeadline">
    <w:name w:val="Cover Outcome Headline"/>
    <w:basedOn w:val="PwCNormal"/>
    <w:rsid w:val="003A7FBC"/>
    <w:pPr>
      <w:spacing w:after="0" w:line="960" w:lineRule="atLeast"/>
      <w:ind w:right="1701"/>
    </w:pPr>
    <w:rPr>
      <w:b/>
      <w:i/>
      <w:color w:val="FFFFFF" w:themeColor="background1"/>
      <w:sz w:val="88"/>
      <w:szCs w:val="88"/>
      <w:lang w:val="en-GB"/>
    </w:rPr>
  </w:style>
  <w:style w:type="paragraph" w:customStyle="1" w:styleId="CoverOutcomeSubtitle">
    <w:name w:val="Cover Outcome Subtitle"/>
    <w:basedOn w:val="CoverOutcomeHeadline"/>
    <w:rsid w:val="003A7FBC"/>
    <w:rPr>
      <w:b w:val="0"/>
      <w:i w:val="0"/>
    </w:rPr>
  </w:style>
  <w:style w:type="paragraph" w:customStyle="1" w:styleId="LogoFixed">
    <w:name w:val="Logo Fixed"/>
    <w:basedOn w:val="LogoActivated"/>
    <w:rsid w:val="003A7FBC"/>
    <w:pPr>
      <w:framePr w:h="2733" w:hRule="exact" w:wrap="around" w:x="1322" w:y="14125"/>
    </w:pPr>
  </w:style>
  <w:style w:type="paragraph" w:customStyle="1" w:styleId="NumericCaption">
    <w:name w:val="Numeric Caption"/>
    <w:basedOn w:val="Caption"/>
    <w:rsid w:val="003A7FBC"/>
    <w:pPr>
      <w:keepLines/>
      <w:tabs>
        <w:tab w:val="left" w:pos="992"/>
      </w:tabs>
      <w:kinsoku w:val="0"/>
      <w:overflowPunct w:val="0"/>
      <w:autoSpaceDE w:val="0"/>
      <w:autoSpaceDN w:val="0"/>
      <w:adjustRightInd w:val="0"/>
      <w:snapToGrid w:val="0"/>
      <w:spacing w:before="240" w:after="120"/>
      <w:ind w:left="992" w:hanging="992"/>
    </w:pPr>
    <w:rPr>
      <w:rFonts w:ascii="Arial" w:hAnsi="Arial"/>
      <w:snapToGrid w:val="0"/>
      <w:color w:val="00B2A9" w:themeColor="text2"/>
      <w:szCs w:val="18"/>
      <w:lang w:eastAsia="en-US"/>
    </w:rPr>
  </w:style>
  <w:style w:type="paragraph" w:customStyle="1" w:styleId="NumericTableColumnHeadingNormal">
    <w:name w:val="Numeric Table Column Heading Normal"/>
    <w:basedOn w:val="TableColumnHeadingNormal"/>
    <w:rsid w:val="003A7FBC"/>
    <w:rPr>
      <w:rFonts w:ascii="Arial" w:hAnsi="Arial"/>
    </w:rPr>
  </w:style>
  <w:style w:type="paragraph" w:customStyle="1" w:styleId="NumericTableTextNormal">
    <w:name w:val="Numeric Table Text Normal"/>
    <w:basedOn w:val="TableTextNormal"/>
    <w:rsid w:val="003A7FBC"/>
    <w:rPr>
      <w:rFonts w:ascii="Arial" w:hAnsi="Arial"/>
    </w:rPr>
  </w:style>
  <w:style w:type="paragraph" w:customStyle="1" w:styleId="NumericSources">
    <w:name w:val="Numeric Sources"/>
    <w:basedOn w:val="Sources"/>
    <w:rsid w:val="003A7FBC"/>
    <w:rPr>
      <w:rFonts w:ascii="Arial" w:hAnsi="Arial"/>
    </w:rPr>
  </w:style>
  <w:style w:type="paragraph" w:customStyle="1" w:styleId="NumericTableColumnHeadingSmall">
    <w:name w:val="Numeric Table Column Heading Small"/>
    <w:basedOn w:val="NumericTableColumnHeadingNormal"/>
    <w:rsid w:val="003A7FBC"/>
    <w:rPr>
      <w:sz w:val="16"/>
      <w:szCs w:val="16"/>
    </w:rPr>
  </w:style>
  <w:style w:type="paragraph" w:customStyle="1" w:styleId="NumericTableTextSmall">
    <w:name w:val="Numeric Table Text Small"/>
    <w:basedOn w:val="NumericTableTextNormal"/>
    <w:rsid w:val="003A7FBC"/>
    <w:rPr>
      <w:sz w:val="16"/>
      <w:szCs w:val="16"/>
    </w:rPr>
  </w:style>
  <w:style w:type="paragraph" w:customStyle="1" w:styleId="NumericTableTextDecimalNormal">
    <w:name w:val="Numeric Table Text Decimal Normal"/>
    <w:basedOn w:val="NumericTableTextNormal"/>
    <w:rsid w:val="003A7FBC"/>
    <w:pPr>
      <w:tabs>
        <w:tab w:val="decimal" w:pos="1004"/>
      </w:tabs>
    </w:pPr>
  </w:style>
  <w:style w:type="paragraph" w:customStyle="1" w:styleId="NumericTableTextDecimalSmall">
    <w:name w:val="Numeric Table Text Decimal Small"/>
    <w:basedOn w:val="NumericTableTextDecimalNormal"/>
    <w:rsid w:val="003A7FBC"/>
    <w:rPr>
      <w:sz w:val="16"/>
      <w:szCs w:val="16"/>
    </w:rPr>
  </w:style>
  <w:style w:type="paragraph" w:customStyle="1" w:styleId="Heading2Nospacing">
    <w:name w:val="Heading 2 No spacing"/>
    <w:basedOn w:val="Heading2"/>
    <w:rsid w:val="003A7FBC"/>
    <w:pPr>
      <w:pageBreakBefore/>
      <w:tabs>
        <w:tab w:val="num" w:pos="850"/>
      </w:tabs>
      <w:kinsoku w:val="0"/>
      <w:overflowPunct w:val="0"/>
      <w:autoSpaceDE w:val="0"/>
      <w:autoSpaceDN w:val="0"/>
      <w:adjustRightInd w:val="0"/>
      <w:snapToGrid w:val="0"/>
      <w:spacing w:after="0" w:line="0" w:lineRule="atLeast"/>
      <w:ind w:left="851" w:hanging="851"/>
    </w:pPr>
    <w:rPr>
      <w:rFonts w:asciiTheme="majorHAnsi" w:hAnsiTheme="majorHAnsi"/>
      <w:snapToGrid w:val="0"/>
      <w:color w:val="363534" w:themeColor="text1"/>
      <w:kern w:val="0"/>
      <w:sz w:val="56"/>
      <w:szCs w:val="36"/>
      <w:lang w:eastAsia="en-US"/>
    </w:rPr>
  </w:style>
  <w:style w:type="paragraph" w:customStyle="1" w:styleId="TableNumberedList1">
    <w:name w:val="Table Numbered List 1"/>
    <w:basedOn w:val="TableTextNormal"/>
    <w:rsid w:val="003A7FBC"/>
    <w:pPr>
      <w:numPr>
        <w:numId w:val="27"/>
      </w:numPr>
    </w:pPr>
  </w:style>
  <w:style w:type="paragraph" w:customStyle="1" w:styleId="TableNumberedList2">
    <w:name w:val="Table Numbered List 2"/>
    <w:basedOn w:val="TableNumberedList1"/>
    <w:rsid w:val="003A7FBC"/>
    <w:pPr>
      <w:numPr>
        <w:ilvl w:val="1"/>
      </w:numPr>
      <w:spacing w:before="40" w:after="40"/>
    </w:pPr>
  </w:style>
  <w:style w:type="paragraph" w:customStyle="1" w:styleId="TableNumberedList3">
    <w:name w:val="Table Numbered List 3"/>
    <w:basedOn w:val="TableNumberedList2"/>
    <w:rsid w:val="003A7FBC"/>
    <w:pPr>
      <w:numPr>
        <w:ilvl w:val="2"/>
      </w:numPr>
    </w:pPr>
  </w:style>
  <w:style w:type="paragraph" w:customStyle="1" w:styleId="TableNumberedListSmall1">
    <w:name w:val="Table Numbered List Small 1"/>
    <w:basedOn w:val="TableTextSmall"/>
    <w:rsid w:val="003A7FBC"/>
    <w:pPr>
      <w:numPr>
        <w:numId w:val="29"/>
      </w:numPr>
    </w:pPr>
  </w:style>
  <w:style w:type="paragraph" w:customStyle="1" w:styleId="TableNumberedListSmall2">
    <w:name w:val="Table Numbered List Small 2"/>
    <w:basedOn w:val="TableNumberedListSmall1"/>
    <w:rsid w:val="003A7FBC"/>
    <w:pPr>
      <w:numPr>
        <w:ilvl w:val="1"/>
      </w:numPr>
    </w:pPr>
    <w:rPr>
      <w:szCs w:val="21"/>
    </w:rPr>
  </w:style>
  <w:style w:type="paragraph" w:customStyle="1" w:styleId="TableNumberedListSmall3">
    <w:name w:val="Table Numbered List Small 3"/>
    <w:basedOn w:val="TableNumberedListSmall2"/>
    <w:rsid w:val="003A7FBC"/>
    <w:pPr>
      <w:numPr>
        <w:ilvl w:val="2"/>
      </w:numPr>
    </w:pPr>
  </w:style>
  <w:style w:type="numbering" w:customStyle="1" w:styleId="ListNumberList">
    <w:name w:val="List Number List"/>
    <w:uiPriority w:val="99"/>
    <w:rsid w:val="003A7FBC"/>
    <w:pPr>
      <w:numPr>
        <w:numId w:val="30"/>
      </w:numPr>
    </w:pPr>
  </w:style>
  <w:style w:type="numbering" w:styleId="111111">
    <w:name w:val="Outline List 2"/>
    <w:basedOn w:val="NoList"/>
    <w:rsid w:val="003A7FBC"/>
    <w:pPr>
      <w:numPr>
        <w:numId w:val="31"/>
      </w:numPr>
    </w:pPr>
  </w:style>
  <w:style w:type="numbering" w:styleId="ArticleSection">
    <w:name w:val="Outline List 3"/>
    <w:basedOn w:val="NoList"/>
    <w:rsid w:val="003A7FBC"/>
    <w:pPr>
      <w:numPr>
        <w:numId w:val="32"/>
      </w:numPr>
    </w:pPr>
  </w:style>
  <w:style w:type="paragraph" w:customStyle="1" w:styleId="Minorheading3">
    <w:name w:val="Minor heading 3"/>
    <w:basedOn w:val="Minorheading2"/>
    <w:rsid w:val="003A7FBC"/>
    <w:pPr>
      <w:spacing w:before="120"/>
    </w:pPr>
    <w:rPr>
      <w:b w:val="0"/>
      <w:i/>
    </w:rPr>
  </w:style>
  <w:style w:type="table" w:customStyle="1" w:styleId="Tables-APLines">
    <w:name w:val="Tables - AP Lines"/>
    <w:basedOn w:val="TableNormal"/>
    <w:rsid w:val="003A7FBC"/>
    <w:pPr>
      <w:spacing w:line="240" w:lineRule="auto"/>
    </w:pPr>
    <w:rPr>
      <w:rFonts w:ascii="Georgia" w:hAnsi="Georgia" w:cs="Times New Roman"/>
      <w:color w:val="auto"/>
    </w:rPr>
    <w:tblPr>
      <w:tblStyleRowBandSize w:val="1"/>
      <w:tblStyleColBandSize w:val="1"/>
      <w:tblBorders>
        <w:insideH w:val="single" w:sz="4" w:space="0" w:color="00B2A9" w:themeColor="text2"/>
        <w:insideV w:val="single" w:sz="4" w:space="0" w:color="00B2A9" w:themeColor="text2"/>
      </w:tblBorders>
    </w:tblPr>
    <w:tcPr>
      <w:shd w:val="clear" w:color="auto" w:fill="auto"/>
    </w:tcPr>
    <w:tblStylePr w:type="firstRow">
      <w:pPr>
        <w:jc w:val="center"/>
      </w:pPr>
      <w:rPr>
        <w:rFonts w:asciiTheme="minorHAnsi" w:hAnsiTheme="minorHAnsi"/>
        <w:color w:val="auto"/>
      </w:rPr>
      <w:tblPr/>
      <w:tcPr>
        <w:vAlign w:val="bottom"/>
      </w:tcPr>
    </w:tblStylePr>
    <w:tblStylePr w:type="lastRow">
      <w:rPr>
        <w:color w:val="FFFFFF" w:themeColor="background1"/>
      </w:rPr>
    </w:tblStylePr>
    <w:tblStylePr w:type="nwCell">
      <w:pPr>
        <w:jc w:val="left"/>
      </w:pPr>
      <w:tblPr/>
      <w:tcPr>
        <w:vAlign w:val="bottom"/>
      </w:tcPr>
    </w:tblStylePr>
  </w:style>
  <w:style w:type="table" w:customStyle="1" w:styleId="PwCPanelframe">
    <w:name w:val="PwC Panel frame"/>
    <w:basedOn w:val="TableNormal"/>
    <w:uiPriority w:val="99"/>
    <w:qFormat/>
    <w:rsid w:val="003A7FBC"/>
    <w:pPr>
      <w:spacing w:line="227" w:lineRule="exact"/>
    </w:pPr>
    <w:rPr>
      <w:rFonts w:ascii="Georgia" w:hAnsi="Georgia" w:cs="Times New Roman"/>
      <w:color w:val="auto"/>
      <w:sz w:val="8"/>
    </w:rPr>
    <w:tblPr>
      <w:tblBorders>
        <w:top w:val="single" w:sz="8" w:space="0" w:color="00B2A9" w:themeColor="text2"/>
        <w:left w:val="single" w:sz="8" w:space="0" w:color="00B2A9" w:themeColor="text2"/>
      </w:tblBorders>
      <w:tblCellMar>
        <w:left w:w="227" w:type="dxa"/>
        <w:right w:w="0" w:type="dxa"/>
      </w:tblCellMar>
    </w:tblPr>
    <w:tcPr>
      <w:shd w:val="clear" w:color="auto" w:fill="auto"/>
    </w:tcPr>
  </w:style>
  <w:style w:type="table" w:customStyle="1" w:styleId="PwCpull-outframe">
    <w:name w:val="PwC pull-out frame"/>
    <w:basedOn w:val="PwCPanelframe"/>
    <w:uiPriority w:val="99"/>
    <w:rsid w:val="003A7FBC"/>
    <w:tblPr>
      <w:tblBorders>
        <w:top w:val="dotted" w:sz="8" w:space="0" w:color="00B2A9" w:themeColor="text2"/>
        <w:left w:val="dotted" w:sz="8" w:space="0" w:color="00B2A9" w:themeColor="text2"/>
      </w:tblBorders>
    </w:tblPr>
    <w:tcPr>
      <w:shd w:val="clear" w:color="auto" w:fill="auto"/>
    </w:tcPr>
  </w:style>
  <w:style w:type="paragraph" w:customStyle="1" w:styleId="Bullet1">
    <w:name w:val="Bullet 1"/>
    <w:aliases w:val="FACS,MA Bullet 1,Alt.,b1,Bullet for no #'s,Bullet for no #'s Char,MA Bullet 1 Char,Alt. Char,Bullet,body,Bullet ...,body Char Char,body Char Char Char5,body Char Char Char Char,body Char Char Char Char Char Char Char Char,Bullet 1 Char1"/>
    <w:basedOn w:val="PwCNormal"/>
    <w:link w:val="Bullet1CharChar"/>
    <w:rsid w:val="003A7FBC"/>
    <w:pPr>
      <w:numPr>
        <w:numId w:val="36"/>
      </w:numPr>
      <w:spacing w:after="80"/>
    </w:pPr>
  </w:style>
  <w:style w:type="paragraph" w:customStyle="1" w:styleId="Bullet2">
    <w:name w:val="Bullet 2"/>
    <w:basedOn w:val="Bullet1"/>
    <w:uiPriority w:val="99"/>
    <w:rsid w:val="003A7FBC"/>
    <w:pPr>
      <w:numPr>
        <w:ilvl w:val="1"/>
      </w:numPr>
      <w:tabs>
        <w:tab w:val="clear" w:pos="567"/>
        <w:tab w:val="num" w:pos="926"/>
      </w:tabs>
      <w:ind w:left="567" w:hanging="283"/>
    </w:pPr>
  </w:style>
  <w:style w:type="paragraph" w:customStyle="1" w:styleId="Bullet3">
    <w:name w:val="Bullet 3"/>
    <w:basedOn w:val="Bullet2"/>
    <w:uiPriority w:val="99"/>
    <w:rsid w:val="003A7FBC"/>
    <w:pPr>
      <w:numPr>
        <w:ilvl w:val="2"/>
      </w:numPr>
      <w:tabs>
        <w:tab w:val="clear" w:pos="851"/>
        <w:tab w:val="num" w:pos="0"/>
        <w:tab w:val="num" w:pos="926"/>
      </w:tabs>
      <w:ind w:left="0" w:firstLine="0"/>
    </w:pPr>
  </w:style>
  <w:style w:type="paragraph" w:customStyle="1" w:styleId="Bullet4">
    <w:name w:val="Bullet 4"/>
    <w:basedOn w:val="Bullet3"/>
    <w:uiPriority w:val="99"/>
    <w:rsid w:val="003A7FBC"/>
    <w:pPr>
      <w:numPr>
        <w:ilvl w:val="3"/>
      </w:numPr>
      <w:tabs>
        <w:tab w:val="clear" w:pos="1134"/>
        <w:tab w:val="num" w:pos="0"/>
        <w:tab w:val="num" w:pos="926"/>
      </w:tabs>
      <w:ind w:left="0" w:hanging="5670"/>
    </w:pPr>
  </w:style>
  <w:style w:type="numbering" w:customStyle="1" w:styleId="Bullets">
    <w:name w:val="Bullets"/>
    <w:uiPriority w:val="99"/>
    <w:rsid w:val="003A7FBC"/>
    <w:pPr>
      <w:numPr>
        <w:numId w:val="33"/>
      </w:numPr>
    </w:pPr>
  </w:style>
  <w:style w:type="paragraph" w:customStyle="1" w:styleId="FirstPagePanelFrame-Contents">
    <w:name w:val="First Page Panel Frame - Contents"/>
    <w:basedOn w:val="FirstPagePanelFrame"/>
    <w:rsid w:val="003A7FBC"/>
    <w:pPr>
      <w:framePr w:wrap="notBeside"/>
    </w:pPr>
  </w:style>
  <w:style w:type="numbering" w:customStyle="1" w:styleId="ChapterNumberingList">
    <w:name w:val="Chapter Numbering List"/>
    <w:uiPriority w:val="99"/>
    <w:rsid w:val="003A7FBC"/>
    <w:pPr>
      <w:numPr>
        <w:numId w:val="35"/>
      </w:numPr>
    </w:pPr>
  </w:style>
  <w:style w:type="table" w:customStyle="1" w:styleId="LightList-Accent11">
    <w:name w:val="Light List - Accent 11"/>
    <w:basedOn w:val="TableNormal"/>
    <w:uiPriority w:val="61"/>
    <w:rsid w:val="003A7FBC"/>
    <w:pPr>
      <w:spacing w:line="240" w:lineRule="auto"/>
    </w:pPr>
    <w:rPr>
      <w:rFonts w:ascii="Georgia" w:hAnsi="Georgia" w:cs="Times New Roman"/>
      <w:color w:val="auto"/>
    </w:rPr>
    <w:tblPr>
      <w:tblStyleRowBandSize w:val="1"/>
      <w:tblStyleColBandSize w:val="1"/>
      <w:tblBorders>
        <w:top w:val="single" w:sz="8" w:space="0" w:color="00B2A9" w:themeColor="accent1"/>
        <w:left w:val="single" w:sz="8" w:space="0" w:color="00B2A9" w:themeColor="accent1"/>
        <w:bottom w:val="single" w:sz="8" w:space="0" w:color="00B2A9" w:themeColor="accent1"/>
        <w:right w:val="single" w:sz="8" w:space="0" w:color="00B2A9" w:themeColor="accent1"/>
      </w:tblBorders>
    </w:tblPr>
    <w:tblStylePr w:type="firstRow">
      <w:pPr>
        <w:spacing w:before="0" w:after="0" w:line="240" w:lineRule="auto"/>
      </w:pPr>
      <w:rPr>
        <w:b/>
        <w:bCs/>
        <w:color w:val="FFFFFF" w:themeColor="background1"/>
      </w:rPr>
      <w:tblPr/>
      <w:tcPr>
        <w:shd w:val="clear" w:color="auto" w:fill="00B2A9" w:themeFill="accent1"/>
      </w:tcPr>
    </w:tblStylePr>
    <w:tblStylePr w:type="lastRow">
      <w:pPr>
        <w:spacing w:before="0" w:after="0" w:line="240" w:lineRule="auto"/>
      </w:pPr>
      <w:rPr>
        <w:b/>
        <w:bCs/>
      </w:rPr>
      <w:tblPr/>
      <w:tcPr>
        <w:tcBorders>
          <w:top w:val="double" w:sz="6" w:space="0" w:color="00B2A9" w:themeColor="accent1"/>
          <w:left w:val="single" w:sz="8" w:space="0" w:color="00B2A9" w:themeColor="accent1"/>
          <w:bottom w:val="single" w:sz="8" w:space="0" w:color="00B2A9" w:themeColor="accent1"/>
          <w:right w:val="single" w:sz="8" w:space="0" w:color="00B2A9" w:themeColor="accent1"/>
        </w:tcBorders>
      </w:tcPr>
    </w:tblStylePr>
    <w:tblStylePr w:type="firstCol">
      <w:rPr>
        <w:b/>
        <w:bCs/>
      </w:rPr>
    </w:tblStylePr>
    <w:tblStylePr w:type="lastCol">
      <w:rPr>
        <w:b/>
        <w:bCs/>
      </w:rPr>
    </w:tblStylePr>
    <w:tblStylePr w:type="band1Vert">
      <w:tblPr/>
      <w:tcPr>
        <w:tcBorders>
          <w:top w:val="single" w:sz="8" w:space="0" w:color="00B2A9" w:themeColor="accent1"/>
          <w:left w:val="single" w:sz="8" w:space="0" w:color="00B2A9" w:themeColor="accent1"/>
          <w:bottom w:val="single" w:sz="8" w:space="0" w:color="00B2A9" w:themeColor="accent1"/>
          <w:right w:val="single" w:sz="8" w:space="0" w:color="00B2A9" w:themeColor="accent1"/>
        </w:tcBorders>
      </w:tcPr>
    </w:tblStylePr>
    <w:tblStylePr w:type="band1Horz">
      <w:tblPr/>
      <w:tcPr>
        <w:tcBorders>
          <w:top w:val="single" w:sz="8" w:space="0" w:color="00B2A9" w:themeColor="accent1"/>
          <w:left w:val="single" w:sz="8" w:space="0" w:color="00B2A9" w:themeColor="accent1"/>
          <w:bottom w:val="single" w:sz="8" w:space="0" w:color="00B2A9" w:themeColor="accent1"/>
          <w:right w:val="single" w:sz="8" w:space="0" w:color="00B2A9" w:themeColor="accent1"/>
        </w:tcBorders>
      </w:tcPr>
    </w:tblStylePr>
  </w:style>
  <w:style w:type="character" w:customStyle="1" w:styleId="apple-converted-space">
    <w:name w:val="apple-converted-space"/>
    <w:basedOn w:val="DefaultParagraphFont"/>
    <w:rsid w:val="003A7FBC"/>
  </w:style>
  <w:style w:type="paragraph" w:styleId="Revision">
    <w:name w:val="Revision"/>
    <w:hidden/>
    <w:uiPriority w:val="99"/>
    <w:semiHidden/>
    <w:rsid w:val="003A7FBC"/>
    <w:pPr>
      <w:spacing w:line="240" w:lineRule="auto"/>
    </w:pPr>
    <w:rPr>
      <w:rFonts w:ascii="Georgia" w:hAnsi="Georgia"/>
      <w:snapToGrid w:val="0"/>
      <w:color w:val="auto"/>
      <w:lang w:eastAsia="en-US"/>
    </w:rPr>
  </w:style>
  <w:style w:type="character" w:customStyle="1" w:styleId="Bullet1CharChar">
    <w:name w:val="Bullet 1 Char Char"/>
    <w:basedOn w:val="DefaultParagraphFont"/>
    <w:link w:val="Bullet1"/>
    <w:locked/>
    <w:rsid w:val="003A7FBC"/>
    <w:rPr>
      <w:rFonts w:ascii="Georgia" w:hAnsi="Georgia"/>
      <w:snapToGrid w:val="0"/>
      <w:color w:val="auto"/>
      <w:lang w:eastAsia="en-US"/>
    </w:rPr>
  </w:style>
  <w:style w:type="character" w:styleId="Emphasis">
    <w:name w:val="Emphasis"/>
    <w:basedOn w:val="DefaultParagraphFont"/>
    <w:uiPriority w:val="20"/>
    <w:qFormat/>
    <w:rsid w:val="003A7FBC"/>
    <w:rPr>
      <w:i/>
      <w:iCs/>
    </w:rPr>
  </w:style>
  <w:style w:type="paragraph" w:customStyle="1" w:styleId="TableParagraph">
    <w:name w:val="Table Paragraph"/>
    <w:basedOn w:val="Normal"/>
    <w:uiPriority w:val="1"/>
    <w:qFormat/>
    <w:rsid w:val="003A7FBC"/>
    <w:pPr>
      <w:widowControl w:val="0"/>
      <w:spacing w:line="240" w:lineRule="auto"/>
    </w:pPr>
    <w:rPr>
      <w:rFonts w:eastAsiaTheme="minorHAnsi" w:cstheme="minorBidi"/>
      <w:sz w:val="22"/>
      <w:szCs w:val="22"/>
      <w:lang w:val="en-US" w:eastAsia="en-US"/>
    </w:rPr>
  </w:style>
  <w:style w:type="paragraph" w:customStyle="1" w:styleId="StyleListBulletBefore12ptAfter12pt">
    <w:name w:val="Style List Bullet + Before:  12 pt After:  12 pt"/>
    <w:basedOn w:val="ListBullet"/>
    <w:rsid w:val="003A7FBC"/>
    <w:pPr>
      <w:tabs>
        <w:tab w:val="clear" w:pos="170"/>
        <w:tab w:val="num" w:pos="284"/>
      </w:tabs>
      <w:kinsoku w:val="0"/>
      <w:overflowPunct w:val="0"/>
      <w:autoSpaceDE w:val="0"/>
      <w:autoSpaceDN w:val="0"/>
      <w:adjustRightInd w:val="0"/>
      <w:snapToGrid w:val="0"/>
      <w:spacing w:before="60" w:line="240" w:lineRule="auto"/>
      <w:ind w:left="284" w:hanging="284"/>
    </w:pPr>
    <w:rPr>
      <w:rFonts w:ascii="Georgia" w:hAnsi="Georgia" w:cs="Times New Roman"/>
      <w:snapToGrid w:val="0"/>
      <w:lang w:eastAsia="en-US"/>
    </w:rPr>
  </w:style>
  <w:style w:type="paragraph" w:customStyle="1" w:styleId="StylePwCNormalCustomColorRGB222222">
    <w:name w:val="Style PwC Normal + Custom Color(RGB(222222))"/>
    <w:basedOn w:val="PwCNormal"/>
    <w:rsid w:val="003A7FBC"/>
    <w:rPr>
      <w:color w:val="161616"/>
    </w:rPr>
  </w:style>
  <w:style w:type="paragraph" w:customStyle="1" w:styleId="Pullout">
    <w:name w:val="_Pullout"/>
    <w:qFormat/>
    <w:rsid w:val="003A7FBC"/>
    <w:pPr>
      <w:spacing w:before="85" w:after="170" w:line="300" w:lineRule="atLeast"/>
    </w:pPr>
    <w:rPr>
      <w:rFonts w:ascii="Calibri" w:hAnsi="Calibri"/>
      <w:color w:val="228591"/>
      <w:sz w:val="24"/>
      <w:szCs w:val="24"/>
      <w:lang w:eastAsia="en-US"/>
    </w:rPr>
  </w:style>
  <w:style w:type="paragraph" w:customStyle="1" w:styleId="Tabletext">
    <w:name w:val="Table text"/>
    <w:basedOn w:val="BodyText"/>
    <w:link w:val="TabletextChar"/>
    <w:rsid w:val="00CB3019"/>
    <w:pPr>
      <w:autoSpaceDE w:val="0"/>
      <w:autoSpaceDN w:val="0"/>
      <w:adjustRightInd w:val="0"/>
      <w:spacing w:after="60" w:line="240" w:lineRule="auto"/>
    </w:pPr>
    <w:rPr>
      <w:rFonts w:ascii="Arial" w:hAnsi="Arial" w:cs="Arial"/>
      <w:lang w:val="en-GB" w:eastAsia="en-AU"/>
    </w:rPr>
  </w:style>
  <w:style w:type="character" w:customStyle="1" w:styleId="TabletextChar">
    <w:name w:val="Table text Char"/>
    <w:link w:val="Tabletext"/>
    <w:rsid w:val="00CB3019"/>
    <w:rPr>
      <w:rFonts w:ascii="Arial" w:hAnsi="Arial"/>
      <w:color w:val="auto"/>
      <w:lang w:val="en-GB"/>
    </w:rPr>
  </w:style>
  <w:style w:type="paragraph" w:customStyle="1" w:styleId="TableCellHeading">
    <w:name w:val="Table Cell Heading"/>
    <w:basedOn w:val="Tabletext"/>
    <w:uiPriority w:val="99"/>
    <w:qFormat/>
    <w:rsid w:val="003A7FBC"/>
    <w:pPr>
      <w:autoSpaceDE/>
      <w:autoSpaceDN/>
      <w:adjustRightInd/>
      <w:spacing w:after="120"/>
    </w:pPr>
    <w:rPr>
      <w:rFonts w:cs="Times New Roman"/>
      <w:b/>
      <w:bCs/>
      <w:szCs w:val="18"/>
    </w:rPr>
  </w:style>
  <w:style w:type="table" w:customStyle="1" w:styleId="Standard">
    <w:name w:val="Standard"/>
    <w:basedOn w:val="TableProfessional"/>
    <w:uiPriority w:val="99"/>
    <w:rsid w:val="003A7FBC"/>
    <w:rPr>
      <w:rFonts w:ascii="Arial" w:hAnsi="Arial"/>
      <w:lang w:val="en-US" w:eastAsia="ja-JP"/>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6E6E6"/>
    </w:tcPr>
    <w:tblStylePr w:type="firstRow">
      <w:rPr>
        <w:b/>
        <w:bCs/>
        <w:color w:val="auto"/>
      </w:rPr>
      <w:tblPr/>
      <w:tcPr>
        <w:tcBorders>
          <w:top w:val="nil"/>
          <w:left w:val="nil"/>
          <w:bottom w:val="nil"/>
          <w:right w:val="nil"/>
          <w:insideH w:val="nil"/>
          <w:insideV w:val="nil"/>
          <w:tl2br w:val="nil"/>
          <w:tr2bl w:val="nil"/>
        </w:tcBorders>
        <w:shd w:val="clear" w:color="auto" w:fill="000080"/>
      </w:tcPr>
    </w:tblStylePr>
  </w:style>
  <w:style w:type="table" w:styleId="TableProfessional">
    <w:name w:val="Table Professional"/>
    <w:basedOn w:val="TableNormal"/>
    <w:uiPriority w:val="99"/>
    <w:semiHidden/>
    <w:unhideWhenUsed/>
    <w:rsid w:val="003A7FBC"/>
    <w:pPr>
      <w:spacing w:line="240" w:lineRule="auto"/>
    </w:pPr>
    <w:rPr>
      <w:rFonts w:ascii="Times New Roman" w:eastAsiaTheme="minorEastAsia" w:hAnsi="Times New Roman" w:cstheme="minorBidi"/>
      <w:color w:val="auto"/>
      <w:sz w:val="22"/>
      <w:szCs w:val="22"/>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customStyle="1" w:styleId="arial">
    <w:name w:val="arial"/>
    <w:basedOn w:val="Normal"/>
    <w:rsid w:val="003A7FBC"/>
    <w:pPr>
      <w:spacing w:line="240" w:lineRule="auto"/>
    </w:pPr>
    <w:rPr>
      <w:rFonts w:ascii="Times New Roman" w:eastAsiaTheme="minorEastAsia" w:hAnsi="Times New Roman" w:cstheme="minorBidi"/>
      <w:sz w:val="22"/>
      <w:szCs w:val="24"/>
      <w:lang w:eastAsia="en-US"/>
    </w:rPr>
  </w:style>
  <w:style w:type="character" w:customStyle="1" w:styleId="BalloonTextChar">
    <w:name w:val="Balloon Text Char"/>
    <w:basedOn w:val="DefaultParagraphFont"/>
    <w:link w:val="BalloonText"/>
    <w:uiPriority w:val="99"/>
    <w:semiHidden/>
    <w:rsid w:val="003A7FBC"/>
    <w:rPr>
      <w:rFonts w:ascii="Tahoma" w:hAnsi="Tahoma" w:cs="Tahoma"/>
      <w:sz w:val="16"/>
      <w:szCs w:val="16"/>
    </w:rPr>
  </w:style>
  <w:style w:type="paragraph" w:customStyle="1" w:styleId="Default">
    <w:name w:val="Default"/>
    <w:rsid w:val="003A7FBC"/>
    <w:pPr>
      <w:autoSpaceDE w:val="0"/>
      <w:autoSpaceDN w:val="0"/>
      <w:adjustRightInd w:val="0"/>
      <w:spacing w:line="240" w:lineRule="auto"/>
    </w:pPr>
    <w:rPr>
      <w:rFonts w:ascii="HelveticaNeueLT Std Lt" w:hAnsi="HelveticaNeueLT Std Lt" w:cs="HelveticaNeueLT Std Lt"/>
      <w:color w:val="000000"/>
      <w:sz w:val="24"/>
      <w:szCs w:val="24"/>
    </w:rPr>
  </w:style>
  <w:style w:type="character" w:customStyle="1" w:styleId="A3">
    <w:name w:val="A3"/>
    <w:uiPriority w:val="99"/>
    <w:rsid w:val="003A7FBC"/>
    <w:rPr>
      <w:rFonts w:cs="HelveticaNeueLT Std Lt"/>
      <w:color w:val="000000"/>
      <w:sz w:val="36"/>
      <w:szCs w:val="36"/>
    </w:rPr>
  </w:style>
  <w:style w:type="table" w:customStyle="1" w:styleId="TableGrid10">
    <w:name w:val="Table Grid1"/>
    <w:basedOn w:val="TableNormal"/>
    <w:next w:val="TableGrid"/>
    <w:uiPriority w:val="59"/>
    <w:rsid w:val="003A7FBC"/>
    <w:pPr>
      <w:kinsoku w:val="0"/>
      <w:overflowPunct w:val="0"/>
      <w:autoSpaceDE w:val="0"/>
      <w:autoSpaceDN w:val="0"/>
      <w:adjustRightInd w:val="0"/>
      <w:snapToGrid w:val="0"/>
      <w:spacing w:line="240" w:lineRule="auto"/>
    </w:pPr>
    <w:rPr>
      <w:rFonts w:ascii="Georgia" w:hAnsi="Georgia" w:cs="Times New Roman"/>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yperlink1">
    <w:name w:val="Hyperlink1"/>
    <w:basedOn w:val="DefaultParagraphFont"/>
    <w:uiPriority w:val="99"/>
    <w:rsid w:val="003A7FBC"/>
    <w:rPr>
      <w:color w:val="A32020"/>
      <w:u w:val="single"/>
    </w:rPr>
  </w:style>
  <w:style w:type="table" w:customStyle="1" w:styleId="Tables-APBase1">
    <w:name w:val="Tables - AP Base1"/>
    <w:basedOn w:val="TableNormal"/>
    <w:rsid w:val="003A7FBC"/>
    <w:pPr>
      <w:spacing w:line="240" w:lineRule="auto"/>
    </w:pPr>
    <w:rPr>
      <w:rFonts w:ascii="Georgia" w:hAnsi="Georgia" w:cs="Times New Roman"/>
      <w:color w:val="auto"/>
    </w:rPr>
    <w:tblPr>
      <w:tblStyleRowBandSize w:val="1"/>
      <w:tblStyleColBandSize w:val="1"/>
      <w:tblBorders>
        <w:top w:val="single" w:sz="4" w:space="0" w:color="FFFFFF"/>
        <w:left w:val="single" w:sz="4" w:space="0" w:color="FFFFFF"/>
        <w:bottom w:val="single" w:sz="6" w:space="0" w:color="A32020"/>
        <w:right w:val="single" w:sz="4" w:space="0" w:color="FFFFFF"/>
        <w:insideH w:val="dotted" w:sz="8" w:space="0" w:color="A32020"/>
        <w:insideV w:val="single" w:sz="4" w:space="0" w:color="FFFFFF"/>
      </w:tblBorders>
    </w:tblPr>
    <w:tcPr>
      <w:shd w:val="clear" w:color="auto" w:fill="auto"/>
      <w:tcMar>
        <w:top w:w="0" w:type="dxa"/>
        <w:left w:w="108" w:type="dxa"/>
        <w:bottom w:w="0" w:type="dxa"/>
        <w:right w:w="108" w:type="dxa"/>
      </w:tcMar>
    </w:tcPr>
    <w:tblStylePr w:type="firstRow">
      <w:pPr>
        <w:jc w:val="center"/>
      </w:pPr>
      <w:rPr>
        <w:rFonts w:ascii="Georgia" w:hAnsi="Georgia"/>
        <w:b w:val="0"/>
        <w:color w:val="auto"/>
      </w:rPr>
      <w:tblPr/>
      <w:trPr>
        <w:tblHeader/>
      </w:trPr>
      <w:tcPr>
        <w:tcBorders>
          <w:top w:val="single" w:sz="4" w:space="0" w:color="A32020"/>
          <w:bottom w:val="single" w:sz="4" w:space="0" w:color="A32020"/>
        </w:tcBorders>
      </w:tcPr>
    </w:tblStylePr>
    <w:tblStylePr w:type="lastRow">
      <w:rPr>
        <w:color w:val="auto"/>
      </w:rPr>
      <w:tblPr/>
      <w:tcPr>
        <w:tcBorders>
          <w:top w:val="single" w:sz="4" w:space="0" w:color="A32020"/>
        </w:tcBorders>
        <w:shd w:val="clear" w:color="auto" w:fill="auto"/>
      </w:tcPr>
    </w:tblStylePr>
    <w:tblStylePr w:type="nwCell">
      <w:pPr>
        <w:jc w:val="left"/>
      </w:pPr>
      <w:tblPr/>
      <w:tcPr>
        <w:vAlign w:val="bottom"/>
      </w:tcPr>
    </w:tblStylePr>
  </w:style>
  <w:style w:type="character" w:styleId="SubtleEmphasis">
    <w:name w:val="Subtle Emphasis"/>
    <w:basedOn w:val="DefaultParagraphFont"/>
    <w:uiPriority w:val="19"/>
    <w:qFormat/>
    <w:rsid w:val="003A7FBC"/>
    <w:rPr>
      <w:i/>
      <w:iCs/>
      <w:color w:val="9C9A98" w:themeColor="text1" w:themeTint="7F"/>
    </w:rPr>
  </w:style>
  <w:style w:type="paragraph" w:customStyle="1" w:styleId="Normalpre-dotpoint">
    <w:name w:val="Normal pre-dot point"/>
    <w:basedOn w:val="Normal"/>
    <w:qFormat/>
    <w:rsid w:val="00567948"/>
    <w:pPr>
      <w:spacing w:after="80"/>
    </w:pPr>
  </w:style>
  <w:style w:type="paragraph" w:customStyle="1" w:styleId="Dotpoint">
    <w:name w:val="Dot point"/>
    <w:basedOn w:val="Normal"/>
    <w:qFormat/>
    <w:rsid w:val="00567948"/>
    <w:pPr>
      <w:numPr>
        <w:numId w:val="58"/>
      </w:numPr>
      <w:kinsoku w:val="0"/>
      <w:overflowPunct w:val="0"/>
      <w:autoSpaceDE w:val="0"/>
      <w:autoSpaceDN w:val="0"/>
      <w:adjustRightInd w:val="0"/>
      <w:snapToGrid w:val="0"/>
      <w:spacing w:after="80"/>
    </w:pPr>
    <w:rPr>
      <w:rFonts w:cstheme="minorHAnsi"/>
    </w:rPr>
  </w:style>
  <w:style w:type="paragraph" w:customStyle="1" w:styleId="Dotpointlast">
    <w:name w:val="Dot point last"/>
    <w:basedOn w:val="Dotpoint"/>
    <w:next w:val="Normal"/>
    <w:qFormat/>
    <w:rsid w:val="00567948"/>
    <w:pPr>
      <w:spacing w:after="200"/>
    </w:pPr>
  </w:style>
  <w:style w:type="paragraph" w:customStyle="1" w:styleId="CQuestion">
    <w:name w:val="CQuestion"/>
    <w:basedOn w:val="Normal"/>
    <w:qFormat/>
    <w:rsid w:val="0032260B"/>
    <w:pPr>
      <w:pBdr>
        <w:top w:val="dotted" w:sz="8" w:space="6" w:color="FFFFFF" w:themeColor="background1"/>
        <w:left w:val="dotted" w:sz="8" w:space="4" w:color="FFFFFF" w:themeColor="background1"/>
        <w:bottom w:val="dotted" w:sz="8" w:space="6" w:color="FFFFFF" w:themeColor="background1"/>
        <w:right w:val="dotted" w:sz="8" w:space="4" w:color="FFFFFF" w:themeColor="background1"/>
      </w:pBdr>
      <w:shd w:val="clear" w:color="auto" w:fill="00B2A9" w:themeFill="accent1"/>
      <w:spacing w:line="240" w:lineRule="auto"/>
    </w:pPr>
    <w:rPr>
      <w:rFonts w:ascii="Arial" w:hAnsi="Arial"/>
      <w:color w:val="FFFFFF" w:themeColor="background1"/>
    </w:rPr>
  </w:style>
  <w:style w:type="table" w:styleId="MediumGrid3-Accent4">
    <w:name w:val="Medium Grid 3 Accent 4"/>
    <w:basedOn w:val="TableNormal"/>
    <w:uiPriority w:val="69"/>
    <w:rsid w:val="00BD1691"/>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DCE3"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9739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9739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9739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9739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B9C8"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B9C8" w:themeFill="accent4"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Arial"/>
        <w:color w:val="363534" w:themeColor="text1"/>
        <w:lang w:val="en-AU" w:eastAsia="en-AU" w:bidi="ar-SA"/>
      </w:rPr>
    </w:rPrDefault>
    <w:pPrDefault>
      <w:pPr>
        <w:spacing w:line="240" w:lineRule="atLeast"/>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qFormat="1"/>
    <w:lsdException w:name="heading 6" w:qFormat="1"/>
    <w:lsdException w:name="heading 7" w:uiPriority="99" w:qFormat="1"/>
    <w:lsdException w:name="heading 8" w:uiPriority="99"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header" w:uiPriority="99"/>
    <w:lsdException w:name="footer" w:uiPriority="99"/>
    <w:lsdException w:name="caption" w:qFormat="1"/>
    <w:lsdException w:name="footnote reference" w:uiPriority="99"/>
    <w:lsdException w:name="annotation reference" w:uiPriority="99"/>
    <w:lsdException w:name="page number" w:uiPriority="99"/>
    <w:lsdException w:name="List Bullet" w:qFormat="1"/>
    <w:lsdException w:name="List Number" w:semiHidden="0" w:uiPriority="13" w:unhideWhenUsed="0" w:qFormat="1"/>
    <w:lsdException w:name="List 4" w:semiHidden="0" w:unhideWhenUsed="0"/>
    <w:lsdException w:name="List 5" w:semiHidden="0" w:unhideWhenUsed="0"/>
    <w:lsdException w:name="List Bullet 2" w:qFormat="1"/>
    <w:lsdException w:name="List Bullet 3" w:qFormat="1"/>
    <w:lsdException w:name="List Number 2" w:uiPriority="13" w:qFormat="1"/>
    <w:lsdException w:name="List Number 3" w:uiPriority="13" w:qFormat="1"/>
    <w:lsdException w:name="List Number 4" w:uiPriority="13"/>
    <w:lsdException w:name="List Number 5" w:uiPriority="13"/>
    <w:lsdException w:name="Title" w:semiHidden="0" w:unhideWhenUsed="0" w:qFormat="1"/>
    <w:lsdException w:name="Default Paragraph Font" w:uiPriority="1"/>
    <w:lsdException w:name="Body Text" w:uiPriority="1" w:qFormat="1"/>
    <w:lsdException w:name="List Continue" w:qFormat="1"/>
    <w:lsdException w:name="List Continue 2"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Block Text" w:uiPriority="99" w:qFormat="1"/>
    <w:lsdException w:name="Hyperlink" w:uiPriority="99"/>
    <w:lsdException w:name="FollowedHyperlink" w:uiPriority="99"/>
    <w:lsdException w:name="Strong" w:semiHidden="0" w:unhideWhenUsed="0"/>
    <w:lsdException w:name="Emphasis" w:semiHidden="0" w:uiPriority="20" w:unhideWhenUsed="0" w:qFormat="1"/>
    <w:lsdException w:name="Normal (Web)" w:uiPriority="99"/>
    <w:lsdException w:name="annotation subject" w:uiPriority="99"/>
    <w:lsdException w:name="No List" w:uiPriority="99"/>
    <w:lsdException w:name="Table Professional"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4BEB"/>
    <w:pPr>
      <w:spacing w:after="200"/>
    </w:pPr>
    <w:rPr>
      <w:color w:val="auto"/>
    </w:rPr>
  </w:style>
  <w:style w:type="paragraph" w:styleId="Heading1">
    <w:name w:val="heading 1"/>
    <w:basedOn w:val="Normal"/>
    <w:next w:val="BodyText"/>
    <w:link w:val="Heading1Char"/>
    <w:uiPriority w:val="9"/>
    <w:qFormat/>
    <w:rsid w:val="008A39F6"/>
    <w:pPr>
      <w:keepNext/>
      <w:keepLines/>
      <w:numPr>
        <w:numId w:val="7"/>
      </w:numPr>
      <w:spacing w:after="360" w:line="240" w:lineRule="auto"/>
      <w:ind w:left="1134" w:hanging="1134"/>
      <w:outlineLvl w:val="0"/>
    </w:pPr>
    <w:rPr>
      <w:b/>
      <w:bCs/>
      <w:color w:val="201547" w:themeColor="accent2"/>
      <w:kern w:val="32"/>
      <w:sz w:val="40"/>
      <w:szCs w:val="32"/>
    </w:rPr>
  </w:style>
  <w:style w:type="paragraph" w:styleId="Heading2">
    <w:name w:val="heading 2"/>
    <w:basedOn w:val="Normal"/>
    <w:next w:val="BodyText"/>
    <w:link w:val="Heading2Char"/>
    <w:uiPriority w:val="9"/>
    <w:qFormat/>
    <w:rsid w:val="00357F56"/>
    <w:pPr>
      <w:keepNext/>
      <w:keepLines/>
      <w:numPr>
        <w:ilvl w:val="1"/>
        <w:numId w:val="7"/>
      </w:numPr>
      <w:tabs>
        <w:tab w:val="left" w:pos="1134"/>
      </w:tabs>
      <w:spacing w:after="220" w:line="240" w:lineRule="auto"/>
      <w:ind w:left="1134" w:hanging="1134"/>
      <w:outlineLvl w:val="1"/>
    </w:pPr>
    <w:rPr>
      <w:b/>
      <w:bCs/>
      <w:i/>
      <w:iCs/>
      <w:color w:val="00B2A9" w:themeColor="text2"/>
      <w:kern w:val="20"/>
      <w:sz w:val="32"/>
      <w:szCs w:val="28"/>
    </w:rPr>
  </w:style>
  <w:style w:type="paragraph" w:styleId="Heading3">
    <w:name w:val="heading 3"/>
    <w:basedOn w:val="Normal"/>
    <w:next w:val="BodyText"/>
    <w:link w:val="Heading3Char"/>
    <w:uiPriority w:val="9"/>
    <w:qFormat/>
    <w:rsid w:val="00357F56"/>
    <w:pPr>
      <w:keepNext/>
      <w:keepLines/>
      <w:numPr>
        <w:ilvl w:val="2"/>
        <w:numId w:val="7"/>
      </w:numPr>
      <w:tabs>
        <w:tab w:val="left" w:pos="1134"/>
        <w:tab w:val="left" w:pos="1701"/>
        <w:tab w:val="left" w:pos="1985"/>
      </w:tabs>
      <w:spacing w:before="200" w:after="220" w:line="240" w:lineRule="auto"/>
      <w:ind w:left="1134" w:hanging="1134"/>
      <w:outlineLvl w:val="2"/>
    </w:pPr>
    <w:rPr>
      <w:rFonts w:asciiTheme="majorHAnsi" w:hAnsiTheme="majorHAnsi"/>
      <w:i/>
      <w:color w:val="00B2A9" w:themeColor="accent1"/>
      <w:sz w:val="28"/>
    </w:rPr>
  </w:style>
  <w:style w:type="paragraph" w:styleId="Heading4">
    <w:name w:val="heading 4"/>
    <w:basedOn w:val="Normal"/>
    <w:next w:val="BodyText"/>
    <w:link w:val="Heading4Char"/>
    <w:qFormat/>
    <w:rsid w:val="00FA2F8A"/>
    <w:pPr>
      <w:keepNext/>
      <w:keepLines/>
      <w:tabs>
        <w:tab w:val="left" w:pos="1418"/>
        <w:tab w:val="left" w:pos="1701"/>
        <w:tab w:val="left" w:pos="1985"/>
      </w:tabs>
      <w:spacing w:line="200" w:lineRule="atLeast"/>
      <w:outlineLvl w:val="3"/>
    </w:pPr>
    <w:rPr>
      <w:rFonts w:asciiTheme="majorHAnsi" w:eastAsiaTheme="majorEastAsia" w:hAnsiTheme="majorHAnsi" w:cstheme="majorBidi"/>
      <w:b/>
      <w:bCs/>
      <w:i/>
      <w:iCs/>
    </w:rPr>
  </w:style>
  <w:style w:type="paragraph" w:styleId="Heading5">
    <w:name w:val="heading 5"/>
    <w:basedOn w:val="Normal"/>
    <w:next w:val="BodyText"/>
    <w:link w:val="Heading5Char"/>
    <w:qFormat/>
    <w:rsid w:val="00FA2F8A"/>
    <w:pPr>
      <w:keepNext/>
      <w:keepLines/>
      <w:spacing w:line="240" w:lineRule="auto"/>
      <w:outlineLvl w:val="4"/>
    </w:pPr>
    <w:rPr>
      <w:rFonts w:asciiTheme="majorHAnsi" w:eastAsiaTheme="majorEastAsia" w:hAnsiTheme="majorHAnsi" w:cstheme="majorBidi"/>
      <w:i/>
      <w:u w:val="single"/>
    </w:rPr>
  </w:style>
  <w:style w:type="paragraph" w:styleId="Heading6">
    <w:name w:val="heading 6"/>
    <w:basedOn w:val="Normal"/>
    <w:next w:val="BodyText"/>
    <w:link w:val="Heading6Char"/>
    <w:qFormat/>
    <w:rsid w:val="008D3250"/>
    <w:pPr>
      <w:keepNext/>
      <w:keepLines/>
      <w:spacing w:line="240" w:lineRule="auto"/>
      <w:outlineLvl w:val="5"/>
    </w:pPr>
    <w:rPr>
      <w:rFonts w:asciiTheme="majorHAnsi" w:eastAsiaTheme="majorEastAsia" w:hAnsiTheme="majorHAnsi" w:cstheme="majorBidi"/>
      <w:b/>
      <w:i/>
      <w:iCs/>
      <w:color w:val="00B2A9" w:themeColor="text2"/>
    </w:rPr>
  </w:style>
  <w:style w:type="paragraph" w:styleId="Heading7">
    <w:name w:val="heading 7"/>
    <w:basedOn w:val="Normal"/>
    <w:next w:val="Normal"/>
    <w:link w:val="Heading7Char"/>
    <w:uiPriority w:val="99"/>
    <w:qFormat/>
    <w:rsid w:val="007E536E"/>
    <w:pPr>
      <w:keepNext/>
      <w:keepLines/>
      <w:spacing w:before="2820" w:after="180"/>
      <w:outlineLvl w:val="6"/>
    </w:pPr>
    <w:rPr>
      <w:rFonts w:asciiTheme="majorHAnsi" w:eastAsiaTheme="majorEastAsia" w:hAnsiTheme="majorHAnsi" w:cstheme="majorBidi"/>
      <w:b/>
      <w:iCs/>
      <w:color w:val="FFFFFF"/>
    </w:rPr>
  </w:style>
  <w:style w:type="paragraph" w:styleId="Heading8">
    <w:name w:val="heading 8"/>
    <w:aliases w:val="Appendix Title"/>
    <w:basedOn w:val="Normal"/>
    <w:next w:val="BodyText"/>
    <w:link w:val="Heading8Char"/>
    <w:uiPriority w:val="99"/>
    <w:qFormat/>
    <w:rsid w:val="000758E3"/>
    <w:pPr>
      <w:keepNext/>
      <w:keepLines/>
      <w:pageBreakBefore/>
      <w:framePr w:w="11907" w:h="1985" w:hRule="exact" w:hSpace="11340" w:vSpace="284" w:wrap="around" w:vAnchor="page" w:hAnchor="page" w:yAlign="top"/>
      <w:numPr>
        <w:numId w:val="3"/>
      </w:numPr>
      <w:spacing w:before="1300" w:after="440" w:line="440" w:lineRule="exact"/>
      <w:ind w:right="1134"/>
      <w:outlineLvl w:val="7"/>
    </w:pPr>
    <w:rPr>
      <w:rFonts w:asciiTheme="majorHAnsi" w:eastAsiaTheme="majorEastAsia" w:hAnsiTheme="majorHAnsi" w:cstheme="majorBidi"/>
      <w:b/>
      <w:color w:val="00B2A9" w:themeColor="text2"/>
      <w:sz w:val="40"/>
    </w:rPr>
  </w:style>
  <w:style w:type="paragraph" w:styleId="Heading9">
    <w:name w:val="heading 9"/>
    <w:aliases w:val="Appendix Heading 1"/>
    <w:basedOn w:val="Normal"/>
    <w:next w:val="BodyText"/>
    <w:link w:val="Heading9Char"/>
    <w:qFormat/>
    <w:rsid w:val="000758E3"/>
    <w:pPr>
      <w:keepNext/>
      <w:keepLines/>
      <w:tabs>
        <w:tab w:val="left" w:pos="1559"/>
        <w:tab w:val="left" w:pos="1843"/>
        <w:tab w:val="left" w:pos="2126"/>
        <w:tab w:val="left" w:pos="2410"/>
      </w:tabs>
      <w:spacing w:before="100" w:after="100" w:line="280" w:lineRule="exact"/>
      <w:outlineLvl w:val="8"/>
    </w:pPr>
    <w:rPr>
      <w:b/>
      <w:color w:val="00B2A9" w:themeColor="text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561E6"/>
    <w:pPr>
      <w:spacing w:line="240" w:lineRule="auto"/>
    </w:pPr>
  </w:style>
  <w:style w:type="paragraph" w:styleId="Footer">
    <w:name w:val="footer"/>
    <w:basedOn w:val="Normal"/>
    <w:link w:val="FooterChar"/>
    <w:uiPriority w:val="99"/>
    <w:rsid w:val="00F83203"/>
    <w:pPr>
      <w:spacing w:line="200" w:lineRule="atLeast"/>
    </w:pPr>
    <w:rPr>
      <w:sz w:val="16"/>
    </w:rPr>
  </w:style>
  <w:style w:type="paragraph" w:customStyle="1" w:styleId="xDisclaimertext3">
    <w:name w:val="xDisclaimer text 3"/>
    <w:basedOn w:val="xDisclaimerText"/>
    <w:rsid w:val="009363B5"/>
    <w:pPr>
      <w:spacing w:before="60" w:after="60"/>
    </w:pPr>
  </w:style>
  <w:style w:type="character" w:styleId="PageNumber">
    <w:name w:val="page number"/>
    <w:basedOn w:val="DefaultParagraphFont"/>
    <w:uiPriority w:val="99"/>
    <w:semiHidden/>
    <w:rsid w:val="003C3BC2"/>
    <w:rPr>
      <w:rFonts w:ascii="Arial" w:hAnsi="Arial"/>
      <w:b/>
      <w:color w:val="auto"/>
      <w:sz w:val="16"/>
    </w:rPr>
  </w:style>
  <w:style w:type="paragraph" w:customStyle="1" w:styleId="FooterOdd">
    <w:name w:val="Footer Odd"/>
    <w:next w:val="Footer"/>
    <w:rsid w:val="00F83203"/>
    <w:pPr>
      <w:spacing w:line="200" w:lineRule="atLeast"/>
      <w:jc w:val="right"/>
    </w:pPr>
    <w:rPr>
      <w:spacing w:val="2"/>
      <w:sz w:val="16"/>
    </w:rPr>
  </w:style>
  <w:style w:type="table" w:styleId="TableGrid">
    <w:name w:val="Table Grid"/>
    <w:basedOn w:val="TableNormal"/>
    <w:uiPriority w:val="59"/>
    <w:rsid w:val="00BB1F66"/>
    <w:pPr>
      <w:spacing w:before="60" w:after="60" w:line="220" w:lineRule="atLeast"/>
      <w:ind w:left="113" w:right="113"/>
    </w:pPr>
    <w:rPr>
      <w:rFonts w:cs="Times New Roman"/>
      <w:sz w:val="18"/>
    </w:rPr>
    <w:tblPr>
      <w:tblStyleColBandSize w:val="1"/>
      <w:tblBorders>
        <w:top w:val="single" w:sz="8" w:space="0" w:color="00B2A9" w:themeColor="text2"/>
        <w:bottom w:val="single" w:sz="8" w:space="0" w:color="00B2A9" w:themeColor="text2"/>
        <w:insideH w:val="single" w:sz="8" w:space="0" w:color="00B2A9" w:themeColor="text2"/>
      </w:tblBorders>
      <w:tblCellMar>
        <w:left w:w="0" w:type="dxa"/>
        <w:right w:w="0" w:type="dxa"/>
      </w:tblCellMar>
    </w:tblPr>
    <w:tblStylePr w:type="firstRow">
      <w:pPr>
        <w:wordWrap/>
        <w:spacing w:beforeLines="0" w:beforeAutospacing="0" w:afterLines="0" w:afterAutospacing="0" w:line="220" w:lineRule="atLeast"/>
        <w:jc w:val="left"/>
      </w:pPr>
      <w:rPr>
        <w:rFonts w:asciiTheme="minorHAnsi" w:hAnsiTheme="minorHAnsi"/>
        <w:b w:val="0"/>
        <w:color w:val="363534" w:themeColor="text1"/>
        <w:sz w:val="18"/>
      </w:rPr>
      <w:tblPr/>
      <w:tcPr>
        <w:shd w:val="clear" w:color="auto" w:fill="00B2A9" w:themeFill="text2"/>
      </w:tcPr>
    </w:tblStylePr>
    <w:tblStylePr w:type="lastRow">
      <w:rPr>
        <w:b w:val="0"/>
      </w:rPr>
    </w:tblStylePr>
    <w:tblStylePr w:type="lastCol">
      <w:pPr>
        <w:jc w:val="left"/>
      </w:pPr>
    </w:tblStylePr>
    <w:tblStylePr w:type="band1Vert">
      <w:tblPr/>
      <w:tcPr>
        <w:shd w:val="clear" w:color="auto" w:fill="E5F7F6" w:themeFill="background2"/>
      </w:tcPr>
    </w:tblStylePr>
    <w:tblStylePr w:type="nwCell">
      <w:pPr>
        <w:jc w:val="left"/>
      </w:pPr>
      <w:tblPr/>
      <w:tcPr>
        <w:vAlign w:val="center"/>
      </w:tcPr>
    </w:tblStylePr>
  </w:style>
  <w:style w:type="paragraph" w:customStyle="1" w:styleId="FooterEven">
    <w:name w:val="Footer Even"/>
    <w:next w:val="Footer"/>
    <w:rsid w:val="00F83203"/>
    <w:pPr>
      <w:spacing w:line="200" w:lineRule="atLeast"/>
    </w:pPr>
    <w:rPr>
      <w:sz w:val="16"/>
    </w:rPr>
  </w:style>
  <w:style w:type="character" w:customStyle="1" w:styleId="FooterChar">
    <w:name w:val="Footer Char"/>
    <w:basedOn w:val="DefaultParagraphFont"/>
    <w:link w:val="Footer"/>
    <w:uiPriority w:val="99"/>
    <w:rsid w:val="00F83203"/>
    <w:rPr>
      <w:sz w:val="16"/>
    </w:rPr>
  </w:style>
  <w:style w:type="paragraph" w:customStyle="1" w:styleId="FooterOddPageNumber">
    <w:name w:val="Footer Odd Page Number"/>
    <w:basedOn w:val="FooterOdd"/>
    <w:rsid w:val="001748A0"/>
    <w:pPr>
      <w:ind w:right="28"/>
    </w:pPr>
    <w:rPr>
      <w:b/>
      <w:color w:val="00B2A9" w:themeColor="accent1"/>
    </w:rPr>
  </w:style>
  <w:style w:type="paragraph" w:customStyle="1" w:styleId="FootnoteSeparator">
    <w:name w:val="Footnote Separator"/>
    <w:basedOn w:val="Normal"/>
    <w:unhideWhenUsed/>
    <w:rsid w:val="0086233C"/>
    <w:pPr>
      <w:pBdr>
        <w:top w:val="dotted" w:sz="8" w:space="0" w:color="363534" w:themeColor="text1"/>
      </w:pBdr>
      <w:spacing w:before="120" w:line="120" w:lineRule="exact"/>
    </w:pPr>
    <w:rPr>
      <w:sz w:val="16"/>
      <w:szCs w:val="16"/>
    </w:rPr>
  </w:style>
  <w:style w:type="paragraph" w:customStyle="1" w:styleId="Emailaddress">
    <w:name w:val="Email address"/>
    <w:basedOn w:val="Normal"/>
    <w:semiHidden/>
    <w:rsid w:val="00606818"/>
    <w:rPr>
      <w:sz w:val="16"/>
      <w:szCs w:val="16"/>
    </w:rPr>
  </w:style>
  <w:style w:type="character" w:customStyle="1" w:styleId="Italics">
    <w:name w:val="Italics"/>
    <w:rsid w:val="00901CD1"/>
    <w:rPr>
      <w:i/>
    </w:rPr>
  </w:style>
  <w:style w:type="paragraph" w:styleId="ListContinue">
    <w:name w:val="List Continue"/>
    <w:basedOn w:val="Normal"/>
    <w:semiHidden/>
    <w:qFormat/>
    <w:rsid w:val="00606818"/>
    <w:pPr>
      <w:spacing w:before="220" w:after="220"/>
      <w:ind w:left="340"/>
    </w:pPr>
  </w:style>
  <w:style w:type="paragraph" w:styleId="ListContinue2">
    <w:name w:val="List Continue 2"/>
    <w:basedOn w:val="Normal"/>
    <w:semiHidden/>
    <w:qFormat/>
    <w:rsid w:val="00606818"/>
    <w:pPr>
      <w:spacing w:before="220" w:after="220"/>
      <w:ind w:left="680"/>
    </w:pPr>
  </w:style>
  <w:style w:type="paragraph" w:styleId="ListNumber">
    <w:name w:val="List Number"/>
    <w:basedOn w:val="Normal"/>
    <w:uiPriority w:val="13"/>
    <w:qFormat/>
    <w:rsid w:val="00B876CB"/>
    <w:pPr>
      <w:numPr>
        <w:numId w:val="4"/>
      </w:numPr>
      <w:spacing w:before="120" w:after="120"/>
    </w:pPr>
  </w:style>
  <w:style w:type="paragraph" w:styleId="ListNumber2">
    <w:name w:val="List Number 2"/>
    <w:basedOn w:val="Normal"/>
    <w:uiPriority w:val="13"/>
    <w:qFormat/>
    <w:rsid w:val="00781566"/>
    <w:pPr>
      <w:numPr>
        <w:ilvl w:val="1"/>
        <w:numId w:val="4"/>
      </w:numPr>
      <w:spacing w:before="120" w:after="120"/>
    </w:pPr>
  </w:style>
  <w:style w:type="paragraph" w:styleId="ListNumber3">
    <w:name w:val="List Number 3"/>
    <w:basedOn w:val="Normal"/>
    <w:uiPriority w:val="13"/>
    <w:qFormat/>
    <w:rsid w:val="00781566"/>
    <w:pPr>
      <w:numPr>
        <w:ilvl w:val="2"/>
        <w:numId w:val="4"/>
      </w:numPr>
      <w:spacing w:before="120" w:after="120"/>
    </w:pPr>
  </w:style>
  <w:style w:type="numbering" w:styleId="1ai">
    <w:name w:val="Outline List 1"/>
    <w:basedOn w:val="NoList"/>
    <w:rsid w:val="00606818"/>
    <w:pPr>
      <w:numPr>
        <w:numId w:val="1"/>
      </w:numPr>
    </w:pPr>
  </w:style>
  <w:style w:type="paragraph" w:styleId="BalloonText">
    <w:name w:val="Balloon Text"/>
    <w:basedOn w:val="Normal"/>
    <w:link w:val="BalloonTextChar"/>
    <w:uiPriority w:val="99"/>
    <w:semiHidden/>
    <w:unhideWhenUsed/>
    <w:rsid w:val="00606818"/>
    <w:rPr>
      <w:rFonts w:ascii="Tahoma" w:hAnsi="Tahoma" w:cs="Tahoma"/>
      <w:sz w:val="16"/>
      <w:szCs w:val="16"/>
    </w:rPr>
  </w:style>
  <w:style w:type="character" w:customStyle="1" w:styleId="HeaderChar">
    <w:name w:val="Header Char"/>
    <w:basedOn w:val="DefaultParagraphFont"/>
    <w:link w:val="Header"/>
    <w:uiPriority w:val="99"/>
    <w:rsid w:val="004561E6"/>
    <w:rPr>
      <w:color w:val="auto"/>
    </w:rPr>
  </w:style>
  <w:style w:type="paragraph" w:customStyle="1" w:styleId="TableTextBullet2">
    <w:name w:val="Table Text Bullet 2"/>
    <w:basedOn w:val="TableTextBullet"/>
    <w:qFormat/>
    <w:rsid w:val="004D4063"/>
    <w:pPr>
      <w:numPr>
        <w:ilvl w:val="1"/>
      </w:numPr>
    </w:pPr>
    <w:rPr>
      <w:bCs/>
    </w:rPr>
  </w:style>
  <w:style w:type="paragraph" w:customStyle="1" w:styleId="TableTextBullet3">
    <w:name w:val="Table Text Bullet 3"/>
    <w:basedOn w:val="TableTextBullet2"/>
    <w:qFormat/>
    <w:rsid w:val="004D4063"/>
    <w:pPr>
      <w:numPr>
        <w:ilvl w:val="2"/>
      </w:numPr>
    </w:pPr>
    <w:rPr>
      <w:bCs w:val="0"/>
    </w:rPr>
  </w:style>
  <w:style w:type="paragraph" w:customStyle="1" w:styleId="xDoublePic">
    <w:name w:val="xDoublePic"/>
    <w:basedOn w:val="xInlineShape"/>
    <w:semiHidden/>
    <w:rsid w:val="001E4751"/>
    <w:pPr>
      <w:spacing w:before="0" w:after="0"/>
    </w:pPr>
  </w:style>
  <w:style w:type="paragraph" w:styleId="BodyText">
    <w:name w:val="Body Text"/>
    <w:basedOn w:val="Normal"/>
    <w:link w:val="BodyTextChar"/>
    <w:uiPriority w:val="1"/>
    <w:qFormat/>
    <w:rsid w:val="0086233C"/>
    <w:pPr>
      <w:spacing w:before="60" w:after="120"/>
    </w:pPr>
    <w:rPr>
      <w:rFonts w:cs="Times New Roman"/>
      <w:lang w:eastAsia="en-US"/>
    </w:rPr>
  </w:style>
  <w:style w:type="character" w:customStyle="1" w:styleId="BodyTextChar">
    <w:name w:val="Body Text Char"/>
    <w:basedOn w:val="DefaultParagraphFont"/>
    <w:link w:val="BodyText"/>
    <w:rsid w:val="0086233C"/>
    <w:rPr>
      <w:rFonts w:cs="Times New Roman"/>
      <w:lang w:eastAsia="en-US"/>
    </w:rPr>
  </w:style>
  <w:style w:type="paragraph" w:customStyle="1" w:styleId="Footnotes">
    <w:name w:val="Footnotes"/>
    <w:basedOn w:val="Normal"/>
    <w:rsid w:val="0016301C"/>
    <w:pPr>
      <w:keepLines/>
      <w:numPr>
        <w:numId w:val="6"/>
      </w:numPr>
      <w:spacing w:before="60" w:after="100" w:afterAutospacing="1" w:line="180" w:lineRule="exact"/>
    </w:pPr>
    <w:rPr>
      <w:sz w:val="14"/>
    </w:rPr>
  </w:style>
  <w:style w:type="paragraph" w:customStyle="1" w:styleId="TableHeadingLeft">
    <w:name w:val="Table Heading Left"/>
    <w:basedOn w:val="TableTextLeft"/>
    <w:qFormat/>
    <w:rsid w:val="008C0821"/>
    <w:pPr>
      <w:keepNext/>
      <w:keepLines/>
    </w:pPr>
    <w:rPr>
      <w:b/>
      <w:color w:val="FFFFFF"/>
    </w:rPr>
  </w:style>
  <w:style w:type="character" w:customStyle="1" w:styleId="Superscript">
    <w:name w:val="Superscript"/>
    <w:semiHidden/>
    <w:rsid w:val="0045714E"/>
    <w:rPr>
      <w:vertAlign w:val="superscript"/>
    </w:rPr>
  </w:style>
  <w:style w:type="character" w:styleId="Hyperlink">
    <w:name w:val="Hyperlink"/>
    <w:basedOn w:val="DefaultParagraphFont"/>
    <w:uiPriority w:val="99"/>
    <w:unhideWhenUsed/>
    <w:rsid w:val="00502E1D"/>
    <w:rPr>
      <w:color w:val="auto"/>
      <w:u w:val="single"/>
    </w:rPr>
  </w:style>
  <w:style w:type="paragraph" w:styleId="ListParagraph">
    <w:name w:val="List Paragraph"/>
    <w:basedOn w:val="Normal"/>
    <w:uiPriority w:val="34"/>
    <w:qFormat/>
    <w:rsid w:val="00F0072E"/>
    <w:pPr>
      <w:ind w:left="720"/>
      <w:contextualSpacing/>
    </w:pPr>
  </w:style>
  <w:style w:type="paragraph" w:styleId="Caption">
    <w:name w:val="caption"/>
    <w:basedOn w:val="Normal"/>
    <w:next w:val="BodyText"/>
    <w:qFormat/>
    <w:rsid w:val="00167957"/>
    <w:pPr>
      <w:keepNext/>
      <w:spacing w:line="240" w:lineRule="auto"/>
    </w:pPr>
    <w:rPr>
      <w:b/>
      <w:bCs/>
      <w:color w:val="2E1E66" w:themeColor="accent2" w:themeTint="E6"/>
    </w:rPr>
  </w:style>
  <w:style w:type="character" w:styleId="FootnoteReference">
    <w:name w:val="footnote reference"/>
    <w:basedOn w:val="DefaultParagraphFont"/>
    <w:uiPriority w:val="99"/>
    <w:rsid w:val="00810B9B"/>
    <w:rPr>
      <w:color w:val="363534" w:themeColor="text1"/>
      <w:vertAlign w:val="superscript"/>
    </w:rPr>
  </w:style>
  <w:style w:type="paragraph" w:styleId="FootnoteText">
    <w:name w:val="footnote text"/>
    <w:basedOn w:val="Normal"/>
    <w:link w:val="FootnoteTextChar"/>
    <w:uiPriority w:val="99"/>
    <w:rsid w:val="00F83203"/>
    <w:pPr>
      <w:tabs>
        <w:tab w:val="left" w:pos="284"/>
      </w:tabs>
      <w:spacing w:after="60" w:line="180" w:lineRule="atLeast"/>
      <w:ind w:left="284" w:hanging="284"/>
    </w:pPr>
    <w:rPr>
      <w:kern w:val="16"/>
      <w:sz w:val="14"/>
    </w:rPr>
  </w:style>
  <w:style w:type="character" w:customStyle="1" w:styleId="FootnoteTextChar">
    <w:name w:val="Footnote Text Char"/>
    <w:basedOn w:val="DefaultParagraphFont"/>
    <w:link w:val="FootnoteText"/>
    <w:uiPriority w:val="99"/>
    <w:rsid w:val="00F83203"/>
    <w:rPr>
      <w:kern w:val="16"/>
      <w:sz w:val="14"/>
    </w:rPr>
  </w:style>
  <w:style w:type="paragraph" w:styleId="ListBullet">
    <w:name w:val="List Bullet"/>
    <w:basedOn w:val="Normal"/>
    <w:unhideWhenUsed/>
    <w:qFormat/>
    <w:rsid w:val="004D4063"/>
    <w:pPr>
      <w:numPr>
        <w:numId w:val="8"/>
      </w:numPr>
      <w:spacing w:before="120" w:after="120"/>
    </w:pPr>
  </w:style>
  <w:style w:type="paragraph" w:styleId="ListBullet2">
    <w:name w:val="List Bullet 2"/>
    <w:basedOn w:val="ListBullet"/>
    <w:unhideWhenUsed/>
    <w:qFormat/>
    <w:rsid w:val="004D4063"/>
    <w:pPr>
      <w:numPr>
        <w:ilvl w:val="1"/>
      </w:numPr>
    </w:pPr>
  </w:style>
  <w:style w:type="paragraph" w:styleId="ListBullet3">
    <w:name w:val="List Bullet 3"/>
    <w:basedOn w:val="Normal"/>
    <w:unhideWhenUsed/>
    <w:qFormat/>
    <w:rsid w:val="004D4063"/>
    <w:pPr>
      <w:numPr>
        <w:ilvl w:val="2"/>
        <w:numId w:val="8"/>
      </w:numPr>
      <w:spacing w:before="120" w:after="120"/>
    </w:pPr>
  </w:style>
  <w:style w:type="paragraph" w:styleId="Subtitle">
    <w:name w:val="Subtitle"/>
    <w:basedOn w:val="Normal"/>
    <w:next w:val="Normal"/>
    <w:link w:val="SubtitleChar"/>
    <w:uiPriority w:val="11"/>
    <w:qFormat/>
    <w:rsid w:val="001748A0"/>
    <w:pPr>
      <w:numPr>
        <w:ilvl w:val="1"/>
      </w:numPr>
      <w:spacing w:line="360" w:lineRule="exact"/>
      <w:jc w:val="right"/>
    </w:pPr>
    <w:rPr>
      <w:rFonts w:asciiTheme="majorHAnsi" w:eastAsiaTheme="majorEastAsia" w:hAnsiTheme="majorHAnsi" w:cstheme="majorBidi"/>
      <w:iCs/>
      <w:color w:val="FFFFFF"/>
      <w:sz w:val="32"/>
      <w:szCs w:val="24"/>
    </w:rPr>
  </w:style>
  <w:style w:type="character" w:customStyle="1" w:styleId="SubtitleChar">
    <w:name w:val="Subtitle Char"/>
    <w:basedOn w:val="DefaultParagraphFont"/>
    <w:link w:val="Subtitle"/>
    <w:uiPriority w:val="11"/>
    <w:rsid w:val="001748A0"/>
    <w:rPr>
      <w:rFonts w:asciiTheme="majorHAnsi" w:eastAsiaTheme="majorEastAsia" w:hAnsiTheme="majorHAnsi" w:cstheme="majorBidi"/>
      <w:iCs/>
      <w:color w:val="FFFFFF"/>
      <w:sz w:val="32"/>
      <w:szCs w:val="24"/>
    </w:rPr>
  </w:style>
  <w:style w:type="paragraph" w:customStyle="1" w:styleId="TableTextLeft">
    <w:name w:val="Table Text Left"/>
    <w:basedOn w:val="Normal"/>
    <w:qFormat/>
    <w:rsid w:val="006669FB"/>
    <w:pPr>
      <w:spacing w:before="60" w:after="60" w:line="220" w:lineRule="atLeast"/>
      <w:ind w:left="113" w:right="113"/>
    </w:pPr>
    <w:rPr>
      <w:sz w:val="18"/>
    </w:rPr>
  </w:style>
  <w:style w:type="table" w:styleId="TableColumns3">
    <w:name w:val="Table Columns 3"/>
    <w:basedOn w:val="TableNormal"/>
    <w:rsid w:val="00606818"/>
    <w:rPr>
      <w:rFonts w:ascii="Times New Roman" w:hAnsi="Times New Roman" w:cs="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paragraph" w:customStyle="1" w:styleId="TableTextBullet">
    <w:name w:val="Table Text Bullet"/>
    <w:basedOn w:val="TableTextLeft"/>
    <w:rsid w:val="004D4063"/>
    <w:pPr>
      <w:numPr>
        <w:numId w:val="10"/>
      </w:numPr>
    </w:pPr>
  </w:style>
  <w:style w:type="paragraph" w:customStyle="1" w:styleId="TableTextNumbered">
    <w:name w:val="Table Text Numbered"/>
    <w:basedOn w:val="TableTextLeft"/>
    <w:qFormat/>
    <w:rsid w:val="00041903"/>
    <w:pPr>
      <w:numPr>
        <w:numId w:val="2"/>
      </w:numPr>
    </w:pPr>
  </w:style>
  <w:style w:type="paragraph" w:customStyle="1" w:styleId="TableTextNumbered2">
    <w:name w:val="Table Text Numbered 2"/>
    <w:basedOn w:val="TableTextNumbered"/>
    <w:qFormat/>
    <w:rsid w:val="003043D2"/>
    <w:pPr>
      <w:numPr>
        <w:ilvl w:val="1"/>
      </w:numPr>
    </w:pPr>
  </w:style>
  <w:style w:type="paragraph" w:customStyle="1" w:styleId="TableTextNumbered3">
    <w:name w:val="Table Text Numbered 3"/>
    <w:basedOn w:val="TableTextNumbered2"/>
    <w:qFormat/>
    <w:rsid w:val="00606818"/>
    <w:pPr>
      <w:numPr>
        <w:ilvl w:val="2"/>
      </w:numPr>
    </w:pPr>
  </w:style>
  <w:style w:type="character" w:styleId="PlaceholderText">
    <w:name w:val="Placeholder Text"/>
    <w:basedOn w:val="DefaultParagraphFont"/>
    <w:uiPriority w:val="99"/>
    <w:rsid w:val="0040102D"/>
    <w:rPr>
      <w:color w:val="808080"/>
    </w:rPr>
  </w:style>
  <w:style w:type="paragraph" w:customStyle="1" w:styleId="TableTextLeftBold">
    <w:name w:val="Table Text Left Bold"/>
    <w:basedOn w:val="TableTextLeft"/>
    <w:qFormat/>
    <w:rsid w:val="001F668A"/>
    <w:rPr>
      <w:b/>
    </w:rPr>
  </w:style>
  <w:style w:type="paragraph" w:customStyle="1" w:styleId="BoldHeading">
    <w:name w:val="Bold Heading"/>
    <w:basedOn w:val="Normal"/>
    <w:next w:val="BodyText"/>
    <w:qFormat/>
    <w:rsid w:val="00E825EC"/>
    <w:pPr>
      <w:spacing w:before="280" w:after="240"/>
    </w:pPr>
    <w:rPr>
      <w:b/>
    </w:rPr>
  </w:style>
  <w:style w:type="paragraph" w:customStyle="1" w:styleId="xInlineShape">
    <w:name w:val="xInlineShape"/>
    <w:basedOn w:val="Normal"/>
    <w:next w:val="BodyText"/>
    <w:uiPriority w:val="3"/>
    <w:semiHidden/>
    <w:rsid w:val="00236737"/>
    <w:pPr>
      <w:keepNext/>
      <w:spacing w:before="120" w:after="20" w:line="240" w:lineRule="auto"/>
    </w:pPr>
  </w:style>
  <w:style w:type="character" w:customStyle="1" w:styleId="Heading4Char">
    <w:name w:val="Heading 4 Char"/>
    <w:basedOn w:val="DefaultParagraphFont"/>
    <w:link w:val="Heading4"/>
    <w:rsid w:val="00FA2F8A"/>
    <w:rPr>
      <w:rFonts w:asciiTheme="majorHAnsi" w:eastAsiaTheme="majorEastAsia" w:hAnsiTheme="majorHAnsi" w:cstheme="majorBidi"/>
      <w:b/>
      <w:bCs/>
      <w:i/>
      <w:iCs/>
      <w:color w:val="auto"/>
    </w:rPr>
  </w:style>
  <w:style w:type="paragraph" w:customStyle="1" w:styleId="xDisclaimerHeading">
    <w:name w:val="xDisclaimer Heading"/>
    <w:basedOn w:val="Normal"/>
    <w:rsid w:val="0086233C"/>
    <w:pPr>
      <w:spacing w:before="170" w:after="20" w:line="170" w:lineRule="atLeast"/>
    </w:pPr>
    <w:rPr>
      <w:b/>
      <w:sz w:val="16"/>
    </w:rPr>
  </w:style>
  <w:style w:type="paragraph" w:styleId="Title">
    <w:name w:val="Title"/>
    <w:basedOn w:val="Normal"/>
    <w:next w:val="Normal"/>
    <w:link w:val="TitleChar"/>
    <w:qFormat/>
    <w:rsid w:val="002C2E8E"/>
    <w:pPr>
      <w:spacing w:after="360" w:line="600" w:lineRule="exact"/>
      <w:jc w:val="right"/>
    </w:pPr>
    <w:rPr>
      <w:rFonts w:asciiTheme="majorHAnsi" w:eastAsiaTheme="majorEastAsia" w:hAnsiTheme="majorHAnsi" w:cstheme="majorBidi"/>
      <w:b/>
      <w:color w:val="FFFFFF"/>
      <w:spacing w:val="-2"/>
      <w:sz w:val="54"/>
      <w:szCs w:val="52"/>
    </w:rPr>
  </w:style>
  <w:style w:type="character" w:customStyle="1" w:styleId="TitleChar">
    <w:name w:val="Title Char"/>
    <w:basedOn w:val="DefaultParagraphFont"/>
    <w:link w:val="Title"/>
    <w:uiPriority w:val="99"/>
    <w:rsid w:val="000758E3"/>
    <w:rPr>
      <w:rFonts w:asciiTheme="majorHAnsi" w:eastAsiaTheme="majorEastAsia" w:hAnsiTheme="majorHAnsi" w:cstheme="majorBidi"/>
      <w:b/>
      <w:color w:val="FFFFFF"/>
      <w:spacing w:val="-2"/>
      <w:sz w:val="54"/>
      <w:szCs w:val="52"/>
    </w:rPr>
  </w:style>
  <w:style w:type="table" w:customStyle="1" w:styleId="TableAsPlaceholder">
    <w:name w:val="Table As Placeholder"/>
    <w:basedOn w:val="TableNormal"/>
    <w:uiPriority w:val="99"/>
    <w:qFormat/>
    <w:rsid w:val="001F4435"/>
    <w:tblPr>
      <w:tblCellMar>
        <w:left w:w="0" w:type="dxa"/>
        <w:right w:w="0" w:type="dxa"/>
      </w:tblCellMar>
    </w:tblPr>
  </w:style>
  <w:style w:type="paragraph" w:styleId="TOC1">
    <w:name w:val="toc 1"/>
    <w:basedOn w:val="Normal"/>
    <w:next w:val="Normal"/>
    <w:autoRedefine/>
    <w:uiPriority w:val="39"/>
    <w:rsid w:val="00357F56"/>
    <w:pPr>
      <w:tabs>
        <w:tab w:val="left" w:pos="567"/>
        <w:tab w:val="right" w:leader="dot" w:pos="8505"/>
      </w:tabs>
      <w:spacing w:before="40" w:after="40" w:line="240" w:lineRule="auto"/>
      <w:ind w:right="851"/>
    </w:pPr>
    <w:rPr>
      <w:b/>
      <w:noProof/>
      <w:color w:val="642667"/>
      <w:sz w:val="22"/>
      <w:szCs w:val="22"/>
    </w:rPr>
  </w:style>
  <w:style w:type="paragraph" w:styleId="TOCHeading">
    <w:name w:val="TOC Heading"/>
    <w:basedOn w:val="Normal"/>
    <w:uiPriority w:val="39"/>
    <w:qFormat/>
    <w:rsid w:val="00096B2D"/>
    <w:pPr>
      <w:framePr w:w="11907" w:h="1985" w:hSpace="11340" w:vSpace="284" w:wrap="around" w:vAnchor="page" w:hAnchor="page" w:yAlign="top"/>
      <w:tabs>
        <w:tab w:val="left" w:pos="1134"/>
        <w:tab w:val="left" w:pos="2268"/>
        <w:tab w:val="left" w:pos="3402"/>
        <w:tab w:val="left" w:pos="4536"/>
        <w:tab w:val="left" w:pos="5103"/>
      </w:tabs>
      <w:spacing w:before="1300" w:after="440" w:line="240" w:lineRule="auto"/>
      <w:ind w:left="1134" w:right="1134"/>
    </w:pPr>
    <w:rPr>
      <w:b/>
      <w:color w:val="00B2A9" w:themeColor="text2"/>
      <w:sz w:val="40"/>
      <w:szCs w:val="40"/>
    </w:rPr>
  </w:style>
  <w:style w:type="paragraph" w:styleId="TOC2">
    <w:name w:val="toc 2"/>
    <w:basedOn w:val="Normal"/>
    <w:next w:val="Normal"/>
    <w:autoRedefine/>
    <w:uiPriority w:val="39"/>
    <w:rsid w:val="00B53D4A"/>
    <w:pPr>
      <w:tabs>
        <w:tab w:val="left" w:pos="1000"/>
        <w:tab w:val="right" w:leader="dot" w:pos="8505"/>
      </w:tabs>
      <w:spacing w:before="40" w:after="40" w:line="240" w:lineRule="auto"/>
      <w:ind w:left="284"/>
    </w:pPr>
    <w:rPr>
      <w:b/>
      <w:noProof/>
      <w:szCs w:val="28"/>
    </w:rPr>
  </w:style>
  <w:style w:type="paragraph" w:styleId="TOC3">
    <w:name w:val="toc 3"/>
    <w:basedOn w:val="Normal"/>
    <w:next w:val="Normal"/>
    <w:autoRedefine/>
    <w:uiPriority w:val="39"/>
    <w:rsid w:val="00B53D4A"/>
    <w:pPr>
      <w:tabs>
        <w:tab w:val="left" w:pos="1560"/>
        <w:tab w:val="right" w:leader="dot" w:pos="8505"/>
      </w:tabs>
      <w:spacing w:before="40" w:after="40" w:line="240" w:lineRule="auto"/>
      <w:ind w:left="567"/>
    </w:pPr>
    <w:rPr>
      <w:rFonts w:eastAsiaTheme="minorEastAsia" w:cstheme="minorBidi"/>
      <w:noProof/>
    </w:rPr>
  </w:style>
  <w:style w:type="paragraph" w:styleId="TOC4">
    <w:name w:val="toc 4"/>
    <w:basedOn w:val="Normal"/>
    <w:autoRedefine/>
    <w:uiPriority w:val="39"/>
    <w:rsid w:val="00FB7090"/>
    <w:pPr>
      <w:tabs>
        <w:tab w:val="right" w:leader="dot" w:pos="8505"/>
      </w:tabs>
      <w:spacing w:before="40" w:after="40" w:line="240" w:lineRule="auto"/>
      <w:ind w:left="851"/>
    </w:pPr>
    <w:rPr>
      <w:noProof/>
      <w:sz w:val="16"/>
      <w:szCs w:val="16"/>
    </w:rPr>
  </w:style>
  <w:style w:type="paragraph" w:styleId="TableofFigures">
    <w:name w:val="table of figures"/>
    <w:basedOn w:val="Normal"/>
    <w:next w:val="Normal"/>
    <w:rsid w:val="0016301C"/>
    <w:pPr>
      <w:tabs>
        <w:tab w:val="right" w:leader="dot" w:pos="9582"/>
      </w:tabs>
      <w:spacing w:before="60" w:after="60"/>
      <w:ind w:right="851"/>
    </w:pPr>
  </w:style>
  <w:style w:type="paragraph" w:customStyle="1" w:styleId="TOFHeading">
    <w:name w:val="TOF Heading"/>
    <w:basedOn w:val="Normal"/>
    <w:uiPriority w:val="99"/>
    <w:rsid w:val="00096B2D"/>
    <w:pPr>
      <w:keepNext/>
      <w:tabs>
        <w:tab w:val="left" w:pos="2268"/>
      </w:tabs>
      <w:spacing w:before="240" w:after="60"/>
    </w:pPr>
    <w:rPr>
      <w:b/>
      <w:color w:val="00B2A9" w:themeColor="text2"/>
      <w:szCs w:val="32"/>
    </w:rPr>
  </w:style>
  <w:style w:type="paragraph" w:customStyle="1" w:styleId="BodyText12ptBefore">
    <w:name w:val="Body Text 12pt Before"/>
    <w:basedOn w:val="BodyText"/>
    <w:next w:val="BodyText"/>
    <w:qFormat/>
    <w:rsid w:val="00097538"/>
    <w:pPr>
      <w:spacing w:before="240"/>
    </w:pPr>
  </w:style>
  <w:style w:type="character" w:customStyle="1" w:styleId="Heading7Char">
    <w:name w:val="Heading 7 Char"/>
    <w:basedOn w:val="DefaultParagraphFont"/>
    <w:link w:val="Heading7"/>
    <w:uiPriority w:val="99"/>
    <w:rsid w:val="007E536E"/>
    <w:rPr>
      <w:rFonts w:asciiTheme="majorHAnsi" w:eastAsiaTheme="majorEastAsia" w:hAnsiTheme="majorHAnsi" w:cstheme="majorBidi"/>
      <w:b/>
      <w:iCs/>
      <w:color w:val="FFFFFF"/>
      <w:sz w:val="22"/>
    </w:rPr>
  </w:style>
  <w:style w:type="character" w:customStyle="1" w:styleId="Heading9Char">
    <w:name w:val="Heading 9 Char"/>
    <w:aliases w:val="Appendix Heading 1 Char"/>
    <w:basedOn w:val="DefaultParagraphFont"/>
    <w:link w:val="Heading9"/>
    <w:rsid w:val="000758E3"/>
    <w:rPr>
      <w:b/>
      <w:color w:val="00B2A9" w:themeColor="text2"/>
      <w:sz w:val="24"/>
    </w:rPr>
  </w:style>
  <w:style w:type="paragraph" w:customStyle="1" w:styleId="AppendixHeading3">
    <w:name w:val="Appendix Heading 3"/>
    <w:basedOn w:val="Normal"/>
    <w:next w:val="BodyText"/>
    <w:uiPriority w:val="2"/>
    <w:rsid w:val="000758E3"/>
    <w:pPr>
      <w:keepNext/>
      <w:keepLines/>
      <w:tabs>
        <w:tab w:val="left" w:pos="1559"/>
        <w:tab w:val="left" w:pos="1843"/>
        <w:tab w:val="left" w:pos="2126"/>
        <w:tab w:val="left" w:pos="2410"/>
        <w:tab w:val="left" w:pos="6804"/>
      </w:tabs>
      <w:spacing w:before="100" w:after="100" w:line="240" w:lineRule="exact"/>
    </w:pPr>
    <w:rPr>
      <w:rFonts w:asciiTheme="majorHAnsi" w:hAnsiTheme="majorHAnsi"/>
      <w:b/>
      <w:i/>
      <w:color w:val="494847"/>
    </w:rPr>
  </w:style>
  <w:style w:type="paragraph" w:customStyle="1" w:styleId="TableofContents2">
    <w:name w:val="TableofContents2"/>
    <w:basedOn w:val="Normal"/>
    <w:semiHidden/>
    <w:rsid w:val="000E4B54"/>
    <w:pPr>
      <w:keepNext/>
      <w:spacing w:after="120" w:line="230" w:lineRule="auto"/>
    </w:pPr>
    <w:rPr>
      <w:spacing w:val="-6"/>
      <w:sz w:val="40"/>
      <w:szCs w:val="28"/>
    </w:rPr>
  </w:style>
  <w:style w:type="paragraph" w:styleId="TOC5">
    <w:name w:val="toc 5"/>
    <w:basedOn w:val="Normal"/>
    <w:next w:val="Normal"/>
    <w:autoRedefine/>
    <w:uiPriority w:val="39"/>
    <w:rsid w:val="00FB7090"/>
    <w:pPr>
      <w:tabs>
        <w:tab w:val="right" w:pos="8505"/>
      </w:tabs>
      <w:spacing w:before="40" w:after="40" w:line="240" w:lineRule="auto"/>
      <w:ind w:left="1134"/>
    </w:pPr>
    <w:rPr>
      <w:noProof/>
      <w:sz w:val="16"/>
      <w:szCs w:val="16"/>
    </w:rPr>
  </w:style>
  <w:style w:type="paragraph" w:styleId="TOC6">
    <w:name w:val="toc 6"/>
    <w:basedOn w:val="Normal"/>
    <w:next w:val="Normal"/>
    <w:autoRedefine/>
    <w:uiPriority w:val="39"/>
    <w:rsid w:val="00DE27B9"/>
    <w:pPr>
      <w:spacing w:after="100"/>
      <w:ind w:left="1000"/>
    </w:pPr>
  </w:style>
  <w:style w:type="paragraph" w:styleId="TOC7">
    <w:name w:val="toc 7"/>
    <w:basedOn w:val="Normal"/>
    <w:next w:val="Normal"/>
    <w:autoRedefine/>
    <w:uiPriority w:val="39"/>
    <w:rsid w:val="00DE27B9"/>
    <w:pPr>
      <w:spacing w:after="100"/>
      <w:ind w:left="1200"/>
    </w:pPr>
  </w:style>
  <w:style w:type="paragraph" w:styleId="TOC8">
    <w:name w:val="toc 8"/>
    <w:basedOn w:val="Normal"/>
    <w:next w:val="Normal"/>
    <w:autoRedefine/>
    <w:uiPriority w:val="39"/>
    <w:rsid w:val="00173F6E"/>
    <w:pPr>
      <w:tabs>
        <w:tab w:val="right" w:leader="dot" w:pos="9582"/>
      </w:tabs>
      <w:spacing w:before="120" w:after="60"/>
      <w:ind w:right="851"/>
    </w:pPr>
    <w:rPr>
      <w:b/>
      <w:color w:val="00B2A9" w:themeColor="text2"/>
    </w:rPr>
  </w:style>
  <w:style w:type="character" w:customStyle="1" w:styleId="Bold">
    <w:name w:val="Bold"/>
    <w:semiHidden/>
    <w:rsid w:val="00EE3D13"/>
    <w:rPr>
      <w:b/>
    </w:rPr>
  </w:style>
  <w:style w:type="paragraph" w:customStyle="1" w:styleId="xContactDetails">
    <w:name w:val="xContact Details"/>
    <w:basedOn w:val="TableTextLeft"/>
    <w:uiPriority w:val="3"/>
    <w:semiHidden/>
    <w:rsid w:val="009363B5"/>
    <w:pPr>
      <w:spacing w:before="40"/>
      <w:contextualSpacing/>
    </w:pPr>
    <w:rPr>
      <w:sz w:val="16"/>
    </w:rPr>
  </w:style>
  <w:style w:type="paragraph" w:customStyle="1" w:styleId="xEntityDetails">
    <w:name w:val="xEntity Details"/>
    <w:basedOn w:val="xContactDetails"/>
    <w:uiPriority w:val="3"/>
    <w:semiHidden/>
    <w:rsid w:val="00537024"/>
    <w:pPr>
      <w:framePr w:wrap="around" w:hAnchor="text"/>
    </w:pPr>
  </w:style>
  <w:style w:type="paragraph" w:customStyle="1" w:styleId="xStatus">
    <w:name w:val="xStatus"/>
    <w:basedOn w:val="Normal"/>
    <w:uiPriority w:val="3"/>
    <w:semiHidden/>
    <w:rsid w:val="006072AD"/>
    <w:pPr>
      <w:tabs>
        <w:tab w:val="left" w:pos="1134"/>
        <w:tab w:val="left" w:pos="2268"/>
        <w:tab w:val="left" w:pos="3402"/>
        <w:tab w:val="left" w:pos="4536"/>
        <w:tab w:val="left" w:pos="5103"/>
      </w:tabs>
      <w:spacing w:line="240" w:lineRule="auto"/>
      <w:jc w:val="center"/>
    </w:pPr>
    <w:rPr>
      <w:caps/>
      <w:color w:val="EAEAEA"/>
      <w:spacing w:val="40"/>
      <w:sz w:val="120"/>
      <w:szCs w:val="24"/>
    </w:rPr>
  </w:style>
  <w:style w:type="paragraph" w:customStyle="1" w:styleId="AppendixHeading2">
    <w:name w:val="Appendix Heading 2"/>
    <w:basedOn w:val="Normal"/>
    <w:next w:val="BodyText"/>
    <w:uiPriority w:val="2"/>
    <w:rsid w:val="000758E3"/>
    <w:pPr>
      <w:keepNext/>
      <w:keepLines/>
      <w:tabs>
        <w:tab w:val="left" w:pos="1559"/>
        <w:tab w:val="left" w:pos="1843"/>
        <w:tab w:val="left" w:pos="2126"/>
        <w:tab w:val="left" w:pos="2410"/>
      </w:tabs>
      <w:spacing w:before="100" w:after="100" w:line="240" w:lineRule="exact"/>
    </w:pPr>
    <w:rPr>
      <w:b/>
      <w:color w:val="494847"/>
    </w:rPr>
  </w:style>
  <w:style w:type="character" w:customStyle="1" w:styleId="Heading8Char">
    <w:name w:val="Heading 8 Char"/>
    <w:aliases w:val="Appendix Title Char"/>
    <w:basedOn w:val="DefaultParagraphFont"/>
    <w:link w:val="Heading8"/>
    <w:uiPriority w:val="99"/>
    <w:rsid w:val="000758E3"/>
    <w:rPr>
      <w:rFonts w:asciiTheme="majorHAnsi" w:eastAsiaTheme="majorEastAsia" w:hAnsiTheme="majorHAnsi" w:cstheme="majorBidi"/>
      <w:b/>
      <w:color w:val="00B2A9" w:themeColor="text2"/>
      <w:sz w:val="40"/>
    </w:rPr>
  </w:style>
  <w:style w:type="paragraph" w:styleId="Quote">
    <w:name w:val="Quote"/>
    <w:basedOn w:val="Normal"/>
    <w:link w:val="QuoteChar"/>
    <w:uiPriority w:val="29"/>
    <w:qFormat/>
    <w:rsid w:val="004D4063"/>
    <w:pPr>
      <w:tabs>
        <w:tab w:val="left" w:pos="1134"/>
      </w:tabs>
      <w:spacing w:before="120" w:after="120"/>
      <w:ind w:left="284"/>
    </w:pPr>
    <w:rPr>
      <w:i/>
      <w:iCs/>
    </w:rPr>
  </w:style>
  <w:style w:type="character" w:customStyle="1" w:styleId="QuoteChar">
    <w:name w:val="Quote Char"/>
    <w:basedOn w:val="DefaultParagraphFont"/>
    <w:link w:val="Quote"/>
    <w:uiPriority w:val="29"/>
    <w:rsid w:val="004D4063"/>
    <w:rPr>
      <w:i/>
      <w:iCs/>
    </w:rPr>
  </w:style>
  <w:style w:type="character" w:styleId="IntenseEmphasis">
    <w:name w:val="Intense Emphasis"/>
    <w:semiHidden/>
    <w:rsid w:val="00644027"/>
    <w:rPr>
      <w:b/>
      <w:bCs/>
      <w:i/>
      <w:iCs/>
      <w:color w:val="auto"/>
    </w:rPr>
  </w:style>
  <w:style w:type="character" w:customStyle="1" w:styleId="Heading6Char">
    <w:name w:val="Heading 6 Char"/>
    <w:basedOn w:val="DefaultParagraphFont"/>
    <w:link w:val="Heading6"/>
    <w:rsid w:val="008D3250"/>
    <w:rPr>
      <w:rFonts w:asciiTheme="majorHAnsi" w:eastAsiaTheme="majorEastAsia" w:hAnsiTheme="majorHAnsi" w:cstheme="majorBidi"/>
      <w:b/>
      <w:i/>
      <w:iCs/>
      <w:color w:val="00B2A9" w:themeColor="text2"/>
    </w:rPr>
  </w:style>
  <w:style w:type="character" w:customStyle="1" w:styleId="Heading5Char">
    <w:name w:val="Heading 5 Char"/>
    <w:basedOn w:val="DefaultParagraphFont"/>
    <w:link w:val="Heading5"/>
    <w:rsid w:val="00FA2F8A"/>
    <w:rPr>
      <w:rFonts w:asciiTheme="majorHAnsi" w:eastAsiaTheme="majorEastAsia" w:hAnsiTheme="majorHAnsi" w:cstheme="majorBidi"/>
      <w:i/>
      <w:color w:val="auto"/>
      <w:u w:val="single"/>
    </w:rPr>
  </w:style>
  <w:style w:type="paragraph" w:styleId="BlockText">
    <w:name w:val="Block Text"/>
    <w:basedOn w:val="Normal"/>
    <w:uiPriority w:val="99"/>
    <w:unhideWhenUsed/>
    <w:qFormat/>
    <w:rsid w:val="0049165E"/>
    <w:pPr>
      <w:pBdr>
        <w:top w:val="single" w:sz="2" w:space="10" w:color="00B2A9" w:themeColor="accent1" w:frame="1"/>
        <w:left w:val="single" w:sz="2" w:space="10" w:color="00B2A9" w:themeColor="accent1" w:frame="1"/>
        <w:bottom w:val="single" w:sz="2" w:space="10" w:color="00B2A9" w:themeColor="accent1" w:frame="1"/>
        <w:right w:val="single" w:sz="2" w:space="10" w:color="00B2A9" w:themeColor="accent1" w:frame="1"/>
      </w:pBdr>
      <w:ind w:left="1152" w:right="1152"/>
    </w:pPr>
    <w:rPr>
      <w:rFonts w:eastAsiaTheme="minorEastAsia" w:cstheme="minorBidi"/>
      <w:i/>
      <w:iCs/>
      <w:color w:val="00B2A9" w:themeColor="text2"/>
    </w:rPr>
  </w:style>
  <w:style w:type="paragraph" w:styleId="IntenseQuote">
    <w:name w:val="Intense Quote"/>
    <w:basedOn w:val="Normal"/>
    <w:next w:val="Normal"/>
    <w:link w:val="IntenseQuoteChar"/>
    <w:semiHidden/>
    <w:rsid w:val="00315585"/>
    <w:pPr>
      <w:pBdr>
        <w:bottom w:val="single" w:sz="4" w:space="4" w:color="00B2A9" w:themeColor="accent1"/>
      </w:pBdr>
      <w:spacing w:before="200" w:after="280"/>
      <w:ind w:left="936" w:right="936"/>
    </w:pPr>
    <w:rPr>
      <w:b/>
      <w:bCs/>
      <w:i/>
      <w:iCs/>
      <w:color w:val="E5F7F6" w:themeColor="background2"/>
    </w:rPr>
  </w:style>
  <w:style w:type="character" w:customStyle="1" w:styleId="IntenseQuoteChar">
    <w:name w:val="Intense Quote Char"/>
    <w:basedOn w:val="DefaultParagraphFont"/>
    <w:link w:val="IntenseQuote"/>
    <w:semiHidden/>
    <w:rsid w:val="00F31C91"/>
    <w:rPr>
      <w:rFonts w:ascii="Arial" w:hAnsi="Arial" w:cs="Times New Roman"/>
      <w:b/>
      <w:bCs/>
      <w:i/>
      <w:iCs/>
      <w:color w:val="E5F7F6" w:themeColor="background2"/>
      <w:sz w:val="20"/>
      <w:szCs w:val="20"/>
      <w:lang w:eastAsia="en-US"/>
    </w:rPr>
  </w:style>
  <w:style w:type="paragraph" w:customStyle="1" w:styleId="PullOutBoxBodyText">
    <w:name w:val="Pull Out Box Body Text"/>
    <w:basedOn w:val="Normal"/>
    <w:qFormat/>
    <w:rsid w:val="00C91CF5"/>
    <w:pPr>
      <w:spacing w:before="120" w:after="120"/>
      <w:ind w:left="142" w:right="142"/>
    </w:pPr>
  </w:style>
  <w:style w:type="paragraph" w:customStyle="1" w:styleId="PullOutBoxHeading">
    <w:name w:val="Pull Out Box Heading"/>
    <w:basedOn w:val="PullOutBoxBodyText"/>
    <w:next w:val="PullOutBoxBodyText"/>
    <w:qFormat/>
    <w:rsid w:val="007879D1"/>
    <w:pPr>
      <w:keepNext/>
      <w:keepLines/>
    </w:pPr>
    <w:rPr>
      <w:b/>
      <w:szCs w:val="24"/>
    </w:rPr>
  </w:style>
  <w:style w:type="paragraph" w:customStyle="1" w:styleId="PullOutBoxBullet">
    <w:name w:val="Pull Out Box Bullet"/>
    <w:basedOn w:val="PullOutBoxBodyText"/>
    <w:qFormat/>
    <w:rsid w:val="004D4063"/>
    <w:pPr>
      <w:numPr>
        <w:numId w:val="11"/>
      </w:numPr>
    </w:pPr>
  </w:style>
  <w:style w:type="paragraph" w:customStyle="1" w:styleId="PullOutBoxBullet2">
    <w:name w:val="Pull Out Box Bullet 2"/>
    <w:basedOn w:val="PullOutBoxBodyText"/>
    <w:qFormat/>
    <w:rsid w:val="004D4063"/>
    <w:pPr>
      <w:numPr>
        <w:ilvl w:val="1"/>
        <w:numId w:val="11"/>
      </w:numPr>
    </w:pPr>
  </w:style>
  <w:style w:type="paragraph" w:customStyle="1" w:styleId="PullOutBoxBullet3">
    <w:name w:val="Pull Out Box Bullet 3"/>
    <w:basedOn w:val="PullOutBoxBodyText"/>
    <w:qFormat/>
    <w:rsid w:val="004D4063"/>
    <w:pPr>
      <w:numPr>
        <w:ilvl w:val="2"/>
        <w:numId w:val="11"/>
      </w:numPr>
    </w:pPr>
  </w:style>
  <w:style w:type="paragraph" w:customStyle="1" w:styleId="xBackPageWebAddress">
    <w:name w:val="xBack Page Web Address"/>
    <w:basedOn w:val="Normal"/>
    <w:semiHidden/>
    <w:rsid w:val="00A14B4E"/>
    <w:pPr>
      <w:spacing w:before="140"/>
    </w:pPr>
    <w:rPr>
      <w:color w:val="FFFFFF"/>
      <w:spacing w:val="-6"/>
      <w:sz w:val="36"/>
      <w:szCs w:val="36"/>
    </w:rPr>
  </w:style>
  <w:style w:type="paragraph" w:customStyle="1" w:styleId="xBackPage">
    <w:name w:val="xBack Page"/>
    <w:basedOn w:val="Normal"/>
    <w:semiHidden/>
    <w:rsid w:val="00A14B4E"/>
    <w:rPr>
      <w:color w:val="FFFFFF"/>
    </w:rPr>
  </w:style>
  <w:style w:type="paragraph" w:customStyle="1" w:styleId="Source">
    <w:name w:val="Source"/>
    <w:basedOn w:val="Normal"/>
    <w:next w:val="BodyText"/>
    <w:rsid w:val="00F83203"/>
    <w:pPr>
      <w:spacing w:before="60" w:after="60" w:line="180" w:lineRule="atLeast"/>
    </w:pPr>
    <w:rPr>
      <w:b/>
      <w:i/>
      <w:sz w:val="14"/>
    </w:rPr>
  </w:style>
  <w:style w:type="paragraph" w:customStyle="1" w:styleId="xDisclaimerText">
    <w:name w:val="xDisclaimer Text"/>
    <w:basedOn w:val="xContactDetails"/>
    <w:rsid w:val="009363B5"/>
    <w:pPr>
      <w:spacing w:before="0" w:after="0" w:line="175" w:lineRule="atLeast"/>
      <w:ind w:left="0" w:right="0"/>
      <w:contextualSpacing w:val="0"/>
    </w:pPr>
  </w:style>
  <w:style w:type="paragraph" w:customStyle="1" w:styleId="IntroFeatureText">
    <w:name w:val="Intro/Feature Text"/>
    <w:basedOn w:val="Normal"/>
    <w:next w:val="BodyText"/>
    <w:qFormat/>
    <w:rsid w:val="00F124C4"/>
    <w:pPr>
      <w:spacing w:before="60" w:after="180" w:line="360" w:lineRule="exact"/>
    </w:pPr>
    <w:rPr>
      <w:color w:val="00B2A9" w:themeColor="text2"/>
      <w:spacing w:val="-2"/>
      <w:sz w:val="32"/>
    </w:rPr>
  </w:style>
  <w:style w:type="character" w:customStyle="1" w:styleId="BoldAndItalics">
    <w:name w:val="Bold And Italics"/>
    <w:semiHidden/>
    <w:rsid w:val="00901CD1"/>
    <w:rPr>
      <w:b/>
      <w:i/>
    </w:rPr>
  </w:style>
  <w:style w:type="paragraph" w:customStyle="1" w:styleId="TableTextRight">
    <w:name w:val="Table Text Right"/>
    <w:basedOn w:val="TableTextLeft"/>
    <w:qFormat/>
    <w:rsid w:val="0096416C"/>
    <w:pPr>
      <w:jc w:val="right"/>
    </w:pPr>
  </w:style>
  <w:style w:type="paragraph" w:customStyle="1" w:styleId="CaptionDescriptive">
    <w:name w:val="Caption Descriptive"/>
    <w:basedOn w:val="BodyText"/>
    <w:next w:val="BodyText"/>
    <w:rsid w:val="00F83203"/>
    <w:pPr>
      <w:spacing w:after="60" w:line="240" w:lineRule="auto"/>
      <w:ind w:right="227"/>
    </w:pPr>
    <w:rPr>
      <w:i/>
      <w:sz w:val="18"/>
      <w:szCs w:val="14"/>
    </w:rPr>
  </w:style>
  <w:style w:type="table" w:customStyle="1" w:styleId="PullOutBoxTable">
    <w:name w:val="Pull Out Box Table"/>
    <w:basedOn w:val="TableNormal"/>
    <w:uiPriority w:val="99"/>
    <w:rsid w:val="00443176"/>
    <w:pPr>
      <w:spacing w:line="240" w:lineRule="auto"/>
    </w:pPr>
    <w:tblPr>
      <w:tblBorders>
        <w:top w:val="single" w:sz="4" w:space="0" w:color="00B2A9" w:themeColor="text2"/>
        <w:left w:val="single" w:sz="4" w:space="0" w:color="00B2A9" w:themeColor="text2"/>
        <w:bottom w:val="single" w:sz="4" w:space="0" w:color="00B2A9" w:themeColor="text2"/>
        <w:right w:val="single" w:sz="4" w:space="0" w:color="00B2A9" w:themeColor="text2"/>
      </w:tblBorders>
      <w:tblCellMar>
        <w:top w:w="85" w:type="dxa"/>
        <w:left w:w="0" w:type="dxa"/>
        <w:bottom w:w="85" w:type="dxa"/>
        <w:right w:w="0" w:type="dxa"/>
      </w:tblCellMar>
    </w:tblPr>
    <w:tcPr>
      <w:shd w:val="clear" w:color="auto" w:fill="auto"/>
    </w:tcPr>
  </w:style>
  <w:style w:type="paragraph" w:styleId="NoSpacing">
    <w:name w:val="No Spacing"/>
    <w:next w:val="BodyText"/>
    <w:uiPriority w:val="1"/>
    <w:qFormat/>
    <w:rsid w:val="00ED5179"/>
    <w:pPr>
      <w:spacing w:line="240" w:lineRule="auto"/>
    </w:pPr>
  </w:style>
  <w:style w:type="paragraph" w:styleId="Date">
    <w:name w:val="Date"/>
    <w:basedOn w:val="Normal"/>
    <w:next w:val="Normal"/>
    <w:link w:val="DateChar"/>
    <w:semiHidden/>
    <w:rsid w:val="003260D0"/>
    <w:rPr>
      <w:b/>
      <w:color w:val="FFFFFF"/>
      <w:sz w:val="36"/>
    </w:rPr>
  </w:style>
  <w:style w:type="character" w:customStyle="1" w:styleId="DateChar">
    <w:name w:val="Date Char"/>
    <w:basedOn w:val="DefaultParagraphFont"/>
    <w:link w:val="Date"/>
    <w:semiHidden/>
    <w:rsid w:val="00C65140"/>
    <w:rPr>
      <w:color w:val="FFFFFF"/>
      <w:sz w:val="36"/>
    </w:rPr>
  </w:style>
  <w:style w:type="paragraph" w:styleId="NormalWeb">
    <w:name w:val="Normal (Web)"/>
    <w:basedOn w:val="Normal"/>
    <w:uiPriority w:val="99"/>
    <w:unhideWhenUsed/>
    <w:rsid w:val="007C1A65"/>
    <w:rPr>
      <w:rFonts w:eastAsiaTheme="minorEastAsia" w:cs="Times New Roman"/>
      <w:szCs w:val="24"/>
    </w:rPr>
  </w:style>
  <w:style w:type="character" w:customStyle="1" w:styleId="MySuperscript">
    <w:name w:val="MySuperscript"/>
    <w:uiPriority w:val="1"/>
    <w:semiHidden/>
    <w:rsid w:val="007D5534"/>
    <w:rPr>
      <w:vertAlign w:val="superscript"/>
    </w:rPr>
  </w:style>
  <w:style w:type="character" w:customStyle="1" w:styleId="MySubscript">
    <w:name w:val="MySubscript"/>
    <w:uiPriority w:val="1"/>
    <w:semiHidden/>
    <w:rsid w:val="00EB3C9C"/>
    <w:rPr>
      <w:vertAlign w:val="subscript"/>
    </w:rPr>
  </w:style>
  <w:style w:type="character" w:customStyle="1" w:styleId="MySuperscriptItalics">
    <w:name w:val="MySuperscript&amp;Italics"/>
    <w:uiPriority w:val="1"/>
    <w:semiHidden/>
    <w:rsid w:val="00405BA7"/>
    <w:rPr>
      <w:i/>
      <w:vertAlign w:val="superscript"/>
    </w:rPr>
  </w:style>
  <w:style w:type="character" w:customStyle="1" w:styleId="MySubscriptItalics">
    <w:name w:val="MySubscript&amp;Italics"/>
    <w:uiPriority w:val="1"/>
    <w:semiHidden/>
    <w:rsid w:val="00405BA7"/>
    <w:rPr>
      <w:i/>
      <w:vertAlign w:val="subscript"/>
    </w:rPr>
  </w:style>
  <w:style w:type="paragraph" w:customStyle="1" w:styleId="QuoteBullet">
    <w:name w:val="Quote Bullet"/>
    <w:basedOn w:val="Quote"/>
    <w:qFormat/>
    <w:rsid w:val="004D4063"/>
    <w:pPr>
      <w:numPr>
        <w:numId w:val="9"/>
      </w:numPr>
    </w:pPr>
  </w:style>
  <w:style w:type="paragraph" w:customStyle="1" w:styleId="QuoteBullet2">
    <w:name w:val="Quote Bullet 2"/>
    <w:basedOn w:val="Quote"/>
    <w:qFormat/>
    <w:rsid w:val="004D4063"/>
    <w:pPr>
      <w:numPr>
        <w:ilvl w:val="1"/>
        <w:numId w:val="9"/>
      </w:numPr>
      <w:tabs>
        <w:tab w:val="clear" w:pos="1134"/>
      </w:tabs>
    </w:pPr>
  </w:style>
  <w:style w:type="character" w:styleId="CommentReference">
    <w:name w:val="annotation reference"/>
    <w:basedOn w:val="DefaultParagraphFont"/>
    <w:uiPriority w:val="99"/>
    <w:rsid w:val="00732B4D"/>
    <w:rPr>
      <w:sz w:val="16"/>
      <w:szCs w:val="16"/>
    </w:rPr>
  </w:style>
  <w:style w:type="paragraph" w:styleId="CommentText">
    <w:name w:val="annotation text"/>
    <w:basedOn w:val="Normal"/>
    <w:link w:val="CommentTextChar"/>
    <w:uiPriority w:val="99"/>
    <w:rsid w:val="00732B4D"/>
    <w:pPr>
      <w:spacing w:line="240" w:lineRule="auto"/>
    </w:pPr>
  </w:style>
  <w:style w:type="character" w:customStyle="1" w:styleId="CommentTextChar">
    <w:name w:val="Comment Text Char"/>
    <w:basedOn w:val="DefaultParagraphFont"/>
    <w:link w:val="CommentText"/>
    <w:uiPriority w:val="99"/>
    <w:rsid w:val="000758E3"/>
  </w:style>
  <w:style w:type="paragraph" w:styleId="CommentSubject">
    <w:name w:val="annotation subject"/>
    <w:basedOn w:val="CommentText"/>
    <w:next w:val="CommentText"/>
    <w:link w:val="CommentSubjectChar"/>
    <w:uiPriority w:val="99"/>
    <w:semiHidden/>
    <w:rsid w:val="00732B4D"/>
    <w:rPr>
      <w:b/>
      <w:bCs/>
    </w:rPr>
  </w:style>
  <w:style w:type="character" w:customStyle="1" w:styleId="CommentSubjectChar">
    <w:name w:val="Comment Subject Char"/>
    <w:basedOn w:val="CommentTextChar"/>
    <w:link w:val="CommentSubject"/>
    <w:uiPriority w:val="99"/>
    <w:semiHidden/>
    <w:rsid w:val="000758E3"/>
    <w:rPr>
      <w:b/>
      <w:bCs/>
    </w:rPr>
  </w:style>
  <w:style w:type="paragraph" w:customStyle="1" w:styleId="PullOutBoxNumbered">
    <w:name w:val="Pull Out Box Numbered"/>
    <w:basedOn w:val="PullOutBoxBodyText"/>
    <w:qFormat/>
    <w:rsid w:val="007879D1"/>
    <w:pPr>
      <w:numPr>
        <w:numId w:val="5"/>
      </w:numPr>
    </w:pPr>
  </w:style>
  <w:style w:type="paragraph" w:customStyle="1" w:styleId="PullOutBoxNumbered2">
    <w:name w:val="Pull Out Box Numbered 2"/>
    <w:basedOn w:val="PullOutBoxBodyText"/>
    <w:qFormat/>
    <w:rsid w:val="007A4BA3"/>
    <w:pPr>
      <w:numPr>
        <w:ilvl w:val="1"/>
        <w:numId w:val="5"/>
      </w:numPr>
    </w:pPr>
  </w:style>
  <w:style w:type="paragraph" w:customStyle="1" w:styleId="PullOutBoxNumbered3">
    <w:name w:val="Pull Out Box Numbered 3"/>
    <w:basedOn w:val="PullOutBoxBodyText"/>
    <w:qFormat/>
    <w:rsid w:val="007879D1"/>
    <w:pPr>
      <w:numPr>
        <w:ilvl w:val="2"/>
        <w:numId w:val="5"/>
      </w:numPr>
    </w:pPr>
  </w:style>
  <w:style w:type="table" w:styleId="TableGrid1">
    <w:name w:val="Table Grid 1"/>
    <w:basedOn w:val="TableNormal"/>
    <w:rsid w:val="00B9749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Classic1">
    <w:name w:val="Table Classic 1"/>
    <w:basedOn w:val="TableNormal"/>
    <w:rsid w:val="00630767"/>
    <w:rPr>
      <w:sz w:val="16"/>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imple2">
    <w:name w:val="Table Simple 2"/>
    <w:basedOn w:val="TableNormal"/>
    <w:rsid w:val="00630767"/>
    <w:rPr>
      <w:sz w:val="16"/>
    </w:rPr>
    <w:tblPr>
      <w:tblBorders>
        <w:top w:val="single" w:sz="4" w:space="0" w:color="auto"/>
        <w:bottom w:val="single" w:sz="4" w:space="0" w:color="auto"/>
        <w:insideH w:val="single" w:sz="4" w:space="0" w:color="auto"/>
        <w:insideV w:val="single" w:sz="4" w:space="0" w:color="auto"/>
      </w:tblBorders>
    </w:tblPr>
    <w:tblStylePr w:type="firstRow">
      <w:rPr>
        <w:b/>
        <w:bCs/>
      </w:rPr>
      <w:tblPr/>
      <w:tcPr>
        <w:tcBorders>
          <w:top w:val="nil"/>
          <w:left w:val="nil"/>
          <w:bottom w:val="single" w:sz="24" w:space="0" w:color="00B2A9" w:themeColor="text2"/>
          <w:right w:val="nil"/>
          <w:insideV w:val="single" w:sz="4"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ubtle2">
    <w:name w:val="Table Subtle 2"/>
    <w:basedOn w:val="TableNormal"/>
    <w:rsid w:val="0063076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xDisclaimerText2">
    <w:name w:val="xDisclaimer Text 2"/>
    <w:basedOn w:val="xDisclaimerText"/>
    <w:rsid w:val="009363B5"/>
    <w:pPr>
      <w:spacing w:before="180" w:after="170"/>
    </w:pPr>
  </w:style>
  <w:style w:type="paragraph" w:customStyle="1" w:styleId="Heading1TopofPage">
    <w:name w:val="Heading 1 Top of Page"/>
    <w:basedOn w:val="Heading1"/>
    <w:next w:val="BodyText"/>
    <w:qFormat/>
    <w:rsid w:val="004E2566"/>
    <w:pPr>
      <w:pageBreakBefore/>
      <w:framePr w:w="11907" w:h="1701" w:hSpace="11340" w:wrap="around" w:vAnchor="page" w:hAnchor="page" w:yAlign="top"/>
      <w:spacing w:before="1300"/>
      <w:ind w:right="1134"/>
    </w:pPr>
  </w:style>
  <w:style w:type="paragraph" w:customStyle="1" w:styleId="SectionHeading">
    <w:name w:val="Section Heading"/>
    <w:basedOn w:val="Normal"/>
    <w:next w:val="BodyText"/>
    <w:semiHidden/>
    <w:qFormat/>
    <w:rsid w:val="00096B2D"/>
    <w:pPr>
      <w:keepLines/>
      <w:pageBreakBefore/>
      <w:framePr w:w="11907" w:h="2155" w:hSpace="181" w:wrap="around" w:vAnchor="page" w:hAnchor="page" w:xAlign="right" w:yAlign="top"/>
      <w:spacing w:before="1300"/>
      <w:ind w:left="1134" w:right="1134"/>
      <w:suppressOverlap/>
      <w:jc w:val="right"/>
      <w:outlineLvl w:val="4"/>
    </w:pPr>
    <w:rPr>
      <w:b/>
      <w:color w:val="00B2A9" w:themeColor="text2"/>
      <w:sz w:val="40"/>
      <w:szCs w:val="40"/>
    </w:rPr>
  </w:style>
  <w:style w:type="paragraph" w:customStyle="1" w:styleId="HighlightBoxText">
    <w:name w:val="Highlight Box Text"/>
    <w:basedOn w:val="Normal"/>
    <w:qFormat/>
    <w:rsid w:val="00345B5F"/>
    <w:pPr>
      <w:spacing w:before="120" w:after="120" w:line="300" w:lineRule="atLeast"/>
      <w:ind w:left="227" w:right="227"/>
    </w:pPr>
    <w:rPr>
      <w:color w:val="FFFFFF"/>
      <w:spacing w:val="-2"/>
      <w:sz w:val="24"/>
    </w:rPr>
  </w:style>
  <w:style w:type="character" w:styleId="FollowedHyperlink">
    <w:name w:val="FollowedHyperlink"/>
    <w:basedOn w:val="DefaultParagraphFont"/>
    <w:uiPriority w:val="99"/>
    <w:rsid w:val="00502E1D"/>
    <w:rPr>
      <w:color w:val="800080" w:themeColor="followedHyperlink"/>
      <w:u w:val="single"/>
    </w:rPr>
  </w:style>
  <w:style w:type="paragraph" w:customStyle="1" w:styleId="TitleBarText">
    <w:name w:val="Title Bar Text"/>
    <w:basedOn w:val="Normal"/>
    <w:uiPriority w:val="99"/>
    <w:qFormat/>
    <w:rsid w:val="001748A0"/>
    <w:pPr>
      <w:spacing w:line="360" w:lineRule="exact"/>
      <w:jc w:val="right"/>
    </w:pPr>
    <w:rPr>
      <w:rFonts w:ascii="Arial Narrow" w:hAnsi="Arial Narrow"/>
      <w:color w:val="FFFFFF"/>
      <w:spacing w:val="-2"/>
      <w:sz w:val="28"/>
      <w:szCs w:val="28"/>
    </w:rPr>
  </w:style>
  <w:style w:type="table" w:customStyle="1" w:styleId="LogoPlaceholder">
    <w:name w:val="Logo Placeholder"/>
    <w:basedOn w:val="TableNormal"/>
    <w:uiPriority w:val="99"/>
    <w:rsid w:val="00802595"/>
    <w:pPr>
      <w:spacing w:line="240" w:lineRule="auto"/>
    </w:pPr>
    <w:tblPr>
      <w:tblCellSpacing w:w="142" w:type="dxa"/>
      <w:tblCellMar>
        <w:left w:w="0" w:type="dxa"/>
        <w:right w:w="0" w:type="dxa"/>
      </w:tblCellMar>
    </w:tblPr>
    <w:trPr>
      <w:tblCellSpacing w:w="142" w:type="dxa"/>
    </w:trPr>
  </w:style>
  <w:style w:type="paragraph" w:customStyle="1" w:styleId="TableHeadingRight">
    <w:name w:val="Table Heading Right"/>
    <w:basedOn w:val="TableHeadingLeft"/>
    <w:qFormat/>
    <w:rsid w:val="0086233C"/>
    <w:pPr>
      <w:jc w:val="right"/>
    </w:pPr>
    <w:rPr>
      <w:rFonts w:cs="Times New Roman"/>
    </w:rPr>
  </w:style>
  <w:style w:type="paragraph" w:customStyle="1" w:styleId="xCoverStatus">
    <w:name w:val="xCoverStatus"/>
    <w:basedOn w:val="Normal"/>
    <w:semiHidden/>
    <w:rsid w:val="00F77596"/>
    <w:rPr>
      <w:b/>
      <w:caps/>
      <w:color w:val="FF0000"/>
      <w:sz w:val="48"/>
      <w:szCs w:val="52"/>
    </w:rPr>
  </w:style>
  <w:style w:type="paragraph" w:customStyle="1" w:styleId="TableTextCentre">
    <w:name w:val="Table Text Centre"/>
    <w:basedOn w:val="TableTextLeft"/>
    <w:qFormat/>
    <w:rsid w:val="00447351"/>
    <w:pPr>
      <w:jc w:val="center"/>
    </w:pPr>
  </w:style>
  <w:style w:type="paragraph" w:customStyle="1" w:styleId="TableHeadingCentre">
    <w:name w:val="Table Heading Centre"/>
    <w:basedOn w:val="TableHeadingLeft"/>
    <w:qFormat/>
    <w:rsid w:val="004F07F4"/>
    <w:pPr>
      <w:jc w:val="center"/>
    </w:pPr>
  </w:style>
  <w:style w:type="paragraph" w:customStyle="1" w:styleId="Footnotes2">
    <w:name w:val="Footnotes 2"/>
    <w:basedOn w:val="Normal"/>
    <w:rsid w:val="0016301C"/>
    <w:pPr>
      <w:numPr>
        <w:ilvl w:val="1"/>
        <w:numId w:val="6"/>
      </w:numPr>
      <w:spacing w:after="100" w:afterAutospacing="1" w:line="180" w:lineRule="atLeast"/>
      <w:ind w:left="568" w:hanging="284"/>
      <w:contextualSpacing/>
    </w:pPr>
    <w:rPr>
      <w:sz w:val="14"/>
    </w:rPr>
  </w:style>
  <w:style w:type="table" w:customStyle="1" w:styleId="HighlightTable">
    <w:name w:val="Highlight Table"/>
    <w:basedOn w:val="TableNormal"/>
    <w:uiPriority w:val="99"/>
    <w:rsid w:val="00443176"/>
    <w:pPr>
      <w:spacing w:line="240" w:lineRule="auto"/>
    </w:pPr>
    <w:rPr>
      <w:color w:val="FFFFFF"/>
      <w:sz w:val="24"/>
    </w:rPr>
    <w:tblPr>
      <w:tblCellMar>
        <w:top w:w="227" w:type="dxa"/>
        <w:left w:w="0" w:type="dxa"/>
        <w:bottom w:w="227" w:type="dxa"/>
        <w:right w:w="0" w:type="dxa"/>
      </w:tblCellMar>
    </w:tblPr>
    <w:tcPr>
      <w:shd w:val="clear" w:color="auto" w:fill="00B2A9" w:themeFill="text2"/>
    </w:tcPr>
  </w:style>
  <w:style w:type="paragraph" w:customStyle="1" w:styleId="BodyText100ThemeColour">
    <w:name w:val="Body Text 100% Theme Colour"/>
    <w:basedOn w:val="BodyText"/>
    <w:qFormat/>
    <w:rsid w:val="00096B2D"/>
    <w:rPr>
      <w:color w:val="00B2A9" w:themeColor="text2"/>
    </w:rPr>
  </w:style>
  <w:style w:type="paragraph" w:customStyle="1" w:styleId="CaptionImageorFigure">
    <w:name w:val="Caption Image or Figure"/>
    <w:basedOn w:val="Caption"/>
    <w:qFormat/>
    <w:rsid w:val="00F041AE"/>
    <w:pPr>
      <w:spacing w:before="60" w:after="120"/>
    </w:pPr>
  </w:style>
  <w:style w:type="paragraph" w:customStyle="1" w:styleId="PhotoCredit">
    <w:name w:val="Photo Credit"/>
    <w:basedOn w:val="CaptionDescriptive"/>
    <w:next w:val="BodyText"/>
    <w:qFormat/>
    <w:rsid w:val="00BC0FB0"/>
    <w:rPr>
      <w:i w:val="0"/>
      <w:sz w:val="16"/>
    </w:rPr>
  </w:style>
  <w:style w:type="paragraph" w:customStyle="1" w:styleId="ListAlpha">
    <w:name w:val="List Alpha"/>
    <w:basedOn w:val="Normal"/>
    <w:qFormat/>
    <w:rsid w:val="00893106"/>
    <w:pPr>
      <w:numPr>
        <w:numId w:val="12"/>
      </w:numPr>
      <w:spacing w:before="120" w:after="120"/>
    </w:pPr>
  </w:style>
  <w:style w:type="paragraph" w:customStyle="1" w:styleId="ListAlpha2">
    <w:name w:val="List Alpha 2"/>
    <w:basedOn w:val="Normal"/>
    <w:qFormat/>
    <w:rsid w:val="00893106"/>
    <w:pPr>
      <w:numPr>
        <w:ilvl w:val="1"/>
        <w:numId w:val="12"/>
      </w:numPr>
      <w:spacing w:before="120" w:after="120"/>
    </w:pPr>
  </w:style>
  <w:style w:type="paragraph" w:customStyle="1" w:styleId="ListAlpha3">
    <w:name w:val="List Alpha 3"/>
    <w:basedOn w:val="Normal"/>
    <w:qFormat/>
    <w:rsid w:val="00893106"/>
    <w:pPr>
      <w:numPr>
        <w:ilvl w:val="2"/>
        <w:numId w:val="12"/>
      </w:numPr>
      <w:spacing w:before="120" w:after="120"/>
    </w:pPr>
  </w:style>
  <w:style w:type="paragraph" w:customStyle="1" w:styleId="HighlightBoxHeading">
    <w:name w:val="Highlight Box Heading"/>
    <w:basedOn w:val="HighlightBoxText"/>
    <w:qFormat/>
    <w:rsid w:val="0072771D"/>
    <w:rPr>
      <w:b/>
    </w:rPr>
  </w:style>
  <w:style w:type="paragraph" w:customStyle="1" w:styleId="HighlightBoxBullet">
    <w:name w:val="Highlight Box Bullet"/>
    <w:basedOn w:val="HighlightBoxText"/>
    <w:qFormat/>
    <w:rsid w:val="00781566"/>
    <w:pPr>
      <w:numPr>
        <w:numId w:val="14"/>
      </w:numPr>
      <w:tabs>
        <w:tab w:val="left" w:pos="454"/>
      </w:tabs>
    </w:pPr>
  </w:style>
  <w:style w:type="character" w:customStyle="1" w:styleId="MyUnderline">
    <w:name w:val="MyUnderline"/>
    <w:uiPriority w:val="1"/>
    <w:semiHidden/>
    <w:rsid w:val="00F62FAC"/>
    <w:rPr>
      <w:u w:val="single"/>
      <w:lang w:eastAsia="en-AU"/>
    </w:rPr>
  </w:style>
  <w:style w:type="character" w:customStyle="1" w:styleId="MyBoldItalicsUnderline">
    <w:name w:val="MyBoldItalicsUnderline"/>
    <w:uiPriority w:val="1"/>
    <w:semiHidden/>
    <w:rsid w:val="00F62FAC"/>
    <w:rPr>
      <w:b/>
      <w:i/>
      <w:u w:val="single"/>
    </w:rPr>
  </w:style>
  <w:style w:type="character" w:customStyle="1" w:styleId="MyBoldUnderline">
    <w:name w:val="MyBoldUnderline"/>
    <w:uiPriority w:val="1"/>
    <w:semiHidden/>
    <w:rsid w:val="00F62FAC"/>
    <w:rPr>
      <w:b/>
      <w:u w:val="single"/>
    </w:rPr>
  </w:style>
  <w:style w:type="character" w:customStyle="1" w:styleId="MyItalicsUnderline">
    <w:name w:val="MyItalicsUnderline"/>
    <w:uiPriority w:val="1"/>
    <w:semiHidden/>
    <w:rsid w:val="00F62FAC"/>
    <w:rPr>
      <w:i/>
      <w:u w:val="single"/>
    </w:rPr>
  </w:style>
  <w:style w:type="paragraph" w:customStyle="1" w:styleId="SmallBodyText">
    <w:name w:val="Small Body Text"/>
    <w:basedOn w:val="xDisclaimerText"/>
    <w:qFormat/>
    <w:rsid w:val="00D14E24"/>
    <w:pPr>
      <w:spacing w:before="40" w:after="40" w:line="220" w:lineRule="atLeast"/>
      <w:ind w:right="3119"/>
    </w:pPr>
    <w:rPr>
      <w:sz w:val="18"/>
    </w:rPr>
  </w:style>
  <w:style w:type="paragraph" w:customStyle="1" w:styleId="SmallBullet">
    <w:name w:val="Small Bullet"/>
    <w:basedOn w:val="SmallBodyText"/>
    <w:qFormat/>
    <w:rsid w:val="00D14E24"/>
    <w:pPr>
      <w:numPr>
        <w:numId w:val="13"/>
      </w:numPr>
    </w:pPr>
  </w:style>
  <w:style w:type="paragraph" w:customStyle="1" w:styleId="SmallHeading">
    <w:name w:val="Small Heading"/>
    <w:basedOn w:val="xDisclaimerHeading"/>
    <w:next w:val="SmallBodyText"/>
    <w:qFormat/>
    <w:rsid w:val="00D14E24"/>
    <w:pPr>
      <w:spacing w:after="40" w:line="220" w:lineRule="atLeast"/>
      <w:ind w:right="3119"/>
    </w:pPr>
    <w:rPr>
      <w:sz w:val="18"/>
    </w:rPr>
  </w:style>
  <w:style w:type="paragraph" w:customStyle="1" w:styleId="xWeb">
    <w:name w:val="xWeb"/>
    <w:basedOn w:val="Normal"/>
    <w:semiHidden/>
    <w:qFormat/>
    <w:rsid w:val="009363B5"/>
    <w:pPr>
      <w:spacing w:line="240" w:lineRule="auto"/>
    </w:pPr>
    <w:rPr>
      <w:color w:val="636366"/>
      <w:spacing w:val="-4"/>
      <w:sz w:val="36"/>
      <w:szCs w:val="42"/>
    </w:rPr>
  </w:style>
  <w:style w:type="table" w:customStyle="1" w:styleId="DELWPTableNormal">
    <w:name w:val="DELWP Table Normal"/>
    <w:basedOn w:val="TableNormal"/>
    <w:uiPriority w:val="99"/>
    <w:rsid w:val="00C2477D"/>
    <w:pPr>
      <w:spacing w:line="240" w:lineRule="auto"/>
    </w:pPr>
    <w:tblPr/>
  </w:style>
  <w:style w:type="paragraph" w:customStyle="1" w:styleId="xAccessibilityText">
    <w:name w:val="xAccessibility Text"/>
    <w:basedOn w:val="Normal"/>
    <w:semiHidden/>
    <w:qFormat/>
    <w:rsid w:val="0086451D"/>
    <w:pPr>
      <w:spacing w:line="300" w:lineRule="exact"/>
    </w:pPr>
    <w:rPr>
      <w:sz w:val="24"/>
    </w:rPr>
  </w:style>
  <w:style w:type="paragraph" w:customStyle="1" w:styleId="xAccessibilityHeading">
    <w:name w:val="xAccessibility Heading"/>
    <w:basedOn w:val="Normal"/>
    <w:semiHidden/>
    <w:qFormat/>
    <w:rsid w:val="0086451D"/>
    <w:pPr>
      <w:spacing w:before="170" w:after="20" w:line="300" w:lineRule="exact"/>
    </w:pPr>
    <w:rPr>
      <w:b/>
      <w:sz w:val="24"/>
    </w:rPr>
  </w:style>
  <w:style w:type="paragraph" w:customStyle="1" w:styleId="FooterEvenPageNumber">
    <w:name w:val="Footer Even Page Number"/>
    <w:basedOn w:val="FooterEven"/>
    <w:rsid w:val="001748A0"/>
    <w:pPr>
      <w:framePr w:wrap="around" w:vAnchor="page" w:hAnchor="margin" w:yAlign="bottom"/>
    </w:pPr>
    <w:rPr>
      <w:b/>
      <w:color w:val="00B2A9" w:themeColor="accent1"/>
    </w:rPr>
  </w:style>
  <w:style w:type="character" w:customStyle="1" w:styleId="Heading2Char">
    <w:name w:val="Heading 2 Char"/>
    <w:basedOn w:val="DefaultParagraphFont"/>
    <w:link w:val="Heading2"/>
    <w:uiPriority w:val="9"/>
    <w:rsid w:val="00357F56"/>
    <w:rPr>
      <w:b/>
      <w:bCs/>
      <w:i/>
      <w:iCs/>
      <w:color w:val="00B2A9" w:themeColor="text2"/>
      <w:kern w:val="20"/>
      <w:sz w:val="32"/>
      <w:szCs w:val="28"/>
    </w:rPr>
  </w:style>
  <w:style w:type="character" w:customStyle="1" w:styleId="Heading1Char">
    <w:name w:val="Heading 1 Char"/>
    <w:basedOn w:val="DefaultParagraphFont"/>
    <w:link w:val="Heading1"/>
    <w:uiPriority w:val="9"/>
    <w:rsid w:val="008A39F6"/>
    <w:rPr>
      <w:b/>
      <w:bCs/>
      <w:color w:val="201547" w:themeColor="accent2"/>
      <w:kern w:val="32"/>
      <w:sz w:val="40"/>
      <w:szCs w:val="32"/>
    </w:rPr>
  </w:style>
  <w:style w:type="character" w:customStyle="1" w:styleId="Heading3Char">
    <w:name w:val="Heading 3 Char"/>
    <w:basedOn w:val="DefaultParagraphFont"/>
    <w:link w:val="Heading3"/>
    <w:uiPriority w:val="9"/>
    <w:rsid w:val="00357F56"/>
    <w:rPr>
      <w:rFonts w:asciiTheme="majorHAnsi" w:hAnsiTheme="majorHAnsi"/>
      <w:i/>
      <w:color w:val="00B2A9" w:themeColor="accent1"/>
      <w:sz w:val="28"/>
    </w:rPr>
  </w:style>
  <w:style w:type="character" w:customStyle="1" w:styleId="HiddenText">
    <w:name w:val="Hidden Text"/>
    <w:basedOn w:val="DefaultParagraphFont"/>
    <w:uiPriority w:val="1"/>
    <w:qFormat/>
    <w:rsid w:val="00321955"/>
    <w:rPr>
      <w:color w:val="FF0000"/>
      <w:sz w:val="20"/>
      <w:u w:val="dotted"/>
    </w:rPr>
  </w:style>
  <w:style w:type="paragraph" w:customStyle="1" w:styleId="TOCtitle">
    <w:name w:val="TOC title"/>
    <w:basedOn w:val="Heading2"/>
    <w:next w:val="PwCNormal"/>
    <w:unhideWhenUsed/>
    <w:rsid w:val="003A7FBC"/>
    <w:pPr>
      <w:pageBreakBefore/>
      <w:numPr>
        <w:ilvl w:val="0"/>
        <w:numId w:val="0"/>
      </w:numPr>
      <w:kinsoku w:val="0"/>
      <w:overflowPunct w:val="0"/>
      <w:autoSpaceDE w:val="0"/>
      <w:autoSpaceDN w:val="0"/>
      <w:adjustRightInd w:val="0"/>
      <w:snapToGrid w:val="0"/>
      <w:spacing w:after="600" w:line="600" w:lineRule="atLeast"/>
    </w:pPr>
    <w:rPr>
      <w:rFonts w:asciiTheme="majorHAnsi" w:hAnsiTheme="majorHAnsi"/>
      <w:snapToGrid w:val="0"/>
      <w:color w:val="auto"/>
      <w:kern w:val="0"/>
      <w:sz w:val="56"/>
      <w:szCs w:val="36"/>
      <w:lang w:eastAsia="en-US"/>
    </w:rPr>
  </w:style>
  <w:style w:type="paragraph" w:customStyle="1" w:styleId="Covertitle">
    <w:name w:val="Cover title"/>
    <w:basedOn w:val="KeySentenceInside"/>
    <w:next w:val="Coversubtitle"/>
    <w:rsid w:val="003A7FBC"/>
    <w:pPr>
      <w:framePr w:w="2154" w:wrap="notBeside" w:vAnchor="page" w:hAnchor="page" w:x="928" w:y="8427"/>
      <w:spacing w:before="200"/>
      <w:ind w:left="113"/>
    </w:pPr>
    <w:rPr>
      <w:rFonts w:asciiTheme="majorHAnsi" w:hAnsiTheme="majorHAnsi"/>
      <w:color w:val="auto"/>
      <w:sz w:val="19"/>
      <w:lang w:val="en-GB"/>
    </w:rPr>
  </w:style>
  <w:style w:type="paragraph" w:customStyle="1" w:styleId="Coversubtitle">
    <w:name w:val="Cover subtitle"/>
    <w:basedOn w:val="Covertitle"/>
    <w:rsid w:val="003A7FBC"/>
    <w:pPr>
      <w:framePr w:wrap="notBeside"/>
      <w:spacing w:before="180"/>
    </w:pPr>
    <w:rPr>
      <w:bCs/>
      <w:szCs w:val="64"/>
    </w:rPr>
  </w:style>
  <w:style w:type="paragraph" w:customStyle="1" w:styleId="AppendixNumberLong">
    <w:name w:val="Appendix Number (Long)"/>
    <w:basedOn w:val="Heading3"/>
    <w:next w:val="Heading3"/>
    <w:uiPriority w:val="99"/>
    <w:rsid w:val="003A7FBC"/>
    <w:pPr>
      <w:pageBreakBefore/>
      <w:numPr>
        <w:ilvl w:val="0"/>
        <w:numId w:val="0"/>
      </w:numPr>
      <w:tabs>
        <w:tab w:val="clear" w:pos="1701"/>
        <w:tab w:val="clear" w:pos="1985"/>
        <w:tab w:val="num" w:pos="0"/>
      </w:tabs>
      <w:kinsoku w:val="0"/>
      <w:overflowPunct w:val="0"/>
      <w:autoSpaceDE w:val="0"/>
      <w:autoSpaceDN w:val="0"/>
      <w:adjustRightInd w:val="0"/>
      <w:snapToGrid w:val="0"/>
      <w:spacing w:before="0" w:after="0" w:line="720" w:lineRule="atLeast"/>
    </w:pPr>
    <w:rPr>
      <w:snapToGrid w:val="0"/>
      <w:color w:val="363534" w:themeColor="text1"/>
      <w:sz w:val="56"/>
      <w:szCs w:val="72"/>
      <w:lang w:eastAsia="en-US"/>
    </w:rPr>
  </w:style>
  <w:style w:type="paragraph" w:customStyle="1" w:styleId="ChapterNumberLong">
    <w:name w:val="Chapter Number (Long)"/>
    <w:basedOn w:val="Heading1"/>
    <w:next w:val="Heading1"/>
    <w:uiPriority w:val="99"/>
    <w:rsid w:val="003A7FBC"/>
    <w:pPr>
      <w:keepNext w:val="0"/>
      <w:keepLines w:val="0"/>
      <w:pageBreakBefore/>
      <w:numPr>
        <w:numId w:val="0"/>
      </w:numPr>
      <w:tabs>
        <w:tab w:val="num" w:pos="0"/>
      </w:tabs>
      <w:kinsoku w:val="0"/>
      <w:overflowPunct w:val="0"/>
      <w:autoSpaceDE w:val="0"/>
      <w:autoSpaceDN w:val="0"/>
      <w:adjustRightInd w:val="0"/>
      <w:snapToGrid w:val="0"/>
      <w:spacing w:after="0" w:line="720" w:lineRule="atLeast"/>
    </w:pPr>
    <w:rPr>
      <w:rFonts w:asciiTheme="majorHAnsi" w:hAnsiTheme="majorHAnsi"/>
      <w:i/>
      <w:snapToGrid w:val="0"/>
      <w:color w:val="auto"/>
      <w:kern w:val="0"/>
      <w:sz w:val="56"/>
      <w:szCs w:val="72"/>
      <w:lang w:eastAsia="en-US"/>
    </w:rPr>
  </w:style>
  <w:style w:type="paragraph" w:customStyle="1" w:styleId="Footer-Even">
    <w:name w:val="Footer - Even"/>
    <w:basedOn w:val="Footer"/>
    <w:rsid w:val="003A7FBC"/>
    <w:pPr>
      <w:tabs>
        <w:tab w:val="right" w:pos="8220"/>
      </w:tabs>
      <w:kinsoku w:val="0"/>
      <w:overflowPunct w:val="0"/>
      <w:autoSpaceDE w:val="0"/>
      <w:autoSpaceDN w:val="0"/>
      <w:adjustRightInd w:val="0"/>
      <w:snapToGrid w:val="0"/>
      <w:spacing w:line="0" w:lineRule="atLeast"/>
    </w:pPr>
    <w:rPr>
      <w:rFonts w:ascii="Arial" w:hAnsi="Arial"/>
      <w:snapToGrid w:val="0"/>
      <w:sz w:val="19"/>
      <w:szCs w:val="18"/>
      <w:lang w:eastAsia="en-US"/>
    </w:rPr>
  </w:style>
  <w:style w:type="paragraph" w:customStyle="1" w:styleId="URL">
    <w:name w:val="URL"/>
    <w:basedOn w:val="PwCNormal"/>
    <w:next w:val="PwCNormal"/>
    <w:rsid w:val="003A7FBC"/>
    <w:pPr>
      <w:framePr w:wrap="around" w:vAnchor="page" w:hAnchor="page" w:x="1022" w:y="568"/>
      <w:spacing w:after="0"/>
    </w:pPr>
    <w:rPr>
      <w:rFonts w:eastAsia="+mn-ea"/>
      <w:snapToGrid/>
      <w:color w:val="FFFFFF"/>
      <w:sz w:val="36"/>
    </w:rPr>
  </w:style>
  <w:style w:type="paragraph" w:customStyle="1" w:styleId="Indent1">
    <w:name w:val="Indent 1"/>
    <w:basedOn w:val="Normal"/>
    <w:rsid w:val="003A7FBC"/>
    <w:pPr>
      <w:numPr>
        <w:ilvl w:val="1"/>
        <w:numId w:val="37"/>
      </w:numPr>
      <w:kinsoku w:val="0"/>
      <w:overflowPunct w:val="0"/>
      <w:autoSpaceDE w:val="0"/>
      <w:autoSpaceDN w:val="0"/>
      <w:adjustRightInd w:val="0"/>
      <w:snapToGrid w:val="0"/>
      <w:spacing w:before="100" w:after="100" w:line="240" w:lineRule="auto"/>
    </w:pPr>
    <w:rPr>
      <w:rFonts w:ascii="Georgia" w:hAnsi="Georgia" w:cs="Times New Roman"/>
      <w:snapToGrid w:val="0"/>
      <w:lang w:eastAsia="en-US"/>
    </w:rPr>
  </w:style>
  <w:style w:type="paragraph" w:customStyle="1" w:styleId="Indent2">
    <w:name w:val="Indent 2"/>
    <w:basedOn w:val="Indent1"/>
    <w:rsid w:val="003A7FBC"/>
    <w:pPr>
      <w:numPr>
        <w:ilvl w:val="2"/>
      </w:numPr>
    </w:pPr>
  </w:style>
  <w:style w:type="paragraph" w:customStyle="1" w:styleId="Indent3">
    <w:name w:val="Indent 3"/>
    <w:basedOn w:val="Indent2"/>
    <w:rsid w:val="003A7FBC"/>
    <w:pPr>
      <w:numPr>
        <w:ilvl w:val="3"/>
      </w:numPr>
    </w:pPr>
  </w:style>
  <w:style w:type="paragraph" w:customStyle="1" w:styleId="Indent5">
    <w:name w:val="Indent 5"/>
    <w:basedOn w:val="Indent4"/>
    <w:rsid w:val="003A7FBC"/>
    <w:pPr>
      <w:numPr>
        <w:ilvl w:val="5"/>
      </w:numPr>
    </w:pPr>
  </w:style>
  <w:style w:type="paragraph" w:customStyle="1" w:styleId="Indent6">
    <w:name w:val="Indent 6"/>
    <w:basedOn w:val="Indent5"/>
    <w:rsid w:val="003A7FBC"/>
    <w:pPr>
      <w:numPr>
        <w:ilvl w:val="6"/>
      </w:numPr>
    </w:pPr>
  </w:style>
  <w:style w:type="paragraph" w:customStyle="1" w:styleId="Indent7">
    <w:name w:val="Indent 7"/>
    <w:basedOn w:val="Indent6"/>
    <w:rsid w:val="003A7FBC"/>
    <w:pPr>
      <w:numPr>
        <w:ilvl w:val="7"/>
      </w:numPr>
    </w:pPr>
  </w:style>
  <w:style w:type="numbering" w:customStyle="1" w:styleId="Indents">
    <w:name w:val="Indents"/>
    <w:rsid w:val="003A7FBC"/>
    <w:pPr>
      <w:numPr>
        <w:numId w:val="16"/>
      </w:numPr>
    </w:pPr>
  </w:style>
  <w:style w:type="paragraph" w:customStyle="1" w:styleId="Copyright">
    <w:name w:val="Copyright"/>
    <w:basedOn w:val="Normal"/>
    <w:rsid w:val="003A7FBC"/>
    <w:pPr>
      <w:framePr w:w="7938" w:wrap="around" w:vAnchor="page" w:hAnchor="page" w:x="1022" w:y="15196"/>
      <w:kinsoku w:val="0"/>
      <w:overflowPunct w:val="0"/>
      <w:autoSpaceDE w:val="0"/>
      <w:autoSpaceDN w:val="0"/>
      <w:adjustRightInd w:val="0"/>
      <w:snapToGrid w:val="0"/>
      <w:spacing w:before="150" w:after="150" w:line="150" w:lineRule="atLeast"/>
      <w:ind w:right="816"/>
    </w:pPr>
    <w:rPr>
      <w:rFonts w:ascii="Arial" w:hAnsi="Arial"/>
      <w:snapToGrid w:val="0"/>
      <w:color w:val="FFFFFF"/>
      <w:sz w:val="16"/>
      <w:lang w:val="en-US" w:eastAsia="en-US"/>
    </w:rPr>
  </w:style>
  <w:style w:type="paragraph" w:customStyle="1" w:styleId="Header-Even">
    <w:name w:val="Header - Even"/>
    <w:basedOn w:val="Header"/>
    <w:rsid w:val="003A7FBC"/>
    <w:pPr>
      <w:tabs>
        <w:tab w:val="right" w:pos="8220"/>
      </w:tabs>
      <w:kinsoku w:val="0"/>
      <w:overflowPunct w:val="0"/>
      <w:autoSpaceDE w:val="0"/>
      <w:autoSpaceDN w:val="0"/>
      <w:adjustRightInd w:val="0"/>
      <w:snapToGrid w:val="0"/>
    </w:pPr>
    <w:rPr>
      <w:rFonts w:ascii="Arial" w:hAnsi="Arial"/>
      <w:snapToGrid w:val="0"/>
      <w:sz w:val="19"/>
      <w:szCs w:val="18"/>
      <w:lang w:eastAsia="en-US"/>
    </w:rPr>
  </w:style>
  <w:style w:type="paragraph" w:customStyle="1" w:styleId="PleaseNote">
    <w:name w:val="Please Note"/>
    <w:basedOn w:val="PrefaceTitle"/>
    <w:next w:val="PwCNormal"/>
    <w:rsid w:val="003A7FBC"/>
    <w:rPr>
      <w:iCs w:val="0"/>
    </w:rPr>
  </w:style>
  <w:style w:type="paragraph" w:customStyle="1" w:styleId="Indent4">
    <w:name w:val="Indent 4"/>
    <w:basedOn w:val="Indent3"/>
    <w:rsid w:val="003A7FBC"/>
    <w:pPr>
      <w:numPr>
        <w:ilvl w:val="4"/>
      </w:numPr>
    </w:pPr>
  </w:style>
  <w:style w:type="paragraph" w:customStyle="1" w:styleId="KeySentenceInside">
    <w:name w:val="Key Sentence Inside"/>
    <w:basedOn w:val="KeySentence"/>
    <w:rsid w:val="003A7FBC"/>
    <w:pPr>
      <w:framePr w:w="2296" w:wrap="notBeside" w:vAnchor="text" w:hAnchor="margin" w:x="-2521" w:y="1" w:anchorLock="1"/>
    </w:pPr>
  </w:style>
  <w:style w:type="paragraph" w:customStyle="1" w:styleId="ChapterNumberedList1">
    <w:name w:val="Chapter Numbered List 1"/>
    <w:basedOn w:val="PwCNormal"/>
    <w:uiPriority w:val="99"/>
    <w:rsid w:val="003A7FBC"/>
    <w:pPr>
      <w:numPr>
        <w:numId w:val="0"/>
      </w:numPr>
      <w:ind w:left="3632" w:hanging="454"/>
    </w:pPr>
  </w:style>
  <w:style w:type="paragraph" w:customStyle="1" w:styleId="ChapterNumberedList2">
    <w:name w:val="Chapter Numbered List 2"/>
    <w:basedOn w:val="ChapterNumberedList1"/>
    <w:uiPriority w:val="99"/>
    <w:rsid w:val="003A7FBC"/>
    <w:pPr>
      <w:ind w:left="4086"/>
    </w:pPr>
  </w:style>
  <w:style w:type="paragraph" w:customStyle="1" w:styleId="PwCNormal">
    <w:name w:val="PwC Normal"/>
    <w:basedOn w:val="Normal"/>
    <w:link w:val="PwCNormalChar"/>
    <w:rsid w:val="003A7FBC"/>
    <w:pPr>
      <w:numPr>
        <w:numId w:val="37"/>
      </w:numPr>
      <w:kinsoku w:val="0"/>
      <w:overflowPunct w:val="0"/>
      <w:autoSpaceDE w:val="0"/>
      <w:autoSpaceDN w:val="0"/>
      <w:adjustRightInd w:val="0"/>
      <w:snapToGrid w:val="0"/>
      <w:spacing w:before="120" w:after="120" w:line="240" w:lineRule="auto"/>
    </w:pPr>
    <w:rPr>
      <w:rFonts w:ascii="Georgia" w:hAnsi="Georgia"/>
      <w:snapToGrid w:val="0"/>
      <w:lang w:eastAsia="en-US"/>
    </w:rPr>
  </w:style>
  <w:style w:type="paragraph" w:customStyle="1" w:styleId="CoverDate">
    <w:name w:val="Cover Date"/>
    <w:basedOn w:val="Coversubtitle"/>
    <w:rsid w:val="003A7FBC"/>
    <w:pPr>
      <w:framePr w:wrap="notBeside"/>
    </w:pPr>
  </w:style>
  <w:style w:type="paragraph" w:customStyle="1" w:styleId="KeySentenceOutside">
    <w:name w:val="Key Sentence Outside"/>
    <w:basedOn w:val="KeySentence"/>
    <w:rsid w:val="003A7FBC"/>
    <w:pPr>
      <w:framePr w:w="2410" w:wrap="around" w:vAnchor="text" w:hAnchor="margin" w:x="7909" w:y="1" w:anchorLock="1"/>
    </w:pPr>
  </w:style>
  <w:style w:type="character" w:customStyle="1" w:styleId="PwCNormalChar">
    <w:name w:val="PwC Normal Char"/>
    <w:basedOn w:val="DefaultParagraphFont"/>
    <w:link w:val="PwCNormal"/>
    <w:rsid w:val="003A7FBC"/>
    <w:rPr>
      <w:rFonts w:ascii="Georgia" w:hAnsi="Georgia"/>
      <w:snapToGrid w:val="0"/>
      <w:color w:val="auto"/>
      <w:lang w:eastAsia="en-US"/>
    </w:rPr>
  </w:style>
  <w:style w:type="paragraph" w:customStyle="1" w:styleId="CREATISID">
    <w:name w:val="CREATISID"/>
    <w:basedOn w:val="PwCNormal"/>
    <w:unhideWhenUsed/>
    <w:rsid w:val="003A7FBC"/>
    <w:pPr>
      <w:framePr w:w="227" w:h="539" w:wrap="notBeside" w:vAnchor="page" w:hAnchor="page" w:x="511" w:y="15594"/>
      <w:numPr>
        <w:numId w:val="0"/>
      </w:numPr>
      <w:spacing w:after="0"/>
      <w:textDirection w:val="btLr"/>
    </w:pPr>
    <w:rPr>
      <w:rFonts w:eastAsia="MS Mincho"/>
      <w:sz w:val="10"/>
      <w:szCs w:val="12"/>
      <w:lang w:eastAsia="ja-JP"/>
    </w:rPr>
  </w:style>
  <w:style w:type="numbering" w:customStyle="1" w:styleId="BulletList">
    <w:name w:val="Bullet List"/>
    <w:rsid w:val="003A7FBC"/>
    <w:pPr>
      <w:numPr>
        <w:numId w:val="15"/>
      </w:numPr>
    </w:pPr>
  </w:style>
  <w:style w:type="paragraph" w:customStyle="1" w:styleId="Footer-Landscape">
    <w:name w:val="Footer - Landscape"/>
    <w:basedOn w:val="Footer"/>
    <w:rsid w:val="003A7FBC"/>
    <w:pPr>
      <w:tabs>
        <w:tab w:val="right" w:pos="14797"/>
      </w:tabs>
      <w:kinsoku w:val="0"/>
      <w:overflowPunct w:val="0"/>
      <w:autoSpaceDE w:val="0"/>
      <w:autoSpaceDN w:val="0"/>
      <w:adjustRightInd w:val="0"/>
      <w:snapToGrid w:val="0"/>
      <w:spacing w:line="0" w:lineRule="atLeast"/>
    </w:pPr>
    <w:rPr>
      <w:rFonts w:ascii="Arial" w:hAnsi="Arial"/>
      <w:snapToGrid w:val="0"/>
      <w:sz w:val="19"/>
      <w:szCs w:val="18"/>
      <w:lang w:eastAsia="en-US"/>
    </w:rPr>
  </w:style>
  <w:style w:type="paragraph" w:customStyle="1" w:styleId="TableBullet1Normal">
    <w:name w:val="Table Bullet 1 Normal"/>
    <w:basedOn w:val="TableTextNormal"/>
    <w:rsid w:val="003A7FBC"/>
    <w:pPr>
      <w:numPr>
        <w:numId w:val="19"/>
      </w:numPr>
      <w:spacing w:before="40" w:after="40"/>
    </w:pPr>
  </w:style>
  <w:style w:type="paragraph" w:customStyle="1" w:styleId="TableTextNormal">
    <w:name w:val="Table Text Normal"/>
    <w:basedOn w:val="Normal"/>
    <w:rsid w:val="003A7FBC"/>
    <w:pPr>
      <w:kinsoku w:val="0"/>
      <w:overflowPunct w:val="0"/>
      <w:autoSpaceDE w:val="0"/>
      <w:autoSpaceDN w:val="0"/>
      <w:adjustRightInd w:val="0"/>
      <w:snapToGrid w:val="0"/>
      <w:spacing w:before="80" w:after="80" w:line="240" w:lineRule="auto"/>
    </w:pPr>
    <w:rPr>
      <w:rFonts w:ascii="Georgia" w:hAnsi="Georgia"/>
      <w:snapToGrid w:val="0"/>
      <w:lang w:eastAsia="en-US"/>
    </w:rPr>
  </w:style>
  <w:style w:type="paragraph" w:customStyle="1" w:styleId="TableBullet1Small">
    <w:name w:val="Table Bullet 1 Small"/>
    <w:basedOn w:val="TableTextSmall"/>
    <w:rsid w:val="003A7FBC"/>
    <w:pPr>
      <w:numPr>
        <w:numId w:val="20"/>
      </w:numPr>
      <w:spacing w:before="20" w:after="20"/>
    </w:pPr>
  </w:style>
  <w:style w:type="paragraph" w:customStyle="1" w:styleId="TableTextSmall">
    <w:name w:val="Table Text Small"/>
    <w:basedOn w:val="Normal"/>
    <w:rsid w:val="003A7FBC"/>
    <w:pPr>
      <w:kinsoku w:val="0"/>
      <w:overflowPunct w:val="0"/>
      <w:autoSpaceDE w:val="0"/>
      <w:autoSpaceDN w:val="0"/>
      <w:adjustRightInd w:val="0"/>
      <w:snapToGrid w:val="0"/>
      <w:spacing w:before="40" w:after="40" w:line="240" w:lineRule="auto"/>
    </w:pPr>
    <w:rPr>
      <w:rFonts w:ascii="Arial" w:hAnsi="Arial"/>
      <w:snapToGrid w:val="0"/>
      <w:sz w:val="16"/>
      <w:szCs w:val="18"/>
      <w:lang w:eastAsia="en-US"/>
    </w:rPr>
  </w:style>
  <w:style w:type="paragraph" w:customStyle="1" w:styleId="TableBullet3Normal">
    <w:name w:val="Table Bullet 3 Normal"/>
    <w:basedOn w:val="TableBullet2Normal"/>
    <w:rsid w:val="003A7FBC"/>
    <w:pPr>
      <w:numPr>
        <w:ilvl w:val="2"/>
      </w:numPr>
      <w:tabs>
        <w:tab w:val="clear" w:pos="851"/>
        <w:tab w:val="num" w:pos="567"/>
      </w:tabs>
      <w:ind w:left="567" w:hanging="283"/>
    </w:pPr>
  </w:style>
  <w:style w:type="paragraph" w:customStyle="1" w:styleId="TableBullet3Small">
    <w:name w:val="Table Bullet 3 Small"/>
    <w:basedOn w:val="TableBullet2Small"/>
    <w:rsid w:val="003A7FBC"/>
    <w:pPr>
      <w:numPr>
        <w:ilvl w:val="2"/>
      </w:numPr>
    </w:pPr>
    <w:rPr>
      <w:szCs w:val="16"/>
    </w:rPr>
  </w:style>
  <w:style w:type="paragraph" w:customStyle="1" w:styleId="BlockText2">
    <w:name w:val="Block Text 2"/>
    <w:basedOn w:val="Normal"/>
    <w:qFormat/>
    <w:rsid w:val="003A7FBC"/>
    <w:pPr>
      <w:pBdr>
        <w:top w:val="single" w:sz="2" w:space="10" w:color="00B2A9" w:themeColor="text2"/>
        <w:left w:val="single" w:sz="2" w:space="10" w:color="00B2A9" w:themeColor="text2"/>
        <w:bottom w:val="single" w:sz="2" w:space="10" w:color="00B2A9" w:themeColor="text2"/>
        <w:right w:val="single" w:sz="2" w:space="10" w:color="00B2A9" w:themeColor="text2"/>
      </w:pBdr>
      <w:shd w:val="clear" w:color="auto" w:fill="00B2A9" w:themeFill="text2"/>
      <w:spacing w:after="240" w:line="240" w:lineRule="auto"/>
      <w:ind w:left="227" w:right="227"/>
    </w:pPr>
    <w:rPr>
      <w:rFonts w:ascii="Georgia" w:eastAsiaTheme="minorHAnsi" w:hAnsi="Georgia" w:cstheme="minorBidi"/>
      <w:i/>
      <w:color w:val="E5F7F6" w:themeColor="background2"/>
      <w:sz w:val="48"/>
      <w:szCs w:val="48"/>
      <w:lang w:val="en-GB" w:eastAsia="en-US"/>
    </w:rPr>
  </w:style>
  <w:style w:type="paragraph" w:customStyle="1" w:styleId="Appendix">
    <w:name w:val="Appendix"/>
    <w:basedOn w:val="Heading1"/>
    <w:next w:val="Normal"/>
    <w:uiPriority w:val="99"/>
    <w:qFormat/>
    <w:rsid w:val="003A7FBC"/>
    <w:pPr>
      <w:numPr>
        <w:numId w:val="24"/>
      </w:numPr>
      <w:spacing w:after="480" w:line="600" w:lineRule="atLeast"/>
    </w:pPr>
    <w:rPr>
      <w:rFonts w:asciiTheme="majorHAnsi" w:eastAsiaTheme="majorEastAsia" w:hAnsiTheme="majorHAnsi" w:cstheme="majorBidi"/>
      <w:i/>
      <w:color w:val="auto"/>
      <w:kern w:val="0"/>
      <w:sz w:val="56"/>
      <w:szCs w:val="28"/>
      <w:lang w:val="en-GB" w:eastAsia="en-US"/>
    </w:rPr>
  </w:style>
  <w:style w:type="numbering" w:customStyle="1" w:styleId="PwCAppendixList1">
    <w:name w:val="PwC Appendix List 1"/>
    <w:uiPriority w:val="99"/>
    <w:rsid w:val="003A7FBC"/>
    <w:pPr>
      <w:numPr>
        <w:numId w:val="23"/>
      </w:numPr>
    </w:pPr>
  </w:style>
  <w:style w:type="paragraph" w:customStyle="1" w:styleId="Majorheading">
    <w:name w:val="Major heading"/>
    <w:basedOn w:val="Normal"/>
    <w:next w:val="PwCNormal"/>
    <w:rsid w:val="003A7FBC"/>
    <w:pPr>
      <w:keepNext/>
      <w:keepLines/>
      <w:kinsoku w:val="0"/>
      <w:overflowPunct w:val="0"/>
      <w:autoSpaceDE w:val="0"/>
      <w:autoSpaceDN w:val="0"/>
      <w:adjustRightInd w:val="0"/>
      <w:snapToGrid w:val="0"/>
      <w:spacing w:before="240" w:after="40" w:line="240" w:lineRule="auto"/>
    </w:pPr>
    <w:rPr>
      <w:rFonts w:asciiTheme="majorHAnsi" w:hAnsiTheme="majorHAnsi"/>
      <w:b/>
      <w:i/>
      <w:snapToGrid w:val="0"/>
      <w:color w:val="00B2A9" w:themeColor="text2"/>
      <w:sz w:val="28"/>
      <w:szCs w:val="24"/>
      <w:lang w:eastAsia="en-US"/>
    </w:rPr>
  </w:style>
  <w:style w:type="numbering" w:customStyle="1" w:styleId="TableBulletNormalList">
    <w:name w:val="Table Bullet Normal List"/>
    <w:rsid w:val="003A7FBC"/>
    <w:pPr>
      <w:numPr>
        <w:numId w:val="18"/>
      </w:numPr>
    </w:pPr>
  </w:style>
  <w:style w:type="paragraph" w:customStyle="1" w:styleId="Disclaimer">
    <w:name w:val="Disclaimer"/>
    <w:basedOn w:val="Normal"/>
    <w:unhideWhenUsed/>
    <w:rsid w:val="003A7FBC"/>
    <w:pPr>
      <w:kinsoku w:val="0"/>
      <w:overflowPunct w:val="0"/>
      <w:autoSpaceDE w:val="0"/>
      <w:autoSpaceDN w:val="0"/>
      <w:adjustRightInd w:val="0"/>
      <w:snapToGrid w:val="0"/>
      <w:spacing w:after="140" w:line="240" w:lineRule="auto"/>
    </w:pPr>
    <w:rPr>
      <w:rFonts w:ascii="Arial" w:hAnsi="Arial"/>
      <w:snapToGrid w:val="0"/>
      <w:sz w:val="15"/>
      <w:lang w:eastAsia="en-US"/>
    </w:rPr>
  </w:style>
  <w:style w:type="paragraph" w:customStyle="1" w:styleId="Footer-LandscapeEven">
    <w:name w:val="Footer - Landscape Even"/>
    <w:basedOn w:val="Footer-Landscape"/>
    <w:rsid w:val="003A7FBC"/>
  </w:style>
  <w:style w:type="paragraph" w:customStyle="1" w:styleId="PwCNormal-Single">
    <w:name w:val="PwC Normal - Single"/>
    <w:basedOn w:val="PwCNormal"/>
    <w:rsid w:val="003A7FBC"/>
    <w:pPr>
      <w:numPr>
        <w:numId w:val="0"/>
      </w:numPr>
      <w:spacing w:after="0"/>
    </w:pPr>
  </w:style>
  <w:style w:type="numbering" w:customStyle="1" w:styleId="TableNumberdListNormal">
    <w:name w:val="Table Numberd List Normal"/>
    <w:uiPriority w:val="99"/>
    <w:rsid w:val="003A7FBC"/>
    <w:pPr>
      <w:numPr>
        <w:numId w:val="26"/>
      </w:numPr>
    </w:pPr>
  </w:style>
  <w:style w:type="numbering" w:customStyle="1" w:styleId="TableNumberedListSmall">
    <w:name w:val="Table Numbered List Small"/>
    <w:uiPriority w:val="99"/>
    <w:rsid w:val="003A7FBC"/>
    <w:pPr>
      <w:numPr>
        <w:numId w:val="28"/>
      </w:numPr>
    </w:pPr>
  </w:style>
  <w:style w:type="paragraph" w:customStyle="1" w:styleId="TableIndent2Normal">
    <w:name w:val="Table Indent 2 Normal"/>
    <w:basedOn w:val="TableIndent1Normal"/>
    <w:rsid w:val="003A7FBC"/>
    <w:pPr>
      <w:ind w:left="567"/>
    </w:pPr>
  </w:style>
  <w:style w:type="paragraph" w:customStyle="1" w:styleId="TableIndent2Small">
    <w:name w:val="Table Indent 2 Small"/>
    <w:basedOn w:val="TableIndent1Small"/>
    <w:rsid w:val="003A7FBC"/>
    <w:pPr>
      <w:ind w:left="567"/>
    </w:pPr>
    <w:rPr>
      <w:szCs w:val="16"/>
    </w:rPr>
  </w:style>
  <w:style w:type="paragraph" w:customStyle="1" w:styleId="KeySentence">
    <w:name w:val="Key Sentence"/>
    <w:basedOn w:val="Normal"/>
    <w:rsid w:val="003A7FBC"/>
    <w:pPr>
      <w:kinsoku w:val="0"/>
      <w:overflowPunct w:val="0"/>
      <w:autoSpaceDE w:val="0"/>
      <w:autoSpaceDN w:val="0"/>
      <w:adjustRightInd w:val="0"/>
      <w:snapToGrid w:val="0"/>
      <w:spacing w:after="160" w:line="260" w:lineRule="atLeast"/>
    </w:pPr>
    <w:rPr>
      <w:rFonts w:ascii="Georgia" w:hAnsi="Georgia"/>
      <w:i/>
      <w:snapToGrid w:val="0"/>
      <w:color w:val="00B2A9" w:themeColor="text2"/>
      <w:sz w:val="16"/>
      <w:szCs w:val="18"/>
      <w:lang w:eastAsia="en-US"/>
    </w:rPr>
  </w:style>
  <w:style w:type="numbering" w:customStyle="1" w:styleId="TableNumberedListS">
    <w:name w:val="Table Numbered List S"/>
    <w:rsid w:val="003A7FBC"/>
  </w:style>
  <w:style w:type="paragraph" w:customStyle="1" w:styleId="PrefaceTitle">
    <w:name w:val="Preface Title"/>
    <w:basedOn w:val="Heading2"/>
    <w:next w:val="PwCNormal"/>
    <w:rsid w:val="003A7FBC"/>
    <w:pPr>
      <w:pageBreakBefore/>
      <w:numPr>
        <w:ilvl w:val="0"/>
        <w:numId w:val="0"/>
      </w:numPr>
      <w:kinsoku w:val="0"/>
      <w:overflowPunct w:val="0"/>
      <w:autoSpaceDE w:val="0"/>
      <w:autoSpaceDN w:val="0"/>
      <w:adjustRightInd w:val="0"/>
      <w:snapToGrid w:val="0"/>
      <w:spacing w:after="480" w:line="600" w:lineRule="atLeast"/>
    </w:pPr>
    <w:rPr>
      <w:rFonts w:asciiTheme="majorHAnsi" w:hAnsiTheme="majorHAnsi"/>
      <w:snapToGrid w:val="0"/>
      <w:color w:val="363534" w:themeColor="text1"/>
      <w:kern w:val="0"/>
      <w:sz w:val="56"/>
      <w:szCs w:val="36"/>
      <w:lang w:eastAsia="en-US"/>
    </w:rPr>
  </w:style>
  <w:style w:type="paragraph" w:customStyle="1" w:styleId="Sources">
    <w:name w:val="Sources"/>
    <w:basedOn w:val="Normal"/>
    <w:next w:val="PwCNormal"/>
    <w:rsid w:val="003A7FBC"/>
    <w:pPr>
      <w:kinsoku w:val="0"/>
      <w:overflowPunct w:val="0"/>
      <w:autoSpaceDE w:val="0"/>
      <w:autoSpaceDN w:val="0"/>
      <w:adjustRightInd w:val="0"/>
      <w:snapToGrid w:val="0"/>
      <w:spacing w:before="80" w:after="240" w:line="180" w:lineRule="atLeast"/>
    </w:pPr>
    <w:rPr>
      <w:rFonts w:ascii="Georgia" w:hAnsi="Georgia"/>
      <w:snapToGrid w:val="0"/>
      <w:color w:val="00B2A9" w:themeColor="text2"/>
      <w:sz w:val="16"/>
      <w:lang w:eastAsia="en-US"/>
    </w:rPr>
  </w:style>
  <w:style w:type="paragraph" w:customStyle="1" w:styleId="Minorheading">
    <w:name w:val="Minor heading"/>
    <w:basedOn w:val="Majorheading"/>
    <w:next w:val="PwCNormal"/>
    <w:rsid w:val="003A7FBC"/>
    <w:pPr>
      <w:spacing w:line="180" w:lineRule="atLeast"/>
    </w:pPr>
    <w:rPr>
      <w:b w:val="0"/>
      <w:sz w:val="26"/>
    </w:rPr>
  </w:style>
  <w:style w:type="paragraph" w:customStyle="1" w:styleId="Minorheading2">
    <w:name w:val="Minor heading 2"/>
    <w:basedOn w:val="Minorheading"/>
    <w:next w:val="PwCNormal"/>
    <w:rsid w:val="003A7FBC"/>
    <w:pPr>
      <w:spacing w:after="120" w:line="240" w:lineRule="auto"/>
    </w:pPr>
    <w:rPr>
      <w:b/>
      <w:i w:val="0"/>
      <w:sz w:val="20"/>
    </w:rPr>
  </w:style>
  <w:style w:type="numbering" w:customStyle="1" w:styleId="PwCListNumbers1">
    <w:name w:val="PwC List Numbers 1"/>
    <w:uiPriority w:val="99"/>
    <w:rsid w:val="003A7FBC"/>
    <w:pPr>
      <w:numPr>
        <w:numId w:val="25"/>
      </w:numPr>
    </w:pPr>
  </w:style>
  <w:style w:type="paragraph" w:customStyle="1" w:styleId="BlockText3">
    <w:name w:val="Block Text 3"/>
    <w:basedOn w:val="BlockText"/>
    <w:qFormat/>
    <w:rsid w:val="003A7FBC"/>
    <w:pPr>
      <w:pBdr>
        <w:top w:val="single" w:sz="8" w:space="10" w:color="D2F1EF" w:themeColor="background2" w:themeShade="F2"/>
        <w:left w:val="single" w:sz="8" w:space="10" w:color="D2F1EF" w:themeColor="background2" w:themeShade="F2"/>
        <w:bottom w:val="single" w:sz="8" w:space="10" w:color="D2F1EF" w:themeColor="background2" w:themeShade="F2"/>
        <w:right w:val="single" w:sz="8" w:space="10" w:color="D2F1EF" w:themeColor="background2" w:themeShade="F2"/>
      </w:pBdr>
      <w:shd w:val="clear" w:color="auto" w:fill="D2F1EF" w:themeFill="background2" w:themeFillShade="F2"/>
      <w:spacing w:after="240" w:line="240" w:lineRule="auto"/>
      <w:ind w:left="227" w:right="227"/>
    </w:pPr>
    <w:rPr>
      <w:rFonts w:ascii="Georgia" w:hAnsi="Georgia"/>
      <w:b/>
      <w:color w:val="00B2A9" w:themeColor="accent1"/>
      <w:sz w:val="96"/>
      <w:lang w:val="en-GB" w:eastAsia="en-US"/>
    </w:rPr>
  </w:style>
  <w:style w:type="paragraph" w:customStyle="1" w:styleId="TableBullet2Normal">
    <w:name w:val="Table Bullet 2 Normal"/>
    <w:basedOn w:val="TableBullet1Normal"/>
    <w:rsid w:val="003A7FBC"/>
    <w:pPr>
      <w:numPr>
        <w:ilvl w:val="1"/>
      </w:numPr>
    </w:pPr>
  </w:style>
  <w:style w:type="paragraph" w:customStyle="1" w:styleId="TableBullet2Small">
    <w:name w:val="Table Bullet 2 Small"/>
    <w:basedOn w:val="TableBullet1Small"/>
    <w:rsid w:val="003A7FBC"/>
    <w:pPr>
      <w:numPr>
        <w:ilvl w:val="1"/>
      </w:numPr>
    </w:pPr>
  </w:style>
  <w:style w:type="paragraph" w:customStyle="1" w:styleId="TableIndent1Normal">
    <w:name w:val="Table Indent 1 Normal"/>
    <w:basedOn w:val="TableBullet1Normal"/>
    <w:rsid w:val="003A7FBC"/>
    <w:pPr>
      <w:numPr>
        <w:numId w:val="0"/>
      </w:numPr>
      <w:ind w:left="284"/>
    </w:pPr>
  </w:style>
  <w:style w:type="paragraph" w:customStyle="1" w:styleId="TableIndent1Small">
    <w:name w:val="Table Indent 1 Small"/>
    <w:basedOn w:val="TableBullet1Small"/>
    <w:rsid w:val="003A7FBC"/>
    <w:pPr>
      <w:numPr>
        <w:numId w:val="0"/>
      </w:numPr>
      <w:ind w:left="284"/>
    </w:pPr>
  </w:style>
  <w:style w:type="paragraph" w:customStyle="1" w:styleId="SubHeading">
    <w:name w:val="Sub Heading"/>
    <w:basedOn w:val="PwCNormal"/>
    <w:rsid w:val="003A7FBC"/>
    <w:pPr>
      <w:spacing w:after="480" w:line="600" w:lineRule="atLeast"/>
    </w:pPr>
    <w:rPr>
      <w:sz w:val="56"/>
    </w:rPr>
  </w:style>
  <w:style w:type="character" w:styleId="EndnoteReference">
    <w:name w:val="endnote reference"/>
    <w:basedOn w:val="DefaultParagraphFont"/>
    <w:semiHidden/>
    <w:unhideWhenUsed/>
    <w:rsid w:val="003A7FBC"/>
    <w:rPr>
      <w:rFonts w:ascii="Arial" w:hAnsi="Arial" w:cs="Arial"/>
      <w:sz w:val="21"/>
      <w:vertAlign w:val="superscript"/>
    </w:rPr>
  </w:style>
  <w:style w:type="paragraph" w:styleId="EndnoteText">
    <w:name w:val="endnote text"/>
    <w:basedOn w:val="FootnoteText"/>
    <w:link w:val="EndnoteTextChar"/>
    <w:semiHidden/>
    <w:unhideWhenUsed/>
    <w:rsid w:val="003A7FBC"/>
    <w:pPr>
      <w:kinsoku w:val="0"/>
      <w:overflowPunct w:val="0"/>
      <w:autoSpaceDE w:val="0"/>
      <w:autoSpaceDN w:val="0"/>
      <w:adjustRightInd w:val="0"/>
      <w:snapToGrid w:val="0"/>
      <w:spacing w:before="80" w:after="80" w:line="240" w:lineRule="auto"/>
      <w:ind w:left="227" w:hanging="227"/>
    </w:pPr>
    <w:rPr>
      <w:rFonts w:ascii="Georgia" w:hAnsi="Georgia"/>
      <w:snapToGrid w:val="0"/>
      <w:kern w:val="0"/>
      <w:lang w:eastAsia="en-US"/>
    </w:rPr>
  </w:style>
  <w:style w:type="character" w:customStyle="1" w:styleId="EndnoteTextChar">
    <w:name w:val="Endnote Text Char"/>
    <w:basedOn w:val="DefaultParagraphFont"/>
    <w:link w:val="EndnoteText"/>
    <w:semiHidden/>
    <w:rsid w:val="003A7FBC"/>
    <w:rPr>
      <w:rFonts w:ascii="Georgia" w:hAnsi="Georgia"/>
      <w:snapToGrid w:val="0"/>
      <w:color w:val="auto"/>
      <w:sz w:val="14"/>
      <w:lang w:eastAsia="en-US"/>
    </w:rPr>
  </w:style>
  <w:style w:type="paragraph" w:customStyle="1" w:styleId="Address">
    <w:name w:val="Address"/>
    <w:basedOn w:val="Normal"/>
    <w:qFormat/>
    <w:rsid w:val="003A7FBC"/>
    <w:pPr>
      <w:spacing w:line="200" w:lineRule="atLeast"/>
    </w:pPr>
    <w:rPr>
      <w:rFonts w:ascii="Georgia" w:eastAsiaTheme="minorHAnsi" w:hAnsi="Georgia" w:cstheme="minorBidi"/>
      <w:i/>
      <w:noProof/>
      <w:sz w:val="18"/>
      <w:szCs w:val="22"/>
      <w:lang w:val="en-GB" w:eastAsia="en-GB"/>
    </w:rPr>
  </w:style>
  <w:style w:type="paragraph" w:styleId="TOC9">
    <w:name w:val="toc 9"/>
    <w:basedOn w:val="TOC8"/>
    <w:next w:val="PwCNormal"/>
    <w:uiPriority w:val="39"/>
    <w:rsid w:val="003A7FBC"/>
    <w:pPr>
      <w:tabs>
        <w:tab w:val="clear" w:pos="9582"/>
        <w:tab w:val="left" w:pos="4253"/>
        <w:tab w:val="right" w:pos="8220"/>
      </w:tabs>
      <w:kinsoku w:val="0"/>
      <w:overflowPunct w:val="0"/>
      <w:autoSpaceDE w:val="0"/>
      <w:autoSpaceDN w:val="0"/>
      <w:adjustRightInd w:val="0"/>
      <w:snapToGrid w:val="0"/>
      <w:spacing w:before="240" w:after="240"/>
      <w:ind w:left="4253" w:hanging="851"/>
    </w:pPr>
    <w:rPr>
      <w:rFonts w:ascii="Georgia" w:hAnsi="Georgia"/>
      <w:b w:val="0"/>
      <w:snapToGrid w:val="0"/>
      <w:color w:val="auto"/>
      <w:lang w:eastAsia="en-US"/>
    </w:rPr>
  </w:style>
  <w:style w:type="paragraph" w:customStyle="1" w:styleId="Separator">
    <w:name w:val="Separator"/>
    <w:basedOn w:val="Normal"/>
    <w:semiHidden/>
    <w:rsid w:val="003A7FBC"/>
    <w:pPr>
      <w:kinsoku w:val="0"/>
      <w:overflowPunct w:val="0"/>
      <w:autoSpaceDE w:val="0"/>
      <w:autoSpaceDN w:val="0"/>
      <w:adjustRightInd w:val="0"/>
      <w:snapToGrid w:val="0"/>
      <w:spacing w:before="240" w:after="120" w:line="240" w:lineRule="auto"/>
    </w:pPr>
    <w:rPr>
      <w:rFonts w:ascii="Georgia" w:hAnsi="Georgia"/>
      <w:snapToGrid w:val="0"/>
      <w:sz w:val="16"/>
      <w:lang w:eastAsia="en-US"/>
    </w:rPr>
  </w:style>
  <w:style w:type="numbering" w:customStyle="1" w:styleId="TableNumberedListN">
    <w:name w:val="Table Numbered List N"/>
    <w:rsid w:val="003A7FBC"/>
  </w:style>
  <w:style w:type="paragraph" w:customStyle="1" w:styleId="TableColumnHeadingNormal">
    <w:name w:val="Table Column Heading Normal"/>
    <w:basedOn w:val="TableTextNormal"/>
    <w:rsid w:val="003A7FBC"/>
    <w:pPr>
      <w:keepNext/>
      <w:keepLines/>
    </w:pPr>
    <w:rPr>
      <w:b/>
      <w:color w:val="00B2A9" w:themeColor="text2"/>
    </w:rPr>
  </w:style>
  <w:style w:type="paragraph" w:customStyle="1" w:styleId="Tablecolumnhead">
    <w:name w:val="Table column head"/>
    <w:basedOn w:val="TableTextSmall"/>
    <w:next w:val="TableTextSmall"/>
    <w:rsid w:val="00414B82"/>
    <w:pPr>
      <w:keepNext/>
      <w:keepLines/>
    </w:pPr>
    <w:rPr>
      <w:b/>
      <w:color w:val="FFFFFF" w:themeColor="background1"/>
      <w:sz w:val="20"/>
      <w:szCs w:val="16"/>
    </w:rPr>
  </w:style>
  <w:style w:type="numbering" w:customStyle="1" w:styleId="TableBulletSmallList">
    <w:name w:val="Table Bullet Small List"/>
    <w:rsid w:val="003A7FBC"/>
    <w:pPr>
      <w:numPr>
        <w:numId w:val="17"/>
      </w:numPr>
    </w:pPr>
  </w:style>
  <w:style w:type="paragraph" w:customStyle="1" w:styleId="Header-Landscape">
    <w:name w:val="Header - Landscape"/>
    <w:basedOn w:val="Header"/>
    <w:rsid w:val="003A7FBC"/>
    <w:pPr>
      <w:tabs>
        <w:tab w:val="right" w:pos="8220"/>
      </w:tabs>
      <w:kinsoku w:val="0"/>
      <w:overflowPunct w:val="0"/>
      <w:autoSpaceDE w:val="0"/>
      <w:autoSpaceDN w:val="0"/>
      <w:adjustRightInd w:val="0"/>
      <w:snapToGrid w:val="0"/>
    </w:pPr>
    <w:rPr>
      <w:rFonts w:ascii="Arial" w:hAnsi="Arial"/>
      <w:snapToGrid w:val="0"/>
      <w:sz w:val="19"/>
      <w:szCs w:val="18"/>
      <w:lang w:eastAsia="en-US"/>
    </w:rPr>
  </w:style>
  <w:style w:type="paragraph" w:customStyle="1" w:styleId="Indent8">
    <w:name w:val="Indent 8"/>
    <w:basedOn w:val="Indent7"/>
    <w:rsid w:val="003A7FBC"/>
    <w:pPr>
      <w:numPr>
        <w:ilvl w:val="8"/>
      </w:numPr>
    </w:pPr>
  </w:style>
  <w:style w:type="paragraph" w:customStyle="1" w:styleId="Header-LandscapeEven">
    <w:name w:val="Header - Landscape Even"/>
    <w:basedOn w:val="Header-Landscape"/>
    <w:rsid w:val="003A7FBC"/>
    <w:pPr>
      <w:tabs>
        <w:tab w:val="right" w:pos="14661"/>
      </w:tabs>
    </w:pPr>
  </w:style>
  <w:style w:type="paragraph" w:customStyle="1" w:styleId="Footer-ToC">
    <w:name w:val="Footer - ToC"/>
    <w:basedOn w:val="Footer"/>
    <w:rsid w:val="003A7FBC"/>
    <w:pPr>
      <w:tabs>
        <w:tab w:val="right" w:pos="8220"/>
      </w:tabs>
      <w:kinsoku w:val="0"/>
      <w:overflowPunct w:val="0"/>
      <w:autoSpaceDE w:val="0"/>
      <w:autoSpaceDN w:val="0"/>
      <w:adjustRightInd w:val="0"/>
      <w:snapToGrid w:val="0"/>
      <w:spacing w:line="0" w:lineRule="atLeast"/>
    </w:pPr>
    <w:rPr>
      <w:rFonts w:ascii="Arial" w:hAnsi="Arial"/>
      <w:snapToGrid w:val="0"/>
      <w:sz w:val="19"/>
      <w:szCs w:val="18"/>
      <w:lang w:eastAsia="en-US"/>
    </w:rPr>
  </w:style>
  <w:style w:type="paragraph" w:customStyle="1" w:styleId="Footer-ToCEven">
    <w:name w:val="Footer - ToC Even"/>
    <w:basedOn w:val="Footer-ToC"/>
    <w:rsid w:val="003A7FBC"/>
  </w:style>
  <w:style w:type="table" w:customStyle="1" w:styleId="Tables-APBase">
    <w:name w:val="Tables - AP Base"/>
    <w:basedOn w:val="TableNormal"/>
    <w:rsid w:val="003A7FBC"/>
    <w:pPr>
      <w:spacing w:line="240" w:lineRule="auto"/>
    </w:pPr>
    <w:rPr>
      <w:rFonts w:ascii="Georgia" w:hAnsi="Georgia" w:cs="Times New Roman"/>
      <w:color w:val="auto"/>
    </w:rPr>
    <w:tblPr>
      <w:tblStyleRowBandSize w:val="1"/>
      <w:tblStyleColBandSize w:val="1"/>
      <w:tblBorders>
        <w:top w:val="single" w:sz="4" w:space="0" w:color="FFFFFF"/>
        <w:left w:val="single" w:sz="4" w:space="0" w:color="FFFFFF"/>
        <w:bottom w:val="single" w:sz="6" w:space="0" w:color="00B2A9" w:themeColor="text2"/>
        <w:right w:val="single" w:sz="4" w:space="0" w:color="FFFFFF"/>
        <w:insideH w:val="dotted" w:sz="8" w:space="0" w:color="00B2A9" w:themeColor="text2"/>
        <w:insideV w:val="single" w:sz="4" w:space="0" w:color="FFFFFF"/>
      </w:tblBorders>
    </w:tblPr>
    <w:tcPr>
      <w:shd w:val="clear" w:color="auto" w:fill="auto"/>
      <w:tcMar>
        <w:top w:w="0" w:type="dxa"/>
        <w:left w:w="108" w:type="dxa"/>
        <w:bottom w:w="0" w:type="dxa"/>
        <w:right w:w="108" w:type="dxa"/>
      </w:tcMar>
    </w:tcPr>
    <w:tblStylePr w:type="firstRow">
      <w:pPr>
        <w:jc w:val="center"/>
      </w:pPr>
      <w:rPr>
        <w:rFonts w:ascii="Georgia" w:hAnsi="Georgia"/>
        <w:b w:val="0"/>
        <w:color w:val="auto"/>
      </w:rPr>
      <w:tblPr/>
      <w:trPr>
        <w:tblHeader/>
      </w:trPr>
      <w:tcPr>
        <w:tcBorders>
          <w:top w:val="single" w:sz="4" w:space="0" w:color="00B2A9" w:themeColor="text2"/>
          <w:bottom w:val="single" w:sz="4" w:space="0" w:color="00B2A9" w:themeColor="text2"/>
        </w:tcBorders>
      </w:tcPr>
    </w:tblStylePr>
    <w:tblStylePr w:type="lastRow">
      <w:rPr>
        <w:color w:val="auto"/>
      </w:rPr>
      <w:tblPr/>
      <w:tcPr>
        <w:tcBorders>
          <w:top w:val="single" w:sz="4" w:space="0" w:color="00B2A9" w:themeColor="text2"/>
        </w:tcBorders>
        <w:shd w:val="clear" w:color="auto" w:fill="auto"/>
      </w:tcPr>
    </w:tblStylePr>
    <w:tblStylePr w:type="nwCell">
      <w:pPr>
        <w:jc w:val="left"/>
      </w:pPr>
      <w:tblPr/>
      <w:tcPr>
        <w:vAlign w:val="bottom"/>
      </w:tcPr>
    </w:tblStylePr>
  </w:style>
  <w:style w:type="paragraph" w:customStyle="1" w:styleId="CVRoleTitle">
    <w:name w:val="CV Role Title"/>
    <w:basedOn w:val="CVText"/>
    <w:rsid w:val="003A7FBC"/>
  </w:style>
  <w:style w:type="paragraph" w:customStyle="1" w:styleId="ListBullet1">
    <w:name w:val="List Bullet 1"/>
    <w:basedOn w:val="Normal"/>
    <w:semiHidden/>
    <w:locked/>
    <w:rsid w:val="003A7FBC"/>
    <w:pPr>
      <w:tabs>
        <w:tab w:val="num" w:pos="720"/>
      </w:tabs>
      <w:kinsoku w:val="0"/>
      <w:overflowPunct w:val="0"/>
      <w:autoSpaceDE w:val="0"/>
      <w:autoSpaceDN w:val="0"/>
      <w:adjustRightInd w:val="0"/>
      <w:snapToGrid w:val="0"/>
      <w:spacing w:before="100" w:after="100" w:line="240" w:lineRule="auto"/>
      <w:ind w:left="720" w:hanging="720"/>
    </w:pPr>
    <w:rPr>
      <w:rFonts w:ascii="Georgia" w:hAnsi="Georgia"/>
      <w:snapToGrid w:val="0"/>
      <w:lang w:eastAsia="en-US"/>
    </w:rPr>
  </w:style>
  <w:style w:type="paragraph" w:styleId="ListBullet4">
    <w:name w:val="List Bullet 4"/>
    <w:basedOn w:val="ListBullet3"/>
    <w:unhideWhenUsed/>
    <w:rsid w:val="003A7FBC"/>
    <w:pPr>
      <w:numPr>
        <w:ilvl w:val="0"/>
        <w:numId w:val="0"/>
      </w:numPr>
      <w:tabs>
        <w:tab w:val="num" w:pos="1134"/>
      </w:tabs>
      <w:kinsoku w:val="0"/>
      <w:overflowPunct w:val="0"/>
      <w:autoSpaceDE w:val="0"/>
      <w:autoSpaceDN w:val="0"/>
      <w:adjustRightInd w:val="0"/>
      <w:snapToGrid w:val="0"/>
      <w:spacing w:line="240" w:lineRule="auto"/>
      <w:ind w:left="1136" w:hanging="284"/>
    </w:pPr>
    <w:rPr>
      <w:rFonts w:ascii="Georgia" w:hAnsi="Georgia"/>
      <w:snapToGrid w:val="0"/>
      <w:lang w:eastAsia="en-US"/>
    </w:rPr>
  </w:style>
  <w:style w:type="paragraph" w:customStyle="1" w:styleId="CVBullet1">
    <w:name w:val="CV Bullet 1"/>
    <w:basedOn w:val="CVText"/>
    <w:rsid w:val="003A7FBC"/>
    <w:pPr>
      <w:numPr>
        <w:numId w:val="22"/>
      </w:numPr>
      <w:ind w:left="0" w:firstLine="0"/>
    </w:pPr>
  </w:style>
  <w:style w:type="paragraph" w:customStyle="1" w:styleId="CVDetails">
    <w:name w:val="CV Details"/>
    <w:basedOn w:val="CVRoleTitle"/>
    <w:rsid w:val="003A7FBC"/>
    <w:pPr>
      <w:pBdr>
        <w:bottom w:val="none" w:sz="0" w:space="0" w:color="00457C"/>
      </w:pBdr>
      <w:spacing w:before="120" w:after="40"/>
    </w:pPr>
    <w:rPr>
      <w:i/>
      <w:color w:val="00B2A9" w:themeColor="text2"/>
      <w:sz w:val="14"/>
      <w:szCs w:val="24"/>
    </w:rPr>
  </w:style>
  <w:style w:type="paragraph" w:customStyle="1" w:styleId="CVHeading2">
    <w:name w:val="CV Heading 2"/>
    <w:basedOn w:val="CVHeading1"/>
    <w:next w:val="CVText"/>
    <w:rsid w:val="003A7FBC"/>
    <w:pPr>
      <w:keepNext/>
      <w:keepLines/>
      <w:pBdr>
        <w:bottom w:val="none" w:sz="0" w:space="0" w:color="00457C"/>
      </w:pBdr>
      <w:spacing w:before="120"/>
    </w:pPr>
    <w:rPr>
      <w:i/>
      <w:color w:val="00B2A9" w:themeColor="text2"/>
      <w:sz w:val="18"/>
      <w:szCs w:val="24"/>
    </w:rPr>
  </w:style>
  <w:style w:type="paragraph" w:customStyle="1" w:styleId="CVHeading1">
    <w:name w:val="CV Heading 1"/>
    <w:basedOn w:val="CVText"/>
    <w:next w:val="CVText"/>
    <w:rsid w:val="003A7FBC"/>
  </w:style>
  <w:style w:type="paragraph" w:customStyle="1" w:styleId="CVPhoto">
    <w:name w:val="CV Photo"/>
    <w:basedOn w:val="CVHeading2"/>
    <w:rsid w:val="003A7FBC"/>
    <w:rPr>
      <w:sz w:val="21"/>
    </w:rPr>
  </w:style>
  <w:style w:type="paragraph" w:customStyle="1" w:styleId="CVText">
    <w:name w:val="CV Text"/>
    <w:basedOn w:val="PwCNormal"/>
    <w:rsid w:val="003A7FBC"/>
    <w:pPr>
      <w:numPr>
        <w:numId w:val="0"/>
      </w:numPr>
      <w:spacing w:before="80" w:after="80"/>
    </w:pPr>
  </w:style>
  <w:style w:type="paragraph" w:customStyle="1" w:styleId="CVNamelarge">
    <w:name w:val="CV Name large"/>
    <w:basedOn w:val="CVText"/>
    <w:next w:val="CVRoleTitle"/>
    <w:rsid w:val="003A7FBC"/>
  </w:style>
  <w:style w:type="paragraph" w:customStyle="1" w:styleId="CVBullet2">
    <w:name w:val="CV Bullet 2"/>
    <w:basedOn w:val="CVBullet1"/>
    <w:rsid w:val="003A7FBC"/>
    <w:pPr>
      <w:numPr>
        <w:ilvl w:val="1"/>
      </w:numPr>
      <w:tabs>
        <w:tab w:val="num" w:pos="567"/>
      </w:tabs>
      <w:ind w:left="0" w:firstLine="0"/>
    </w:pPr>
  </w:style>
  <w:style w:type="numbering" w:customStyle="1" w:styleId="Style1">
    <w:name w:val="Style1"/>
    <w:uiPriority w:val="99"/>
    <w:rsid w:val="003A7FBC"/>
    <w:pPr>
      <w:numPr>
        <w:numId w:val="34"/>
      </w:numPr>
    </w:pPr>
  </w:style>
  <w:style w:type="numbering" w:customStyle="1" w:styleId="IndentList">
    <w:name w:val="IndentList"/>
    <w:basedOn w:val="NoList"/>
    <w:rsid w:val="003A7FBC"/>
    <w:pPr>
      <w:numPr>
        <w:numId w:val="39"/>
      </w:numPr>
    </w:pPr>
  </w:style>
  <w:style w:type="paragraph" w:customStyle="1" w:styleId="VersionControl">
    <w:name w:val="Version Control"/>
    <w:basedOn w:val="TOCtitle"/>
    <w:unhideWhenUsed/>
    <w:rsid w:val="003A7FBC"/>
    <w:pPr>
      <w:pageBreakBefore w:val="0"/>
      <w:framePr w:w="9923" w:wrap="around" w:vAnchor="text" w:hAnchor="page" w:x="1498" w:y="1"/>
      <w:spacing w:before="360" w:after="240"/>
    </w:pPr>
    <w:rPr>
      <w:sz w:val="28"/>
    </w:rPr>
  </w:style>
  <w:style w:type="paragraph" w:customStyle="1" w:styleId="VersionTableHeading">
    <w:name w:val="Version Table Heading"/>
    <w:basedOn w:val="VersionTableText"/>
    <w:unhideWhenUsed/>
    <w:rsid w:val="003A7FBC"/>
    <w:pPr>
      <w:framePr w:wrap="around"/>
    </w:pPr>
  </w:style>
  <w:style w:type="paragraph" w:customStyle="1" w:styleId="VersionTableText">
    <w:name w:val="Version Table Text"/>
    <w:basedOn w:val="VersionControl"/>
    <w:unhideWhenUsed/>
    <w:rsid w:val="003A7FBC"/>
    <w:pPr>
      <w:framePr w:wrap="around"/>
      <w:spacing w:before="80" w:after="80" w:line="240" w:lineRule="auto"/>
      <w:outlineLvl w:val="9"/>
    </w:pPr>
    <w:rPr>
      <w:rFonts w:ascii="Georgia" w:hAnsi="Georgia"/>
      <w:sz w:val="21"/>
      <w:szCs w:val="20"/>
    </w:rPr>
  </w:style>
  <w:style w:type="table" w:customStyle="1" w:styleId="Tables-APBase2">
    <w:name w:val="Tables - AP Base 2"/>
    <w:basedOn w:val="Tables-APBase"/>
    <w:uiPriority w:val="99"/>
    <w:qFormat/>
    <w:rsid w:val="003A7FBC"/>
    <w:tblPr/>
    <w:tcPr>
      <w:shd w:val="clear" w:color="auto" w:fill="auto"/>
    </w:tcPr>
    <w:tblStylePr w:type="firstRow">
      <w:pPr>
        <w:jc w:val="center"/>
      </w:pPr>
      <w:rPr>
        <w:rFonts w:asciiTheme="minorHAnsi" w:hAnsiTheme="minorHAnsi"/>
        <w:b/>
        <w:color w:val="E5F7F6" w:themeColor="background2"/>
      </w:rPr>
      <w:tblPr/>
      <w:trPr>
        <w:tblHeader/>
      </w:trPr>
      <w:tcPr>
        <w:tcBorders>
          <w:top w:val="single" w:sz="4" w:space="0" w:color="00B2A9" w:themeColor="text2"/>
          <w:bottom w:val="single" w:sz="4" w:space="0" w:color="00B2A9" w:themeColor="text2"/>
        </w:tcBorders>
        <w:shd w:val="clear" w:color="auto" w:fill="00B2A9" w:themeFill="text2"/>
        <w:vAlign w:val="bottom"/>
      </w:tcPr>
    </w:tblStylePr>
    <w:tblStylePr w:type="lastRow">
      <w:rPr>
        <w:color w:val="FFFFFF" w:themeColor="background1"/>
      </w:rPr>
      <w:tblPr/>
      <w:tcPr>
        <w:tcBorders>
          <w:top w:val="single" w:sz="4" w:space="0" w:color="00B2A9" w:themeColor="text2"/>
        </w:tcBorders>
        <w:shd w:val="clear" w:color="auto" w:fill="00B2A9" w:themeFill="text2"/>
      </w:tcPr>
    </w:tblStylePr>
    <w:tblStylePr w:type="firstCol">
      <w:tblPr/>
      <w:tcPr>
        <w:shd w:val="clear" w:color="auto" w:fill="E5F7F6" w:themeFill="background2"/>
      </w:tcPr>
    </w:tblStylePr>
    <w:tblStylePr w:type="lastCol">
      <w:tblPr/>
      <w:tcPr>
        <w:shd w:val="clear" w:color="auto" w:fill="E5F7F6" w:themeFill="background2"/>
      </w:tcPr>
    </w:tblStylePr>
    <w:tblStylePr w:type="band2Vert">
      <w:tblPr/>
      <w:tcPr>
        <w:shd w:val="clear" w:color="auto" w:fill="BCFFFB" w:themeFill="text2" w:themeFillTint="33"/>
      </w:tcPr>
    </w:tblStylePr>
    <w:tblStylePr w:type="band2Horz">
      <w:tblPr/>
      <w:tcPr>
        <w:shd w:val="clear" w:color="auto" w:fill="BCFFFB" w:themeFill="text2" w:themeFillTint="33"/>
      </w:tcPr>
    </w:tblStylePr>
    <w:tblStylePr w:type="nwCell">
      <w:pPr>
        <w:jc w:val="left"/>
      </w:pPr>
      <w:tblPr/>
      <w:tcPr>
        <w:shd w:val="clear" w:color="auto" w:fill="FFFFFF" w:themeFill="background1"/>
        <w:vAlign w:val="bottom"/>
      </w:tcPr>
    </w:tblStylePr>
  </w:style>
  <w:style w:type="paragraph" w:customStyle="1" w:styleId="Header-FirstPage">
    <w:name w:val="Header - First Page"/>
    <w:basedOn w:val="Header"/>
    <w:rsid w:val="003A7FBC"/>
    <w:pPr>
      <w:tabs>
        <w:tab w:val="right" w:pos="8220"/>
      </w:tabs>
      <w:kinsoku w:val="0"/>
      <w:overflowPunct w:val="0"/>
      <w:autoSpaceDE w:val="0"/>
      <w:autoSpaceDN w:val="0"/>
      <w:adjustRightInd w:val="0"/>
      <w:snapToGrid w:val="0"/>
    </w:pPr>
    <w:rPr>
      <w:rFonts w:ascii="Arial" w:hAnsi="Arial"/>
      <w:snapToGrid w:val="0"/>
      <w:sz w:val="19"/>
      <w:szCs w:val="18"/>
      <w:lang w:eastAsia="en-US"/>
    </w:rPr>
  </w:style>
  <w:style w:type="paragraph" w:customStyle="1" w:styleId="Appendicestitle">
    <w:name w:val="Appendices title"/>
    <w:basedOn w:val="TOCtitle"/>
    <w:qFormat/>
    <w:rsid w:val="003A7FBC"/>
    <w:pPr>
      <w:pageBreakBefore w:val="0"/>
    </w:pPr>
  </w:style>
  <w:style w:type="numbering" w:customStyle="1" w:styleId="CVBullets">
    <w:name w:val="CV Bullets"/>
    <w:uiPriority w:val="99"/>
    <w:rsid w:val="003A7FBC"/>
    <w:pPr>
      <w:numPr>
        <w:numId w:val="21"/>
      </w:numPr>
    </w:pPr>
  </w:style>
  <w:style w:type="paragraph" w:styleId="DocumentMap">
    <w:name w:val="Document Map"/>
    <w:basedOn w:val="Normal"/>
    <w:link w:val="DocumentMapChar"/>
    <w:semiHidden/>
    <w:rsid w:val="003A7FBC"/>
    <w:pPr>
      <w:kinsoku w:val="0"/>
      <w:overflowPunct w:val="0"/>
      <w:autoSpaceDE w:val="0"/>
      <w:autoSpaceDN w:val="0"/>
      <w:adjustRightInd w:val="0"/>
      <w:snapToGrid w:val="0"/>
      <w:spacing w:line="240" w:lineRule="auto"/>
    </w:pPr>
    <w:rPr>
      <w:rFonts w:ascii="Tahoma" w:hAnsi="Tahoma" w:cs="Tahoma"/>
      <w:snapToGrid w:val="0"/>
      <w:sz w:val="16"/>
      <w:szCs w:val="16"/>
      <w:lang w:eastAsia="en-US"/>
    </w:rPr>
  </w:style>
  <w:style w:type="character" w:customStyle="1" w:styleId="DocumentMapChar">
    <w:name w:val="Document Map Char"/>
    <w:basedOn w:val="DefaultParagraphFont"/>
    <w:link w:val="DocumentMap"/>
    <w:semiHidden/>
    <w:rsid w:val="003A7FBC"/>
    <w:rPr>
      <w:rFonts w:ascii="Tahoma" w:hAnsi="Tahoma" w:cs="Tahoma"/>
      <w:snapToGrid w:val="0"/>
      <w:color w:val="auto"/>
      <w:sz w:val="16"/>
      <w:szCs w:val="16"/>
      <w:lang w:eastAsia="en-US"/>
    </w:rPr>
  </w:style>
  <w:style w:type="table" w:styleId="TableGrid2">
    <w:name w:val="Table Grid 2"/>
    <w:basedOn w:val="TableNormal"/>
    <w:semiHidden/>
    <w:rsid w:val="003A7FBC"/>
    <w:pPr>
      <w:kinsoku w:val="0"/>
      <w:overflowPunct w:val="0"/>
      <w:autoSpaceDE w:val="0"/>
      <w:autoSpaceDN w:val="0"/>
      <w:adjustRightInd w:val="0"/>
      <w:snapToGrid w:val="0"/>
      <w:spacing w:line="240" w:lineRule="auto"/>
    </w:pPr>
    <w:rPr>
      <w:rFonts w:ascii="Georgia" w:hAnsi="Georgia" w:cs="Times New Roman"/>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3A7FBC"/>
    <w:pPr>
      <w:kinsoku w:val="0"/>
      <w:overflowPunct w:val="0"/>
      <w:autoSpaceDE w:val="0"/>
      <w:autoSpaceDN w:val="0"/>
      <w:adjustRightInd w:val="0"/>
      <w:snapToGrid w:val="0"/>
      <w:spacing w:line="240" w:lineRule="auto"/>
    </w:pPr>
    <w:rPr>
      <w:rFonts w:ascii="Georgia" w:hAnsi="Georgia" w:cs="Times New Roman"/>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3A7FBC"/>
    <w:pPr>
      <w:kinsoku w:val="0"/>
      <w:overflowPunct w:val="0"/>
      <w:autoSpaceDE w:val="0"/>
      <w:autoSpaceDN w:val="0"/>
      <w:adjustRightInd w:val="0"/>
      <w:snapToGrid w:val="0"/>
      <w:spacing w:line="240" w:lineRule="auto"/>
    </w:pPr>
    <w:rPr>
      <w:rFonts w:ascii="Georgia" w:hAnsi="Georgia" w:cs="Times New Roman"/>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3A7FBC"/>
    <w:pPr>
      <w:kinsoku w:val="0"/>
      <w:overflowPunct w:val="0"/>
      <w:autoSpaceDE w:val="0"/>
      <w:autoSpaceDN w:val="0"/>
      <w:adjustRightInd w:val="0"/>
      <w:snapToGrid w:val="0"/>
      <w:spacing w:line="240" w:lineRule="auto"/>
    </w:pPr>
    <w:rPr>
      <w:rFonts w:ascii="Georgia" w:hAnsi="Georgia" w:cs="Times New Roman"/>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3A7FBC"/>
    <w:pPr>
      <w:kinsoku w:val="0"/>
      <w:overflowPunct w:val="0"/>
      <w:autoSpaceDE w:val="0"/>
      <w:autoSpaceDN w:val="0"/>
      <w:adjustRightInd w:val="0"/>
      <w:snapToGrid w:val="0"/>
      <w:spacing w:line="240" w:lineRule="auto"/>
    </w:pPr>
    <w:rPr>
      <w:rFonts w:ascii="Georgia" w:hAnsi="Georgia" w:cs="Times New Roman"/>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3A7FBC"/>
    <w:pPr>
      <w:kinsoku w:val="0"/>
      <w:overflowPunct w:val="0"/>
      <w:autoSpaceDE w:val="0"/>
      <w:autoSpaceDN w:val="0"/>
      <w:adjustRightInd w:val="0"/>
      <w:snapToGrid w:val="0"/>
      <w:spacing w:line="240" w:lineRule="auto"/>
    </w:pPr>
    <w:rPr>
      <w:rFonts w:ascii="Georgia" w:hAnsi="Georgia" w:cs="Times New Roman"/>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3A7FBC"/>
    <w:pPr>
      <w:kinsoku w:val="0"/>
      <w:overflowPunct w:val="0"/>
      <w:autoSpaceDE w:val="0"/>
      <w:autoSpaceDN w:val="0"/>
      <w:adjustRightInd w:val="0"/>
      <w:snapToGrid w:val="0"/>
      <w:spacing w:line="240" w:lineRule="auto"/>
    </w:pPr>
    <w:rPr>
      <w:rFonts w:ascii="Georgia" w:hAnsi="Georgia" w:cs="Times New Roman"/>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3Deffects1">
    <w:name w:val="Table 3D effects 1"/>
    <w:basedOn w:val="TableNormal"/>
    <w:rsid w:val="003A7FBC"/>
    <w:pPr>
      <w:kinsoku w:val="0"/>
      <w:overflowPunct w:val="0"/>
      <w:autoSpaceDE w:val="0"/>
      <w:autoSpaceDN w:val="0"/>
      <w:adjustRightInd w:val="0"/>
      <w:snapToGrid w:val="0"/>
      <w:spacing w:line="240" w:lineRule="auto"/>
    </w:pPr>
    <w:rPr>
      <w:rFonts w:ascii="Georgia" w:hAnsi="Georgia" w:cs="Times New Roman"/>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Theme">
    <w:name w:val="Table Theme"/>
    <w:basedOn w:val="TableNormal"/>
    <w:semiHidden/>
    <w:rsid w:val="003A7FBC"/>
    <w:pPr>
      <w:kinsoku w:val="0"/>
      <w:overflowPunct w:val="0"/>
      <w:autoSpaceDE w:val="0"/>
      <w:autoSpaceDN w:val="0"/>
      <w:adjustRightInd w:val="0"/>
      <w:snapToGrid w:val="0"/>
      <w:spacing w:line="240" w:lineRule="auto"/>
    </w:pPr>
    <w:rPr>
      <w:rFonts w:ascii="Georgia" w:hAnsi="Georgia" w:cs="Times New Roman"/>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croText">
    <w:name w:val="macro"/>
    <w:link w:val="MacroTextChar"/>
    <w:unhideWhenUsed/>
    <w:rsid w:val="003A7FBC"/>
    <w:pPr>
      <w:tabs>
        <w:tab w:val="left" w:pos="567"/>
        <w:tab w:val="left" w:pos="1134"/>
        <w:tab w:val="left" w:pos="1701"/>
        <w:tab w:val="left" w:pos="2268"/>
        <w:tab w:val="left" w:pos="2835"/>
        <w:tab w:val="left" w:pos="3402"/>
        <w:tab w:val="left" w:pos="3969"/>
      </w:tabs>
      <w:kinsoku w:val="0"/>
      <w:overflowPunct w:val="0"/>
      <w:autoSpaceDE w:val="0"/>
      <w:autoSpaceDN w:val="0"/>
      <w:adjustRightInd w:val="0"/>
      <w:snapToGrid w:val="0"/>
      <w:spacing w:line="240" w:lineRule="auto"/>
    </w:pPr>
    <w:rPr>
      <w:rFonts w:ascii="Consolas" w:hAnsi="Consolas"/>
      <w:snapToGrid w:val="0"/>
      <w:color w:val="auto"/>
      <w:lang w:eastAsia="en-US"/>
    </w:rPr>
  </w:style>
  <w:style w:type="character" w:customStyle="1" w:styleId="MacroTextChar">
    <w:name w:val="Macro Text Char"/>
    <w:basedOn w:val="DefaultParagraphFont"/>
    <w:link w:val="MacroText"/>
    <w:rsid w:val="003A7FBC"/>
    <w:rPr>
      <w:rFonts w:ascii="Consolas" w:hAnsi="Consolas"/>
      <w:snapToGrid w:val="0"/>
      <w:color w:val="auto"/>
      <w:lang w:eastAsia="en-US"/>
    </w:rPr>
  </w:style>
  <w:style w:type="paragraph" w:styleId="Bibliography">
    <w:name w:val="Bibliography"/>
    <w:basedOn w:val="Normal"/>
    <w:next w:val="Normal"/>
    <w:uiPriority w:val="37"/>
    <w:semiHidden/>
    <w:rsid w:val="003A7FBC"/>
    <w:pPr>
      <w:kinsoku w:val="0"/>
      <w:overflowPunct w:val="0"/>
      <w:autoSpaceDE w:val="0"/>
      <w:autoSpaceDN w:val="0"/>
      <w:adjustRightInd w:val="0"/>
      <w:snapToGrid w:val="0"/>
      <w:spacing w:line="240" w:lineRule="auto"/>
    </w:pPr>
    <w:rPr>
      <w:rFonts w:ascii="Georgia" w:hAnsi="Georgia"/>
      <w:snapToGrid w:val="0"/>
      <w:lang w:eastAsia="en-US"/>
    </w:rPr>
  </w:style>
  <w:style w:type="paragraph" w:styleId="BodyText2">
    <w:name w:val="Body Text 2"/>
    <w:basedOn w:val="Normal"/>
    <w:link w:val="BodyText2Char"/>
    <w:semiHidden/>
    <w:rsid w:val="003A7FBC"/>
    <w:pPr>
      <w:kinsoku w:val="0"/>
      <w:overflowPunct w:val="0"/>
      <w:autoSpaceDE w:val="0"/>
      <w:autoSpaceDN w:val="0"/>
      <w:adjustRightInd w:val="0"/>
      <w:snapToGrid w:val="0"/>
      <w:spacing w:after="120" w:line="480" w:lineRule="auto"/>
    </w:pPr>
    <w:rPr>
      <w:rFonts w:ascii="Georgia" w:hAnsi="Georgia"/>
      <w:snapToGrid w:val="0"/>
      <w:lang w:eastAsia="en-US"/>
    </w:rPr>
  </w:style>
  <w:style w:type="character" w:customStyle="1" w:styleId="BodyText2Char">
    <w:name w:val="Body Text 2 Char"/>
    <w:basedOn w:val="DefaultParagraphFont"/>
    <w:link w:val="BodyText2"/>
    <w:semiHidden/>
    <w:rsid w:val="003A7FBC"/>
    <w:rPr>
      <w:rFonts w:ascii="Georgia" w:hAnsi="Georgia"/>
      <w:snapToGrid w:val="0"/>
      <w:color w:val="auto"/>
      <w:lang w:eastAsia="en-US"/>
    </w:rPr>
  </w:style>
  <w:style w:type="paragraph" w:styleId="BodyText3">
    <w:name w:val="Body Text 3"/>
    <w:basedOn w:val="Normal"/>
    <w:link w:val="BodyText3Char"/>
    <w:semiHidden/>
    <w:rsid w:val="003A7FBC"/>
    <w:pPr>
      <w:kinsoku w:val="0"/>
      <w:overflowPunct w:val="0"/>
      <w:autoSpaceDE w:val="0"/>
      <w:autoSpaceDN w:val="0"/>
      <w:adjustRightInd w:val="0"/>
      <w:snapToGrid w:val="0"/>
      <w:spacing w:after="120" w:line="240" w:lineRule="auto"/>
    </w:pPr>
    <w:rPr>
      <w:rFonts w:ascii="Georgia" w:hAnsi="Georgia"/>
      <w:snapToGrid w:val="0"/>
      <w:sz w:val="16"/>
      <w:szCs w:val="16"/>
      <w:lang w:eastAsia="en-US"/>
    </w:rPr>
  </w:style>
  <w:style w:type="character" w:customStyle="1" w:styleId="BodyText3Char">
    <w:name w:val="Body Text 3 Char"/>
    <w:basedOn w:val="DefaultParagraphFont"/>
    <w:link w:val="BodyText3"/>
    <w:semiHidden/>
    <w:rsid w:val="003A7FBC"/>
    <w:rPr>
      <w:rFonts w:ascii="Georgia" w:hAnsi="Georgia"/>
      <w:snapToGrid w:val="0"/>
      <w:color w:val="auto"/>
      <w:sz w:val="16"/>
      <w:szCs w:val="16"/>
      <w:lang w:eastAsia="en-US"/>
    </w:rPr>
  </w:style>
  <w:style w:type="paragraph" w:styleId="BodyTextFirstIndent">
    <w:name w:val="Body Text First Indent"/>
    <w:basedOn w:val="BodyText"/>
    <w:link w:val="BodyTextFirstIndentChar"/>
    <w:rsid w:val="003A7FBC"/>
    <w:pPr>
      <w:kinsoku w:val="0"/>
      <w:overflowPunct w:val="0"/>
      <w:autoSpaceDE w:val="0"/>
      <w:autoSpaceDN w:val="0"/>
      <w:adjustRightInd w:val="0"/>
      <w:snapToGrid w:val="0"/>
      <w:spacing w:before="0" w:after="0" w:line="240" w:lineRule="auto"/>
      <w:ind w:firstLine="360"/>
    </w:pPr>
    <w:rPr>
      <w:rFonts w:ascii="Georgia" w:hAnsi="Georgia" w:cs="Arial"/>
      <w:snapToGrid w:val="0"/>
    </w:rPr>
  </w:style>
  <w:style w:type="character" w:customStyle="1" w:styleId="BodyTextFirstIndentChar">
    <w:name w:val="Body Text First Indent Char"/>
    <w:basedOn w:val="BodyTextChar"/>
    <w:link w:val="BodyTextFirstIndent"/>
    <w:rsid w:val="003A7FBC"/>
    <w:rPr>
      <w:rFonts w:ascii="Georgia" w:hAnsi="Georgia" w:cs="Times New Roman"/>
      <w:snapToGrid w:val="0"/>
      <w:color w:val="auto"/>
      <w:lang w:eastAsia="en-US"/>
    </w:rPr>
  </w:style>
  <w:style w:type="paragraph" w:styleId="BodyTextIndent">
    <w:name w:val="Body Text Indent"/>
    <w:basedOn w:val="Normal"/>
    <w:link w:val="BodyTextIndentChar"/>
    <w:semiHidden/>
    <w:rsid w:val="003A7FBC"/>
    <w:pPr>
      <w:kinsoku w:val="0"/>
      <w:overflowPunct w:val="0"/>
      <w:autoSpaceDE w:val="0"/>
      <w:autoSpaceDN w:val="0"/>
      <w:adjustRightInd w:val="0"/>
      <w:snapToGrid w:val="0"/>
      <w:spacing w:after="120" w:line="240" w:lineRule="auto"/>
      <w:ind w:left="283"/>
    </w:pPr>
    <w:rPr>
      <w:rFonts w:ascii="Georgia" w:hAnsi="Georgia"/>
      <w:snapToGrid w:val="0"/>
      <w:lang w:eastAsia="en-US"/>
    </w:rPr>
  </w:style>
  <w:style w:type="character" w:customStyle="1" w:styleId="BodyTextIndentChar">
    <w:name w:val="Body Text Indent Char"/>
    <w:basedOn w:val="DefaultParagraphFont"/>
    <w:link w:val="BodyTextIndent"/>
    <w:semiHidden/>
    <w:rsid w:val="003A7FBC"/>
    <w:rPr>
      <w:rFonts w:ascii="Georgia" w:hAnsi="Georgia"/>
      <w:snapToGrid w:val="0"/>
      <w:color w:val="auto"/>
      <w:lang w:eastAsia="en-US"/>
    </w:rPr>
  </w:style>
  <w:style w:type="paragraph" w:styleId="BodyTextFirstIndent2">
    <w:name w:val="Body Text First Indent 2"/>
    <w:basedOn w:val="BodyTextIndent"/>
    <w:link w:val="BodyTextFirstIndent2Char"/>
    <w:semiHidden/>
    <w:rsid w:val="003A7FBC"/>
    <w:pPr>
      <w:spacing w:after="0"/>
      <w:ind w:left="360" w:firstLine="360"/>
    </w:pPr>
  </w:style>
  <w:style w:type="character" w:customStyle="1" w:styleId="BodyTextFirstIndent2Char">
    <w:name w:val="Body Text First Indent 2 Char"/>
    <w:basedOn w:val="BodyTextIndentChar"/>
    <w:link w:val="BodyTextFirstIndent2"/>
    <w:semiHidden/>
    <w:rsid w:val="003A7FBC"/>
    <w:rPr>
      <w:rFonts w:ascii="Georgia" w:hAnsi="Georgia"/>
      <w:snapToGrid w:val="0"/>
      <w:color w:val="auto"/>
      <w:lang w:eastAsia="en-US"/>
    </w:rPr>
  </w:style>
  <w:style w:type="paragraph" w:styleId="BodyTextIndent2">
    <w:name w:val="Body Text Indent 2"/>
    <w:basedOn w:val="Normal"/>
    <w:link w:val="BodyTextIndent2Char"/>
    <w:semiHidden/>
    <w:rsid w:val="003A7FBC"/>
    <w:pPr>
      <w:kinsoku w:val="0"/>
      <w:overflowPunct w:val="0"/>
      <w:autoSpaceDE w:val="0"/>
      <w:autoSpaceDN w:val="0"/>
      <w:adjustRightInd w:val="0"/>
      <w:snapToGrid w:val="0"/>
      <w:spacing w:after="120" w:line="480" w:lineRule="auto"/>
      <w:ind w:left="283"/>
    </w:pPr>
    <w:rPr>
      <w:rFonts w:ascii="Georgia" w:hAnsi="Georgia"/>
      <w:snapToGrid w:val="0"/>
      <w:lang w:eastAsia="en-US"/>
    </w:rPr>
  </w:style>
  <w:style w:type="character" w:customStyle="1" w:styleId="BodyTextIndent2Char">
    <w:name w:val="Body Text Indent 2 Char"/>
    <w:basedOn w:val="DefaultParagraphFont"/>
    <w:link w:val="BodyTextIndent2"/>
    <w:semiHidden/>
    <w:rsid w:val="003A7FBC"/>
    <w:rPr>
      <w:rFonts w:ascii="Georgia" w:hAnsi="Georgia"/>
      <w:snapToGrid w:val="0"/>
      <w:color w:val="auto"/>
      <w:lang w:eastAsia="en-US"/>
    </w:rPr>
  </w:style>
  <w:style w:type="paragraph" w:styleId="BodyTextIndent3">
    <w:name w:val="Body Text Indent 3"/>
    <w:basedOn w:val="Normal"/>
    <w:link w:val="BodyTextIndent3Char"/>
    <w:semiHidden/>
    <w:rsid w:val="003A7FBC"/>
    <w:pPr>
      <w:kinsoku w:val="0"/>
      <w:overflowPunct w:val="0"/>
      <w:autoSpaceDE w:val="0"/>
      <w:autoSpaceDN w:val="0"/>
      <w:adjustRightInd w:val="0"/>
      <w:snapToGrid w:val="0"/>
      <w:spacing w:after="120" w:line="240" w:lineRule="auto"/>
      <w:ind w:left="283"/>
    </w:pPr>
    <w:rPr>
      <w:rFonts w:ascii="Georgia" w:hAnsi="Georgia"/>
      <w:snapToGrid w:val="0"/>
      <w:sz w:val="16"/>
      <w:szCs w:val="16"/>
      <w:lang w:eastAsia="en-US"/>
    </w:rPr>
  </w:style>
  <w:style w:type="character" w:customStyle="1" w:styleId="BodyTextIndent3Char">
    <w:name w:val="Body Text Indent 3 Char"/>
    <w:basedOn w:val="DefaultParagraphFont"/>
    <w:link w:val="BodyTextIndent3"/>
    <w:semiHidden/>
    <w:rsid w:val="003A7FBC"/>
    <w:rPr>
      <w:rFonts w:ascii="Georgia" w:hAnsi="Georgia"/>
      <w:snapToGrid w:val="0"/>
      <w:color w:val="auto"/>
      <w:sz w:val="16"/>
      <w:szCs w:val="16"/>
      <w:lang w:eastAsia="en-US"/>
    </w:rPr>
  </w:style>
  <w:style w:type="character" w:styleId="BookTitle">
    <w:name w:val="Book Title"/>
    <w:basedOn w:val="DefaultParagraphFont"/>
    <w:uiPriority w:val="33"/>
    <w:qFormat/>
    <w:rsid w:val="003A7FBC"/>
    <w:rPr>
      <w:rFonts w:ascii="Georgia" w:hAnsi="Georgia"/>
      <w:b/>
      <w:bCs/>
      <w:smallCaps/>
      <w:spacing w:val="5"/>
    </w:rPr>
  </w:style>
  <w:style w:type="paragraph" w:styleId="Closing">
    <w:name w:val="Closing"/>
    <w:basedOn w:val="Normal"/>
    <w:link w:val="ClosingChar"/>
    <w:semiHidden/>
    <w:unhideWhenUsed/>
    <w:rsid w:val="003A7FBC"/>
    <w:pPr>
      <w:kinsoku w:val="0"/>
      <w:overflowPunct w:val="0"/>
      <w:autoSpaceDE w:val="0"/>
      <w:autoSpaceDN w:val="0"/>
      <w:adjustRightInd w:val="0"/>
      <w:snapToGrid w:val="0"/>
      <w:spacing w:line="240" w:lineRule="auto"/>
      <w:ind w:left="4252"/>
    </w:pPr>
    <w:rPr>
      <w:rFonts w:ascii="Georgia" w:hAnsi="Georgia"/>
      <w:snapToGrid w:val="0"/>
      <w:lang w:eastAsia="en-US"/>
    </w:rPr>
  </w:style>
  <w:style w:type="character" w:customStyle="1" w:styleId="ClosingChar">
    <w:name w:val="Closing Char"/>
    <w:basedOn w:val="DefaultParagraphFont"/>
    <w:link w:val="Closing"/>
    <w:semiHidden/>
    <w:rsid w:val="003A7FBC"/>
    <w:rPr>
      <w:rFonts w:ascii="Georgia" w:hAnsi="Georgia"/>
      <w:snapToGrid w:val="0"/>
      <w:color w:val="auto"/>
      <w:lang w:eastAsia="en-US"/>
    </w:rPr>
  </w:style>
  <w:style w:type="paragraph" w:styleId="EnvelopeAddress">
    <w:name w:val="envelope address"/>
    <w:basedOn w:val="Normal"/>
    <w:semiHidden/>
    <w:unhideWhenUsed/>
    <w:rsid w:val="003A7FBC"/>
    <w:pPr>
      <w:framePr w:w="7920" w:h="1980" w:hRule="exact" w:hSpace="180" w:wrap="auto" w:hAnchor="page" w:xAlign="center" w:yAlign="bottom"/>
      <w:kinsoku w:val="0"/>
      <w:overflowPunct w:val="0"/>
      <w:autoSpaceDE w:val="0"/>
      <w:autoSpaceDN w:val="0"/>
      <w:adjustRightInd w:val="0"/>
      <w:snapToGrid w:val="0"/>
      <w:spacing w:line="240" w:lineRule="auto"/>
      <w:ind w:left="2880"/>
    </w:pPr>
    <w:rPr>
      <w:rFonts w:asciiTheme="majorHAnsi" w:eastAsiaTheme="majorEastAsia" w:hAnsiTheme="majorHAnsi" w:cstheme="majorBidi"/>
      <w:snapToGrid w:val="0"/>
      <w:sz w:val="24"/>
      <w:szCs w:val="24"/>
      <w:lang w:eastAsia="en-US"/>
    </w:rPr>
  </w:style>
  <w:style w:type="paragraph" w:styleId="EnvelopeReturn">
    <w:name w:val="envelope return"/>
    <w:basedOn w:val="Normal"/>
    <w:semiHidden/>
    <w:rsid w:val="003A7FBC"/>
    <w:pPr>
      <w:kinsoku w:val="0"/>
      <w:overflowPunct w:val="0"/>
      <w:autoSpaceDE w:val="0"/>
      <w:autoSpaceDN w:val="0"/>
      <w:adjustRightInd w:val="0"/>
      <w:snapToGrid w:val="0"/>
      <w:spacing w:line="240" w:lineRule="auto"/>
    </w:pPr>
    <w:rPr>
      <w:rFonts w:asciiTheme="majorHAnsi" w:eastAsiaTheme="majorEastAsia" w:hAnsiTheme="majorHAnsi" w:cstheme="majorBidi"/>
      <w:snapToGrid w:val="0"/>
      <w:lang w:eastAsia="en-US"/>
    </w:rPr>
  </w:style>
  <w:style w:type="paragraph" w:styleId="Index1">
    <w:name w:val="index 1"/>
    <w:basedOn w:val="Normal"/>
    <w:next w:val="Normal"/>
    <w:autoRedefine/>
    <w:semiHidden/>
    <w:unhideWhenUsed/>
    <w:rsid w:val="003A7FBC"/>
    <w:pPr>
      <w:spacing w:line="240" w:lineRule="auto"/>
      <w:ind w:left="200" w:hanging="200"/>
    </w:pPr>
  </w:style>
  <w:style w:type="paragraph" w:styleId="IndexHeading">
    <w:name w:val="index heading"/>
    <w:basedOn w:val="Normal"/>
    <w:next w:val="Normal"/>
    <w:semiHidden/>
    <w:rsid w:val="003A7FBC"/>
    <w:pPr>
      <w:kinsoku w:val="0"/>
      <w:overflowPunct w:val="0"/>
      <w:autoSpaceDE w:val="0"/>
      <w:autoSpaceDN w:val="0"/>
      <w:adjustRightInd w:val="0"/>
      <w:snapToGrid w:val="0"/>
      <w:spacing w:line="240" w:lineRule="auto"/>
    </w:pPr>
    <w:rPr>
      <w:rFonts w:asciiTheme="majorHAnsi" w:eastAsiaTheme="majorEastAsia" w:hAnsiTheme="majorHAnsi" w:cstheme="majorBidi"/>
      <w:b/>
      <w:bCs/>
      <w:snapToGrid w:val="0"/>
      <w:lang w:eastAsia="en-US"/>
    </w:rPr>
  </w:style>
  <w:style w:type="paragraph" w:customStyle="1" w:styleId="BlockTextClient">
    <w:name w:val="Block Text Client"/>
    <w:basedOn w:val="BlockText"/>
    <w:rsid w:val="003A7FBC"/>
    <w:pPr>
      <w:pBdr>
        <w:top w:val="none" w:sz="0" w:space="0" w:color="auto"/>
        <w:left w:val="none" w:sz="0" w:space="0" w:color="auto"/>
        <w:bottom w:val="none" w:sz="0" w:space="0" w:color="auto"/>
        <w:right w:val="none" w:sz="0" w:space="0" w:color="auto"/>
      </w:pBdr>
      <w:kinsoku w:val="0"/>
      <w:overflowPunct w:val="0"/>
      <w:autoSpaceDE w:val="0"/>
      <w:autoSpaceDN w:val="0"/>
      <w:adjustRightInd w:val="0"/>
      <w:snapToGrid w:val="0"/>
      <w:spacing w:line="240" w:lineRule="auto"/>
      <w:ind w:left="0" w:right="0"/>
    </w:pPr>
    <w:rPr>
      <w:rFonts w:ascii="Georgia" w:hAnsi="Georgia"/>
      <w:snapToGrid w:val="0"/>
      <w:color w:val="00B2A9" w:themeColor="accent1"/>
      <w:lang w:eastAsia="en-US"/>
    </w:rPr>
  </w:style>
  <w:style w:type="paragraph" w:customStyle="1" w:styleId="BlockTextPosition">
    <w:name w:val="Block Text Position"/>
    <w:basedOn w:val="BlockText"/>
    <w:rsid w:val="003A7FBC"/>
    <w:pPr>
      <w:pBdr>
        <w:top w:val="none" w:sz="0" w:space="0" w:color="auto"/>
        <w:left w:val="none" w:sz="0" w:space="0" w:color="auto"/>
        <w:bottom w:val="none" w:sz="0" w:space="0" w:color="auto"/>
        <w:right w:val="none" w:sz="0" w:space="0" w:color="auto"/>
      </w:pBdr>
      <w:kinsoku w:val="0"/>
      <w:overflowPunct w:val="0"/>
      <w:autoSpaceDE w:val="0"/>
      <w:autoSpaceDN w:val="0"/>
      <w:adjustRightInd w:val="0"/>
      <w:snapToGrid w:val="0"/>
      <w:spacing w:after="240" w:line="240" w:lineRule="auto"/>
      <w:ind w:left="0" w:right="0"/>
    </w:pPr>
    <w:rPr>
      <w:rFonts w:ascii="Georgia" w:hAnsi="Georgia"/>
      <w:i w:val="0"/>
      <w:snapToGrid w:val="0"/>
      <w:color w:val="00B2A9" w:themeColor="accent1"/>
      <w:lang w:eastAsia="en-US"/>
    </w:rPr>
  </w:style>
  <w:style w:type="paragraph" w:customStyle="1" w:styleId="BlockText2Client">
    <w:name w:val="Block Text 2 Client"/>
    <w:basedOn w:val="BlockText2"/>
    <w:rsid w:val="003A7FBC"/>
    <w:pPr>
      <w:spacing w:after="0"/>
    </w:pPr>
    <w:rPr>
      <w:sz w:val="20"/>
      <w:szCs w:val="20"/>
    </w:rPr>
  </w:style>
  <w:style w:type="paragraph" w:customStyle="1" w:styleId="BlockText2Position">
    <w:name w:val="Block Text 2 Position"/>
    <w:basedOn w:val="BlockText2"/>
    <w:rsid w:val="003A7FBC"/>
    <w:rPr>
      <w:i w:val="0"/>
      <w:sz w:val="20"/>
      <w:szCs w:val="20"/>
    </w:rPr>
  </w:style>
  <w:style w:type="character" w:styleId="LineNumber">
    <w:name w:val="line number"/>
    <w:basedOn w:val="DefaultParagraphFont"/>
    <w:semiHidden/>
    <w:rsid w:val="003A7FBC"/>
  </w:style>
  <w:style w:type="paragraph" w:styleId="ListBullet5">
    <w:name w:val="List Bullet 5"/>
    <w:basedOn w:val="ListBullet4"/>
    <w:unhideWhenUsed/>
    <w:rsid w:val="003A7FBC"/>
    <w:pPr>
      <w:tabs>
        <w:tab w:val="clear" w:pos="1134"/>
        <w:tab w:val="num" w:pos="1418"/>
      </w:tabs>
      <w:ind w:left="1420"/>
      <w:contextualSpacing/>
    </w:pPr>
  </w:style>
  <w:style w:type="paragraph" w:styleId="ListNumber4">
    <w:name w:val="List Number 4"/>
    <w:basedOn w:val="ListNumber3"/>
    <w:uiPriority w:val="13"/>
    <w:unhideWhenUsed/>
    <w:rsid w:val="003A7FBC"/>
    <w:pPr>
      <w:numPr>
        <w:ilvl w:val="0"/>
        <w:numId w:val="0"/>
      </w:numPr>
      <w:tabs>
        <w:tab w:val="num" w:pos="2268"/>
      </w:tabs>
      <w:kinsoku w:val="0"/>
      <w:overflowPunct w:val="0"/>
      <w:autoSpaceDE w:val="0"/>
      <w:autoSpaceDN w:val="0"/>
      <w:adjustRightInd w:val="0"/>
      <w:snapToGrid w:val="0"/>
      <w:spacing w:before="0" w:after="0" w:line="240" w:lineRule="auto"/>
      <w:ind w:left="2268" w:hanging="567"/>
      <w:contextualSpacing/>
    </w:pPr>
    <w:rPr>
      <w:rFonts w:ascii="Georgia" w:hAnsi="Georgia"/>
      <w:snapToGrid w:val="0"/>
      <w:lang w:eastAsia="en-US"/>
    </w:rPr>
  </w:style>
  <w:style w:type="paragraph" w:styleId="ListNumber5">
    <w:name w:val="List Number 5"/>
    <w:basedOn w:val="ListNumber4"/>
    <w:uiPriority w:val="13"/>
    <w:unhideWhenUsed/>
    <w:rsid w:val="003A7FBC"/>
    <w:pPr>
      <w:tabs>
        <w:tab w:val="clear" w:pos="2268"/>
        <w:tab w:val="num" w:pos="2835"/>
      </w:tabs>
      <w:ind w:left="2835"/>
    </w:pPr>
  </w:style>
  <w:style w:type="paragraph" w:styleId="MessageHeader">
    <w:name w:val="Message Header"/>
    <w:basedOn w:val="Normal"/>
    <w:link w:val="MessageHeaderChar"/>
    <w:semiHidden/>
    <w:rsid w:val="003A7FBC"/>
    <w:pPr>
      <w:pBdr>
        <w:top w:val="single" w:sz="6" w:space="1" w:color="auto"/>
        <w:left w:val="single" w:sz="6" w:space="1" w:color="auto"/>
        <w:bottom w:val="single" w:sz="6" w:space="1" w:color="auto"/>
        <w:right w:val="single" w:sz="6" w:space="1" w:color="auto"/>
      </w:pBdr>
      <w:shd w:val="pct20" w:color="auto" w:fill="auto"/>
      <w:kinsoku w:val="0"/>
      <w:overflowPunct w:val="0"/>
      <w:autoSpaceDE w:val="0"/>
      <w:autoSpaceDN w:val="0"/>
      <w:adjustRightInd w:val="0"/>
      <w:snapToGrid w:val="0"/>
      <w:spacing w:line="240" w:lineRule="auto"/>
      <w:ind w:left="1134" w:hanging="1134"/>
    </w:pPr>
    <w:rPr>
      <w:rFonts w:asciiTheme="majorHAnsi" w:eastAsiaTheme="majorEastAsia" w:hAnsiTheme="majorHAnsi" w:cstheme="majorBidi"/>
      <w:snapToGrid w:val="0"/>
      <w:sz w:val="24"/>
      <w:szCs w:val="24"/>
      <w:lang w:eastAsia="en-US"/>
    </w:rPr>
  </w:style>
  <w:style w:type="character" w:customStyle="1" w:styleId="MessageHeaderChar">
    <w:name w:val="Message Header Char"/>
    <w:basedOn w:val="DefaultParagraphFont"/>
    <w:link w:val="MessageHeader"/>
    <w:semiHidden/>
    <w:rsid w:val="003A7FBC"/>
    <w:rPr>
      <w:rFonts w:asciiTheme="majorHAnsi" w:eastAsiaTheme="majorEastAsia" w:hAnsiTheme="majorHAnsi" w:cstheme="majorBidi"/>
      <w:snapToGrid w:val="0"/>
      <w:color w:val="auto"/>
      <w:sz w:val="24"/>
      <w:szCs w:val="24"/>
      <w:shd w:val="pct20" w:color="auto" w:fill="auto"/>
      <w:lang w:eastAsia="en-US"/>
    </w:rPr>
  </w:style>
  <w:style w:type="paragraph" w:styleId="NormalIndent">
    <w:name w:val="Normal Indent"/>
    <w:basedOn w:val="Normal"/>
    <w:semiHidden/>
    <w:rsid w:val="003A7FBC"/>
    <w:pPr>
      <w:kinsoku w:val="0"/>
      <w:overflowPunct w:val="0"/>
      <w:autoSpaceDE w:val="0"/>
      <w:autoSpaceDN w:val="0"/>
      <w:adjustRightInd w:val="0"/>
      <w:snapToGrid w:val="0"/>
      <w:spacing w:line="240" w:lineRule="auto"/>
      <w:ind w:left="720"/>
    </w:pPr>
    <w:rPr>
      <w:rFonts w:ascii="Georgia" w:hAnsi="Georgia"/>
      <w:snapToGrid w:val="0"/>
      <w:lang w:eastAsia="en-US"/>
    </w:rPr>
  </w:style>
  <w:style w:type="paragraph" w:styleId="NoteHeading">
    <w:name w:val="Note Heading"/>
    <w:basedOn w:val="Normal"/>
    <w:next w:val="Normal"/>
    <w:link w:val="NoteHeadingChar"/>
    <w:semiHidden/>
    <w:unhideWhenUsed/>
    <w:rsid w:val="003A7FBC"/>
    <w:pPr>
      <w:kinsoku w:val="0"/>
      <w:overflowPunct w:val="0"/>
      <w:autoSpaceDE w:val="0"/>
      <w:autoSpaceDN w:val="0"/>
      <w:adjustRightInd w:val="0"/>
      <w:snapToGrid w:val="0"/>
      <w:spacing w:line="240" w:lineRule="auto"/>
    </w:pPr>
    <w:rPr>
      <w:rFonts w:ascii="Georgia" w:hAnsi="Georgia"/>
      <w:snapToGrid w:val="0"/>
      <w:lang w:eastAsia="en-US"/>
    </w:rPr>
  </w:style>
  <w:style w:type="character" w:customStyle="1" w:styleId="NoteHeadingChar">
    <w:name w:val="Note Heading Char"/>
    <w:basedOn w:val="DefaultParagraphFont"/>
    <w:link w:val="NoteHeading"/>
    <w:semiHidden/>
    <w:rsid w:val="003A7FBC"/>
    <w:rPr>
      <w:rFonts w:ascii="Georgia" w:hAnsi="Georgia"/>
      <w:snapToGrid w:val="0"/>
      <w:color w:val="auto"/>
      <w:lang w:eastAsia="en-US"/>
    </w:rPr>
  </w:style>
  <w:style w:type="paragraph" w:styleId="PlainText">
    <w:name w:val="Plain Text"/>
    <w:basedOn w:val="Normal"/>
    <w:link w:val="PlainTextChar"/>
    <w:semiHidden/>
    <w:rsid w:val="003A7FBC"/>
    <w:pPr>
      <w:kinsoku w:val="0"/>
      <w:overflowPunct w:val="0"/>
      <w:autoSpaceDE w:val="0"/>
      <w:autoSpaceDN w:val="0"/>
      <w:adjustRightInd w:val="0"/>
      <w:snapToGrid w:val="0"/>
      <w:spacing w:line="240" w:lineRule="auto"/>
    </w:pPr>
    <w:rPr>
      <w:rFonts w:ascii="Consolas" w:hAnsi="Consolas"/>
      <w:snapToGrid w:val="0"/>
      <w:lang w:eastAsia="en-US"/>
    </w:rPr>
  </w:style>
  <w:style w:type="character" w:customStyle="1" w:styleId="PlainTextChar">
    <w:name w:val="Plain Text Char"/>
    <w:basedOn w:val="DefaultParagraphFont"/>
    <w:link w:val="PlainText"/>
    <w:semiHidden/>
    <w:rsid w:val="003A7FBC"/>
    <w:rPr>
      <w:rFonts w:ascii="Consolas" w:hAnsi="Consolas"/>
      <w:snapToGrid w:val="0"/>
      <w:color w:val="auto"/>
      <w:lang w:eastAsia="en-US"/>
    </w:rPr>
  </w:style>
  <w:style w:type="paragraph" w:styleId="Salutation">
    <w:name w:val="Salutation"/>
    <w:basedOn w:val="Normal"/>
    <w:next w:val="Normal"/>
    <w:link w:val="SalutationChar"/>
    <w:unhideWhenUsed/>
    <w:rsid w:val="003A7FBC"/>
    <w:pPr>
      <w:kinsoku w:val="0"/>
      <w:overflowPunct w:val="0"/>
      <w:autoSpaceDE w:val="0"/>
      <w:autoSpaceDN w:val="0"/>
      <w:adjustRightInd w:val="0"/>
      <w:snapToGrid w:val="0"/>
      <w:spacing w:line="240" w:lineRule="auto"/>
    </w:pPr>
    <w:rPr>
      <w:rFonts w:ascii="Georgia" w:hAnsi="Georgia"/>
      <w:snapToGrid w:val="0"/>
      <w:lang w:eastAsia="en-US"/>
    </w:rPr>
  </w:style>
  <w:style w:type="character" w:customStyle="1" w:styleId="SalutationChar">
    <w:name w:val="Salutation Char"/>
    <w:basedOn w:val="DefaultParagraphFont"/>
    <w:link w:val="Salutation"/>
    <w:rsid w:val="003A7FBC"/>
    <w:rPr>
      <w:rFonts w:ascii="Georgia" w:hAnsi="Georgia"/>
      <w:snapToGrid w:val="0"/>
      <w:color w:val="auto"/>
      <w:lang w:eastAsia="en-US"/>
    </w:rPr>
  </w:style>
  <w:style w:type="paragraph" w:styleId="Signature">
    <w:name w:val="Signature"/>
    <w:basedOn w:val="Normal"/>
    <w:link w:val="SignatureChar"/>
    <w:semiHidden/>
    <w:rsid w:val="003A7FBC"/>
    <w:pPr>
      <w:kinsoku w:val="0"/>
      <w:overflowPunct w:val="0"/>
      <w:autoSpaceDE w:val="0"/>
      <w:autoSpaceDN w:val="0"/>
      <w:adjustRightInd w:val="0"/>
      <w:snapToGrid w:val="0"/>
      <w:spacing w:line="240" w:lineRule="auto"/>
      <w:ind w:left="4252"/>
    </w:pPr>
    <w:rPr>
      <w:rFonts w:ascii="Georgia" w:hAnsi="Georgia"/>
      <w:snapToGrid w:val="0"/>
      <w:lang w:eastAsia="en-US"/>
    </w:rPr>
  </w:style>
  <w:style w:type="character" w:customStyle="1" w:styleId="SignatureChar">
    <w:name w:val="Signature Char"/>
    <w:basedOn w:val="DefaultParagraphFont"/>
    <w:link w:val="Signature"/>
    <w:semiHidden/>
    <w:rsid w:val="003A7FBC"/>
    <w:rPr>
      <w:rFonts w:ascii="Georgia" w:hAnsi="Georgia"/>
      <w:snapToGrid w:val="0"/>
      <w:color w:val="auto"/>
      <w:lang w:eastAsia="en-US"/>
    </w:rPr>
  </w:style>
  <w:style w:type="paragraph" w:styleId="TableofAuthorities">
    <w:name w:val="table of authorities"/>
    <w:basedOn w:val="Normal"/>
    <w:next w:val="Normal"/>
    <w:semiHidden/>
    <w:unhideWhenUsed/>
    <w:rsid w:val="003A7FBC"/>
    <w:pPr>
      <w:kinsoku w:val="0"/>
      <w:overflowPunct w:val="0"/>
      <w:autoSpaceDE w:val="0"/>
      <w:autoSpaceDN w:val="0"/>
      <w:adjustRightInd w:val="0"/>
      <w:snapToGrid w:val="0"/>
      <w:spacing w:line="240" w:lineRule="auto"/>
      <w:ind w:left="210" w:hanging="210"/>
    </w:pPr>
    <w:rPr>
      <w:rFonts w:ascii="Georgia" w:hAnsi="Georgia"/>
      <w:snapToGrid w:val="0"/>
      <w:lang w:eastAsia="en-US"/>
    </w:rPr>
  </w:style>
  <w:style w:type="paragraph" w:styleId="TOAHeading">
    <w:name w:val="toa heading"/>
    <w:basedOn w:val="Normal"/>
    <w:next w:val="Normal"/>
    <w:semiHidden/>
    <w:unhideWhenUsed/>
    <w:rsid w:val="003A7FBC"/>
    <w:pPr>
      <w:kinsoku w:val="0"/>
      <w:overflowPunct w:val="0"/>
      <w:autoSpaceDE w:val="0"/>
      <w:autoSpaceDN w:val="0"/>
      <w:adjustRightInd w:val="0"/>
      <w:snapToGrid w:val="0"/>
      <w:spacing w:before="120" w:line="240" w:lineRule="auto"/>
    </w:pPr>
    <w:rPr>
      <w:rFonts w:asciiTheme="majorHAnsi" w:eastAsiaTheme="majorEastAsia" w:hAnsiTheme="majorHAnsi" w:cstheme="majorBidi"/>
      <w:b/>
      <w:bCs/>
      <w:snapToGrid w:val="0"/>
      <w:sz w:val="24"/>
      <w:szCs w:val="24"/>
      <w:lang w:eastAsia="en-US"/>
    </w:rPr>
  </w:style>
  <w:style w:type="paragraph" w:customStyle="1" w:styleId="CoverPanelFrame">
    <w:name w:val="Cover Panel Frame"/>
    <w:basedOn w:val="Coverpulloutframe"/>
    <w:rsid w:val="003A7FBC"/>
    <w:pPr>
      <w:framePr w:w="7441" w:wrap="notBeside" w:vAnchor="margin" w:hAnchor="text" w:x="-112" w:y="1"/>
      <w:pBdr>
        <w:top w:val="single" w:sz="4" w:space="1" w:color="auto"/>
        <w:left w:val="single" w:sz="4" w:space="4" w:color="auto"/>
      </w:pBdr>
    </w:pPr>
    <w:rPr>
      <w:rFonts w:eastAsia="+mn-ea"/>
    </w:rPr>
  </w:style>
  <w:style w:type="paragraph" w:customStyle="1" w:styleId="LogoActivated">
    <w:name w:val="Logo Activated"/>
    <w:basedOn w:val="Normal"/>
    <w:rsid w:val="003A7FBC"/>
    <w:pPr>
      <w:framePr w:w="3119" w:h="1412" w:hRule="exact" w:wrap="around" w:vAnchor="page" w:hAnchor="page" w:x="1543" w:y="15299"/>
      <w:tabs>
        <w:tab w:val="center" w:pos="2551"/>
        <w:tab w:val="right" w:pos="7682"/>
      </w:tabs>
      <w:kinsoku w:val="0"/>
      <w:overflowPunct w:val="0"/>
      <w:autoSpaceDE w:val="0"/>
      <w:autoSpaceDN w:val="0"/>
      <w:adjustRightInd w:val="0"/>
      <w:snapToGrid w:val="0"/>
      <w:spacing w:line="0" w:lineRule="atLeast"/>
    </w:pPr>
    <w:rPr>
      <w:rFonts w:asciiTheme="majorHAnsi" w:hAnsiTheme="majorHAnsi"/>
      <w:noProof/>
      <w:sz w:val="18"/>
      <w:szCs w:val="32"/>
    </w:rPr>
  </w:style>
  <w:style w:type="paragraph" w:customStyle="1" w:styleId="FirstPagePanelFrame">
    <w:name w:val="First Page Panel Frame"/>
    <w:basedOn w:val="CoverPanelFrame"/>
    <w:rsid w:val="003A7FBC"/>
    <w:pPr>
      <w:framePr w:w="8334" w:h="227" w:hRule="exact" w:wrap="notBeside" w:y="-169"/>
      <w:pBdr>
        <w:top w:val="single" w:sz="6" w:space="1" w:color="00B2A9" w:themeColor="text2"/>
        <w:left w:val="single" w:sz="6" w:space="4" w:color="00B2A9" w:themeColor="text2"/>
      </w:pBdr>
    </w:pPr>
  </w:style>
  <w:style w:type="paragraph" w:customStyle="1" w:styleId="URLCover">
    <w:name w:val="URL Cover"/>
    <w:basedOn w:val="Normal"/>
    <w:rsid w:val="003A7FBC"/>
    <w:pPr>
      <w:kinsoku w:val="0"/>
      <w:overflowPunct w:val="0"/>
      <w:autoSpaceDE w:val="0"/>
      <w:autoSpaceDN w:val="0"/>
      <w:adjustRightInd w:val="0"/>
      <w:snapToGrid w:val="0"/>
      <w:spacing w:line="240" w:lineRule="auto"/>
    </w:pPr>
    <w:rPr>
      <w:rFonts w:ascii="Georgia" w:hAnsi="Georgia"/>
      <w:snapToGrid w:val="0"/>
      <w:sz w:val="19"/>
      <w:lang w:eastAsia="en-US"/>
    </w:rPr>
  </w:style>
  <w:style w:type="paragraph" w:customStyle="1" w:styleId="Coverpulloutframe">
    <w:name w:val="Cover pull out frame"/>
    <w:basedOn w:val="KeySentenceInside"/>
    <w:rsid w:val="003A7FBC"/>
    <w:pPr>
      <w:framePr w:w="2189" w:h="227" w:wrap="notBeside" w:vAnchor="page" w:hAnchor="page" w:x="908" w:y="8415"/>
      <w:pBdr>
        <w:top w:val="dotted" w:sz="8" w:space="1" w:color="00B2A9" w:themeColor="text2"/>
        <w:left w:val="dotted" w:sz="8" w:space="4" w:color="00B2A9" w:themeColor="text2"/>
      </w:pBdr>
      <w:spacing w:after="0" w:line="0" w:lineRule="atLeast"/>
    </w:pPr>
    <w:rPr>
      <w:color w:val="auto"/>
      <w:sz w:val="8"/>
      <w:lang w:val="en-GB"/>
    </w:rPr>
  </w:style>
  <w:style w:type="paragraph" w:customStyle="1" w:styleId="CoverOutcomeHeadline">
    <w:name w:val="Cover Outcome Headline"/>
    <w:basedOn w:val="PwCNormal"/>
    <w:rsid w:val="003A7FBC"/>
    <w:pPr>
      <w:spacing w:after="0" w:line="960" w:lineRule="atLeast"/>
      <w:ind w:right="1701"/>
    </w:pPr>
    <w:rPr>
      <w:b/>
      <w:i/>
      <w:color w:val="FFFFFF" w:themeColor="background1"/>
      <w:sz w:val="88"/>
      <w:szCs w:val="88"/>
      <w:lang w:val="en-GB"/>
    </w:rPr>
  </w:style>
  <w:style w:type="paragraph" w:customStyle="1" w:styleId="CoverOutcomeSubtitle">
    <w:name w:val="Cover Outcome Subtitle"/>
    <w:basedOn w:val="CoverOutcomeHeadline"/>
    <w:rsid w:val="003A7FBC"/>
    <w:rPr>
      <w:b w:val="0"/>
      <w:i w:val="0"/>
    </w:rPr>
  </w:style>
  <w:style w:type="paragraph" w:customStyle="1" w:styleId="LogoFixed">
    <w:name w:val="Logo Fixed"/>
    <w:basedOn w:val="LogoActivated"/>
    <w:rsid w:val="003A7FBC"/>
    <w:pPr>
      <w:framePr w:h="2733" w:hRule="exact" w:wrap="around" w:x="1322" w:y="14125"/>
    </w:pPr>
  </w:style>
  <w:style w:type="paragraph" w:customStyle="1" w:styleId="NumericCaption">
    <w:name w:val="Numeric Caption"/>
    <w:basedOn w:val="Caption"/>
    <w:rsid w:val="003A7FBC"/>
    <w:pPr>
      <w:keepLines/>
      <w:tabs>
        <w:tab w:val="left" w:pos="992"/>
      </w:tabs>
      <w:kinsoku w:val="0"/>
      <w:overflowPunct w:val="0"/>
      <w:autoSpaceDE w:val="0"/>
      <w:autoSpaceDN w:val="0"/>
      <w:adjustRightInd w:val="0"/>
      <w:snapToGrid w:val="0"/>
      <w:spacing w:before="240" w:after="120"/>
      <w:ind w:left="992" w:hanging="992"/>
    </w:pPr>
    <w:rPr>
      <w:rFonts w:ascii="Arial" w:hAnsi="Arial"/>
      <w:snapToGrid w:val="0"/>
      <w:color w:val="00B2A9" w:themeColor="text2"/>
      <w:szCs w:val="18"/>
      <w:lang w:eastAsia="en-US"/>
    </w:rPr>
  </w:style>
  <w:style w:type="paragraph" w:customStyle="1" w:styleId="NumericTableColumnHeadingNormal">
    <w:name w:val="Numeric Table Column Heading Normal"/>
    <w:basedOn w:val="TableColumnHeadingNormal"/>
    <w:rsid w:val="003A7FBC"/>
    <w:rPr>
      <w:rFonts w:ascii="Arial" w:hAnsi="Arial"/>
    </w:rPr>
  </w:style>
  <w:style w:type="paragraph" w:customStyle="1" w:styleId="NumericTableTextNormal">
    <w:name w:val="Numeric Table Text Normal"/>
    <w:basedOn w:val="TableTextNormal"/>
    <w:rsid w:val="003A7FBC"/>
    <w:rPr>
      <w:rFonts w:ascii="Arial" w:hAnsi="Arial"/>
    </w:rPr>
  </w:style>
  <w:style w:type="paragraph" w:customStyle="1" w:styleId="NumericSources">
    <w:name w:val="Numeric Sources"/>
    <w:basedOn w:val="Sources"/>
    <w:rsid w:val="003A7FBC"/>
    <w:rPr>
      <w:rFonts w:ascii="Arial" w:hAnsi="Arial"/>
    </w:rPr>
  </w:style>
  <w:style w:type="paragraph" w:customStyle="1" w:styleId="NumericTableColumnHeadingSmall">
    <w:name w:val="Numeric Table Column Heading Small"/>
    <w:basedOn w:val="NumericTableColumnHeadingNormal"/>
    <w:rsid w:val="003A7FBC"/>
    <w:rPr>
      <w:sz w:val="16"/>
      <w:szCs w:val="16"/>
    </w:rPr>
  </w:style>
  <w:style w:type="paragraph" w:customStyle="1" w:styleId="NumericTableTextSmall">
    <w:name w:val="Numeric Table Text Small"/>
    <w:basedOn w:val="NumericTableTextNormal"/>
    <w:rsid w:val="003A7FBC"/>
    <w:rPr>
      <w:sz w:val="16"/>
      <w:szCs w:val="16"/>
    </w:rPr>
  </w:style>
  <w:style w:type="paragraph" w:customStyle="1" w:styleId="NumericTableTextDecimalNormal">
    <w:name w:val="Numeric Table Text Decimal Normal"/>
    <w:basedOn w:val="NumericTableTextNormal"/>
    <w:rsid w:val="003A7FBC"/>
    <w:pPr>
      <w:tabs>
        <w:tab w:val="decimal" w:pos="1004"/>
      </w:tabs>
    </w:pPr>
  </w:style>
  <w:style w:type="paragraph" w:customStyle="1" w:styleId="NumericTableTextDecimalSmall">
    <w:name w:val="Numeric Table Text Decimal Small"/>
    <w:basedOn w:val="NumericTableTextDecimalNormal"/>
    <w:rsid w:val="003A7FBC"/>
    <w:rPr>
      <w:sz w:val="16"/>
      <w:szCs w:val="16"/>
    </w:rPr>
  </w:style>
  <w:style w:type="paragraph" w:customStyle="1" w:styleId="Heading2Nospacing">
    <w:name w:val="Heading 2 No spacing"/>
    <w:basedOn w:val="Heading2"/>
    <w:rsid w:val="003A7FBC"/>
    <w:pPr>
      <w:pageBreakBefore/>
      <w:tabs>
        <w:tab w:val="num" w:pos="850"/>
      </w:tabs>
      <w:kinsoku w:val="0"/>
      <w:overflowPunct w:val="0"/>
      <w:autoSpaceDE w:val="0"/>
      <w:autoSpaceDN w:val="0"/>
      <w:adjustRightInd w:val="0"/>
      <w:snapToGrid w:val="0"/>
      <w:spacing w:after="0" w:line="0" w:lineRule="atLeast"/>
      <w:ind w:left="851" w:hanging="851"/>
    </w:pPr>
    <w:rPr>
      <w:rFonts w:asciiTheme="majorHAnsi" w:hAnsiTheme="majorHAnsi"/>
      <w:snapToGrid w:val="0"/>
      <w:color w:val="363534" w:themeColor="text1"/>
      <w:kern w:val="0"/>
      <w:sz w:val="56"/>
      <w:szCs w:val="36"/>
      <w:lang w:eastAsia="en-US"/>
    </w:rPr>
  </w:style>
  <w:style w:type="paragraph" w:customStyle="1" w:styleId="TableNumberedList1">
    <w:name w:val="Table Numbered List 1"/>
    <w:basedOn w:val="TableTextNormal"/>
    <w:rsid w:val="003A7FBC"/>
    <w:pPr>
      <w:numPr>
        <w:numId w:val="27"/>
      </w:numPr>
    </w:pPr>
  </w:style>
  <w:style w:type="paragraph" w:customStyle="1" w:styleId="TableNumberedList2">
    <w:name w:val="Table Numbered List 2"/>
    <w:basedOn w:val="TableNumberedList1"/>
    <w:rsid w:val="003A7FBC"/>
    <w:pPr>
      <w:numPr>
        <w:ilvl w:val="1"/>
      </w:numPr>
      <w:spacing w:before="40" w:after="40"/>
    </w:pPr>
  </w:style>
  <w:style w:type="paragraph" w:customStyle="1" w:styleId="TableNumberedList3">
    <w:name w:val="Table Numbered List 3"/>
    <w:basedOn w:val="TableNumberedList2"/>
    <w:rsid w:val="003A7FBC"/>
    <w:pPr>
      <w:numPr>
        <w:ilvl w:val="2"/>
      </w:numPr>
    </w:pPr>
  </w:style>
  <w:style w:type="paragraph" w:customStyle="1" w:styleId="TableNumberedListSmall1">
    <w:name w:val="Table Numbered List Small 1"/>
    <w:basedOn w:val="TableTextSmall"/>
    <w:rsid w:val="003A7FBC"/>
    <w:pPr>
      <w:numPr>
        <w:numId w:val="29"/>
      </w:numPr>
    </w:pPr>
  </w:style>
  <w:style w:type="paragraph" w:customStyle="1" w:styleId="TableNumberedListSmall2">
    <w:name w:val="Table Numbered List Small 2"/>
    <w:basedOn w:val="TableNumberedListSmall1"/>
    <w:rsid w:val="003A7FBC"/>
    <w:pPr>
      <w:numPr>
        <w:ilvl w:val="1"/>
      </w:numPr>
    </w:pPr>
    <w:rPr>
      <w:szCs w:val="21"/>
    </w:rPr>
  </w:style>
  <w:style w:type="paragraph" w:customStyle="1" w:styleId="TableNumberedListSmall3">
    <w:name w:val="Table Numbered List Small 3"/>
    <w:basedOn w:val="TableNumberedListSmall2"/>
    <w:rsid w:val="003A7FBC"/>
    <w:pPr>
      <w:numPr>
        <w:ilvl w:val="2"/>
      </w:numPr>
    </w:pPr>
  </w:style>
  <w:style w:type="numbering" w:customStyle="1" w:styleId="ListNumberList">
    <w:name w:val="List Number List"/>
    <w:uiPriority w:val="99"/>
    <w:rsid w:val="003A7FBC"/>
    <w:pPr>
      <w:numPr>
        <w:numId w:val="30"/>
      </w:numPr>
    </w:pPr>
  </w:style>
  <w:style w:type="numbering" w:styleId="111111">
    <w:name w:val="Outline List 2"/>
    <w:basedOn w:val="NoList"/>
    <w:rsid w:val="003A7FBC"/>
    <w:pPr>
      <w:numPr>
        <w:numId w:val="31"/>
      </w:numPr>
    </w:pPr>
  </w:style>
  <w:style w:type="numbering" w:styleId="ArticleSection">
    <w:name w:val="Outline List 3"/>
    <w:basedOn w:val="NoList"/>
    <w:rsid w:val="003A7FBC"/>
    <w:pPr>
      <w:numPr>
        <w:numId w:val="32"/>
      </w:numPr>
    </w:pPr>
  </w:style>
  <w:style w:type="paragraph" w:customStyle="1" w:styleId="Minorheading3">
    <w:name w:val="Minor heading 3"/>
    <w:basedOn w:val="Minorheading2"/>
    <w:rsid w:val="003A7FBC"/>
    <w:pPr>
      <w:spacing w:before="120"/>
    </w:pPr>
    <w:rPr>
      <w:b w:val="0"/>
      <w:i/>
    </w:rPr>
  </w:style>
  <w:style w:type="table" w:customStyle="1" w:styleId="Tables-APLines">
    <w:name w:val="Tables - AP Lines"/>
    <w:basedOn w:val="TableNormal"/>
    <w:rsid w:val="003A7FBC"/>
    <w:pPr>
      <w:spacing w:line="240" w:lineRule="auto"/>
    </w:pPr>
    <w:rPr>
      <w:rFonts w:ascii="Georgia" w:hAnsi="Georgia" w:cs="Times New Roman"/>
      <w:color w:val="auto"/>
    </w:rPr>
    <w:tblPr>
      <w:tblStyleRowBandSize w:val="1"/>
      <w:tblStyleColBandSize w:val="1"/>
      <w:tblBorders>
        <w:insideH w:val="single" w:sz="4" w:space="0" w:color="00B2A9" w:themeColor="text2"/>
        <w:insideV w:val="single" w:sz="4" w:space="0" w:color="00B2A9" w:themeColor="text2"/>
      </w:tblBorders>
    </w:tblPr>
    <w:tcPr>
      <w:shd w:val="clear" w:color="auto" w:fill="auto"/>
    </w:tcPr>
    <w:tblStylePr w:type="firstRow">
      <w:pPr>
        <w:jc w:val="center"/>
      </w:pPr>
      <w:rPr>
        <w:rFonts w:asciiTheme="minorHAnsi" w:hAnsiTheme="minorHAnsi"/>
        <w:color w:val="auto"/>
      </w:rPr>
      <w:tblPr/>
      <w:tcPr>
        <w:vAlign w:val="bottom"/>
      </w:tcPr>
    </w:tblStylePr>
    <w:tblStylePr w:type="lastRow">
      <w:rPr>
        <w:color w:val="FFFFFF" w:themeColor="background1"/>
      </w:rPr>
    </w:tblStylePr>
    <w:tblStylePr w:type="nwCell">
      <w:pPr>
        <w:jc w:val="left"/>
      </w:pPr>
      <w:tblPr/>
      <w:tcPr>
        <w:vAlign w:val="bottom"/>
      </w:tcPr>
    </w:tblStylePr>
  </w:style>
  <w:style w:type="table" w:customStyle="1" w:styleId="PwCPanelframe">
    <w:name w:val="PwC Panel frame"/>
    <w:basedOn w:val="TableNormal"/>
    <w:uiPriority w:val="99"/>
    <w:qFormat/>
    <w:rsid w:val="003A7FBC"/>
    <w:pPr>
      <w:spacing w:line="227" w:lineRule="exact"/>
    </w:pPr>
    <w:rPr>
      <w:rFonts w:ascii="Georgia" w:hAnsi="Georgia" w:cs="Times New Roman"/>
      <w:color w:val="auto"/>
      <w:sz w:val="8"/>
    </w:rPr>
    <w:tblPr>
      <w:tblBorders>
        <w:top w:val="single" w:sz="8" w:space="0" w:color="00B2A9" w:themeColor="text2"/>
        <w:left w:val="single" w:sz="8" w:space="0" w:color="00B2A9" w:themeColor="text2"/>
      </w:tblBorders>
      <w:tblCellMar>
        <w:left w:w="227" w:type="dxa"/>
        <w:right w:w="0" w:type="dxa"/>
      </w:tblCellMar>
    </w:tblPr>
    <w:tcPr>
      <w:shd w:val="clear" w:color="auto" w:fill="auto"/>
    </w:tcPr>
  </w:style>
  <w:style w:type="table" w:customStyle="1" w:styleId="PwCpull-outframe">
    <w:name w:val="PwC pull-out frame"/>
    <w:basedOn w:val="PwCPanelframe"/>
    <w:uiPriority w:val="99"/>
    <w:rsid w:val="003A7FBC"/>
    <w:tblPr>
      <w:tblBorders>
        <w:top w:val="dotted" w:sz="8" w:space="0" w:color="00B2A9" w:themeColor="text2"/>
        <w:left w:val="dotted" w:sz="8" w:space="0" w:color="00B2A9" w:themeColor="text2"/>
      </w:tblBorders>
    </w:tblPr>
    <w:tcPr>
      <w:shd w:val="clear" w:color="auto" w:fill="auto"/>
    </w:tcPr>
  </w:style>
  <w:style w:type="paragraph" w:customStyle="1" w:styleId="Bullet1">
    <w:name w:val="Bullet 1"/>
    <w:aliases w:val="FACS,MA Bullet 1,Alt.,b1,Bullet for no #'s,Bullet for no #'s Char,MA Bullet 1 Char,Alt. Char,Bullet,body,Bullet ...,body Char Char,body Char Char Char5,body Char Char Char Char,body Char Char Char Char Char Char Char Char,Bullet 1 Char1"/>
    <w:basedOn w:val="PwCNormal"/>
    <w:link w:val="Bullet1CharChar"/>
    <w:rsid w:val="003A7FBC"/>
    <w:pPr>
      <w:numPr>
        <w:numId w:val="36"/>
      </w:numPr>
      <w:spacing w:after="80"/>
    </w:pPr>
  </w:style>
  <w:style w:type="paragraph" w:customStyle="1" w:styleId="Bullet2">
    <w:name w:val="Bullet 2"/>
    <w:basedOn w:val="Bullet1"/>
    <w:uiPriority w:val="99"/>
    <w:rsid w:val="003A7FBC"/>
    <w:pPr>
      <w:numPr>
        <w:ilvl w:val="1"/>
      </w:numPr>
      <w:tabs>
        <w:tab w:val="clear" w:pos="567"/>
        <w:tab w:val="num" w:pos="926"/>
      </w:tabs>
      <w:ind w:left="567" w:hanging="283"/>
    </w:pPr>
  </w:style>
  <w:style w:type="paragraph" w:customStyle="1" w:styleId="Bullet3">
    <w:name w:val="Bullet 3"/>
    <w:basedOn w:val="Bullet2"/>
    <w:uiPriority w:val="99"/>
    <w:rsid w:val="003A7FBC"/>
    <w:pPr>
      <w:numPr>
        <w:ilvl w:val="2"/>
      </w:numPr>
      <w:tabs>
        <w:tab w:val="clear" w:pos="851"/>
        <w:tab w:val="num" w:pos="0"/>
        <w:tab w:val="num" w:pos="926"/>
      </w:tabs>
      <w:ind w:left="0" w:firstLine="0"/>
    </w:pPr>
  </w:style>
  <w:style w:type="paragraph" w:customStyle="1" w:styleId="Bullet4">
    <w:name w:val="Bullet 4"/>
    <w:basedOn w:val="Bullet3"/>
    <w:uiPriority w:val="99"/>
    <w:rsid w:val="003A7FBC"/>
    <w:pPr>
      <w:numPr>
        <w:ilvl w:val="3"/>
      </w:numPr>
      <w:tabs>
        <w:tab w:val="clear" w:pos="1134"/>
        <w:tab w:val="num" w:pos="0"/>
        <w:tab w:val="num" w:pos="926"/>
      </w:tabs>
      <w:ind w:left="0" w:hanging="5670"/>
    </w:pPr>
  </w:style>
  <w:style w:type="numbering" w:customStyle="1" w:styleId="Bullets">
    <w:name w:val="Bullets"/>
    <w:uiPriority w:val="99"/>
    <w:rsid w:val="003A7FBC"/>
    <w:pPr>
      <w:numPr>
        <w:numId w:val="33"/>
      </w:numPr>
    </w:pPr>
  </w:style>
  <w:style w:type="paragraph" w:customStyle="1" w:styleId="FirstPagePanelFrame-Contents">
    <w:name w:val="First Page Panel Frame - Contents"/>
    <w:basedOn w:val="FirstPagePanelFrame"/>
    <w:rsid w:val="003A7FBC"/>
    <w:pPr>
      <w:framePr w:wrap="notBeside"/>
    </w:pPr>
  </w:style>
  <w:style w:type="numbering" w:customStyle="1" w:styleId="ChapterNumberingList">
    <w:name w:val="Chapter Numbering List"/>
    <w:uiPriority w:val="99"/>
    <w:rsid w:val="003A7FBC"/>
    <w:pPr>
      <w:numPr>
        <w:numId w:val="35"/>
      </w:numPr>
    </w:pPr>
  </w:style>
  <w:style w:type="table" w:customStyle="1" w:styleId="LightList-Accent11">
    <w:name w:val="Light List - Accent 11"/>
    <w:basedOn w:val="TableNormal"/>
    <w:uiPriority w:val="61"/>
    <w:rsid w:val="003A7FBC"/>
    <w:pPr>
      <w:spacing w:line="240" w:lineRule="auto"/>
    </w:pPr>
    <w:rPr>
      <w:rFonts w:ascii="Georgia" w:hAnsi="Georgia" w:cs="Times New Roman"/>
      <w:color w:val="auto"/>
    </w:rPr>
    <w:tblPr>
      <w:tblStyleRowBandSize w:val="1"/>
      <w:tblStyleColBandSize w:val="1"/>
      <w:tblBorders>
        <w:top w:val="single" w:sz="8" w:space="0" w:color="00B2A9" w:themeColor="accent1"/>
        <w:left w:val="single" w:sz="8" w:space="0" w:color="00B2A9" w:themeColor="accent1"/>
        <w:bottom w:val="single" w:sz="8" w:space="0" w:color="00B2A9" w:themeColor="accent1"/>
        <w:right w:val="single" w:sz="8" w:space="0" w:color="00B2A9" w:themeColor="accent1"/>
      </w:tblBorders>
    </w:tblPr>
    <w:tblStylePr w:type="firstRow">
      <w:pPr>
        <w:spacing w:before="0" w:after="0" w:line="240" w:lineRule="auto"/>
      </w:pPr>
      <w:rPr>
        <w:b/>
        <w:bCs/>
        <w:color w:val="FFFFFF" w:themeColor="background1"/>
      </w:rPr>
      <w:tblPr/>
      <w:tcPr>
        <w:shd w:val="clear" w:color="auto" w:fill="00B2A9" w:themeFill="accent1"/>
      </w:tcPr>
    </w:tblStylePr>
    <w:tblStylePr w:type="lastRow">
      <w:pPr>
        <w:spacing w:before="0" w:after="0" w:line="240" w:lineRule="auto"/>
      </w:pPr>
      <w:rPr>
        <w:b/>
        <w:bCs/>
      </w:rPr>
      <w:tblPr/>
      <w:tcPr>
        <w:tcBorders>
          <w:top w:val="double" w:sz="6" w:space="0" w:color="00B2A9" w:themeColor="accent1"/>
          <w:left w:val="single" w:sz="8" w:space="0" w:color="00B2A9" w:themeColor="accent1"/>
          <w:bottom w:val="single" w:sz="8" w:space="0" w:color="00B2A9" w:themeColor="accent1"/>
          <w:right w:val="single" w:sz="8" w:space="0" w:color="00B2A9" w:themeColor="accent1"/>
        </w:tcBorders>
      </w:tcPr>
    </w:tblStylePr>
    <w:tblStylePr w:type="firstCol">
      <w:rPr>
        <w:b/>
        <w:bCs/>
      </w:rPr>
    </w:tblStylePr>
    <w:tblStylePr w:type="lastCol">
      <w:rPr>
        <w:b/>
        <w:bCs/>
      </w:rPr>
    </w:tblStylePr>
    <w:tblStylePr w:type="band1Vert">
      <w:tblPr/>
      <w:tcPr>
        <w:tcBorders>
          <w:top w:val="single" w:sz="8" w:space="0" w:color="00B2A9" w:themeColor="accent1"/>
          <w:left w:val="single" w:sz="8" w:space="0" w:color="00B2A9" w:themeColor="accent1"/>
          <w:bottom w:val="single" w:sz="8" w:space="0" w:color="00B2A9" w:themeColor="accent1"/>
          <w:right w:val="single" w:sz="8" w:space="0" w:color="00B2A9" w:themeColor="accent1"/>
        </w:tcBorders>
      </w:tcPr>
    </w:tblStylePr>
    <w:tblStylePr w:type="band1Horz">
      <w:tblPr/>
      <w:tcPr>
        <w:tcBorders>
          <w:top w:val="single" w:sz="8" w:space="0" w:color="00B2A9" w:themeColor="accent1"/>
          <w:left w:val="single" w:sz="8" w:space="0" w:color="00B2A9" w:themeColor="accent1"/>
          <w:bottom w:val="single" w:sz="8" w:space="0" w:color="00B2A9" w:themeColor="accent1"/>
          <w:right w:val="single" w:sz="8" w:space="0" w:color="00B2A9" w:themeColor="accent1"/>
        </w:tcBorders>
      </w:tcPr>
    </w:tblStylePr>
  </w:style>
  <w:style w:type="character" w:customStyle="1" w:styleId="apple-converted-space">
    <w:name w:val="apple-converted-space"/>
    <w:basedOn w:val="DefaultParagraphFont"/>
    <w:rsid w:val="003A7FBC"/>
  </w:style>
  <w:style w:type="paragraph" w:styleId="Revision">
    <w:name w:val="Revision"/>
    <w:hidden/>
    <w:uiPriority w:val="99"/>
    <w:semiHidden/>
    <w:rsid w:val="003A7FBC"/>
    <w:pPr>
      <w:spacing w:line="240" w:lineRule="auto"/>
    </w:pPr>
    <w:rPr>
      <w:rFonts w:ascii="Georgia" w:hAnsi="Georgia"/>
      <w:snapToGrid w:val="0"/>
      <w:color w:val="auto"/>
      <w:lang w:eastAsia="en-US"/>
    </w:rPr>
  </w:style>
  <w:style w:type="character" w:customStyle="1" w:styleId="Bullet1CharChar">
    <w:name w:val="Bullet 1 Char Char"/>
    <w:basedOn w:val="DefaultParagraphFont"/>
    <w:link w:val="Bullet1"/>
    <w:locked/>
    <w:rsid w:val="003A7FBC"/>
    <w:rPr>
      <w:rFonts w:ascii="Georgia" w:hAnsi="Georgia"/>
      <w:snapToGrid w:val="0"/>
      <w:color w:val="auto"/>
      <w:lang w:eastAsia="en-US"/>
    </w:rPr>
  </w:style>
  <w:style w:type="character" w:styleId="Emphasis">
    <w:name w:val="Emphasis"/>
    <w:basedOn w:val="DefaultParagraphFont"/>
    <w:uiPriority w:val="20"/>
    <w:qFormat/>
    <w:rsid w:val="003A7FBC"/>
    <w:rPr>
      <w:i/>
      <w:iCs/>
    </w:rPr>
  </w:style>
  <w:style w:type="paragraph" w:customStyle="1" w:styleId="TableParagraph">
    <w:name w:val="Table Paragraph"/>
    <w:basedOn w:val="Normal"/>
    <w:uiPriority w:val="1"/>
    <w:qFormat/>
    <w:rsid w:val="003A7FBC"/>
    <w:pPr>
      <w:widowControl w:val="0"/>
      <w:spacing w:line="240" w:lineRule="auto"/>
    </w:pPr>
    <w:rPr>
      <w:rFonts w:eastAsiaTheme="minorHAnsi" w:cstheme="minorBidi"/>
      <w:sz w:val="22"/>
      <w:szCs w:val="22"/>
      <w:lang w:val="en-US" w:eastAsia="en-US"/>
    </w:rPr>
  </w:style>
  <w:style w:type="paragraph" w:customStyle="1" w:styleId="StyleListBulletBefore12ptAfter12pt">
    <w:name w:val="Style List Bullet + Before:  12 pt After:  12 pt"/>
    <w:basedOn w:val="ListBullet"/>
    <w:rsid w:val="003A7FBC"/>
    <w:pPr>
      <w:tabs>
        <w:tab w:val="clear" w:pos="170"/>
        <w:tab w:val="num" w:pos="284"/>
      </w:tabs>
      <w:kinsoku w:val="0"/>
      <w:overflowPunct w:val="0"/>
      <w:autoSpaceDE w:val="0"/>
      <w:autoSpaceDN w:val="0"/>
      <w:adjustRightInd w:val="0"/>
      <w:snapToGrid w:val="0"/>
      <w:spacing w:before="60" w:line="240" w:lineRule="auto"/>
      <w:ind w:left="284" w:hanging="284"/>
    </w:pPr>
    <w:rPr>
      <w:rFonts w:ascii="Georgia" w:hAnsi="Georgia" w:cs="Times New Roman"/>
      <w:snapToGrid w:val="0"/>
      <w:lang w:eastAsia="en-US"/>
    </w:rPr>
  </w:style>
  <w:style w:type="paragraph" w:customStyle="1" w:styleId="StylePwCNormalCustomColorRGB222222">
    <w:name w:val="Style PwC Normal + Custom Color(RGB(222222))"/>
    <w:basedOn w:val="PwCNormal"/>
    <w:rsid w:val="003A7FBC"/>
    <w:rPr>
      <w:color w:val="161616"/>
    </w:rPr>
  </w:style>
  <w:style w:type="paragraph" w:customStyle="1" w:styleId="Pullout">
    <w:name w:val="_Pullout"/>
    <w:qFormat/>
    <w:rsid w:val="003A7FBC"/>
    <w:pPr>
      <w:spacing w:before="85" w:after="170" w:line="300" w:lineRule="atLeast"/>
    </w:pPr>
    <w:rPr>
      <w:rFonts w:ascii="Calibri" w:hAnsi="Calibri"/>
      <w:color w:val="228591"/>
      <w:sz w:val="24"/>
      <w:szCs w:val="24"/>
      <w:lang w:eastAsia="en-US"/>
    </w:rPr>
  </w:style>
  <w:style w:type="paragraph" w:customStyle="1" w:styleId="Tabletext">
    <w:name w:val="Table text"/>
    <w:basedOn w:val="BodyText"/>
    <w:link w:val="TabletextChar"/>
    <w:rsid w:val="00CB3019"/>
    <w:pPr>
      <w:autoSpaceDE w:val="0"/>
      <w:autoSpaceDN w:val="0"/>
      <w:adjustRightInd w:val="0"/>
      <w:spacing w:after="60" w:line="240" w:lineRule="auto"/>
    </w:pPr>
    <w:rPr>
      <w:rFonts w:ascii="Arial" w:hAnsi="Arial" w:cs="Arial"/>
      <w:lang w:val="en-GB" w:eastAsia="en-AU"/>
    </w:rPr>
  </w:style>
  <w:style w:type="character" w:customStyle="1" w:styleId="TabletextChar">
    <w:name w:val="Table text Char"/>
    <w:link w:val="Tabletext"/>
    <w:rsid w:val="00CB3019"/>
    <w:rPr>
      <w:rFonts w:ascii="Arial" w:hAnsi="Arial"/>
      <w:color w:val="auto"/>
      <w:lang w:val="en-GB"/>
    </w:rPr>
  </w:style>
  <w:style w:type="paragraph" w:customStyle="1" w:styleId="TableCellHeading">
    <w:name w:val="Table Cell Heading"/>
    <w:basedOn w:val="Tabletext"/>
    <w:uiPriority w:val="99"/>
    <w:qFormat/>
    <w:rsid w:val="003A7FBC"/>
    <w:pPr>
      <w:autoSpaceDE/>
      <w:autoSpaceDN/>
      <w:adjustRightInd/>
      <w:spacing w:after="120"/>
    </w:pPr>
    <w:rPr>
      <w:rFonts w:cs="Times New Roman"/>
      <w:b/>
      <w:bCs/>
      <w:szCs w:val="18"/>
    </w:rPr>
  </w:style>
  <w:style w:type="table" w:customStyle="1" w:styleId="Standard">
    <w:name w:val="Standard"/>
    <w:basedOn w:val="TableProfessional"/>
    <w:uiPriority w:val="99"/>
    <w:rsid w:val="003A7FBC"/>
    <w:rPr>
      <w:rFonts w:ascii="Arial" w:hAnsi="Arial"/>
      <w:lang w:val="en-US" w:eastAsia="ja-JP"/>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6E6E6"/>
    </w:tcPr>
    <w:tblStylePr w:type="firstRow">
      <w:rPr>
        <w:b/>
        <w:bCs/>
        <w:color w:val="auto"/>
      </w:rPr>
      <w:tblPr/>
      <w:tcPr>
        <w:tcBorders>
          <w:top w:val="nil"/>
          <w:left w:val="nil"/>
          <w:bottom w:val="nil"/>
          <w:right w:val="nil"/>
          <w:insideH w:val="nil"/>
          <w:insideV w:val="nil"/>
          <w:tl2br w:val="nil"/>
          <w:tr2bl w:val="nil"/>
        </w:tcBorders>
        <w:shd w:val="clear" w:color="auto" w:fill="000080"/>
      </w:tcPr>
    </w:tblStylePr>
  </w:style>
  <w:style w:type="table" w:styleId="TableProfessional">
    <w:name w:val="Table Professional"/>
    <w:basedOn w:val="TableNormal"/>
    <w:uiPriority w:val="99"/>
    <w:semiHidden/>
    <w:unhideWhenUsed/>
    <w:rsid w:val="003A7FBC"/>
    <w:pPr>
      <w:spacing w:line="240" w:lineRule="auto"/>
    </w:pPr>
    <w:rPr>
      <w:rFonts w:ascii="Times New Roman" w:eastAsiaTheme="minorEastAsia" w:hAnsi="Times New Roman" w:cstheme="minorBidi"/>
      <w:color w:val="auto"/>
      <w:sz w:val="22"/>
      <w:szCs w:val="22"/>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customStyle="1" w:styleId="arial">
    <w:name w:val="arial"/>
    <w:basedOn w:val="Normal"/>
    <w:rsid w:val="003A7FBC"/>
    <w:pPr>
      <w:spacing w:line="240" w:lineRule="auto"/>
    </w:pPr>
    <w:rPr>
      <w:rFonts w:ascii="Times New Roman" w:eastAsiaTheme="minorEastAsia" w:hAnsi="Times New Roman" w:cstheme="minorBidi"/>
      <w:sz w:val="22"/>
      <w:szCs w:val="24"/>
      <w:lang w:eastAsia="en-US"/>
    </w:rPr>
  </w:style>
  <w:style w:type="character" w:customStyle="1" w:styleId="BalloonTextChar">
    <w:name w:val="Balloon Text Char"/>
    <w:basedOn w:val="DefaultParagraphFont"/>
    <w:link w:val="BalloonText"/>
    <w:uiPriority w:val="99"/>
    <w:semiHidden/>
    <w:rsid w:val="003A7FBC"/>
    <w:rPr>
      <w:rFonts w:ascii="Tahoma" w:hAnsi="Tahoma" w:cs="Tahoma"/>
      <w:sz w:val="16"/>
      <w:szCs w:val="16"/>
    </w:rPr>
  </w:style>
  <w:style w:type="paragraph" w:customStyle="1" w:styleId="Default">
    <w:name w:val="Default"/>
    <w:rsid w:val="003A7FBC"/>
    <w:pPr>
      <w:autoSpaceDE w:val="0"/>
      <w:autoSpaceDN w:val="0"/>
      <w:adjustRightInd w:val="0"/>
      <w:spacing w:line="240" w:lineRule="auto"/>
    </w:pPr>
    <w:rPr>
      <w:rFonts w:ascii="HelveticaNeueLT Std Lt" w:hAnsi="HelveticaNeueLT Std Lt" w:cs="HelveticaNeueLT Std Lt"/>
      <w:color w:val="000000"/>
      <w:sz w:val="24"/>
      <w:szCs w:val="24"/>
    </w:rPr>
  </w:style>
  <w:style w:type="character" w:customStyle="1" w:styleId="A3">
    <w:name w:val="A3"/>
    <w:uiPriority w:val="99"/>
    <w:rsid w:val="003A7FBC"/>
    <w:rPr>
      <w:rFonts w:cs="HelveticaNeueLT Std Lt"/>
      <w:color w:val="000000"/>
      <w:sz w:val="36"/>
      <w:szCs w:val="36"/>
    </w:rPr>
  </w:style>
  <w:style w:type="table" w:customStyle="1" w:styleId="TableGrid10">
    <w:name w:val="Table Grid1"/>
    <w:basedOn w:val="TableNormal"/>
    <w:next w:val="TableGrid"/>
    <w:uiPriority w:val="59"/>
    <w:rsid w:val="003A7FBC"/>
    <w:pPr>
      <w:kinsoku w:val="0"/>
      <w:overflowPunct w:val="0"/>
      <w:autoSpaceDE w:val="0"/>
      <w:autoSpaceDN w:val="0"/>
      <w:adjustRightInd w:val="0"/>
      <w:snapToGrid w:val="0"/>
      <w:spacing w:line="240" w:lineRule="auto"/>
    </w:pPr>
    <w:rPr>
      <w:rFonts w:ascii="Georgia" w:hAnsi="Georgia" w:cs="Times New Roman"/>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yperlink1">
    <w:name w:val="Hyperlink1"/>
    <w:basedOn w:val="DefaultParagraphFont"/>
    <w:uiPriority w:val="99"/>
    <w:rsid w:val="003A7FBC"/>
    <w:rPr>
      <w:color w:val="A32020"/>
      <w:u w:val="single"/>
    </w:rPr>
  </w:style>
  <w:style w:type="table" w:customStyle="1" w:styleId="Tables-APBase1">
    <w:name w:val="Tables - AP Base1"/>
    <w:basedOn w:val="TableNormal"/>
    <w:rsid w:val="003A7FBC"/>
    <w:pPr>
      <w:spacing w:line="240" w:lineRule="auto"/>
    </w:pPr>
    <w:rPr>
      <w:rFonts w:ascii="Georgia" w:hAnsi="Georgia" w:cs="Times New Roman"/>
      <w:color w:val="auto"/>
    </w:rPr>
    <w:tblPr>
      <w:tblStyleRowBandSize w:val="1"/>
      <w:tblStyleColBandSize w:val="1"/>
      <w:tblBorders>
        <w:top w:val="single" w:sz="4" w:space="0" w:color="FFFFFF"/>
        <w:left w:val="single" w:sz="4" w:space="0" w:color="FFFFFF"/>
        <w:bottom w:val="single" w:sz="6" w:space="0" w:color="A32020"/>
        <w:right w:val="single" w:sz="4" w:space="0" w:color="FFFFFF"/>
        <w:insideH w:val="dotted" w:sz="8" w:space="0" w:color="A32020"/>
        <w:insideV w:val="single" w:sz="4" w:space="0" w:color="FFFFFF"/>
      </w:tblBorders>
    </w:tblPr>
    <w:tcPr>
      <w:shd w:val="clear" w:color="auto" w:fill="auto"/>
      <w:tcMar>
        <w:top w:w="0" w:type="dxa"/>
        <w:left w:w="108" w:type="dxa"/>
        <w:bottom w:w="0" w:type="dxa"/>
        <w:right w:w="108" w:type="dxa"/>
      </w:tcMar>
    </w:tcPr>
    <w:tblStylePr w:type="firstRow">
      <w:pPr>
        <w:jc w:val="center"/>
      </w:pPr>
      <w:rPr>
        <w:rFonts w:ascii="Georgia" w:hAnsi="Georgia"/>
        <w:b w:val="0"/>
        <w:color w:val="auto"/>
      </w:rPr>
      <w:tblPr/>
      <w:trPr>
        <w:tblHeader/>
      </w:trPr>
      <w:tcPr>
        <w:tcBorders>
          <w:top w:val="single" w:sz="4" w:space="0" w:color="A32020"/>
          <w:bottom w:val="single" w:sz="4" w:space="0" w:color="A32020"/>
        </w:tcBorders>
      </w:tcPr>
    </w:tblStylePr>
    <w:tblStylePr w:type="lastRow">
      <w:rPr>
        <w:color w:val="auto"/>
      </w:rPr>
      <w:tblPr/>
      <w:tcPr>
        <w:tcBorders>
          <w:top w:val="single" w:sz="4" w:space="0" w:color="A32020"/>
        </w:tcBorders>
        <w:shd w:val="clear" w:color="auto" w:fill="auto"/>
      </w:tcPr>
    </w:tblStylePr>
    <w:tblStylePr w:type="nwCell">
      <w:pPr>
        <w:jc w:val="left"/>
      </w:pPr>
      <w:tblPr/>
      <w:tcPr>
        <w:vAlign w:val="bottom"/>
      </w:tcPr>
    </w:tblStylePr>
  </w:style>
  <w:style w:type="character" w:styleId="SubtleEmphasis">
    <w:name w:val="Subtle Emphasis"/>
    <w:basedOn w:val="DefaultParagraphFont"/>
    <w:uiPriority w:val="19"/>
    <w:qFormat/>
    <w:rsid w:val="003A7FBC"/>
    <w:rPr>
      <w:i/>
      <w:iCs/>
      <w:color w:val="9C9A98" w:themeColor="text1" w:themeTint="7F"/>
    </w:rPr>
  </w:style>
  <w:style w:type="paragraph" w:customStyle="1" w:styleId="Normalpre-dotpoint">
    <w:name w:val="Normal pre-dot point"/>
    <w:basedOn w:val="Normal"/>
    <w:qFormat/>
    <w:rsid w:val="00567948"/>
    <w:pPr>
      <w:spacing w:after="80"/>
    </w:pPr>
  </w:style>
  <w:style w:type="paragraph" w:customStyle="1" w:styleId="Dotpoint">
    <w:name w:val="Dot point"/>
    <w:basedOn w:val="Normal"/>
    <w:qFormat/>
    <w:rsid w:val="00567948"/>
    <w:pPr>
      <w:numPr>
        <w:numId w:val="58"/>
      </w:numPr>
      <w:kinsoku w:val="0"/>
      <w:overflowPunct w:val="0"/>
      <w:autoSpaceDE w:val="0"/>
      <w:autoSpaceDN w:val="0"/>
      <w:adjustRightInd w:val="0"/>
      <w:snapToGrid w:val="0"/>
      <w:spacing w:after="80"/>
    </w:pPr>
    <w:rPr>
      <w:rFonts w:cstheme="minorHAnsi"/>
    </w:rPr>
  </w:style>
  <w:style w:type="paragraph" w:customStyle="1" w:styleId="Dotpointlast">
    <w:name w:val="Dot point last"/>
    <w:basedOn w:val="Dotpoint"/>
    <w:next w:val="Normal"/>
    <w:qFormat/>
    <w:rsid w:val="00567948"/>
    <w:pPr>
      <w:spacing w:after="200"/>
    </w:pPr>
  </w:style>
  <w:style w:type="paragraph" w:customStyle="1" w:styleId="CQuestion">
    <w:name w:val="CQuestion"/>
    <w:basedOn w:val="Normal"/>
    <w:qFormat/>
    <w:rsid w:val="0032260B"/>
    <w:pPr>
      <w:pBdr>
        <w:top w:val="dotted" w:sz="8" w:space="6" w:color="FFFFFF" w:themeColor="background1"/>
        <w:left w:val="dotted" w:sz="8" w:space="4" w:color="FFFFFF" w:themeColor="background1"/>
        <w:bottom w:val="dotted" w:sz="8" w:space="6" w:color="FFFFFF" w:themeColor="background1"/>
        <w:right w:val="dotted" w:sz="8" w:space="4" w:color="FFFFFF" w:themeColor="background1"/>
      </w:pBdr>
      <w:shd w:val="clear" w:color="auto" w:fill="00B2A9" w:themeFill="accent1"/>
      <w:spacing w:line="240" w:lineRule="auto"/>
    </w:pPr>
    <w:rPr>
      <w:rFonts w:ascii="Arial" w:hAnsi="Arial"/>
      <w:color w:val="FFFFFF" w:themeColor="background1"/>
    </w:rPr>
  </w:style>
  <w:style w:type="table" w:styleId="MediumGrid3-Accent4">
    <w:name w:val="Medium Grid 3 Accent 4"/>
    <w:basedOn w:val="TableNormal"/>
    <w:uiPriority w:val="69"/>
    <w:rsid w:val="00BD1691"/>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DCE3"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9739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9739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9739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9739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B9C8"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B9C8" w:themeFill="accent4"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395497">
      <w:bodyDiv w:val="1"/>
      <w:marLeft w:val="0"/>
      <w:marRight w:val="0"/>
      <w:marTop w:val="0"/>
      <w:marBottom w:val="0"/>
      <w:divBdr>
        <w:top w:val="none" w:sz="0" w:space="0" w:color="auto"/>
        <w:left w:val="none" w:sz="0" w:space="0" w:color="auto"/>
        <w:bottom w:val="none" w:sz="0" w:space="0" w:color="auto"/>
        <w:right w:val="none" w:sz="0" w:space="0" w:color="auto"/>
      </w:divBdr>
    </w:div>
    <w:div w:id="288901098">
      <w:bodyDiv w:val="1"/>
      <w:marLeft w:val="0"/>
      <w:marRight w:val="0"/>
      <w:marTop w:val="0"/>
      <w:marBottom w:val="0"/>
      <w:divBdr>
        <w:top w:val="none" w:sz="0" w:space="0" w:color="auto"/>
        <w:left w:val="none" w:sz="0" w:space="0" w:color="auto"/>
        <w:bottom w:val="none" w:sz="0" w:space="0" w:color="auto"/>
        <w:right w:val="none" w:sz="0" w:space="0" w:color="auto"/>
      </w:divBdr>
    </w:div>
    <w:div w:id="472529926">
      <w:bodyDiv w:val="1"/>
      <w:marLeft w:val="0"/>
      <w:marRight w:val="0"/>
      <w:marTop w:val="0"/>
      <w:marBottom w:val="0"/>
      <w:divBdr>
        <w:top w:val="none" w:sz="0" w:space="0" w:color="auto"/>
        <w:left w:val="none" w:sz="0" w:space="0" w:color="auto"/>
        <w:bottom w:val="none" w:sz="0" w:space="0" w:color="auto"/>
        <w:right w:val="none" w:sz="0" w:space="0" w:color="auto"/>
      </w:divBdr>
    </w:div>
    <w:div w:id="563488317">
      <w:bodyDiv w:val="1"/>
      <w:marLeft w:val="0"/>
      <w:marRight w:val="0"/>
      <w:marTop w:val="0"/>
      <w:marBottom w:val="0"/>
      <w:divBdr>
        <w:top w:val="none" w:sz="0" w:space="0" w:color="auto"/>
        <w:left w:val="none" w:sz="0" w:space="0" w:color="auto"/>
        <w:bottom w:val="none" w:sz="0" w:space="0" w:color="auto"/>
        <w:right w:val="none" w:sz="0" w:space="0" w:color="auto"/>
      </w:divBdr>
    </w:div>
    <w:div w:id="572937643">
      <w:bodyDiv w:val="1"/>
      <w:marLeft w:val="0"/>
      <w:marRight w:val="0"/>
      <w:marTop w:val="0"/>
      <w:marBottom w:val="0"/>
      <w:divBdr>
        <w:top w:val="none" w:sz="0" w:space="0" w:color="auto"/>
        <w:left w:val="none" w:sz="0" w:space="0" w:color="auto"/>
        <w:bottom w:val="none" w:sz="0" w:space="0" w:color="auto"/>
        <w:right w:val="none" w:sz="0" w:space="0" w:color="auto"/>
      </w:divBdr>
    </w:div>
    <w:div w:id="745416947">
      <w:bodyDiv w:val="1"/>
      <w:marLeft w:val="0"/>
      <w:marRight w:val="0"/>
      <w:marTop w:val="0"/>
      <w:marBottom w:val="0"/>
      <w:divBdr>
        <w:top w:val="none" w:sz="0" w:space="0" w:color="auto"/>
        <w:left w:val="none" w:sz="0" w:space="0" w:color="auto"/>
        <w:bottom w:val="none" w:sz="0" w:space="0" w:color="auto"/>
        <w:right w:val="none" w:sz="0" w:space="0" w:color="auto"/>
      </w:divBdr>
    </w:div>
    <w:div w:id="754858376">
      <w:bodyDiv w:val="1"/>
      <w:marLeft w:val="0"/>
      <w:marRight w:val="0"/>
      <w:marTop w:val="0"/>
      <w:marBottom w:val="0"/>
      <w:divBdr>
        <w:top w:val="none" w:sz="0" w:space="0" w:color="auto"/>
        <w:left w:val="none" w:sz="0" w:space="0" w:color="auto"/>
        <w:bottom w:val="none" w:sz="0" w:space="0" w:color="auto"/>
        <w:right w:val="none" w:sz="0" w:space="0" w:color="auto"/>
      </w:divBdr>
    </w:div>
    <w:div w:id="808133796">
      <w:bodyDiv w:val="1"/>
      <w:marLeft w:val="0"/>
      <w:marRight w:val="0"/>
      <w:marTop w:val="0"/>
      <w:marBottom w:val="0"/>
      <w:divBdr>
        <w:top w:val="none" w:sz="0" w:space="0" w:color="auto"/>
        <w:left w:val="none" w:sz="0" w:space="0" w:color="auto"/>
        <w:bottom w:val="none" w:sz="0" w:space="0" w:color="auto"/>
        <w:right w:val="none" w:sz="0" w:space="0" w:color="auto"/>
      </w:divBdr>
    </w:div>
    <w:div w:id="882139518">
      <w:bodyDiv w:val="1"/>
      <w:marLeft w:val="0"/>
      <w:marRight w:val="0"/>
      <w:marTop w:val="0"/>
      <w:marBottom w:val="0"/>
      <w:divBdr>
        <w:top w:val="none" w:sz="0" w:space="0" w:color="auto"/>
        <w:left w:val="none" w:sz="0" w:space="0" w:color="auto"/>
        <w:bottom w:val="none" w:sz="0" w:space="0" w:color="auto"/>
        <w:right w:val="none" w:sz="0" w:space="0" w:color="auto"/>
      </w:divBdr>
    </w:div>
    <w:div w:id="1131051187">
      <w:bodyDiv w:val="1"/>
      <w:marLeft w:val="0"/>
      <w:marRight w:val="0"/>
      <w:marTop w:val="0"/>
      <w:marBottom w:val="0"/>
      <w:divBdr>
        <w:top w:val="none" w:sz="0" w:space="0" w:color="auto"/>
        <w:left w:val="none" w:sz="0" w:space="0" w:color="auto"/>
        <w:bottom w:val="none" w:sz="0" w:space="0" w:color="auto"/>
        <w:right w:val="none" w:sz="0" w:space="0" w:color="auto"/>
      </w:divBdr>
    </w:div>
    <w:div w:id="1247764888">
      <w:bodyDiv w:val="1"/>
      <w:marLeft w:val="0"/>
      <w:marRight w:val="0"/>
      <w:marTop w:val="0"/>
      <w:marBottom w:val="0"/>
      <w:divBdr>
        <w:top w:val="none" w:sz="0" w:space="0" w:color="auto"/>
        <w:left w:val="none" w:sz="0" w:space="0" w:color="auto"/>
        <w:bottom w:val="none" w:sz="0" w:space="0" w:color="auto"/>
        <w:right w:val="none" w:sz="0" w:space="0" w:color="auto"/>
      </w:divBdr>
    </w:div>
    <w:div w:id="1435176247">
      <w:bodyDiv w:val="1"/>
      <w:marLeft w:val="0"/>
      <w:marRight w:val="0"/>
      <w:marTop w:val="0"/>
      <w:marBottom w:val="0"/>
      <w:divBdr>
        <w:top w:val="none" w:sz="0" w:space="0" w:color="auto"/>
        <w:left w:val="none" w:sz="0" w:space="0" w:color="auto"/>
        <w:bottom w:val="none" w:sz="0" w:space="0" w:color="auto"/>
        <w:right w:val="none" w:sz="0" w:space="0" w:color="auto"/>
      </w:divBdr>
    </w:div>
    <w:div w:id="1491865820">
      <w:bodyDiv w:val="1"/>
      <w:marLeft w:val="0"/>
      <w:marRight w:val="0"/>
      <w:marTop w:val="0"/>
      <w:marBottom w:val="0"/>
      <w:divBdr>
        <w:top w:val="none" w:sz="0" w:space="0" w:color="auto"/>
        <w:left w:val="none" w:sz="0" w:space="0" w:color="auto"/>
        <w:bottom w:val="none" w:sz="0" w:space="0" w:color="auto"/>
        <w:right w:val="none" w:sz="0" w:space="0" w:color="auto"/>
      </w:divBdr>
    </w:div>
    <w:div w:id="1600917173">
      <w:bodyDiv w:val="1"/>
      <w:marLeft w:val="0"/>
      <w:marRight w:val="0"/>
      <w:marTop w:val="0"/>
      <w:marBottom w:val="0"/>
      <w:divBdr>
        <w:top w:val="none" w:sz="0" w:space="0" w:color="auto"/>
        <w:left w:val="none" w:sz="0" w:space="0" w:color="auto"/>
        <w:bottom w:val="none" w:sz="0" w:space="0" w:color="auto"/>
        <w:right w:val="none" w:sz="0" w:space="0" w:color="auto"/>
      </w:divBdr>
    </w:div>
    <w:div w:id="1806002013">
      <w:bodyDiv w:val="1"/>
      <w:marLeft w:val="0"/>
      <w:marRight w:val="0"/>
      <w:marTop w:val="0"/>
      <w:marBottom w:val="0"/>
      <w:divBdr>
        <w:top w:val="none" w:sz="0" w:space="0" w:color="auto"/>
        <w:left w:val="none" w:sz="0" w:space="0" w:color="auto"/>
        <w:bottom w:val="none" w:sz="0" w:space="0" w:color="auto"/>
        <w:right w:val="none" w:sz="0" w:space="0" w:color="auto"/>
      </w:divBdr>
    </w:div>
    <w:div w:id="2095973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yperlink" Target="http://creativecommons.org/licenses/by/4.0/" TargetMode="Externa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http://www.delwp.vic.gov.au"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0.jpeg"/><Relationship Id="rId17" Type="http://schemas.openxmlformats.org/officeDocument/2006/relationships/image" Target="media/image5.emf"/><Relationship Id="rId25" Type="http://schemas.openxmlformats.org/officeDocument/2006/relationships/footer" Target="footer5.xml"/><Relationship Id="rId33" Type="http://schemas.openxmlformats.org/officeDocument/2006/relationships/hyperlink" Target="http://www.austlii.edu.au/au/legis/vic/consol_act/ba199391/s3.html"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www.relayservice.com.au" TargetMode="Externa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0.jpeg"/><Relationship Id="rId24" Type="http://schemas.openxmlformats.org/officeDocument/2006/relationships/header" Target="header3.xml"/><Relationship Id="rId32" Type="http://schemas.openxmlformats.org/officeDocument/2006/relationships/hyperlink" Target="http://www.austlii.edu.au/au/legis/vic/consol_act/ba199391/s3.html" TargetMode="Externa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oter" Target="footer4.xml"/><Relationship Id="rId28" Type="http://schemas.openxmlformats.org/officeDocument/2006/relationships/footer" Target="footer6.xml"/><Relationship Id="rId10" Type="http://schemas.openxmlformats.org/officeDocument/2006/relationships/image" Target="media/image2.jpeg"/><Relationship Id="rId19" Type="http://schemas.openxmlformats.org/officeDocument/2006/relationships/hyperlink" Target="mailto:customer.service@delwp.vic.gov.au" TargetMode="External"/><Relationship Id="rId31" Type="http://schemas.openxmlformats.org/officeDocument/2006/relationships/footer" Target="footer8.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 Id="rId22" Type="http://schemas.openxmlformats.org/officeDocument/2006/relationships/header" Target="header2.xml"/><Relationship Id="rId27" Type="http://schemas.openxmlformats.org/officeDocument/2006/relationships/header" Target="header5.xml"/><Relationship Id="rId30" Type="http://schemas.openxmlformats.org/officeDocument/2006/relationships/header" Target="header6.xml"/><Relationship Id="rId35" Type="http://schemas.openxmlformats.org/officeDocument/2006/relationships/theme" Target="theme/theme1.xml"/></Relationships>
</file>

<file path=word/_rels/footer3.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emf"/></Relationships>
</file>

<file path=word/_rels/footnotes.xml.rels><?xml version="1.0" encoding="UTF-8" standalone="yes"?>
<Relationships xmlns="http://schemas.openxmlformats.org/package/2006/relationships"><Relationship Id="rId3" Type="http://schemas.openxmlformats.org/officeDocument/2006/relationships/hyperlink" Target="http://www.vba.vic.gov.au/disputes-and-resolutions/complaints/building" TargetMode="External"/><Relationship Id="rId2" Type="http://schemas.openxmlformats.org/officeDocument/2006/relationships/hyperlink" Target="http://www.audit.vic.gov.au" TargetMode="External"/><Relationship Id="rId1" Type="http://schemas.openxmlformats.org/officeDocument/2006/relationships/hyperlink" Target="http://www.consumer.vic.gov.au/housing-and-accommodation/building-and-renovating/defects-delays-and-insolvency/disputes-defects-and-delays" TargetMode="External"/><Relationship Id="rId4" Type="http://schemas.openxmlformats.org/officeDocument/2006/relationships/hyperlink" Target="http://consumerlaw.gov.au/files/2016/05/ACL-Consumer-Survey-2016.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m76\AppData\Local\Temp\Temp1_DELWP-Templates.zip\DELWP%20Templates\DELWP%20Report%20template.dotm" TargetMode="External"/></Relationships>
</file>

<file path=word/theme/theme1.xml><?xml version="1.0" encoding="utf-8"?>
<a:theme xmlns:a="http://schemas.openxmlformats.org/drawingml/2006/main" name="BOP">
  <a:themeElements>
    <a:clrScheme name="DELWP Sub-Brand Offical">
      <a:dk1>
        <a:srgbClr val="363534"/>
      </a:dk1>
      <a:lt1>
        <a:sysClr val="window" lastClr="FFFFFF"/>
      </a:lt1>
      <a:dk2>
        <a:srgbClr val="00B2A9"/>
      </a:dk2>
      <a:lt2>
        <a:srgbClr val="E5F7F6"/>
      </a:lt2>
      <a:accent1>
        <a:srgbClr val="00B2A9"/>
      </a:accent1>
      <a:accent2>
        <a:srgbClr val="201547"/>
      </a:accent2>
      <a:accent3>
        <a:srgbClr val="66D1CB"/>
      </a:accent3>
      <a:accent4>
        <a:srgbClr val="797391"/>
      </a:accent4>
      <a:accent5>
        <a:srgbClr val="99E0DD"/>
      </a:accent5>
      <a:accent6>
        <a:srgbClr val="A6A1B5"/>
      </a:accent6>
      <a:hlink>
        <a:srgbClr val="0000FF"/>
      </a:hlink>
      <a:folHlink>
        <a:srgbClr val="800080"/>
      </a:folHlink>
    </a:clrScheme>
    <a:fontScheme name="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1E6017-3BA2-4E50-B3D2-09D6384A9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DELWP Report template.dotm</Template>
  <TotalTime>16</TotalTime>
  <Pages>41</Pages>
  <Words>17147</Words>
  <Characters>98774</Characters>
  <Application>Microsoft Office Word</Application>
  <DocSecurity>0</DocSecurity>
  <Lines>823</Lines>
  <Paragraphs>231</Paragraphs>
  <ScaleCrop>false</ScaleCrop>
  <HeadingPairs>
    <vt:vector size="2" baseType="variant">
      <vt:variant>
        <vt:lpstr>Title</vt:lpstr>
      </vt:variant>
      <vt:variant>
        <vt:i4>1</vt:i4>
      </vt:variant>
    </vt:vector>
  </HeadingPairs>
  <TitlesOfParts>
    <vt:vector size="1" baseType="lpstr">
      <vt:lpstr>Title</vt:lpstr>
    </vt:vector>
  </TitlesOfParts>
  <Company>Get it Write!</Company>
  <LinksUpToDate>false</LinksUpToDate>
  <CharactersWithSpaces>115690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Laene D Matahaere (DELWP)</dc:creator>
  <cp:lastModifiedBy>KZ04</cp:lastModifiedBy>
  <cp:revision>6</cp:revision>
  <cp:lastPrinted>2017-05-16T06:48:00Z</cp:lastPrinted>
  <dcterms:created xsi:type="dcterms:W3CDTF">2017-05-15T03:21:00Z</dcterms:created>
  <dcterms:modified xsi:type="dcterms:W3CDTF">2017-05-16T06:48:00Z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Title">
    <vt:lpwstr>Title</vt:lpwstr>
  </property>
  <property fmtid="{D5CDD505-2E9C-101B-9397-08002B2CF9AE}" pid="3" name="xSubtitle">
    <vt:lpwstr>Subtitle</vt:lpwstr>
  </property>
  <property fmtid="{D5CDD505-2E9C-101B-9397-08002B2CF9AE}" pid="4" name="xDate">
    <vt:lpwstr/>
  </property>
  <property fmtid="{D5CDD505-2E9C-101B-9397-08002B2CF9AE}" pid="5" name="xTOCH2">
    <vt:lpwstr>Y</vt:lpwstr>
  </property>
  <property fmtid="{D5CDD505-2E9C-101B-9397-08002B2CF9AE}" pid="6" name="xTOCH3">
    <vt:lpwstr>Y</vt:lpwstr>
  </property>
  <property fmtid="{D5CDD505-2E9C-101B-9397-08002B2CF9AE}" pid="7" name="xTOCTable">
    <vt:lpwstr>H</vt:lpwstr>
  </property>
  <property fmtid="{D5CDD505-2E9C-101B-9397-08002B2CF9AE}" pid="8" name="xTOCFigure">
    <vt:lpwstr>H</vt:lpwstr>
  </property>
  <property fmtid="{D5CDD505-2E9C-101B-9397-08002B2CF9AE}" pid="9" name="xTOCApp">
    <vt:lpwstr>H</vt:lpwstr>
  </property>
  <property fmtid="{D5CDD505-2E9C-101B-9397-08002B2CF9AE}" pid="10" name="xStatus">
    <vt:lpwstr/>
  </property>
  <property fmtid="{D5CDD505-2E9C-101B-9397-08002B2CF9AE}" pid="11" name="xCR">
    <vt:lpwstr>Heading</vt:lpwstr>
  </property>
  <property fmtid="{D5CDD505-2E9C-101B-9397-08002B2CF9AE}" pid="12" name="xHeadingsNumbered">
    <vt:lpwstr>0</vt:lpwstr>
  </property>
  <property fmtid="{D5CDD505-2E9C-101B-9397-08002B2CF9AE}" pid="13" name="xDoctype">
    <vt:lpwstr/>
  </property>
  <property fmtid="{D5CDD505-2E9C-101B-9397-08002B2CF9AE}" pid="14" name="xTOCH4">
    <vt:lpwstr>N</vt:lpwstr>
  </property>
  <property fmtid="{D5CDD505-2E9C-101B-9397-08002B2CF9AE}" pid="15" name="xFooterTitle">
    <vt:lpwstr>Title</vt:lpwstr>
  </property>
  <property fmtid="{D5CDD505-2E9C-101B-9397-08002B2CF9AE}" pid="16" name="xFooterSubtitle">
    <vt:lpwstr>Subtitle</vt:lpwstr>
  </property>
  <property fmtid="{D5CDD505-2E9C-101B-9397-08002B2CF9AE}" pid="17" name="xAppendixName">
    <vt:lpwstr>Appendix</vt:lpwstr>
  </property>
</Properties>
</file>